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C8" w:rsidRPr="00F9510C" w:rsidRDefault="00C95EBE" w:rsidP="008C452B">
      <w:pPr>
        <w:pStyle w:val="Heading1"/>
      </w:pPr>
      <w:bookmarkStart w:id="0" w:name="_GoBack"/>
      <w:bookmarkEnd w:id="0"/>
      <w:r w:rsidRPr="00F9510C">
        <w:t>SECTION 1:</w:t>
      </w:r>
      <w:r>
        <w:t xml:space="preserve"> </w:t>
      </w:r>
      <w:r w:rsidRPr="00F9510C">
        <w:t>BACKGROUND</w:t>
      </w:r>
    </w:p>
    <w:p w:rsidR="00864677" w:rsidRPr="00206086" w:rsidRDefault="00E208C8" w:rsidP="008C452B">
      <w:pPr>
        <w:pStyle w:val="Heading2"/>
      </w:pPr>
      <w:r w:rsidRPr="00206086">
        <w:t>1.1</w:t>
      </w:r>
      <w:r w:rsidR="00422DA1" w:rsidRPr="00206086">
        <w:t>:</w:t>
      </w:r>
      <w:r w:rsidR="000E429E">
        <w:t xml:space="preserve"> </w:t>
      </w:r>
      <w:r w:rsidR="00290F06" w:rsidRPr="00206086">
        <w:t xml:space="preserve">The challenges to preparing </w:t>
      </w:r>
      <w:r w:rsidR="00B4407B" w:rsidRPr="00206086">
        <w:t>macro</w:t>
      </w:r>
      <w:r w:rsidR="00864677" w:rsidRPr="00206086">
        <w:t>economic and revenue forecasts</w:t>
      </w:r>
    </w:p>
    <w:p w:rsidR="00073E88" w:rsidRPr="00206086" w:rsidRDefault="00BF1B7B" w:rsidP="000E429E">
      <w:r w:rsidRPr="00206086">
        <w:t>Treasury is the principal economic advisory agency of the Australian Government</w:t>
      </w:r>
      <w:r w:rsidR="003D31DD">
        <w:t xml:space="preserve">. </w:t>
      </w:r>
      <w:r w:rsidR="001D65BE" w:rsidRPr="00206086">
        <w:t>In</w:t>
      </w:r>
      <w:r w:rsidRPr="00206086">
        <w:t xml:space="preserve"> this role</w:t>
      </w:r>
      <w:r w:rsidR="001D65BE" w:rsidRPr="00206086">
        <w:t>,</w:t>
      </w:r>
      <w:r w:rsidRPr="00206086">
        <w:t xml:space="preserve"> </w:t>
      </w:r>
      <w:r w:rsidR="00FF52FE" w:rsidRPr="00206086">
        <w:t xml:space="preserve">Treasury </w:t>
      </w:r>
      <w:r w:rsidR="00CC22D4" w:rsidRPr="00206086">
        <w:t xml:space="preserve">prepares </w:t>
      </w:r>
      <w:r w:rsidR="00DD1BB1" w:rsidRPr="00206086">
        <w:t>macro</w:t>
      </w:r>
      <w:r w:rsidR="00FF52FE" w:rsidRPr="00206086">
        <w:t xml:space="preserve">economic and revenue forecasts as </w:t>
      </w:r>
      <w:r w:rsidR="00C417B6" w:rsidRPr="00206086">
        <w:t xml:space="preserve">key </w:t>
      </w:r>
      <w:r w:rsidR="00ED14A8" w:rsidRPr="00206086">
        <w:t>input</w:t>
      </w:r>
      <w:r w:rsidR="00C417B6" w:rsidRPr="00206086">
        <w:t>s</w:t>
      </w:r>
      <w:r w:rsidR="00ED14A8" w:rsidRPr="00206086">
        <w:t xml:space="preserve"> into </w:t>
      </w:r>
      <w:r w:rsidR="00FF52FE" w:rsidRPr="00206086">
        <w:t xml:space="preserve">the </w:t>
      </w:r>
      <w:r w:rsidR="00C417B6" w:rsidRPr="00206086">
        <w:t>preparation of</w:t>
      </w:r>
      <w:r w:rsidR="009914D4" w:rsidRPr="00206086">
        <w:t xml:space="preserve"> </w:t>
      </w:r>
      <w:r w:rsidR="00FF52FE" w:rsidRPr="00206086">
        <w:t xml:space="preserve">budget </w:t>
      </w:r>
      <w:r w:rsidR="009914D4" w:rsidRPr="00206086">
        <w:t xml:space="preserve">estimates of </w:t>
      </w:r>
      <w:r w:rsidR="00DC42DB" w:rsidRPr="00206086">
        <w:t>revenue</w:t>
      </w:r>
      <w:r w:rsidR="001835A1" w:rsidRPr="00206086">
        <w:t xml:space="preserve"> </w:t>
      </w:r>
      <w:r w:rsidR="009914D4" w:rsidRPr="00206086">
        <w:t xml:space="preserve">and </w:t>
      </w:r>
      <w:r w:rsidR="00F854D5" w:rsidRPr="00206086">
        <w:t>expenditure</w:t>
      </w:r>
      <w:r w:rsidR="003D31DD">
        <w:t xml:space="preserve">. </w:t>
      </w:r>
      <w:r w:rsidR="006874E7" w:rsidRPr="00206086">
        <w:t xml:space="preserve">The budget estimates </w:t>
      </w:r>
      <w:r w:rsidR="00F854D5" w:rsidRPr="00206086">
        <w:t xml:space="preserve">provide a </w:t>
      </w:r>
      <w:r w:rsidRPr="00206086">
        <w:t xml:space="preserve">fiscal </w:t>
      </w:r>
      <w:r w:rsidR="00F854D5" w:rsidRPr="00206086">
        <w:t>baseline</w:t>
      </w:r>
      <w:r w:rsidRPr="00206086">
        <w:t xml:space="preserve"> against which new </w:t>
      </w:r>
      <w:r w:rsidR="00F854D5" w:rsidRPr="00206086">
        <w:t>policy decisions</w:t>
      </w:r>
      <w:r w:rsidR="009914D4" w:rsidRPr="00206086">
        <w:t xml:space="preserve"> </w:t>
      </w:r>
      <w:r w:rsidRPr="00206086">
        <w:t xml:space="preserve">can be </w:t>
      </w:r>
      <w:r w:rsidR="00195371" w:rsidRPr="00206086">
        <w:t xml:space="preserve">taken by the </w:t>
      </w:r>
      <w:r w:rsidR="00FF52FE" w:rsidRPr="00206086">
        <w:t>Government</w:t>
      </w:r>
      <w:r w:rsidRPr="00206086">
        <w:t xml:space="preserve">, including </w:t>
      </w:r>
      <w:r w:rsidR="00ED14A8" w:rsidRPr="00206086">
        <w:t xml:space="preserve">policy decisions taken </w:t>
      </w:r>
      <w:r w:rsidRPr="00206086">
        <w:t xml:space="preserve">to </w:t>
      </w:r>
      <w:r w:rsidR="00FF52FE" w:rsidRPr="00206086">
        <w:t xml:space="preserve">meet </w:t>
      </w:r>
      <w:r w:rsidR="00ED14A8" w:rsidRPr="00206086">
        <w:t>its</w:t>
      </w:r>
      <w:r w:rsidR="00FF52FE" w:rsidRPr="00206086">
        <w:t xml:space="preserve"> medium</w:t>
      </w:r>
      <w:r w:rsidR="00D83DF2">
        <w:noBreakHyphen/>
      </w:r>
      <w:r w:rsidR="00FF52FE" w:rsidRPr="00206086">
        <w:t>term fiscal strategy</w:t>
      </w:r>
      <w:r w:rsidR="003D31DD">
        <w:t xml:space="preserve">. </w:t>
      </w:r>
      <w:r w:rsidR="004A1278" w:rsidRPr="00206086">
        <w:t>Treasury</w:t>
      </w:r>
      <w:r w:rsidR="003D31DD">
        <w:t>’</w:t>
      </w:r>
      <w:r w:rsidR="004A1278" w:rsidRPr="00206086">
        <w:t xml:space="preserve">s </w:t>
      </w:r>
      <w:r w:rsidR="00DF479B" w:rsidRPr="00206086">
        <w:t xml:space="preserve">medium term projections </w:t>
      </w:r>
      <w:r w:rsidR="00C417B6" w:rsidRPr="00206086">
        <w:t>have taken on an</w:t>
      </w:r>
      <w:r w:rsidR="004A1278" w:rsidRPr="00206086">
        <w:t xml:space="preserve"> </w:t>
      </w:r>
      <w:r w:rsidR="00DF479B" w:rsidRPr="00206086">
        <w:t xml:space="preserve">enhanced </w:t>
      </w:r>
      <w:r w:rsidR="00C417B6" w:rsidRPr="00206086">
        <w:t xml:space="preserve">role because of </w:t>
      </w:r>
      <w:r w:rsidR="004A1278" w:rsidRPr="00206086">
        <w:t>the</w:t>
      </w:r>
      <w:r w:rsidR="00073E88" w:rsidRPr="00206086">
        <w:t xml:space="preserve"> requirement of the </w:t>
      </w:r>
      <w:r w:rsidR="00073E88" w:rsidRPr="00206086">
        <w:rPr>
          <w:i/>
        </w:rPr>
        <w:t>Charter of Budget Honesty</w:t>
      </w:r>
      <w:r w:rsidR="00073E88" w:rsidRPr="00206086">
        <w:t xml:space="preserve"> for Governments to set fiscal policy </w:t>
      </w:r>
      <w:r w:rsidR="00C417B6" w:rsidRPr="00206086">
        <w:t>with</w:t>
      </w:r>
      <w:r w:rsidR="00073E88" w:rsidRPr="00206086">
        <w:t>in a sustainable medium</w:t>
      </w:r>
      <w:r w:rsidR="00D83DF2">
        <w:noBreakHyphen/>
      </w:r>
      <w:r w:rsidR="00073E88" w:rsidRPr="00206086">
        <w:t>term framework</w:t>
      </w:r>
      <w:r w:rsidR="008D3F7C" w:rsidRPr="00206086">
        <w:t>.</w:t>
      </w:r>
      <w:r w:rsidR="008D3F7C" w:rsidRPr="00206086">
        <w:rPr>
          <w:rStyle w:val="FootnoteReference"/>
        </w:rPr>
        <w:footnoteReference w:id="1"/>
      </w:r>
    </w:p>
    <w:p w:rsidR="00030421" w:rsidRPr="00206086" w:rsidRDefault="00FF52FE" w:rsidP="008C452B">
      <w:r w:rsidRPr="00206086">
        <w:t>Treasury</w:t>
      </w:r>
      <w:r w:rsidR="003D31DD">
        <w:t>’</w:t>
      </w:r>
      <w:r w:rsidR="004B4431" w:rsidRPr="00206086">
        <w:t xml:space="preserve">s </w:t>
      </w:r>
      <w:r w:rsidR="00DD1BB1" w:rsidRPr="00206086">
        <w:t>macro</w:t>
      </w:r>
      <w:r w:rsidR="004B4431" w:rsidRPr="00206086">
        <w:t xml:space="preserve">economic forecasts are also used </w:t>
      </w:r>
      <w:r w:rsidRPr="00206086">
        <w:t xml:space="preserve">more broadly to assist in the framing of </w:t>
      </w:r>
      <w:r w:rsidR="000A4BBB" w:rsidRPr="00206086">
        <w:t>forward</w:t>
      </w:r>
      <w:r w:rsidR="00D83DF2">
        <w:noBreakHyphen/>
      </w:r>
      <w:r w:rsidRPr="00206086">
        <w:t xml:space="preserve">looking </w:t>
      </w:r>
      <w:r w:rsidR="004B4431" w:rsidRPr="00206086">
        <w:t xml:space="preserve">macroeconomic </w:t>
      </w:r>
      <w:r w:rsidRPr="00206086">
        <w:t>policy advice.</w:t>
      </w:r>
    </w:p>
    <w:p w:rsidR="000A4BBB" w:rsidRPr="00206086" w:rsidRDefault="00A733CF" w:rsidP="008C452B">
      <w:r w:rsidRPr="00206086">
        <w:t>Forecasting is an inherently difficult exercise</w:t>
      </w:r>
      <w:r w:rsidR="003D31DD">
        <w:t xml:space="preserve">. </w:t>
      </w:r>
      <w:r w:rsidRPr="00206086">
        <w:t>It is challenging to capture the salient features of a modern complex economy in a framework simple enough to be tractable</w:t>
      </w:r>
      <w:r w:rsidR="003D31DD">
        <w:t xml:space="preserve">. </w:t>
      </w:r>
      <w:r w:rsidR="00884562" w:rsidRPr="00206086">
        <w:t>Unlike the physical sciences</w:t>
      </w:r>
      <w:r w:rsidRPr="00206086">
        <w:t>,</w:t>
      </w:r>
      <w:r w:rsidR="00884562" w:rsidRPr="00206086">
        <w:t xml:space="preserve"> the inability to </w:t>
      </w:r>
      <w:r w:rsidR="00C417B6" w:rsidRPr="00206086">
        <w:t>conduct</w:t>
      </w:r>
      <w:r w:rsidR="00884562" w:rsidRPr="00206086">
        <w:t xml:space="preserve"> repeated experiments </w:t>
      </w:r>
      <w:r w:rsidRPr="00206086">
        <w:t>means that it is difficult to</w:t>
      </w:r>
      <w:r w:rsidR="00C417B6" w:rsidRPr="00206086">
        <w:t xml:space="preserve"> use economic data to</w:t>
      </w:r>
      <w:r w:rsidRPr="00206086">
        <w:t xml:space="preserve"> disentangle </w:t>
      </w:r>
      <w:r w:rsidR="00D94043" w:rsidRPr="00206086">
        <w:t xml:space="preserve">quantitatively </w:t>
      </w:r>
      <w:r w:rsidRPr="00206086">
        <w:t xml:space="preserve">the </w:t>
      </w:r>
      <w:r w:rsidR="00D94043" w:rsidRPr="00206086">
        <w:t>impacts</w:t>
      </w:r>
      <w:r w:rsidRPr="00206086">
        <w:t xml:space="preserve"> </w:t>
      </w:r>
      <w:r w:rsidR="00557DDF" w:rsidRPr="00206086">
        <w:t xml:space="preserve">of different influences </w:t>
      </w:r>
      <w:r w:rsidR="001761C2" w:rsidRPr="00206086">
        <w:t>on the economy</w:t>
      </w:r>
      <w:r w:rsidR="00B200FC">
        <w:t>,</w:t>
      </w:r>
      <w:r w:rsidR="002615B6" w:rsidRPr="00206086">
        <w:t xml:space="preserve"> particularly in the face of continual structural change</w:t>
      </w:r>
      <w:r w:rsidR="003D31DD">
        <w:t xml:space="preserve">. </w:t>
      </w:r>
      <w:r w:rsidR="00557DDF" w:rsidRPr="00206086">
        <w:t xml:space="preserve">Human behaviour, in particular the influence of </w:t>
      </w:r>
      <w:r w:rsidR="00557DDF" w:rsidRPr="00206086">
        <w:rPr>
          <w:i/>
        </w:rPr>
        <w:t>animal spirits</w:t>
      </w:r>
      <w:r w:rsidR="00557DDF" w:rsidRPr="00206086">
        <w:t xml:space="preserve">, </w:t>
      </w:r>
      <w:r w:rsidR="00C417B6" w:rsidRPr="00206086">
        <w:t>has elements that are</w:t>
      </w:r>
      <w:r w:rsidR="00557DDF" w:rsidRPr="00206086">
        <w:t xml:space="preserve"> inherently unpredictable</w:t>
      </w:r>
      <w:r w:rsidR="003D31DD">
        <w:t xml:space="preserve">. </w:t>
      </w:r>
      <w:r w:rsidR="00884562" w:rsidRPr="00206086">
        <w:t xml:space="preserve">Economies are buffeted by shocks, which by their </w:t>
      </w:r>
      <w:r w:rsidR="001761C2" w:rsidRPr="00206086">
        <w:t xml:space="preserve">very </w:t>
      </w:r>
      <w:r w:rsidR="00884562" w:rsidRPr="00206086">
        <w:t>nature are not foreseeable, for example economic disasters</w:t>
      </w:r>
      <w:r w:rsidR="00731FA9" w:rsidRPr="00206086">
        <w:t>,</w:t>
      </w:r>
      <w:r w:rsidR="00884562" w:rsidRPr="00206086">
        <w:t xml:space="preserve"> such as droughts</w:t>
      </w:r>
      <w:r w:rsidR="00731FA9" w:rsidRPr="00206086">
        <w:t>, and technological advances</w:t>
      </w:r>
      <w:r w:rsidR="003D31DD">
        <w:t xml:space="preserve">. </w:t>
      </w:r>
      <w:r w:rsidR="00884562" w:rsidRPr="00206086">
        <w:t xml:space="preserve">Lags in data </w:t>
      </w:r>
      <w:r w:rsidR="00E44B08" w:rsidRPr="00206086">
        <w:t>collection and survey error</w:t>
      </w:r>
      <w:r w:rsidR="00D73986" w:rsidRPr="00206086">
        <w:t xml:space="preserve"> mean that </w:t>
      </w:r>
      <w:r w:rsidR="00B0548A" w:rsidRPr="00206086">
        <w:t xml:space="preserve">forecasters </w:t>
      </w:r>
      <w:r w:rsidR="00742A79" w:rsidRPr="00206086">
        <w:t xml:space="preserve">are reliant upon their own </w:t>
      </w:r>
      <w:r w:rsidR="00B0548A" w:rsidRPr="00206086">
        <w:t xml:space="preserve">informed </w:t>
      </w:r>
      <w:r w:rsidR="00D94043" w:rsidRPr="00206086">
        <w:t>assessment</w:t>
      </w:r>
      <w:r w:rsidR="00B0548A" w:rsidRPr="00206086">
        <w:t xml:space="preserve"> about the </w:t>
      </w:r>
      <w:r w:rsidR="00D73986" w:rsidRPr="00206086">
        <w:t>current state of the e</w:t>
      </w:r>
      <w:r w:rsidR="00B366DB" w:rsidRPr="00206086">
        <w:t>c</w:t>
      </w:r>
      <w:r w:rsidR="00D73986" w:rsidRPr="00206086">
        <w:t>onomy</w:t>
      </w:r>
      <w:r w:rsidR="003D31DD">
        <w:t xml:space="preserve">. </w:t>
      </w:r>
      <w:r w:rsidR="00884562" w:rsidRPr="00206086">
        <w:t>It follow</w:t>
      </w:r>
      <w:r w:rsidR="00B0548A" w:rsidRPr="00206086">
        <w:t>s</w:t>
      </w:r>
      <w:r w:rsidR="00884562" w:rsidRPr="00206086">
        <w:t xml:space="preserve"> </w:t>
      </w:r>
      <w:r w:rsidR="005505C3" w:rsidRPr="00206086">
        <w:t xml:space="preserve">naturally </w:t>
      </w:r>
      <w:r w:rsidR="00884562" w:rsidRPr="00206086">
        <w:t>that j</w:t>
      </w:r>
      <w:r w:rsidR="003E797E" w:rsidRPr="00206086">
        <w:t xml:space="preserve">udgement </w:t>
      </w:r>
      <w:r w:rsidR="005505C3" w:rsidRPr="00206086">
        <w:t>play</w:t>
      </w:r>
      <w:r w:rsidR="00C417B6" w:rsidRPr="00206086">
        <w:t>s an important</w:t>
      </w:r>
      <w:r w:rsidR="003E797E" w:rsidRPr="00206086">
        <w:t xml:space="preserve"> role</w:t>
      </w:r>
      <w:r w:rsidR="00884562" w:rsidRPr="00206086">
        <w:t xml:space="preserve"> in the preparation of forecasts.</w:t>
      </w:r>
    </w:p>
    <w:p w:rsidR="002562EC" w:rsidRPr="00206086" w:rsidRDefault="001F0303" w:rsidP="008C452B">
      <w:r w:rsidRPr="00206086">
        <w:t xml:space="preserve">It is for these reasons that the discussion of the risks </w:t>
      </w:r>
      <w:r w:rsidR="00A153BB" w:rsidRPr="00206086">
        <w:t xml:space="preserve">and uncertainties </w:t>
      </w:r>
      <w:r w:rsidRPr="00206086">
        <w:t xml:space="preserve">around </w:t>
      </w:r>
      <w:r w:rsidR="00BC7A23" w:rsidRPr="00206086">
        <w:t xml:space="preserve">central case </w:t>
      </w:r>
      <w:r w:rsidR="00884562" w:rsidRPr="00206086">
        <w:t xml:space="preserve">point estimates </w:t>
      </w:r>
      <w:r w:rsidRPr="00206086">
        <w:t xml:space="preserve">is </w:t>
      </w:r>
      <w:r w:rsidR="008F5744" w:rsidRPr="00206086">
        <w:t>a</w:t>
      </w:r>
      <w:r w:rsidR="00E248A6" w:rsidRPr="00206086">
        <w:t xml:space="preserve"> fundamental</w:t>
      </w:r>
      <w:r w:rsidR="008F5744" w:rsidRPr="00206086">
        <w:t xml:space="preserve"> </w:t>
      </w:r>
      <w:r w:rsidR="005505C3" w:rsidRPr="00206086">
        <w:t xml:space="preserve">part </w:t>
      </w:r>
      <w:r w:rsidR="008F5744" w:rsidRPr="00206086">
        <w:t>of a</w:t>
      </w:r>
      <w:r w:rsidR="005505C3" w:rsidRPr="00206086">
        <w:t>ny</w:t>
      </w:r>
      <w:r w:rsidR="008F5744" w:rsidRPr="00206086">
        <w:t xml:space="preserve"> </w:t>
      </w:r>
      <w:r w:rsidR="002B6C09" w:rsidRPr="00206086">
        <w:t xml:space="preserve">set of </w:t>
      </w:r>
      <w:r w:rsidR="008F5744" w:rsidRPr="00206086">
        <w:t xml:space="preserve">forecasts and </w:t>
      </w:r>
      <w:r w:rsidR="00C417B6" w:rsidRPr="00206086">
        <w:t xml:space="preserve">a </w:t>
      </w:r>
      <w:r w:rsidR="008F5744" w:rsidRPr="00206086">
        <w:t xml:space="preserve">critical input into </w:t>
      </w:r>
      <w:r w:rsidR="005505C3" w:rsidRPr="00206086">
        <w:t>forward</w:t>
      </w:r>
      <w:r w:rsidR="00D83DF2">
        <w:noBreakHyphen/>
      </w:r>
      <w:r w:rsidR="005505C3" w:rsidRPr="00206086">
        <w:t xml:space="preserve">looking </w:t>
      </w:r>
      <w:r w:rsidR="00313987" w:rsidRPr="00206086">
        <w:t xml:space="preserve">macroeconomic </w:t>
      </w:r>
      <w:r w:rsidR="008F5744" w:rsidRPr="00206086">
        <w:t>policy</w:t>
      </w:r>
      <w:r w:rsidR="00E31925" w:rsidRPr="00206086">
        <w:t xml:space="preserve"> deliberation</w:t>
      </w:r>
      <w:r w:rsidR="003D31DD">
        <w:t xml:space="preserve">. </w:t>
      </w:r>
      <w:r w:rsidR="00884562" w:rsidRPr="00206086">
        <w:t xml:space="preserve">This element of forecasting practice </w:t>
      </w:r>
      <w:r w:rsidR="00BC7A23" w:rsidRPr="00206086">
        <w:t xml:space="preserve">can be downplayed in </w:t>
      </w:r>
      <w:r w:rsidR="00232C57" w:rsidRPr="00206086">
        <w:t>a review of forecasting performa</w:t>
      </w:r>
      <w:r w:rsidR="00BC7A23" w:rsidRPr="00206086">
        <w:t xml:space="preserve">nce which </w:t>
      </w:r>
      <w:r w:rsidR="002562EC" w:rsidRPr="00206086">
        <w:t xml:space="preserve">focuses on </w:t>
      </w:r>
      <w:r w:rsidR="00BC7A23" w:rsidRPr="00206086">
        <w:t>point estimates</w:t>
      </w:r>
      <w:r w:rsidR="003D31DD">
        <w:t xml:space="preserve">. </w:t>
      </w:r>
      <w:r w:rsidR="00BA0022" w:rsidRPr="00206086">
        <w:t>Analysis of forecast errors can point to areas where forecasting methodology can be improved, but caution is required when using ex</w:t>
      </w:r>
      <w:r w:rsidR="003D31DD">
        <w:t> </w:t>
      </w:r>
      <w:r w:rsidR="00BA0022" w:rsidRPr="00206086">
        <w:t xml:space="preserve">post evaluations of forecast accuracy to </w:t>
      </w:r>
      <w:r w:rsidR="00D35811" w:rsidRPr="00206086">
        <w:t>draw</w:t>
      </w:r>
      <w:r w:rsidR="00BA0022" w:rsidRPr="00206086">
        <w:t xml:space="preserve"> conclusions </w:t>
      </w:r>
      <w:r w:rsidR="0095756E" w:rsidRPr="00206086">
        <w:t>relating to the effectiveness of forecasts as inputs into the policy process</w:t>
      </w:r>
      <w:r w:rsidR="003D31DD">
        <w:t xml:space="preserve">. </w:t>
      </w:r>
      <w:r w:rsidR="002A434C" w:rsidRPr="00206086">
        <w:t>This</w:t>
      </w:r>
      <w:r w:rsidR="006D67FE" w:rsidRPr="00206086">
        <w:t xml:space="preserve"> would require</w:t>
      </w:r>
      <w:r w:rsidR="0095756E" w:rsidRPr="00206086">
        <w:t xml:space="preserve"> </w:t>
      </w:r>
      <w:r w:rsidR="006D67FE" w:rsidRPr="00206086">
        <w:t xml:space="preserve">an assessment of </w:t>
      </w:r>
      <w:r w:rsidR="0095756E" w:rsidRPr="00206086">
        <w:t xml:space="preserve">whether the </w:t>
      </w:r>
      <w:r w:rsidR="00DD6F83" w:rsidRPr="00206086">
        <w:t xml:space="preserve">broader presentation of the </w:t>
      </w:r>
      <w:r w:rsidR="002A434C" w:rsidRPr="00206086">
        <w:t xml:space="preserve">economic outlook affords </w:t>
      </w:r>
      <w:r w:rsidR="0095756E" w:rsidRPr="00206086">
        <w:t xml:space="preserve">a picture of likely developments that </w:t>
      </w:r>
      <w:r w:rsidR="00D35811" w:rsidRPr="00206086">
        <w:t>provides</w:t>
      </w:r>
      <w:r w:rsidR="0095756E" w:rsidRPr="00206086">
        <w:t xml:space="preserve"> an adequate basis for policy decisions</w:t>
      </w:r>
      <w:r w:rsidR="00232CF1" w:rsidRPr="00206086">
        <w:t>.</w:t>
      </w:r>
    </w:p>
    <w:p w:rsidR="006748E6" w:rsidRPr="00206086" w:rsidRDefault="00601640" w:rsidP="008C452B">
      <w:pPr>
        <w:pStyle w:val="Heading2"/>
      </w:pPr>
      <w:r w:rsidRPr="00206086">
        <w:t>1.2</w:t>
      </w:r>
      <w:r w:rsidR="00422DA1" w:rsidRPr="00206086">
        <w:t>:</w:t>
      </w:r>
      <w:r w:rsidR="000E429E">
        <w:t xml:space="preserve"> </w:t>
      </w:r>
      <w:r w:rsidR="00376F2A" w:rsidRPr="00206086">
        <w:t xml:space="preserve">The </w:t>
      </w:r>
      <w:r w:rsidR="006748E6" w:rsidRPr="00206086">
        <w:t xml:space="preserve">2005 Review </w:t>
      </w:r>
      <w:r w:rsidR="000C6E1E" w:rsidRPr="00206086">
        <w:t xml:space="preserve">of </w:t>
      </w:r>
      <w:r w:rsidR="006053B5" w:rsidRPr="00206086">
        <w:t>Forecasting the Nominal Economy and Tax</w:t>
      </w:r>
      <w:r w:rsidR="00E1096C">
        <w:t>ation</w:t>
      </w:r>
      <w:r w:rsidR="005E1733" w:rsidRPr="00206086">
        <w:t xml:space="preserve"> </w:t>
      </w:r>
      <w:r w:rsidR="006053B5" w:rsidRPr="00206086">
        <w:t>Revenue</w:t>
      </w:r>
    </w:p>
    <w:p w:rsidR="008B41C5" w:rsidRPr="00206086" w:rsidRDefault="00BA0022" w:rsidP="008C452B">
      <w:r w:rsidRPr="00206086">
        <w:t>As discussed, p</w:t>
      </w:r>
      <w:r w:rsidR="008B41C5" w:rsidRPr="00206086">
        <w:t>art of the process of improving forecasts is reviewing past forecasting performance</w:t>
      </w:r>
      <w:r w:rsidR="00F5540D" w:rsidRPr="00206086">
        <w:t xml:space="preserve">, </w:t>
      </w:r>
      <w:r w:rsidR="00934696" w:rsidRPr="00206086">
        <w:t xml:space="preserve">examining </w:t>
      </w:r>
      <w:r w:rsidR="00F5540D" w:rsidRPr="00206086">
        <w:t xml:space="preserve">the reasons for forecasting errors </w:t>
      </w:r>
      <w:r w:rsidR="008B41C5" w:rsidRPr="00206086">
        <w:t xml:space="preserve">and </w:t>
      </w:r>
      <w:r w:rsidR="00F5540D" w:rsidRPr="00206086">
        <w:t xml:space="preserve">identifying areas where </w:t>
      </w:r>
      <w:r w:rsidR="008B41C5" w:rsidRPr="00206086">
        <w:t>forecasting methodology</w:t>
      </w:r>
      <w:r w:rsidR="00DB2F1F" w:rsidRPr="00206086">
        <w:t xml:space="preserve"> </w:t>
      </w:r>
      <w:r w:rsidR="00F5540D" w:rsidRPr="00206086">
        <w:t>can be improved</w:t>
      </w:r>
      <w:r w:rsidR="003D31DD">
        <w:t xml:space="preserve">. </w:t>
      </w:r>
    </w:p>
    <w:p w:rsidR="005D775D" w:rsidRPr="00206086" w:rsidRDefault="005D775D" w:rsidP="008C452B">
      <w:r w:rsidRPr="00206086">
        <w:t>Treasury</w:t>
      </w:r>
      <w:r w:rsidR="003D31DD">
        <w:t>’</w:t>
      </w:r>
      <w:r w:rsidRPr="00206086">
        <w:t xml:space="preserve">s forecasting of the </w:t>
      </w:r>
      <w:r w:rsidR="005D1219" w:rsidRPr="00206086">
        <w:t>macro</w:t>
      </w:r>
      <w:r w:rsidR="006053B5" w:rsidRPr="00206086">
        <w:t xml:space="preserve">economy </w:t>
      </w:r>
      <w:r w:rsidRPr="00206086">
        <w:t>and revenue operates in an environment of continuous evaluation and development</w:t>
      </w:r>
      <w:r w:rsidR="003D31DD">
        <w:t xml:space="preserve">. </w:t>
      </w:r>
      <w:r w:rsidRPr="00206086">
        <w:t xml:space="preserve">The forecasts are regularly subjected to internal </w:t>
      </w:r>
      <w:r w:rsidR="00C875C2" w:rsidRPr="00206086">
        <w:t>review</w:t>
      </w:r>
      <w:r w:rsidR="00C875C2">
        <w:t>,</w:t>
      </w:r>
      <w:r w:rsidRPr="00206086">
        <w:t xml:space="preserve"> and to </w:t>
      </w:r>
      <w:r w:rsidR="00C875C2">
        <w:t xml:space="preserve">formal peer </w:t>
      </w:r>
      <w:r w:rsidRPr="00206086">
        <w:t>review</w:t>
      </w:r>
      <w:r w:rsidR="00290F06" w:rsidRPr="00206086">
        <w:t xml:space="preserve"> by other government agencies</w:t>
      </w:r>
      <w:r w:rsidRPr="00206086">
        <w:t xml:space="preserve"> as part of the quarterly Joint Economic Forecasting Group (JEFG) meetings</w:t>
      </w:r>
      <w:r w:rsidR="003D31DD">
        <w:t xml:space="preserve">. </w:t>
      </w:r>
      <w:r w:rsidRPr="00206086">
        <w:t>However, from time to time, it is also valuable to formally take stock of the Department</w:t>
      </w:r>
      <w:r w:rsidR="003D31DD">
        <w:t>’</w:t>
      </w:r>
      <w:r w:rsidRPr="00206086">
        <w:t>s forecasting capability and performance</w:t>
      </w:r>
      <w:r w:rsidR="003D31DD">
        <w:t xml:space="preserve">. </w:t>
      </w:r>
    </w:p>
    <w:p w:rsidR="003C0B8A" w:rsidRPr="00206086" w:rsidRDefault="00151279" w:rsidP="008C452B">
      <w:r w:rsidRPr="00206086">
        <w:lastRenderedPageBreak/>
        <w:t xml:space="preserve">The most recent major </w:t>
      </w:r>
      <w:r w:rsidR="006053B5" w:rsidRPr="00206086">
        <w:t xml:space="preserve">internal </w:t>
      </w:r>
      <w:r w:rsidRPr="00206086">
        <w:t>review of Treasury</w:t>
      </w:r>
      <w:r w:rsidR="003D31DD">
        <w:t>’</w:t>
      </w:r>
      <w:r w:rsidRPr="00206086">
        <w:t xml:space="preserve">s forecasting performance was </w:t>
      </w:r>
      <w:r w:rsidR="00FB0D97">
        <w:t xml:space="preserve">the </w:t>
      </w:r>
      <w:r w:rsidR="00B83A88" w:rsidRPr="00206086">
        <w:t xml:space="preserve">Review </w:t>
      </w:r>
      <w:r w:rsidR="006053B5" w:rsidRPr="00206086">
        <w:t>of Forecasting the Nominal Economy and Taxation Revenue</w:t>
      </w:r>
      <w:r w:rsidR="006053B5" w:rsidRPr="00206086">
        <w:rPr>
          <w:b/>
        </w:rPr>
        <w:t xml:space="preserve"> </w:t>
      </w:r>
      <w:r w:rsidR="00B83A88" w:rsidRPr="00206086">
        <w:t>(</w:t>
      </w:r>
      <w:r w:rsidR="00FB0D97">
        <w:t xml:space="preserve">the </w:t>
      </w:r>
      <w:r w:rsidR="00B83A88" w:rsidRPr="00965A62">
        <w:t>2005</w:t>
      </w:r>
      <w:r w:rsidR="008151E7" w:rsidRPr="00965A62">
        <w:t> </w:t>
      </w:r>
      <w:r w:rsidR="00B83A88" w:rsidRPr="00965A62">
        <w:t>Review</w:t>
      </w:r>
      <w:r w:rsidR="00B83A88" w:rsidRPr="00206086">
        <w:t>)</w:t>
      </w:r>
      <w:r w:rsidR="003D31DD">
        <w:t xml:space="preserve">. </w:t>
      </w:r>
      <w:r w:rsidR="002A6FE6" w:rsidRPr="00206086">
        <w:t xml:space="preserve">It </w:t>
      </w:r>
      <w:r w:rsidR="009079DC" w:rsidRPr="00206086">
        <w:t xml:space="preserve">was </w:t>
      </w:r>
      <w:r w:rsidR="003C0B8A" w:rsidRPr="00206086">
        <w:t xml:space="preserve">commissioned </w:t>
      </w:r>
      <w:r w:rsidR="00310F2D" w:rsidRPr="00206086">
        <w:t xml:space="preserve">in 2005 </w:t>
      </w:r>
      <w:r w:rsidR="003C0B8A" w:rsidRPr="00206086">
        <w:t>in response to significant upward revisions to successive published forecasts of Australian Government taxation revenue</w:t>
      </w:r>
      <w:r w:rsidRPr="00206086">
        <w:t xml:space="preserve"> over a number of years</w:t>
      </w:r>
      <w:r w:rsidR="003C0B8A" w:rsidRPr="00206086">
        <w:t>, which had drawn into question the quality of Treasury</w:t>
      </w:r>
      <w:r w:rsidR="003D31DD">
        <w:t>’</w:t>
      </w:r>
      <w:r w:rsidR="003C0B8A" w:rsidRPr="00206086">
        <w:t>s forecasts</w:t>
      </w:r>
      <w:r w:rsidR="005D1219" w:rsidRPr="00206086">
        <w:t xml:space="preserve"> at the time</w:t>
      </w:r>
      <w:r w:rsidR="003C0B8A" w:rsidRPr="00206086">
        <w:t>.</w:t>
      </w:r>
      <w:r w:rsidR="00376E4C" w:rsidRPr="00206086">
        <w:rPr>
          <w:rStyle w:val="FootnoteReference"/>
        </w:rPr>
        <w:footnoteReference w:id="2"/>
      </w:r>
    </w:p>
    <w:p w:rsidR="003C0B8A" w:rsidRPr="00206086" w:rsidRDefault="00F56851" w:rsidP="008C452B">
      <w:r w:rsidRPr="00206086">
        <w:t xml:space="preserve">The major </w:t>
      </w:r>
      <w:r w:rsidR="003C0B8A" w:rsidRPr="00206086">
        <w:t xml:space="preserve">findings of the </w:t>
      </w:r>
      <w:r w:rsidR="003C0B8A" w:rsidRPr="00965A62">
        <w:t>2005 Review</w:t>
      </w:r>
      <w:r w:rsidR="003C0B8A" w:rsidRPr="00206086">
        <w:t xml:space="preserve"> </w:t>
      </w:r>
      <w:r w:rsidR="00E153A7" w:rsidRPr="00206086">
        <w:t xml:space="preserve">related to </w:t>
      </w:r>
      <w:r w:rsidR="001C78F6" w:rsidRPr="00206086">
        <w:t xml:space="preserve">the </w:t>
      </w:r>
      <w:r w:rsidR="00E153A7" w:rsidRPr="00206086">
        <w:t xml:space="preserve">revenue </w:t>
      </w:r>
      <w:r w:rsidR="00934696" w:rsidRPr="00206086">
        <w:t xml:space="preserve">forecasts and revenue </w:t>
      </w:r>
      <w:r w:rsidR="00E153A7" w:rsidRPr="00206086">
        <w:t>forecast</w:t>
      </w:r>
      <w:r w:rsidR="00934696" w:rsidRPr="00206086">
        <w:t>ing methodology</w:t>
      </w:r>
      <w:r w:rsidR="00E153A7" w:rsidRPr="00206086">
        <w:t xml:space="preserve"> and </w:t>
      </w:r>
      <w:r w:rsidR="003C0B8A" w:rsidRPr="00206086">
        <w:t>included that:</w:t>
      </w:r>
    </w:p>
    <w:p w:rsidR="003C0B8A" w:rsidRPr="008C452B" w:rsidRDefault="001D255D" w:rsidP="008C452B">
      <w:pPr>
        <w:pStyle w:val="Bullet"/>
      </w:pPr>
      <w:r w:rsidRPr="00206086">
        <w:t>t</w:t>
      </w:r>
      <w:r w:rsidR="003C0B8A" w:rsidRPr="00206086">
        <w:t xml:space="preserve">he </w:t>
      </w:r>
      <w:r w:rsidR="00E153A7" w:rsidRPr="00206086">
        <w:t xml:space="preserve">underestimation in </w:t>
      </w:r>
      <w:r w:rsidR="001C78F6" w:rsidRPr="00206086">
        <w:t xml:space="preserve">the </w:t>
      </w:r>
      <w:r w:rsidR="00E153A7" w:rsidRPr="00206086">
        <w:t>Treasury</w:t>
      </w:r>
      <w:r w:rsidR="003D31DD">
        <w:t>’</w:t>
      </w:r>
      <w:r w:rsidR="00E153A7" w:rsidRPr="00206086">
        <w:t xml:space="preserve">s </w:t>
      </w:r>
      <w:r w:rsidR="003C0B8A" w:rsidRPr="00206086">
        <w:t xml:space="preserve">revenue </w:t>
      </w:r>
      <w:r w:rsidR="00E153A7" w:rsidRPr="00206086">
        <w:t xml:space="preserve">forecasts </w:t>
      </w:r>
      <w:r w:rsidR="001129C3" w:rsidRPr="00206086">
        <w:t xml:space="preserve">appeared to </w:t>
      </w:r>
      <w:r w:rsidR="003C0B8A" w:rsidRPr="00206086">
        <w:t>reflect</w:t>
      </w:r>
      <w:r w:rsidR="00E153A7" w:rsidRPr="00206086">
        <w:t xml:space="preserve"> a series of </w:t>
      </w:r>
      <w:r w:rsidR="003C0B8A" w:rsidRPr="00206086">
        <w:t>conservative b</w:t>
      </w:r>
      <w:r w:rsidR="003C0B8A" w:rsidRPr="008C452B">
        <w:t xml:space="preserve">iases </w:t>
      </w:r>
      <w:r w:rsidR="00E153A7" w:rsidRPr="008C452B">
        <w:t>in the revenue forecasting process, combined with technical assumptions that impl</w:t>
      </w:r>
      <w:r w:rsidR="005D1219" w:rsidRPr="008C452B">
        <w:t>ied</w:t>
      </w:r>
      <w:r w:rsidR="00E153A7" w:rsidRPr="008C452B">
        <w:t xml:space="preserve"> that forecast revenue growth </w:t>
      </w:r>
      <w:r w:rsidR="000D0663" w:rsidRPr="008C452B">
        <w:t>was</w:t>
      </w:r>
      <w:r w:rsidR="00E153A7" w:rsidRPr="008C452B">
        <w:t xml:space="preserve"> </w:t>
      </w:r>
      <w:r w:rsidR="005D1219" w:rsidRPr="008C452B">
        <w:t>insuf</w:t>
      </w:r>
      <w:r w:rsidR="00D03960" w:rsidRPr="008C452B">
        <w:t>f</w:t>
      </w:r>
      <w:r w:rsidR="005D1219" w:rsidRPr="008C452B">
        <w:t xml:space="preserve">iciently </w:t>
      </w:r>
      <w:r w:rsidR="00E153A7" w:rsidRPr="008C452B">
        <w:t>sensitive to nominal GDP growth</w:t>
      </w:r>
      <w:r w:rsidR="003C0B8A" w:rsidRPr="008C452B">
        <w:t>;</w:t>
      </w:r>
    </w:p>
    <w:p w:rsidR="003C0B8A" w:rsidRPr="008C452B" w:rsidRDefault="001D255D" w:rsidP="008C452B">
      <w:pPr>
        <w:pStyle w:val="Bullet"/>
      </w:pPr>
      <w:r w:rsidRPr="008C452B">
        <w:t xml:space="preserve">Treasury had </w:t>
      </w:r>
      <w:r w:rsidR="003C0B8A" w:rsidRPr="008C452B">
        <w:t>an inadequate understanding of the relationship between the nominal economy and taxation revenue</w:t>
      </w:r>
      <w:r w:rsidR="00151279" w:rsidRPr="008C452B">
        <w:t>;</w:t>
      </w:r>
      <w:r w:rsidR="003C0B8A" w:rsidRPr="008C452B">
        <w:t xml:space="preserve"> </w:t>
      </w:r>
      <w:r w:rsidR="00E153A7" w:rsidRPr="008C452B">
        <w:t>and</w:t>
      </w:r>
    </w:p>
    <w:p w:rsidR="003C0B8A" w:rsidRPr="00206086" w:rsidRDefault="003C0B8A" w:rsidP="008C452B">
      <w:pPr>
        <w:pStyle w:val="Bullet"/>
      </w:pPr>
      <w:r w:rsidRPr="008C452B">
        <w:t>Treasury</w:t>
      </w:r>
      <w:r w:rsidR="003D31DD">
        <w:t>’</w:t>
      </w:r>
      <w:r w:rsidRPr="008C452B">
        <w:t>s capacity to undertake meaningful analysis of taxation revenue had been severely hampered by un</w:t>
      </w:r>
      <w:r w:rsidRPr="00206086">
        <w:t>derinvestment in taxation revenue data</w:t>
      </w:r>
      <w:r w:rsidR="00E153A7" w:rsidRPr="00206086">
        <w:t>.</w:t>
      </w:r>
    </w:p>
    <w:p w:rsidR="00B15B83" w:rsidRPr="00206086" w:rsidRDefault="003C0B8A" w:rsidP="00206086">
      <w:pPr>
        <w:tabs>
          <w:tab w:val="num" w:pos="567"/>
          <w:tab w:val="left" w:pos="7372"/>
        </w:tabs>
      </w:pPr>
      <w:r w:rsidRPr="00206086">
        <w:t>In response to the</w:t>
      </w:r>
      <w:r w:rsidR="00B15B83" w:rsidRPr="00206086">
        <w:t>se findings,</w:t>
      </w:r>
      <w:r w:rsidRPr="00206086">
        <w:t xml:space="preserve"> </w:t>
      </w:r>
      <w:r w:rsidR="00221FB2" w:rsidRPr="00206086">
        <w:t>Treasury</w:t>
      </w:r>
      <w:r w:rsidR="003D31DD">
        <w:t>’</w:t>
      </w:r>
      <w:r w:rsidR="00221FB2" w:rsidRPr="00206086">
        <w:t xml:space="preserve">s Executive Board established a dedicated team to </w:t>
      </w:r>
      <w:r w:rsidR="00B15B83" w:rsidRPr="00206086">
        <w:t xml:space="preserve">implement the recommendations of </w:t>
      </w:r>
      <w:r w:rsidR="00710124">
        <w:t xml:space="preserve">the </w:t>
      </w:r>
      <w:r w:rsidR="00B15B83" w:rsidRPr="00FB0D97">
        <w:t>2005 Review</w:t>
      </w:r>
      <w:r w:rsidR="00B15B83" w:rsidRPr="00206086">
        <w:t xml:space="preserve"> that were </w:t>
      </w:r>
      <w:r w:rsidR="001C78F6" w:rsidRPr="00206086">
        <w:t xml:space="preserve">designed to </w:t>
      </w:r>
      <w:r w:rsidR="00232C57" w:rsidRPr="00206086">
        <w:t>overhaul</w:t>
      </w:r>
      <w:r w:rsidR="00221FB2" w:rsidRPr="00206086">
        <w:t xml:space="preserve"> the </w:t>
      </w:r>
      <w:r w:rsidR="00483E2E" w:rsidRPr="00206086">
        <w:t xml:space="preserve">data and </w:t>
      </w:r>
      <w:r w:rsidR="00221FB2" w:rsidRPr="00206086">
        <w:t>methodology used to forecast taxation revenue</w:t>
      </w:r>
      <w:r w:rsidR="003D31DD">
        <w:t xml:space="preserve">. </w:t>
      </w:r>
      <w:r w:rsidR="001C78F6" w:rsidRPr="00206086">
        <w:t xml:space="preserve">The team </w:t>
      </w:r>
      <w:r w:rsidR="00742901" w:rsidRPr="00206086">
        <w:t xml:space="preserve">subsequently </w:t>
      </w:r>
      <w:r w:rsidR="00221FB2" w:rsidRPr="00206086">
        <w:t xml:space="preserve">made </w:t>
      </w:r>
      <w:r w:rsidRPr="00206086">
        <w:t xml:space="preserve">major investments </w:t>
      </w:r>
      <w:r w:rsidR="00B15B83" w:rsidRPr="00206086">
        <w:t xml:space="preserve">in </w:t>
      </w:r>
      <w:r w:rsidRPr="00206086">
        <w:t>the quality of taxation revenue data sets and taxation revenue forecasting methodology</w:t>
      </w:r>
      <w:r w:rsidR="00221FB2" w:rsidRPr="00206086">
        <w:t xml:space="preserve"> over an eighteen month period</w:t>
      </w:r>
      <w:r w:rsidR="003D31DD">
        <w:t xml:space="preserve">. </w:t>
      </w:r>
    </w:p>
    <w:p w:rsidR="00B15B83" w:rsidRPr="00206086" w:rsidRDefault="00E153A7" w:rsidP="00206086">
      <w:pPr>
        <w:tabs>
          <w:tab w:val="num" w:pos="567"/>
          <w:tab w:val="left" w:pos="7372"/>
        </w:tabs>
      </w:pPr>
      <w:r w:rsidRPr="00206086">
        <w:t xml:space="preserve">The </w:t>
      </w:r>
      <w:r w:rsidRPr="00965A62">
        <w:t>2005 Review</w:t>
      </w:r>
      <w:r w:rsidRPr="00206086">
        <w:t xml:space="preserve"> also made </w:t>
      </w:r>
      <w:r w:rsidR="00AA4147" w:rsidRPr="00206086">
        <w:t xml:space="preserve">a number of </w:t>
      </w:r>
      <w:r w:rsidRPr="00206086">
        <w:t>recommendations designed to</w:t>
      </w:r>
      <w:r w:rsidR="00AA4147" w:rsidRPr="00206086">
        <w:t xml:space="preserve"> </w:t>
      </w:r>
      <w:r w:rsidRPr="00206086">
        <w:t xml:space="preserve">improve the </w:t>
      </w:r>
      <w:r w:rsidR="00310F2D" w:rsidRPr="00206086">
        <w:t xml:space="preserve">professional interactions </w:t>
      </w:r>
      <w:r w:rsidRPr="00206086">
        <w:t>between the economic and revenue forecasters</w:t>
      </w:r>
      <w:r w:rsidR="00AA4147" w:rsidRPr="00206086">
        <w:t xml:space="preserve">; </w:t>
      </w:r>
      <w:r w:rsidR="00AF4D20" w:rsidRPr="00206086">
        <w:t xml:space="preserve">to </w:t>
      </w:r>
      <w:r w:rsidR="00AA4147" w:rsidRPr="00206086">
        <w:t xml:space="preserve">enhance </w:t>
      </w:r>
      <w:r w:rsidR="00B71CC8" w:rsidRPr="00206086">
        <w:t xml:space="preserve">the skill sets of the revenue forecasters; and to </w:t>
      </w:r>
      <w:r w:rsidR="00AA4147" w:rsidRPr="00206086">
        <w:t>increase</w:t>
      </w:r>
      <w:r w:rsidR="00B71CC8" w:rsidRPr="00206086">
        <w:t xml:space="preserve"> the emphasis given to the nominal economy forecasts in the economic forecasting area</w:t>
      </w:r>
      <w:r w:rsidR="003D31DD">
        <w:t xml:space="preserve">. </w:t>
      </w:r>
      <w:r w:rsidR="00AA4147" w:rsidRPr="00206086">
        <w:t>T</w:t>
      </w:r>
      <w:r w:rsidR="00B15B83" w:rsidRPr="00206086">
        <w:t xml:space="preserve">he recommendations of </w:t>
      </w:r>
      <w:r w:rsidR="005D1219" w:rsidRPr="00206086">
        <w:t xml:space="preserve">the 2005 </w:t>
      </w:r>
      <w:r w:rsidR="009F5A76">
        <w:t>R</w:t>
      </w:r>
      <w:r w:rsidR="00B15B83" w:rsidRPr="00206086">
        <w:t xml:space="preserve">eview are </w:t>
      </w:r>
      <w:r w:rsidR="000D1F55">
        <w:t>at Attachment A</w:t>
      </w:r>
      <w:r w:rsidR="00B15B83" w:rsidRPr="00206086">
        <w:t>, together with an assessment of progress made towards the</w:t>
      </w:r>
      <w:r w:rsidR="00B71CC8" w:rsidRPr="00206086">
        <w:t>ir</w:t>
      </w:r>
      <w:r w:rsidR="00B15B83" w:rsidRPr="00206086">
        <w:t xml:space="preserve"> implementation</w:t>
      </w:r>
      <w:r w:rsidR="003D31DD">
        <w:t>.</w:t>
      </w:r>
    </w:p>
    <w:p w:rsidR="00864677" w:rsidRPr="00206086" w:rsidRDefault="00601640" w:rsidP="008C452B">
      <w:pPr>
        <w:pStyle w:val="Heading2"/>
      </w:pPr>
      <w:r w:rsidRPr="00206086">
        <w:t>1.3</w:t>
      </w:r>
      <w:r w:rsidR="00422DA1" w:rsidRPr="00206086">
        <w:t>:</w:t>
      </w:r>
      <w:r w:rsidR="000E429E">
        <w:t xml:space="preserve"> </w:t>
      </w:r>
      <w:r w:rsidR="00864677" w:rsidRPr="00206086">
        <w:t>Recent forecasting challenges</w:t>
      </w:r>
    </w:p>
    <w:p w:rsidR="000A07D6" w:rsidRPr="0059739F" w:rsidRDefault="000A07D6" w:rsidP="00206086">
      <w:r w:rsidRPr="00206086">
        <w:t xml:space="preserve">The period since the </w:t>
      </w:r>
      <w:r w:rsidRPr="00965A62">
        <w:t>2005 Review</w:t>
      </w:r>
      <w:r w:rsidRPr="00206086">
        <w:t xml:space="preserve"> has been challenging for both economic and revenue forecasting</w:t>
      </w:r>
      <w:r w:rsidR="003D31DD">
        <w:t xml:space="preserve">. </w:t>
      </w:r>
      <w:r w:rsidRPr="00206086">
        <w:t>Two major developments, in particular, stand out</w:t>
      </w:r>
      <w:r w:rsidR="003D31DD">
        <w:t xml:space="preserve">. </w:t>
      </w:r>
    </w:p>
    <w:p w:rsidR="00C775AE" w:rsidRPr="00206086" w:rsidRDefault="00C775AE" w:rsidP="00206086">
      <w:r w:rsidRPr="00206086">
        <w:t xml:space="preserve">The first of these relates to </w:t>
      </w:r>
      <w:r w:rsidR="003D1E9A" w:rsidRPr="00206086">
        <w:t xml:space="preserve">rapid </w:t>
      </w:r>
      <w:r w:rsidR="001530CC" w:rsidRPr="00206086">
        <w:t xml:space="preserve">rates of </w:t>
      </w:r>
      <w:r w:rsidR="00757AEB" w:rsidRPr="00206086">
        <w:t xml:space="preserve">industrialisation in Asia, particularly in </w:t>
      </w:r>
      <w:r w:rsidR="003D1E9A" w:rsidRPr="00206086">
        <w:t>China</w:t>
      </w:r>
      <w:r w:rsidR="00757AEB" w:rsidRPr="00206086">
        <w:t xml:space="preserve">, which increased worldwide demand for natural resources and </w:t>
      </w:r>
      <w:r w:rsidR="00B921D2" w:rsidRPr="00206086">
        <w:t>in turn</w:t>
      </w:r>
      <w:r w:rsidR="000A6841" w:rsidRPr="00206086">
        <w:t>,</w:t>
      </w:r>
      <w:r w:rsidR="00B921D2" w:rsidRPr="00206086">
        <w:t xml:space="preserve"> </w:t>
      </w:r>
      <w:r w:rsidR="00011C1E" w:rsidRPr="00206086">
        <w:t xml:space="preserve">underpinned </w:t>
      </w:r>
      <w:r w:rsidR="00511B2F" w:rsidRPr="00206086">
        <w:t xml:space="preserve">an investment boom and </w:t>
      </w:r>
      <w:r w:rsidR="00011C1E" w:rsidRPr="00206086">
        <w:t xml:space="preserve">a sharp rise in </w:t>
      </w:r>
      <w:r w:rsidR="00757AEB" w:rsidRPr="00206086">
        <w:t xml:space="preserve">output prices in the mining sector </w:t>
      </w:r>
      <w:r w:rsidR="000A6841" w:rsidRPr="00206086">
        <w:t>over an extended period</w:t>
      </w:r>
      <w:r w:rsidR="003D31DD">
        <w:t xml:space="preserve">. </w:t>
      </w:r>
      <w:r w:rsidR="001A4F10" w:rsidRPr="00206086">
        <w:t>In common</w:t>
      </w:r>
      <w:r w:rsidR="005D1219" w:rsidRPr="00206086">
        <w:t xml:space="preserve"> with other forecasters, </w:t>
      </w:r>
      <w:r w:rsidR="008E0370" w:rsidRPr="00206086">
        <w:t xml:space="preserve">Treasury </w:t>
      </w:r>
      <w:r w:rsidR="001530CC" w:rsidRPr="00206086">
        <w:t xml:space="preserve">underestimated </w:t>
      </w:r>
      <w:r w:rsidRPr="00206086">
        <w:t xml:space="preserve">the extent of the </w:t>
      </w:r>
      <w:r w:rsidR="005A7A03" w:rsidRPr="00206086">
        <w:t xml:space="preserve">resultant </w:t>
      </w:r>
      <w:r w:rsidRPr="00206086">
        <w:t xml:space="preserve">terms of trade boom </w:t>
      </w:r>
      <w:r w:rsidR="005A7A03" w:rsidRPr="00206086">
        <w:t xml:space="preserve">in Australia </w:t>
      </w:r>
      <w:r w:rsidRPr="00206086">
        <w:t>through the mid</w:t>
      </w:r>
      <w:r w:rsidR="00D83DF2">
        <w:noBreakHyphen/>
      </w:r>
      <w:r w:rsidRPr="00206086">
        <w:t>2000s</w:t>
      </w:r>
      <w:r w:rsidR="005F6E77" w:rsidRPr="00206086">
        <w:t xml:space="preserve"> (see </w:t>
      </w:r>
      <w:r w:rsidR="00931D06">
        <w:t>Figure</w:t>
      </w:r>
      <w:r w:rsidR="005F6E77" w:rsidRPr="00206086">
        <w:t xml:space="preserve"> 1.1)</w:t>
      </w:r>
      <w:r w:rsidR="00E54916" w:rsidRPr="00206086">
        <w:t>, w</w:t>
      </w:r>
      <w:r w:rsidR="000A6841" w:rsidRPr="00206086">
        <w:t xml:space="preserve">hich led to the underestimation of </w:t>
      </w:r>
      <w:r w:rsidR="00E54916" w:rsidRPr="00206086">
        <w:t>nominal economic outcomes and taxation revenue</w:t>
      </w:r>
      <w:r w:rsidR="003D31DD">
        <w:t xml:space="preserve">. </w:t>
      </w:r>
    </w:p>
    <w:p w:rsidR="0040345D" w:rsidRPr="00A76EFF" w:rsidRDefault="0040345D" w:rsidP="0059739F">
      <w:pPr>
        <w:pStyle w:val="ChartMainHeading"/>
        <w:rPr>
          <w:rFonts w:eastAsiaTheme="minorHAnsi"/>
          <w:lang w:eastAsia="en-US"/>
        </w:rPr>
      </w:pPr>
      <w:r w:rsidRPr="00A76EFF">
        <w:rPr>
          <w:rFonts w:eastAsiaTheme="minorHAnsi"/>
          <w:lang w:eastAsia="en-US"/>
        </w:rPr>
        <w:lastRenderedPageBreak/>
        <w:t>Figure 1.1:</w:t>
      </w:r>
      <w:r w:rsidR="008C3830">
        <w:rPr>
          <w:rFonts w:eastAsiaTheme="minorHAnsi"/>
          <w:lang w:eastAsia="en-US"/>
        </w:rPr>
        <w:t xml:space="preserve"> </w:t>
      </w:r>
      <w:r w:rsidR="00953F70" w:rsidRPr="00420271">
        <w:rPr>
          <w:rFonts w:eastAsiaTheme="minorHAnsi"/>
          <w:lang w:eastAsia="en-US"/>
        </w:rPr>
        <w:t xml:space="preserve">Budget Forecasts </w:t>
      </w:r>
      <w:r w:rsidR="00953F70">
        <w:rPr>
          <w:rFonts w:eastAsiaTheme="minorHAnsi"/>
          <w:lang w:eastAsia="en-US"/>
        </w:rPr>
        <w:t>o</w:t>
      </w:r>
      <w:r w:rsidR="00953F70" w:rsidRPr="00420271">
        <w:rPr>
          <w:rFonts w:eastAsiaTheme="minorHAnsi"/>
          <w:lang w:eastAsia="en-US"/>
        </w:rPr>
        <w:t xml:space="preserve">f </w:t>
      </w:r>
      <w:r w:rsidR="00230EE8">
        <w:rPr>
          <w:rFonts w:eastAsiaTheme="minorHAnsi"/>
          <w:lang w:eastAsia="en-US"/>
        </w:rPr>
        <w:t>Australia</w:t>
      </w:r>
      <w:r w:rsidR="003D31DD">
        <w:rPr>
          <w:rFonts w:eastAsiaTheme="minorHAnsi"/>
          <w:lang w:eastAsia="en-US"/>
        </w:rPr>
        <w:t>’</w:t>
      </w:r>
      <w:r w:rsidR="00230EE8">
        <w:rPr>
          <w:rFonts w:eastAsiaTheme="minorHAnsi"/>
          <w:lang w:eastAsia="en-US"/>
        </w:rPr>
        <w:t xml:space="preserve">s </w:t>
      </w:r>
      <w:r w:rsidR="00953F70" w:rsidRPr="00420271">
        <w:rPr>
          <w:rFonts w:eastAsiaTheme="minorHAnsi"/>
          <w:lang w:eastAsia="en-US"/>
        </w:rPr>
        <w:t xml:space="preserve">Terms </w:t>
      </w:r>
      <w:r w:rsidR="00953F70">
        <w:rPr>
          <w:rFonts w:eastAsiaTheme="minorHAnsi"/>
          <w:lang w:eastAsia="en-US"/>
        </w:rPr>
        <w:t>o</w:t>
      </w:r>
      <w:r w:rsidR="00953F70" w:rsidRPr="00420271">
        <w:rPr>
          <w:rFonts w:eastAsiaTheme="minorHAnsi"/>
          <w:lang w:eastAsia="en-US"/>
        </w:rPr>
        <w:t>f Trade</w:t>
      </w:r>
    </w:p>
    <w:p w:rsidR="0059333D" w:rsidRPr="00A76EFF" w:rsidRDefault="00744183" w:rsidP="0059739F">
      <w:pPr>
        <w:pStyle w:val="ChartGraphic"/>
        <w:keepNext w:val="0"/>
      </w:pPr>
      <w:r>
        <w:fldChar w:fldCharType="begin" w:fldLock="1"/>
      </w:r>
      <w:r>
        <w:instrText xml:space="preserve"> LINK Excel.Sheet.8 "" "" \a \p </w:instrText>
      </w:r>
      <w:r w:rsidR="008C452B">
        <w:instrText xml:space="preserve"> \* MERGEFORMAT </w:instrText>
      </w:r>
      <w:r>
        <w:fldChar w:fldCharType="separate"/>
      </w:r>
      <w:r w:rsidR="00CA10F5">
        <w:object w:dxaOrig="8790" w:dyaOrig="3960">
          <v:shape id="_x0000_i1029" type="#_x0000_t75" alt="This figure plots Treasury’s Budget forecast level of Australia’s terms of trade against outcomes, beginning with the 2005-06 Budget.&#10;" style="width:439.5pt;height:199.9pt">
            <v:imagedata r:id="rId9" o:title=""/>
          </v:shape>
        </w:object>
      </w:r>
      <w:r>
        <w:fldChar w:fldCharType="end"/>
      </w:r>
    </w:p>
    <w:p w:rsidR="00601113" w:rsidRPr="00BA12EE" w:rsidRDefault="005E1CA5" w:rsidP="00965A62">
      <w:pPr>
        <w:pStyle w:val="ChartorTableNote"/>
        <w:spacing w:line="240" w:lineRule="auto"/>
      </w:pPr>
      <w:r>
        <w:t>N</w:t>
      </w:r>
      <w:r w:rsidRPr="00BA12EE">
        <w:t>ote</w:t>
      </w:r>
      <w:r w:rsidR="00601113" w:rsidRPr="00BA12EE">
        <w:t xml:space="preserve">: The </w:t>
      </w:r>
      <w:r w:rsidR="00A466C2">
        <w:t>figure</w:t>
      </w:r>
      <w:r w:rsidR="00601113" w:rsidRPr="00BA12EE">
        <w:t xml:space="preserve"> plots the forecast level of the terms of trade against outcomes</w:t>
      </w:r>
      <w:r w:rsidR="00601113">
        <w:t>, with the forecast level</w:t>
      </w:r>
      <w:r w:rsidR="00601113" w:rsidRPr="00BA12EE">
        <w:t xml:space="preserve"> derived from forecast growth rates </w:t>
      </w:r>
      <w:r w:rsidR="00601113">
        <w:t xml:space="preserve">of the terms of trade </w:t>
      </w:r>
      <w:r w:rsidR="00601113" w:rsidRPr="00BA12EE">
        <w:t>from successive Budgets, beginning with the 2005</w:t>
      </w:r>
      <w:r w:rsidR="00D83DF2">
        <w:noBreakHyphen/>
      </w:r>
      <w:r w:rsidR="00601113" w:rsidRPr="00BA12EE">
        <w:t>06 Budget.</w:t>
      </w:r>
    </w:p>
    <w:p w:rsidR="00DB2F1F" w:rsidRDefault="00A91FD3" w:rsidP="00542109">
      <w:pPr>
        <w:spacing w:before="360" w:after="360"/>
      </w:pPr>
      <w:r w:rsidRPr="00206086">
        <w:t xml:space="preserve">The </w:t>
      </w:r>
      <w:r w:rsidR="00C775AE" w:rsidRPr="00206086">
        <w:t xml:space="preserve">second of these relates to the </w:t>
      </w:r>
      <w:r w:rsidR="005F6E77" w:rsidRPr="00206086">
        <w:t xml:space="preserve">impact of the </w:t>
      </w:r>
      <w:r w:rsidRPr="00206086">
        <w:t>global financial crisis (GFC)</w:t>
      </w:r>
      <w:r w:rsidR="007051BF" w:rsidRPr="00206086">
        <w:t>, and its aftermath,</w:t>
      </w:r>
      <w:r w:rsidRPr="00206086">
        <w:t xml:space="preserve"> </w:t>
      </w:r>
      <w:r w:rsidR="005F6E77" w:rsidRPr="00206086">
        <w:t xml:space="preserve">on the Australian economy </w:t>
      </w:r>
      <w:r w:rsidRPr="00206086">
        <w:t>and taxation receipts</w:t>
      </w:r>
      <w:r w:rsidR="003D31DD">
        <w:t xml:space="preserve">. </w:t>
      </w:r>
      <w:r w:rsidR="006F5035" w:rsidRPr="00206086">
        <w:t xml:space="preserve">In common with other forecasters, </w:t>
      </w:r>
      <w:r w:rsidR="00E469F8" w:rsidRPr="00206086">
        <w:t>Treasury did not predict the onset of the GFC in 2008</w:t>
      </w:r>
      <w:r w:rsidR="00D83DF2">
        <w:noBreakHyphen/>
      </w:r>
      <w:r w:rsidR="00E469F8" w:rsidRPr="00206086">
        <w:t xml:space="preserve">09, and subsequently </w:t>
      </w:r>
      <w:r w:rsidR="004D35C5">
        <w:t>over</w:t>
      </w:r>
      <w:r w:rsidR="006F5035" w:rsidRPr="00206086">
        <w:t xml:space="preserve">estimated </w:t>
      </w:r>
      <w:r w:rsidR="0065201C" w:rsidRPr="00206086">
        <w:t xml:space="preserve">the impact of the GFC on </w:t>
      </w:r>
      <w:r w:rsidR="006F5035" w:rsidRPr="00206086">
        <w:t xml:space="preserve">economic </w:t>
      </w:r>
      <w:r w:rsidR="00E469F8" w:rsidRPr="00206086">
        <w:t>growth in 2009</w:t>
      </w:r>
      <w:r w:rsidR="00D83DF2">
        <w:noBreakHyphen/>
      </w:r>
      <w:r w:rsidR="00E469F8" w:rsidRPr="00206086">
        <w:t>10</w:t>
      </w:r>
      <w:r w:rsidR="003D31DD">
        <w:t xml:space="preserve">. </w:t>
      </w:r>
      <w:r w:rsidR="00E469F8" w:rsidRPr="00206086">
        <w:t xml:space="preserve">This </w:t>
      </w:r>
      <w:r w:rsidR="002F6F5D" w:rsidRPr="00206086">
        <w:t>created</w:t>
      </w:r>
      <w:r w:rsidR="00E469F8" w:rsidRPr="00206086">
        <w:t xml:space="preserve"> large macroeconomic </w:t>
      </w:r>
      <w:r w:rsidR="003E159F" w:rsidRPr="00206086">
        <w:t xml:space="preserve">and revenue </w:t>
      </w:r>
      <w:r w:rsidR="00E469F8" w:rsidRPr="00206086">
        <w:t>forecast errors</w:t>
      </w:r>
      <w:r w:rsidR="003D31DD">
        <w:t xml:space="preserve">. </w:t>
      </w:r>
      <w:r w:rsidR="00E469F8" w:rsidRPr="00206086">
        <w:t>In particular, in the 200</w:t>
      </w:r>
      <w:r w:rsidR="001E5482" w:rsidRPr="00206086">
        <w:t>9</w:t>
      </w:r>
      <w:r w:rsidR="00D83DF2">
        <w:noBreakHyphen/>
      </w:r>
      <w:r w:rsidR="00E469F8" w:rsidRPr="00206086">
        <w:t>1</w:t>
      </w:r>
      <w:r w:rsidR="001E5482" w:rsidRPr="00206086">
        <w:t>0</w:t>
      </w:r>
      <w:r w:rsidR="00E469F8" w:rsidRPr="00206086">
        <w:t xml:space="preserve"> Budget, at the height of a period of significant global </w:t>
      </w:r>
      <w:r w:rsidR="00FD79C6">
        <w:t xml:space="preserve">and domestic </w:t>
      </w:r>
      <w:r w:rsidR="00E469F8" w:rsidRPr="00206086">
        <w:t xml:space="preserve">pessimism, Treasury forecast a </w:t>
      </w:r>
      <w:r w:rsidR="00BD2D2A">
        <w:t xml:space="preserve">domestic </w:t>
      </w:r>
      <w:r w:rsidR="00E469F8" w:rsidRPr="00206086">
        <w:t>recession in 2009</w:t>
      </w:r>
      <w:r w:rsidR="00D83DF2">
        <w:noBreakHyphen/>
      </w:r>
      <w:r w:rsidR="00E469F8" w:rsidRPr="00206086">
        <w:t>10 that did not eventuate</w:t>
      </w:r>
      <w:r w:rsidR="003D31DD">
        <w:t xml:space="preserve">. </w:t>
      </w:r>
      <w:r w:rsidR="00323EE1" w:rsidRPr="00206086">
        <w:t xml:space="preserve">Treasury has </w:t>
      </w:r>
      <w:r w:rsidR="003E159F" w:rsidRPr="00206086">
        <w:t xml:space="preserve">also </w:t>
      </w:r>
      <w:r w:rsidR="00323EE1" w:rsidRPr="00206086">
        <w:t>overestimated revenue growth in recent years</w:t>
      </w:r>
      <w:r w:rsidR="00674C93" w:rsidRPr="00206086">
        <w:t>, reflecting the lingering effects of the GFC</w:t>
      </w:r>
      <w:r w:rsidR="003D31DD">
        <w:t xml:space="preserve">. </w:t>
      </w:r>
      <w:r w:rsidR="00DB2F1F" w:rsidRPr="00206086">
        <w:t>Even though Australia</w:t>
      </w:r>
      <w:r w:rsidR="003D31DD">
        <w:t>’</w:t>
      </w:r>
      <w:r w:rsidR="00323EE1" w:rsidRPr="00206086">
        <w:t xml:space="preserve">s nominal </w:t>
      </w:r>
      <w:r w:rsidR="00DB2F1F" w:rsidRPr="00206086">
        <w:t xml:space="preserve">economy </w:t>
      </w:r>
      <w:r w:rsidR="00323EE1" w:rsidRPr="00206086">
        <w:t xml:space="preserve">is </w:t>
      </w:r>
      <w:r w:rsidR="00846AF1" w:rsidRPr="00206086">
        <w:t xml:space="preserve">now </w:t>
      </w:r>
      <w:r w:rsidR="00D9617F" w:rsidRPr="00206086">
        <w:t xml:space="preserve">around 25 per cent </w:t>
      </w:r>
      <w:r w:rsidR="00DB7AD5" w:rsidRPr="00206086">
        <w:t>larger</w:t>
      </w:r>
      <w:r w:rsidR="00D9617F" w:rsidRPr="00206086">
        <w:t xml:space="preserve"> than in 2007</w:t>
      </w:r>
      <w:r w:rsidR="00D83DF2">
        <w:noBreakHyphen/>
      </w:r>
      <w:r w:rsidR="00D9617F" w:rsidRPr="00206086">
        <w:t>08</w:t>
      </w:r>
      <w:r w:rsidR="00DB2F1F" w:rsidRPr="00206086">
        <w:t xml:space="preserve">, tax receipts </w:t>
      </w:r>
      <w:r w:rsidR="00BA0304" w:rsidRPr="00206086">
        <w:t>are only around 11 per cent higher</w:t>
      </w:r>
      <w:r w:rsidR="00DE5A71" w:rsidRPr="00206086">
        <w:t xml:space="preserve">, </w:t>
      </w:r>
      <w:r w:rsidR="00BA0304" w:rsidRPr="00206086">
        <w:t xml:space="preserve">resulting in </w:t>
      </w:r>
      <w:r w:rsidR="00DE5A71" w:rsidRPr="00206086">
        <w:t>the tax</w:t>
      </w:r>
      <w:r w:rsidR="00D83DF2">
        <w:noBreakHyphen/>
      </w:r>
      <w:r w:rsidR="00DE5A71" w:rsidRPr="00206086">
        <w:t>to</w:t>
      </w:r>
      <w:r w:rsidR="00D83DF2">
        <w:noBreakHyphen/>
      </w:r>
      <w:r w:rsidR="00DE5A71" w:rsidRPr="00206086">
        <w:t xml:space="preserve">GDP ratio </w:t>
      </w:r>
      <w:r w:rsidR="00BA0304" w:rsidRPr="00206086">
        <w:t>being</w:t>
      </w:r>
      <w:r w:rsidR="00DB7AD5" w:rsidRPr="00206086">
        <w:t xml:space="preserve"> </w:t>
      </w:r>
      <w:r w:rsidR="0042222D" w:rsidRPr="00206086">
        <w:t xml:space="preserve">2.6 </w:t>
      </w:r>
      <w:r w:rsidR="00DE5A71" w:rsidRPr="00206086">
        <w:t>percent</w:t>
      </w:r>
      <w:r w:rsidR="00FD79C6">
        <w:t>age points</w:t>
      </w:r>
      <w:r w:rsidR="00DE5A71" w:rsidRPr="00206086">
        <w:t xml:space="preserve"> of GDP below its pre</w:t>
      </w:r>
      <w:r w:rsidR="00D83DF2">
        <w:noBreakHyphen/>
      </w:r>
      <w:r w:rsidR="00DE5A71" w:rsidRPr="00206086">
        <w:t>GFC level</w:t>
      </w:r>
      <w:r w:rsidR="008B5300" w:rsidRPr="00206086">
        <w:t xml:space="preserve"> (Figure</w:t>
      </w:r>
      <w:r w:rsidR="00765B29" w:rsidRPr="00206086">
        <w:t xml:space="preserve">s </w:t>
      </w:r>
      <w:r w:rsidR="008B5300" w:rsidRPr="00206086">
        <w:t>1.2</w:t>
      </w:r>
      <w:r w:rsidR="00765B29" w:rsidRPr="00206086">
        <w:t xml:space="preserve"> and 1.3</w:t>
      </w:r>
      <w:r w:rsidR="008B5300" w:rsidRPr="00206086">
        <w:t>)</w:t>
      </w:r>
      <w:r w:rsidR="00DB2F1F" w:rsidRPr="0020608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12"/>
      </w:tblGrid>
      <w:tr w:rsidR="00EE54C5" w:rsidTr="00997D80">
        <w:tc>
          <w:tcPr>
            <w:tcW w:w="4626" w:type="dxa"/>
            <w:shd w:val="clear" w:color="auto" w:fill="auto"/>
          </w:tcPr>
          <w:p w:rsidR="00EE54C5" w:rsidRPr="00955C18" w:rsidRDefault="00EE54C5" w:rsidP="00997D80">
            <w:pPr>
              <w:pStyle w:val="ChartMainHeading"/>
              <w:keepNext w:val="0"/>
              <w:spacing w:after="120"/>
            </w:pPr>
            <w:r w:rsidRPr="00A76EFF">
              <w:rPr>
                <w:rFonts w:eastAsiaTheme="minorHAnsi"/>
                <w:lang w:eastAsia="en-US"/>
              </w:rPr>
              <w:t>Figure 1.2:</w:t>
            </w:r>
            <w:r w:rsidR="008C3830">
              <w:rPr>
                <w:rFonts w:eastAsiaTheme="minorHAnsi"/>
                <w:lang w:eastAsia="en-US"/>
              </w:rPr>
              <w:t xml:space="preserve"> </w:t>
            </w:r>
            <w:r w:rsidRPr="00A76EFF">
              <w:rPr>
                <w:rFonts w:eastAsiaTheme="minorHAnsi"/>
                <w:lang w:eastAsia="en-US"/>
              </w:rPr>
              <w:t>Nominal GDP</w:t>
            </w:r>
          </w:p>
        </w:tc>
        <w:tc>
          <w:tcPr>
            <w:tcW w:w="4616" w:type="dxa"/>
            <w:shd w:val="clear" w:color="auto" w:fill="auto"/>
          </w:tcPr>
          <w:p w:rsidR="00EE54C5" w:rsidRPr="00955C18" w:rsidRDefault="00EE54C5" w:rsidP="00997D80">
            <w:pPr>
              <w:pStyle w:val="ChartMainHeading"/>
              <w:keepNext w:val="0"/>
              <w:spacing w:after="120"/>
            </w:pPr>
            <w:r w:rsidRPr="00420271">
              <w:rPr>
                <w:rFonts w:eastAsiaTheme="minorHAnsi"/>
                <w:lang w:eastAsia="en-US"/>
              </w:rPr>
              <w:t>Figure 1.3:</w:t>
            </w:r>
            <w:r w:rsidR="008C3830">
              <w:rPr>
                <w:rFonts w:eastAsiaTheme="minorHAnsi"/>
                <w:lang w:eastAsia="en-US"/>
              </w:rPr>
              <w:t xml:space="preserve"> </w:t>
            </w:r>
            <w:r w:rsidRPr="00420271">
              <w:rPr>
                <w:rFonts w:eastAsiaTheme="minorHAnsi"/>
                <w:lang w:eastAsia="en-US"/>
              </w:rPr>
              <w:t>Tax to G</w:t>
            </w:r>
            <w:r>
              <w:rPr>
                <w:rFonts w:eastAsiaTheme="minorHAnsi"/>
                <w:lang w:eastAsia="en-US"/>
              </w:rPr>
              <w:t>DP ratio</w:t>
            </w:r>
          </w:p>
        </w:tc>
      </w:tr>
      <w:tr w:rsidR="00EE54C5" w:rsidTr="00997D80">
        <w:trPr>
          <w:trHeight w:val="4827"/>
        </w:trPr>
        <w:tc>
          <w:tcPr>
            <w:tcW w:w="4626" w:type="dxa"/>
            <w:shd w:val="clear" w:color="auto" w:fill="auto"/>
          </w:tcPr>
          <w:p w:rsidR="00EE54C5" w:rsidRDefault="00CA10F5" w:rsidP="0059739F">
            <w:pPr>
              <w:pStyle w:val="ChartGraphic"/>
              <w:keepNext w:val="0"/>
            </w:pPr>
            <w:r>
              <w:rPr>
                <w:noProof/>
                <w:lang w:eastAsia="en-US"/>
              </w:rPr>
              <w:pict>
                <v:shape id="_x0000_s1038" type="#_x0000_t75" alt="This figure shows nominal GDP growth from 2007-08 to 2012-13 as forecast in the 2008-09 Budget and compares it to the nominal GDP growth rate in the 2012-13 Budget.&#10;" style="position:absolute;left:0;text-align:left;margin-left:6.2pt;margin-top:-477.25pt;width:226.5pt;height:226.5pt;z-index:251669504;mso-position-horizontal-relative:margin;mso-position-vertical-relative:margin">
                  <v:imagedata r:id="rId10" o:title=""/>
                  <w10:wrap type="square" anchorx="margin" anchory="margin"/>
                </v:shape>
                <o:OLEObject Type="Link" ProgID="Excel.Sheet.12" ShapeID="_x0000_s1038" DrawAspect="Content" r:id="rId11" UpdateMode="Always">
                  <o:LinkType>EnhancedMetaFile</o:LinkType>
                  <o:LockedField>false</o:LockedField>
                </o:OLEObject>
              </w:pict>
            </w:r>
          </w:p>
        </w:tc>
        <w:tc>
          <w:tcPr>
            <w:tcW w:w="4616" w:type="dxa"/>
            <w:shd w:val="clear" w:color="auto" w:fill="auto"/>
          </w:tcPr>
          <w:p w:rsidR="00EE54C5" w:rsidRDefault="00CA10F5" w:rsidP="0059739F">
            <w:pPr>
              <w:pStyle w:val="ChartGraphic"/>
              <w:keepNext w:val="0"/>
            </w:pPr>
            <w:r>
              <w:rPr>
                <w:noProof/>
                <w:lang w:eastAsia="en-US"/>
              </w:rPr>
              <w:pict>
                <v:shape id="_x0000_s1036" type="#_x0000_t75" alt="This figure shows total receipts, tax receipts, and tax receipts excluding GST as a proportion of GDP from 2000-01 to 2011-12.&#10;" style="position:absolute;left:0;text-align:left;margin-left:12.7pt;margin-top:-534.1pt;width:225.75pt;height:226.5pt;z-index:251668480;mso-position-horizontal-relative:margin;mso-position-vertical-relative:margin">
                  <v:imagedata r:id="rId12" o:title=""/>
                  <w10:wrap type="square" anchorx="margin" anchory="margin"/>
                </v:shape>
                <o:OLEObject Type="Link" ProgID="Excel.Sheet.12" ShapeID="_x0000_s1036" DrawAspect="Content" r:id="rId13" UpdateMode="Always">
                  <o:LinkType>EnhancedMetaFile</o:LinkType>
                  <o:LockedField>false</o:LockedField>
                </o:OLEObject>
              </w:pict>
            </w:r>
          </w:p>
        </w:tc>
      </w:tr>
    </w:tbl>
    <w:p w:rsidR="002B134E" w:rsidRPr="00A76EFF" w:rsidRDefault="00221D7D" w:rsidP="0059739F">
      <w:pPr>
        <w:pStyle w:val="Heading2"/>
        <w:keepNext w:val="0"/>
        <w:spacing w:before="360"/>
      </w:pPr>
      <w:r w:rsidRPr="00A76EFF">
        <w:lastRenderedPageBreak/>
        <w:t>1.4</w:t>
      </w:r>
      <w:r w:rsidR="00422DA1">
        <w:t>:</w:t>
      </w:r>
      <w:r w:rsidR="000E429E">
        <w:t xml:space="preserve"> </w:t>
      </w:r>
      <w:r w:rsidR="00376F2A" w:rsidRPr="00A76EFF">
        <w:t xml:space="preserve">The </w:t>
      </w:r>
      <w:r w:rsidR="002B134E" w:rsidRPr="00A76EFF">
        <w:t xml:space="preserve">Review </w:t>
      </w:r>
      <w:r w:rsidR="000C6E1E" w:rsidRPr="00A76EFF">
        <w:t xml:space="preserve">of Treasury </w:t>
      </w:r>
      <w:r w:rsidR="00641A35" w:rsidRPr="00A76EFF">
        <w:t>M</w:t>
      </w:r>
      <w:r w:rsidR="000C6E1E" w:rsidRPr="00A76EFF">
        <w:t>acroecon</w:t>
      </w:r>
      <w:r w:rsidR="008C72B2" w:rsidRPr="00A76EFF">
        <w:t>o</w:t>
      </w:r>
      <w:r w:rsidR="000C6E1E" w:rsidRPr="00A76EFF">
        <w:t xml:space="preserve">mic and </w:t>
      </w:r>
      <w:r w:rsidR="00641A35" w:rsidRPr="00A76EFF">
        <w:t>R</w:t>
      </w:r>
      <w:r w:rsidR="000C6E1E" w:rsidRPr="00A76EFF">
        <w:t xml:space="preserve">evenue </w:t>
      </w:r>
      <w:r w:rsidR="00641A35" w:rsidRPr="00A76EFF">
        <w:t>F</w:t>
      </w:r>
      <w:r w:rsidR="0059739F">
        <w:t>orecasting</w:t>
      </w:r>
    </w:p>
    <w:p w:rsidR="00BB47CC" w:rsidRPr="00206086" w:rsidRDefault="00547C91" w:rsidP="00206086">
      <w:pPr>
        <w:pStyle w:val="heading10"/>
        <w:spacing w:after="240" w:afterAutospacing="0" w:line="260" w:lineRule="exact"/>
        <w:rPr>
          <w:rStyle w:val="Strong"/>
          <w:rFonts w:ascii="Times New Roman" w:hAnsi="Times New Roman"/>
          <w:b/>
          <w:bCs w:val="0"/>
          <w:sz w:val="22"/>
          <w:szCs w:val="22"/>
        </w:rPr>
      </w:pPr>
      <w:r w:rsidRPr="00206086">
        <w:rPr>
          <w:rStyle w:val="Strong"/>
          <w:rFonts w:ascii="Times New Roman" w:hAnsi="Times New Roman"/>
          <w:sz w:val="22"/>
          <w:szCs w:val="22"/>
        </w:rPr>
        <w:t xml:space="preserve">Against this backdrop, </w:t>
      </w:r>
      <w:r w:rsidR="00BB47CC" w:rsidRPr="00206086">
        <w:rPr>
          <w:rStyle w:val="Strong"/>
          <w:rFonts w:ascii="Times New Roman" w:hAnsi="Times New Roman"/>
          <w:sz w:val="22"/>
          <w:szCs w:val="22"/>
        </w:rPr>
        <w:t xml:space="preserve">and </w:t>
      </w:r>
      <w:r w:rsidR="006F5035" w:rsidRPr="00206086">
        <w:rPr>
          <w:rStyle w:val="Strong"/>
          <w:rFonts w:ascii="Times New Roman" w:hAnsi="Times New Roman"/>
          <w:sz w:val="22"/>
          <w:szCs w:val="22"/>
        </w:rPr>
        <w:t xml:space="preserve">given </w:t>
      </w:r>
      <w:r w:rsidR="00BB47CC" w:rsidRPr="00206086">
        <w:rPr>
          <w:rStyle w:val="Strong"/>
          <w:rFonts w:ascii="Times New Roman" w:hAnsi="Times New Roman"/>
          <w:sz w:val="22"/>
          <w:szCs w:val="22"/>
        </w:rPr>
        <w:t xml:space="preserve">the time that has passed since the last major review, Treasury </w:t>
      </w:r>
      <w:r w:rsidR="00DE5A71" w:rsidRPr="00206086">
        <w:rPr>
          <w:rStyle w:val="Strong"/>
          <w:rFonts w:ascii="Times New Roman" w:hAnsi="Times New Roman"/>
          <w:sz w:val="22"/>
          <w:szCs w:val="22"/>
        </w:rPr>
        <w:t xml:space="preserve">decided </w:t>
      </w:r>
      <w:r w:rsidR="0095082A" w:rsidRPr="00206086">
        <w:rPr>
          <w:rStyle w:val="Strong"/>
          <w:rFonts w:ascii="Times New Roman" w:hAnsi="Times New Roman"/>
          <w:sz w:val="22"/>
          <w:szCs w:val="22"/>
        </w:rPr>
        <w:t xml:space="preserve">that 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it </w:t>
      </w:r>
      <w:r w:rsidR="00DE5A71" w:rsidRPr="00206086">
        <w:rPr>
          <w:rStyle w:val="Strong"/>
          <w:rFonts w:ascii="Times New Roman" w:hAnsi="Times New Roman"/>
          <w:sz w:val="22"/>
          <w:szCs w:val="22"/>
        </w:rPr>
        <w:t xml:space="preserve">was </w:t>
      </w:r>
      <w:r w:rsidR="00BB47CC" w:rsidRPr="00206086">
        <w:rPr>
          <w:rStyle w:val="Strong"/>
          <w:rFonts w:ascii="Times New Roman" w:hAnsi="Times New Roman"/>
          <w:sz w:val="22"/>
          <w:szCs w:val="22"/>
        </w:rPr>
        <w:t xml:space="preserve">again 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time to undertake </w:t>
      </w:r>
      <w:r w:rsidR="004C76B1" w:rsidRPr="00206086">
        <w:rPr>
          <w:rStyle w:val="Strong"/>
          <w:rFonts w:ascii="Times New Roman" w:hAnsi="Times New Roman"/>
          <w:sz w:val="22"/>
          <w:szCs w:val="22"/>
        </w:rPr>
        <w:t xml:space="preserve">a review 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of </w:t>
      </w:r>
      <w:r w:rsidR="00363057" w:rsidRPr="00206086">
        <w:rPr>
          <w:rStyle w:val="Strong"/>
          <w:rFonts w:ascii="Times New Roman" w:hAnsi="Times New Roman"/>
          <w:sz w:val="22"/>
          <w:szCs w:val="22"/>
        </w:rPr>
        <w:t>it</w:t>
      </w:r>
      <w:r w:rsidR="004C76B1" w:rsidRPr="00206086">
        <w:rPr>
          <w:rStyle w:val="Strong"/>
          <w:rFonts w:ascii="Times New Roman" w:hAnsi="Times New Roman"/>
          <w:sz w:val="22"/>
          <w:szCs w:val="22"/>
        </w:rPr>
        <w:t xml:space="preserve">s 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macroeconomic and revenue forecasting </w:t>
      </w:r>
      <w:r w:rsidR="004C76B1" w:rsidRPr="00206086">
        <w:rPr>
          <w:rStyle w:val="Strong"/>
          <w:rFonts w:ascii="Times New Roman" w:hAnsi="Times New Roman"/>
          <w:sz w:val="22"/>
          <w:szCs w:val="22"/>
        </w:rPr>
        <w:t>performance</w:t>
      </w:r>
      <w:r w:rsidR="003D31DD">
        <w:rPr>
          <w:rStyle w:val="Strong"/>
          <w:rFonts w:ascii="Times New Roman" w:hAnsi="Times New Roman"/>
          <w:sz w:val="22"/>
          <w:szCs w:val="22"/>
        </w:rPr>
        <w:t xml:space="preserve">. </w:t>
      </w:r>
    </w:p>
    <w:p w:rsidR="006905F8" w:rsidRPr="00206086" w:rsidRDefault="00BB47CC" w:rsidP="00206086">
      <w:pPr>
        <w:pStyle w:val="heading10"/>
        <w:spacing w:after="240" w:afterAutospacing="0" w:line="260" w:lineRule="exact"/>
        <w:rPr>
          <w:rStyle w:val="Strong"/>
          <w:rFonts w:ascii="Times New Roman" w:hAnsi="Times New Roman"/>
          <w:b/>
          <w:bCs w:val="0"/>
          <w:sz w:val="22"/>
          <w:szCs w:val="22"/>
        </w:rPr>
      </w:pPr>
      <w:r w:rsidRPr="00206086">
        <w:rPr>
          <w:rStyle w:val="Strong"/>
          <w:rFonts w:ascii="Times New Roman" w:hAnsi="Times New Roman"/>
          <w:sz w:val="22"/>
          <w:szCs w:val="22"/>
        </w:rPr>
        <w:t>T</w:t>
      </w:r>
      <w:r w:rsidR="0092391B" w:rsidRPr="00206086">
        <w:rPr>
          <w:rStyle w:val="Strong"/>
          <w:rFonts w:ascii="Times New Roman" w:hAnsi="Times New Roman"/>
          <w:sz w:val="22"/>
          <w:szCs w:val="22"/>
        </w:rPr>
        <w:t xml:space="preserve">he </w:t>
      </w:r>
      <w:r w:rsidR="0092391B" w:rsidRPr="00206086">
        <w:rPr>
          <w:rFonts w:ascii="Times New Roman" w:hAnsi="Times New Roman"/>
          <w:b w:val="0"/>
          <w:sz w:val="22"/>
          <w:szCs w:val="22"/>
        </w:rPr>
        <w:t>Review of Treasury Macroeconomic and Revenue Forecasting</w:t>
      </w:r>
      <w:r w:rsidR="0092391B" w:rsidRPr="00206086">
        <w:rPr>
          <w:rStyle w:val="Strong"/>
          <w:rFonts w:ascii="Times New Roman" w:hAnsi="Times New Roman"/>
          <w:sz w:val="22"/>
          <w:szCs w:val="22"/>
        </w:rPr>
        <w:t xml:space="preserve"> (</w:t>
      </w:r>
      <w:r w:rsidR="001564B3" w:rsidRPr="00206086">
        <w:rPr>
          <w:rStyle w:val="Strong"/>
          <w:rFonts w:ascii="Times New Roman" w:hAnsi="Times New Roman"/>
          <w:sz w:val="22"/>
          <w:szCs w:val="22"/>
        </w:rPr>
        <w:t xml:space="preserve">the </w:t>
      </w:r>
      <w:r w:rsidR="0092391B" w:rsidRPr="00965A62">
        <w:rPr>
          <w:rStyle w:val="Strong"/>
          <w:rFonts w:ascii="Times New Roman" w:hAnsi="Times New Roman"/>
          <w:sz w:val="22"/>
          <w:szCs w:val="22"/>
        </w:rPr>
        <w:t>Review</w:t>
      </w:r>
      <w:r w:rsidR="0092391B" w:rsidRPr="00206086">
        <w:rPr>
          <w:rStyle w:val="Strong"/>
          <w:rFonts w:ascii="Times New Roman" w:hAnsi="Times New Roman"/>
          <w:sz w:val="22"/>
          <w:szCs w:val="22"/>
        </w:rPr>
        <w:t>)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 </w:t>
      </w:r>
      <w:r w:rsidR="00AA68C0" w:rsidRPr="00206086">
        <w:rPr>
          <w:rStyle w:val="Strong"/>
          <w:rFonts w:ascii="Times New Roman" w:hAnsi="Times New Roman"/>
          <w:sz w:val="22"/>
          <w:szCs w:val="22"/>
        </w:rPr>
        <w:t xml:space="preserve">has been </w:t>
      </w:r>
      <w:r w:rsidR="009F7924" w:rsidRPr="00206086">
        <w:rPr>
          <w:rStyle w:val="Strong"/>
          <w:rFonts w:ascii="Times New Roman" w:hAnsi="Times New Roman"/>
          <w:sz w:val="22"/>
          <w:szCs w:val="22"/>
        </w:rPr>
        <w:t>undertaken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 by a </w:t>
      </w:r>
      <w:r w:rsidR="002A00BB" w:rsidRPr="00206086">
        <w:rPr>
          <w:rStyle w:val="Strong"/>
          <w:rFonts w:ascii="Times New Roman" w:hAnsi="Times New Roman"/>
          <w:sz w:val="22"/>
          <w:szCs w:val="22"/>
        </w:rPr>
        <w:t>secretariat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 </w:t>
      </w:r>
      <w:r w:rsidR="00AA68C0" w:rsidRPr="00206086">
        <w:rPr>
          <w:rStyle w:val="Strong"/>
          <w:rFonts w:ascii="Times New Roman" w:hAnsi="Times New Roman"/>
          <w:sz w:val="22"/>
          <w:szCs w:val="22"/>
        </w:rPr>
        <w:t xml:space="preserve">established 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within </w:t>
      </w:r>
      <w:r w:rsidR="00635B71" w:rsidRPr="00206086">
        <w:rPr>
          <w:rStyle w:val="Strong"/>
          <w:rFonts w:ascii="Times New Roman" w:hAnsi="Times New Roman"/>
          <w:sz w:val="22"/>
          <w:szCs w:val="22"/>
        </w:rPr>
        <w:t>Treasury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, </w:t>
      </w:r>
      <w:r w:rsidR="00AA68C0" w:rsidRPr="00206086">
        <w:rPr>
          <w:rStyle w:val="Strong"/>
          <w:rFonts w:ascii="Times New Roman" w:hAnsi="Times New Roman"/>
          <w:sz w:val="22"/>
          <w:szCs w:val="22"/>
        </w:rPr>
        <w:t xml:space="preserve">and 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overseen by an independent external </w:t>
      </w:r>
      <w:r w:rsidR="00237332" w:rsidRPr="00206086">
        <w:rPr>
          <w:rStyle w:val="Strong"/>
          <w:rFonts w:ascii="Times New Roman" w:hAnsi="Times New Roman"/>
          <w:sz w:val="22"/>
          <w:szCs w:val="22"/>
        </w:rPr>
        <w:t>r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eference </w:t>
      </w:r>
      <w:r w:rsidR="00237332" w:rsidRPr="00206086">
        <w:rPr>
          <w:rStyle w:val="Strong"/>
          <w:rFonts w:ascii="Times New Roman" w:hAnsi="Times New Roman"/>
          <w:sz w:val="22"/>
          <w:szCs w:val="22"/>
        </w:rPr>
        <w:t>g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 xml:space="preserve">roup </w:t>
      </w:r>
      <w:r w:rsidR="001564B3" w:rsidRPr="00206086">
        <w:rPr>
          <w:rStyle w:val="Strong"/>
          <w:rFonts w:ascii="Times New Roman" w:hAnsi="Times New Roman"/>
          <w:sz w:val="22"/>
          <w:szCs w:val="22"/>
        </w:rPr>
        <w:t>(</w:t>
      </w:r>
      <w:r w:rsidR="00FB0D97">
        <w:rPr>
          <w:rStyle w:val="Strong"/>
          <w:rFonts w:ascii="Times New Roman" w:hAnsi="Times New Roman"/>
          <w:sz w:val="22"/>
          <w:szCs w:val="22"/>
        </w:rPr>
        <w:t>the Advisory Panel</w:t>
      </w:r>
      <w:r w:rsidR="001564B3" w:rsidRPr="00206086">
        <w:rPr>
          <w:rStyle w:val="Strong"/>
          <w:rFonts w:ascii="Times New Roman" w:hAnsi="Times New Roman"/>
          <w:sz w:val="22"/>
          <w:szCs w:val="22"/>
        </w:rPr>
        <w:t xml:space="preserve">) </w:t>
      </w:r>
      <w:r w:rsidR="00082D85" w:rsidRPr="00206086">
        <w:rPr>
          <w:rStyle w:val="Strong"/>
          <w:rFonts w:ascii="Times New Roman" w:hAnsi="Times New Roman"/>
          <w:sz w:val="22"/>
          <w:szCs w:val="22"/>
        </w:rPr>
        <w:t>made up of members with strong economic credentials</w:t>
      </w:r>
      <w:r w:rsidR="006905F8" w:rsidRPr="00206086">
        <w:rPr>
          <w:rStyle w:val="Strong"/>
          <w:rFonts w:ascii="Times New Roman" w:hAnsi="Times New Roman"/>
          <w:sz w:val="22"/>
          <w:szCs w:val="22"/>
        </w:rPr>
        <w:t>.</w:t>
      </w:r>
    </w:p>
    <w:p w:rsidR="00BD4BC1" w:rsidRPr="00206086" w:rsidRDefault="00BB47CC" w:rsidP="00206086">
      <w:pPr>
        <w:pStyle w:val="heading10"/>
        <w:spacing w:after="240" w:afterAutospacing="0" w:line="260" w:lineRule="exact"/>
        <w:rPr>
          <w:rStyle w:val="Strong"/>
          <w:rFonts w:ascii="Times New Roman" w:hAnsi="Times New Roman"/>
          <w:b/>
          <w:bCs w:val="0"/>
          <w:sz w:val="22"/>
          <w:szCs w:val="22"/>
        </w:rPr>
      </w:pPr>
      <w:r w:rsidRPr="00206086">
        <w:rPr>
          <w:rStyle w:val="Strong"/>
          <w:rFonts w:ascii="Times New Roman" w:hAnsi="Times New Roman"/>
          <w:sz w:val="22"/>
          <w:szCs w:val="22"/>
        </w:rPr>
        <w:t xml:space="preserve">The </w:t>
      </w:r>
      <w:r w:rsidR="00C550AB" w:rsidRPr="00206086">
        <w:rPr>
          <w:rStyle w:val="Strong"/>
          <w:rFonts w:ascii="Times New Roman" w:hAnsi="Times New Roman"/>
          <w:sz w:val="22"/>
          <w:szCs w:val="22"/>
        </w:rPr>
        <w:t>Te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rms of </w:t>
      </w:r>
      <w:r w:rsidR="00C550AB" w:rsidRPr="00206086">
        <w:rPr>
          <w:rStyle w:val="Strong"/>
          <w:rFonts w:ascii="Times New Roman" w:hAnsi="Times New Roman"/>
          <w:sz w:val="22"/>
          <w:szCs w:val="22"/>
        </w:rPr>
        <w:t>R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eference </w:t>
      </w:r>
      <w:r w:rsidR="00D13191" w:rsidRPr="00206086">
        <w:rPr>
          <w:rStyle w:val="Strong"/>
          <w:rFonts w:ascii="Times New Roman" w:hAnsi="Times New Roman"/>
          <w:sz w:val="22"/>
          <w:szCs w:val="22"/>
        </w:rPr>
        <w:t xml:space="preserve">for the </w:t>
      </w:r>
      <w:r w:rsidR="00D13191" w:rsidRPr="00965A62">
        <w:rPr>
          <w:rStyle w:val="Strong"/>
          <w:rFonts w:ascii="Times New Roman" w:hAnsi="Times New Roman"/>
          <w:sz w:val="22"/>
          <w:szCs w:val="22"/>
        </w:rPr>
        <w:t>Review</w:t>
      </w:r>
      <w:r w:rsidR="00D13191" w:rsidRPr="00206086">
        <w:rPr>
          <w:rStyle w:val="Strong"/>
          <w:rFonts w:ascii="Times New Roman" w:hAnsi="Times New Roman"/>
          <w:sz w:val="22"/>
          <w:szCs w:val="22"/>
        </w:rPr>
        <w:t xml:space="preserve"> </w:t>
      </w:r>
      <w:r w:rsidRPr="00206086">
        <w:rPr>
          <w:rStyle w:val="Strong"/>
          <w:rFonts w:ascii="Times New Roman" w:hAnsi="Times New Roman"/>
          <w:sz w:val="22"/>
          <w:szCs w:val="22"/>
        </w:rPr>
        <w:t xml:space="preserve">require an </w:t>
      </w:r>
      <w:r w:rsidR="00D13191" w:rsidRPr="00206086">
        <w:rPr>
          <w:rStyle w:val="Strong"/>
          <w:rFonts w:ascii="Times New Roman" w:hAnsi="Times New Roman"/>
          <w:sz w:val="22"/>
          <w:szCs w:val="22"/>
        </w:rPr>
        <w:t>assess</w:t>
      </w:r>
      <w:r w:rsidRPr="00206086">
        <w:rPr>
          <w:rStyle w:val="Strong"/>
          <w:rFonts w:ascii="Times New Roman" w:hAnsi="Times New Roman"/>
          <w:sz w:val="22"/>
          <w:szCs w:val="22"/>
        </w:rPr>
        <w:t>ment of</w:t>
      </w:r>
      <w:r w:rsidR="00D13191" w:rsidRPr="00206086">
        <w:rPr>
          <w:rStyle w:val="Strong"/>
          <w:rFonts w:ascii="Times New Roman" w:hAnsi="Times New Roman"/>
          <w:sz w:val="22"/>
          <w:szCs w:val="22"/>
        </w:rPr>
        <w:t xml:space="preserve"> the quality of Treasury</w:t>
      </w:r>
      <w:r w:rsidR="003D31DD">
        <w:rPr>
          <w:rStyle w:val="Strong"/>
          <w:rFonts w:ascii="Times New Roman" w:hAnsi="Times New Roman"/>
          <w:sz w:val="22"/>
          <w:szCs w:val="22"/>
        </w:rPr>
        <w:t>’</w:t>
      </w:r>
      <w:r w:rsidRPr="00206086">
        <w:rPr>
          <w:rStyle w:val="Strong"/>
          <w:rFonts w:ascii="Times New Roman" w:hAnsi="Times New Roman"/>
          <w:sz w:val="22"/>
          <w:szCs w:val="22"/>
        </w:rPr>
        <w:t>s</w:t>
      </w:r>
      <w:r w:rsidR="00D13191" w:rsidRPr="00206086">
        <w:rPr>
          <w:rStyle w:val="Strong"/>
          <w:rFonts w:ascii="Times New Roman" w:hAnsi="Times New Roman"/>
          <w:sz w:val="22"/>
          <w:szCs w:val="22"/>
        </w:rPr>
        <w:t xml:space="preserve"> forecasting of the macroeconomy and </w:t>
      </w:r>
      <w:r w:rsidR="00533A95" w:rsidRPr="00206086">
        <w:rPr>
          <w:rStyle w:val="Strong"/>
          <w:rFonts w:ascii="Times New Roman" w:hAnsi="Times New Roman"/>
          <w:sz w:val="22"/>
          <w:szCs w:val="22"/>
        </w:rPr>
        <w:t xml:space="preserve">taxation </w:t>
      </w:r>
      <w:r w:rsidR="00D13191" w:rsidRPr="00206086">
        <w:rPr>
          <w:rStyle w:val="Strong"/>
          <w:rFonts w:ascii="Times New Roman" w:hAnsi="Times New Roman"/>
          <w:sz w:val="22"/>
          <w:szCs w:val="22"/>
        </w:rPr>
        <w:t>revenue by</w:t>
      </w:r>
      <w:r w:rsidR="00BD4BC1" w:rsidRPr="00206086">
        <w:rPr>
          <w:rStyle w:val="Strong"/>
          <w:rFonts w:ascii="Times New Roman" w:hAnsi="Times New Roman"/>
          <w:sz w:val="22"/>
          <w:szCs w:val="22"/>
        </w:rPr>
        <w:t>:</w:t>
      </w:r>
    </w:p>
    <w:p w:rsidR="00BD4BC1" w:rsidRPr="00250839" w:rsidRDefault="003D31DD" w:rsidP="0062519B">
      <w:pPr>
        <w:pStyle w:val="OutlineNumbered1"/>
        <w:tabs>
          <w:tab w:val="clear" w:pos="851"/>
          <w:tab w:val="num" w:pos="567"/>
        </w:tabs>
        <w:ind w:left="567" w:hanging="567"/>
        <w:rPr>
          <w:rStyle w:val="Strong"/>
          <w:b w:val="0"/>
          <w:bCs/>
        </w:rPr>
      </w:pPr>
      <w:r>
        <w:rPr>
          <w:rStyle w:val="Strong"/>
          <w:b w:val="0"/>
          <w:szCs w:val="22"/>
        </w:rPr>
        <w:t>e</w:t>
      </w:r>
      <w:r w:rsidR="00D13191" w:rsidRPr="00206086">
        <w:rPr>
          <w:rStyle w:val="Strong"/>
          <w:b w:val="0"/>
          <w:szCs w:val="22"/>
        </w:rPr>
        <w:t>xamining the appropriateness of forecasting methodologies</w:t>
      </w:r>
      <w:r w:rsidR="00D13191" w:rsidRPr="00250839">
        <w:rPr>
          <w:rStyle w:val="Strong"/>
          <w:b w:val="0"/>
          <w:bCs/>
        </w:rPr>
        <w:t xml:space="preserve"> and</w:t>
      </w:r>
    </w:p>
    <w:p w:rsidR="00D13191" w:rsidRPr="00206086" w:rsidRDefault="003D31DD" w:rsidP="0062519B">
      <w:pPr>
        <w:pStyle w:val="OutlineNumbered1"/>
        <w:tabs>
          <w:tab w:val="clear" w:pos="851"/>
          <w:tab w:val="num" w:pos="567"/>
        </w:tabs>
        <w:ind w:left="567" w:hanging="567"/>
        <w:rPr>
          <w:rStyle w:val="Strong"/>
          <w:b w:val="0"/>
          <w:szCs w:val="22"/>
        </w:rPr>
      </w:pPr>
      <w:r w:rsidRPr="00250839">
        <w:rPr>
          <w:rStyle w:val="Strong"/>
          <w:b w:val="0"/>
          <w:bCs/>
        </w:rPr>
        <w:t>c</w:t>
      </w:r>
      <w:r w:rsidR="00D13191" w:rsidRPr="00250839">
        <w:rPr>
          <w:rStyle w:val="Strong"/>
          <w:b w:val="0"/>
          <w:bCs/>
        </w:rPr>
        <w:t>omparing forecast accuracy with other forecasters</w:t>
      </w:r>
      <w:r w:rsidR="00AF3F1F" w:rsidRPr="00250839">
        <w:rPr>
          <w:rStyle w:val="Strong"/>
          <w:b w:val="0"/>
          <w:bCs/>
        </w:rPr>
        <w:t>,</w:t>
      </w:r>
      <w:r w:rsidR="00D13191" w:rsidRPr="00250839">
        <w:rPr>
          <w:rStyle w:val="Strong"/>
          <w:b w:val="0"/>
          <w:bCs/>
        </w:rPr>
        <w:t xml:space="preserve"> both in A</w:t>
      </w:r>
      <w:r w:rsidR="00D13191" w:rsidRPr="00206086">
        <w:rPr>
          <w:rStyle w:val="Strong"/>
          <w:b w:val="0"/>
          <w:szCs w:val="22"/>
        </w:rPr>
        <w:t>ustralia and overseas</w:t>
      </w:r>
      <w:r>
        <w:rPr>
          <w:rStyle w:val="Strong"/>
          <w:b w:val="0"/>
          <w:szCs w:val="22"/>
        </w:rPr>
        <w:t xml:space="preserve">. </w:t>
      </w:r>
    </w:p>
    <w:p w:rsidR="00D13191" w:rsidRPr="00206086" w:rsidRDefault="00DE5A71" w:rsidP="00206086">
      <w:pPr>
        <w:pStyle w:val="Bullet"/>
        <w:numPr>
          <w:ilvl w:val="0"/>
          <w:numId w:val="0"/>
        </w:numPr>
      </w:pPr>
      <w:r w:rsidRPr="00206086">
        <w:t>In the view of the</w:t>
      </w:r>
      <w:r w:rsidR="00103ED2" w:rsidRPr="00206086">
        <w:t xml:space="preserve"> Review</w:t>
      </w:r>
      <w:r w:rsidRPr="00206086">
        <w:t xml:space="preserve">, to examine the appropriateness of forecasting </w:t>
      </w:r>
      <w:r w:rsidR="005E1733" w:rsidRPr="00206086">
        <w:t>methodologies</w:t>
      </w:r>
      <w:r w:rsidRPr="00206086">
        <w:t xml:space="preserve"> </w:t>
      </w:r>
      <w:r w:rsidR="00D13191" w:rsidRPr="00206086">
        <w:t xml:space="preserve">requires </w:t>
      </w:r>
      <w:r w:rsidR="00C108BF" w:rsidRPr="00206086">
        <w:t xml:space="preserve">an assessment </w:t>
      </w:r>
      <w:r w:rsidR="00710124">
        <w:t>of whether the</w:t>
      </w:r>
      <w:r w:rsidR="00C108BF" w:rsidRPr="00206086">
        <w:t xml:space="preserve"> </w:t>
      </w:r>
      <w:r w:rsidR="00D13191" w:rsidRPr="00206086">
        <w:t>Treasury:</w:t>
      </w:r>
    </w:p>
    <w:p w:rsidR="00D13191" w:rsidRPr="00206086" w:rsidRDefault="00D13191" w:rsidP="00206086">
      <w:pPr>
        <w:pStyle w:val="Bullet"/>
      </w:pPr>
      <w:r w:rsidRPr="00206086">
        <w:t xml:space="preserve">is </w:t>
      </w:r>
      <w:r w:rsidR="00BD4BC1" w:rsidRPr="00206086">
        <w:t xml:space="preserve">drawing upon </w:t>
      </w:r>
      <w:r w:rsidR="00770E81">
        <w:t>the full range of</w:t>
      </w:r>
      <w:r w:rsidRPr="00206086">
        <w:t xml:space="preserve"> information in </w:t>
      </w:r>
      <w:r w:rsidR="001D3BD7" w:rsidRPr="00206086">
        <w:t>preparing</w:t>
      </w:r>
      <w:r w:rsidRPr="00206086">
        <w:t xml:space="preserve"> its forecasts;</w:t>
      </w:r>
    </w:p>
    <w:p w:rsidR="00D13191" w:rsidRPr="00206086" w:rsidRDefault="00D13191" w:rsidP="00206086">
      <w:pPr>
        <w:pStyle w:val="Bullet"/>
      </w:pPr>
      <w:r w:rsidRPr="00206086">
        <w:t xml:space="preserve">is using </w:t>
      </w:r>
      <w:r w:rsidR="00D2270B" w:rsidRPr="00206086">
        <w:t xml:space="preserve">this information efficiently by drawing upon </w:t>
      </w:r>
      <w:r w:rsidRPr="00206086">
        <w:t xml:space="preserve">models/technical tools appropriate to the </w:t>
      </w:r>
      <w:r w:rsidR="00BD4BC1" w:rsidRPr="00206086">
        <w:t xml:space="preserve">forecasting </w:t>
      </w:r>
      <w:r w:rsidRPr="00206086">
        <w:t>task; and</w:t>
      </w:r>
    </w:p>
    <w:p w:rsidR="00D13191" w:rsidRPr="00206086" w:rsidRDefault="00D13191" w:rsidP="00206086">
      <w:pPr>
        <w:pStyle w:val="Bullet"/>
      </w:pPr>
      <w:r w:rsidRPr="00206086">
        <w:t xml:space="preserve">has </w:t>
      </w:r>
      <w:r w:rsidR="00DE5A71" w:rsidRPr="00206086">
        <w:t xml:space="preserve">appropriate </w:t>
      </w:r>
      <w:r w:rsidRPr="00206086">
        <w:t>governance structures in place</w:t>
      </w:r>
      <w:r w:rsidR="00BD4BC1" w:rsidRPr="00206086">
        <w:t xml:space="preserve"> </w:t>
      </w:r>
      <w:r w:rsidR="00DE5A71" w:rsidRPr="00206086">
        <w:t xml:space="preserve">to </w:t>
      </w:r>
      <w:r w:rsidR="00BD4BC1" w:rsidRPr="00206086">
        <w:t>ensure</w:t>
      </w:r>
      <w:r w:rsidR="00C108BF" w:rsidRPr="00206086">
        <w:t xml:space="preserve"> that </w:t>
      </w:r>
      <w:r w:rsidR="00D2270B" w:rsidRPr="00206086">
        <w:t xml:space="preserve">(i) </w:t>
      </w:r>
      <w:r w:rsidR="00C108BF" w:rsidRPr="00206086">
        <w:t>Treasury</w:t>
      </w:r>
      <w:r w:rsidR="003D31DD">
        <w:t>’</w:t>
      </w:r>
      <w:r w:rsidR="00C108BF" w:rsidRPr="00206086">
        <w:t xml:space="preserve">s </w:t>
      </w:r>
      <w:r w:rsidR="0013388A" w:rsidRPr="00206086">
        <w:t xml:space="preserve">forecasts are subject to </w:t>
      </w:r>
      <w:r w:rsidR="00DE5A71" w:rsidRPr="00206086">
        <w:t>quality assurance and</w:t>
      </w:r>
      <w:r w:rsidR="0013388A" w:rsidRPr="00206086">
        <w:t xml:space="preserve"> review </w:t>
      </w:r>
      <w:r w:rsidR="00D2270B" w:rsidRPr="00206086">
        <w:t xml:space="preserve">(ii) </w:t>
      </w:r>
      <w:r w:rsidR="0013388A" w:rsidRPr="00206086">
        <w:t xml:space="preserve">its </w:t>
      </w:r>
      <w:r w:rsidR="00C108BF" w:rsidRPr="00206086">
        <w:t xml:space="preserve">forecasting </w:t>
      </w:r>
      <w:r w:rsidR="0013388A" w:rsidRPr="00206086">
        <w:t>methodolog</w:t>
      </w:r>
      <w:r w:rsidR="00DE5A71" w:rsidRPr="00206086">
        <w:t>ies</w:t>
      </w:r>
      <w:r w:rsidR="0013388A" w:rsidRPr="00206086">
        <w:t xml:space="preserve"> </w:t>
      </w:r>
      <w:r w:rsidR="00C108BF" w:rsidRPr="00206086">
        <w:t>operate in an environment of continuous evaluation and development</w:t>
      </w:r>
      <w:r w:rsidR="002A00BB" w:rsidRPr="00206086">
        <w:t xml:space="preserve"> and </w:t>
      </w:r>
      <w:r w:rsidR="00D2270B" w:rsidRPr="00206086">
        <w:t>(iii) Treasury has in place knowledge management s</w:t>
      </w:r>
      <w:r w:rsidR="00003912" w:rsidRPr="00206086">
        <w:t>ystems</w:t>
      </w:r>
      <w:r w:rsidR="00D2270B" w:rsidRPr="00206086">
        <w:t xml:space="preserve">, recognising the need for specialist expertise </w:t>
      </w:r>
      <w:r w:rsidR="00AB49D5" w:rsidRPr="00206086">
        <w:t xml:space="preserve">and technical tools </w:t>
      </w:r>
      <w:r w:rsidR="00D2270B" w:rsidRPr="00206086">
        <w:t>in these areas that tak</w:t>
      </w:r>
      <w:r w:rsidR="00003912" w:rsidRPr="00206086">
        <w:t>es considerable time to build</w:t>
      </w:r>
      <w:r w:rsidR="003D31DD">
        <w:t xml:space="preserve">. </w:t>
      </w:r>
    </w:p>
    <w:p w:rsidR="004866A5" w:rsidRPr="00206086" w:rsidRDefault="00DE5A71" w:rsidP="00206086">
      <w:pPr>
        <w:pStyle w:val="Bullet"/>
        <w:numPr>
          <w:ilvl w:val="0"/>
          <w:numId w:val="0"/>
        </w:numPr>
      </w:pPr>
      <w:r w:rsidRPr="00206086">
        <w:t>To</w:t>
      </w:r>
      <w:r w:rsidR="00FC7243" w:rsidRPr="00206086">
        <w:t xml:space="preserve"> </w:t>
      </w:r>
      <w:r w:rsidR="00EA797B" w:rsidRPr="00206086">
        <w:t>aid in this assessment</w:t>
      </w:r>
      <w:r w:rsidR="00FC7243" w:rsidRPr="00206086">
        <w:t xml:space="preserve">, </w:t>
      </w:r>
      <w:r w:rsidR="004866A5" w:rsidRPr="00206086">
        <w:t>a high level review of international forecasting practice</w:t>
      </w:r>
      <w:r w:rsidR="006E24E4" w:rsidRPr="00206086">
        <w:t xml:space="preserve"> has been prepared</w:t>
      </w:r>
      <w:r w:rsidR="003D31DD">
        <w:t xml:space="preserve">. </w:t>
      </w:r>
      <w:r w:rsidR="004866A5" w:rsidRPr="00206086">
        <w:t xml:space="preserve">This work forms the second </w:t>
      </w:r>
      <w:r w:rsidR="00E7578E" w:rsidRPr="00206086">
        <w:t xml:space="preserve">section </w:t>
      </w:r>
      <w:r w:rsidR="004866A5" w:rsidRPr="00206086">
        <w:t>of this report</w:t>
      </w:r>
      <w:r w:rsidR="003D31DD">
        <w:t xml:space="preserve">. </w:t>
      </w:r>
    </w:p>
    <w:p w:rsidR="003C0B8A" w:rsidRPr="00206086" w:rsidRDefault="00334815" w:rsidP="00206086">
      <w:pPr>
        <w:tabs>
          <w:tab w:val="num" w:pos="567"/>
          <w:tab w:val="left" w:pos="7372"/>
        </w:tabs>
      </w:pPr>
      <w:r w:rsidRPr="00206086">
        <w:t>Further, t</w:t>
      </w:r>
      <w:r w:rsidR="002D3948" w:rsidRPr="00206086">
        <w:t xml:space="preserve">he </w:t>
      </w:r>
      <w:r w:rsidR="00103ED2" w:rsidRPr="00206086">
        <w:t>Review</w:t>
      </w:r>
      <w:r w:rsidR="002D3948" w:rsidRPr="00206086">
        <w:t xml:space="preserve"> </w:t>
      </w:r>
      <w:r w:rsidR="001564B3" w:rsidRPr="00206086">
        <w:t xml:space="preserve">ruled out of scope </w:t>
      </w:r>
      <w:r w:rsidR="006B4687" w:rsidRPr="00206086">
        <w:t xml:space="preserve">of </w:t>
      </w:r>
      <w:r w:rsidR="000F2A6D" w:rsidRPr="00206086">
        <w:t xml:space="preserve">the </w:t>
      </w:r>
      <w:r w:rsidR="00F66ECA">
        <w:t>T</w:t>
      </w:r>
      <w:r w:rsidR="000F2A6D" w:rsidRPr="00206086">
        <w:t xml:space="preserve">erms of </w:t>
      </w:r>
      <w:r w:rsidR="00F66ECA">
        <w:t>R</w:t>
      </w:r>
      <w:r w:rsidR="000F2A6D" w:rsidRPr="00206086">
        <w:t xml:space="preserve">eference </w:t>
      </w:r>
      <w:r w:rsidR="00FF3175" w:rsidRPr="00206086">
        <w:t>matters relating to</w:t>
      </w:r>
      <w:r w:rsidR="003C0B8A" w:rsidRPr="00206086">
        <w:t>:</w:t>
      </w:r>
    </w:p>
    <w:p w:rsidR="003C0B8A" w:rsidRPr="008C452B" w:rsidRDefault="008F1624" w:rsidP="008C452B">
      <w:pPr>
        <w:pStyle w:val="Bullet"/>
      </w:pPr>
      <w:r>
        <w:t>t</w:t>
      </w:r>
      <w:r w:rsidR="007002C6" w:rsidRPr="00206086">
        <w:t>he</w:t>
      </w:r>
      <w:r w:rsidR="00B47D42" w:rsidRPr="00206086">
        <w:t xml:space="preserve"> </w:t>
      </w:r>
      <w:r w:rsidR="009F38EC" w:rsidRPr="00206086">
        <w:t>resourc</w:t>
      </w:r>
      <w:r w:rsidR="007002C6" w:rsidRPr="00206086">
        <w:t>ing</w:t>
      </w:r>
      <w:r w:rsidR="00E620C5" w:rsidRPr="00206086">
        <w:t xml:space="preserve"> of the forecasting areas</w:t>
      </w:r>
      <w:r w:rsidR="009F38EC" w:rsidRPr="00206086">
        <w:t>, including the number, technical capability and experience of staff</w:t>
      </w:r>
      <w:r w:rsidR="003D31DD">
        <w:t xml:space="preserve">. </w:t>
      </w:r>
      <w:r w:rsidR="00753BE5" w:rsidRPr="00206086">
        <w:t>In part</w:t>
      </w:r>
      <w:r w:rsidR="00B47D42" w:rsidRPr="00206086">
        <w:t>,</w:t>
      </w:r>
      <w:r w:rsidR="00753BE5" w:rsidRPr="00206086">
        <w:t xml:space="preserve"> this reflects</w:t>
      </w:r>
      <w:r w:rsidR="005425BF" w:rsidRPr="00206086">
        <w:t xml:space="preserve"> the </w:t>
      </w:r>
      <w:r w:rsidR="000834C5" w:rsidRPr="00206086">
        <w:t>difficult</w:t>
      </w:r>
      <w:r w:rsidR="005425BF" w:rsidRPr="00206086">
        <w:t>y</w:t>
      </w:r>
      <w:r w:rsidR="000834C5" w:rsidRPr="00206086">
        <w:t xml:space="preserve"> </w:t>
      </w:r>
      <w:r w:rsidR="005425BF" w:rsidRPr="00206086">
        <w:t xml:space="preserve">of </w:t>
      </w:r>
      <w:r w:rsidR="00B47D42" w:rsidRPr="00206086">
        <w:t>the</w:t>
      </w:r>
      <w:r w:rsidR="006905F8" w:rsidRPr="00206086">
        <w:t xml:space="preserve"> </w:t>
      </w:r>
      <w:r w:rsidR="00B53770" w:rsidRPr="00206086">
        <w:t xml:space="preserve">Review </w:t>
      </w:r>
      <w:r w:rsidR="000834C5" w:rsidRPr="00206086">
        <w:t>assess</w:t>
      </w:r>
      <w:r w:rsidR="005425BF" w:rsidRPr="00206086">
        <w:t>ing</w:t>
      </w:r>
      <w:r w:rsidR="000834C5" w:rsidRPr="00206086">
        <w:t xml:space="preserve"> </w:t>
      </w:r>
      <w:r w:rsidR="00485D5C" w:rsidRPr="00206086">
        <w:t>the appropriateness of staff</w:t>
      </w:r>
      <w:r w:rsidR="00485D5C" w:rsidRPr="008C452B">
        <w:t xml:space="preserve"> </w:t>
      </w:r>
      <w:r w:rsidR="000834C5" w:rsidRPr="008C452B">
        <w:t xml:space="preserve">resourcing without </w:t>
      </w:r>
      <w:r w:rsidR="005425BF" w:rsidRPr="008C452B">
        <w:t xml:space="preserve">an </w:t>
      </w:r>
      <w:r w:rsidR="00753BE5" w:rsidRPr="008C452B">
        <w:t xml:space="preserve">appreciation </w:t>
      </w:r>
      <w:r w:rsidR="005425BF" w:rsidRPr="008C452B">
        <w:t xml:space="preserve">of </w:t>
      </w:r>
      <w:r w:rsidR="000834C5" w:rsidRPr="008C452B">
        <w:t xml:space="preserve">the other demands </w:t>
      </w:r>
      <w:r w:rsidR="005425BF" w:rsidRPr="008C452B">
        <w:t xml:space="preserve">on </w:t>
      </w:r>
      <w:r w:rsidR="000834C5" w:rsidRPr="008C452B">
        <w:t>Treasury</w:t>
      </w:r>
      <w:r w:rsidR="00753BE5" w:rsidRPr="008C452B">
        <w:t xml:space="preserve"> resources</w:t>
      </w:r>
      <w:r w:rsidR="00B47D42" w:rsidRPr="008C452B">
        <w:t xml:space="preserve"> and the broader </w:t>
      </w:r>
      <w:r w:rsidR="002E4748" w:rsidRPr="008C452B">
        <w:t xml:space="preserve">fiscal </w:t>
      </w:r>
      <w:r w:rsidR="00B47D42" w:rsidRPr="008C452B">
        <w:t>environment</w:t>
      </w:r>
      <w:r w:rsidR="003D31DD">
        <w:t xml:space="preserve">. </w:t>
      </w:r>
      <w:r w:rsidR="005425BF" w:rsidRPr="008C452B">
        <w:t xml:space="preserve">This </w:t>
      </w:r>
      <w:r w:rsidR="00E74421" w:rsidRPr="008C452B">
        <w:t xml:space="preserve">issue </w:t>
      </w:r>
      <w:r w:rsidR="005425BF" w:rsidRPr="008C452B">
        <w:t xml:space="preserve">has been </w:t>
      </w:r>
      <w:r w:rsidR="00E74421" w:rsidRPr="008C452B">
        <w:t>the subject of earlier internal reviews</w:t>
      </w:r>
      <w:r w:rsidR="00202A1B" w:rsidRPr="008C452B">
        <w:t>;</w:t>
      </w:r>
      <w:r w:rsidR="009F38EC" w:rsidRPr="008C452B">
        <w:t xml:space="preserve"> </w:t>
      </w:r>
    </w:p>
    <w:p w:rsidR="003C0B8A" w:rsidRPr="008C452B" w:rsidRDefault="008F1624" w:rsidP="008C452B">
      <w:pPr>
        <w:pStyle w:val="Bullet"/>
      </w:pPr>
      <w:r>
        <w:t>a</w:t>
      </w:r>
      <w:r w:rsidR="0011363F" w:rsidRPr="008C452B">
        <w:t xml:space="preserve">ny </w:t>
      </w:r>
      <w:r w:rsidR="003C0B8A" w:rsidRPr="008C452B">
        <w:t xml:space="preserve">technical assessment of the </w:t>
      </w:r>
      <w:r w:rsidR="00202A1B" w:rsidRPr="008C452B">
        <w:t xml:space="preserve">models/technical tools </w:t>
      </w:r>
      <w:r w:rsidR="00065663" w:rsidRPr="008C452B">
        <w:t xml:space="preserve">being </w:t>
      </w:r>
      <w:r w:rsidR="00202A1B" w:rsidRPr="008C452B">
        <w:t>used by the forecasting area</w:t>
      </w:r>
      <w:r w:rsidR="00E74421" w:rsidRPr="008C452B">
        <w:t>s</w:t>
      </w:r>
      <w:r w:rsidR="0058411A" w:rsidRPr="008C452B">
        <w:t>,</w:t>
      </w:r>
      <w:r w:rsidR="00202A1B" w:rsidRPr="008C452B">
        <w:t xml:space="preserve"> including their econometric and conceptual rigor</w:t>
      </w:r>
      <w:r w:rsidR="003D31DD">
        <w:t xml:space="preserve">. </w:t>
      </w:r>
      <w:r w:rsidR="00084322" w:rsidRPr="008C452B">
        <w:t>T</w:t>
      </w:r>
      <w:r w:rsidR="0058013F" w:rsidRPr="008C452B">
        <w:t xml:space="preserve">his issue has </w:t>
      </w:r>
      <w:r w:rsidR="00084322" w:rsidRPr="008C452B">
        <w:t xml:space="preserve">also </w:t>
      </w:r>
      <w:r w:rsidR="0058013F" w:rsidRPr="008C452B">
        <w:t xml:space="preserve">been the subject of </w:t>
      </w:r>
      <w:r w:rsidR="00C231AF" w:rsidRPr="008C452B">
        <w:t>earlier internal reviews</w:t>
      </w:r>
      <w:r w:rsidR="003D31DD">
        <w:t xml:space="preserve">. </w:t>
      </w:r>
      <w:r w:rsidR="005E1733" w:rsidRPr="008C452B">
        <w:t>Furthermore, Treasury has employed an in</w:t>
      </w:r>
      <w:r w:rsidR="00D83DF2">
        <w:noBreakHyphen/>
      </w:r>
      <w:r w:rsidR="005E1733" w:rsidRPr="008C452B">
        <w:t xml:space="preserve">house technical specialist to </w:t>
      </w:r>
      <w:r w:rsidR="00FB5D8D">
        <w:t xml:space="preserve">ensure that </w:t>
      </w:r>
      <w:r w:rsidR="00185013">
        <w:t xml:space="preserve">its macroeconomic </w:t>
      </w:r>
      <w:r w:rsidR="005E1733" w:rsidRPr="008C452B">
        <w:t xml:space="preserve">technical models/tools are at the cutting edge of </w:t>
      </w:r>
      <w:r w:rsidR="00185013">
        <w:t xml:space="preserve">macroeconomic </w:t>
      </w:r>
      <w:r w:rsidR="005E1733" w:rsidRPr="008C452B">
        <w:t>forecasting practice</w:t>
      </w:r>
      <w:r w:rsidR="00813A8B">
        <w:t>, within the overall modelling strategy that Treasury has adopted</w:t>
      </w:r>
      <w:r w:rsidR="005E1733" w:rsidRPr="008C452B">
        <w:t xml:space="preserve">; </w:t>
      </w:r>
      <w:r w:rsidR="00202A1B" w:rsidRPr="008C452B">
        <w:t>and</w:t>
      </w:r>
    </w:p>
    <w:p w:rsidR="003C0B8A" w:rsidRPr="00206086" w:rsidRDefault="008F1624" w:rsidP="008C452B">
      <w:pPr>
        <w:pStyle w:val="Bullet"/>
      </w:pPr>
      <w:r>
        <w:t>t</w:t>
      </w:r>
      <w:r w:rsidR="00202A1B" w:rsidRPr="008C452B">
        <w:t xml:space="preserve">he </w:t>
      </w:r>
      <w:r w:rsidR="00625BC0" w:rsidRPr="008C452B">
        <w:t xml:space="preserve">accuracy </w:t>
      </w:r>
      <w:r w:rsidR="00202A1B" w:rsidRPr="008C452B">
        <w:t>of Treasury</w:t>
      </w:r>
      <w:r w:rsidR="003D31DD">
        <w:t>’</w:t>
      </w:r>
      <w:r w:rsidR="00202A1B" w:rsidRPr="008C452B">
        <w:t xml:space="preserve">s </w:t>
      </w:r>
      <w:r w:rsidR="00E74421" w:rsidRPr="008C452B">
        <w:t xml:space="preserve">taxation </w:t>
      </w:r>
      <w:r w:rsidR="003C0B8A" w:rsidRPr="008C452B">
        <w:t>policy costings</w:t>
      </w:r>
      <w:r w:rsidR="00E74421" w:rsidRPr="008C452B">
        <w:t>, noting that t</w:t>
      </w:r>
      <w:r w:rsidR="003C0B8A" w:rsidRPr="008C452B">
        <w:t>he 2005</w:t>
      </w:r>
      <w:r w:rsidR="006905F8" w:rsidRPr="008C452B">
        <w:t> </w:t>
      </w:r>
      <w:r w:rsidR="00E74421" w:rsidRPr="008C452B">
        <w:t xml:space="preserve">Review </w:t>
      </w:r>
      <w:r w:rsidR="003C0B8A" w:rsidRPr="008C452B">
        <w:t xml:space="preserve">found that </w:t>
      </w:r>
      <w:r w:rsidR="0011363F" w:rsidRPr="008C452B">
        <w:t xml:space="preserve">errors in </w:t>
      </w:r>
      <w:r w:rsidR="00625BC0" w:rsidRPr="008C452B">
        <w:t>taxati</w:t>
      </w:r>
      <w:r w:rsidR="00625BC0" w:rsidRPr="00206086">
        <w:t xml:space="preserve">on </w:t>
      </w:r>
      <w:r w:rsidR="003C0B8A" w:rsidRPr="00206086">
        <w:t>policy costing</w:t>
      </w:r>
      <w:r w:rsidR="0011363F" w:rsidRPr="00206086">
        <w:t>s</w:t>
      </w:r>
      <w:r w:rsidR="003C0B8A" w:rsidRPr="00206086">
        <w:t xml:space="preserve"> </w:t>
      </w:r>
      <w:r w:rsidR="00625BC0" w:rsidRPr="00206086">
        <w:t xml:space="preserve">did not make a material contribution to </w:t>
      </w:r>
      <w:r w:rsidR="003C0B8A" w:rsidRPr="00206086">
        <w:t>revenue forecast errors.</w:t>
      </w:r>
    </w:p>
    <w:p w:rsidR="00B867B6" w:rsidRPr="00206086" w:rsidRDefault="003010AA" w:rsidP="008C452B">
      <w:pPr>
        <w:rPr>
          <w:rStyle w:val="Strong"/>
          <w:b w:val="0"/>
        </w:rPr>
      </w:pPr>
      <w:r w:rsidRPr="00206086">
        <w:lastRenderedPageBreak/>
        <w:t xml:space="preserve">The interpretation of the second </w:t>
      </w:r>
      <w:r w:rsidR="00B867B6" w:rsidRPr="00206086">
        <w:t>part</w:t>
      </w:r>
      <w:r w:rsidRPr="00206086">
        <w:t xml:space="preserve"> of the terms of reference is more straightforward</w:t>
      </w:r>
      <w:r w:rsidR="00F658F1" w:rsidRPr="00206086">
        <w:t xml:space="preserve">, requiring </w:t>
      </w:r>
      <w:r w:rsidR="00365AF7" w:rsidRPr="00206086">
        <w:t>a quantitative assessment of Treasury</w:t>
      </w:r>
      <w:r w:rsidR="003D31DD">
        <w:t>’</w:t>
      </w:r>
      <w:r w:rsidR="00365AF7" w:rsidRPr="00206086">
        <w:t xml:space="preserve">s </w:t>
      </w:r>
      <w:r w:rsidR="00365AF7" w:rsidRPr="00206086">
        <w:rPr>
          <w:rStyle w:val="Strong"/>
          <w:b w:val="0"/>
        </w:rPr>
        <w:t>forecasting accuracy</w:t>
      </w:r>
      <w:r w:rsidR="00F658F1" w:rsidRPr="00206086">
        <w:rPr>
          <w:rStyle w:val="Strong"/>
          <w:b w:val="0"/>
        </w:rPr>
        <w:t>,</w:t>
      </w:r>
      <w:r w:rsidR="00365AF7" w:rsidRPr="00206086">
        <w:rPr>
          <w:rStyle w:val="Strong"/>
          <w:b w:val="0"/>
        </w:rPr>
        <w:t xml:space="preserve"> and </w:t>
      </w:r>
      <w:r w:rsidR="007C23E3" w:rsidRPr="00206086">
        <w:rPr>
          <w:rStyle w:val="Strong"/>
          <w:b w:val="0"/>
        </w:rPr>
        <w:t xml:space="preserve">a </w:t>
      </w:r>
      <w:r w:rsidR="00365AF7" w:rsidRPr="00206086">
        <w:rPr>
          <w:rStyle w:val="Strong"/>
          <w:b w:val="0"/>
        </w:rPr>
        <w:t>compari</w:t>
      </w:r>
      <w:r w:rsidR="007C23E3" w:rsidRPr="00206086">
        <w:rPr>
          <w:rStyle w:val="Strong"/>
          <w:b w:val="0"/>
        </w:rPr>
        <w:t xml:space="preserve">son </w:t>
      </w:r>
      <w:r w:rsidR="00365AF7" w:rsidRPr="00206086">
        <w:rPr>
          <w:rStyle w:val="Strong"/>
          <w:b w:val="0"/>
        </w:rPr>
        <w:t>with forecasters in Australia and overseas</w:t>
      </w:r>
      <w:r w:rsidR="003D31DD">
        <w:rPr>
          <w:rStyle w:val="Strong"/>
          <w:b w:val="0"/>
        </w:rPr>
        <w:t xml:space="preserve">. </w:t>
      </w:r>
      <w:r w:rsidR="0095082A" w:rsidRPr="00206086">
        <w:rPr>
          <w:rStyle w:val="Strong"/>
          <w:b w:val="0"/>
        </w:rPr>
        <w:t xml:space="preserve">This work forms the </w:t>
      </w:r>
      <w:r w:rsidR="004A6379" w:rsidRPr="00206086">
        <w:rPr>
          <w:rStyle w:val="Strong"/>
          <w:b w:val="0"/>
        </w:rPr>
        <w:t xml:space="preserve">third </w:t>
      </w:r>
      <w:r w:rsidR="00986DF1" w:rsidRPr="00206086">
        <w:rPr>
          <w:rStyle w:val="Strong"/>
          <w:b w:val="0"/>
        </w:rPr>
        <w:t>section</w:t>
      </w:r>
      <w:r w:rsidR="004A6379" w:rsidRPr="00206086">
        <w:rPr>
          <w:rStyle w:val="Strong"/>
          <w:b w:val="0"/>
        </w:rPr>
        <w:t xml:space="preserve"> of this report</w:t>
      </w:r>
    </w:p>
    <w:p w:rsidR="008D3D63" w:rsidRPr="00206086" w:rsidRDefault="007C23E3" w:rsidP="008C452B">
      <w:r w:rsidRPr="00206086">
        <w:rPr>
          <w:rStyle w:val="Strong"/>
          <w:b w:val="0"/>
        </w:rPr>
        <w:t xml:space="preserve">In addition, </w:t>
      </w:r>
      <w:r w:rsidR="00F658F1" w:rsidRPr="00206086">
        <w:t xml:space="preserve">case studies </w:t>
      </w:r>
      <w:r w:rsidR="008842C0" w:rsidRPr="00206086">
        <w:t xml:space="preserve">have been </w:t>
      </w:r>
      <w:r w:rsidR="002E4748" w:rsidRPr="00206086">
        <w:t xml:space="preserve">prepared </w:t>
      </w:r>
      <w:r w:rsidR="00F658F1" w:rsidRPr="00206086">
        <w:t xml:space="preserve">that provide </w:t>
      </w:r>
      <w:r w:rsidR="002E4748" w:rsidRPr="00206086">
        <w:t xml:space="preserve">more </w:t>
      </w:r>
      <w:r w:rsidR="00F658F1" w:rsidRPr="00206086">
        <w:t>qualitative a</w:t>
      </w:r>
      <w:r w:rsidR="002E4748" w:rsidRPr="00206086">
        <w:t>nalysis</w:t>
      </w:r>
      <w:r w:rsidR="00F658F1" w:rsidRPr="00206086">
        <w:t xml:space="preserve"> </w:t>
      </w:r>
      <w:r w:rsidRPr="00206086">
        <w:t xml:space="preserve">of </w:t>
      </w:r>
      <w:r w:rsidR="003010AA" w:rsidRPr="00206086">
        <w:t>Treasury</w:t>
      </w:r>
      <w:r w:rsidR="003D31DD">
        <w:t>’</w:t>
      </w:r>
      <w:r w:rsidR="003010AA" w:rsidRPr="00206086">
        <w:t>s forecasting performance</w:t>
      </w:r>
      <w:r w:rsidR="007E11B8" w:rsidRPr="00206086">
        <w:t xml:space="preserve"> </w:t>
      </w:r>
      <w:r w:rsidR="003010AA" w:rsidRPr="00206086">
        <w:t xml:space="preserve">in relation to the key forecasting challenges </w:t>
      </w:r>
      <w:r w:rsidRPr="00206086">
        <w:t xml:space="preserve">faced </w:t>
      </w:r>
      <w:r w:rsidR="003010AA" w:rsidRPr="00206086">
        <w:t>over the last decade</w:t>
      </w:r>
      <w:r w:rsidR="00B867B6" w:rsidRPr="00206086">
        <w:t xml:space="preserve">, including </w:t>
      </w:r>
      <w:r w:rsidR="007E11B8" w:rsidRPr="00206086">
        <w:t xml:space="preserve">the </w:t>
      </w:r>
      <w:r w:rsidR="00B867B6" w:rsidRPr="00206086">
        <w:t>lessons learned</w:t>
      </w:r>
      <w:r w:rsidR="00C7623C" w:rsidRPr="00206086">
        <w:t xml:space="preserve"> from these events</w:t>
      </w:r>
      <w:r w:rsidR="003D31DD">
        <w:t xml:space="preserve">. </w:t>
      </w:r>
      <w:r w:rsidRPr="00206086">
        <w:t xml:space="preserve">As foreshadowed earlier in this </w:t>
      </w:r>
      <w:r w:rsidR="00C231AF" w:rsidRPr="00206086">
        <w:t>section</w:t>
      </w:r>
      <w:r w:rsidRPr="00206086">
        <w:t>, the</w:t>
      </w:r>
      <w:r w:rsidR="00376F2A" w:rsidRPr="00206086">
        <w:t>se</w:t>
      </w:r>
      <w:r w:rsidRPr="00206086">
        <w:t xml:space="preserve"> forecasting challenges relate to the </w:t>
      </w:r>
      <w:r w:rsidR="007E11B8" w:rsidRPr="00206086">
        <w:t xml:space="preserve">rapid industrialisation of </w:t>
      </w:r>
      <w:r w:rsidRPr="00206086">
        <w:t>China, and the associated terms of trade boom</w:t>
      </w:r>
      <w:r w:rsidR="00C7623C" w:rsidRPr="00206086">
        <w:t>,</w:t>
      </w:r>
      <w:r w:rsidRPr="00206086">
        <w:t xml:space="preserve"> and the GFC</w:t>
      </w:r>
      <w:r w:rsidR="005A7EEA">
        <w:t xml:space="preserve"> and its aftermath</w:t>
      </w:r>
      <w:r w:rsidR="003D31DD">
        <w:t xml:space="preserve">. </w:t>
      </w:r>
      <w:r w:rsidR="00376F2A" w:rsidRPr="00206086">
        <w:t>The</w:t>
      </w:r>
      <w:r w:rsidR="0095082A" w:rsidRPr="00206086">
        <w:t xml:space="preserve"> </w:t>
      </w:r>
      <w:r w:rsidR="00376F2A" w:rsidRPr="00206086">
        <w:t xml:space="preserve">case studies </w:t>
      </w:r>
      <w:r w:rsidR="0062731F" w:rsidRPr="00206086">
        <w:t xml:space="preserve">form </w:t>
      </w:r>
      <w:r w:rsidR="004A6379" w:rsidRPr="00206086">
        <w:t xml:space="preserve">the fourth </w:t>
      </w:r>
      <w:r w:rsidR="00986DF1" w:rsidRPr="00206086">
        <w:t xml:space="preserve">section </w:t>
      </w:r>
      <w:r w:rsidR="0095082A" w:rsidRPr="00206086">
        <w:t xml:space="preserve">of </w:t>
      </w:r>
      <w:r w:rsidR="00376F2A" w:rsidRPr="00206086">
        <w:t>this report.</w:t>
      </w:r>
    </w:p>
    <w:p w:rsidR="00C108BF" w:rsidRPr="00206086" w:rsidRDefault="009918E7" w:rsidP="008C452B">
      <w:pPr>
        <w:pStyle w:val="Heading2"/>
      </w:pPr>
      <w:r w:rsidRPr="00206086">
        <w:t>1.5</w:t>
      </w:r>
      <w:r w:rsidR="00422DA1" w:rsidRPr="00206086">
        <w:t>:</w:t>
      </w:r>
      <w:r w:rsidR="000E429E">
        <w:t xml:space="preserve"> </w:t>
      </w:r>
      <w:r w:rsidR="00E03EC1" w:rsidRPr="00206086">
        <w:t xml:space="preserve">The </w:t>
      </w:r>
      <w:r w:rsidR="00950331" w:rsidRPr="00206086">
        <w:t>r</w:t>
      </w:r>
      <w:r w:rsidR="00C108BF" w:rsidRPr="00206086">
        <w:t xml:space="preserve">ole of the independent external </w:t>
      </w:r>
      <w:r w:rsidR="00365AF7" w:rsidRPr="00206086">
        <w:t>r</w:t>
      </w:r>
      <w:r w:rsidR="00C108BF" w:rsidRPr="00206086">
        <w:t xml:space="preserve">eference </w:t>
      </w:r>
      <w:r w:rsidR="00365AF7" w:rsidRPr="00206086">
        <w:t>g</w:t>
      </w:r>
      <w:r w:rsidR="007E2810" w:rsidRPr="00206086">
        <w:t>roup</w:t>
      </w:r>
    </w:p>
    <w:p w:rsidR="009F5A76" w:rsidRDefault="000D1F55" w:rsidP="00250839">
      <w:r w:rsidRPr="00732830">
        <w:t>The Advisory Panel has played an oversight role, including providing comments and suggestions to the Secretariat on the scope and content of the report.</w:t>
      </w:r>
      <w:r w:rsidR="00813C8C">
        <w:t xml:space="preserve"> </w:t>
      </w:r>
      <w:r w:rsidRPr="00732830">
        <w:t>In addition, the Advisory Panel has prepared the Executive Summary which includes a number of recommendations and suggestions for further improving the Treasury</w:t>
      </w:r>
      <w:r>
        <w:t>’</w:t>
      </w:r>
      <w:r w:rsidRPr="00732830">
        <w:t>s forecasting processes going forward</w:t>
      </w:r>
      <w:r w:rsidR="009F5A76">
        <w:t>.</w:t>
      </w:r>
    </w:p>
    <w:p w:rsidR="003B2163" w:rsidRDefault="00681F3D">
      <w:r w:rsidRPr="00732830">
        <w:t xml:space="preserve">The Secretariat has authored the report and is responsible for the data, analysis and commentary </w:t>
      </w:r>
      <w:r w:rsidR="00856987">
        <w:t xml:space="preserve">contained </w:t>
      </w:r>
      <w:r w:rsidRPr="00732830">
        <w:t>in the report.</w:t>
      </w:r>
    </w:p>
    <w:p w:rsidR="003B2163" w:rsidRDefault="003B2163">
      <w:pPr>
        <w:sectPr w:rsidR="003B2163" w:rsidSect="003B2163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8C452B" w:rsidRPr="00206086" w:rsidRDefault="008C452B"/>
    <w:sectPr w:rsidR="008C452B" w:rsidRPr="00206086" w:rsidSect="003B2163">
      <w:headerReference w:type="first" r:id="rId19"/>
      <w:footerReference w:type="first" r:id="rId20"/>
      <w:type w:val="evenPage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0E" w:rsidRDefault="00FC0F0E" w:rsidP="00D00443">
      <w:pPr>
        <w:spacing w:after="0" w:line="240" w:lineRule="auto"/>
      </w:pPr>
      <w:r>
        <w:separator/>
      </w:r>
    </w:p>
  </w:endnote>
  <w:endnote w:type="continuationSeparator" w:id="0">
    <w:p w:rsidR="00FC0F0E" w:rsidRDefault="00FC0F0E" w:rsidP="00D0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85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F0E" w:rsidRDefault="00FC0F0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0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464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F0E" w:rsidRDefault="00FC0F0E" w:rsidP="003B2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0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951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F0E" w:rsidRDefault="00FC0F0E" w:rsidP="003B2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0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0E" w:rsidRPr="003B2163" w:rsidRDefault="00FC0F0E" w:rsidP="003B2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0E" w:rsidRDefault="00FC0F0E" w:rsidP="00D00443">
      <w:pPr>
        <w:spacing w:after="0" w:line="240" w:lineRule="auto"/>
      </w:pPr>
      <w:r>
        <w:separator/>
      </w:r>
    </w:p>
  </w:footnote>
  <w:footnote w:type="continuationSeparator" w:id="0">
    <w:p w:rsidR="00FC0F0E" w:rsidRDefault="00FC0F0E" w:rsidP="00D00443">
      <w:pPr>
        <w:spacing w:after="0" w:line="240" w:lineRule="auto"/>
      </w:pPr>
      <w:r>
        <w:continuationSeparator/>
      </w:r>
    </w:p>
  </w:footnote>
  <w:footnote w:id="1">
    <w:p w:rsidR="00FC0F0E" w:rsidRPr="00E71F22" w:rsidRDefault="00FC0F0E" w:rsidP="000E429E">
      <w:pPr>
        <w:pStyle w:val="FootnoteText"/>
      </w:pPr>
      <w:r w:rsidRPr="003F4591">
        <w:rPr>
          <w:rStyle w:val="FootnoteReference"/>
          <w:vertAlign w:val="baseline"/>
        </w:rPr>
        <w:footnoteRef/>
      </w:r>
      <w:r w:rsidRPr="00E71F22">
        <w:rPr>
          <w:color w:val="1F497D"/>
        </w:rPr>
        <w:t xml:space="preserve"> </w:t>
      </w:r>
      <w:r w:rsidRPr="00E71F22">
        <w:t xml:space="preserve">Clause 4 of the </w:t>
      </w:r>
      <w:r w:rsidRPr="00E71F22">
        <w:rPr>
          <w:i/>
        </w:rPr>
        <w:t>Charter of Budget Honesty</w:t>
      </w:r>
      <w:r w:rsidRPr="00E71F22">
        <w:t xml:space="preserve"> requires that:</w:t>
      </w:r>
    </w:p>
    <w:p w:rsidR="00FC0F0E" w:rsidRDefault="00FC0F0E" w:rsidP="000E429E">
      <w:pPr>
        <w:pStyle w:val="FootnoteText"/>
        <w:ind w:left="426"/>
      </w:pPr>
      <w:r w:rsidRPr="00E71F22">
        <w:t xml:space="preserve">‘The Government’s fiscal policy is to be directed at maintaining the on-going economic prosperity and welfare of the people of Australia and </w:t>
      </w:r>
      <w:r w:rsidRPr="00E71F22">
        <w:rPr>
          <w:color w:val="000000" w:themeColor="text1"/>
        </w:rPr>
        <w:t>is therefore to be set in a sustainable medium-term framework.’</w:t>
      </w:r>
    </w:p>
  </w:footnote>
  <w:footnote w:id="2">
    <w:p w:rsidR="00FC0F0E" w:rsidRDefault="00FC0F0E" w:rsidP="00250839">
      <w:pPr>
        <w:pStyle w:val="FootnoteText"/>
      </w:pPr>
      <w:r w:rsidRPr="003F4591">
        <w:rPr>
          <w:rStyle w:val="FootnoteReference"/>
          <w:vertAlign w:val="baseline"/>
        </w:rPr>
        <w:footnoteRef/>
      </w:r>
      <w:r w:rsidRPr="005A6DEA">
        <w:t xml:space="preserve"> </w:t>
      </w:r>
      <w:r w:rsidRPr="00321E0D">
        <w:rPr>
          <w:lang w:val="en"/>
        </w:rPr>
        <w:t xml:space="preserve">The outcome of the review of macroeconomic forecasts was published in the </w:t>
      </w:r>
      <w:r w:rsidRPr="00321E0D">
        <w:rPr>
          <w:i/>
          <w:lang w:val="en"/>
        </w:rPr>
        <w:t>Economic Roundup</w:t>
      </w:r>
      <w:r w:rsidRPr="00965A62">
        <w:rPr>
          <w:lang w:val="en"/>
        </w:rPr>
        <w:t>, Autumn, 2005</w:t>
      </w:r>
      <w:r w:rsidRPr="00321E0D">
        <w:rPr>
          <w:lang w:val="en"/>
        </w:rPr>
        <w:t xml:space="preserve">. This follows on from the publication of key results of the 1996 evaluation of macroeconomic forecasting performance in the </w:t>
      </w:r>
      <w:r w:rsidRPr="00321E0D">
        <w:rPr>
          <w:i/>
          <w:lang w:val="en"/>
        </w:rPr>
        <w:t>Economic Roundup</w:t>
      </w:r>
      <w:r w:rsidRPr="00965A62">
        <w:rPr>
          <w:lang w:val="en"/>
        </w:rPr>
        <w:t>, Autumn, 1996</w:t>
      </w:r>
      <w:r w:rsidRPr="00321E0D">
        <w:rPr>
          <w:lang w:val="e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0E" w:rsidRDefault="00FC0F0E" w:rsidP="003B2163">
    <w:pPr>
      <w:pStyle w:val="HeaderEven"/>
    </w:pPr>
    <w:r w:rsidRPr="003B2163">
      <w:t>Review of Treasury Macroeconomic and Revenue Forecasting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0E" w:rsidRDefault="00FC0F0E" w:rsidP="003B2163">
    <w:pPr>
      <w:pStyle w:val="FooterOdd"/>
    </w:pPr>
    <w:r w:rsidRPr="00F9510C">
      <w:t>Section 1:</w:t>
    </w:r>
    <w:r>
      <w:t xml:space="preserve"> </w:t>
    </w:r>
    <w:r w:rsidRPr="00F9510C">
      <w:t>Background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0E" w:rsidRDefault="00FC0F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7C"/>
    <w:multiLevelType w:val="singleLevel"/>
    <w:tmpl w:val="77D80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C86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187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BC7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BE8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168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30F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8EA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34E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9AA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9426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ED3FC7"/>
    <w:multiLevelType w:val="multilevel"/>
    <w:tmpl w:val="38CE9106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2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6CC4E5D"/>
    <w:multiLevelType w:val="multilevel"/>
    <w:tmpl w:val="D10E9CF6"/>
    <w:numStyleLink w:val="OneLevelList"/>
  </w:abstractNum>
  <w:abstractNum w:abstractNumId="15">
    <w:nsid w:val="17DF771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85C408C"/>
    <w:multiLevelType w:val="multilevel"/>
    <w:tmpl w:val="0F885B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9C960FD"/>
    <w:multiLevelType w:val="multilevel"/>
    <w:tmpl w:val="F9EA08C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18">
    <w:nsid w:val="1E6B29F1"/>
    <w:multiLevelType w:val="multilevel"/>
    <w:tmpl w:val="EDEE4FB6"/>
    <w:styleLink w:val="RecommendationBulletList"/>
    <w:lvl w:ilvl="0">
      <w:start w:val="1"/>
      <w:numFmt w:val="bullet"/>
      <w:pStyle w:val="Recommendation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RecommendationDash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RecommendationDoubleDo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F332216"/>
    <w:multiLevelType w:val="multilevel"/>
    <w:tmpl w:val="073E4A8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05109DF"/>
    <w:multiLevelType w:val="multilevel"/>
    <w:tmpl w:val="75A6DDCE"/>
    <w:name w:val="StandardNumberedLi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5EA2A0F"/>
    <w:multiLevelType w:val="multilevel"/>
    <w:tmpl w:val="18BC553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3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4">
    <w:nsid w:val="2D665DFA"/>
    <w:multiLevelType w:val="singleLevel"/>
    <w:tmpl w:val="4120B65C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</w:abstractNum>
  <w:abstractNum w:abstractNumId="25">
    <w:nsid w:val="308C2710"/>
    <w:multiLevelType w:val="multilevel"/>
    <w:tmpl w:val="09A2073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6">
    <w:nsid w:val="30EB5FC2"/>
    <w:multiLevelType w:val="multilevel"/>
    <w:tmpl w:val="542A660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  <w:i w:val="0"/>
      </w:rPr>
    </w:lvl>
  </w:abstractNum>
  <w:abstractNum w:abstractNumId="27">
    <w:nsid w:val="3238442C"/>
    <w:multiLevelType w:val="multilevel"/>
    <w:tmpl w:val="4DAA0B3E"/>
    <w:styleLink w:val="ChartandTableFootnoteAlphaList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35CB6ACF"/>
    <w:multiLevelType w:val="multilevel"/>
    <w:tmpl w:val="B6F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50388C"/>
    <w:multiLevelType w:val="multilevel"/>
    <w:tmpl w:val="42761B62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45772BE"/>
    <w:multiLevelType w:val="hybridMultilevel"/>
    <w:tmpl w:val="53CE7132"/>
    <w:lvl w:ilvl="0" w:tplc="BB88CF9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5B0A7E"/>
    <w:multiLevelType w:val="multilevel"/>
    <w:tmpl w:val="EDEE4FB6"/>
    <w:numStyleLink w:val="RecommendationBulletList"/>
  </w:abstractNum>
  <w:abstractNum w:abstractNumId="33">
    <w:nsid w:val="483E25F6"/>
    <w:multiLevelType w:val="multilevel"/>
    <w:tmpl w:val="2D022FDA"/>
    <w:styleLink w:val="AlphaParagraphList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35">
    <w:nsid w:val="51002E86"/>
    <w:multiLevelType w:val="hybridMultilevel"/>
    <w:tmpl w:val="AEE416AE"/>
    <w:lvl w:ilvl="0" w:tplc="779E70D4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Book Antiqua" w:hAnsi="Book Antiqu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0808AA">
      <w:start w:val="1"/>
      <w:numFmt w:val="none"/>
      <w:lvlText w:val="(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0D2021"/>
    <w:multiLevelType w:val="multilevel"/>
    <w:tmpl w:val="72F8140E"/>
    <w:numStyleLink w:val="OutlineList"/>
  </w:abstractNum>
  <w:abstractNum w:abstractNumId="37">
    <w:nsid w:val="55AB4DA1"/>
    <w:multiLevelType w:val="multilevel"/>
    <w:tmpl w:val="7E40BB68"/>
    <w:styleLink w:val="TableTest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5F73129"/>
    <w:multiLevelType w:val="multilevel"/>
    <w:tmpl w:val="D9A8A212"/>
    <w:numStyleLink w:val="RomanNumeralList"/>
  </w:abstractNum>
  <w:abstractNum w:abstractNumId="39">
    <w:nsid w:val="58101827"/>
    <w:multiLevelType w:val="multilevel"/>
    <w:tmpl w:val="414EA7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40">
    <w:nsid w:val="5E0A6F8D"/>
    <w:multiLevelType w:val="multilevel"/>
    <w:tmpl w:val="51941ED6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41">
    <w:nsid w:val="5E9A7DFC"/>
    <w:multiLevelType w:val="hybridMultilevel"/>
    <w:tmpl w:val="14A2037C"/>
    <w:lvl w:ilvl="0" w:tplc="1E7AB46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E336C2"/>
    <w:multiLevelType w:val="multilevel"/>
    <w:tmpl w:val="DAC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6C25F4"/>
    <w:multiLevelType w:val="multilevel"/>
    <w:tmpl w:val="49A233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>
    <w:nsid w:val="7ECA6F13"/>
    <w:multiLevelType w:val="hybridMultilevel"/>
    <w:tmpl w:val="F7308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30"/>
  </w:num>
  <w:num w:numId="2">
    <w:abstractNumId w:val="29"/>
  </w:num>
  <w:num w:numId="3">
    <w:abstractNumId w:val="42"/>
  </w:num>
  <w:num w:numId="4">
    <w:abstractNumId w:val="19"/>
  </w:num>
  <w:num w:numId="5">
    <w:abstractNumId w:val="20"/>
  </w:num>
  <w:num w:numId="6">
    <w:abstractNumId w:val="31"/>
  </w:num>
  <w:num w:numId="7">
    <w:abstractNumId w:val="16"/>
  </w:num>
  <w:num w:numId="8">
    <w:abstractNumId w:val="46"/>
  </w:num>
  <w:num w:numId="9">
    <w:abstractNumId w:val="35"/>
  </w:num>
  <w:num w:numId="10">
    <w:abstractNumId w:val="24"/>
  </w:num>
  <w:num w:numId="11">
    <w:abstractNumId w:val="39"/>
  </w:num>
  <w:num w:numId="12">
    <w:abstractNumId w:val="34"/>
  </w:num>
  <w:num w:numId="13">
    <w:abstractNumId w:val="22"/>
  </w:num>
  <w:num w:numId="14">
    <w:abstractNumId w:val="43"/>
  </w:num>
  <w:num w:numId="15">
    <w:abstractNumId w:val="17"/>
  </w:num>
  <w:num w:numId="16">
    <w:abstractNumId w:val="26"/>
  </w:num>
  <w:num w:numId="17">
    <w:abstractNumId w:val="40"/>
  </w:num>
  <w:num w:numId="18">
    <w:abstractNumId w:val="23"/>
  </w:num>
  <w:num w:numId="19">
    <w:abstractNumId w:val="44"/>
  </w:num>
  <w:num w:numId="20">
    <w:abstractNumId w:val="41"/>
  </w:num>
  <w:num w:numId="21">
    <w:abstractNumId w:val="25"/>
  </w:num>
  <w:num w:numId="22">
    <w:abstractNumId w:val="11"/>
  </w:num>
  <w:num w:numId="23">
    <w:abstractNumId w:val="15"/>
  </w:num>
  <w:num w:numId="24">
    <w:abstractNumId w:val="33"/>
  </w:num>
  <w:num w:numId="25">
    <w:abstractNumId w:val="10"/>
  </w:num>
  <w:num w:numId="26">
    <w:abstractNumId w:val="28"/>
  </w:num>
  <w:num w:numId="27">
    <w:abstractNumId w:val="13"/>
  </w:num>
  <w:num w:numId="28">
    <w:abstractNumId w:val="18"/>
  </w:num>
  <w:num w:numId="29">
    <w:abstractNumId w:val="12"/>
  </w:num>
  <w:num w:numId="30">
    <w:abstractNumId w:val="14"/>
  </w:num>
  <w:num w:numId="31">
    <w:abstractNumId w:val="36"/>
  </w:num>
  <w:num w:numId="32">
    <w:abstractNumId w:val="32"/>
  </w:num>
  <w:num w:numId="33">
    <w:abstractNumId w:val="38"/>
  </w:num>
  <w:num w:numId="34">
    <w:abstractNumId w:val="27"/>
  </w:num>
  <w:num w:numId="35">
    <w:abstractNumId w:val="37"/>
  </w:num>
  <w:num w:numId="36">
    <w:abstractNumId w:val="21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56"/>
    <w:rsid w:val="0000203B"/>
    <w:rsid w:val="00003828"/>
    <w:rsid w:val="00003912"/>
    <w:rsid w:val="00011C1E"/>
    <w:rsid w:val="00012694"/>
    <w:rsid w:val="00017C00"/>
    <w:rsid w:val="00024440"/>
    <w:rsid w:val="00024974"/>
    <w:rsid w:val="00030421"/>
    <w:rsid w:val="000327D6"/>
    <w:rsid w:val="00036CF1"/>
    <w:rsid w:val="000607EA"/>
    <w:rsid w:val="00061230"/>
    <w:rsid w:val="00065663"/>
    <w:rsid w:val="00070E5A"/>
    <w:rsid w:val="00073E88"/>
    <w:rsid w:val="0008238E"/>
    <w:rsid w:val="00082D85"/>
    <w:rsid w:val="000834C5"/>
    <w:rsid w:val="00084322"/>
    <w:rsid w:val="000846A9"/>
    <w:rsid w:val="000A07D6"/>
    <w:rsid w:val="000A139D"/>
    <w:rsid w:val="000A4BBB"/>
    <w:rsid w:val="000A6841"/>
    <w:rsid w:val="000B754D"/>
    <w:rsid w:val="000C6E1E"/>
    <w:rsid w:val="000C7925"/>
    <w:rsid w:val="000D0663"/>
    <w:rsid w:val="000D1F55"/>
    <w:rsid w:val="000D4F9F"/>
    <w:rsid w:val="000E429E"/>
    <w:rsid w:val="000F1D93"/>
    <w:rsid w:val="000F2A6D"/>
    <w:rsid w:val="000F2B21"/>
    <w:rsid w:val="000F2EC2"/>
    <w:rsid w:val="000F4509"/>
    <w:rsid w:val="00100E97"/>
    <w:rsid w:val="00103033"/>
    <w:rsid w:val="00103ED2"/>
    <w:rsid w:val="00105A11"/>
    <w:rsid w:val="00106F93"/>
    <w:rsid w:val="00110143"/>
    <w:rsid w:val="00110F51"/>
    <w:rsid w:val="001129C3"/>
    <w:rsid w:val="0011363F"/>
    <w:rsid w:val="001154EB"/>
    <w:rsid w:val="00131FDE"/>
    <w:rsid w:val="0013388A"/>
    <w:rsid w:val="00142F4C"/>
    <w:rsid w:val="00146095"/>
    <w:rsid w:val="00146CE0"/>
    <w:rsid w:val="0015097A"/>
    <w:rsid w:val="00151279"/>
    <w:rsid w:val="001530CC"/>
    <w:rsid w:val="001554ED"/>
    <w:rsid w:val="001564B3"/>
    <w:rsid w:val="00170D7F"/>
    <w:rsid w:val="00171B2D"/>
    <w:rsid w:val="00173317"/>
    <w:rsid w:val="00173B58"/>
    <w:rsid w:val="00174684"/>
    <w:rsid w:val="001761C2"/>
    <w:rsid w:val="00176F83"/>
    <w:rsid w:val="00176FB9"/>
    <w:rsid w:val="001835A1"/>
    <w:rsid w:val="00185013"/>
    <w:rsid w:val="001920E5"/>
    <w:rsid w:val="00192A93"/>
    <w:rsid w:val="00194A0B"/>
    <w:rsid w:val="00195371"/>
    <w:rsid w:val="001A1C80"/>
    <w:rsid w:val="001A44D7"/>
    <w:rsid w:val="001A4CC5"/>
    <w:rsid w:val="001A4F10"/>
    <w:rsid w:val="001B1D1A"/>
    <w:rsid w:val="001C173F"/>
    <w:rsid w:val="001C78F6"/>
    <w:rsid w:val="001D255D"/>
    <w:rsid w:val="001D3BD7"/>
    <w:rsid w:val="001D65BE"/>
    <w:rsid w:val="001E5482"/>
    <w:rsid w:val="001E6F84"/>
    <w:rsid w:val="001F0303"/>
    <w:rsid w:val="00202A1B"/>
    <w:rsid w:val="00203B99"/>
    <w:rsid w:val="00206086"/>
    <w:rsid w:val="002079A7"/>
    <w:rsid w:val="00221A80"/>
    <w:rsid w:val="00221D7D"/>
    <w:rsid w:val="00221FB2"/>
    <w:rsid w:val="002226E2"/>
    <w:rsid w:val="00230EE8"/>
    <w:rsid w:val="00232C57"/>
    <w:rsid w:val="00232CF1"/>
    <w:rsid w:val="00236FB5"/>
    <w:rsid w:val="00237207"/>
    <w:rsid w:val="00237332"/>
    <w:rsid w:val="00243F64"/>
    <w:rsid w:val="00250839"/>
    <w:rsid w:val="002562EC"/>
    <w:rsid w:val="00256C00"/>
    <w:rsid w:val="00257C3A"/>
    <w:rsid w:val="002615B6"/>
    <w:rsid w:val="00265342"/>
    <w:rsid w:val="002729EF"/>
    <w:rsid w:val="0027414D"/>
    <w:rsid w:val="00274A5A"/>
    <w:rsid w:val="00274AE7"/>
    <w:rsid w:val="00276628"/>
    <w:rsid w:val="00286615"/>
    <w:rsid w:val="002878F5"/>
    <w:rsid w:val="00290F06"/>
    <w:rsid w:val="002A00BB"/>
    <w:rsid w:val="002A02C7"/>
    <w:rsid w:val="002A0732"/>
    <w:rsid w:val="002A3BA5"/>
    <w:rsid w:val="002A434C"/>
    <w:rsid w:val="002A53ED"/>
    <w:rsid w:val="002A6FE6"/>
    <w:rsid w:val="002A7D9A"/>
    <w:rsid w:val="002B134E"/>
    <w:rsid w:val="002B6C09"/>
    <w:rsid w:val="002B7AA7"/>
    <w:rsid w:val="002C2AE6"/>
    <w:rsid w:val="002C2C0E"/>
    <w:rsid w:val="002C796A"/>
    <w:rsid w:val="002D1DF4"/>
    <w:rsid w:val="002D3948"/>
    <w:rsid w:val="002D6C7A"/>
    <w:rsid w:val="002E084A"/>
    <w:rsid w:val="002E4748"/>
    <w:rsid w:val="002E6FF2"/>
    <w:rsid w:val="002F1453"/>
    <w:rsid w:val="002F41B5"/>
    <w:rsid w:val="002F6F5D"/>
    <w:rsid w:val="003010AA"/>
    <w:rsid w:val="00307869"/>
    <w:rsid w:val="00310F2D"/>
    <w:rsid w:val="00313987"/>
    <w:rsid w:val="00317C97"/>
    <w:rsid w:val="00321E0D"/>
    <w:rsid w:val="00323EE1"/>
    <w:rsid w:val="0032712B"/>
    <w:rsid w:val="00327715"/>
    <w:rsid w:val="00334815"/>
    <w:rsid w:val="00340446"/>
    <w:rsid w:val="003458FD"/>
    <w:rsid w:val="00347033"/>
    <w:rsid w:val="003552F9"/>
    <w:rsid w:val="00356D33"/>
    <w:rsid w:val="00363057"/>
    <w:rsid w:val="00365A28"/>
    <w:rsid w:val="00365AF7"/>
    <w:rsid w:val="00366C4D"/>
    <w:rsid w:val="00376E4C"/>
    <w:rsid w:val="00376F2A"/>
    <w:rsid w:val="00397119"/>
    <w:rsid w:val="00397A1D"/>
    <w:rsid w:val="003A1434"/>
    <w:rsid w:val="003B0E3C"/>
    <w:rsid w:val="003B2163"/>
    <w:rsid w:val="003C0B8A"/>
    <w:rsid w:val="003C695A"/>
    <w:rsid w:val="003D1E9A"/>
    <w:rsid w:val="003D31DD"/>
    <w:rsid w:val="003D36CF"/>
    <w:rsid w:val="003D7E65"/>
    <w:rsid w:val="003E159F"/>
    <w:rsid w:val="003E3BC2"/>
    <w:rsid w:val="003E797E"/>
    <w:rsid w:val="003F4591"/>
    <w:rsid w:val="003F4875"/>
    <w:rsid w:val="0040345D"/>
    <w:rsid w:val="004101DF"/>
    <w:rsid w:val="00410FC9"/>
    <w:rsid w:val="004123CE"/>
    <w:rsid w:val="00415DEA"/>
    <w:rsid w:val="00420271"/>
    <w:rsid w:val="0042222D"/>
    <w:rsid w:val="00422DA1"/>
    <w:rsid w:val="00432CDD"/>
    <w:rsid w:val="00433281"/>
    <w:rsid w:val="00443910"/>
    <w:rsid w:val="00443DE2"/>
    <w:rsid w:val="00447E2D"/>
    <w:rsid w:val="004502D7"/>
    <w:rsid w:val="00462B4F"/>
    <w:rsid w:val="00465940"/>
    <w:rsid w:val="0047391A"/>
    <w:rsid w:val="00483E2E"/>
    <w:rsid w:val="00485D5C"/>
    <w:rsid w:val="004866A5"/>
    <w:rsid w:val="00487C71"/>
    <w:rsid w:val="00494680"/>
    <w:rsid w:val="004963A0"/>
    <w:rsid w:val="00497B63"/>
    <w:rsid w:val="004A1278"/>
    <w:rsid w:val="004A15CD"/>
    <w:rsid w:val="004A6379"/>
    <w:rsid w:val="004B4431"/>
    <w:rsid w:val="004B498B"/>
    <w:rsid w:val="004C1284"/>
    <w:rsid w:val="004C3676"/>
    <w:rsid w:val="004C5C62"/>
    <w:rsid w:val="004C76B1"/>
    <w:rsid w:val="004D35C5"/>
    <w:rsid w:val="004F19B5"/>
    <w:rsid w:val="004F54C8"/>
    <w:rsid w:val="00500DA6"/>
    <w:rsid w:val="00511B2F"/>
    <w:rsid w:val="00521283"/>
    <w:rsid w:val="00525105"/>
    <w:rsid w:val="005260E9"/>
    <w:rsid w:val="00531D51"/>
    <w:rsid w:val="00533A95"/>
    <w:rsid w:val="0053710A"/>
    <w:rsid w:val="00542109"/>
    <w:rsid w:val="005425BF"/>
    <w:rsid w:val="00542E5D"/>
    <w:rsid w:val="00544EC8"/>
    <w:rsid w:val="00547C91"/>
    <w:rsid w:val="00547DC3"/>
    <w:rsid w:val="005505C3"/>
    <w:rsid w:val="00557DDF"/>
    <w:rsid w:val="00567922"/>
    <w:rsid w:val="0058013F"/>
    <w:rsid w:val="0058411A"/>
    <w:rsid w:val="0058530B"/>
    <w:rsid w:val="0059333D"/>
    <w:rsid w:val="0059739F"/>
    <w:rsid w:val="005A6DEA"/>
    <w:rsid w:val="005A7A03"/>
    <w:rsid w:val="005A7EEA"/>
    <w:rsid w:val="005B4668"/>
    <w:rsid w:val="005B5DD3"/>
    <w:rsid w:val="005C1C97"/>
    <w:rsid w:val="005C2801"/>
    <w:rsid w:val="005D1219"/>
    <w:rsid w:val="005D4F9B"/>
    <w:rsid w:val="005D775D"/>
    <w:rsid w:val="005E1733"/>
    <w:rsid w:val="005E1CA5"/>
    <w:rsid w:val="005F4653"/>
    <w:rsid w:val="005F6E77"/>
    <w:rsid w:val="00600021"/>
    <w:rsid w:val="00601113"/>
    <w:rsid w:val="00601640"/>
    <w:rsid w:val="0060407F"/>
    <w:rsid w:val="006052D2"/>
    <w:rsid w:val="006053B5"/>
    <w:rsid w:val="00606D6E"/>
    <w:rsid w:val="006073EE"/>
    <w:rsid w:val="00610524"/>
    <w:rsid w:val="00611ABE"/>
    <w:rsid w:val="0062519B"/>
    <w:rsid w:val="00625BC0"/>
    <w:rsid w:val="0062731F"/>
    <w:rsid w:val="006345AB"/>
    <w:rsid w:val="00635B71"/>
    <w:rsid w:val="00641A35"/>
    <w:rsid w:val="0064297E"/>
    <w:rsid w:val="00650951"/>
    <w:rsid w:val="0065201C"/>
    <w:rsid w:val="00655063"/>
    <w:rsid w:val="00656BE4"/>
    <w:rsid w:val="00657FFC"/>
    <w:rsid w:val="00662B02"/>
    <w:rsid w:val="0066346D"/>
    <w:rsid w:val="00670806"/>
    <w:rsid w:val="006737BF"/>
    <w:rsid w:val="006748E6"/>
    <w:rsid w:val="00674C93"/>
    <w:rsid w:val="00680732"/>
    <w:rsid w:val="00681F3D"/>
    <w:rsid w:val="00682881"/>
    <w:rsid w:val="00687147"/>
    <w:rsid w:val="006874E7"/>
    <w:rsid w:val="006905F8"/>
    <w:rsid w:val="00697FF0"/>
    <w:rsid w:val="006A4AFC"/>
    <w:rsid w:val="006B4173"/>
    <w:rsid w:val="006B4687"/>
    <w:rsid w:val="006C67D4"/>
    <w:rsid w:val="006D67FE"/>
    <w:rsid w:val="006E24E4"/>
    <w:rsid w:val="006E6638"/>
    <w:rsid w:val="006F036B"/>
    <w:rsid w:val="006F34AD"/>
    <w:rsid w:val="006F5035"/>
    <w:rsid w:val="007002C6"/>
    <w:rsid w:val="00701AE9"/>
    <w:rsid w:val="007051BF"/>
    <w:rsid w:val="00710124"/>
    <w:rsid w:val="007157EB"/>
    <w:rsid w:val="00731FA9"/>
    <w:rsid w:val="0073212A"/>
    <w:rsid w:val="00734348"/>
    <w:rsid w:val="00734491"/>
    <w:rsid w:val="00742901"/>
    <w:rsid w:val="00742A79"/>
    <w:rsid w:val="00744183"/>
    <w:rsid w:val="00753952"/>
    <w:rsid w:val="00753BE5"/>
    <w:rsid w:val="0075791A"/>
    <w:rsid w:val="00757AEB"/>
    <w:rsid w:val="007634C0"/>
    <w:rsid w:val="00765B29"/>
    <w:rsid w:val="00770E81"/>
    <w:rsid w:val="00771BF9"/>
    <w:rsid w:val="00774FCD"/>
    <w:rsid w:val="007756F8"/>
    <w:rsid w:val="00780B1F"/>
    <w:rsid w:val="0078282D"/>
    <w:rsid w:val="00785F96"/>
    <w:rsid w:val="00794233"/>
    <w:rsid w:val="007A7C9F"/>
    <w:rsid w:val="007B3195"/>
    <w:rsid w:val="007B6505"/>
    <w:rsid w:val="007B7A4C"/>
    <w:rsid w:val="007C1A9C"/>
    <w:rsid w:val="007C23E3"/>
    <w:rsid w:val="007C3EFD"/>
    <w:rsid w:val="007E11B8"/>
    <w:rsid w:val="007E2810"/>
    <w:rsid w:val="007E44F2"/>
    <w:rsid w:val="007E7D51"/>
    <w:rsid w:val="007F045A"/>
    <w:rsid w:val="008061F3"/>
    <w:rsid w:val="00807049"/>
    <w:rsid w:val="00813A8B"/>
    <w:rsid w:val="00813C8C"/>
    <w:rsid w:val="008151E7"/>
    <w:rsid w:val="008240F9"/>
    <w:rsid w:val="008267F7"/>
    <w:rsid w:val="00826B39"/>
    <w:rsid w:val="008415EF"/>
    <w:rsid w:val="00846975"/>
    <w:rsid w:val="00846AF1"/>
    <w:rsid w:val="00855EAD"/>
    <w:rsid w:val="00856987"/>
    <w:rsid w:val="00857F45"/>
    <w:rsid w:val="00862691"/>
    <w:rsid w:val="00864677"/>
    <w:rsid w:val="00880D5D"/>
    <w:rsid w:val="008828A3"/>
    <w:rsid w:val="008842C0"/>
    <w:rsid w:val="00884562"/>
    <w:rsid w:val="008915E8"/>
    <w:rsid w:val="008A2F18"/>
    <w:rsid w:val="008B3038"/>
    <w:rsid w:val="008B41C5"/>
    <w:rsid w:val="008B4993"/>
    <w:rsid w:val="008B5300"/>
    <w:rsid w:val="008C3830"/>
    <w:rsid w:val="008C452B"/>
    <w:rsid w:val="008C72B2"/>
    <w:rsid w:val="008D1BB4"/>
    <w:rsid w:val="008D3D63"/>
    <w:rsid w:val="008D3F7C"/>
    <w:rsid w:val="008D48CC"/>
    <w:rsid w:val="008E0370"/>
    <w:rsid w:val="008E75C5"/>
    <w:rsid w:val="008F0F46"/>
    <w:rsid w:val="008F1624"/>
    <w:rsid w:val="008F5744"/>
    <w:rsid w:val="008F694A"/>
    <w:rsid w:val="009037B8"/>
    <w:rsid w:val="0090401E"/>
    <w:rsid w:val="009079DC"/>
    <w:rsid w:val="00907DD0"/>
    <w:rsid w:val="0091654F"/>
    <w:rsid w:val="009175D7"/>
    <w:rsid w:val="00922145"/>
    <w:rsid w:val="0092391B"/>
    <w:rsid w:val="0092545E"/>
    <w:rsid w:val="00926A7D"/>
    <w:rsid w:val="00931D06"/>
    <w:rsid w:val="00934696"/>
    <w:rsid w:val="00950331"/>
    <w:rsid w:val="0095082A"/>
    <w:rsid w:val="00953F70"/>
    <w:rsid w:val="00955C18"/>
    <w:rsid w:val="0095756E"/>
    <w:rsid w:val="00965A62"/>
    <w:rsid w:val="00986DF1"/>
    <w:rsid w:val="009914D4"/>
    <w:rsid w:val="009918E7"/>
    <w:rsid w:val="009943CE"/>
    <w:rsid w:val="00997D80"/>
    <w:rsid w:val="009A1D87"/>
    <w:rsid w:val="009A3F72"/>
    <w:rsid w:val="009B1919"/>
    <w:rsid w:val="009B1AD4"/>
    <w:rsid w:val="009C1BF1"/>
    <w:rsid w:val="009C3C68"/>
    <w:rsid w:val="009E2333"/>
    <w:rsid w:val="009F38EC"/>
    <w:rsid w:val="009F5A76"/>
    <w:rsid w:val="009F7924"/>
    <w:rsid w:val="00A00CDE"/>
    <w:rsid w:val="00A153BB"/>
    <w:rsid w:val="00A37190"/>
    <w:rsid w:val="00A41E72"/>
    <w:rsid w:val="00A45424"/>
    <w:rsid w:val="00A466C2"/>
    <w:rsid w:val="00A54538"/>
    <w:rsid w:val="00A546F8"/>
    <w:rsid w:val="00A720A6"/>
    <w:rsid w:val="00A733CF"/>
    <w:rsid w:val="00A7607A"/>
    <w:rsid w:val="00A76EFF"/>
    <w:rsid w:val="00A77F3B"/>
    <w:rsid w:val="00A80F47"/>
    <w:rsid w:val="00A834F9"/>
    <w:rsid w:val="00A85A47"/>
    <w:rsid w:val="00A91FD3"/>
    <w:rsid w:val="00AA4147"/>
    <w:rsid w:val="00AA681C"/>
    <w:rsid w:val="00AA68C0"/>
    <w:rsid w:val="00AB07DE"/>
    <w:rsid w:val="00AB49D5"/>
    <w:rsid w:val="00AC3456"/>
    <w:rsid w:val="00AE568F"/>
    <w:rsid w:val="00AE7B71"/>
    <w:rsid w:val="00AF3F1F"/>
    <w:rsid w:val="00AF4D20"/>
    <w:rsid w:val="00AF6A95"/>
    <w:rsid w:val="00AF7094"/>
    <w:rsid w:val="00B0548A"/>
    <w:rsid w:val="00B07310"/>
    <w:rsid w:val="00B12B7A"/>
    <w:rsid w:val="00B13100"/>
    <w:rsid w:val="00B15B83"/>
    <w:rsid w:val="00B200FC"/>
    <w:rsid w:val="00B20239"/>
    <w:rsid w:val="00B34FB7"/>
    <w:rsid w:val="00B366DB"/>
    <w:rsid w:val="00B42825"/>
    <w:rsid w:val="00B4407B"/>
    <w:rsid w:val="00B45919"/>
    <w:rsid w:val="00B468AA"/>
    <w:rsid w:val="00B47D42"/>
    <w:rsid w:val="00B53770"/>
    <w:rsid w:val="00B572F4"/>
    <w:rsid w:val="00B71CC8"/>
    <w:rsid w:val="00B752C7"/>
    <w:rsid w:val="00B76193"/>
    <w:rsid w:val="00B83A88"/>
    <w:rsid w:val="00B867B6"/>
    <w:rsid w:val="00B921D2"/>
    <w:rsid w:val="00B94D15"/>
    <w:rsid w:val="00B9711D"/>
    <w:rsid w:val="00BA0022"/>
    <w:rsid w:val="00BA0304"/>
    <w:rsid w:val="00BB47CC"/>
    <w:rsid w:val="00BB7139"/>
    <w:rsid w:val="00BC10DF"/>
    <w:rsid w:val="00BC4FB2"/>
    <w:rsid w:val="00BC7A23"/>
    <w:rsid w:val="00BD2D2A"/>
    <w:rsid w:val="00BD4BC1"/>
    <w:rsid w:val="00BE0375"/>
    <w:rsid w:val="00BF1B7B"/>
    <w:rsid w:val="00C05D90"/>
    <w:rsid w:val="00C06AC6"/>
    <w:rsid w:val="00C105BC"/>
    <w:rsid w:val="00C108BF"/>
    <w:rsid w:val="00C231AF"/>
    <w:rsid w:val="00C268B0"/>
    <w:rsid w:val="00C344F2"/>
    <w:rsid w:val="00C36E32"/>
    <w:rsid w:val="00C417B6"/>
    <w:rsid w:val="00C54609"/>
    <w:rsid w:val="00C550AB"/>
    <w:rsid w:val="00C71010"/>
    <w:rsid w:val="00C7398C"/>
    <w:rsid w:val="00C73B87"/>
    <w:rsid w:val="00C74EFC"/>
    <w:rsid w:val="00C76084"/>
    <w:rsid w:val="00C7623C"/>
    <w:rsid w:val="00C775AE"/>
    <w:rsid w:val="00C8081F"/>
    <w:rsid w:val="00C8407F"/>
    <w:rsid w:val="00C872BD"/>
    <w:rsid w:val="00C875C2"/>
    <w:rsid w:val="00C90A4C"/>
    <w:rsid w:val="00C95EBE"/>
    <w:rsid w:val="00CA10F5"/>
    <w:rsid w:val="00CA298B"/>
    <w:rsid w:val="00CA7B7D"/>
    <w:rsid w:val="00CB0098"/>
    <w:rsid w:val="00CC22D4"/>
    <w:rsid w:val="00CD4539"/>
    <w:rsid w:val="00CF136B"/>
    <w:rsid w:val="00CF31BD"/>
    <w:rsid w:val="00CF3ECA"/>
    <w:rsid w:val="00CF53BE"/>
    <w:rsid w:val="00D00443"/>
    <w:rsid w:val="00D03960"/>
    <w:rsid w:val="00D13191"/>
    <w:rsid w:val="00D13435"/>
    <w:rsid w:val="00D157AC"/>
    <w:rsid w:val="00D17E61"/>
    <w:rsid w:val="00D2270B"/>
    <w:rsid w:val="00D35811"/>
    <w:rsid w:val="00D3740F"/>
    <w:rsid w:val="00D505DB"/>
    <w:rsid w:val="00D6520C"/>
    <w:rsid w:val="00D73986"/>
    <w:rsid w:val="00D83DF2"/>
    <w:rsid w:val="00D85269"/>
    <w:rsid w:val="00D91523"/>
    <w:rsid w:val="00D94043"/>
    <w:rsid w:val="00D9617F"/>
    <w:rsid w:val="00DA3925"/>
    <w:rsid w:val="00DB0AE0"/>
    <w:rsid w:val="00DB1729"/>
    <w:rsid w:val="00DB2F1F"/>
    <w:rsid w:val="00DB3F97"/>
    <w:rsid w:val="00DB7AD5"/>
    <w:rsid w:val="00DC3C2C"/>
    <w:rsid w:val="00DC42DB"/>
    <w:rsid w:val="00DD1BB1"/>
    <w:rsid w:val="00DD6F83"/>
    <w:rsid w:val="00DE42A9"/>
    <w:rsid w:val="00DE5A71"/>
    <w:rsid w:val="00DF479B"/>
    <w:rsid w:val="00E03EC1"/>
    <w:rsid w:val="00E1096C"/>
    <w:rsid w:val="00E153A7"/>
    <w:rsid w:val="00E16D56"/>
    <w:rsid w:val="00E208C8"/>
    <w:rsid w:val="00E21E22"/>
    <w:rsid w:val="00E248A6"/>
    <w:rsid w:val="00E26DFB"/>
    <w:rsid w:val="00E27F80"/>
    <w:rsid w:val="00E30F6A"/>
    <w:rsid w:val="00E31925"/>
    <w:rsid w:val="00E37C72"/>
    <w:rsid w:val="00E44363"/>
    <w:rsid w:val="00E44B08"/>
    <w:rsid w:val="00E469F8"/>
    <w:rsid w:val="00E54916"/>
    <w:rsid w:val="00E620C5"/>
    <w:rsid w:val="00E71F22"/>
    <w:rsid w:val="00E734AD"/>
    <w:rsid w:val="00E74421"/>
    <w:rsid w:val="00E748A3"/>
    <w:rsid w:val="00E74944"/>
    <w:rsid w:val="00E7578E"/>
    <w:rsid w:val="00E9151C"/>
    <w:rsid w:val="00E91586"/>
    <w:rsid w:val="00EA7407"/>
    <w:rsid w:val="00EA797B"/>
    <w:rsid w:val="00EB2FCC"/>
    <w:rsid w:val="00ED14A8"/>
    <w:rsid w:val="00EE2E3C"/>
    <w:rsid w:val="00EE3C08"/>
    <w:rsid w:val="00EE4E5B"/>
    <w:rsid w:val="00EE54C5"/>
    <w:rsid w:val="00EE64E6"/>
    <w:rsid w:val="00EE669F"/>
    <w:rsid w:val="00EE7A62"/>
    <w:rsid w:val="00EF032D"/>
    <w:rsid w:val="00EF3401"/>
    <w:rsid w:val="00F00101"/>
    <w:rsid w:val="00F00D13"/>
    <w:rsid w:val="00F01336"/>
    <w:rsid w:val="00F060FC"/>
    <w:rsid w:val="00F13888"/>
    <w:rsid w:val="00F1452B"/>
    <w:rsid w:val="00F15251"/>
    <w:rsid w:val="00F20021"/>
    <w:rsid w:val="00F23425"/>
    <w:rsid w:val="00F41048"/>
    <w:rsid w:val="00F51637"/>
    <w:rsid w:val="00F5540D"/>
    <w:rsid w:val="00F55E1A"/>
    <w:rsid w:val="00F56851"/>
    <w:rsid w:val="00F658F1"/>
    <w:rsid w:val="00F66ECA"/>
    <w:rsid w:val="00F722AD"/>
    <w:rsid w:val="00F751D0"/>
    <w:rsid w:val="00F80509"/>
    <w:rsid w:val="00F854D5"/>
    <w:rsid w:val="00F87F9C"/>
    <w:rsid w:val="00F9510C"/>
    <w:rsid w:val="00F9620F"/>
    <w:rsid w:val="00FA3260"/>
    <w:rsid w:val="00FA33BD"/>
    <w:rsid w:val="00FA4B03"/>
    <w:rsid w:val="00FB0D97"/>
    <w:rsid w:val="00FB172A"/>
    <w:rsid w:val="00FB5D8D"/>
    <w:rsid w:val="00FC0F0E"/>
    <w:rsid w:val="00FC7243"/>
    <w:rsid w:val="00FD328D"/>
    <w:rsid w:val="00FD5868"/>
    <w:rsid w:val="00FD727B"/>
    <w:rsid w:val="00FD79C6"/>
    <w:rsid w:val="00FE7238"/>
    <w:rsid w:val="00FF3175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2B"/>
    <w:pPr>
      <w:spacing w:after="240" w:line="260" w:lineRule="exact"/>
      <w:jc w:val="both"/>
    </w:pPr>
    <w:rPr>
      <w:rFonts w:ascii="Times New Roman" w:eastAsia="Times New Roman" w:hAnsi="Times New Roman" w:cs="Times New Roman"/>
      <w:bCs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8C452B"/>
    <w:pPr>
      <w:spacing w:after="360"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HeadingBase"/>
    <w:next w:val="Normal"/>
    <w:link w:val="Heading2Char"/>
    <w:qFormat/>
    <w:rsid w:val="008C452B"/>
    <w:pPr>
      <w:spacing w:after="24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HeadingBase"/>
    <w:next w:val="Normal"/>
    <w:link w:val="Heading3Char"/>
    <w:qFormat/>
    <w:rsid w:val="008C452B"/>
    <w:pPr>
      <w:spacing w:after="240"/>
      <w:outlineLvl w:val="2"/>
    </w:pPr>
    <w:rPr>
      <w:b/>
      <w:bCs/>
      <w:sz w:val="22"/>
      <w:szCs w:val="22"/>
    </w:rPr>
  </w:style>
  <w:style w:type="paragraph" w:styleId="Heading4">
    <w:name w:val="heading 4"/>
    <w:basedOn w:val="HeadingBase"/>
    <w:next w:val="Normal"/>
    <w:link w:val="Heading4Char"/>
    <w:qFormat/>
    <w:rsid w:val="008C452B"/>
    <w:pPr>
      <w:spacing w:after="240"/>
      <w:outlineLvl w:val="3"/>
    </w:pPr>
    <w:rPr>
      <w:bCs/>
      <w:sz w:val="22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8C452B"/>
    <w:pPr>
      <w:spacing w:after="120"/>
      <w:outlineLvl w:val="4"/>
    </w:pPr>
    <w:rPr>
      <w:b/>
      <w:bCs/>
      <w:iCs/>
    </w:rPr>
  </w:style>
  <w:style w:type="paragraph" w:styleId="Heading6">
    <w:name w:val="heading 6"/>
    <w:basedOn w:val="HeadingBase"/>
    <w:next w:val="Normal"/>
    <w:link w:val="Heading6Char"/>
    <w:qFormat/>
    <w:rsid w:val="008C452B"/>
    <w:pPr>
      <w:spacing w:after="120"/>
      <w:outlineLvl w:val="5"/>
    </w:pPr>
    <w:rPr>
      <w:bCs/>
      <w:szCs w:val="22"/>
    </w:rPr>
  </w:style>
  <w:style w:type="paragraph" w:styleId="Heading7">
    <w:name w:val="heading 7"/>
    <w:basedOn w:val="HeadingBase"/>
    <w:next w:val="Normal"/>
    <w:link w:val="Heading7Char"/>
    <w:qFormat/>
    <w:rsid w:val="008C452B"/>
    <w:p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qFormat/>
    <w:rsid w:val="008C452B"/>
    <w:pPr>
      <w:spacing w:after="120"/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qFormat/>
    <w:rsid w:val="008C452B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rsid w:val="008C452B"/>
    <w:pPr>
      <w:numPr>
        <w:numId w:val="21"/>
      </w:numPr>
      <w:tabs>
        <w:tab w:val="clear" w:pos="283"/>
        <w:tab w:val="num" w:pos="567"/>
      </w:tabs>
      <w:ind w:left="567" w:hanging="567"/>
    </w:pPr>
  </w:style>
  <w:style w:type="character" w:customStyle="1" w:styleId="BulletChar">
    <w:name w:val="Bullet Char"/>
    <w:basedOn w:val="DefaultParagraphFont"/>
    <w:link w:val="Bullet"/>
    <w:rsid w:val="008B4993"/>
    <w:rPr>
      <w:rFonts w:ascii="Times New Roman" w:eastAsia="Times New Roman" w:hAnsi="Times New Roman" w:cs="Times New Roman"/>
      <w:bCs/>
      <w:szCs w:val="20"/>
      <w:lang w:eastAsia="en-AU"/>
    </w:rPr>
  </w:style>
  <w:style w:type="paragraph" w:customStyle="1" w:styleId="Dash">
    <w:name w:val="Dash"/>
    <w:basedOn w:val="Normal"/>
    <w:link w:val="DashChar"/>
    <w:rsid w:val="008C452B"/>
    <w:pPr>
      <w:numPr>
        <w:ilvl w:val="1"/>
        <w:numId w:val="21"/>
      </w:numPr>
    </w:pPr>
  </w:style>
  <w:style w:type="character" w:customStyle="1" w:styleId="DashChar">
    <w:name w:val="Dash Char"/>
    <w:basedOn w:val="DefaultParagraphFont"/>
    <w:link w:val="Dash"/>
    <w:rsid w:val="008B4993"/>
    <w:rPr>
      <w:rFonts w:ascii="Times New Roman" w:eastAsia="Times New Roman" w:hAnsi="Times New Roman" w:cs="Times New Roman"/>
      <w:bCs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8C452B"/>
    <w:pPr>
      <w:numPr>
        <w:ilvl w:val="2"/>
        <w:numId w:val="21"/>
      </w:numPr>
    </w:pPr>
  </w:style>
  <w:style w:type="character" w:customStyle="1" w:styleId="DoubleDotChar">
    <w:name w:val="Double Dot Char"/>
    <w:basedOn w:val="DefaultParagraphFont"/>
    <w:link w:val="DoubleDot"/>
    <w:rsid w:val="008B4993"/>
    <w:rPr>
      <w:rFonts w:ascii="Times New Roman" w:eastAsia="Times New Roman" w:hAnsi="Times New Roman" w:cs="Times New Roman"/>
      <w:bCs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8C452B"/>
    <w:rPr>
      <w:rFonts w:ascii="Times New Roman" w:eastAsia="Times New Roman" w:hAnsi="Times New Roman" w:cs="Times New Roman"/>
      <w:b/>
      <w:bCs/>
      <w:color w:val="0000FF"/>
      <w:lang w:eastAsia="en-AU"/>
    </w:rPr>
  </w:style>
  <w:style w:type="paragraph" w:styleId="Header">
    <w:name w:val="header"/>
    <w:basedOn w:val="HeadingBase"/>
    <w:link w:val="HeaderChar"/>
    <w:rsid w:val="00243F64"/>
    <w:pPr>
      <w:spacing w:before="120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rsid w:val="00243F64"/>
    <w:rPr>
      <w:rFonts w:ascii="Times New Roman" w:eastAsia="Times New Roman" w:hAnsi="Times New Roman" w:cs="Times New Roman"/>
      <w:color w:val="000000" w:themeColor="text1"/>
      <w:sz w:val="18"/>
      <w:szCs w:val="20"/>
      <w:lang w:eastAsia="en-AU"/>
    </w:rPr>
  </w:style>
  <w:style w:type="paragraph" w:styleId="Footer">
    <w:name w:val="footer"/>
    <w:basedOn w:val="HeadingBase"/>
    <w:link w:val="FooterChar"/>
    <w:uiPriority w:val="99"/>
    <w:rsid w:val="008C452B"/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C452B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heading1Char0">
    <w:name w:val="heading1 Char"/>
    <w:basedOn w:val="DefaultParagraphFont"/>
    <w:link w:val="heading10"/>
    <w:locked/>
    <w:rsid w:val="00D13191"/>
    <w:rPr>
      <w:rFonts w:ascii="Verdana" w:hAnsi="Verdana"/>
      <w:b/>
      <w:bCs/>
      <w:sz w:val="21"/>
      <w:szCs w:val="21"/>
    </w:rPr>
  </w:style>
  <w:style w:type="paragraph" w:customStyle="1" w:styleId="heading10">
    <w:name w:val="heading1"/>
    <w:basedOn w:val="Normal"/>
    <w:link w:val="heading1Char0"/>
    <w:rsid w:val="00D13191"/>
    <w:pPr>
      <w:spacing w:after="100" w:afterAutospacing="1" w:line="240" w:lineRule="auto"/>
    </w:pPr>
    <w:rPr>
      <w:rFonts w:ascii="Verdana" w:hAnsi="Verdana"/>
      <w:b/>
      <w:bCs w:val="0"/>
      <w:sz w:val="21"/>
      <w:szCs w:val="21"/>
    </w:rPr>
  </w:style>
  <w:style w:type="character" w:styleId="Strong">
    <w:name w:val="Strong"/>
    <w:basedOn w:val="DefaultParagraphFont"/>
    <w:uiPriority w:val="22"/>
    <w:qFormat/>
    <w:rsid w:val="00D13191"/>
    <w:rPr>
      <w:b/>
      <w:bCs/>
    </w:rPr>
  </w:style>
  <w:style w:type="paragraph" w:styleId="FootnoteText">
    <w:name w:val="footnote text"/>
    <w:basedOn w:val="Normal"/>
    <w:link w:val="FootnoteTextChar"/>
    <w:rsid w:val="000E429E"/>
    <w:pPr>
      <w:spacing w:after="12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0E429E"/>
    <w:rPr>
      <w:rFonts w:ascii="Times New Roman" w:eastAsia="Times New Roman" w:hAnsi="Times New Roman" w:cs="Times New Roman"/>
      <w:bCs/>
      <w:sz w:val="18"/>
      <w:szCs w:val="18"/>
      <w:lang w:eastAsia="en-AU"/>
    </w:rPr>
  </w:style>
  <w:style w:type="character" w:styleId="FootnoteReference">
    <w:name w:val="footnote reference"/>
    <w:basedOn w:val="DefaultParagraphFont"/>
    <w:rsid w:val="008C452B"/>
    <w:rPr>
      <w:vertAlign w:val="superscript"/>
    </w:rPr>
  </w:style>
  <w:style w:type="paragraph" w:customStyle="1" w:styleId="OutlineNumbered1">
    <w:name w:val="Outline Numbered 1"/>
    <w:basedOn w:val="Normal"/>
    <w:link w:val="OutlineNumbered1Char"/>
    <w:rsid w:val="008C452B"/>
    <w:pPr>
      <w:numPr>
        <w:numId w:val="31"/>
      </w:numPr>
    </w:pPr>
  </w:style>
  <w:style w:type="character" w:customStyle="1" w:styleId="OutlineNumbered1Char">
    <w:name w:val="Outline Numbered 1 Char"/>
    <w:basedOn w:val="heading1Char0"/>
    <w:link w:val="OutlineNumbered1"/>
    <w:rsid w:val="00BD4BC1"/>
    <w:rPr>
      <w:rFonts w:ascii="Times New Roman" w:eastAsia="Times New Roman" w:hAnsi="Times New Roman" w:cs="Times New Roman"/>
      <w:b w:val="0"/>
      <w:bCs/>
      <w:sz w:val="21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8C452B"/>
    <w:pPr>
      <w:numPr>
        <w:ilvl w:val="1"/>
        <w:numId w:val="31"/>
      </w:numPr>
    </w:pPr>
  </w:style>
  <w:style w:type="character" w:customStyle="1" w:styleId="OutlineNumbered2Char">
    <w:name w:val="Outline Numbered 2 Char"/>
    <w:basedOn w:val="heading1Char0"/>
    <w:link w:val="OutlineNumbered2"/>
    <w:rsid w:val="00BD4BC1"/>
    <w:rPr>
      <w:rFonts w:ascii="Times New Roman" w:eastAsia="Times New Roman" w:hAnsi="Times New Roman" w:cs="Times New Roman"/>
      <w:b w:val="0"/>
      <w:bCs/>
      <w:sz w:val="21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8C452B"/>
    <w:pPr>
      <w:numPr>
        <w:ilvl w:val="2"/>
        <w:numId w:val="31"/>
      </w:numPr>
    </w:pPr>
  </w:style>
  <w:style w:type="character" w:customStyle="1" w:styleId="OutlineNumbered3Char">
    <w:name w:val="Outline Numbered 3 Char"/>
    <w:basedOn w:val="heading1Char0"/>
    <w:link w:val="OutlineNumbered3"/>
    <w:rsid w:val="00BD4BC1"/>
    <w:rPr>
      <w:rFonts w:ascii="Times New Roman" w:eastAsia="Times New Roman" w:hAnsi="Times New Roman" w:cs="Times New Roman"/>
      <w:b w:val="0"/>
      <w:bCs/>
      <w:sz w:val="21"/>
      <w:szCs w:val="20"/>
      <w:lang w:eastAsia="en-AU"/>
    </w:rPr>
  </w:style>
  <w:style w:type="character" w:styleId="Hyperlink">
    <w:name w:val="Hyperlink"/>
    <w:basedOn w:val="DefaultParagraphFont"/>
    <w:rsid w:val="008C452B"/>
    <w:rPr>
      <w:color w:val="auto"/>
      <w:u w:val="none"/>
    </w:rPr>
  </w:style>
  <w:style w:type="paragraph" w:styleId="EndnoteText">
    <w:name w:val="endnote text"/>
    <w:basedOn w:val="Normal"/>
    <w:link w:val="EndnoteTextChar"/>
    <w:semiHidden/>
    <w:rsid w:val="008C452B"/>
  </w:style>
  <w:style w:type="character" w:customStyle="1" w:styleId="EndnoteTextChar">
    <w:name w:val="Endnote Text Char"/>
    <w:basedOn w:val="DefaultParagraphFont"/>
    <w:link w:val="EndnoteText"/>
    <w:semiHidden/>
    <w:rsid w:val="008C452B"/>
    <w:rPr>
      <w:rFonts w:ascii="Times New Roman" w:eastAsia="Times New Roman" w:hAnsi="Times New Roman" w:cs="Times New Roman"/>
      <w:bCs/>
      <w:szCs w:val="20"/>
      <w:lang w:eastAsia="en-AU"/>
    </w:rPr>
  </w:style>
  <w:style w:type="character" w:styleId="EndnoteReference">
    <w:name w:val="endnote reference"/>
    <w:basedOn w:val="DefaultParagraphFont"/>
    <w:semiHidden/>
    <w:rsid w:val="008C45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452B"/>
    <w:pPr>
      <w:spacing w:after="0"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8C4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2B"/>
    <w:rPr>
      <w:rFonts w:ascii="Tahoma" w:eastAsia="Times New Roman" w:hAnsi="Tahoma" w:cs="Tahoma"/>
      <w:bCs/>
      <w:sz w:val="16"/>
      <w:szCs w:val="16"/>
      <w:lang w:eastAsia="en-AU"/>
    </w:rPr>
  </w:style>
  <w:style w:type="character" w:styleId="CommentReference">
    <w:name w:val="annotation reference"/>
    <w:basedOn w:val="DefaultParagraphFont"/>
    <w:semiHidden/>
    <w:rsid w:val="008C45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452B"/>
  </w:style>
  <w:style w:type="character" w:customStyle="1" w:styleId="CommentTextChar">
    <w:name w:val="Comment Text Char"/>
    <w:basedOn w:val="DefaultParagraphFont"/>
    <w:link w:val="CommentText"/>
    <w:semiHidden/>
    <w:rsid w:val="008C452B"/>
    <w:rPr>
      <w:rFonts w:ascii="Times New Roman" w:eastAsia="Times New Roman" w:hAnsi="Times New Roman" w:cs="Times New Roman"/>
      <w:bCs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452B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8C452B"/>
    <w:rPr>
      <w:rFonts w:ascii="Times New Roman" w:eastAsia="Times New Roman" w:hAnsi="Times New Roman" w:cs="Times New Roman"/>
      <w:b/>
      <w:bCs w:val="0"/>
      <w:szCs w:val="20"/>
      <w:lang w:eastAsia="en-AU"/>
    </w:rPr>
  </w:style>
  <w:style w:type="paragraph" w:customStyle="1" w:styleId="TableMainHeading">
    <w:name w:val="Table Main Heading"/>
    <w:basedOn w:val="Normal"/>
    <w:next w:val="TableGraphic"/>
    <w:rsid w:val="008C452B"/>
    <w:pPr>
      <w:keepNext/>
    </w:pPr>
    <w:rPr>
      <w:b/>
      <w:bCs w:val="0"/>
      <w:color w:val="0000FF"/>
    </w:rPr>
  </w:style>
  <w:style w:type="character" w:customStyle="1" w:styleId="Heading2Char">
    <w:name w:val="Heading 2 Char"/>
    <w:basedOn w:val="DefaultParagraphFont"/>
    <w:link w:val="Heading2"/>
    <w:rsid w:val="008C452B"/>
    <w:rPr>
      <w:rFonts w:ascii="Times New Roman" w:eastAsia="Times New Roman" w:hAnsi="Times New Roman" w:cs="Times New Roman"/>
      <w:b/>
      <w:bCs/>
      <w:iCs/>
      <w:color w:val="0000FF"/>
      <w:sz w:val="24"/>
      <w:szCs w:val="24"/>
      <w:lang w:eastAsia="en-AU"/>
    </w:rPr>
  </w:style>
  <w:style w:type="table" w:styleId="TableGrid">
    <w:name w:val="Table Grid"/>
    <w:basedOn w:val="TableNormal"/>
    <w:rsid w:val="008C452B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paragraph" w:styleId="Revision">
    <w:name w:val="Revision"/>
    <w:hidden/>
    <w:uiPriority w:val="99"/>
    <w:semiHidden/>
    <w:rsid w:val="003A14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C452B"/>
    <w:rPr>
      <w:rFonts w:ascii="Times New Roman" w:eastAsia="Times New Roman" w:hAnsi="Times New Roman" w:cs="Times New Roman"/>
      <w:b/>
      <w:bCs/>
      <w:color w:val="0000FF"/>
      <w:kern w:val="32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8C452B"/>
    <w:rPr>
      <w:rFonts w:ascii="Times New Roman" w:eastAsia="Times New Roman" w:hAnsi="Times New Roman" w:cs="Times New Roman"/>
      <w:iCs/>
      <w:color w:val="0000FF"/>
      <w:sz w:val="20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8C452B"/>
    <w:rPr>
      <w:rFonts w:ascii="Times New Roman" w:eastAsia="Times New Roman" w:hAnsi="Times New Roman" w:cs="Arial"/>
      <w:color w:val="0000FF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8C452B"/>
    <w:rPr>
      <w:rFonts w:ascii="Times New Roman" w:eastAsia="Times New Roman" w:hAnsi="Times New Roman" w:cs="Times New Roman"/>
      <w:bCs/>
      <w:color w:val="0000FF"/>
      <w:lang w:eastAsia="en-AU"/>
    </w:rPr>
  </w:style>
  <w:style w:type="character" w:customStyle="1" w:styleId="Heading5Char">
    <w:name w:val="Heading 5 Char"/>
    <w:basedOn w:val="DefaultParagraphFont"/>
    <w:link w:val="Heading5"/>
    <w:rsid w:val="008C452B"/>
    <w:rPr>
      <w:rFonts w:ascii="Times New Roman" w:eastAsia="Times New Roman" w:hAnsi="Times New Roman" w:cs="Times New Roman"/>
      <w:b/>
      <w:bCs/>
      <w:iCs/>
      <w:color w:val="0000FF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8C452B"/>
    <w:rPr>
      <w:rFonts w:ascii="Times New Roman" w:eastAsia="Times New Roman" w:hAnsi="Times New Roman" w:cs="Times New Roman"/>
      <w:bCs/>
      <w:color w:val="0000FF"/>
      <w:sz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8C452B"/>
    <w:rPr>
      <w:rFonts w:ascii="Times New Roman" w:eastAsia="Times New Roman" w:hAnsi="Times New Roman" w:cs="Times New Roman"/>
      <w:color w:val="0000FF"/>
      <w:sz w:val="20"/>
      <w:szCs w:val="24"/>
      <w:lang w:eastAsia="en-AU"/>
    </w:rPr>
  </w:style>
  <w:style w:type="paragraph" w:customStyle="1" w:styleId="HeadingBase">
    <w:name w:val="Heading Base"/>
    <w:next w:val="Normal"/>
    <w:rsid w:val="008C452B"/>
    <w:pPr>
      <w:keepNext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en-AU"/>
    </w:rPr>
  </w:style>
  <w:style w:type="paragraph" w:customStyle="1" w:styleId="ChartGraphic">
    <w:name w:val="Chart Graphic"/>
    <w:basedOn w:val="HeadingBase"/>
    <w:next w:val="Normal"/>
    <w:rsid w:val="008C452B"/>
    <w:pPr>
      <w:jc w:val="center"/>
    </w:pPr>
  </w:style>
  <w:style w:type="paragraph" w:customStyle="1" w:styleId="TableGraphic">
    <w:name w:val="Table Graphic"/>
    <w:basedOn w:val="HeadingBase"/>
    <w:next w:val="Normal"/>
    <w:rsid w:val="008C452B"/>
  </w:style>
  <w:style w:type="paragraph" w:customStyle="1" w:styleId="BoxTextBase">
    <w:name w:val="Box Text Base"/>
    <w:basedOn w:val="Normal"/>
    <w:rsid w:val="008C452B"/>
  </w:style>
  <w:style w:type="paragraph" w:customStyle="1" w:styleId="BoxBullet">
    <w:name w:val="Box Bullet"/>
    <w:basedOn w:val="BoxTextBase"/>
    <w:rsid w:val="008C452B"/>
    <w:pPr>
      <w:numPr>
        <w:numId w:val="22"/>
      </w:numPr>
      <w:ind w:left="284" w:hanging="284"/>
    </w:pPr>
  </w:style>
  <w:style w:type="paragraph" w:customStyle="1" w:styleId="BoxDash">
    <w:name w:val="Box Dash"/>
    <w:basedOn w:val="Normal"/>
    <w:rsid w:val="008C452B"/>
    <w:pPr>
      <w:numPr>
        <w:ilvl w:val="1"/>
        <w:numId w:val="22"/>
      </w:numPr>
    </w:pPr>
  </w:style>
  <w:style w:type="paragraph" w:customStyle="1" w:styleId="BoxDoubleDot">
    <w:name w:val="Box Double Dot"/>
    <w:basedOn w:val="BoxTextBase"/>
    <w:rsid w:val="008C452B"/>
    <w:pPr>
      <w:numPr>
        <w:ilvl w:val="2"/>
        <w:numId w:val="22"/>
      </w:numPr>
    </w:pPr>
  </w:style>
  <w:style w:type="paragraph" w:customStyle="1" w:styleId="BoxHeading">
    <w:name w:val="Box Heading"/>
    <w:basedOn w:val="HeadingBase"/>
    <w:next w:val="Normal"/>
    <w:rsid w:val="008C452B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8C452B"/>
  </w:style>
  <w:style w:type="paragraph" w:styleId="NormalIndent">
    <w:name w:val="Normal Indent"/>
    <w:basedOn w:val="Normal"/>
    <w:rsid w:val="008C452B"/>
    <w:pPr>
      <w:ind w:left="567"/>
    </w:pPr>
  </w:style>
  <w:style w:type="paragraph" w:customStyle="1" w:styleId="ChartandTableFootnoteAlpha">
    <w:name w:val="Chart and Table Footnote Alpha"/>
    <w:basedOn w:val="ChartorTableNote"/>
    <w:rsid w:val="008C452B"/>
  </w:style>
  <w:style w:type="paragraph" w:customStyle="1" w:styleId="ChartMainHeading">
    <w:name w:val="Chart Main Heading"/>
    <w:basedOn w:val="Normal"/>
    <w:next w:val="ChartGraphic"/>
    <w:rsid w:val="008C452B"/>
    <w:pPr>
      <w:keepNext/>
      <w:jc w:val="center"/>
    </w:pPr>
    <w:rPr>
      <w:b/>
      <w:bCs w:val="0"/>
      <w:color w:val="0000FF"/>
    </w:rPr>
  </w:style>
  <w:style w:type="paragraph" w:customStyle="1" w:styleId="ChartorTableNote">
    <w:name w:val="Chart or Table Note"/>
    <w:basedOn w:val="FootnoteText"/>
    <w:next w:val="Normal"/>
    <w:rsid w:val="00250839"/>
    <w:pPr>
      <w:spacing w:before="120"/>
    </w:pPr>
  </w:style>
  <w:style w:type="paragraph" w:customStyle="1" w:styleId="ChartSecondHeading">
    <w:name w:val="Chart Second Heading"/>
    <w:basedOn w:val="HeadingBase"/>
    <w:next w:val="ChartGraphic"/>
    <w:rsid w:val="008C452B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8C452B"/>
    <w:pPr>
      <w:spacing w:after="120"/>
      <w:jc w:val="center"/>
    </w:pPr>
    <w:rPr>
      <w:b/>
      <w:smallCaps/>
    </w:rPr>
  </w:style>
  <w:style w:type="paragraph" w:customStyle="1" w:styleId="ContentsHeading">
    <w:name w:val="Contents Heading"/>
    <w:basedOn w:val="HeadingBase"/>
    <w:next w:val="Normal"/>
    <w:rsid w:val="008C452B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8C452B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8C452B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8C452B"/>
    <w:pPr>
      <w:spacing w:after="480"/>
      <w:jc w:val="center"/>
    </w:pPr>
    <w:rPr>
      <w:b/>
      <w:sz w:val="48"/>
    </w:rPr>
  </w:style>
  <w:style w:type="paragraph" w:customStyle="1" w:styleId="Figuregraphic">
    <w:name w:val="Figure graphic"/>
    <w:basedOn w:val="Normal"/>
    <w:rsid w:val="008C452B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8C452B"/>
    <w:pPr>
      <w:spacing w:after="20"/>
      <w:jc w:val="center"/>
    </w:pPr>
    <w:rPr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8C452B"/>
    <w:pPr>
      <w:spacing w:after="20"/>
      <w:jc w:val="center"/>
    </w:pPr>
  </w:style>
  <w:style w:type="paragraph" w:customStyle="1" w:styleId="FooterCentered">
    <w:name w:val="Footer Centered"/>
    <w:basedOn w:val="FooterOdd"/>
    <w:rsid w:val="008C452B"/>
    <w:pPr>
      <w:jc w:val="center"/>
    </w:pPr>
  </w:style>
  <w:style w:type="paragraph" w:customStyle="1" w:styleId="FooterEven">
    <w:name w:val="Footer Even"/>
    <w:basedOn w:val="FooterCentered"/>
    <w:rsid w:val="008C452B"/>
    <w:pPr>
      <w:jc w:val="left"/>
    </w:pPr>
  </w:style>
  <w:style w:type="paragraph" w:customStyle="1" w:styleId="FooterOdd">
    <w:name w:val="Footer Odd"/>
    <w:basedOn w:val="Footer"/>
    <w:rsid w:val="00243F64"/>
    <w:pPr>
      <w:spacing w:before="120"/>
      <w:jc w:val="right"/>
    </w:pPr>
    <w:rPr>
      <w:szCs w:val="18"/>
    </w:rPr>
  </w:style>
  <w:style w:type="character" w:customStyle="1" w:styleId="FramedFooter">
    <w:name w:val="Framed Footer"/>
    <w:rsid w:val="008C452B"/>
    <w:rPr>
      <w:rFonts w:ascii="Calibri" w:hAnsi="Calibri"/>
      <w:sz w:val="18"/>
    </w:rPr>
  </w:style>
  <w:style w:type="character" w:customStyle="1" w:styleId="FramedHeader">
    <w:name w:val="Framed Header"/>
    <w:basedOn w:val="DefaultParagraphFont"/>
    <w:rsid w:val="008C452B"/>
    <w:rPr>
      <w:rFonts w:ascii="Times New Roman" w:hAnsi="Times New Roman"/>
      <w:dstrike w:val="0"/>
      <w:color w:val="auto"/>
      <w:sz w:val="18"/>
      <w:vertAlign w:val="baseline"/>
    </w:rPr>
  </w:style>
  <w:style w:type="paragraph" w:customStyle="1" w:styleId="HeaderEven">
    <w:name w:val="Header Even"/>
    <w:basedOn w:val="Header"/>
    <w:rsid w:val="008C452B"/>
    <w:pPr>
      <w:tabs>
        <w:tab w:val="left" w:pos="2337"/>
      </w:tabs>
    </w:pPr>
    <w:rPr>
      <w:szCs w:val="18"/>
    </w:rPr>
  </w:style>
  <w:style w:type="paragraph" w:customStyle="1" w:styleId="HeaderOdd">
    <w:name w:val="Header Odd"/>
    <w:basedOn w:val="Header"/>
    <w:rsid w:val="008C452B"/>
    <w:rPr>
      <w:szCs w:val="18"/>
    </w:rPr>
  </w:style>
  <w:style w:type="character" w:customStyle="1" w:styleId="italic">
    <w:name w:val="italic"/>
    <w:basedOn w:val="DefaultParagraphFont"/>
    <w:rsid w:val="008C452B"/>
    <w:rPr>
      <w:i/>
    </w:rPr>
  </w:style>
  <w:style w:type="paragraph" w:styleId="NormalWeb">
    <w:name w:val="Normal (Web)"/>
    <w:basedOn w:val="Normal"/>
    <w:rsid w:val="008C452B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8C452B"/>
    <w:rPr>
      <w:i/>
    </w:rPr>
  </w:style>
  <w:style w:type="paragraph" w:customStyle="1" w:styleId="OneLevelNumberedParagraph">
    <w:name w:val="One Level Numbered Paragraph"/>
    <w:basedOn w:val="Normal"/>
    <w:rsid w:val="008C452B"/>
    <w:pPr>
      <w:numPr>
        <w:numId w:val="30"/>
      </w:numPr>
    </w:pPr>
  </w:style>
  <w:style w:type="character" w:styleId="PageNumber">
    <w:name w:val="page number"/>
    <w:basedOn w:val="DefaultParagraphFont"/>
    <w:rsid w:val="008C452B"/>
  </w:style>
  <w:style w:type="paragraph" w:customStyle="1" w:styleId="Principle">
    <w:name w:val="Principle"/>
    <w:basedOn w:val="Normal"/>
    <w:rsid w:val="008C452B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8C452B"/>
    <w:rPr>
      <w:i/>
    </w:rPr>
  </w:style>
  <w:style w:type="paragraph" w:customStyle="1" w:styleId="RecommendationBullet">
    <w:name w:val="Recommendation Bullet"/>
    <w:basedOn w:val="RecommendationTextBase"/>
    <w:rsid w:val="008C452B"/>
    <w:pPr>
      <w:numPr>
        <w:numId w:val="32"/>
      </w:numPr>
    </w:pPr>
  </w:style>
  <w:style w:type="paragraph" w:customStyle="1" w:styleId="RecommendationDash">
    <w:name w:val="Recommendation Dash"/>
    <w:basedOn w:val="RecommendationTextBase"/>
    <w:rsid w:val="008C452B"/>
    <w:pPr>
      <w:numPr>
        <w:ilvl w:val="1"/>
        <w:numId w:val="32"/>
      </w:numPr>
    </w:pPr>
  </w:style>
  <w:style w:type="paragraph" w:customStyle="1" w:styleId="RecommendationDoubleDot">
    <w:name w:val="Recommendation Double Dot"/>
    <w:basedOn w:val="RecommendationTextBase"/>
    <w:rsid w:val="008C452B"/>
    <w:pPr>
      <w:numPr>
        <w:ilvl w:val="2"/>
        <w:numId w:val="32"/>
      </w:numPr>
    </w:pPr>
  </w:style>
  <w:style w:type="paragraph" w:customStyle="1" w:styleId="RecommendationHeading">
    <w:name w:val="Recommendation Heading"/>
    <w:basedOn w:val="HeadingBase"/>
    <w:next w:val="Normal"/>
    <w:rsid w:val="008C452B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8C452B"/>
  </w:style>
  <w:style w:type="paragraph" w:customStyle="1" w:styleId="Romannumeral">
    <w:name w:val="Roman numeral"/>
    <w:basedOn w:val="Normal"/>
    <w:rsid w:val="008C452B"/>
    <w:pPr>
      <w:numPr>
        <w:numId w:val="33"/>
      </w:numPr>
    </w:pPr>
  </w:style>
  <w:style w:type="paragraph" w:customStyle="1" w:styleId="SingleParagraph">
    <w:name w:val="Single Paragraph"/>
    <w:basedOn w:val="Normal"/>
    <w:rsid w:val="008C452B"/>
    <w:pPr>
      <w:spacing w:after="0"/>
    </w:pPr>
  </w:style>
  <w:style w:type="paragraph" w:customStyle="1" w:styleId="SingleParagraphIndent">
    <w:name w:val="Single Paragraph Indent"/>
    <w:basedOn w:val="SingleParagraph"/>
    <w:rsid w:val="008C452B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8C452B"/>
    <w:pPr>
      <w:spacing w:after="20"/>
    </w:pPr>
  </w:style>
  <w:style w:type="paragraph" w:customStyle="1" w:styleId="TableTextBase">
    <w:name w:val="Table Text Base"/>
    <w:rsid w:val="008C452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8C452B"/>
    <w:pPr>
      <w:jc w:val="center"/>
    </w:pPr>
  </w:style>
  <w:style w:type="paragraph" w:customStyle="1" w:styleId="TableColumnHeadingBase">
    <w:name w:val="Table Column Heading Base"/>
    <w:basedOn w:val="Normal"/>
    <w:rsid w:val="008C452B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8C452B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8C452B"/>
    <w:pPr>
      <w:jc w:val="right"/>
    </w:pPr>
  </w:style>
  <w:style w:type="paragraph" w:customStyle="1" w:styleId="TableMainHeadingContd">
    <w:name w:val="Table Main Heading Contd"/>
    <w:basedOn w:val="HeadingBase"/>
    <w:next w:val="TableGraphic"/>
    <w:rsid w:val="008C452B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8C452B"/>
    <w:pPr>
      <w:jc w:val="center"/>
    </w:pPr>
  </w:style>
  <w:style w:type="paragraph" w:customStyle="1" w:styleId="TableTextIndented">
    <w:name w:val="Table Text Indented"/>
    <w:basedOn w:val="TableTextBase"/>
    <w:rsid w:val="008C452B"/>
    <w:pPr>
      <w:ind w:left="284"/>
    </w:pPr>
  </w:style>
  <w:style w:type="paragraph" w:customStyle="1" w:styleId="TableTextLeft">
    <w:name w:val="Table Text Left"/>
    <w:basedOn w:val="TableTextBase"/>
    <w:rsid w:val="008C452B"/>
  </w:style>
  <w:style w:type="paragraph" w:customStyle="1" w:styleId="TableTextRight">
    <w:name w:val="Table Text Right"/>
    <w:basedOn w:val="TableTextBase"/>
    <w:rsid w:val="008C452B"/>
    <w:pPr>
      <w:jc w:val="right"/>
    </w:pPr>
  </w:style>
  <w:style w:type="paragraph" w:styleId="TOC1">
    <w:name w:val="toc 1"/>
    <w:basedOn w:val="HeadingBase"/>
    <w:next w:val="Normal"/>
    <w:rsid w:val="008C452B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rsid w:val="008C452B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rsid w:val="008C452B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8C452B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8C452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452B"/>
    <w:rPr>
      <w:rFonts w:ascii="Times New Roman" w:eastAsia="Times New Roman" w:hAnsi="Times New Roman" w:cs="Times New Roman"/>
      <w:bCs/>
      <w:szCs w:val="20"/>
      <w:lang w:eastAsia="en-AU"/>
    </w:rPr>
  </w:style>
  <w:style w:type="paragraph" w:styleId="Caption">
    <w:name w:val="caption"/>
    <w:basedOn w:val="Normal"/>
    <w:next w:val="Normal"/>
    <w:qFormat/>
    <w:rsid w:val="008C452B"/>
    <w:rPr>
      <w:b/>
      <w:bCs w:val="0"/>
    </w:rPr>
  </w:style>
  <w:style w:type="paragraph" w:styleId="DocumentMap">
    <w:name w:val="Document Map"/>
    <w:basedOn w:val="Normal"/>
    <w:link w:val="DocumentMapChar"/>
    <w:semiHidden/>
    <w:rsid w:val="008C452B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8C452B"/>
    <w:rPr>
      <w:rFonts w:ascii="Tahoma" w:eastAsia="Times New Roman" w:hAnsi="Tahoma" w:cs="Tahoma"/>
      <w:bCs/>
      <w:szCs w:val="20"/>
      <w:shd w:val="clear" w:color="auto" w:fill="00CCFF"/>
      <w:lang w:eastAsia="en-AU"/>
    </w:rPr>
  </w:style>
  <w:style w:type="character" w:styleId="FollowedHyperlink">
    <w:name w:val="FollowedHyperlink"/>
    <w:basedOn w:val="DefaultParagraphFont"/>
    <w:rsid w:val="008C452B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8C452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C452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C452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C452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C452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C452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C452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C452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C452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C452B"/>
    <w:rPr>
      <w:rFonts w:ascii="Arial" w:hAnsi="Arial" w:cs="Arial"/>
      <w:b/>
      <w:bCs w:val="0"/>
    </w:rPr>
  </w:style>
  <w:style w:type="paragraph" w:styleId="MacroText">
    <w:name w:val="macro"/>
    <w:link w:val="MacroTextChar"/>
    <w:semiHidden/>
    <w:rsid w:val="008C45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8C452B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8C452B"/>
    <w:pPr>
      <w:numPr>
        <w:numId w:val="27"/>
      </w:numPr>
    </w:pPr>
  </w:style>
  <w:style w:type="paragraph" w:customStyle="1" w:styleId="PictureCentred">
    <w:name w:val="Picture Centred"/>
    <w:basedOn w:val="Normal"/>
    <w:rsid w:val="008C452B"/>
    <w:pPr>
      <w:spacing w:line="240" w:lineRule="atLeast"/>
      <w:jc w:val="center"/>
    </w:pPr>
  </w:style>
  <w:style w:type="paragraph" w:customStyle="1" w:styleId="PictureLeft">
    <w:name w:val="Picture Left"/>
    <w:basedOn w:val="PictureCentred"/>
    <w:rsid w:val="008C452B"/>
    <w:pPr>
      <w:jc w:val="left"/>
    </w:pPr>
  </w:style>
  <w:style w:type="paragraph" w:customStyle="1" w:styleId="PictureIndent">
    <w:name w:val="Picture Indent"/>
    <w:basedOn w:val="PictureLeft"/>
    <w:rsid w:val="008C452B"/>
    <w:pPr>
      <w:ind w:left="284"/>
    </w:pPr>
  </w:style>
  <w:style w:type="paragraph" w:styleId="TableofAuthorities">
    <w:name w:val="table of authorities"/>
    <w:basedOn w:val="Normal"/>
    <w:next w:val="Normal"/>
    <w:rsid w:val="008C452B"/>
    <w:pPr>
      <w:ind w:left="200" w:hanging="200"/>
    </w:pPr>
  </w:style>
  <w:style w:type="paragraph" w:styleId="TableofFigures">
    <w:name w:val="table of figures"/>
    <w:basedOn w:val="Normal"/>
    <w:next w:val="Normal"/>
    <w:rsid w:val="008C452B"/>
  </w:style>
  <w:style w:type="paragraph" w:styleId="TOAHeading">
    <w:name w:val="toa heading"/>
    <w:basedOn w:val="Normal"/>
    <w:next w:val="Normal"/>
    <w:semiHidden/>
    <w:rsid w:val="008C452B"/>
    <w:rPr>
      <w:rFonts w:ascii="Arial" w:hAnsi="Arial" w:cs="Arial"/>
      <w:b/>
      <w:bCs w:val="0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8C452B"/>
    <w:pPr>
      <w:ind w:left="800"/>
    </w:pPr>
  </w:style>
  <w:style w:type="paragraph" w:styleId="TOC6">
    <w:name w:val="toc 6"/>
    <w:basedOn w:val="Normal"/>
    <w:next w:val="Normal"/>
    <w:autoRedefine/>
    <w:semiHidden/>
    <w:rsid w:val="008C452B"/>
    <w:pPr>
      <w:ind w:left="1000"/>
    </w:pPr>
  </w:style>
  <w:style w:type="paragraph" w:styleId="TOC7">
    <w:name w:val="toc 7"/>
    <w:basedOn w:val="Normal"/>
    <w:next w:val="Normal"/>
    <w:autoRedefine/>
    <w:semiHidden/>
    <w:rsid w:val="008C452B"/>
    <w:pPr>
      <w:ind w:left="1200"/>
    </w:pPr>
  </w:style>
  <w:style w:type="paragraph" w:styleId="TOC8">
    <w:name w:val="toc 8"/>
    <w:basedOn w:val="Normal"/>
    <w:next w:val="Normal"/>
    <w:autoRedefine/>
    <w:semiHidden/>
    <w:rsid w:val="008C452B"/>
    <w:pPr>
      <w:ind w:left="1400"/>
    </w:pPr>
  </w:style>
  <w:style w:type="paragraph" w:styleId="TOC9">
    <w:name w:val="toc 9"/>
    <w:basedOn w:val="Normal"/>
    <w:next w:val="Normal"/>
    <w:autoRedefine/>
    <w:semiHidden/>
    <w:rsid w:val="008C452B"/>
    <w:pPr>
      <w:ind w:left="1600"/>
    </w:pPr>
  </w:style>
  <w:style w:type="numbering" w:customStyle="1" w:styleId="BulletedList">
    <w:name w:val="Bulleted List"/>
    <w:uiPriority w:val="99"/>
    <w:rsid w:val="008C452B"/>
    <w:pPr>
      <w:numPr>
        <w:numId w:val="21"/>
      </w:numPr>
    </w:pPr>
  </w:style>
  <w:style w:type="numbering" w:customStyle="1" w:styleId="BoxBulletedList">
    <w:name w:val="Box Bulleted List"/>
    <w:uiPriority w:val="99"/>
    <w:rsid w:val="008C452B"/>
    <w:pPr>
      <w:numPr>
        <w:numId w:val="22"/>
      </w:numPr>
    </w:pPr>
  </w:style>
  <w:style w:type="numbering" w:customStyle="1" w:styleId="AlphaParagraphList">
    <w:name w:val="Alpha Paragraph List"/>
    <w:uiPriority w:val="99"/>
    <w:rsid w:val="008C452B"/>
    <w:pPr>
      <w:numPr>
        <w:numId w:val="24"/>
      </w:numPr>
    </w:pPr>
  </w:style>
  <w:style w:type="numbering" w:customStyle="1" w:styleId="OneLevelList">
    <w:name w:val="OneLevelList"/>
    <w:uiPriority w:val="99"/>
    <w:rsid w:val="008C452B"/>
    <w:pPr>
      <w:numPr>
        <w:numId w:val="26"/>
      </w:numPr>
    </w:pPr>
  </w:style>
  <w:style w:type="numbering" w:customStyle="1" w:styleId="RecommendationBulletList">
    <w:name w:val="RecommendationBulletList"/>
    <w:uiPriority w:val="99"/>
    <w:rsid w:val="008C452B"/>
    <w:pPr>
      <w:numPr>
        <w:numId w:val="28"/>
      </w:numPr>
    </w:pPr>
  </w:style>
  <w:style w:type="numbering" w:customStyle="1" w:styleId="RomanNumeralList">
    <w:name w:val="RomanNumeralList"/>
    <w:uiPriority w:val="99"/>
    <w:rsid w:val="008C452B"/>
    <w:pPr>
      <w:numPr>
        <w:numId w:val="29"/>
      </w:numPr>
    </w:pPr>
  </w:style>
  <w:style w:type="numbering" w:customStyle="1" w:styleId="ChartandTableFootnoteAlphaList">
    <w:name w:val="ChartandTableFootnoteAlphaList"/>
    <w:uiPriority w:val="99"/>
    <w:rsid w:val="008C452B"/>
    <w:pPr>
      <w:numPr>
        <w:numId w:val="34"/>
      </w:numPr>
    </w:pPr>
  </w:style>
  <w:style w:type="paragraph" w:customStyle="1" w:styleId="TableTextBullet">
    <w:name w:val="Table Text Bullet"/>
    <w:basedOn w:val="TableTextBase"/>
    <w:rsid w:val="008C452B"/>
    <w:pPr>
      <w:numPr>
        <w:numId w:val="36"/>
      </w:numPr>
    </w:pPr>
  </w:style>
  <w:style w:type="numbering" w:customStyle="1" w:styleId="TableTestBulletList">
    <w:name w:val="Table Test Bullet List"/>
    <w:uiPriority w:val="99"/>
    <w:rsid w:val="008C452B"/>
    <w:pPr>
      <w:numPr>
        <w:numId w:val="35"/>
      </w:numPr>
    </w:pPr>
  </w:style>
  <w:style w:type="numbering" w:customStyle="1" w:styleId="TableTextBulletList">
    <w:name w:val="Table Text Bullet List"/>
    <w:uiPriority w:val="99"/>
    <w:rsid w:val="008C452B"/>
    <w:pPr>
      <w:numPr>
        <w:numId w:val="36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8C452B"/>
    <w:pPr>
      <w:numPr>
        <w:numId w:val="0"/>
      </w:numPr>
      <w:spacing w:after="80" w:line="260" w:lineRule="exact"/>
    </w:pPr>
  </w:style>
  <w:style w:type="paragraph" w:customStyle="1" w:styleId="Reference">
    <w:name w:val="Reference"/>
    <w:basedOn w:val="Normal"/>
    <w:qFormat/>
    <w:rsid w:val="008C452B"/>
    <w:rPr>
      <w:sz w:val="20"/>
    </w:rPr>
  </w:style>
  <w:style w:type="paragraph" w:customStyle="1" w:styleId="rightFooter">
    <w:name w:val="right Footer"/>
    <w:basedOn w:val="Footer"/>
    <w:rsid w:val="008C452B"/>
  </w:style>
  <w:style w:type="paragraph" w:customStyle="1" w:styleId="Footerright">
    <w:name w:val="Footer right"/>
    <w:basedOn w:val="FooterCentered"/>
    <w:rsid w:val="00243F64"/>
    <w:pPr>
      <w:jc w:val="right"/>
    </w:pPr>
  </w:style>
  <w:style w:type="paragraph" w:customStyle="1" w:styleId="Chaptertitle">
    <w:name w:val="Chapter title"/>
    <w:basedOn w:val="Heading1"/>
    <w:rsid w:val="008C452B"/>
    <w:pPr>
      <w:spacing w:before="5000"/>
    </w:pPr>
  </w:style>
  <w:style w:type="paragraph" w:customStyle="1" w:styleId="Tableunderlinedtext">
    <w:name w:val="Table underlined text"/>
    <w:basedOn w:val="TableTextBase"/>
    <w:qFormat/>
    <w:rsid w:val="008C452B"/>
    <w:rPr>
      <w:b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2B"/>
    <w:pPr>
      <w:spacing w:after="240" w:line="260" w:lineRule="exact"/>
      <w:jc w:val="both"/>
    </w:pPr>
    <w:rPr>
      <w:rFonts w:ascii="Times New Roman" w:eastAsia="Times New Roman" w:hAnsi="Times New Roman" w:cs="Times New Roman"/>
      <w:bCs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8C452B"/>
    <w:pPr>
      <w:spacing w:after="360"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HeadingBase"/>
    <w:next w:val="Normal"/>
    <w:link w:val="Heading2Char"/>
    <w:qFormat/>
    <w:rsid w:val="008C452B"/>
    <w:pPr>
      <w:spacing w:after="24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HeadingBase"/>
    <w:next w:val="Normal"/>
    <w:link w:val="Heading3Char"/>
    <w:qFormat/>
    <w:rsid w:val="008C452B"/>
    <w:pPr>
      <w:spacing w:after="240"/>
      <w:outlineLvl w:val="2"/>
    </w:pPr>
    <w:rPr>
      <w:b/>
      <w:bCs/>
      <w:sz w:val="22"/>
      <w:szCs w:val="22"/>
    </w:rPr>
  </w:style>
  <w:style w:type="paragraph" w:styleId="Heading4">
    <w:name w:val="heading 4"/>
    <w:basedOn w:val="HeadingBase"/>
    <w:next w:val="Normal"/>
    <w:link w:val="Heading4Char"/>
    <w:qFormat/>
    <w:rsid w:val="008C452B"/>
    <w:pPr>
      <w:spacing w:after="240"/>
      <w:outlineLvl w:val="3"/>
    </w:pPr>
    <w:rPr>
      <w:bCs/>
      <w:sz w:val="22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8C452B"/>
    <w:pPr>
      <w:spacing w:after="120"/>
      <w:outlineLvl w:val="4"/>
    </w:pPr>
    <w:rPr>
      <w:b/>
      <w:bCs/>
      <w:iCs/>
    </w:rPr>
  </w:style>
  <w:style w:type="paragraph" w:styleId="Heading6">
    <w:name w:val="heading 6"/>
    <w:basedOn w:val="HeadingBase"/>
    <w:next w:val="Normal"/>
    <w:link w:val="Heading6Char"/>
    <w:qFormat/>
    <w:rsid w:val="008C452B"/>
    <w:pPr>
      <w:spacing w:after="120"/>
      <w:outlineLvl w:val="5"/>
    </w:pPr>
    <w:rPr>
      <w:bCs/>
      <w:szCs w:val="22"/>
    </w:rPr>
  </w:style>
  <w:style w:type="paragraph" w:styleId="Heading7">
    <w:name w:val="heading 7"/>
    <w:basedOn w:val="HeadingBase"/>
    <w:next w:val="Normal"/>
    <w:link w:val="Heading7Char"/>
    <w:qFormat/>
    <w:rsid w:val="008C452B"/>
    <w:p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qFormat/>
    <w:rsid w:val="008C452B"/>
    <w:pPr>
      <w:spacing w:after="120"/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qFormat/>
    <w:rsid w:val="008C452B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rsid w:val="008C452B"/>
    <w:pPr>
      <w:numPr>
        <w:numId w:val="21"/>
      </w:numPr>
      <w:tabs>
        <w:tab w:val="clear" w:pos="283"/>
        <w:tab w:val="num" w:pos="567"/>
      </w:tabs>
      <w:ind w:left="567" w:hanging="567"/>
    </w:pPr>
  </w:style>
  <w:style w:type="character" w:customStyle="1" w:styleId="BulletChar">
    <w:name w:val="Bullet Char"/>
    <w:basedOn w:val="DefaultParagraphFont"/>
    <w:link w:val="Bullet"/>
    <w:rsid w:val="008B4993"/>
    <w:rPr>
      <w:rFonts w:ascii="Times New Roman" w:eastAsia="Times New Roman" w:hAnsi="Times New Roman" w:cs="Times New Roman"/>
      <w:bCs/>
      <w:szCs w:val="20"/>
      <w:lang w:eastAsia="en-AU"/>
    </w:rPr>
  </w:style>
  <w:style w:type="paragraph" w:customStyle="1" w:styleId="Dash">
    <w:name w:val="Dash"/>
    <w:basedOn w:val="Normal"/>
    <w:link w:val="DashChar"/>
    <w:rsid w:val="008C452B"/>
    <w:pPr>
      <w:numPr>
        <w:ilvl w:val="1"/>
        <w:numId w:val="21"/>
      </w:numPr>
    </w:pPr>
  </w:style>
  <w:style w:type="character" w:customStyle="1" w:styleId="DashChar">
    <w:name w:val="Dash Char"/>
    <w:basedOn w:val="DefaultParagraphFont"/>
    <w:link w:val="Dash"/>
    <w:rsid w:val="008B4993"/>
    <w:rPr>
      <w:rFonts w:ascii="Times New Roman" w:eastAsia="Times New Roman" w:hAnsi="Times New Roman" w:cs="Times New Roman"/>
      <w:bCs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8C452B"/>
    <w:pPr>
      <w:numPr>
        <w:ilvl w:val="2"/>
        <w:numId w:val="21"/>
      </w:numPr>
    </w:pPr>
  </w:style>
  <w:style w:type="character" w:customStyle="1" w:styleId="DoubleDotChar">
    <w:name w:val="Double Dot Char"/>
    <w:basedOn w:val="DefaultParagraphFont"/>
    <w:link w:val="DoubleDot"/>
    <w:rsid w:val="008B4993"/>
    <w:rPr>
      <w:rFonts w:ascii="Times New Roman" w:eastAsia="Times New Roman" w:hAnsi="Times New Roman" w:cs="Times New Roman"/>
      <w:bCs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8C452B"/>
    <w:rPr>
      <w:rFonts w:ascii="Times New Roman" w:eastAsia="Times New Roman" w:hAnsi="Times New Roman" w:cs="Times New Roman"/>
      <w:b/>
      <w:bCs/>
      <w:color w:val="0000FF"/>
      <w:lang w:eastAsia="en-AU"/>
    </w:rPr>
  </w:style>
  <w:style w:type="paragraph" w:styleId="Header">
    <w:name w:val="header"/>
    <w:basedOn w:val="HeadingBase"/>
    <w:link w:val="HeaderChar"/>
    <w:rsid w:val="00243F64"/>
    <w:pPr>
      <w:spacing w:before="120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rsid w:val="00243F64"/>
    <w:rPr>
      <w:rFonts w:ascii="Times New Roman" w:eastAsia="Times New Roman" w:hAnsi="Times New Roman" w:cs="Times New Roman"/>
      <w:color w:val="000000" w:themeColor="text1"/>
      <w:sz w:val="18"/>
      <w:szCs w:val="20"/>
      <w:lang w:eastAsia="en-AU"/>
    </w:rPr>
  </w:style>
  <w:style w:type="paragraph" w:styleId="Footer">
    <w:name w:val="footer"/>
    <w:basedOn w:val="HeadingBase"/>
    <w:link w:val="FooterChar"/>
    <w:uiPriority w:val="99"/>
    <w:rsid w:val="008C452B"/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C452B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heading1Char0">
    <w:name w:val="heading1 Char"/>
    <w:basedOn w:val="DefaultParagraphFont"/>
    <w:link w:val="heading10"/>
    <w:locked/>
    <w:rsid w:val="00D13191"/>
    <w:rPr>
      <w:rFonts w:ascii="Verdana" w:hAnsi="Verdana"/>
      <w:b/>
      <w:bCs/>
      <w:sz w:val="21"/>
      <w:szCs w:val="21"/>
    </w:rPr>
  </w:style>
  <w:style w:type="paragraph" w:customStyle="1" w:styleId="heading10">
    <w:name w:val="heading1"/>
    <w:basedOn w:val="Normal"/>
    <w:link w:val="heading1Char0"/>
    <w:rsid w:val="00D13191"/>
    <w:pPr>
      <w:spacing w:after="100" w:afterAutospacing="1" w:line="240" w:lineRule="auto"/>
    </w:pPr>
    <w:rPr>
      <w:rFonts w:ascii="Verdana" w:hAnsi="Verdana"/>
      <w:b/>
      <w:bCs w:val="0"/>
      <w:sz w:val="21"/>
      <w:szCs w:val="21"/>
    </w:rPr>
  </w:style>
  <w:style w:type="character" w:styleId="Strong">
    <w:name w:val="Strong"/>
    <w:basedOn w:val="DefaultParagraphFont"/>
    <w:uiPriority w:val="22"/>
    <w:qFormat/>
    <w:rsid w:val="00D13191"/>
    <w:rPr>
      <w:b/>
      <w:bCs/>
    </w:rPr>
  </w:style>
  <w:style w:type="paragraph" w:styleId="FootnoteText">
    <w:name w:val="footnote text"/>
    <w:basedOn w:val="Normal"/>
    <w:link w:val="FootnoteTextChar"/>
    <w:rsid w:val="000E429E"/>
    <w:pPr>
      <w:spacing w:after="12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0E429E"/>
    <w:rPr>
      <w:rFonts w:ascii="Times New Roman" w:eastAsia="Times New Roman" w:hAnsi="Times New Roman" w:cs="Times New Roman"/>
      <w:bCs/>
      <w:sz w:val="18"/>
      <w:szCs w:val="18"/>
      <w:lang w:eastAsia="en-AU"/>
    </w:rPr>
  </w:style>
  <w:style w:type="character" w:styleId="FootnoteReference">
    <w:name w:val="footnote reference"/>
    <w:basedOn w:val="DefaultParagraphFont"/>
    <w:rsid w:val="008C452B"/>
    <w:rPr>
      <w:vertAlign w:val="superscript"/>
    </w:rPr>
  </w:style>
  <w:style w:type="paragraph" w:customStyle="1" w:styleId="OutlineNumbered1">
    <w:name w:val="Outline Numbered 1"/>
    <w:basedOn w:val="Normal"/>
    <w:link w:val="OutlineNumbered1Char"/>
    <w:rsid w:val="008C452B"/>
    <w:pPr>
      <w:numPr>
        <w:numId w:val="31"/>
      </w:numPr>
    </w:pPr>
  </w:style>
  <w:style w:type="character" w:customStyle="1" w:styleId="OutlineNumbered1Char">
    <w:name w:val="Outline Numbered 1 Char"/>
    <w:basedOn w:val="heading1Char0"/>
    <w:link w:val="OutlineNumbered1"/>
    <w:rsid w:val="00BD4BC1"/>
    <w:rPr>
      <w:rFonts w:ascii="Times New Roman" w:eastAsia="Times New Roman" w:hAnsi="Times New Roman" w:cs="Times New Roman"/>
      <w:b w:val="0"/>
      <w:bCs/>
      <w:sz w:val="21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8C452B"/>
    <w:pPr>
      <w:numPr>
        <w:ilvl w:val="1"/>
        <w:numId w:val="31"/>
      </w:numPr>
    </w:pPr>
  </w:style>
  <w:style w:type="character" w:customStyle="1" w:styleId="OutlineNumbered2Char">
    <w:name w:val="Outline Numbered 2 Char"/>
    <w:basedOn w:val="heading1Char0"/>
    <w:link w:val="OutlineNumbered2"/>
    <w:rsid w:val="00BD4BC1"/>
    <w:rPr>
      <w:rFonts w:ascii="Times New Roman" w:eastAsia="Times New Roman" w:hAnsi="Times New Roman" w:cs="Times New Roman"/>
      <w:b w:val="0"/>
      <w:bCs/>
      <w:sz w:val="21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8C452B"/>
    <w:pPr>
      <w:numPr>
        <w:ilvl w:val="2"/>
        <w:numId w:val="31"/>
      </w:numPr>
    </w:pPr>
  </w:style>
  <w:style w:type="character" w:customStyle="1" w:styleId="OutlineNumbered3Char">
    <w:name w:val="Outline Numbered 3 Char"/>
    <w:basedOn w:val="heading1Char0"/>
    <w:link w:val="OutlineNumbered3"/>
    <w:rsid w:val="00BD4BC1"/>
    <w:rPr>
      <w:rFonts w:ascii="Times New Roman" w:eastAsia="Times New Roman" w:hAnsi="Times New Roman" w:cs="Times New Roman"/>
      <w:b w:val="0"/>
      <w:bCs/>
      <w:sz w:val="21"/>
      <w:szCs w:val="20"/>
      <w:lang w:eastAsia="en-AU"/>
    </w:rPr>
  </w:style>
  <w:style w:type="character" w:styleId="Hyperlink">
    <w:name w:val="Hyperlink"/>
    <w:basedOn w:val="DefaultParagraphFont"/>
    <w:rsid w:val="008C452B"/>
    <w:rPr>
      <w:color w:val="auto"/>
      <w:u w:val="none"/>
    </w:rPr>
  </w:style>
  <w:style w:type="paragraph" w:styleId="EndnoteText">
    <w:name w:val="endnote text"/>
    <w:basedOn w:val="Normal"/>
    <w:link w:val="EndnoteTextChar"/>
    <w:semiHidden/>
    <w:rsid w:val="008C452B"/>
  </w:style>
  <w:style w:type="character" w:customStyle="1" w:styleId="EndnoteTextChar">
    <w:name w:val="Endnote Text Char"/>
    <w:basedOn w:val="DefaultParagraphFont"/>
    <w:link w:val="EndnoteText"/>
    <w:semiHidden/>
    <w:rsid w:val="008C452B"/>
    <w:rPr>
      <w:rFonts w:ascii="Times New Roman" w:eastAsia="Times New Roman" w:hAnsi="Times New Roman" w:cs="Times New Roman"/>
      <w:bCs/>
      <w:szCs w:val="20"/>
      <w:lang w:eastAsia="en-AU"/>
    </w:rPr>
  </w:style>
  <w:style w:type="character" w:styleId="EndnoteReference">
    <w:name w:val="endnote reference"/>
    <w:basedOn w:val="DefaultParagraphFont"/>
    <w:semiHidden/>
    <w:rsid w:val="008C45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452B"/>
    <w:pPr>
      <w:spacing w:after="0"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8C4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2B"/>
    <w:rPr>
      <w:rFonts w:ascii="Tahoma" w:eastAsia="Times New Roman" w:hAnsi="Tahoma" w:cs="Tahoma"/>
      <w:bCs/>
      <w:sz w:val="16"/>
      <w:szCs w:val="16"/>
      <w:lang w:eastAsia="en-AU"/>
    </w:rPr>
  </w:style>
  <w:style w:type="character" w:styleId="CommentReference">
    <w:name w:val="annotation reference"/>
    <w:basedOn w:val="DefaultParagraphFont"/>
    <w:semiHidden/>
    <w:rsid w:val="008C45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452B"/>
  </w:style>
  <w:style w:type="character" w:customStyle="1" w:styleId="CommentTextChar">
    <w:name w:val="Comment Text Char"/>
    <w:basedOn w:val="DefaultParagraphFont"/>
    <w:link w:val="CommentText"/>
    <w:semiHidden/>
    <w:rsid w:val="008C452B"/>
    <w:rPr>
      <w:rFonts w:ascii="Times New Roman" w:eastAsia="Times New Roman" w:hAnsi="Times New Roman" w:cs="Times New Roman"/>
      <w:bCs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452B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8C452B"/>
    <w:rPr>
      <w:rFonts w:ascii="Times New Roman" w:eastAsia="Times New Roman" w:hAnsi="Times New Roman" w:cs="Times New Roman"/>
      <w:b/>
      <w:bCs w:val="0"/>
      <w:szCs w:val="20"/>
      <w:lang w:eastAsia="en-AU"/>
    </w:rPr>
  </w:style>
  <w:style w:type="paragraph" w:customStyle="1" w:styleId="TableMainHeading">
    <w:name w:val="Table Main Heading"/>
    <w:basedOn w:val="Normal"/>
    <w:next w:val="TableGraphic"/>
    <w:rsid w:val="008C452B"/>
    <w:pPr>
      <w:keepNext/>
    </w:pPr>
    <w:rPr>
      <w:b/>
      <w:bCs w:val="0"/>
      <w:color w:val="0000FF"/>
    </w:rPr>
  </w:style>
  <w:style w:type="character" w:customStyle="1" w:styleId="Heading2Char">
    <w:name w:val="Heading 2 Char"/>
    <w:basedOn w:val="DefaultParagraphFont"/>
    <w:link w:val="Heading2"/>
    <w:rsid w:val="008C452B"/>
    <w:rPr>
      <w:rFonts w:ascii="Times New Roman" w:eastAsia="Times New Roman" w:hAnsi="Times New Roman" w:cs="Times New Roman"/>
      <w:b/>
      <w:bCs/>
      <w:iCs/>
      <w:color w:val="0000FF"/>
      <w:sz w:val="24"/>
      <w:szCs w:val="24"/>
      <w:lang w:eastAsia="en-AU"/>
    </w:rPr>
  </w:style>
  <w:style w:type="table" w:styleId="TableGrid">
    <w:name w:val="Table Grid"/>
    <w:basedOn w:val="TableNormal"/>
    <w:rsid w:val="008C452B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paragraph" w:styleId="Revision">
    <w:name w:val="Revision"/>
    <w:hidden/>
    <w:uiPriority w:val="99"/>
    <w:semiHidden/>
    <w:rsid w:val="003A14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C452B"/>
    <w:rPr>
      <w:rFonts w:ascii="Times New Roman" w:eastAsia="Times New Roman" w:hAnsi="Times New Roman" w:cs="Times New Roman"/>
      <w:b/>
      <w:bCs/>
      <w:color w:val="0000FF"/>
      <w:kern w:val="32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8C452B"/>
    <w:rPr>
      <w:rFonts w:ascii="Times New Roman" w:eastAsia="Times New Roman" w:hAnsi="Times New Roman" w:cs="Times New Roman"/>
      <w:iCs/>
      <w:color w:val="0000FF"/>
      <w:sz w:val="20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8C452B"/>
    <w:rPr>
      <w:rFonts w:ascii="Times New Roman" w:eastAsia="Times New Roman" w:hAnsi="Times New Roman" w:cs="Arial"/>
      <w:color w:val="0000FF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8C452B"/>
    <w:rPr>
      <w:rFonts w:ascii="Times New Roman" w:eastAsia="Times New Roman" w:hAnsi="Times New Roman" w:cs="Times New Roman"/>
      <w:bCs/>
      <w:color w:val="0000FF"/>
      <w:lang w:eastAsia="en-AU"/>
    </w:rPr>
  </w:style>
  <w:style w:type="character" w:customStyle="1" w:styleId="Heading5Char">
    <w:name w:val="Heading 5 Char"/>
    <w:basedOn w:val="DefaultParagraphFont"/>
    <w:link w:val="Heading5"/>
    <w:rsid w:val="008C452B"/>
    <w:rPr>
      <w:rFonts w:ascii="Times New Roman" w:eastAsia="Times New Roman" w:hAnsi="Times New Roman" w:cs="Times New Roman"/>
      <w:b/>
      <w:bCs/>
      <w:iCs/>
      <w:color w:val="0000FF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8C452B"/>
    <w:rPr>
      <w:rFonts w:ascii="Times New Roman" w:eastAsia="Times New Roman" w:hAnsi="Times New Roman" w:cs="Times New Roman"/>
      <w:bCs/>
      <w:color w:val="0000FF"/>
      <w:sz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8C452B"/>
    <w:rPr>
      <w:rFonts w:ascii="Times New Roman" w:eastAsia="Times New Roman" w:hAnsi="Times New Roman" w:cs="Times New Roman"/>
      <w:color w:val="0000FF"/>
      <w:sz w:val="20"/>
      <w:szCs w:val="24"/>
      <w:lang w:eastAsia="en-AU"/>
    </w:rPr>
  </w:style>
  <w:style w:type="paragraph" w:customStyle="1" w:styleId="HeadingBase">
    <w:name w:val="Heading Base"/>
    <w:next w:val="Normal"/>
    <w:rsid w:val="008C452B"/>
    <w:pPr>
      <w:keepNext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en-AU"/>
    </w:rPr>
  </w:style>
  <w:style w:type="paragraph" w:customStyle="1" w:styleId="ChartGraphic">
    <w:name w:val="Chart Graphic"/>
    <w:basedOn w:val="HeadingBase"/>
    <w:next w:val="Normal"/>
    <w:rsid w:val="008C452B"/>
    <w:pPr>
      <w:jc w:val="center"/>
    </w:pPr>
  </w:style>
  <w:style w:type="paragraph" w:customStyle="1" w:styleId="TableGraphic">
    <w:name w:val="Table Graphic"/>
    <w:basedOn w:val="HeadingBase"/>
    <w:next w:val="Normal"/>
    <w:rsid w:val="008C452B"/>
  </w:style>
  <w:style w:type="paragraph" w:customStyle="1" w:styleId="BoxTextBase">
    <w:name w:val="Box Text Base"/>
    <w:basedOn w:val="Normal"/>
    <w:rsid w:val="008C452B"/>
  </w:style>
  <w:style w:type="paragraph" w:customStyle="1" w:styleId="BoxBullet">
    <w:name w:val="Box Bullet"/>
    <w:basedOn w:val="BoxTextBase"/>
    <w:rsid w:val="008C452B"/>
    <w:pPr>
      <w:numPr>
        <w:numId w:val="22"/>
      </w:numPr>
      <w:ind w:left="284" w:hanging="284"/>
    </w:pPr>
  </w:style>
  <w:style w:type="paragraph" w:customStyle="1" w:styleId="BoxDash">
    <w:name w:val="Box Dash"/>
    <w:basedOn w:val="Normal"/>
    <w:rsid w:val="008C452B"/>
    <w:pPr>
      <w:numPr>
        <w:ilvl w:val="1"/>
        <w:numId w:val="22"/>
      </w:numPr>
    </w:pPr>
  </w:style>
  <w:style w:type="paragraph" w:customStyle="1" w:styleId="BoxDoubleDot">
    <w:name w:val="Box Double Dot"/>
    <w:basedOn w:val="BoxTextBase"/>
    <w:rsid w:val="008C452B"/>
    <w:pPr>
      <w:numPr>
        <w:ilvl w:val="2"/>
        <w:numId w:val="22"/>
      </w:numPr>
    </w:pPr>
  </w:style>
  <w:style w:type="paragraph" w:customStyle="1" w:styleId="BoxHeading">
    <w:name w:val="Box Heading"/>
    <w:basedOn w:val="HeadingBase"/>
    <w:next w:val="Normal"/>
    <w:rsid w:val="008C452B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8C452B"/>
  </w:style>
  <w:style w:type="paragraph" w:styleId="NormalIndent">
    <w:name w:val="Normal Indent"/>
    <w:basedOn w:val="Normal"/>
    <w:rsid w:val="008C452B"/>
    <w:pPr>
      <w:ind w:left="567"/>
    </w:pPr>
  </w:style>
  <w:style w:type="paragraph" w:customStyle="1" w:styleId="ChartandTableFootnoteAlpha">
    <w:name w:val="Chart and Table Footnote Alpha"/>
    <w:basedOn w:val="ChartorTableNote"/>
    <w:rsid w:val="008C452B"/>
  </w:style>
  <w:style w:type="paragraph" w:customStyle="1" w:styleId="ChartMainHeading">
    <w:name w:val="Chart Main Heading"/>
    <w:basedOn w:val="Normal"/>
    <w:next w:val="ChartGraphic"/>
    <w:rsid w:val="008C452B"/>
    <w:pPr>
      <w:keepNext/>
      <w:jc w:val="center"/>
    </w:pPr>
    <w:rPr>
      <w:b/>
      <w:bCs w:val="0"/>
      <w:color w:val="0000FF"/>
    </w:rPr>
  </w:style>
  <w:style w:type="paragraph" w:customStyle="1" w:styleId="ChartorTableNote">
    <w:name w:val="Chart or Table Note"/>
    <w:basedOn w:val="FootnoteText"/>
    <w:next w:val="Normal"/>
    <w:rsid w:val="00250839"/>
    <w:pPr>
      <w:spacing w:before="120"/>
    </w:pPr>
  </w:style>
  <w:style w:type="paragraph" w:customStyle="1" w:styleId="ChartSecondHeading">
    <w:name w:val="Chart Second Heading"/>
    <w:basedOn w:val="HeadingBase"/>
    <w:next w:val="ChartGraphic"/>
    <w:rsid w:val="008C452B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8C452B"/>
    <w:pPr>
      <w:spacing w:after="120"/>
      <w:jc w:val="center"/>
    </w:pPr>
    <w:rPr>
      <w:b/>
      <w:smallCaps/>
    </w:rPr>
  </w:style>
  <w:style w:type="paragraph" w:customStyle="1" w:styleId="ContentsHeading">
    <w:name w:val="Contents Heading"/>
    <w:basedOn w:val="HeadingBase"/>
    <w:next w:val="Normal"/>
    <w:rsid w:val="008C452B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8C452B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8C452B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8C452B"/>
    <w:pPr>
      <w:spacing w:after="480"/>
      <w:jc w:val="center"/>
    </w:pPr>
    <w:rPr>
      <w:b/>
      <w:sz w:val="48"/>
    </w:rPr>
  </w:style>
  <w:style w:type="paragraph" w:customStyle="1" w:styleId="Figuregraphic">
    <w:name w:val="Figure graphic"/>
    <w:basedOn w:val="Normal"/>
    <w:rsid w:val="008C452B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8C452B"/>
    <w:pPr>
      <w:spacing w:after="20"/>
      <w:jc w:val="center"/>
    </w:pPr>
    <w:rPr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8C452B"/>
    <w:pPr>
      <w:spacing w:after="20"/>
      <w:jc w:val="center"/>
    </w:pPr>
  </w:style>
  <w:style w:type="paragraph" w:customStyle="1" w:styleId="FooterCentered">
    <w:name w:val="Footer Centered"/>
    <w:basedOn w:val="FooterOdd"/>
    <w:rsid w:val="008C452B"/>
    <w:pPr>
      <w:jc w:val="center"/>
    </w:pPr>
  </w:style>
  <w:style w:type="paragraph" w:customStyle="1" w:styleId="FooterEven">
    <w:name w:val="Footer Even"/>
    <w:basedOn w:val="FooterCentered"/>
    <w:rsid w:val="008C452B"/>
    <w:pPr>
      <w:jc w:val="left"/>
    </w:pPr>
  </w:style>
  <w:style w:type="paragraph" w:customStyle="1" w:styleId="FooterOdd">
    <w:name w:val="Footer Odd"/>
    <w:basedOn w:val="Footer"/>
    <w:rsid w:val="00243F64"/>
    <w:pPr>
      <w:spacing w:before="120"/>
      <w:jc w:val="right"/>
    </w:pPr>
    <w:rPr>
      <w:szCs w:val="18"/>
    </w:rPr>
  </w:style>
  <w:style w:type="character" w:customStyle="1" w:styleId="FramedFooter">
    <w:name w:val="Framed Footer"/>
    <w:rsid w:val="008C452B"/>
    <w:rPr>
      <w:rFonts w:ascii="Calibri" w:hAnsi="Calibri"/>
      <w:sz w:val="18"/>
    </w:rPr>
  </w:style>
  <w:style w:type="character" w:customStyle="1" w:styleId="FramedHeader">
    <w:name w:val="Framed Header"/>
    <w:basedOn w:val="DefaultParagraphFont"/>
    <w:rsid w:val="008C452B"/>
    <w:rPr>
      <w:rFonts w:ascii="Times New Roman" w:hAnsi="Times New Roman"/>
      <w:dstrike w:val="0"/>
      <w:color w:val="auto"/>
      <w:sz w:val="18"/>
      <w:vertAlign w:val="baseline"/>
    </w:rPr>
  </w:style>
  <w:style w:type="paragraph" w:customStyle="1" w:styleId="HeaderEven">
    <w:name w:val="Header Even"/>
    <w:basedOn w:val="Header"/>
    <w:rsid w:val="008C452B"/>
    <w:pPr>
      <w:tabs>
        <w:tab w:val="left" w:pos="2337"/>
      </w:tabs>
    </w:pPr>
    <w:rPr>
      <w:szCs w:val="18"/>
    </w:rPr>
  </w:style>
  <w:style w:type="paragraph" w:customStyle="1" w:styleId="HeaderOdd">
    <w:name w:val="Header Odd"/>
    <w:basedOn w:val="Header"/>
    <w:rsid w:val="008C452B"/>
    <w:rPr>
      <w:szCs w:val="18"/>
    </w:rPr>
  </w:style>
  <w:style w:type="character" w:customStyle="1" w:styleId="italic">
    <w:name w:val="italic"/>
    <w:basedOn w:val="DefaultParagraphFont"/>
    <w:rsid w:val="008C452B"/>
    <w:rPr>
      <w:i/>
    </w:rPr>
  </w:style>
  <w:style w:type="paragraph" w:styleId="NormalWeb">
    <w:name w:val="Normal (Web)"/>
    <w:basedOn w:val="Normal"/>
    <w:rsid w:val="008C452B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8C452B"/>
    <w:rPr>
      <w:i/>
    </w:rPr>
  </w:style>
  <w:style w:type="paragraph" w:customStyle="1" w:styleId="OneLevelNumberedParagraph">
    <w:name w:val="One Level Numbered Paragraph"/>
    <w:basedOn w:val="Normal"/>
    <w:rsid w:val="008C452B"/>
    <w:pPr>
      <w:numPr>
        <w:numId w:val="30"/>
      </w:numPr>
    </w:pPr>
  </w:style>
  <w:style w:type="character" w:styleId="PageNumber">
    <w:name w:val="page number"/>
    <w:basedOn w:val="DefaultParagraphFont"/>
    <w:rsid w:val="008C452B"/>
  </w:style>
  <w:style w:type="paragraph" w:customStyle="1" w:styleId="Principle">
    <w:name w:val="Principle"/>
    <w:basedOn w:val="Normal"/>
    <w:rsid w:val="008C452B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8C452B"/>
    <w:rPr>
      <w:i/>
    </w:rPr>
  </w:style>
  <w:style w:type="paragraph" w:customStyle="1" w:styleId="RecommendationBullet">
    <w:name w:val="Recommendation Bullet"/>
    <w:basedOn w:val="RecommendationTextBase"/>
    <w:rsid w:val="008C452B"/>
    <w:pPr>
      <w:numPr>
        <w:numId w:val="32"/>
      </w:numPr>
    </w:pPr>
  </w:style>
  <w:style w:type="paragraph" w:customStyle="1" w:styleId="RecommendationDash">
    <w:name w:val="Recommendation Dash"/>
    <w:basedOn w:val="RecommendationTextBase"/>
    <w:rsid w:val="008C452B"/>
    <w:pPr>
      <w:numPr>
        <w:ilvl w:val="1"/>
        <w:numId w:val="32"/>
      </w:numPr>
    </w:pPr>
  </w:style>
  <w:style w:type="paragraph" w:customStyle="1" w:styleId="RecommendationDoubleDot">
    <w:name w:val="Recommendation Double Dot"/>
    <w:basedOn w:val="RecommendationTextBase"/>
    <w:rsid w:val="008C452B"/>
    <w:pPr>
      <w:numPr>
        <w:ilvl w:val="2"/>
        <w:numId w:val="32"/>
      </w:numPr>
    </w:pPr>
  </w:style>
  <w:style w:type="paragraph" w:customStyle="1" w:styleId="RecommendationHeading">
    <w:name w:val="Recommendation Heading"/>
    <w:basedOn w:val="HeadingBase"/>
    <w:next w:val="Normal"/>
    <w:rsid w:val="008C452B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8C452B"/>
  </w:style>
  <w:style w:type="paragraph" w:customStyle="1" w:styleId="Romannumeral">
    <w:name w:val="Roman numeral"/>
    <w:basedOn w:val="Normal"/>
    <w:rsid w:val="008C452B"/>
    <w:pPr>
      <w:numPr>
        <w:numId w:val="33"/>
      </w:numPr>
    </w:pPr>
  </w:style>
  <w:style w:type="paragraph" w:customStyle="1" w:styleId="SingleParagraph">
    <w:name w:val="Single Paragraph"/>
    <w:basedOn w:val="Normal"/>
    <w:rsid w:val="008C452B"/>
    <w:pPr>
      <w:spacing w:after="0"/>
    </w:pPr>
  </w:style>
  <w:style w:type="paragraph" w:customStyle="1" w:styleId="SingleParagraphIndent">
    <w:name w:val="Single Paragraph Indent"/>
    <w:basedOn w:val="SingleParagraph"/>
    <w:rsid w:val="008C452B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8C452B"/>
    <w:pPr>
      <w:spacing w:after="20"/>
    </w:pPr>
  </w:style>
  <w:style w:type="paragraph" w:customStyle="1" w:styleId="TableTextBase">
    <w:name w:val="Table Text Base"/>
    <w:rsid w:val="008C452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8C452B"/>
    <w:pPr>
      <w:jc w:val="center"/>
    </w:pPr>
  </w:style>
  <w:style w:type="paragraph" w:customStyle="1" w:styleId="TableColumnHeadingBase">
    <w:name w:val="Table Column Heading Base"/>
    <w:basedOn w:val="Normal"/>
    <w:rsid w:val="008C452B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8C452B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8C452B"/>
    <w:pPr>
      <w:jc w:val="right"/>
    </w:pPr>
  </w:style>
  <w:style w:type="paragraph" w:customStyle="1" w:styleId="TableMainHeadingContd">
    <w:name w:val="Table Main Heading Contd"/>
    <w:basedOn w:val="HeadingBase"/>
    <w:next w:val="TableGraphic"/>
    <w:rsid w:val="008C452B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8C452B"/>
    <w:pPr>
      <w:jc w:val="center"/>
    </w:pPr>
  </w:style>
  <w:style w:type="paragraph" w:customStyle="1" w:styleId="TableTextIndented">
    <w:name w:val="Table Text Indented"/>
    <w:basedOn w:val="TableTextBase"/>
    <w:rsid w:val="008C452B"/>
    <w:pPr>
      <w:ind w:left="284"/>
    </w:pPr>
  </w:style>
  <w:style w:type="paragraph" w:customStyle="1" w:styleId="TableTextLeft">
    <w:name w:val="Table Text Left"/>
    <w:basedOn w:val="TableTextBase"/>
    <w:rsid w:val="008C452B"/>
  </w:style>
  <w:style w:type="paragraph" w:customStyle="1" w:styleId="TableTextRight">
    <w:name w:val="Table Text Right"/>
    <w:basedOn w:val="TableTextBase"/>
    <w:rsid w:val="008C452B"/>
    <w:pPr>
      <w:jc w:val="right"/>
    </w:pPr>
  </w:style>
  <w:style w:type="paragraph" w:styleId="TOC1">
    <w:name w:val="toc 1"/>
    <w:basedOn w:val="HeadingBase"/>
    <w:next w:val="Normal"/>
    <w:rsid w:val="008C452B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rsid w:val="008C452B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rsid w:val="008C452B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8C452B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8C452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452B"/>
    <w:rPr>
      <w:rFonts w:ascii="Times New Roman" w:eastAsia="Times New Roman" w:hAnsi="Times New Roman" w:cs="Times New Roman"/>
      <w:bCs/>
      <w:szCs w:val="20"/>
      <w:lang w:eastAsia="en-AU"/>
    </w:rPr>
  </w:style>
  <w:style w:type="paragraph" w:styleId="Caption">
    <w:name w:val="caption"/>
    <w:basedOn w:val="Normal"/>
    <w:next w:val="Normal"/>
    <w:qFormat/>
    <w:rsid w:val="008C452B"/>
    <w:rPr>
      <w:b/>
      <w:bCs w:val="0"/>
    </w:rPr>
  </w:style>
  <w:style w:type="paragraph" w:styleId="DocumentMap">
    <w:name w:val="Document Map"/>
    <w:basedOn w:val="Normal"/>
    <w:link w:val="DocumentMapChar"/>
    <w:semiHidden/>
    <w:rsid w:val="008C452B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8C452B"/>
    <w:rPr>
      <w:rFonts w:ascii="Tahoma" w:eastAsia="Times New Roman" w:hAnsi="Tahoma" w:cs="Tahoma"/>
      <w:bCs/>
      <w:szCs w:val="20"/>
      <w:shd w:val="clear" w:color="auto" w:fill="00CCFF"/>
      <w:lang w:eastAsia="en-AU"/>
    </w:rPr>
  </w:style>
  <w:style w:type="character" w:styleId="FollowedHyperlink">
    <w:name w:val="FollowedHyperlink"/>
    <w:basedOn w:val="DefaultParagraphFont"/>
    <w:rsid w:val="008C452B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8C452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C452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C452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C452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C452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C452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C452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C452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C452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C452B"/>
    <w:rPr>
      <w:rFonts w:ascii="Arial" w:hAnsi="Arial" w:cs="Arial"/>
      <w:b/>
      <w:bCs w:val="0"/>
    </w:rPr>
  </w:style>
  <w:style w:type="paragraph" w:styleId="MacroText">
    <w:name w:val="macro"/>
    <w:link w:val="MacroTextChar"/>
    <w:semiHidden/>
    <w:rsid w:val="008C45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8C452B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8C452B"/>
    <w:pPr>
      <w:numPr>
        <w:numId w:val="27"/>
      </w:numPr>
    </w:pPr>
  </w:style>
  <w:style w:type="paragraph" w:customStyle="1" w:styleId="PictureCentred">
    <w:name w:val="Picture Centred"/>
    <w:basedOn w:val="Normal"/>
    <w:rsid w:val="008C452B"/>
    <w:pPr>
      <w:spacing w:line="240" w:lineRule="atLeast"/>
      <w:jc w:val="center"/>
    </w:pPr>
  </w:style>
  <w:style w:type="paragraph" w:customStyle="1" w:styleId="PictureLeft">
    <w:name w:val="Picture Left"/>
    <w:basedOn w:val="PictureCentred"/>
    <w:rsid w:val="008C452B"/>
    <w:pPr>
      <w:jc w:val="left"/>
    </w:pPr>
  </w:style>
  <w:style w:type="paragraph" w:customStyle="1" w:styleId="PictureIndent">
    <w:name w:val="Picture Indent"/>
    <w:basedOn w:val="PictureLeft"/>
    <w:rsid w:val="008C452B"/>
    <w:pPr>
      <w:ind w:left="284"/>
    </w:pPr>
  </w:style>
  <w:style w:type="paragraph" w:styleId="TableofAuthorities">
    <w:name w:val="table of authorities"/>
    <w:basedOn w:val="Normal"/>
    <w:next w:val="Normal"/>
    <w:rsid w:val="008C452B"/>
    <w:pPr>
      <w:ind w:left="200" w:hanging="200"/>
    </w:pPr>
  </w:style>
  <w:style w:type="paragraph" w:styleId="TableofFigures">
    <w:name w:val="table of figures"/>
    <w:basedOn w:val="Normal"/>
    <w:next w:val="Normal"/>
    <w:rsid w:val="008C452B"/>
  </w:style>
  <w:style w:type="paragraph" w:styleId="TOAHeading">
    <w:name w:val="toa heading"/>
    <w:basedOn w:val="Normal"/>
    <w:next w:val="Normal"/>
    <w:semiHidden/>
    <w:rsid w:val="008C452B"/>
    <w:rPr>
      <w:rFonts w:ascii="Arial" w:hAnsi="Arial" w:cs="Arial"/>
      <w:b/>
      <w:bCs w:val="0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8C452B"/>
    <w:pPr>
      <w:ind w:left="800"/>
    </w:pPr>
  </w:style>
  <w:style w:type="paragraph" w:styleId="TOC6">
    <w:name w:val="toc 6"/>
    <w:basedOn w:val="Normal"/>
    <w:next w:val="Normal"/>
    <w:autoRedefine/>
    <w:semiHidden/>
    <w:rsid w:val="008C452B"/>
    <w:pPr>
      <w:ind w:left="1000"/>
    </w:pPr>
  </w:style>
  <w:style w:type="paragraph" w:styleId="TOC7">
    <w:name w:val="toc 7"/>
    <w:basedOn w:val="Normal"/>
    <w:next w:val="Normal"/>
    <w:autoRedefine/>
    <w:semiHidden/>
    <w:rsid w:val="008C452B"/>
    <w:pPr>
      <w:ind w:left="1200"/>
    </w:pPr>
  </w:style>
  <w:style w:type="paragraph" w:styleId="TOC8">
    <w:name w:val="toc 8"/>
    <w:basedOn w:val="Normal"/>
    <w:next w:val="Normal"/>
    <w:autoRedefine/>
    <w:semiHidden/>
    <w:rsid w:val="008C452B"/>
    <w:pPr>
      <w:ind w:left="1400"/>
    </w:pPr>
  </w:style>
  <w:style w:type="paragraph" w:styleId="TOC9">
    <w:name w:val="toc 9"/>
    <w:basedOn w:val="Normal"/>
    <w:next w:val="Normal"/>
    <w:autoRedefine/>
    <w:semiHidden/>
    <w:rsid w:val="008C452B"/>
    <w:pPr>
      <w:ind w:left="1600"/>
    </w:pPr>
  </w:style>
  <w:style w:type="numbering" w:customStyle="1" w:styleId="BulletedList">
    <w:name w:val="Bulleted List"/>
    <w:uiPriority w:val="99"/>
    <w:rsid w:val="008C452B"/>
    <w:pPr>
      <w:numPr>
        <w:numId w:val="21"/>
      </w:numPr>
    </w:pPr>
  </w:style>
  <w:style w:type="numbering" w:customStyle="1" w:styleId="BoxBulletedList">
    <w:name w:val="Box Bulleted List"/>
    <w:uiPriority w:val="99"/>
    <w:rsid w:val="008C452B"/>
    <w:pPr>
      <w:numPr>
        <w:numId w:val="22"/>
      </w:numPr>
    </w:pPr>
  </w:style>
  <w:style w:type="numbering" w:customStyle="1" w:styleId="AlphaParagraphList">
    <w:name w:val="Alpha Paragraph List"/>
    <w:uiPriority w:val="99"/>
    <w:rsid w:val="008C452B"/>
    <w:pPr>
      <w:numPr>
        <w:numId w:val="24"/>
      </w:numPr>
    </w:pPr>
  </w:style>
  <w:style w:type="numbering" w:customStyle="1" w:styleId="OneLevelList">
    <w:name w:val="OneLevelList"/>
    <w:uiPriority w:val="99"/>
    <w:rsid w:val="008C452B"/>
    <w:pPr>
      <w:numPr>
        <w:numId w:val="26"/>
      </w:numPr>
    </w:pPr>
  </w:style>
  <w:style w:type="numbering" w:customStyle="1" w:styleId="RecommendationBulletList">
    <w:name w:val="RecommendationBulletList"/>
    <w:uiPriority w:val="99"/>
    <w:rsid w:val="008C452B"/>
    <w:pPr>
      <w:numPr>
        <w:numId w:val="28"/>
      </w:numPr>
    </w:pPr>
  </w:style>
  <w:style w:type="numbering" w:customStyle="1" w:styleId="RomanNumeralList">
    <w:name w:val="RomanNumeralList"/>
    <w:uiPriority w:val="99"/>
    <w:rsid w:val="008C452B"/>
    <w:pPr>
      <w:numPr>
        <w:numId w:val="29"/>
      </w:numPr>
    </w:pPr>
  </w:style>
  <w:style w:type="numbering" w:customStyle="1" w:styleId="ChartandTableFootnoteAlphaList">
    <w:name w:val="ChartandTableFootnoteAlphaList"/>
    <w:uiPriority w:val="99"/>
    <w:rsid w:val="008C452B"/>
    <w:pPr>
      <w:numPr>
        <w:numId w:val="34"/>
      </w:numPr>
    </w:pPr>
  </w:style>
  <w:style w:type="paragraph" w:customStyle="1" w:styleId="TableTextBullet">
    <w:name w:val="Table Text Bullet"/>
    <w:basedOn w:val="TableTextBase"/>
    <w:rsid w:val="008C452B"/>
    <w:pPr>
      <w:numPr>
        <w:numId w:val="36"/>
      </w:numPr>
    </w:pPr>
  </w:style>
  <w:style w:type="numbering" w:customStyle="1" w:styleId="TableTestBulletList">
    <w:name w:val="Table Test Bullet List"/>
    <w:uiPriority w:val="99"/>
    <w:rsid w:val="008C452B"/>
    <w:pPr>
      <w:numPr>
        <w:numId w:val="35"/>
      </w:numPr>
    </w:pPr>
  </w:style>
  <w:style w:type="numbering" w:customStyle="1" w:styleId="TableTextBulletList">
    <w:name w:val="Table Text Bullet List"/>
    <w:uiPriority w:val="99"/>
    <w:rsid w:val="008C452B"/>
    <w:pPr>
      <w:numPr>
        <w:numId w:val="36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8C452B"/>
    <w:pPr>
      <w:numPr>
        <w:numId w:val="0"/>
      </w:numPr>
      <w:spacing w:after="80" w:line="260" w:lineRule="exact"/>
    </w:pPr>
  </w:style>
  <w:style w:type="paragraph" w:customStyle="1" w:styleId="Reference">
    <w:name w:val="Reference"/>
    <w:basedOn w:val="Normal"/>
    <w:qFormat/>
    <w:rsid w:val="008C452B"/>
    <w:rPr>
      <w:sz w:val="20"/>
    </w:rPr>
  </w:style>
  <w:style w:type="paragraph" w:customStyle="1" w:styleId="rightFooter">
    <w:name w:val="right Footer"/>
    <w:basedOn w:val="Footer"/>
    <w:rsid w:val="008C452B"/>
  </w:style>
  <w:style w:type="paragraph" w:customStyle="1" w:styleId="Footerright">
    <w:name w:val="Footer right"/>
    <w:basedOn w:val="FooterCentered"/>
    <w:rsid w:val="00243F64"/>
    <w:pPr>
      <w:jc w:val="right"/>
    </w:pPr>
  </w:style>
  <w:style w:type="paragraph" w:customStyle="1" w:styleId="Chaptertitle">
    <w:name w:val="Chapter title"/>
    <w:basedOn w:val="Heading1"/>
    <w:rsid w:val="008C452B"/>
    <w:pPr>
      <w:spacing w:before="5000"/>
    </w:pPr>
  </w:style>
  <w:style w:type="paragraph" w:customStyle="1" w:styleId="Tableunderlinedtext">
    <w:name w:val="Table underlined text"/>
    <w:basedOn w:val="TableTextBase"/>
    <w:qFormat/>
    <w:rsid w:val="008C452B"/>
    <w:rPr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96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11191">
                              <w:marLeft w:val="0"/>
                              <w:marRight w:val="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4033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file:///\\romulus\priv_info$\Forecasting%20Review\Report%20Charts%20&amp;%20Tables\Revenue%20forecasting%20analysis\2012-13%20Budget%20Inputs\BP1%20BS5%20-%201.%20Tax%20vs%20tax%20less%20GST%20vs%20receipts%20to%20GDP.xlsx!Data!%5bBP1%20BS5%20-%201.%20Tax%20vs%20tax%20less%20GST%20vs%20receipts%20to%20GDP.xlsx%5dData%20Chart%2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file:///\\romulus\priv_info$\Forecasting%20Review\Report%20Charts%20&amp;%20Tables\Revenue%20forecasting%20analysis\2012-13%20Budget%20Inputs\BP1%20BS5%20-%202.%20GDP%20and%20tax%20receipt%20estimates.xlsx!Chart!%5bBP1%20BS5%20-%202.%20GDP%20and%20tax%20receipt%20estimates.xlsx%5dChart%20Chart%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028F-8713-4102-B517-7D528DEA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Treasury Macroeconomic and Revenue Forecasting</vt:lpstr>
    </vt:vector>
  </TitlesOfParts>
  <Company>Australian Government - The Treasury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Treasury Macroeconomic and Revenue Forecasting</dc:title>
  <dc:creator/>
  <cp:lastModifiedBy>Schumann, Vicky</cp:lastModifiedBy>
  <cp:revision>78</cp:revision>
  <cp:lastPrinted>2012-12-07T05:42:00Z</cp:lastPrinted>
  <dcterms:created xsi:type="dcterms:W3CDTF">2012-11-21T23:11:00Z</dcterms:created>
  <dcterms:modified xsi:type="dcterms:W3CDTF">2013-02-21T02:19:00Z</dcterms:modified>
</cp:coreProperties>
</file>