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42289537"/>
        <w:docPartObj>
          <w:docPartGallery w:val="Cover Pages"/>
          <w:docPartUnique/>
        </w:docPartObj>
      </w:sdtPr>
      <w:sdtEndPr/>
      <w:sdtContent>
        <w:p w14:paraId="790F6295" w14:textId="253BE32D" w:rsidR="00A97160" w:rsidRPr="006D0240" w:rsidRDefault="00A97160" w:rsidP="008C2419">
          <w:pPr>
            <w:pStyle w:val="ListParagraph"/>
            <w:tabs>
              <w:tab w:val="left" w:pos="741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489C97" wp14:editId="641BA230">
                <wp:simplePos x="0" y="0"/>
                <wp:positionH relativeFrom="margin">
                  <wp:posOffset>-909955</wp:posOffset>
                </wp:positionH>
                <wp:positionV relativeFrom="page">
                  <wp:posOffset>-18560</wp:posOffset>
                </wp:positionV>
                <wp:extent cx="7570800" cy="10709019"/>
                <wp:effectExtent l="0" t="0" r="0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0800" cy="10709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C2419">
            <w:tab/>
          </w:r>
        </w:p>
        <w:p w14:paraId="5E45E809" w14:textId="77777777" w:rsidR="00A97160" w:rsidRPr="006D0240" w:rsidRDefault="00A97160" w:rsidP="00301755">
          <w:pPr>
            <w:pStyle w:val="Header"/>
            <w:spacing w:after="1200"/>
          </w:pPr>
        </w:p>
        <w:p w14:paraId="3AE38F7D" w14:textId="0859BEA1" w:rsidR="00A97160" w:rsidRPr="00B3489F" w:rsidRDefault="00CD10AD" w:rsidP="00B3489F">
          <w:pPr>
            <w:pStyle w:val="Title"/>
          </w:pPr>
          <w:r w:rsidRPr="00B3489F">
            <w:t>Non-competes and other restraints: understanding the impacts on jobs, business and productivity</w:t>
          </w:r>
        </w:p>
        <w:p w14:paraId="47048FAB" w14:textId="77777777" w:rsidR="00A97160" w:rsidRPr="006923DF" w:rsidRDefault="00A97160" w:rsidP="004C2902">
          <w:pPr>
            <w:pStyle w:val="Subtitle"/>
            <w:spacing w:after="360"/>
          </w:pPr>
          <w:r w:rsidRPr="006923DF">
            <w:fldChar w:fldCharType="begin"/>
          </w:r>
          <w:r w:rsidRPr="006923DF">
            <w:instrText xml:space="preserve"> macrobutton NoMacro [Sub title]</w:instrText>
          </w:r>
          <w:r w:rsidRPr="006923DF">
            <w:fldChar w:fldCharType="end"/>
          </w:r>
        </w:p>
        <w:p w14:paraId="1508641F" w14:textId="181F81E2" w:rsidR="00A97160" w:rsidRPr="00586605" w:rsidRDefault="00CD10AD" w:rsidP="00EF42F8">
          <w:pPr>
            <w:pStyle w:val="ReportDate"/>
          </w:pPr>
          <w:r w:rsidRPr="00EF42F8">
            <w:rPr>
              <w:rStyle w:val="ReportDateChar"/>
            </w:rPr>
            <w:t>April</w:t>
          </w:r>
          <w:r>
            <w:rPr>
              <w:rStyle w:val="ReportDateChar"/>
            </w:rPr>
            <w:t xml:space="preserve"> </w:t>
          </w:r>
          <w:r w:rsidRPr="0013270F">
            <w:rPr>
              <w:rStyle w:val="ReportDateChar"/>
            </w:rPr>
            <w:t>2024</w:t>
          </w:r>
        </w:p>
        <w:p w14:paraId="1A850FAE" w14:textId="77777777" w:rsidR="00A97160" w:rsidRDefault="00A97160">
          <w:pPr>
            <w:spacing w:before="0" w:after="160" w:line="259" w:lineRule="auto"/>
          </w:pPr>
          <w:r>
            <w:br w:type="page"/>
          </w:r>
        </w:p>
      </w:sdtContent>
    </w:sdt>
    <w:p w14:paraId="348AC1D2" w14:textId="3104D4D2" w:rsidR="00475085" w:rsidRPr="00F045E0" w:rsidRDefault="00CD10AD" w:rsidP="0013270F">
      <w:pPr>
        <w:pStyle w:val="Heading1"/>
      </w:pPr>
      <w:r>
        <w:lastRenderedPageBreak/>
        <w:t>Non-</w:t>
      </w:r>
      <w:r w:rsidRPr="0013270F">
        <w:t>competes</w:t>
      </w:r>
      <w:r>
        <w:t xml:space="preserve"> and other restraints </w:t>
      </w:r>
    </w:p>
    <w:p w14:paraId="4A3A5E58" w14:textId="4D682AB8" w:rsidR="00475085" w:rsidRDefault="00CD10AD" w:rsidP="0013270F">
      <w:r w:rsidRPr="000F60E0">
        <w:t>These restraints – intended to protect the confidential information and relationship</w:t>
      </w:r>
      <w:r w:rsidR="000F60E0">
        <w:t>s</w:t>
      </w:r>
      <w:r w:rsidRPr="000F60E0">
        <w:t xml:space="preserve"> of businesses – may be limiting the movement and job opportunities of workers</w:t>
      </w:r>
    </w:p>
    <w:p w14:paraId="2A3FF086" w14:textId="77777777" w:rsidR="00815BE6" w:rsidRDefault="00815BE6" w:rsidP="00D64CEC">
      <w:pPr>
        <w:pStyle w:val="SingleParagraph"/>
      </w:pPr>
    </w:p>
    <w:tbl>
      <w:tblPr>
        <w:tblW w:w="5000" w:type="pct"/>
        <w:shd w:val="clear" w:color="auto" w:fill="F2F9FC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815BE6" w14:paraId="10847B71" w14:textId="77777777" w:rsidTr="00D64CEC">
        <w:tc>
          <w:tcPr>
            <w:tcW w:w="5000" w:type="pct"/>
            <w:shd w:val="clear" w:color="auto" w:fill="F2F9FC"/>
            <w:hideMark/>
          </w:tcPr>
          <w:p w14:paraId="197A6A75" w14:textId="02DEDD53" w:rsidR="00815BE6" w:rsidRPr="0013270F" w:rsidRDefault="00815BE6" w:rsidP="0013270F">
            <w:pPr>
              <w:pStyle w:val="BoxText"/>
            </w:pPr>
            <w:r w:rsidRPr="0013270F">
              <w:rPr>
                <w:b/>
                <w:bCs/>
              </w:rPr>
              <w:t>Non-compete clauses:</w:t>
            </w:r>
            <w:r w:rsidRPr="0013270F">
              <w:t xml:space="preserve"> prevent workers from joining a competitor or star</w:t>
            </w:r>
            <w:r w:rsidR="008C2419" w:rsidRPr="0013270F">
              <w:t>t</w:t>
            </w:r>
            <w:r w:rsidRPr="0013270F">
              <w:t>ing a new business in competition with their current employers for a period of time.</w:t>
            </w:r>
          </w:p>
          <w:p w14:paraId="0852B810" w14:textId="77777777" w:rsidR="00815BE6" w:rsidRPr="0013270F" w:rsidRDefault="00815BE6" w:rsidP="0013270F">
            <w:pPr>
              <w:pStyle w:val="BoxText"/>
            </w:pPr>
            <w:r w:rsidRPr="0013270F">
              <w:rPr>
                <w:b/>
                <w:bCs/>
              </w:rPr>
              <w:t>Non-solicitation clauses:</w:t>
            </w:r>
            <w:r w:rsidRPr="0013270F">
              <w:t xml:space="preserve"> prevent workers from soliciting former customers and co-workers.</w:t>
            </w:r>
          </w:p>
          <w:p w14:paraId="686C0212" w14:textId="77777777" w:rsidR="00815BE6" w:rsidRPr="0013270F" w:rsidRDefault="00815BE6" w:rsidP="0013270F">
            <w:pPr>
              <w:pStyle w:val="BoxText"/>
            </w:pPr>
            <w:r w:rsidRPr="00852F63">
              <w:rPr>
                <w:b/>
                <w:bCs/>
              </w:rPr>
              <w:t>Non-disclosure clauses:</w:t>
            </w:r>
            <w:r w:rsidRPr="0013270F">
              <w:t xml:space="preserve"> prevent workers from disclosing confidential information relating to their employment.</w:t>
            </w:r>
          </w:p>
          <w:p w14:paraId="12985897" w14:textId="77777777" w:rsidR="00815BE6" w:rsidRPr="0013270F" w:rsidRDefault="00815BE6" w:rsidP="0013270F">
            <w:pPr>
              <w:pStyle w:val="BoxText"/>
            </w:pPr>
            <w:r w:rsidRPr="0013270F">
              <w:rPr>
                <w:b/>
                <w:bCs/>
              </w:rPr>
              <w:t>No-poaching agreements:</w:t>
            </w:r>
            <w:r w:rsidRPr="0013270F">
              <w:t xml:space="preserve"> are between businesses who agree not to hire each other’s staff.</w:t>
            </w:r>
          </w:p>
          <w:p w14:paraId="460031D4" w14:textId="71B816EF" w:rsidR="00815BE6" w:rsidRDefault="00815BE6" w:rsidP="0013270F">
            <w:pPr>
              <w:pStyle w:val="BoxText"/>
            </w:pPr>
            <w:r w:rsidRPr="0013270F">
              <w:rPr>
                <w:b/>
                <w:bCs/>
              </w:rPr>
              <w:t>Wage-fixing agreements:</w:t>
            </w:r>
            <w:r w:rsidRPr="0013270F">
              <w:t xml:space="preserve"> are agreements between businesses to cap wages or condition of their</w:t>
            </w:r>
            <w:r w:rsidR="00AD7757">
              <w:t> </w:t>
            </w:r>
            <w:r w:rsidRPr="0013270F">
              <w:t>staff.</w:t>
            </w:r>
          </w:p>
        </w:tc>
      </w:tr>
    </w:tbl>
    <w:p w14:paraId="45806755" w14:textId="77777777" w:rsidR="00815BE6" w:rsidRDefault="00815BE6" w:rsidP="00D64CEC">
      <w:pPr>
        <w:pStyle w:val="SingleParagraph"/>
      </w:pPr>
    </w:p>
    <w:p w14:paraId="496A1D4E" w14:textId="14C54D33" w:rsidR="00643AE2" w:rsidRDefault="00815BE6" w:rsidP="00643AE2">
      <w:pPr>
        <w:pStyle w:val="Bullet"/>
        <w:numPr>
          <w:ilvl w:val="0"/>
          <w:numId w:val="0"/>
        </w:numPr>
      </w:pPr>
      <w:r>
        <w:t>These clauses broadly apply across workers and industry sectors from financial services to childcare and fast-food.</w:t>
      </w:r>
    </w:p>
    <w:tbl>
      <w:tblPr>
        <w:tblStyle w:val="TableGrid"/>
        <w:tblW w:w="5000" w:type="pct"/>
        <w:shd w:val="clear" w:color="auto" w:fill="FCEEE5" w:themeFill="accent6" w:themeFillTint="33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643AE2" w14:paraId="192D3E27" w14:textId="77777777" w:rsidTr="00D64CEC">
        <w:tc>
          <w:tcPr>
            <w:tcW w:w="5000" w:type="pct"/>
            <w:shd w:val="clear" w:color="auto" w:fill="FCEEE5" w:themeFill="accent6" w:themeFillTint="33"/>
          </w:tcPr>
          <w:p w14:paraId="06F302C5" w14:textId="6C806464" w:rsidR="00643AE2" w:rsidRPr="0013270F" w:rsidRDefault="00643AE2" w:rsidP="0013270F">
            <w:pPr>
              <w:pStyle w:val="BoxHeading"/>
            </w:pPr>
            <w:r w:rsidRPr="0013270F">
              <w:t>The use of restraint clauses is widespread:</w:t>
            </w:r>
          </w:p>
          <w:p w14:paraId="5786E85E" w14:textId="77777777" w:rsidR="00643AE2" w:rsidRPr="00EC4C60" w:rsidRDefault="00643AE2" w:rsidP="00947902">
            <w:pPr>
              <w:pStyle w:val="BoxText"/>
              <w:rPr>
                <w:sz w:val="22"/>
                <w:szCs w:val="24"/>
              </w:rPr>
            </w:pPr>
            <w:r w:rsidRPr="000F60E0">
              <w:rPr>
                <w:sz w:val="24"/>
                <w:szCs w:val="28"/>
                <w:u w:val="single"/>
              </w:rPr>
              <w:t>1 in 5</w:t>
            </w:r>
            <w:r w:rsidRPr="000F60E0">
              <w:rPr>
                <w:sz w:val="24"/>
                <w:szCs w:val="28"/>
              </w:rPr>
              <w:t xml:space="preserve"> </w:t>
            </w:r>
            <w:r w:rsidRPr="00EC4C60">
              <w:rPr>
                <w:sz w:val="22"/>
                <w:szCs w:val="24"/>
              </w:rPr>
              <w:t>workers have a non-compete clause</w:t>
            </w:r>
          </w:p>
          <w:p w14:paraId="4F767F7A" w14:textId="41452B4E" w:rsidR="00643AE2" w:rsidRPr="00EC4C60" w:rsidRDefault="00643AE2" w:rsidP="00947902">
            <w:pPr>
              <w:pStyle w:val="BoxText"/>
              <w:rPr>
                <w:sz w:val="22"/>
                <w:szCs w:val="24"/>
              </w:rPr>
            </w:pPr>
            <w:r w:rsidRPr="000F60E0">
              <w:rPr>
                <w:sz w:val="24"/>
                <w:szCs w:val="28"/>
                <w:u w:val="single"/>
              </w:rPr>
              <w:t>50</w:t>
            </w:r>
            <w:r w:rsidR="00AD7757">
              <w:rPr>
                <w:sz w:val="24"/>
                <w:szCs w:val="28"/>
                <w:u w:val="single"/>
              </w:rPr>
              <w:t> per cent</w:t>
            </w:r>
            <w:r w:rsidRPr="000F60E0">
              <w:rPr>
                <w:sz w:val="24"/>
                <w:szCs w:val="28"/>
              </w:rPr>
              <w:t xml:space="preserve"> </w:t>
            </w:r>
            <w:r w:rsidRPr="00EC4C60">
              <w:rPr>
                <w:sz w:val="22"/>
                <w:szCs w:val="24"/>
              </w:rPr>
              <w:t>of wo</w:t>
            </w:r>
            <w:r w:rsidR="00153B44">
              <w:rPr>
                <w:sz w:val="22"/>
                <w:szCs w:val="24"/>
              </w:rPr>
              <w:t>r</w:t>
            </w:r>
            <w:r w:rsidRPr="00EC4C60">
              <w:rPr>
                <w:sz w:val="22"/>
                <w:szCs w:val="24"/>
              </w:rPr>
              <w:t>kers have some kind of restraint clause</w:t>
            </w:r>
          </w:p>
          <w:p w14:paraId="720277E9" w14:textId="5A7479C1" w:rsidR="00643AE2" w:rsidRPr="00EC4C60" w:rsidRDefault="00643AE2" w:rsidP="00947902">
            <w:pPr>
              <w:pStyle w:val="BoxText"/>
              <w:rPr>
                <w:sz w:val="22"/>
                <w:szCs w:val="24"/>
              </w:rPr>
            </w:pPr>
            <w:r w:rsidRPr="000F60E0">
              <w:rPr>
                <w:sz w:val="24"/>
                <w:szCs w:val="28"/>
                <w:u w:val="single"/>
              </w:rPr>
              <w:t>40</w:t>
            </w:r>
            <w:r w:rsidR="00AD7757">
              <w:rPr>
                <w:sz w:val="24"/>
                <w:szCs w:val="28"/>
                <w:u w:val="single"/>
              </w:rPr>
              <w:t> per cent</w:t>
            </w:r>
            <w:r w:rsidRPr="000F60E0">
              <w:rPr>
                <w:sz w:val="24"/>
                <w:szCs w:val="28"/>
              </w:rPr>
              <w:t xml:space="preserve"> </w:t>
            </w:r>
            <w:r w:rsidRPr="00EC4C60">
              <w:rPr>
                <w:sz w:val="22"/>
                <w:szCs w:val="24"/>
              </w:rPr>
              <w:t xml:space="preserve">of </w:t>
            </w:r>
            <w:r w:rsidRPr="000F60E0">
              <w:rPr>
                <w:b/>
                <w:bCs/>
                <w:sz w:val="22"/>
                <w:szCs w:val="24"/>
              </w:rPr>
              <w:t>very large</w:t>
            </w:r>
            <w:r w:rsidRPr="00EC4C60">
              <w:rPr>
                <w:sz w:val="22"/>
                <w:szCs w:val="24"/>
              </w:rPr>
              <w:t xml:space="preserve"> businesses use non-compete clauses</w:t>
            </w:r>
          </w:p>
          <w:p w14:paraId="6F93EBED" w14:textId="09B3FC4F" w:rsidR="00643AE2" w:rsidRDefault="00643AE2" w:rsidP="00947902">
            <w:pPr>
              <w:pStyle w:val="BoxText"/>
              <w:rPr>
                <w:sz w:val="22"/>
                <w:szCs w:val="24"/>
              </w:rPr>
            </w:pPr>
            <w:r w:rsidRPr="000F60E0">
              <w:rPr>
                <w:sz w:val="24"/>
                <w:szCs w:val="28"/>
                <w:u w:val="single"/>
              </w:rPr>
              <w:t>21</w:t>
            </w:r>
            <w:r w:rsidR="00AD7757">
              <w:rPr>
                <w:sz w:val="24"/>
                <w:szCs w:val="28"/>
                <w:u w:val="single"/>
              </w:rPr>
              <w:t> per cent</w:t>
            </w:r>
            <w:r w:rsidRPr="000F60E0">
              <w:rPr>
                <w:sz w:val="24"/>
                <w:szCs w:val="28"/>
              </w:rPr>
              <w:t xml:space="preserve"> </w:t>
            </w:r>
            <w:r w:rsidRPr="00EC4C60">
              <w:rPr>
                <w:sz w:val="22"/>
                <w:szCs w:val="24"/>
              </w:rPr>
              <w:t xml:space="preserve">of </w:t>
            </w:r>
            <w:r w:rsidRPr="000F60E0">
              <w:rPr>
                <w:b/>
                <w:bCs/>
                <w:sz w:val="22"/>
                <w:szCs w:val="24"/>
              </w:rPr>
              <w:t>all</w:t>
            </w:r>
            <w:r w:rsidRPr="00EC4C60">
              <w:rPr>
                <w:sz w:val="22"/>
                <w:szCs w:val="24"/>
              </w:rPr>
              <w:t xml:space="preserve"> businesses use non-compete clauses</w:t>
            </w:r>
          </w:p>
          <w:p w14:paraId="33BDF358" w14:textId="153E1B7B" w:rsidR="00EC4C60" w:rsidRPr="000F60E0" w:rsidRDefault="00EC4C60" w:rsidP="00AD7757">
            <w:pPr>
              <w:pStyle w:val="ChartorTableNote"/>
            </w:pPr>
            <w:r w:rsidRPr="000F60E0">
              <w:t>Source: Australian Burea</w:t>
            </w:r>
            <w:r w:rsidR="000F60E0" w:rsidRPr="000F60E0">
              <w:t>u</w:t>
            </w:r>
            <w:r w:rsidRPr="000F60E0">
              <w:t xml:space="preserve"> of Statistics (2024) and e61 Institute (2023)</w:t>
            </w:r>
          </w:p>
        </w:tc>
      </w:tr>
    </w:tbl>
    <w:p w14:paraId="4F8701A2" w14:textId="77777777" w:rsidR="00EC4C60" w:rsidRDefault="00EC4C60" w:rsidP="00D64CEC">
      <w:pPr>
        <w:pStyle w:val="SingleParagraph"/>
      </w:pPr>
    </w:p>
    <w:tbl>
      <w:tblPr>
        <w:tblStyle w:val="TableGrid"/>
        <w:tblW w:w="5000" w:type="pct"/>
        <w:shd w:val="clear" w:color="auto" w:fill="F2F2F2" w:themeFill="background1" w:themeFillShade="F2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EC4C60" w14:paraId="0DF4B444" w14:textId="77777777" w:rsidTr="00D64CEC">
        <w:tc>
          <w:tcPr>
            <w:tcW w:w="5000" w:type="pct"/>
            <w:shd w:val="clear" w:color="auto" w:fill="F2F2F2" w:themeFill="background1" w:themeFillShade="F2"/>
          </w:tcPr>
          <w:p w14:paraId="09568F3A" w14:textId="70AED0C0" w:rsidR="00EC4C60" w:rsidRPr="0013270F" w:rsidRDefault="00EC4C60" w:rsidP="0013270F">
            <w:pPr>
              <w:pStyle w:val="BoxHeading"/>
            </w:pPr>
            <w:r w:rsidRPr="0013270F">
              <w:t>These clauses matter for businesses, workers and consumers</w:t>
            </w:r>
          </w:p>
          <w:p w14:paraId="0310974E" w14:textId="54446F37" w:rsidR="00EC4C60" w:rsidRPr="0013270F" w:rsidRDefault="00EC4C60" w:rsidP="0013270F">
            <w:pPr>
              <w:pStyle w:val="BoxText"/>
              <w:rPr>
                <w:sz w:val="22"/>
                <w:szCs w:val="24"/>
              </w:rPr>
            </w:pPr>
            <w:r w:rsidRPr="0013270F">
              <w:rPr>
                <w:sz w:val="22"/>
                <w:szCs w:val="24"/>
              </w:rPr>
              <w:t>Can prevent workers moving to better paid jobs and create staff shortage</w:t>
            </w:r>
            <w:r w:rsidR="000F60E0" w:rsidRPr="0013270F">
              <w:rPr>
                <w:sz w:val="22"/>
                <w:szCs w:val="24"/>
              </w:rPr>
              <w:t>s</w:t>
            </w:r>
          </w:p>
          <w:p w14:paraId="2F23F6F6" w14:textId="77777777" w:rsidR="00EC4C60" w:rsidRPr="0013270F" w:rsidRDefault="00EC4C60" w:rsidP="0013270F">
            <w:pPr>
              <w:pStyle w:val="BoxText"/>
              <w:rPr>
                <w:sz w:val="22"/>
                <w:szCs w:val="24"/>
              </w:rPr>
            </w:pPr>
            <w:r w:rsidRPr="0013270F">
              <w:rPr>
                <w:sz w:val="22"/>
                <w:szCs w:val="24"/>
              </w:rPr>
              <w:t>Can stifle startups and prevent businesses growing and thriving</w:t>
            </w:r>
          </w:p>
          <w:p w14:paraId="4F208F62" w14:textId="77777777" w:rsidR="00EC4C60" w:rsidRPr="0013270F" w:rsidRDefault="00EC4C60" w:rsidP="0013270F">
            <w:pPr>
              <w:pStyle w:val="BoxText"/>
              <w:rPr>
                <w:sz w:val="22"/>
                <w:szCs w:val="24"/>
              </w:rPr>
            </w:pPr>
            <w:r w:rsidRPr="0013270F">
              <w:rPr>
                <w:sz w:val="22"/>
                <w:szCs w:val="24"/>
              </w:rPr>
              <w:t>Can support business investment in attracting talent and developing staff</w:t>
            </w:r>
          </w:p>
          <w:p w14:paraId="5B972C6A" w14:textId="77777777" w:rsidR="00EC4C60" w:rsidRPr="0013270F" w:rsidRDefault="00EC4C60" w:rsidP="0013270F">
            <w:pPr>
              <w:pStyle w:val="BoxText"/>
              <w:rPr>
                <w:sz w:val="22"/>
                <w:szCs w:val="24"/>
              </w:rPr>
            </w:pPr>
            <w:r w:rsidRPr="0013270F">
              <w:rPr>
                <w:sz w:val="22"/>
                <w:szCs w:val="24"/>
              </w:rPr>
              <w:t>May hurt economic growth, if workers stay in less productive roles</w:t>
            </w:r>
          </w:p>
          <w:p w14:paraId="5C03D8EC" w14:textId="77777777" w:rsidR="00EC4C60" w:rsidRPr="0013270F" w:rsidRDefault="00EC4C60" w:rsidP="0013270F">
            <w:pPr>
              <w:pStyle w:val="BoxText"/>
              <w:rPr>
                <w:sz w:val="22"/>
                <w:szCs w:val="24"/>
              </w:rPr>
            </w:pPr>
            <w:r w:rsidRPr="0013270F">
              <w:rPr>
                <w:sz w:val="22"/>
                <w:szCs w:val="24"/>
              </w:rPr>
              <w:t>May limit innovation and the spread of good ideas, making Australian firms less competitive</w:t>
            </w:r>
          </w:p>
          <w:p w14:paraId="58C162B6" w14:textId="4C6804ED" w:rsidR="00EC4C60" w:rsidRDefault="00EC4C60" w:rsidP="0013270F">
            <w:pPr>
              <w:pStyle w:val="BoxText"/>
            </w:pPr>
            <w:r w:rsidRPr="0013270F">
              <w:rPr>
                <w:sz w:val="22"/>
                <w:szCs w:val="24"/>
              </w:rPr>
              <w:t>Enforcing these clauses is costly, creating uncertainty for business and workers</w:t>
            </w:r>
          </w:p>
        </w:tc>
      </w:tr>
    </w:tbl>
    <w:p w14:paraId="7FB44780" w14:textId="77777777" w:rsidR="00EC4C60" w:rsidRDefault="00EC4C60" w:rsidP="00D64CEC">
      <w:pPr>
        <w:pStyle w:val="SingleParagraph"/>
      </w:pPr>
    </w:p>
    <w:tbl>
      <w:tblPr>
        <w:tblW w:w="5000" w:type="pct"/>
        <w:shd w:val="clear" w:color="auto" w:fill="F2F9FC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9934C4" w14:paraId="673F220D" w14:textId="77777777" w:rsidTr="3CB7A659">
        <w:tc>
          <w:tcPr>
            <w:tcW w:w="5000" w:type="pct"/>
            <w:shd w:val="clear" w:color="auto" w:fill="F2F9FC"/>
            <w:hideMark/>
          </w:tcPr>
          <w:p w14:paraId="0105D451" w14:textId="4CC1691C" w:rsidR="009934C4" w:rsidRPr="0013270F" w:rsidRDefault="009934C4" w:rsidP="0013270F">
            <w:pPr>
              <w:pStyle w:val="BoxHeading"/>
            </w:pPr>
            <w:r w:rsidRPr="0013270F">
              <w:lastRenderedPageBreak/>
              <w:t>‘Bruce</w:t>
            </w:r>
            <w:r w:rsidR="02E8FAD4" w:rsidRPr="0013270F">
              <w:t>’</w:t>
            </w:r>
            <w:r w:rsidR="00B17B71" w:rsidRPr="0013270F">
              <w:t xml:space="preserve"> (</w:t>
            </w:r>
            <w:r w:rsidRPr="0013270F">
              <w:t>Key cutter, 21</w:t>
            </w:r>
            <w:r w:rsidR="00B17B71" w:rsidRPr="0013270F">
              <w:t>)</w:t>
            </w:r>
          </w:p>
          <w:p w14:paraId="57AEC818" w14:textId="3E7349C6" w:rsidR="009934C4" w:rsidRDefault="00E572E4" w:rsidP="00947902">
            <w:pPr>
              <w:pStyle w:val="BoxText"/>
              <w:rPr>
                <w:lang w:eastAsia="en-US"/>
              </w:rPr>
            </w:pPr>
            <w:r w:rsidRPr="1AC22B40">
              <w:rPr>
                <w:lang w:eastAsia="en-US"/>
              </w:rPr>
              <w:t>Worked fo</w:t>
            </w:r>
            <w:r w:rsidR="001A2E18" w:rsidRPr="1AC22B40">
              <w:rPr>
                <w:lang w:eastAsia="en-US"/>
              </w:rPr>
              <w:t>u</w:t>
            </w:r>
            <w:r w:rsidRPr="1AC22B40">
              <w:rPr>
                <w:lang w:eastAsia="en-US"/>
              </w:rPr>
              <w:t>r months for an inner-city business then resigned to work</w:t>
            </w:r>
            <w:r w:rsidR="001A2E18" w:rsidRPr="1AC22B40">
              <w:rPr>
                <w:lang w:eastAsia="en-US"/>
              </w:rPr>
              <w:t xml:space="preserve"> for</w:t>
            </w:r>
            <w:r w:rsidRPr="1AC22B40">
              <w:rPr>
                <w:lang w:eastAsia="en-US"/>
              </w:rPr>
              <w:t xml:space="preserve"> a suburban business closer to home. Bruce’s former employer took legal action to </w:t>
            </w:r>
            <w:r w:rsidR="7B4845A2" w:rsidRPr="1AC22B40">
              <w:rPr>
                <w:lang w:eastAsia="en-US"/>
              </w:rPr>
              <w:t>enforce</w:t>
            </w:r>
            <w:r w:rsidRPr="1AC22B40">
              <w:rPr>
                <w:lang w:eastAsia="en-US"/>
              </w:rPr>
              <w:t xml:space="preserve"> a six month non-compete clause preventing him from working for a competitor within </w:t>
            </w:r>
            <w:r w:rsidR="4DEA7B60" w:rsidRPr="1AC22B40">
              <w:rPr>
                <w:lang w:eastAsia="en-US"/>
              </w:rPr>
              <w:t xml:space="preserve">a </w:t>
            </w:r>
            <w:r w:rsidRPr="1AC22B40">
              <w:rPr>
                <w:lang w:eastAsia="en-US"/>
              </w:rPr>
              <w:t>25km radius.</w:t>
            </w:r>
          </w:p>
        </w:tc>
      </w:tr>
    </w:tbl>
    <w:p w14:paraId="5E8B7041" w14:textId="77777777" w:rsidR="00B17B71" w:rsidRDefault="00B17B71" w:rsidP="00D64CEC">
      <w:pPr>
        <w:pStyle w:val="SingleParagraph"/>
      </w:pPr>
    </w:p>
    <w:tbl>
      <w:tblPr>
        <w:tblW w:w="5000" w:type="pct"/>
        <w:shd w:val="clear" w:color="auto" w:fill="F2F9FC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B17B71" w14:paraId="1F9ED42F" w14:textId="77777777" w:rsidTr="00D64CEC">
        <w:tc>
          <w:tcPr>
            <w:tcW w:w="5000" w:type="pct"/>
            <w:shd w:val="clear" w:color="auto" w:fill="F2F9FC"/>
            <w:hideMark/>
          </w:tcPr>
          <w:p w14:paraId="265E5F48" w14:textId="65549514" w:rsidR="00B17B71" w:rsidRPr="0013270F" w:rsidRDefault="00B17B71" w:rsidP="0013270F">
            <w:pPr>
              <w:pStyle w:val="BoxHeading"/>
            </w:pPr>
            <w:r w:rsidRPr="0013270F">
              <w:t>‘Amy’ (Consultant)</w:t>
            </w:r>
          </w:p>
          <w:p w14:paraId="0D7A15B1" w14:textId="6EBFCAE9" w:rsidR="00B17B71" w:rsidRDefault="00B17B71" w:rsidP="00947902">
            <w:pPr>
              <w:pStyle w:val="BoxText"/>
              <w:rPr>
                <w:lang w:eastAsia="en-US"/>
              </w:rPr>
            </w:pPr>
            <w:r>
              <w:rPr>
                <w:lang w:eastAsia="en-US"/>
              </w:rPr>
              <w:t>Worked for a management consulting firm for five years advising business startups. Another firm offered her a role restructuring and modernising their advisory practice. Amy’s existing employer sought to enfo</w:t>
            </w:r>
            <w:r w:rsidR="00153B44">
              <w:rPr>
                <w:lang w:eastAsia="en-US"/>
              </w:rPr>
              <w:t>r</w:t>
            </w:r>
            <w:r>
              <w:rPr>
                <w:lang w:eastAsia="en-US"/>
              </w:rPr>
              <w:t>ce an 18 month non-compete clause without compensation.</w:t>
            </w:r>
          </w:p>
        </w:tc>
      </w:tr>
    </w:tbl>
    <w:p w14:paraId="2B3EE159" w14:textId="77777777" w:rsidR="00B17B71" w:rsidRDefault="00B17B71" w:rsidP="00D64CEC">
      <w:pPr>
        <w:pStyle w:val="SingleParagraph"/>
      </w:pPr>
    </w:p>
    <w:tbl>
      <w:tblPr>
        <w:tblW w:w="5000" w:type="pct"/>
        <w:shd w:val="clear" w:color="auto" w:fill="F2F9FC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153B44" w14:paraId="2EE9DD63" w14:textId="77777777" w:rsidTr="00D64CEC">
        <w:tc>
          <w:tcPr>
            <w:tcW w:w="5000" w:type="pct"/>
            <w:shd w:val="clear" w:color="auto" w:fill="F2F9FC"/>
            <w:hideMark/>
          </w:tcPr>
          <w:p w14:paraId="0E194FE6" w14:textId="7476940E" w:rsidR="00153B44" w:rsidRPr="0013270F" w:rsidRDefault="00153B44" w:rsidP="0013270F">
            <w:pPr>
              <w:pStyle w:val="BoxHeading"/>
            </w:pPr>
            <w:r w:rsidRPr="0013270F">
              <w:t>‘M-Frame Solutions’ (IT infrastructure and support services)</w:t>
            </w:r>
          </w:p>
          <w:p w14:paraId="7C1AE5AB" w14:textId="43A1272F" w:rsidR="00153B44" w:rsidRDefault="00153B44" w:rsidP="00947902">
            <w:pPr>
              <w:pStyle w:val="BoxText"/>
              <w:rPr>
                <w:lang w:eastAsia="en-US"/>
              </w:rPr>
            </w:pPr>
            <w:r>
              <w:rPr>
                <w:lang w:eastAsia="en-US"/>
              </w:rPr>
              <w:t>M-Frame relies on specialist skilled employees with experience managing complex mainframes. There is a skill shortage, and M-Frame offers relocation and development incentives to attract overseas talent. Coupled with immigration costs, the company can spend $20,000 for each new worker. Non-competes increase their confidence in making this investment.</w:t>
            </w:r>
          </w:p>
        </w:tc>
      </w:tr>
    </w:tbl>
    <w:p w14:paraId="0C1CFB0A" w14:textId="77777777" w:rsidR="008C2419" w:rsidRDefault="008C2419" w:rsidP="00D64CEC">
      <w:pPr>
        <w:pStyle w:val="SingleParagraph"/>
      </w:pPr>
    </w:p>
    <w:tbl>
      <w:tblPr>
        <w:tblStyle w:val="TableGrid"/>
        <w:tblW w:w="5000" w:type="pct"/>
        <w:shd w:val="clear" w:color="auto" w:fill="F2F2F2" w:themeFill="background1" w:themeFillShade="F2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9072"/>
      </w:tblGrid>
      <w:tr w:rsidR="008C2419" w14:paraId="3676045C" w14:textId="77777777" w:rsidTr="00D64CEC">
        <w:tc>
          <w:tcPr>
            <w:tcW w:w="5000" w:type="pct"/>
            <w:shd w:val="clear" w:color="auto" w:fill="F2F2F2" w:themeFill="background1" w:themeFillShade="F2"/>
          </w:tcPr>
          <w:p w14:paraId="4ED75FB6" w14:textId="28260F00" w:rsidR="008C2419" w:rsidRPr="000F60E0" w:rsidRDefault="008C2419" w:rsidP="0013270F">
            <w:pPr>
              <w:pStyle w:val="BoxHeading"/>
              <w:rPr>
                <w:lang w:eastAsia="en-US"/>
              </w:rPr>
            </w:pPr>
            <w:r w:rsidRPr="000F60E0">
              <w:rPr>
                <w:lang w:eastAsia="en-US"/>
              </w:rPr>
              <w:t xml:space="preserve">Have your </w:t>
            </w:r>
            <w:r w:rsidRPr="0013270F">
              <w:t>say</w:t>
            </w:r>
          </w:p>
          <w:p w14:paraId="6812E30B" w14:textId="39B2C529" w:rsidR="008C2419" w:rsidRPr="008C2419" w:rsidRDefault="008C2419" w:rsidP="00947902">
            <w:pPr>
              <w:pStyle w:val="BoxText"/>
              <w:rPr>
                <w:sz w:val="22"/>
                <w:szCs w:val="24"/>
              </w:rPr>
            </w:pPr>
            <w:r w:rsidRPr="008C2419">
              <w:rPr>
                <w:sz w:val="22"/>
                <w:szCs w:val="24"/>
              </w:rPr>
              <w:t>The Competition Review invites community feedback including from workers, employers, and legal and HR professionals. You can make a submission or complete our questionnaire.</w:t>
            </w:r>
          </w:p>
          <w:p w14:paraId="377FA1FC" w14:textId="48F202F5" w:rsidR="008C2419" w:rsidRPr="0013270F" w:rsidRDefault="008C2419" w:rsidP="0013270F">
            <w:pPr>
              <w:pStyle w:val="BoxText"/>
              <w:rPr>
                <w:b/>
                <w:bCs/>
                <w:sz w:val="22"/>
                <w:szCs w:val="22"/>
              </w:rPr>
            </w:pPr>
            <w:r w:rsidRPr="0013270F">
              <w:rPr>
                <w:b/>
                <w:bCs/>
                <w:sz w:val="22"/>
                <w:szCs w:val="22"/>
                <w:lang w:eastAsia="en-US"/>
              </w:rPr>
              <w:t xml:space="preserve">Visit </w:t>
            </w:r>
            <w:hyperlink r:id="rId8" w:history="1">
              <w:r w:rsidRPr="0013270F">
                <w:rPr>
                  <w:rStyle w:val="Hyperlink"/>
                  <w:b/>
                  <w:bCs/>
                  <w:sz w:val="22"/>
                  <w:szCs w:val="22"/>
                  <w:u w:val="single"/>
                  <w:lang w:eastAsia="en-US"/>
                </w:rPr>
                <w:t>treasury.gov.au</w:t>
              </w:r>
            </w:hyperlink>
            <w:r w:rsidRPr="0013270F">
              <w:rPr>
                <w:b/>
                <w:bCs/>
                <w:sz w:val="22"/>
                <w:szCs w:val="22"/>
                <w:lang w:eastAsia="en-US"/>
              </w:rPr>
              <w:t xml:space="preserve"> for more information</w:t>
            </w:r>
          </w:p>
        </w:tc>
      </w:tr>
    </w:tbl>
    <w:p w14:paraId="6891FFA8" w14:textId="77777777" w:rsidR="008C2419" w:rsidRDefault="008C2419" w:rsidP="00D64CEC">
      <w:pPr>
        <w:pStyle w:val="SingleParagraph"/>
      </w:pPr>
    </w:p>
    <w:sectPr w:rsidR="008C2419" w:rsidSect="0013270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84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1AC4" w14:textId="77777777" w:rsidR="0060398F" w:rsidRDefault="0060398F">
      <w:pPr>
        <w:spacing w:before="0" w:after="0"/>
      </w:pPr>
      <w:r>
        <w:separator/>
      </w:r>
    </w:p>
  </w:endnote>
  <w:endnote w:type="continuationSeparator" w:id="0">
    <w:p w14:paraId="04A13A5E" w14:textId="77777777" w:rsidR="0060398F" w:rsidRDefault="0060398F">
      <w:pPr>
        <w:spacing w:before="0" w:after="0"/>
      </w:pPr>
      <w:r>
        <w:continuationSeparator/>
      </w:r>
    </w:p>
  </w:endnote>
  <w:endnote w:type="continuationNotice" w:id="1">
    <w:p w14:paraId="5C07B2DA" w14:textId="77777777" w:rsidR="0060398F" w:rsidRDefault="006039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2A12" w14:textId="3A48482F" w:rsidR="003F00AC" w:rsidRPr="00023B06" w:rsidRDefault="003F00AC" w:rsidP="00BC6E69">
    <w:pPr>
      <w:pStyle w:val="FooterEven"/>
      <w:jc w:val="both"/>
      <w:rPr>
        <w:position w:val="-8"/>
      </w:rPr>
    </w:pPr>
    <w:r>
      <w:t xml:space="preserve">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915F91">
      <w:fldChar w:fldCharType="begin"/>
    </w:r>
    <w:r w:rsidR="00915F91">
      <w:instrText>STYLEREF  "Heading 1</w:instrText>
    </w:r>
    <w:r w:rsidR="00915F91">
      <w:instrText>"  \* MERGEFORMAT</w:instrText>
    </w:r>
    <w:r w:rsidR="00915F91">
      <w:fldChar w:fldCharType="separate"/>
    </w:r>
    <w:r w:rsidR="0013270F">
      <w:t>Non-competes and other restraints</w:t>
    </w:r>
    <w:r w:rsidR="00915F91">
      <w:fldChar w:fldCharType="end"/>
    </w:r>
    <w:r>
      <w:tab/>
    </w:r>
    <w:r>
      <w:rPr>
        <w:position w:val="-8"/>
      </w:rPr>
      <w:t>Competition Review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D289" w14:textId="0D06D22C" w:rsidR="003F00AC" w:rsidRDefault="003F00AC" w:rsidP="00103F3C">
    <w:pPr>
      <w:pStyle w:val="FooterOdd"/>
    </w:pPr>
    <w:r>
      <w:t>Competition Review</w:t>
    </w:r>
    <w:r>
      <w:tab/>
    </w:r>
    <w:r w:rsidR="00915F91">
      <w:fldChar w:fldCharType="begin"/>
    </w:r>
    <w:r w:rsidR="00915F91">
      <w:instrText>STYLEREF  "Heading 1"  \* MERGEFORMAT</w:instrText>
    </w:r>
    <w:r w:rsidR="00915F91">
      <w:fldChar w:fldCharType="separate"/>
    </w:r>
    <w:r w:rsidR="00915F91">
      <w:rPr>
        <w:noProof/>
      </w:rPr>
      <w:t>Non-competes and other restraints</w:t>
    </w:r>
    <w:r w:rsidR="00915F91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8CA2" w14:textId="77777777" w:rsidR="0060398F" w:rsidRPr="00ED5A20" w:rsidRDefault="0060398F" w:rsidP="000F6233">
      <w:pPr>
        <w:rPr>
          <w:color w:val="4D7861" w:themeColor="accent2"/>
        </w:rPr>
      </w:pPr>
      <w:r w:rsidRPr="00ED5A20">
        <w:rPr>
          <w:color w:val="4D7861" w:themeColor="accent2"/>
        </w:rPr>
        <w:separator/>
      </w:r>
    </w:p>
  </w:footnote>
  <w:footnote w:type="continuationSeparator" w:id="0">
    <w:p w14:paraId="4A785601" w14:textId="77777777" w:rsidR="0060398F" w:rsidRPr="00B737EB" w:rsidRDefault="0060398F">
      <w:pPr>
        <w:spacing w:before="0" w:after="0"/>
        <w:rPr>
          <w:color w:val="2C384A" w:themeColor="accent1"/>
        </w:rPr>
      </w:pPr>
      <w:r w:rsidRPr="00B737EB">
        <w:rPr>
          <w:color w:val="2C384A" w:themeColor="accent1"/>
        </w:rPr>
        <w:continuationSeparator/>
      </w:r>
    </w:p>
  </w:footnote>
  <w:footnote w:type="continuationNotice" w:id="1">
    <w:p w14:paraId="590048F4" w14:textId="77777777" w:rsidR="0060398F" w:rsidRDefault="006039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4C5D" w14:textId="77777777" w:rsidR="003F00AC" w:rsidRPr="00AC75E2" w:rsidRDefault="003F00AC" w:rsidP="00AC75E2">
    <w:pPr>
      <w:pStyle w:val="HeaderEven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36FD994" wp14:editId="517B09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9360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EFCE" w14:textId="77777777" w:rsidR="003F00AC" w:rsidRPr="00F60198" w:rsidRDefault="003F00AC" w:rsidP="00A12F62">
    <w:pPr>
      <w:pStyle w:val="HeaderOd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AC88FE" wp14:editId="07ABCB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936000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019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847491"/>
    <w:multiLevelType w:val="multilevel"/>
    <w:tmpl w:val="6F92BA82"/>
    <w:lvl w:ilvl="0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8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4" w15:restartNumberingAfterBreak="0">
    <w:nsid w:val="510D2021"/>
    <w:multiLevelType w:val="multilevel"/>
    <w:tmpl w:val="72F8140E"/>
    <w:numStyleLink w:val="OutlineList"/>
  </w:abstractNum>
  <w:abstractNum w:abstractNumId="15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D6B5224"/>
    <w:multiLevelType w:val="multilevel"/>
    <w:tmpl w:val="91FE60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1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11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5"/>
  </w:num>
  <w:num w:numId="9">
    <w:abstractNumId w:val="1"/>
  </w:num>
  <w:num w:numId="10">
    <w:abstractNumId w:val="8"/>
  </w:num>
  <w:num w:numId="11">
    <w:abstractNumId w:val="20"/>
  </w:num>
  <w:num w:numId="12">
    <w:abstractNumId w:val="14"/>
  </w:num>
  <w:num w:numId="13">
    <w:abstractNumId w:val="21"/>
  </w:num>
  <w:num w:numId="14">
    <w:abstractNumId w:val="13"/>
  </w:num>
  <w:num w:numId="15">
    <w:abstractNumId w:val="7"/>
  </w:num>
  <w:num w:numId="16">
    <w:abstractNumId w:val="16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CD10AD"/>
    <w:rsid w:val="00011725"/>
    <w:rsid w:val="00012C62"/>
    <w:rsid w:val="0001396A"/>
    <w:rsid w:val="00023B06"/>
    <w:rsid w:val="0002544D"/>
    <w:rsid w:val="0004274D"/>
    <w:rsid w:val="00043348"/>
    <w:rsid w:val="0004483F"/>
    <w:rsid w:val="00046CB4"/>
    <w:rsid w:val="0005138B"/>
    <w:rsid w:val="000522B7"/>
    <w:rsid w:val="00053717"/>
    <w:rsid w:val="00056880"/>
    <w:rsid w:val="000675D1"/>
    <w:rsid w:val="00073521"/>
    <w:rsid w:val="000775DE"/>
    <w:rsid w:val="00087FAF"/>
    <w:rsid w:val="00095D88"/>
    <w:rsid w:val="000B093F"/>
    <w:rsid w:val="000B302A"/>
    <w:rsid w:val="000C571D"/>
    <w:rsid w:val="000C5F40"/>
    <w:rsid w:val="000E0B74"/>
    <w:rsid w:val="000E7901"/>
    <w:rsid w:val="000F60E0"/>
    <w:rsid w:val="000F6233"/>
    <w:rsid w:val="00103F3C"/>
    <w:rsid w:val="001118CB"/>
    <w:rsid w:val="00131DC3"/>
    <w:rsid w:val="0013270F"/>
    <w:rsid w:val="00135E4C"/>
    <w:rsid w:val="001373F5"/>
    <w:rsid w:val="00137B10"/>
    <w:rsid w:val="00153B44"/>
    <w:rsid w:val="001574C0"/>
    <w:rsid w:val="001606CF"/>
    <w:rsid w:val="0016128D"/>
    <w:rsid w:val="00164599"/>
    <w:rsid w:val="00166A6F"/>
    <w:rsid w:val="0017089D"/>
    <w:rsid w:val="001805A8"/>
    <w:rsid w:val="0019101A"/>
    <w:rsid w:val="00195C8E"/>
    <w:rsid w:val="001972D2"/>
    <w:rsid w:val="001A2E18"/>
    <w:rsid w:val="001C358D"/>
    <w:rsid w:val="001C40A0"/>
    <w:rsid w:val="001F1B27"/>
    <w:rsid w:val="00221EC0"/>
    <w:rsid w:val="00231049"/>
    <w:rsid w:val="002314D2"/>
    <w:rsid w:val="0023305C"/>
    <w:rsid w:val="00241881"/>
    <w:rsid w:val="0024294C"/>
    <w:rsid w:val="002461BA"/>
    <w:rsid w:val="002543D8"/>
    <w:rsid w:val="0025652F"/>
    <w:rsid w:val="00263B6C"/>
    <w:rsid w:val="00272939"/>
    <w:rsid w:val="0027590B"/>
    <w:rsid w:val="00285969"/>
    <w:rsid w:val="00295B30"/>
    <w:rsid w:val="002A74EF"/>
    <w:rsid w:val="002A7A31"/>
    <w:rsid w:val="002B3829"/>
    <w:rsid w:val="002B7437"/>
    <w:rsid w:val="002C1B55"/>
    <w:rsid w:val="002C22EF"/>
    <w:rsid w:val="002E1FB6"/>
    <w:rsid w:val="002E454C"/>
    <w:rsid w:val="002F617F"/>
    <w:rsid w:val="00300109"/>
    <w:rsid w:val="00301755"/>
    <w:rsid w:val="0030665E"/>
    <w:rsid w:val="00306894"/>
    <w:rsid w:val="003122F4"/>
    <w:rsid w:val="00320C7E"/>
    <w:rsid w:val="003268D5"/>
    <w:rsid w:val="0033755F"/>
    <w:rsid w:val="003448F6"/>
    <w:rsid w:val="00350759"/>
    <w:rsid w:val="00354D27"/>
    <w:rsid w:val="003563F7"/>
    <w:rsid w:val="0035738A"/>
    <w:rsid w:val="0036298D"/>
    <w:rsid w:val="00375655"/>
    <w:rsid w:val="00375ADA"/>
    <w:rsid w:val="003858A6"/>
    <w:rsid w:val="00386297"/>
    <w:rsid w:val="00392DCC"/>
    <w:rsid w:val="00397BB5"/>
    <w:rsid w:val="003A5B36"/>
    <w:rsid w:val="003C24B4"/>
    <w:rsid w:val="003C2672"/>
    <w:rsid w:val="003D5699"/>
    <w:rsid w:val="003E20D6"/>
    <w:rsid w:val="003E4D87"/>
    <w:rsid w:val="003F00AC"/>
    <w:rsid w:val="00401082"/>
    <w:rsid w:val="00410819"/>
    <w:rsid w:val="00416762"/>
    <w:rsid w:val="00416E55"/>
    <w:rsid w:val="00421955"/>
    <w:rsid w:val="0042518A"/>
    <w:rsid w:val="004276A0"/>
    <w:rsid w:val="00434032"/>
    <w:rsid w:val="00444A63"/>
    <w:rsid w:val="00445265"/>
    <w:rsid w:val="004559CE"/>
    <w:rsid w:val="00460E1A"/>
    <w:rsid w:val="00463DF8"/>
    <w:rsid w:val="00475085"/>
    <w:rsid w:val="00476CF6"/>
    <w:rsid w:val="00477AA8"/>
    <w:rsid w:val="00492FCB"/>
    <w:rsid w:val="004A0F11"/>
    <w:rsid w:val="004A3EAA"/>
    <w:rsid w:val="004A7D97"/>
    <w:rsid w:val="004B5133"/>
    <w:rsid w:val="004C2902"/>
    <w:rsid w:val="004C41B6"/>
    <w:rsid w:val="004D6E37"/>
    <w:rsid w:val="004E00EA"/>
    <w:rsid w:val="004E6B14"/>
    <w:rsid w:val="004F4B92"/>
    <w:rsid w:val="00501B6C"/>
    <w:rsid w:val="00502A9D"/>
    <w:rsid w:val="00507B44"/>
    <w:rsid w:val="00516785"/>
    <w:rsid w:val="0052419D"/>
    <w:rsid w:val="005301F8"/>
    <w:rsid w:val="005312FC"/>
    <w:rsid w:val="00532C6D"/>
    <w:rsid w:val="0053569E"/>
    <w:rsid w:val="0053603D"/>
    <w:rsid w:val="0053742A"/>
    <w:rsid w:val="00537C85"/>
    <w:rsid w:val="00541D29"/>
    <w:rsid w:val="00543F23"/>
    <w:rsid w:val="00562F17"/>
    <w:rsid w:val="0056582C"/>
    <w:rsid w:val="005740CE"/>
    <w:rsid w:val="005776B2"/>
    <w:rsid w:val="005778A6"/>
    <w:rsid w:val="00586605"/>
    <w:rsid w:val="005868DE"/>
    <w:rsid w:val="005877AC"/>
    <w:rsid w:val="005966B7"/>
    <w:rsid w:val="005B5E2A"/>
    <w:rsid w:val="005C02A4"/>
    <w:rsid w:val="005C0E3F"/>
    <w:rsid w:val="005C20D2"/>
    <w:rsid w:val="005C32FE"/>
    <w:rsid w:val="005C503A"/>
    <w:rsid w:val="005D024A"/>
    <w:rsid w:val="005D4FD4"/>
    <w:rsid w:val="005D6D64"/>
    <w:rsid w:val="00601650"/>
    <w:rsid w:val="0060398F"/>
    <w:rsid w:val="00604EEF"/>
    <w:rsid w:val="00605AFD"/>
    <w:rsid w:val="006123D4"/>
    <w:rsid w:val="0061445B"/>
    <w:rsid w:val="006169A6"/>
    <w:rsid w:val="00622982"/>
    <w:rsid w:val="00624C4B"/>
    <w:rsid w:val="00643AE2"/>
    <w:rsid w:val="00645D19"/>
    <w:rsid w:val="006469CC"/>
    <w:rsid w:val="00672B5D"/>
    <w:rsid w:val="0067592B"/>
    <w:rsid w:val="0067622C"/>
    <w:rsid w:val="00682249"/>
    <w:rsid w:val="00685CF7"/>
    <w:rsid w:val="00686165"/>
    <w:rsid w:val="00691CB5"/>
    <w:rsid w:val="006923DF"/>
    <w:rsid w:val="006A37F5"/>
    <w:rsid w:val="006B38FF"/>
    <w:rsid w:val="006C1892"/>
    <w:rsid w:val="006C5B73"/>
    <w:rsid w:val="006C645D"/>
    <w:rsid w:val="006E1A81"/>
    <w:rsid w:val="006E2D2A"/>
    <w:rsid w:val="006E3CC3"/>
    <w:rsid w:val="00706E8E"/>
    <w:rsid w:val="00722B53"/>
    <w:rsid w:val="00723AEE"/>
    <w:rsid w:val="0073048C"/>
    <w:rsid w:val="007344E4"/>
    <w:rsid w:val="00742366"/>
    <w:rsid w:val="00744484"/>
    <w:rsid w:val="007509DD"/>
    <w:rsid w:val="00763474"/>
    <w:rsid w:val="00766184"/>
    <w:rsid w:val="00775C95"/>
    <w:rsid w:val="0078257B"/>
    <w:rsid w:val="00783D75"/>
    <w:rsid w:val="00784C0A"/>
    <w:rsid w:val="007923A3"/>
    <w:rsid w:val="00794B40"/>
    <w:rsid w:val="00796E26"/>
    <w:rsid w:val="007A1079"/>
    <w:rsid w:val="007A1E98"/>
    <w:rsid w:val="007B2677"/>
    <w:rsid w:val="007B76AB"/>
    <w:rsid w:val="007D592B"/>
    <w:rsid w:val="007D5AA6"/>
    <w:rsid w:val="007D7A91"/>
    <w:rsid w:val="007E6456"/>
    <w:rsid w:val="00811943"/>
    <w:rsid w:val="00815BE6"/>
    <w:rsid w:val="00815C81"/>
    <w:rsid w:val="008311B8"/>
    <w:rsid w:val="00834243"/>
    <w:rsid w:val="008374C4"/>
    <w:rsid w:val="00852F63"/>
    <w:rsid w:val="00857969"/>
    <w:rsid w:val="00882CC4"/>
    <w:rsid w:val="008844AC"/>
    <w:rsid w:val="00897F46"/>
    <w:rsid w:val="008C2419"/>
    <w:rsid w:val="008C7F71"/>
    <w:rsid w:val="008D339F"/>
    <w:rsid w:val="008E24D2"/>
    <w:rsid w:val="008E6292"/>
    <w:rsid w:val="008F23EB"/>
    <w:rsid w:val="00906E61"/>
    <w:rsid w:val="00915F91"/>
    <w:rsid w:val="00917E28"/>
    <w:rsid w:val="00925AA5"/>
    <w:rsid w:val="0093540D"/>
    <w:rsid w:val="0094019D"/>
    <w:rsid w:val="00942C11"/>
    <w:rsid w:val="0094351F"/>
    <w:rsid w:val="009466F2"/>
    <w:rsid w:val="00947902"/>
    <w:rsid w:val="009547F8"/>
    <w:rsid w:val="00962ACF"/>
    <w:rsid w:val="009729D4"/>
    <w:rsid w:val="00980759"/>
    <w:rsid w:val="009817B0"/>
    <w:rsid w:val="009821CE"/>
    <w:rsid w:val="009934C4"/>
    <w:rsid w:val="009A277C"/>
    <w:rsid w:val="009A658F"/>
    <w:rsid w:val="009B088F"/>
    <w:rsid w:val="009B2249"/>
    <w:rsid w:val="009D2CFF"/>
    <w:rsid w:val="009D6787"/>
    <w:rsid w:val="009E0CA5"/>
    <w:rsid w:val="009E171B"/>
    <w:rsid w:val="00A015E8"/>
    <w:rsid w:val="00A07D47"/>
    <w:rsid w:val="00A10593"/>
    <w:rsid w:val="00A12F62"/>
    <w:rsid w:val="00A14FE9"/>
    <w:rsid w:val="00A155F0"/>
    <w:rsid w:val="00A26034"/>
    <w:rsid w:val="00A3749B"/>
    <w:rsid w:val="00A37D87"/>
    <w:rsid w:val="00A50D88"/>
    <w:rsid w:val="00A54654"/>
    <w:rsid w:val="00A56923"/>
    <w:rsid w:val="00A62E42"/>
    <w:rsid w:val="00A635E5"/>
    <w:rsid w:val="00A64A71"/>
    <w:rsid w:val="00A7236C"/>
    <w:rsid w:val="00A72960"/>
    <w:rsid w:val="00A72D8F"/>
    <w:rsid w:val="00A74815"/>
    <w:rsid w:val="00A93401"/>
    <w:rsid w:val="00A967D9"/>
    <w:rsid w:val="00A97160"/>
    <w:rsid w:val="00AC3196"/>
    <w:rsid w:val="00AC4065"/>
    <w:rsid w:val="00AC75E2"/>
    <w:rsid w:val="00AD7757"/>
    <w:rsid w:val="00AE2F90"/>
    <w:rsid w:val="00B03DD6"/>
    <w:rsid w:val="00B17B71"/>
    <w:rsid w:val="00B214C6"/>
    <w:rsid w:val="00B3489F"/>
    <w:rsid w:val="00B3583B"/>
    <w:rsid w:val="00B37A8F"/>
    <w:rsid w:val="00B55B04"/>
    <w:rsid w:val="00B65347"/>
    <w:rsid w:val="00B65DE1"/>
    <w:rsid w:val="00B72AF0"/>
    <w:rsid w:val="00B737EB"/>
    <w:rsid w:val="00B775EE"/>
    <w:rsid w:val="00B87927"/>
    <w:rsid w:val="00BB00F3"/>
    <w:rsid w:val="00BC6E69"/>
    <w:rsid w:val="00BD26AA"/>
    <w:rsid w:val="00BD2B12"/>
    <w:rsid w:val="00BD454F"/>
    <w:rsid w:val="00BE7EA5"/>
    <w:rsid w:val="00C01DCC"/>
    <w:rsid w:val="00C202B3"/>
    <w:rsid w:val="00C21EE0"/>
    <w:rsid w:val="00C30297"/>
    <w:rsid w:val="00C50B48"/>
    <w:rsid w:val="00C555AC"/>
    <w:rsid w:val="00C713ED"/>
    <w:rsid w:val="00C72317"/>
    <w:rsid w:val="00C72318"/>
    <w:rsid w:val="00C724E6"/>
    <w:rsid w:val="00C747A5"/>
    <w:rsid w:val="00C76D93"/>
    <w:rsid w:val="00C85314"/>
    <w:rsid w:val="00C964E0"/>
    <w:rsid w:val="00C97FE4"/>
    <w:rsid w:val="00CA0116"/>
    <w:rsid w:val="00CA4BC0"/>
    <w:rsid w:val="00CA5CA8"/>
    <w:rsid w:val="00CB0157"/>
    <w:rsid w:val="00CB28E9"/>
    <w:rsid w:val="00CB5205"/>
    <w:rsid w:val="00CC38AC"/>
    <w:rsid w:val="00CC559D"/>
    <w:rsid w:val="00CD0C13"/>
    <w:rsid w:val="00CD10AD"/>
    <w:rsid w:val="00CD654B"/>
    <w:rsid w:val="00CE223E"/>
    <w:rsid w:val="00CF3F0D"/>
    <w:rsid w:val="00D101F7"/>
    <w:rsid w:val="00D1111E"/>
    <w:rsid w:val="00D145F5"/>
    <w:rsid w:val="00D316A1"/>
    <w:rsid w:val="00D329F1"/>
    <w:rsid w:val="00D355F0"/>
    <w:rsid w:val="00D43AC8"/>
    <w:rsid w:val="00D50879"/>
    <w:rsid w:val="00D51610"/>
    <w:rsid w:val="00D56113"/>
    <w:rsid w:val="00D643F4"/>
    <w:rsid w:val="00D64CEC"/>
    <w:rsid w:val="00D65732"/>
    <w:rsid w:val="00D833D9"/>
    <w:rsid w:val="00D83BD9"/>
    <w:rsid w:val="00D94DCF"/>
    <w:rsid w:val="00D94EAE"/>
    <w:rsid w:val="00DA586F"/>
    <w:rsid w:val="00DB08DA"/>
    <w:rsid w:val="00DB7F09"/>
    <w:rsid w:val="00DC00E8"/>
    <w:rsid w:val="00DC1C56"/>
    <w:rsid w:val="00DC4756"/>
    <w:rsid w:val="00DC6379"/>
    <w:rsid w:val="00DC6AAD"/>
    <w:rsid w:val="00DD7804"/>
    <w:rsid w:val="00DE2763"/>
    <w:rsid w:val="00DE3A53"/>
    <w:rsid w:val="00DE3C77"/>
    <w:rsid w:val="00DE70F1"/>
    <w:rsid w:val="00DF3662"/>
    <w:rsid w:val="00DF6F61"/>
    <w:rsid w:val="00E101C6"/>
    <w:rsid w:val="00E22D51"/>
    <w:rsid w:val="00E349A7"/>
    <w:rsid w:val="00E50E7C"/>
    <w:rsid w:val="00E51545"/>
    <w:rsid w:val="00E51D9E"/>
    <w:rsid w:val="00E537D1"/>
    <w:rsid w:val="00E567E6"/>
    <w:rsid w:val="00E56971"/>
    <w:rsid w:val="00E572E4"/>
    <w:rsid w:val="00E61484"/>
    <w:rsid w:val="00E7017C"/>
    <w:rsid w:val="00E711D7"/>
    <w:rsid w:val="00E815E1"/>
    <w:rsid w:val="00E902B0"/>
    <w:rsid w:val="00E902E8"/>
    <w:rsid w:val="00E9296B"/>
    <w:rsid w:val="00E97C19"/>
    <w:rsid w:val="00EA23AC"/>
    <w:rsid w:val="00EA398F"/>
    <w:rsid w:val="00EA7C3D"/>
    <w:rsid w:val="00EB4B0B"/>
    <w:rsid w:val="00EB6878"/>
    <w:rsid w:val="00EC1E0E"/>
    <w:rsid w:val="00EC236D"/>
    <w:rsid w:val="00EC4C60"/>
    <w:rsid w:val="00EC6B16"/>
    <w:rsid w:val="00ED5A20"/>
    <w:rsid w:val="00EE1447"/>
    <w:rsid w:val="00EE19E1"/>
    <w:rsid w:val="00EE1BF1"/>
    <w:rsid w:val="00EE4864"/>
    <w:rsid w:val="00EE7744"/>
    <w:rsid w:val="00EF03E1"/>
    <w:rsid w:val="00EF145E"/>
    <w:rsid w:val="00EF2BBB"/>
    <w:rsid w:val="00EF42F8"/>
    <w:rsid w:val="00F0082D"/>
    <w:rsid w:val="00F015AB"/>
    <w:rsid w:val="00F045E0"/>
    <w:rsid w:val="00F07C90"/>
    <w:rsid w:val="00F20F8A"/>
    <w:rsid w:val="00F304A4"/>
    <w:rsid w:val="00F33DB8"/>
    <w:rsid w:val="00F51D7F"/>
    <w:rsid w:val="00F5365A"/>
    <w:rsid w:val="00F57BED"/>
    <w:rsid w:val="00F60198"/>
    <w:rsid w:val="00F669CD"/>
    <w:rsid w:val="00F737DB"/>
    <w:rsid w:val="00F7613A"/>
    <w:rsid w:val="00F82746"/>
    <w:rsid w:val="00F836F9"/>
    <w:rsid w:val="00F845D7"/>
    <w:rsid w:val="00F92279"/>
    <w:rsid w:val="00FB4D21"/>
    <w:rsid w:val="00FB762B"/>
    <w:rsid w:val="00FC6ADA"/>
    <w:rsid w:val="02E8FAD4"/>
    <w:rsid w:val="1AC22B40"/>
    <w:rsid w:val="3CB7A659"/>
    <w:rsid w:val="4DEA7B60"/>
    <w:rsid w:val="54B7448C"/>
    <w:rsid w:val="7A5446BB"/>
    <w:rsid w:val="7AE5BC7D"/>
    <w:rsid w:val="7B4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C5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A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D5A20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386297"/>
    <w:pPr>
      <w:spacing w:before="360" w:line="460" w:lineRule="exact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ED5A2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ED5A2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E349A7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E349A7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A20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86297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D5A2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D5A2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349A7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E349A7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character" w:customStyle="1" w:styleId="DashChar">
    <w:name w:val="Dash Char"/>
    <w:basedOn w:val="DefaultParagraphFont"/>
    <w:link w:val="Dash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9E0CA5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Heading">
    <w:name w:val="Box Heading"/>
    <w:basedOn w:val="Normal"/>
    <w:next w:val="Normal"/>
    <w:rsid w:val="00EB4B0B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349A7"/>
  </w:style>
  <w:style w:type="paragraph" w:customStyle="1" w:styleId="Bullet">
    <w:name w:val="Bullet"/>
    <w:basedOn w:val="Normal"/>
    <w:link w:val="BulletChar"/>
    <w:qFormat/>
    <w:rsid w:val="009E0CA5"/>
    <w:pPr>
      <w:numPr>
        <w:numId w:val="24"/>
      </w:numPr>
      <w:tabs>
        <w:tab w:val="left" w:pos="720"/>
      </w:tabs>
      <w:spacing w:before="0" w:line="276" w:lineRule="auto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E97C19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D2CFF"/>
    <w:pPr>
      <w:jc w:val="center"/>
    </w:pPr>
    <w:rPr>
      <w:b w:val="0"/>
      <w:bCs/>
    </w:rPr>
  </w:style>
  <w:style w:type="paragraph" w:customStyle="1" w:styleId="ReportDate">
    <w:name w:val="Report Date"/>
    <w:basedOn w:val="Normal"/>
    <w:link w:val="ReportDateChar"/>
    <w:rsid w:val="00023B06"/>
    <w:pPr>
      <w:keepNext/>
      <w:spacing w:before="0" w:after="360"/>
    </w:pPr>
    <w:rPr>
      <w:color w:val="455875" w:themeColor="accent3" w:themeShade="BF"/>
      <w:sz w:val="32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24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24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E97C19"/>
    <w:pPr>
      <w:spacing w:before="120"/>
    </w:pPr>
    <w:rPr>
      <w:b w:val="0"/>
      <w:sz w:val="26"/>
    </w:rPr>
  </w:style>
  <w:style w:type="paragraph" w:customStyle="1" w:styleId="FooterEven">
    <w:name w:val="Footer Even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03F3C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Hyperlink">
    <w:name w:val="Hyperlink"/>
    <w:basedOn w:val="DefaultParagraphFont"/>
    <w:uiPriority w:val="99"/>
    <w:rsid w:val="006923DF"/>
    <w:rPr>
      <w:color w:val="3A6FA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SingleParagraph">
    <w:name w:val="Single Paragraph"/>
    <w:basedOn w:val="Normal"/>
    <w:next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A7236C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A7236C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A7236C"/>
    <w:pPr>
      <w:jc w:val="right"/>
    </w:pPr>
    <w:rPr>
      <w:b/>
      <w:color w:val="2C384A" w:themeColor="accent1"/>
      <w:sz w:val="20"/>
    </w:rPr>
  </w:style>
  <w:style w:type="table" w:styleId="TableGrid">
    <w:name w:val="Table Grid"/>
    <w:basedOn w:val="TableNormal"/>
    <w:rsid w:val="00D316A1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rsid w:val="00A7236C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A7236C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Heading1Numbered">
    <w:name w:val="Heading 1 Numbered"/>
    <w:basedOn w:val="Heading1"/>
    <w:next w:val="Normal"/>
    <w:rsid w:val="00EE1BF1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rsid w:val="00EE1BF1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rsid w:val="00023B06"/>
    <w:pPr>
      <w:spacing w:before="0" w:after="300"/>
      <w:contextualSpacing/>
    </w:pPr>
    <w:rPr>
      <w:rFonts w:eastAsiaTheme="majorEastAsia" w:cstheme="majorBidi"/>
      <w:b/>
      <w:color w:val="2C384A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3B06"/>
    <w:rPr>
      <w:rFonts w:ascii="Calibri Light" w:eastAsiaTheme="majorEastAsia" w:hAnsi="Calibri Light" w:cstheme="majorBidi"/>
      <w:b/>
      <w:color w:val="2C384A" w:themeColor="accent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CB28E9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B28E9"/>
    <w:rPr>
      <w:rFonts w:ascii="Calibri" w:eastAsiaTheme="majorEastAsia" w:hAnsi="Calibri" w:cstheme="majorBidi"/>
      <w:iCs/>
      <w:color w:val="EEEEEE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F60198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F60198"/>
    <w:rPr>
      <w:rFonts w:ascii="Calibri" w:eastAsia="Times New Roman" w:hAnsi="Calibri" w:cs="Times New Roman"/>
      <w:color w:val="002C47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Heading1"/>
    <w:next w:val="Normal"/>
    <w:rsid w:val="00F045E0"/>
  </w:style>
  <w:style w:type="paragraph" w:customStyle="1" w:styleId="HeadingBase">
    <w:name w:val="Heading Base"/>
    <w:rsid w:val="006923D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023B06"/>
    <w:rPr>
      <w:rFonts w:ascii="Calibri Light" w:eastAsia="Times New Roman" w:hAnsi="Calibri Light" w:cs="Times New Roman"/>
      <w:color w:val="455875" w:themeColor="accent3" w:themeShade="BF"/>
      <w:sz w:val="32"/>
      <w:szCs w:val="20"/>
      <w:lang w:eastAsia="en-AU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6469CC"/>
    <w:pPr>
      <w:ind w:left="720"/>
      <w:contextualSpacing/>
    </w:pPr>
  </w:style>
  <w:style w:type="paragraph" w:customStyle="1" w:styleId="TableTextIndented">
    <w:name w:val="Table Text Indented"/>
    <w:basedOn w:val="TableTextLeft"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rsid w:val="009A277C"/>
  </w:style>
  <w:style w:type="paragraph" w:customStyle="1" w:styleId="TableGraphic">
    <w:name w:val="Table Graphic"/>
    <w:basedOn w:val="HeadingBase"/>
    <w:next w:val="Normal"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F60198"/>
    <w:rPr>
      <w:color w:val="002C47"/>
    </w:rPr>
  </w:style>
  <w:style w:type="paragraph" w:styleId="FootnoteText">
    <w:name w:val="footnote text"/>
    <w:basedOn w:val="Normal"/>
    <w:link w:val="FootnoteTextChar"/>
    <w:uiPriority w:val="99"/>
    <w:rsid w:val="00744484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84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744484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oxTextChar">
    <w:name w:val="Box Text Char"/>
    <w:basedOn w:val="DefaultParagraphFont"/>
    <w:link w:val="BoxText"/>
    <w:locked/>
    <w:rsid w:val="00E349A7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rsid w:val="00E349A7"/>
    <w:pPr>
      <w:numPr>
        <w:numId w:val="22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349A7"/>
    <w:pPr>
      <w:numPr>
        <w:numId w:val="22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E349A7"/>
    <w:pPr>
      <w:numPr>
        <w:numId w:val="22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Instructions">
    <w:name w:val="Instructions"/>
    <w:basedOn w:val="Normal"/>
    <w:uiPriority w:val="1"/>
    <w:qFormat/>
    <w:rsid w:val="00BE7EA5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A5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A5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F5365A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5365A"/>
    <w:pPr>
      <w:spacing w:before="60" w:after="24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5365A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5365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20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C7E"/>
    <w:rPr>
      <w:color w:val="844D9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2599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Non-competes and other restraints: understanding the impacts on jobs, business and productivity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Non-competes and other restraints: understanding the impacts on jobs, business and productivity</dc:title>
  <dc:subject/>
  <dc:creator/>
  <cp:keywords/>
  <cp:lastModifiedBy/>
  <cp:revision>1</cp:revision>
  <dcterms:created xsi:type="dcterms:W3CDTF">2024-04-03T02:49:00Z</dcterms:created>
  <dcterms:modified xsi:type="dcterms:W3CDTF">2024-04-03T02:50:00Z</dcterms:modified>
</cp:coreProperties>
</file>