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B819"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0D0745D7" w14:textId="77777777" w:rsidR="00E24AA1" w:rsidRDefault="00E24AA1" w:rsidP="00E24AA1">
      <w:pPr>
        <w:pStyle w:val="Baseparagraphcentred"/>
      </w:pPr>
    </w:p>
    <w:p w14:paraId="6B0F09C5" w14:textId="77777777" w:rsidR="00E24AA1" w:rsidRDefault="00E24AA1" w:rsidP="00E24AA1">
      <w:pPr>
        <w:pStyle w:val="Baseparagraphcentred"/>
        <w:pBdr>
          <w:bottom w:val="single" w:sz="4" w:space="1" w:color="auto"/>
        </w:pBdr>
      </w:pPr>
    </w:p>
    <w:p w14:paraId="2D7992FB" w14:textId="67E5B299" w:rsidR="00BE2EAD" w:rsidRDefault="002A5764" w:rsidP="0055526B">
      <w:pPr>
        <w:pStyle w:val="BillName"/>
        <w:spacing w:after="0"/>
        <w:rPr>
          <w:shd w:val="clear" w:color="auto" w:fill="E6E6E6"/>
        </w:rPr>
      </w:pPr>
      <w:bookmarkStart w:id="6" w:name="BillName"/>
      <w:bookmarkEnd w:id="6"/>
      <w:r w:rsidRPr="002A5764">
        <w:rPr>
          <w:shd w:val="clear" w:color="auto" w:fill="E6E6E6"/>
        </w:rPr>
        <w:t>Treasury Laws Amendment (No #) Bill 2024</w:t>
      </w:r>
    </w:p>
    <w:p w14:paraId="6E07CB6E" w14:textId="77777777" w:rsidR="0055526B" w:rsidRDefault="0055526B" w:rsidP="0055526B">
      <w:pPr>
        <w:pStyle w:val="Baseparagraphcentred"/>
        <w:pBdr>
          <w:bottom w:val="single" w:sz="4" w:space="1" w:color="auto"/>
        </w:pBdr>
        <w:spacing w:before="0"/>
      </w:pPr>
    </w:p>
    <w:p w14:paraId="4919D0CF" w14:textId="77777777" w:rsidR="0055526B" w:rsidRPr="0055526B" w:rsidRDefault="0055526B" w:rsidP="0055526B">
      <w:pPr>
        <w:pStyle w:val="Normalparatextnonumbers"/>
        <w:rPr>
          <w:highlight w:val="yellow"/>
        </w:rPr>
      </w:pPr>
    </w:p>
    <w:p w14:paraId="42BCB150" w14:textId="77777777" w:rsidR="00E24AA1" w:rsidRDefault="00E24AA1" w:rsidP="00E24AA1">
      <w:pPr>
        <w:pStyle w:val="Baseparagraphcentred"/>
      </w:pPr>
    </w:p>
    <w:p w14:paraId="5BEB2EB1" w14:textId="77777777" w:rsidR="00E24AA1" w:rsidRDefault="00E24AA1" w:rsidP="00E24AA1">
      <w:pPr>
        <w:pStyle w:val="Baseparagraphcentred"/>
      </w:pPr>
    </w:p>
    <w:p w14:paraId="686B13F7" w14:textId="77777777" w:rsidR="00E24AA1" w:rsidRDefault="00E24AA1" w:rsidP="00E24AA1">
      <w:pPr>
        <w:pStyle w:val="Baseparagraphcentred"/>
      </w:pPr>
    </w:p>
    <w:p w14:paraId="1C238450" w14:textId="17E6D133" w:rsidR="00E24AA1" w:rsidRDefault="005C5C04" w:rsidP="00E24AA1">
      <w:pPr>
        <w:pStyle w:val="Baseparagraphcentred"/>
      </w:pPr>
      <w:r>
        <w:rPr>
          <w:color w:val="000000"/>
          <w:sz w:val="27"/>
          <w:szCs w:val="27"/>
        </w:rPr>
        <w:t>EXPOSURE EXPLANATORY MATERIALS</w:t>
      </w:r>
    </w:p>
    <w:p w14:paraId="1997B46D" w14:textId="77777777" w:rsidR="00E24AA1" w:rsidRDefault="00E24AA1" w:rsidP="00E24AA1">
      <w:pPr>
        <w:pStyle w:val="Baseparagraphcentred"/>
      </w:pPr>
    </w:p>
    <w:p w14:paraId="4BCA6376" w14:textId="77777777" w:rsidR="00873094" w:rsidRDefault="00873094" w:rsidP="00873094">
      <w:pPr>
        <w:pStyle w:val="Normalparatextnonumbers"/>
      </w:pPr>
    </w:p>
    <w:p w14:paraId="2E5672D2" w14:textId="77777777" w:rsidR="00E24AA1" w:rsidRPr="00020288" w:rsidRDefault="00E24AA1" w:rsidP="00873094">
      <w:pPr>
        <w:pStyle w:val="Normalparatextnonumbers"/>
      </w:pPr>
    </w:p>
    <w:p w14:paraId="457FAAAB" w14:textId="77777777" w:rsidR="00873094" w:rsidRPr="00020288" w:rsidRDefault="00873094" w:rsidP="00873094">
      <w:pPr>
        <w:pStyle w:val="TOC1"/>
        <w:sectPr w:rsidR="00873094" w:rsidRPr="00020288" w:rsidSect="00000BFC">
          <w:headerReference w:type="first" r:id="rId7"/>
          <w:footerReference w:type="first" r:id="rId8"/>
          <w:type w:val="oddPage"/>
          <w:pgSz w:w="9979" w:h="14175" w:code="138"/>
          <w:pgMar w:top="567" w:right="1134" w:bottom="567" w:left="1134" w:header="709" w:footer="709" w:gutter="0"/>
          <w:cols w:space="708"/>
          <w:titlePg/>
          <w:docGrid w:linePitch="360"/>
        </w:sectPr>
      </w:pPr>
    </w:p>
    <w:p w14:paraId="06163594" w14:textId="77777777" w:rsidR="00716BAE" w:rsidRPr="00716BAE" w:rsidRDefault="005C5C04" w:rsidP="00716BAE">
      <w:pPr>
        <w:spacing w:before="0" w:after="160" w:line="259" w:lineRule="auto"/>
        <w:rPr>
          <w:b/>
          <w:bCs/>
        </w:rPr>
      </w:pPr>
      <w:bookmarkStart w:id="7" w:name="_Toc80172450"/>
      <w:bookmarkStart w:id="8" w:name="_Toc80197114"/>
      <w:bookmarkStart w:id="9" w:name="_Toc81852681"/>
      <w:bookmarkEnd w:id="0"/>
      <w:bookmarkEnd w:id="1"/>
      <w:bookmarkEnd w:id="2"/>
      <w:bookmarkEnd w:id="3"/>
      <w:bookmarkEnd w:id="4"/>
      <w:r>
        <w:lastRenderedPageBreak/>
        <w:br w:type="page"/>
      </w:r>
      <w:r w:rsidR="00716BAE" w:rsidRPr="00716BAE">
        <w:rPr>
          <w:b/>
          <w:bCs/>
        </w:rPr>
        <w:lastRenderedPageBreak/>
        <w:t>Consultation preamble</w:t>
      </w:r>
    </w:p>
    <w:p w14:paraId="1D120FBD" w14:textId="77777777" w:rsidR="00716BAE" w:rsidRPr="00716BAE" w:rsidRDefault="00716BAE" w:rsidP="008C6065">
      <w:pPr>
        <w:spacing w:before="0" w:after="160" w:line="259" w:lineRule="auto"/>
        <w:ind w:left="567" w:firstLine="0"/>
      </w:pPr>
      <w:r w:rsidRPr="00716BAE">
        <w:t>Treasury seeks feedback on the effectiveness of this exposure draft explanatory material in explaining the policy context and operation of the proposed new law, including, but not limited to:</w:t>
      </w:r>
    </w:p>
    <w:p w14:paraId="58F27623" w14:textId="77777777" w:rsidR="00716BAE" w:rsidRPr="00716BAE" w:rsidRDefault="00716BAE" w:rsidP="008C6065">
      <w:pPr>
        <w:spacing w:before="0" w:after="160" w:line="259" w:lineRule="auto"/>
        <w:ind w:left="567" w:firstLine="0"/>
      </w:pPr>
      <w:r w:rsidRPr="00716BAE">
        <w:t>• how the new law is intended to operate;</w:t>
      </w:r>
    </w:p>
    <w:p w14:paraId="68AB0A8F" w14:textId="77777777" w:rsidR="00716BAE" w:rsidRPr="00716BAE" w:rsidRDefault="00716BAE" w:rsidP="008C6065">
      <w:pPr>
        <w:spacing w:before="0" w:after="160" w:line="259" w:lineRule="auto"/>
        <w:ind w:left="567" w:firstLine="0"/>
      </w:pPr>
      <w:r w:rsidRPr="00716BAE">
        <w:t>• whether the background and policy context is sufficiently comprehensive to support understanding of the policy intent and outcomes of the new law;</w:t>
      </w:r>
    </w:p>
    <w:p w14:paraId="04C0F4BB" w14:textId="77777777" w:rsidR="00716BAE" w:rsidRPr="00716BAE" w:rsidRDefault="00716BAE" w:rsidP="008C6065">
      <w:pPr>
        <w:spacing w:before="0" w:after="160" w:line="259" w:lineRule="auto"/>
        <w:ind w:left="567" w:firstLine="0"/>
      </w:pPr>
      <w:r w:rsidRPr="00716BAE">
        <w:t>• the use of relevant examples, illustrations or diagrams as explanatory aids; and</w:t>
      </w:r>
    </w:p>
    <w:p w14:paraId="7979692B" w14:textId="77777777" w:rsidR="00716BAE" w:rsidRPr="00716BAE" w:rsidRDefault="00716BAE" w:rsidP="008C6065">
      <w:pPr>
        <w:spacing w:before="0" w:after="160" w:line="259" w:lineRule="auto"/>
        <w:ind w:left="567" w:firstLine="0"/>
      </w:pPr>
      <w:r w:rsidRPr="00716BAE">
        <w:t>• any other matters affecting the readability or presentation of the explanatory material.</w:t>
      </w:r>
    </w:p>
    <w:p w14:paraId="41C4A283" w14:textId="77777777" w:rsidR="00716BAE" w:rsidRPr="00716BAE" w:rsidRDefault="00716BAE" w:rsidP="008C6065">
      <w:pPr>
        <w:spacing w:before="0" w:after="160" w:line="259" w:lineRule="auto"/>
        <w:ind w:left="567" w:firstLine="0"/>
      </w:pPr>
      <w:r w:rsidRPr="00716BAE">
        <w:t>Feedback on these matters will assist to ensure the Explanatory Memoranda for the Bill aids the Parliament’s consideration of the proposed new law and the needs of other users.</w:t>
      </w:r>
    </w:p>
    <w:p w14:paraId="2F9B5A3A" w14:textId="77777777" w:rsidR="00716BAE" w:rsidRPr="00716BAE" w:rsidRDefault="00716BAE" w:rsidP="008C6065">
      <w:pPr>
        <w:spacing w:before="0" w:after="160" w:line="259" w:lineRule="auto"/>
        <w:ind w:left="567" w:firstLine="0"/>
      </w:pPr>
      <w:r w:rsidRPr="00716BAE">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03E15A2B" w14:textId="6066A791" w:rsidR="00716BAE" w:rsidRDefault="00716BAE">
      <w:pPr>
        <w:spacing w:before="0" w:after="160" w:line="259" w:lineRule="auto"/>
        <w:rPr>
          <w:rFonts w:ascii="Helvitica" w:hAnsi="Helvitica"/>
          <w:sz w:val="40"/>
        </w:rPr>
      </w:pPr>
      <w:r>
        <w:rPr>
          <w:rFonts w:ascii="Helvitica" w:hAnsi="Helvitica"/>
          <w:sz w:val="40"/>
        </w:rPr>
        <w:br w:type="page"/>
      </w:r>
    </w:p>
    <w:p w14:paraId="5D3752FF" w14:textId="77777777" w:rsidR="005C5C04" w:rsidRDefault="005C5C04">
      <w:pPr>
        <w:spacing w:before="0" w:after="160" w:line="259" w:lineRule="auto"/>
        <w:rPr>
          <w:rFonts w:ascii="Helvitica" w:hAnsi="Helvitica"/>
          <w:sz w:val="40"/>
        </w:rPr>
      </w:pPr>
    </w:p>
    <w:p w14:paraId="4DC34DCB" w14:textId="6C9DFC34" w:rsidR="00873094" w:rsidRPr="00020288" w:rsidRDefault="00873094" w:rsidP="0062296F">
      <w:pPr>
        <w:pStyle w:val="TOCHeading"/>
        <w:ind w:firstLine="0"/>
      </w:pPr>
      <w:r w:rsidRPr="00020288">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F34BC07" w14:textId="0E898C77" w:rsidR="0075715A" w:rsidRDefault="00873094" w:rsidP="00716BAE">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75715A">
        <w:rPr>
          <w:noProof/>
        </w:rPr>
        <w:t>Glossary</w:t>
      </w:r>
      <w:r w:rsidR="0075715A">
        <w:rPr>
          <w:noProof/>
        </w:rPr>
        <w:tab/>
      </w:r>
      <w:r w:rsidR="0075715A">
        <w:rPr>
          <w:noProof/>
        </w:rPr>
        <w:fldChar w:fldCharType="begin"/>
      </w:r>
      <w:r w:rsidR="0075715A">
        <w:rPr>
          <w:noProof/>
        </w:rPr>
        <w:instrText xml:space="preserve"> PAGEREF _Toc161222546 \h </w:instrText>
      </w:r>
      <w:r w:rsidR="0075715A">
        <w:rPr>
          <w:noProof/>
        </w:rPr>
      </w:r>
      <w:r w:rsidR="0075715A">
        <w:rPr>
          <w:noProof/>
        </w:rPr>
        <w:fldChar w:fldCharType="separate"/>
      </w:r>
      <w:r w:rsidR="00C422CA">
        <w:rPr>
          <w:noProof/>
        </w:rPr>
        <w:t>1</w:t>
      </w:r>
      <w:r w:rsidR="0075715A">
        <w:rPr>
          <w:noProof/>
        </w:rPr>
        <w:fldChar w:fldCharType="end"/>
      </w:r>
    </w:p>
    <w:p w14:paraId="251E6004" w14:textId="69AA4FD3" w:rsidR="0075715A" w:rsidRDefault="0075715A">
      <w:pPr>
        <w:pStyle w:val="TOC1"/>
        <w:rPr>
          <w:rFonts w:asciiTheme="minorHAnsi" w:eastAsiaTheme="minorEastAsia" w:hAnsiTheme="minorHAnsi" w:cstheme="minorBidi"/>
          <w:bCs w:val="0"/>
          <w:noProof/>
          <w:kern w:val="2"/>
          <w:sz w:val="22"/>
          <w:szCs w:val="22"/>
          <w:lang w:eastAsia="en-AU"/>
          <w14:ligatures w14:val="standardContextual"/>
        </w:rPr>
      </w:pPr>
      <w:r w:rsidRPr="00C7234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Medicare levy lump sum exemption</w:t>
      </w:r>
      <w:r>
        <w:rPr>
          <w:noProof/>
        </w:rPr>
        <w:tab/>
      </w:r>
      <w:r>
        <w:rPr>
          <w:noProof/>
        </w:rPr>
        <w:fldChar w:fldCharType="begin"/>
      </w:r>
      <w:r>
        <w:rPr>
          <w:noProof/>
        </w:rPr>
        <w:instrText xml:space="preserve"> PAGEREF _Toc161222548 \h </w:instrText>
      </w:r>
      <w:r>
        <w:rPr>
          <w:noProof/>
        </w:rPr>
      </w:r>
      <w:r>
        <w:rPr>
          <w:noProof/>
        </w:rPr>
        <w:fldChar w:fldCharType="separate"/>
      </w:r>
      <w:r w:rsidR="00C422CA">
        <w:rPr>
          <w:noProof/>
        </w:rPr>
        <w:t>3</w:t>
      </w:r>
      <w:r>
        <w:rPr>
          <w:noProof/>
        </w:rPr>
        <w:fldChar w:fldCharType="end"/>
      </w:r>
    </w:p>
    <w:p w14:paraId="19563C84" w14:textId="2DA69BA2" w:rsidR="0075715A" w:rsidRDefault="0075715A">
      <w:pPr>
        <w:pStyle w:val="TOC1"/>
        <w:rPr>
          <w:rFonts w:asciiTheme="minorHAnsi" w:eastAsiaTheme="minorEastAsia" w:hAnsiTheme="minorHAnsi" w:cstheme="minorBidi"/>
          <w:bCs w:val="0"/>
          <w:noProof/>
          <w:kern w:val="2"/>
          <w:sz w:val="22"/>
          <w:szCs w:val="22"/>
          <w:lang w:eastAsia="en-AU"/>
          <w14:ligatures w14:val="standardContextual"/>
        </w:rPr>
      </w:pPr>
    </w:p>
    <w:p w14:paraId="2407C649" w14:textId="376E45D1" w:rsidR="00873094" w:rsidRPr="00020288" w:rsidRDefault="00873094" w:rsidP="00BC2E4A">
      <w:pPr>
        <w:pStyle w:val="TOC1"/>
      </w:pPr>
      <w:r w:rsidRPr="00BC2E4A">
        <w:fldChar w:fldCharType="end"/>
      </w:r>
    </w:p>
    <w:p w14:paraId="5B9C7DBC" w14:textId="77777777" w:rsidR="00873094" w:rsidRPr="00020288" w:rsidRDefault="00873094" w:rsidP="00873094"/>
    <w:p w14:paraId="1D907C67" w14:textId="77777777" w:rsidR="00873094" w:rsidRPr="00020288" w:rsidRDefault="00873094" w:rsidP="00873094"/>
    <w:p w14:paraId="4B012C7F" w14:textId="77777777" w:rsidR="00873094" w:rsidRPr="00020288" w:rsidRDefault="00873094" w:rsidP="00873094">
      <w:pPr>
        <w:sectPr w:rsidR="00873094" w:rsidRPr="00020288" w:rsidSect="00000BFC">
          <w:headerReference w:type="even" r:id="rId9"/>
          <w:headerReference w:type="default" r:id="rId10"/>
          <w:headerReference w:type="first" r:id="rId11"/>
          <w:footerReference w:type="first" r:id="rId12"/>
          <w:type w:val="oddPage"/>
          <w:pgSz w:w="9979" w:h="14175" w:code="9"/>
          <w:pgMar w:top="567" w:right="1134" w:bottom="567" w:left="1134" w:header="709" w:footer="709" w:gutter="0"/>
          <w:pgNumType w:start="1"/>
          <w:cols w:space="708"/>
          <w:titlePg/>
          <w:docGrid w:linePitch="360"/>
        </w:sectPr>
      </w:pPr>
    </w:p>
    <w:p w14:paraId="0714DD01" w14:textId="77777777" w:rsidR="00873094" w:rsidRPr="00020288" w:rsidRDefault="00873094" w:rsidP="00394E33">
      <w:pPr>
        <w:pStyle w:val="Heading1"/>
        <w:ind w:firstLine="0"/>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61222546"/>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66F332C" w14:textId="77777777" w:rsidR="00873094" w:rsidRPr="00020288" w:rsidRDefault="00873094" w:rsidP="00394E33">
      <w:pPr>
        <w:pStyle w:val="Normalparatextnonumbers"/>
        <w:ind w:firstLine="0"/>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3C22E01" w14:textId="77777777" w:rsidTr="002425D9">
        <w:tc>
          <w:tcPr>
            <w:tcW w:w="3776" w:type="dxa"/>
            <w:shd w:val="clear" w:color="auto" w:fill="auto"/>
          </w:tcPr>
          <w:p w14:paraId="330B0796" w14:textId="77777777" w:rsidR="00873094" w:rsidRPr="002E7A73" w:rsidRDefault="00873094" w:rsidP="00394E33">
            <w:pPr>
              <w:pStyle w:val="Tableheaderrowtext"/>
              <w:ind w:firstLine="0"/>
            </w:pPr>
            <w:bookmarkStart w:id="29" w:name="GlossaryTableStart"/>
            <w:bookmarkEnd w:id="29"/>
            <w:r w:rsidRPr="002E7A73">
              <w:t>Abbreviation</w:t>
            </w:r>
          </w:p>
        </w:tc>
        <w:tc>
          <w:tcPr>
            <w:tcW w:w="3874" w:type="dxa"/>
            <w:shd w:val="clear" w:color="auto" w:fill="auto"/>
          </w:tcPr>
          <w:p w14:paraId="492ECED9" w14:textId="77777777" w:rsidR="00873094" w:rsidRPr="002E7A73" w:rsidRDefault="00873094" w:rsidP="00394E33">
            <w:pPr>
              <w:pStyle w:val="Tableheaderrowtext"/>
              <w:ind w:firstLine="0"/>
            </w:pPr>
            <w:r w:rsidRPr="002E7A73">
              <w:t>Definition</w:t>
            </w:r>
          </w:p>
        </w:tc>
      </w:tr>
      <w:tr w:rsidR="0055526B" w:rsidRPr="00020288" w14:paraId="1C910525" w14:textId="77777777" w:rsidTr="002425D9">
        <w:tc>
          <w:tcPr>
            <w:tcW w:w="3776" w:type="dxa"/>
          </w:tcPr>
          <w:p w14:paraId="3204E80D" w14:textId="790E8152" w:rsidR="0055526B" w:rsidRPr="0055526B" w:rsidRDefault="0055526B" w:rsidP="00046866">
            <w:pPr>
              <w:pStyle w:val="Normalparatextnonumbers"/>
              <w:ind w:firstLine="32"/>
            </w:pPr>
            <w:r>
              <w:t>Bill</w:t>
            </w:r>
          </w:p>
        </w:tc>
        <w:tc>
          <w:tcPr>
            <w:tcW w:w="3874" w:type="dxa"/>
          </w:tcPr>
          <w:p w14:paraId="014704D5" w14:textId="1FA27C8F" w:rsidR="0055526B" w:rsidRDefault="00D77EA1" w:rsidP="00046866">
            <w:pPr>
              <w:ind w:firstLine="32"/>
              <w:rPr>
                <w:rStyle w:val="normaltextrun"/>
                <w:i/>
                <w:iCs/>
                <w:color w:val="000000"/>
                <w:shd w:val="clear" w:color="auto" w:fill="FFFFFF"/>
              </w:rPr>
            </w:pPr>
            <w:r w:rsidRPr="00D77EA1">
              <w:rPr>
                <w:rStyle w:val="normaltextrun"/>
                <w:i/>
                <w:iCs/>
                <w:color w:val="000000"/>
                <w:shd w:val="clear" w:color="auto" w:fill="FFFFFF"/>
              </w:rPr>
              <w:t>Treasury Laws Amendment (No #) Bill 2024</w:t>
            </w:r>
          </w:p>
        </w:tc>
      </w:tr>
      <w:tr w:rsidR="00873094" w:rsidRPr="00020288" w14:paraId="165AC0EB" w14:textId="77777777" w:rsidTr="002425D9">
        <w:tc>
          <w:tcPr>
            <w:tcW w:w="3776" w:type="dxa"/>
          </w:tcPr>
          <w:p w14:paraId="6B6BA7AA" w14:textId="0F2AFD14" w:rsidR="00873094" w:rsidRPr="00331F8E" w:rsidRDefault="002E56CE" w:rsidP="00046866">
            <w:pPr>
              <w:pStyle w:val="Normalparatextnonumbers"/>
              <w:ind w:firstLine="32"/>
            </w:pPr>
            <w:r w:rsidRPr="00331F8E">
              <w:t>ITAA 1997</w:t>
            </w:r>
          </w:p>
        </w:tc>
        <w:tc>
          <w:tcPr>
            <w:tcW w:w="3874" w:type="dxa"/>
          </w:tcPr>
          <w:p w14:paraId="1C0C13A7" w14:textId="5800FBEB" w:rsidR="00873094" w:rsidRPr="00020288" w:rsidRDefault="002E56CE" w:rsidP="00046866">
            <w:pPr>
              <w:pStyle w:val="Normalparatextnonumbers"/>
              <w:ind w:firstLine="32"/>
            </w:pPr>
            <w:r>
              <w:rPr>
                <w:rStyle w:val="normaltextrun"/>
                <w:i/>
                <w:iCs/>
                <w:color w:val="000000"/>
                <w:shd w:val="clear" w:color="auto" w:fill="FFFFFF"/>
              </w:rPr>
              <w:t>Income Tax Assessment Act 1997</w:t>
            </w:r>
          </w:p>
        </w:tc>
      </w:tr>
      <w:tr w:rsidR="00873094" w:rsidRPr="00020288" w14:paraId="17BB1F4C" w14:textId="77777777" w:rsidTr="002425D9">
        <w:tc>
          <w:tcPr>
            <w:tcW w:w="3776" w:type="dxa"/>
          </w:tcPr>
          <w:p w14:paraId="32A7A348" w14:textId="0D9D538B" w:rsidR="00873094" w:rsidRPr="00331F8E" w:rsidRDefault="0013192C" w:rsidP="00046866">
            <w:pPr>
              <w:pStyle w:val="Normalparatextnonumbers"/>
              <w:ind w:firstLine="32"/>
            </w:pPr>
            <w:r w:rsidRPr="00331F8E">
              <w:t>ITAA 1936</w:t>
            </w:r>
          </w:p>
        </w:tc>
        <w:tc>
          <w:tcPr>
            <w:tcW w:w="3874" w:type="dxa"/>
          </w:tcPr>
          <w:p w14:paraId="642FC590" w14:textId="1BD7178D" w:rsidR="00873094" w:rsidRPr="004E5F69" w:rsidRDefault="00EC77DC" w:rsidP="00046866">
            <w:pPr>
              <w:pStyle w:val="Normalparatextnonumbers"/>
              <w:ind w:firstLine="32"/>
              <w:rPr>
                <w:i/>
                <w:iCs/>
              </w:rPr>
            </w:pPr>
            <w:r w:rsidRPr="004E5F69">
              <w:rPr>
                <w:i/>
                <w:iCs/>
              </w:rPr>
              <w:t xml:space="preserve">Income Tax </w:t>
            </w:r>
            <w:r w:rsidR="004E5F69" w:rsidRPr="004E5F69">
              <w:rPr>
                <w:i/>
                <w:iCs/>
              </w:rPr>
              <w:t>Assessment Act 1936</w:t>
            </w:r>
          </w:p>
        </w:tc>
      </w:tr>
      <w:tr w:rsidR="00873094" w:rsidRPr="00020288" w14:paraId="0C32165A" w14:textId="77777777" w:rsidTr="002425D9">
        <w:tc>
          <w:tcPr>
            <w:tcW w:w="3776" w:type="dxa"/>
          </w:tcPr>
          <w:p w14:paraId="00AC755D" w14:textId="631D3E50" w:rsidR="00873094" w:rsidRPr="00331F8E" w:rsidRDefault="004B43D6" w:rsidP="00046866">
            <w:pPr>
              <w:pStyle w:val="ListBullet"/>
              <w:numPr>
                <w:ilvl w:val="0"/>
                <w:numId w:val="0"/>
              </w:numPr>
              <w:ind w:firstLine="32"/>
            </w:pPr>
            <w:r w:rsidRPr="00331F8E">
              <w:t>Medicare levy Act</w:t>
            </w:r>
          </w:p>
        </w:tc>
        <w:tc>
          <w:tcPr>
            <w:tcW w:w="3874" w:type="dxa"/>
          </w:tcPr>
          <w:p w14:paraId="731F2096" w14:textId="42C3F9BF" w:rsidR="00873094" w:rsidRPr="00020288" w:rsidRDefault="004B43D6" w:rsidP="00046866">
            <w:pPr>
              <w:pStyle w:val="Normalparatextnonumbers"/>
              <w:ind w:firstLine="32"/>
            </w:pPr>
            <w:bookmarkStart w:id="30" w:name="_Hlk160788376"/>
            <w:r w:rsidRPr="004B43D6">
              <w:rPr>
                <w:i/>
                <w:iCs/>
              </w:rPr>
              <w:t>Medicare Levy Act</w:t>
            </w:r>
            <w:r w:rsidRPr="004B43D6">
              <w:t xml:space="preserve"> </w:t>
            </w:r>
            <w:r w:rsidRPr="004B43D6">
              <w:rPr>
                <w:i/>
                <w:iCs/>
              </w:rPr>
              <w:t>1986</w:t>
            </w:r>
            <w:bookmarkEnd w:id="30"/>
          </w:p>
        </w:tc>
      </w:tr>
    </w:tbl>
    <w:p w14:paraId="6EC93105" w14:textId="77777777" w:rsidR="00873094" w:rsidRPr="00020288" w:rsidRDefault="00873094" w:rsidP="00873094"/>
    <w:p w14:paraId="39056904" w14:textId="77777777" w:rsidR="00873094" w:rsidRPr="00020288" w:rsidRDefault="00873094" w:rsidP="00873094">
      <w:pPr>
        <w:spacing w:before="0" w:after="0" w:line="360" w:lineRule="auto"/>
        <w:contextualSpacing/>
        <w:sectPr w:rsidR="00873094" w:rsidRPr="00020288" w:rsidSect="00DD6CB7">
          <w:headerReference w:type="even" r:id="rId13"/>
          <w:headerReference w:type="default" r:id="rId14"/>
          <w:footerReference w:type="even" r:id="rId15"/>
          <w:foot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bookmarkStart w:id="31" w:name="GeneralOutline"/>
      <w:bookmarkStart w:id="32" w:name="_Toc78548467"/>
      <w:bookmarkStart w:id="33" w:name="_Toc78549738"/>
      <w:bookmarkStart w:id="34" w:name="_Toc78549783"/>
      <w:bookmarkEnd w:id="26"/>
      <w:bookmarkEnd w:id="27"/>
      <w:bookmarkEnd w:id="28"/>
      <w:bookmarkEnd w:id="31"/>
    </w:p>
    <w:p w14:paraId="1F9A9F56" w14:textId="143437B7" w:rsidR="00873094" w:rsidRPr="0073326A" w:rsidRDefault="00405D78" w:rsidP="1BDF7A98">
      <w:pPr>
        <w:pStyle w:val="Chapterheading"/>
        <w:numPr>
          <w:ilvl w:val="0"/>
          <w:numId w:val="0"/>
        </w:numPr>
        <w:rPr>
          <w:rFonts w:hint="eastAsia"/>
        </w:rPr>
      </w:pPr>
      <w:bookmarkStart w:id="35" w:name="_Toc161222548"/>
      <w:bookmarkEnd w:id="32"/>
      <w:bookmarkEnd w:id="33"/>
      <w:bookmarkEnd w:id="34"/>
      <w:r>
        <w:lastRenderedPageBreak/>
        <w:t xml:space="preserve">Chapter 1: </w:t>
      </w:r>
      <w:r w:rsidR="00272F4F">
        <w:t xml:space="preserve">Medicare </w:t>
      </w:r>
      <w:r w:rsidR="00C12132">
        <w:t>l</w:t>
      </w:r>
      <w:r w:rsidR="00272F4F">
        <w:t>evy</w:t>
      </w:r>
      <w:r w:rsidR="00DC3B00">
        <w:t xml:space="preserve"> exemption</w:t>
      </w:r>
      <w:bookmarkEnd w:id="35"/>
    </w:p>
    <w:p w14:paraId="0ED9053A" w14:textId="77777777" w:rsidR="00873094" w:rsidRPr="00020288" w:rsidRDefault="00873094" w:rsidP="00EF08EE">
      <w:pPr>
        <w:pStyle w:val="Heading2"/>
        <w:ind w:firstLine="0"/>
        <w:rPr>
          <w:rFonts w:hint="eastAsia"/>
        </w:rPr>
      </w:pPr>
      <w:r w:rsidRPr="00020288">
        <w:t xml:space="preserve">Outline </w:t>
      </w:r>
      <w:r w:rsidRPr="005D0844">
        <w:t>of</w:t>
      </w:r>
      <w:r w:rsidRPr="00020288">
        <w:t xml:space="preserve"> chapter</w:t>
      </w:r>
    </w:p>
    <w:p w14:paraId="13532E68" w14:textId="07FED36B" w:rsidR="00197376" w:rsidRDefault="00632A23" w:rsidP="00AD4393">
      <w:pPr>
        <w:pStyle w:val="Normalparatextwithnumbers"/>
      </w:pPr>
      <w:r w:rsidRPr="00632A23">
        <w:t xml:space="preserve">Schedule # to the Bill amends the </w:t>
      </w:r>
      <w:r w:rsidR="00C133F7">
        <w:t>Medicare Levy Act</w:t>
      </w:r>
      <w:r w:rsidRPr="00632A23">
        <w:t xml:space="preserve"> to </w:t>
      </w:r>
      <w:r w:rsidR="00C00961">
        <w:t xml:space="preserve">make changes to </w:t>
      </w:r>
      <w:r w:rsidR="00197376">
        <w:t xml:space="preserve">how </w:t>
      </w:r>
      <w:r w:rsidR="004B6C61">
        <w:t>certain</w:t>
      </w:r>
      <w:r w:rsidR="004249BD">
        <w:t xml:space="preserve"> eligible</w:t>
      </w:r>
      <w:r w:rsidR="00197376">
        <w:t xml:space="preserve"> lump sum payments in arrears are assessed for the purposes of the Medicare levy</w:t>
      </w:r>
      <w:r w:rsidR="004249BD">
        <w:t>.</w:t>
      </w:r>
    </w:p>
    <w:p w14:paraId="544E5CD9" w14:textId="0D73C75A" w:rsidR="00AD4393" w:rsidRPr="000E521B" w:rsidRDefault="00AB5D47" w:rsidP="00AD4393">
      <w:pPr>
        <w:pStyle w:val="Normalparatextwithnumbers"/>
      </w:pPr>
      <w:r>
        <w:t xml:space="preserve">The changes </w:t>
      </w:r>
      <w:r w:rsidR="00AB4119" w:rsidRPr="00AB4119">
        <w:t xml:space="preserve">ensure low-income taxpayers </w:t>
      </w:r>
      <w:r w:rsidR="009451B3">
        <w:t xml:space="preserve">are </w:t>
      </w:r>
      <w:r w:rsidR="007615B4">
        <w:t xml:space="preserve">not </w:t>
      </w:r>
      <w:r w:rsidR="009451B3">
        <w:t xml:space="preserve">denied </w:t>
      </w:r>
      <w:r w:rsidR="007615B4">
        <w:t>concessional Medicare levy treatment</w:t>
      </w:r>
      <w:r w:rsidR="009451B3">
        <w:t xml:space="preserve"> </w:t>
      </w:r>
      <w:r w:rsidR="007615B4">
        <w:t xml:space="preserve">solely </w:t>
      </w:r>
      <w:r w:rsidR="00AB4119" w:rsidRPr="00AB4119">
        <w:t>as a result of receiving an eligible lump sum payment, for example as compensation for underpaid wages.</w:t>
      </w:r>
      <w:r w:rsidR="00632A23" w:rsidRPr="00632A23">
        <w:t xml:space="preserve"> This amendment </w:t>
      </w:r>
      <w:r w:rsidR="008329DC">
        <w:t>seeks</w:t>
      </w:r>
      <w:r w:rsidR="00632A23" w:rsidRPr="00632A23">
        <w:t xml:space="preserve"> to put eligible recipients of lump sum payments in arrears </w:t>
      </w:r>
      <w:r w:rsidR="00AD4393">
        <w:t xml:space="preserve">back into </w:t>
      </w:r>
      <w:r w:rsidR="006C429B">
        <w:t>a similar</w:t>
      </w:r>
      <w:r w:rsidR="00AD4393">
        <w:t xml:space="preserve"> position had they been paid correctly.</w:t>
      </w:r>
    </w:p>
    <w:p w14:paraId="2462FAD3" w14:textId="77777777" w:rsidR="00873094" w:rsidRPr="00020288" w:rsidRDefault="00873094" w:rsidP="00EF08EE">
      <w:pPr>
        <w:pStyle w:val="Heading2"/>
        <w:ind w:firstLine="0"/>
        <w:rPr>
          <w:rFonts w:hint="eastAsia"/>
        </w:rPr>
      </w:pPr>
      <w:r w:rsidRPr="00020288">
        <w:t xml:space="preserve">Context of </w:t>
      </w:r>
      <w:r w:rsidRPr="005D0844">
        <w:t>amendments</w:t>
      </w:r>
    </w:p>
    <w:p w14:paraId="03C4FD29" w14:textId="18EE6A86" w:rsidR="00CD7153" w:rsidRPr="0090113D" w:rsidRDefault="00CD7153" w:rsidP="00EF08EE">
      <w:pPr>
        <w:pStyle w:val="Heading4"/>
        <w:ind w:firstLine="0"/>
      </w:pPr>
      <w:r w:rsidRPr="0090113D">
        <w:t xml:space="preserve">Medicare </w:t>
      </w:r>
      <w:r>
        <w:t>levy and reductions and exemptions</w:t>
      </w:r>
    </w:p>
    <w:p w14:paraId="534F3F42" w14:textId="33438E59" w:rsidR="005A79DC" w:rsidRDefault="005A79DC" w:rsidP="00405E25">
      <w:pPr>
        <w:pStyle w:val="Normalparatextwithnumbers"/>
        <w:numPr>
          <w:ilvl w:val="1"/>
          <w:numId w:val="6"/>
        </w:numPr>
      </w:pPr>
      <w:r>
        <w:t xml:space="preserve">The Medicare levy </w:t>
      </w:r>
      <w:r w:rsidR="00F9473C">
        <w:t>is a</w:t>
      </w:r>
      <w:r w:rsidR="007A11B0">
        <w:t xml:space="preserve"> </w:t>
      </w:r>
      <w:r w:rsidR="00F9473C">
        <w:t xml:space="preserve">levy </w:t>
      </w:r>
      <w:r w:rsidR="005F2E42">
        <w:t xml:space="preserve">that is </w:t>
      </w:r>
      <w:r w:rsidR="002D03AC">
        <w:t xml:space="preserve">payable by </w:t>
      </w:r>
      <w:r w:rsidR="000C30E3">
        <w:t xml:space="preserve">resident </w:t>
      </w:r>
      <w:r w:rsidR="00C20E27">
        <w:t>taxpayers</w:t>
      </w:r>
      <w:r w:rsidR="005F2E42">
        <w:t xml:space="preserve"> </w:t>
      </w:r>
      <w:r w:rsidR="00A47CD8">
        <w:t xml:space="preserve">and is used to </w:t>
      </w:r>
      <w:r w:rsidR="004C7C0C">
        <w:t>help fund some of the cost of Australia’s health care system.</w:t>
      </w:r>
      <w:r w:rsidR="005F2E42">
        <w:t xml:space="preserve"> </w:t>
      </w:r>
      <w:r w:rsidR="00E24245">
        <w:t>A</w:t>
      </w:r>
      <w:r w:rsidR="00E76DAB">
        <w:t xml:space="preserve"> resident taxpayer</w:t>
      </w:r>
      <w:r w:rsidR="00E24245">
        <w:t xml:space="preserve">’s liability for the Medicare levy is assessed against their taxable income each </w:t>
      </w:r>
      <w:r w:rsidR="00BF71A0">
        <w:t>income</w:t>
      </w:r>
      <w:r w:rsidR="00E24245">
        <w:t xml:space="preserve"> year</w:t>
      </w:r>
      <w:r w:rsidR="00862FF5">
        <w:t xml:space="preserve"> and is payable if the individual’s income exceeds the </w:t>
      </w:r>
      <w:r w:rsidR="00B81BE0">
        <w:t xml:space="preserve">relevant </w:t>
      </w:r>
      <w:r w:rsidR="00E506EE">
        <w:t xml:space="preserve">Medicare levy </w:t>
      </w:r>
      <w:r w:rsidR="00090AB7">
        <w:t xml:space="preserve">threshold </w:t>
      </w:r>
      <w:r w:rsidR="00922189">
        <w:t>amount</w:t>
      </w:r>
      <w:r w:rsidR="00090AB7">
        <w:t>.</w:t>
      </w:r>
    </w:p>
    <w:p w14:paraId="5F469D17" w14:textId="0975F81E" w:rsidR="000B1980" w:rsidRDefault="000B1980" w:rsidP="000B1980">
      <w:pPr>
        <w:pStyle w:val="Normalparatextwithnumbers"/>
        <w:numPr>
          <w:ilvl w:val="1"/>
          <w:numId w:val="6"/>
        </w:numPr>
      </w:pPr>
      <w:r>
        <w:t xml:space="preserve">To determine if no Medicare levy is payable or a reduction applies an individual’s income is assessed against the Medicare levy individual or family low-income threshold, or individual income phase-in threshold in the </w:t>
      </w:r>
      <w:r w:rsidRPr="7AA348BE">
        <w:rPr>
          <w:i/>
          <w:iCs/>
        </w:rPr>
        <w:t>Medicare Levy Act 1986</w:t>
      </w:r>
      <w:r>
        <w:t xml:space="preserve">. The Medicare levy phases in at a rate of </w:t>
      </w:r>
      <w:r w:rsidR="00CD7153">
        <w:t>ten</w:t>
      </w:r>
      <w:r>
        <w:t xml:space="preserve"> cents in the dollar where the taxable income or combined family taxable income exceeds the stated threshold amounts.</w:t>
      </w:r>
    </w:p>
    <w:p w14:paraId="2F79C7E2" w14:textId="182ADF76" w:rsidR="000B1980" w:rsidRPr="00FF4111" w:rsidRDefault="000B1980" w:rsidP="000B1980">
      <w:pPr>
        <w:pStyle w:val="Normalparatextwithnumbers"/>
        <w:numPr>
          <w:ilvl w:val="1"/>
          <w:numId w:val="6"/>
        </w:numPr>
      </w:pPr>
      <w:r>
        <w:t>Prescribed persons receive a full or partial exemption from the Medicare levy. To determine if an individual is considered a prescribed person for the purposes of the Medicare levy for all or part of an income year, they must meet one or more of the criteria in existing section 251U of the ITAA 1936. Prescribed persons include persons such as certain defence force members, blind pensioners and sickness allowance recipients, foreign residents and certain veterans and military rehabilitation and compensation recipients.</w:t>
      </w:r>
    </w:p>
    <w:p w14:paraId="383F5C91" w14:textId="66629B74" w:rsidR="0090372D" w:rsidRDefault="00405E25" w:rsidP="00405E25">
      <w:pPr>
        <w:pStyle w:val="Normalparatextwithnumbers"/>
        <w:numPr>
          <w:ilvl w:val="1"/>
          <w:numId w:val="6"/>
        </w:numPr>
      </w:pPr>
      <w:r>
        <w:t xml:space="preserve">There are two tax </w:t>
      </w:r>
      <w:r w:rsidR="006E36C8">
        <w:t>offsets</w:t>
      </w:r>
      <w:r>
        <w:t xml:space="preserve"> for lump sum payments</w:t>
      </w:r>
      <w:r w:rsidR="00721E3C">
        <w:t xml:space="preserve"> which can reduce the liability for </w:t>
      </w:r>
      <w:r w:rsidR="00D80F5B">
        <w:t xml:space="preserve">income tax and </w:t>
      </w:r>
      <w:r w:rsidR="00721E3C">
        <w:t>the Medicare levy</w:t>
      </w:r>
      <w:r w:rsidR="00D80F5B">
        <w:t xml:space="preserve"> surcharge</w:t>
      </w:r>
      <w:r>
        <w:t xml:space="preserve">: </w:t>
      </w:r>
    </w:p>
    <w:p w14:paraId="3D9C4111" w14:textId="56016405" w:rsidR="0090372D" w:rsidRDefault="00405E25" w:rsidP="00046866">
      <w:pPr>
        <w:pStyle w:val="Bullet"/>
        <w:tabs>
          <w:tab w:val="clear" w:pos="520"/>
          <w:tab w:val="num" w:pos="709"/>
        </w:tabs>
        <w:ind w:left="709" w:hanging="142"/>
      </w:pPr>
      <w:r w:rsidRPr="00405E25">
        <w:t xml:space="preserve">the lump sum payment in arrears tax </w:t>
      </w:r>
      <w:r w:rsidR="00C133F7">
        <w:t>rebate</w:t>
      </w:r>
      <w:r w:rsidRPr="00405E25">
        <w:t xml:space="preserve">, and </w:t>
      </w:r>
    </w:p>
    <w:p w14:paraId="74EB9DA4" w14:textId="43E4DA6C" w:rsidR="00405E25" w:rsidRPr="00405E25" w:rsidRDefault="00405E25" w:rsidP="00046866">
      <w:pPr>
        <w:pStyle w:val="Bullet"/>
        <w:tabs>
          <w:tab w:val="clear" w:pos="520"/>
          <w:tab w:val="num" w:pos="709"/>
        </w:tabs>
        <w:ind w:left="709" w:hanging="142"/>
      </w:pPr>
      <w:r w:rsidRPr="00405E25">
        <w:lastRenderedPageBreak/>
        <w:t xml:space="preserve">the Medicare levy surcharge lump sum payments in arrears tax offset. </w:t>
      </w:r>
    </w:p>
    <w:p w14:paraId="0E0B900C" w14:textId="0E66FDD8" w:rsidR="00405E25" w:rsidRPr="00405E25" w:rsidRDefault="00405E25" w:rsidP="00405E25">
      <w:pPr>
        <w:pStyle w:val="Normalparatextwithnumbers"/>
        <w:numPr>
          <w:ilvl w:val="1"/>
          <w:numId w:val="6"/>
        </w:numPr>
      </w:pPr>
      <w:r>
        <w:t xml:space="preserve">The lump sum payments in arrears tax </w:t>
      </w:r>
      <w:r w:rsidR="00C133F7">
        <w:t>rebate</w:t>
      </w:r>
      <w:r>
        <w:t xml:space="preserve"> in section 159ZR of the ITAA 1936 provides a</w:t>
      </w:r>
      <w:r w:rsidR="004D6C44">
        <w:t xml:space="preserve"> tax offset </w:t>
      </w:r>
      <w:r>
        <w:t xml:space="preserve">to limit the tax payable </w:t>
      </w:r>
      <w:r w:rsidR="00F41182">
        <w:t xml:space="preserve">by an individual </w:t>
      </w:r>
      <w:r>
        <w:t xml:space="preserve">on </w:t>
      </w:r>
      <w:r w:rsidR="00C927BB">
        <w:t xml:space="preserve">eligible </w:t>
      </w:r>
      <w:r>
        <w:t>lump sum payments</w:t>
      </w:r>
      <w:r w:rsidR="0038250C">
        <w:t>. The tax payable</w:t>
      </w:r>
      <w:r w:rsidR="00656BAB">
        <w:t xml:space="preserve"> (excluding Medicare levy)</w:t>
      </w:r>
      <w:r w:rsidR="0038250C">
        <w:t xml:space="preserve"> is limited</w:t>
      </w:r>
      <w:r>
        <w:t xml:space="preserve"> to an amount comparable to the amount that would have been payable</w:t>
      </w:r>
      <w:r w:rsidR="00C927BB">
        <w:t>,</w:t>
      </w:r>
      <w:r>
        <w:t xml:space="preserve"> had the income been received in the year in which it was accrued, provided certain criteria are met.</w:t>
      </w:r>
    </w:p>
    <w:p w14:paraId="65430FAE" w14:textId="5BD08150" w:rsidR="00933A18" w:rsidRDefault="00405E25" w:rsidP="00405E25">
      <w:pPr>
        <w:pStyle w:val="Normalparatextwithnumbers"/>
        <w:numPr>
          <w:ilvl w:val="1"/>
          <w:numId w:val="6"/>
        </w:numPr>
      </w:pPr>
      <w:r>
        <w:t xml:space="preserve">The Medicare levy surcharge lump sum payments in arrears tax offset in Subdivision 61-L of the ITAA 1997 provides for a tax offset for the Medicare Levy surcharge </w:t>
      </w:r>
      <w:r w:rsidR="00D30C84">
        <w:t>(</w:t>
      </w:r>
      <w:r w:rsidR="008A02A7">
        <w:t xml:space="preserve">but not the </w:t>
      </w:r>
      <w:r w:rsidR="00D30C84">
        <w:t xml:space="preserve">ordinary amount of Medicare levy) </w:t>
      </w:r>
      <w:r>
        <w:t xml:space="preserve">when a substantial lump sum is paid to a person in the current year, the lump sum was accrued in whole or in part </w:t>
      </w:r>
      <w:r w:rsidR="003E173B">
        <w:t xml:space="preserve">in </w:t>
      </w:r>
      <w:r>
        <w:t xml:space="preserve">a previous year. </w:t>
      </w:r>
    </w:p>
    <w:p w14:paraId="6CA1CC63" w14:textId="1B96222E" w:rsidR="00405E25" w:rsidRPr="008A02A7" w:rsidRDefault="00295A5F" w:rsidP="00405E25">
      <w:pPr>
        <w:pStyle w:val="Normalparatextwithnumbers"/>
        <w:numPr>
          <w:ilvl w:val="1"/>
          <w:numId w:val="6"/>
        </w:numPr>
      </w:pPr>
      <w:r w:rsidRPr="00295A5F">
        <w:t xml:space="preserve">These two tax concessions </w:t>
      </w:r>
      <w:r>
        <w:t>apply</w:t>
      </w:r>
      <w:r w:rsidRPr="00295A5F">
        <w:t xml:space="preserve"> to reduce the recipient’s liability for the Medicare </w:t>
      </w:r>
      <w:r w:rsidR="0008585B">
        <w:t>l</w:t>
      </w:r>
      <w:r w:rsidRPr="00295A5F">
        <w:t xml:space="preserve">evy </w:t>
      </w:r>
      <w:r w:rsidR="0008585B">
        <w:t>s</w:t>
      </w:r>
      <w:r w:rsidRPr="00295A5F">
        <w:t>urcharge, or limit the tax payable, when the recipient has received an eligible lump sum in arrears</w:t>
      </w:r>
      <w:r w:rsidR="0001114B">
        <w:t>.</w:t>
      </w:r>
      <w:r w:rsidRPr="00295A5F">
        <w:t xml:space="preserve">  However</w:t>
      </w:r>
      <w:r w:rsidR="00617A3A">
        <w:t>, n</w:t>
      </w:r>
      <w:r w:rsidR="00405E25">
        <w:t xml:space="preserve">either of these </w:t>
      </w:r>
      <w:r w:rsidR="001E34AB">
        <w:t>two</w:t>
      </w:r>
      <w:r w:rsidR="00405E25">
        <w:t xml:space="preserve"> tax </w:t>
      </w:r>
      <w:r w:rsidR="00C3156E">
        <w:t xml:space="preserve">offsets </w:t>
      </w:r>
      <w:r w:rsidR="007C373D">
        <w:t xml:space="preserve">reduce </w:t>
      </w:r>
      <w:r w:rsidR="003803DC">
        <w:t xml:space="preserve">the </w:t>
      </w:r>
      <w:r w:rsidR="00D30C84">
        <w:t>ordinary</w:t>
      </w:r>
      <w:r w:rsidR="003803DC">
        <w:t xml:space="preserve"> </w:t>
      </w:r>
      <w:r w:rsidR="0075295F">
        <w:t xml:space="preserve">amount of </w:t>
      </w:r>
      <w:r w:rsidR="007C373D">
        <w:t>Medicare levy payable</w:t>
      </w:r>
      <w:r w:rsidR="00C33085">
        <w:t xml:space="preserve"> if</w:t>
      </w:r>
      <w:r w:rsidR="00405E25">
        <w:t xml:space="preserve"> a recipient receives a lump sum payment in arrears </w:t>
      </w:r>
      <w:r w:rsidR="007871D0">
        <w:t>that</w:t>
      </w:r>
      <w:r w:rsidR="00405E25">
        <w:t xml:space="preserve"> was accrued in the previous year</w:t>
      </w:r>
      <w:r w:rsidR="007871D0">
        <w:t xml:space="preserve"> or year</w:t>
      </w:r>
      <w:r w:rsidR="00405E25">
        <w:t xml:space="preserve">s </w:t>
      </w:r>
      <w:r w:rsidR="00FB3017">
        <w:t xml:space="preserve">that </w:t>
      </w:r>
      <w:r w:rsidR="006E6C22">
        <w:t>increas</w:t>
      </w:r>
      <w:r w:rsidR="00FB3017">
        <w:t>e</w:t>
      </w:r>
      <w:r w:rsidR="00514812">
        <w:t>s</w:t>
      </w:r>
      <w:r w:rsidR="00405E25">
        <w:t xml:space="preserve"> the </w:t>
      </w:r>
      <w:r w:rsidR="00BC5691">
        <w:t xml:space="preserve">individual’s </w:t>
      </w:r>
      <w:r w:rsidR="00AE57EE">
        <w:t xml:space="preserve">current year </w:t>
      </w:r>
      <w:r w:rsidR="00405E25">
        <w:t>Medicare levy</w:t>
      </w:r>
      <w:r w:rsidR="009011E0">
        <w:t xml:space="preserve"> </w:t>
      </w:r>
      <w:r w:rsidR="00D1764D">
        <w:t xml:space="preserve">liability </w:t>
      </w:r>
      <w:r w:rsidR="009F0585">
        <w:t>as a result of the Medicare levy threshold being exceeded</w:t>
      </w:r>
      <w:r w:rsidR="00405E25">
        <w:t>.</w:t>
      </w:r>
    </w:p>
    <w:p w14:paraId="06F059CC" w14:textId="6AD8456F" w:rsidR="00A56BEB" w:rsidRDefault="00A56BEB" w:rsidP="00A56BEB">
      <w:pPr>
        <w:pStyle w:val="Normalparatextwithnumbers"/>
        <w:numPr>
          <w:ilvl w:val="1"/>
          <w:numId w:val="6"/>
        </w:numPr>
      </w:pPr>
      <w:r>
        <w:t xml:space="preserve">The Senate Economics Committee’s Inquiry into unlawful underpayment of employees’ remuneration released in March 2022, </w:t>
      </w:r>
      <w:r w:rsidR="005206F4">
        <w:t>highlighted</w:t>
      </w:r>
      <w:r>
        <w:t xml:space="preserve"> </w:t>
      </w:r>
      <w:r w:rsidR="00E226F3">
        <w:t>that receipt of</w:t>
      </w:r>
      <w:r>
        <w:t xml:space="preserve"> lump sum in arrears </w:t>
      </w:r>
      <w:r w:rsidR="00FB1C3F">
        <w:t xml:space="preserve">adversely </w:t>
      </w:r>
      <w:r>
        <w:t xml:space="preserve">affect </w:t>
      </w:r>
      <w:r w:rsidR="00FB1C3F">
        <w:t xml:space="preserve">these </w:t>
      </w:r>
      <w:r>
        <w:t xml:space="preserve">individuals </w:t>
      </w:r>
      <w:r w:rsidR="00FB1C3F">
        <w:t xml:space="preserve">by increasing their </w:t>
      </w:r>
      <w:r>
        <w:t xml:space="preserve">liability for the Medicare </w:t>
      </w:r>
      <w:r w:rsidR="00E52FB0">
        <w:t>l</w:t>
      </w:r>
      <w:r>
        <w:t>evy.</w:t>
      </w:r>
      <w:r w:rsidR="00671DAC">
        <w:t xml:space="preserve"> </w:t>
      </w:r>
    </w:p>
    <w:p w14:paraId="162ADC5E" w14:textId="05FB1AC0" w:rsidR="00405E25" w:rsidRDefault="00405E25" w:rsidP="00405E25">
      <w:pPr>
        <w:pStyle w:val="Normalparatextwithnumbers"/>
        <w:numPr>
          <w:ilvl w:val="1"/>
          <w:numId w:val="6"/>
        </w:numPr>
      </w:pPr>
      <w:r>
        <w:t xml:space="preserve">This amendment is intended to address this and </w:t>
      </w:r>
      <w:r w:rsidR="00310FF9">
        <w:t>compensate taxpayers</w:t>
      </w:r>
      <w:r w:rsidR="000E2C70">
        <w:t xml:space="preserve"> by calculating the</w:t>
      </w:r>
      <w:r w:rsidR="00674C4B">
        <w:t xml:space="preserve"> Medicare levy </w:t>
      </w:r>
      <w:r w:rsidR="00F8730C">
        <w:t xml:space="preserve">as if </w:t>
      </w:r>
      <w:r w:rsidR="000F5551">
        <w:t xml:space="preserve">the </w:t>
      </w:r>
      <w:r w:rsidR="000E2C70">
        <w:t xml:space="preserve">eligible </w:t>
      </w:r>
      <w:r w:rsidR="000F5551">
        <w:t xml:space="preserve">lump sum in arrears had </w:t>
      </w:r>
      <w:r w:rsidR="002C06F0">
        <w:t>not been paid</w:t>
      </w:r>
      <w:r>
        <w:t xml:space="preserve">. </w:t>
      </w:r>
    </w:p>
    <w:p w14:paraId="3F171164" w14:textId="77777777" w:rsidR="00873094" w:rsidRPr="00020288" w:rsidRDefault="00873094" w:rsidP="00EF08EE">
      <w:pPr>
        <w:pStyle w:val="Heading2"/>
        <w:ind w:firstLine="0"/>
        <w:rPr>
          <w:rFonts w:hint="eastAsia"/>
        </w:rPr>
      </w:pPr>
      <w:r w:rsidRPr="00020288">
        <w:t xml:space="preserve">Summary of </w:t>
      </w:r>
      <w:r w:rsidRPr="005D0844">
        <w:t>new</w:t>
      </w:r>
      <w:r w:rsidRPr="00020288">
        <w:t xml:space="preserve"> law</w:t>
      </w:r>
    </w:p>
    <w:p w14:paraId="73030E7B" w14:textId="2024FBC5" w:rsidR="00873094" w:rsidRDefault="004E68DF" w:rsidP="00873094">
      <w:pPr>
        <w:pStyle w:val="Normalparatextwithnumbers"/>
        <w:numPr>
          <w:ilvl w:val="1"/>
          <w:numId w:val="6"/>
        </w:numPr>
      </w:pPr>
      <w:r>
        <w:t xml:space="preserve">Schedule # to the Bill amends </w:t>
      </w:r>
      <w:r w:rsidR="00345E9E">
        <w:t xml:space="preserve">the </w:t>
      </w:r>
      <w:r w:rsidR="00C133F7">
        <w:t>Medicare levy Act</w:t>
      </w:r>
      <w:r w:rsidR="00345E9E">
        <w:t xml:space="preserve"> to </w:t>
      </w:r>
      <w:r w:rsidR="002E136A">
        <w:t>exclude</w:t>
      </w:r>
      <w:r w:rsidR="00345E9E">
        <w:t xml:space="preserve"> e</w:t>
      </w:r>
      <w:r w:rsidR="00EE6F5C">
        <w:t>ligibl</w:t>
      </w:r>
      <w:r w:rsidR="00B84B3D">
        <w:t>e</w:t>
      </w:r>
      <w:r w:rsidR="00EE6F5C">
        <w:t xml:space="preserve"> lump sum payments in arrears </w:t>
      </w:r>
      <w:r w:rsidR="00547A50">
        <w:t>when working out</w:t>
      </w:r>
      <w:r w:rsidR="00345E9E">
        <w:t xml:space="preserve"> a resident taxpayer’s liability </w:t>
      </w:r>
      <w:r w:rsidR="00AD0154">
        <w:t xml:space="preserve">for the </w:t>
      </w:r>
      <w:r w:rsidR="008D62FC">
        <w:t xml:space="preserve">Medicare </w:t>
      </w:r>
      <w:r w:rsidR="00422B09">
        <w:t>l</w:t>
      </w:r>
      <w:r w:rsidR="008D62FC">
        <w:t xml:space="preserve">evy. </w:t>
      </w:r>
    </w:p>
    <w:p w14:paraId="46C9FCDE" w14:textId="1B137AC2" w:rsidR="00A9678B" w:rsidRDefault="00E04FC1" w:rsidP="00873094">
      <w:pPr>
        <w:pStyle w:val="Normalparatextwithnumbers"/>
        <w:numPr>
          <w:ilvl w:val="1"/>
          <w:numId w:val="6"/>
        </w:numPr>
      </w:pPr>
      <w:r>
        <w:t>A</w:t>
      </w:r>
      <w:r w:rsidR="00547A50">
        <w:t xml:space="preserve"> </w:t>
      </w:r>
      <w:r w:rsidR="003D6A18">
        <w:t xml:space="preserve">taxpayer </w:t>
      </w:r>
      <w:r w:rsidR="006E1892">
        <w:t xml:space="preserve">receiving a </w:t>
      </w:r>
      <w:r w:rsidR="00A9678B">
        <w:t>lump sum</w:t>
      </w:r>
      <w:r>
        <w:t xml:space="preserve"> payment</w:t>
      </w:r>
      <w:r w:rsidR="00A9678B">
        <w:t xml:space="preserve"> in arrears </w:t>
      </w:r>
      <w:r w:rsidR="005617B7">
        <w:t>is</w:t>
      </w:r>
      <w:r w:rsidR="00F430C2">
        <w:t xml:space="preserve"> </w:t>
      </w:r>
      <w:r w:rsidR="00497AC6">
        <w:t>eligible for the exemption</w:t>
      </w:r>
      <w:r w:rsidR="001B150C">
        <w:t xml:space="preserve"> from the Medicare levy</w:t>
      </w:r>
      <w:r w:rsidR="00497AC6">
        <w:t xml:space="preserve"> </w:t>
      </w:r>
      <w:r w:rsidR="00547A50">
        <w:t>if</w:t>
      </w:r>
      <w:r w:rsidR="00076DBD">
        <w:t xml:space="preserve"> </w:t>
      </w:r>
      <w:r w:rsidR="00396B51">
        <w:t>specific</w:t>
      </w:r>
      <w:r w:rsidR="00076DBD">
        <w:t xml:space="preserve"> criteria</w:t>
      </w:r>
      <w:r w:rsidR="00BA5B46">
        <w:t xml:space="preserve"> </w:t>
      </w:r>
      <w:r w:rsidR="004A18EB">
        <w:t>are</w:t>
      </w:r>
      <w:r w:rsidR="00BA5B46">
        <w:t xml:space="preserve"> met</w:t>
      </w:r>
      <w:r w:rsidR="00396B51">
        <w:t xml:space="preserve">. </w:t>
      </w:r>
    </w:p>
    <w:p w14:paraId="57500FA7" w14:textId="77777777" w:rsidR="00076DBD" w:rsidRPr="00020288" w:rsidRDefault="00076DBD" w:rsidP="00F955AD">
      <w:pPr>
        <w:pStyle w:val="Normalparatextwithnumbers"/>
        <w:numPr>
          <w:ilvl w:val="0"/>
          <w:numId w:val="0"/>
        </w:numPr>
        <w:ind w:left="709"/>
      </w:pPr>
    </w:p>
    <w:p w14:paraId="62E68D23" w14:textId="77777777" w:rsidR="00873094" w:rsidRPr="00020288" w:rsidRDefault="00873094" w:rsidP="00EF08EE">
      <w:pPr>
        <w:pStyle w:val="Heading2"/>
        <w:ind w:firstLine="0"/>
        <w:rPr>
          <w:rFonts w:hint="eastAsia"/>
        </w:rPr>
      </w:pPr>
      <w:r w:rsidRPr="00AF50CE">
        <w:lastRenderedPageBreak/>
        <w:t>Comparison</w:t>
      </w:r>
      <w:r w:rsidRPr="00020288">
        <w:t xml:space="preserve"> of key features of new law and current law</w:t>
      </w:r>
    </w:p>
    <w:p w14:paraId="3B08893A" w14:textId="77777777" w:rsidR="00873094" w:rsidRPr="002D3B91" w:rsidRDefault="00873094" w:rsidP="00873094">
      <w:pPr>
        <w:pStyle w:val="TableHeading"/>
        <w:numPr>
          <w:ilvl w:val="4"/>
          <w:numId w:val="6"/>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3474E14C" w14:textId="77777777" w:rsidTr="1BDF7A98">
        <w:trPr>
          <w:cnfStyle w:val="100000000000" w:firstRow="1" w:lastRow="0" w:firstColumn="0" w:lastColumn="0" w:oddVBand="0" w:evenVBand="0" w:oddHBand="0" w:evenHBand="0" w:firstRowFirstColumn="0" w:firstRowLastColumn="0" w:lastRowFirstColumn="0" w:lastRowLastColumn="0"/>
        </w:trPr>
        <w:tc>
          <w:tcPr>
            <w:tcW w:w="3776" w:type="dxa"/>
          </w:tcPr>
          <w:p w14:paraId="5185480B" w14:textId="77777777" w:rsidR="00873094" w:rsidRPr="00A61FE9" w:rsidRDefault="00873094" w:rsidP="00677A9B">
            <w:pPr>
              <w:pStyle w:val="Tableheaderrowtext"/>
              <w:numPr>
                <w:ilvl w:val="3"/>
                <w:numId w:val="5"/>
              </w:numPr>
              <w:tabs>
                <w:tab w:val="left" w:pos="3514"/>
              </w:tabs>
              <w:ind w:left="1701" w:hanging="1701"/>
            </w:pPr>
            <w:r w:rsidRPr="00A61FE9">
              <w:t>New law</w:t>
            </w:r>
          </w:p>
        </w:tc>
        <w:tc>
          <w:tcPr>
            <w:tcW w:w="3874" w:type="dxa"/>
          </w:tcPr>
          <w:p w14:paraId="01299CE6" w14:textId="77777777" w:rsidR="00873094" w:rsidRPr="00A61FE9" w:rsidRDefault="00873094" w:rsidP="00873094">
            <w:pPr>
              <w:pStyle w:val="Tableheaderrowtext"/>
              <w:numPr>
                <w:ilvl w:val="3"/>
                <w:numId w:val="5"/>
              </w:numPr>
              <w:ind w:left="1701" w:hanging="1701"/>
            </w:pPr>
            <w:r w:rsidRPr="00A61FE9">
              <w:t>Current law</w:t>
            </w:r>
          </w:p>
        </w:tc>
      </w:tr>
      <w:tr w:rsidR="00873094" w:rsidRPr="00020288" w14:paraId="059BD6B1" w14:textId="77777777" w:rsidTr="1BDF7A98">
        <w:tc>
          <w:tcPr>
            <w:tcW w:w="3776" w:type="dxa"/>
          </w:tcPr>
          <w:p w14:paraId="02F3EDDE" w14:textId="7A49FA00" w:rsidR="00873094" w:rsidRPr="00020288" w:rsidRDefault="55A451EC" w:rsidP="00677A9B">
            <w:pPr>
              <w:pStyle w:val="Tabletext"/>
              <w:ind w:hanging="10"/>
            </w:pPr>
            <w:r>
              <w:t xml:space="preserve">Lump sum payments in arrears </w:t>
            </w:r>
            <w:r w:rsidR="1AE6DFDF">
              <w:t xml:space="preserve">received by individuals </w:t>
            </w:r>
            <w:r w:rsidR="20C03603">
              <w:t>that</w:t>
            </w:r>
            <w:r w:rsidR="3839B8C8">
              <w:t xml:space="preserve"> </w:t>
            </w:r>
            <w:r w:rsidR="49EED19A">
              <w:t>comprise</w:t>
            </w:r>
            <w:r w:rsidR="48D9DF79">
              <w:t xml:space="preserve"> </w:t>
            </w:r>
            <w:r w:rsidR="6C7DA5C0">
              <w:t>certain</w:t>
            </w:r>
            <w:r w:rsidR="48D9DF79">
              <w:t xml:space="preserve"> income are </w:t>
            </w:r>
            <w:r w:rsidR="00585037">
              <w:t>excluded from</w:t>
            </w:r>
            <w:r w:rsidR="737E09D3">
              <w:t xml:space="preserve"> the calculation of the Medicare levy</w:t>
            </w:r>
            <w:r w:rsidR="0CC67EF7">
              <w:t xml:space="preserve">, provided </w:t>
            </w:r>
            <w:r w:rsidR="3839B8C8">
              <w:t>certain conditions are met.</w:t>
            </w:r>
            <w:r w:rsidR="4C0C388D">
              <w:t xml:space="preserve">                                                                                                                  </w:t>
            </w:r>
            <w:r w:rsidR="2163C58C">
              <w:t xml:space="preserve"> </w:t>
            </w:r>
            <w:r w:rsidR="48D9DF79">
              <w:t xml:space="preserve"> </w:t>
            </w:r>
          </w:p>
        </w:tc>
        <w:tc>
          <w:tcPr>
            <w:tcW w:w="3874" w:type="dxa"/>
          </w:tcPr>
          <w:p w14:paraId="62F900AD" w14:textId="40AB9C31" w:rsidR="00873094" w:rsidRPr="00020288" w:rsidRDefault="00112629" w:rsidP="00675F7E">
            <w:pPr>
              <w:pStyle w:val="Tabletext"/>
              <w:ind w:firstLine="46"/>
            </w:pPr>
            <w:r>
              <w:t xml:space="preserve">Lump sum payments in arrears are included </w:t>
            </w:r>
            <w:r w:rsidR="005E1082">
              <w:t>in an individual’s</w:t>
            </w:r>
            <w:r>
              <w:t xml:space="preserve"> taxable income </w:t>
            </w:r>
            <w:r w:rsidR="006E1892">
              <w:t>in the year of rece</w:t>
            </w:r>
            <w:r w:rsidR="00A07FBC">
              <w:t xml:space="preserve">ipt </w:t>
            </w:r>
            <w:r>
              <w:t>for</w:t>
            </w:r>
            <w:r w:rsidR="00972FD1">
              <w:t xml:space="preserve"> the </w:t>
            </w:r>
            <w:r w:rsidR="001C693C">
              <w:t>calculation</w:t>
            </w:r>
            <w:r w:rsidR="00972FD1">
              <w:t xml:space="preserve"> of their </w:t>
            </w:r>
            <w:r w:rsidR="001C693C">
              <w:t>liability</w:t>
            </w:r>
            <w:r w:rsidR="00972FD1">
              <w:t xml:space="preserve"> for the </w:t>
            </w:r>
            <w:r w:rsidR="007507E4">
              <w:t>Medicare levy</w:t>
            </w:r>
            <w:r w:rsidR="001C693C">
              <w:t>.</w:t>
            </w:r>
          </w:p>
        </w:tc>
      </w:tr>
    </w:tbl>
    <w:p w14:paraId="6BDC3115" w14:textId="77777777" w:rsidR="00960D95" w:rsidRDefault="00873094" w:rsidP="00EF08EE">
      <w:pPr>
        <w:pStyle w:val="Heading2"/>
        <w:ind w:firstLine="0"/>
        <w:rPr>
          <w:rFonts w:hint="eastAsia"/>
        </w:rPr>
      </w:pPr>
      <w:r w:rsidRPr="00020288">
        <w:t>Detailed explanation of new law</w:t>
      </w:r>
    </w:p>
    <w:p w14:paraId="6F32A3FF" w14:textId="5A2BDFFB" w:rsidR="000502F5" w:rsidRPr="000502F5" w:rsidRDefault="00960D95" w:rsidP="00EF08EE">
      <w:pPr>
        <w:pStyle w:val="Heading4"/>
        <w:ind w:firstLine="0"/>
      </w:pPr>
      <w:r>
        <w:t>L</w:t>
      </w:r>
      <w:r w:rsidR="000502F5" w:rsidRPr="005725E9">
        <w:t>ump sum</w:t>
      </w:r>
      <w:r>
        <w:t xml:space="preserve"> payments in arrears</w:t>
      </w:r>
    </w:p>
    <w:p w14:paraId="76820591" w14:textId="4ABFC338" w:rsidR="009F1D47" w:rsidRDefault="009F1D47" w:rsidP="00C03B66">
      <w:pPr>
        <w:pStyle w:val="Normalparatextwithnumbers"/>
        <w:numPr>
          <w:ilvl w:val="1"/>
          <w:numId w:val="6"/>
        </w:numPr>
      </w:pPr>
      <w:r>
        <w:t xml:space="preserve">Schedule # to the Bill </w:t>
      </w:r>
      <w:r w:rsidR="006F693C">
        <w:t xml:space="preserve">makes </w:t>
      </w:r>
      <w:r w:rsidR="0055358F">
        <w:t xml:space="preserve">changes to how </w:t>
      </w:r>
      <w:r w:rsidR="00E652F5">
        <w:t xml:space="preserve">eligible </w:t>
      </w:r>
      <w:r w:rsidR="0055358F">
        <w:t xml:space="preserve">lump sum payments in arrears are </w:t>
      </w:r>
      <w:r w:rsidR="00585037">
        <w:t>taken into account in working out</w:t>
      </w:r>
      <w:r w:rsidR="0055358F">
        <w:t xml:space="preserve"> an individual’s liability for the Medicare levy.</w:t>
      </w:r>
    </w:p>
    <w:p w14:paraId="2CDCDC4B" w14:textId="422ABE69" w:rsidR="000762F2" w:rsidRPr="00337963" w:rsidRDefault="000762F2" w:rsidP="1BDF7A98">
      <w:pPr>
        <w:pStyle w:val="Normalparatextwithnumbers"/>
        <w:numPr>
          <w:ilvl w:val="0"/>
          <w:numId w:val="0"/>
        </w:numPr>
        <w:ind w:left="709"/>
        <w:rPr>
          <w:b/>
          <w:bCs/>
          <w:i/>
          <w:iCs/>
        </w:rPr>
      </w:pPr>
      <w:bookmarkStart w:id="36" w:name="_Hlk153354074"/>
      <w:r w:rsidRPr="1BDF7A98">
        <w:rPr>
          <w:rStyle w:val="References"/>
        </w:rPr>
        <w:t xml:space="preserve">[Schedule #, item </w:t>
      </w:r>
      <w:r w:rsidR="00147182" w:rsidRPr="1BDF7A98">
        <w:rPr>
          <w:rStyle w:val="References"/>
        </w:rPr>
        <w:t>1</w:t>
      </w:r>
      <w:r w:rsidRPr="1BDF7A98">
        <w:rPr>
          <w:rStyle w:val="References"/>
        </w:rPr>
        <w:t xml:space="preserve">, </w:t>
      </w:r>
      <w:r w:rsidR="00D50615" w:rsidRPr="1BDF7A98">
        <w:rPr>
          <w:rStyle w:val="References"/>
        </w:rPr>
        <w:t>section 9A</w:t>
      </w:r>
      <w:r w:rsidRPr="1BDF7A98">
        <w:rPr>
          <w:rStyle w:val="References"/>
        </w:rPr>
        <w:t xml:space="preserve"> of the</w:t>
      </w:r>
      <w:r w:rsidR="005D6311" w:rsidRPr="1BDF7A98">
        <w:rPr>
          <w:rStyle w:val="References"/>
        </w:rPr>
        <w:t xml:space="preserve"> </w:t>
      </w:r>
      <w:r w:rsidR="005D6311" w:rsidRPr="1BDF7A98">
        <w:rPr>
          <w:b/>
          <w:bCs/>
          <w:i/>
          <w:iCs/>
        </w:rPr>
        <w:t>Medicare Levy Act 1986</w:t>
      </w:r>
      <w:r w:rsidR="00340D33" w:rsidRPr="1BDF7A98">
        <w:rPr>
          <w:b/>
          <w:bCs/>
          <w:i/>
          <w:iCs/>
        </w:rPr>
        <w:t>]</w:t>
      </w:r>
    </w:p>
    <w:bookmarkEnd w:id="36"/>
    <w:p w14:paraId="52EE9D93" w14:textId="3ED73722" w:rsidR="005725E9" w:rsidRDefault="005725E9" w:rsidP="00EF08EE">
      <w:pPr>
        <w:pStyle w:val="Heading4"/>
        <w:ind w:firstLine="0"/>
      </w:pPr>
      <w:r>
        <w:t>Eligible income</w:t>
      </w:r>
    </w:p>
    <w:p w14:paraId="193E0D23" w14:textId="45DB862A" w:rsidR="009225CA" w:rsidRDefault="00EA0994" w:rsidP="00C03B66">
      <w:pPr>
        <w:pStyle w:val="Normalparatextwithnumbers"/>
        <w:numPr>
          <w:ilvl w:val="1"/>
          <w:numId w:val="6"/>
        </w:numPr>
      </w:pPr>
      <w:r>
        <w:t xml:space="preserve">Schedule # to the </w:t>
      </w:r>
      <w:r w:rsidR="00585037">
        <w:t>B</w:t>
      </w:r>
      <w:r>
        <w:t xml:space="preserve">ill </w:t>
      </w:r>
      <w:r w:rsidR="006E3222">
        <w:t xml:space="preserve">provides that </w:t>
      </w:r>
      <w:r w:rsidR="009225CA">
        <w:t>to qualify for the exemption of a lump sum payment in arrears for the Medicare levy, an individual’s assessable income for the year must include one or more eligible lump sum payments in arrears</w:t>
      </w:r>
      <w:r w:rsidR="00C41B45">
        <w:t xml:space="preserve"> in addition to satisfying other criteria</w:t>
      </w:r>
      <w:r w:rsidR="009225CA">
        <w:t>.</w:t>
      </w:r>
    </w:p>
    <w:p w14:paraId="76CD3A4B" w14:textId="0541F92B" w:rsidR="00C315A1" w:rsidRPr="00337963" w:rsidRDefault="00C315A1" w:rsidP="1BDF7A98">
      <w:pPr>
        <w:pStyle w:val="Normalparatextwithnumbers"/>
        <w:numPr>
          <w:ilvl w:val="0"/>
          <w:numId w:val="0"/>
        </w:numPr>
        <w:ind w:left="709"/>
        <w:rPr>
          <w:b/>
          <w:bCs/>
          <w:i/>
          <w:iCs/>
        </w:rPr>
      </w:pPr>
      <w:r w:rsidRPr="1BDF7A98">
        <w:rPr>
          <w:rStyle w:val="References"/>
        </w:rPr>
        <w:t xml:space="preserve">[Schedule #, item 1, </w:t>
      </w:r>
      <w:r w:rsidR="00AC0E53" w:rsidRPr="1BDF7A98">
        <w:rPr>
          <w:rStyle w:val="References"/>
        </w:rPr>
        <w:t>paragraph</w:t>
      </w:r>
      <w:r w:rsidRPr="1BDF7A98">
        <w:rPr>
          <w:rStyle w:val="References"/>
        </w:rPr>
        <w:t xml:space="preserve"> 9A(1)(a) of the </w:t>
      </w:r>
      <w:r w:rsidRPr="1BDF7A98">
        <w:rPr>
          <w:b/>
          <w:bCs/>
          <w:i/>
          <w:iCs/>
        </w:rPr>
        <w:t>Medicare Levy Act 1986]</w:t>
      </w:r>
    </w:p>
    <w:p w14:paraId="1D8EDADA" w14:textId="7EF9EBE4" w:rsidR="00F14C57" w:rsidRDefault="00A631A5" w:rsidP="00C03B66">
      <w:pPr>
        <w:pStyle w:val="Normalparatextwithnumbers"/>
        <w:numPr>
          <w:ilvl w:val="1"/>
          <w:numId w:val="6"/>
        </w:numPr>
      </w:pPr>
      <w:r>
        <w:t xml:space="preserve">Eligible </w:t>
      </w:r>
      <w:r w:rsidR="003E1B16">
        <w:t>lump sum</w:t>
      </w:r>
      <w:r>
        <w:t xml:space="preserve"> is defined </w:t>
      </w:r>
      <w:r w:rsidR="00C41B45">
        <w:t xml:space="preserve">by reference to the term </w:t>
      </w:r>
      <w:r w:rsidR="00305513">
        <w:t xml:space="preserve">in existing </w:t>
      </w:r>
      <w:r w:rsidR="00C41B45">
        <w:t>sub</w:t>
      </w:r>
      <w:r w:rsidR="00305513">
        <w:t>se</w:t>
      </w:r>
      <w:r w:rsidR="00BD53A7">
        <w:t>c</w:t>
      </w:r>
      <w:r w:rsidR="00305513">
        <w:t>tion 159ZR</w:t>
      </w:r>
      <w:r w:rsidR="00C41B45">
        <w:t>(1)</w:t>
      </w:r>
      <w:r w:rsidR="00BD53A7">
        <w:t xml:space="preserve"> of the ITAA 1936 </w:t>
      </w:r>
      <w:r>
        <w:t>as</w:t>
      </w:r>
      <w:r w:rsidR="009E52EC">
        <w:t>:</w:t>
      </w:r>
    </w:p>
    <w:p w14:paraId="43AF1E35" w14:textId="798BA156" w:rsidR="009E52EC" w:rsidRDefault="002A0272" w:rsidP="004A3F03">
      <w:pPr>
        <w:pStyle w:val="Bullet"/>
        <w:tabs>
          <w:tab w:val="clear" w:pos="520"/>
        </w:tabs>
        <w:ind w:left="709" w:hanging="142"/>
      </w:pPr>
      <w:r>
        <w:t>s</w:t>
      </w:r>
      <w:r w:rsidR="00FB5ACC">
        <w:t xml:space="preserve">alary or wages that accrued </w:t>
      </w:r>
      <w:r w:rsidR="006C4742">
        <w:t>during a period of more than 12 months before they were paid;</w:t>
      </w:r>
    </w:p>
    <w:p w14:paraId="61359A61" w14:textId="1AB8C6B5" w:rsidR="006C4742" w:rsidRDefault="002A0272" w:rsidP="004A3F03">
      <w:pPr>
        <w:pStyle w:val="Bullet"/>
        <w:tabs>
          <w:tab w:val="clear" w:pos="520"/>
        </w:tabs>
        <w:ind w:left="709" w:hanging="142"/>
      </w:pPr>
      <w:r>
        <w:t>s</w:t>
      </w:r>
      <w:r w:rsidR="006C4742">
        <w:t xml:space="preserve">alary and wages </w:t>
      </w:r>
      <w:r w:rsidR="000C31FC">
        <w:t>paid to a person after re-instatement to duty following a period of suspension</w:t>
      </w:r>
      <w:r w:rsidR="00A237E6">
        <w:t xml:space="preserve"> to the extent </w:t>
      </w:r>
      <w:r w:rsidR="00D5290E">
        <w:t xml:space="preserve">the </w:t>
      </w:r>
      <w:r w:rsidR="000A7594">
        <w:t>payment accrue</w:t>
      </w:r>
      <w:r w:rsidR="00325BD4">
        <w:t>d during the suspension period</w:t>
      </w:r>
      <w:r w:rsidR="00A20BDB">
        <w:t>;</w:t>
      </w:r>
    </w:p>
    <w:p w14:paraId="04EEAF71" w14:textId="3AB214B6" w:rsidR="002A0272" w:rsidRDefault="002A0272" w:rsidP="004A3F03">
      <w:pPr>
        <w:pStyle w:val="Bullet"/>
        <w:tabs>
          <w:tab w:val="clear" w:pos="520"/>
        </w:tabs>
        <w:ind w:left="709" w:hanging="142"/>
        <w:rPr>
          <w:i/>
          <w:iCs/>
        </w:rPr>
      </w:pPr>
      <w:r>
        <w:t>a payment c</w:t>
      </w:r>
      <w:r w:rsidR="009E5020">
        <w:t>overed by section 12</w:t>
      </w:r>
      <w:r w:rsidR="001F241A">
        <w:t>-</w:t>
      </w:r>
      <w:r w:rsidR="009E5020">
        <w:t>80 or 12</w:t>
      </w:r>
      <w:r w:rsidR="001F241A">
        <w:t>-</w:t>
      </w:r>
      <w:r w:rsidR="009E5020">
        <w:t>120 in Schedule 1 to the </w:t>
      </w:r>
      <w:r w:rsidR="009E5020" w:rsidRPr="1BDF7A98">
        <w:rPr>
          <w:i/>
          <w:iCs/>
        </w:rPr>
        <w:t>Taxation Administration Act 1953</w:t>
      </w:r>
      <w:r w:rsidR="00996091" w:rsidRPr="1BDF7A98">
        <w:rPr>
          <w:i/>
          <w:iCs/>
        </w:rPr>
        <w:t xml:space="preserve"> </w:t>
      </w:r>
      <w:r w:rsidR="00541185">
        <w:t>(superannuation income streams, annuities</w:t>
      </w:r>
      <w:r w:rsidR="005F41A7">
        <w:t>, compensation, sickness and accident payments)</w:t>
      </w:r>
      <w:r w:rsidR="009E5020" w:rsidRPr="00677A9B">
        <w:t>;</w:t>
      </w:r>
    </w:p>
    <w:p w14:paraId="07CFD7E5" w14:textId="688E1625" w:rsidR="00A20BDB" w:rsidRDefault="002A0272" w:rsidP="004A3F03">
      <w:pPr>
        <w:pStyle w:val="Bullet"/>
        <w:tabs>
          <w:tab w:val="clear" w:pos="520"/>
        </w:tabs>
        <w:ind w:left="709" w:hanging="142"/>
      </w:pPr>
      <w:r>
        <w:t>a</w:t>
      </w:r>
      <w:r w:rsidR="00A20BDB">
        <w:t xml:space="preserve"> Commonwealth education or training payment</w:t>
      </w:r>
      <w:r>
        <w:t>;</w:t>
      </w:r>
    </w:p>
    <w:p w14:paraId="5768FDD8" w14:textId="7C64B7E3" w:rsidR="009E5020" w:rsidRDefault="009E5020" w:rsidP="004A3F03">
      <w:pPr>
        <w:pStyle w:val="Bullet"/>
        <w:tabs>
          <w:tab w:val="clear" w:pos="520"/>
        </w:tabs>
        <w:ind w:left="709" w:hanging="142"/>
      </w:pPr>
      <w:r>
        <w:lastRenderedPageBreak/>
        <w:t xml:space="preserve">a payment </w:t>
      </w:r>
      <w:r w:rsidR="00BC3B5B">
        <w:t>that is covered by Divisions 52, 53, or 55 of the ITAA 1997</w:t>
      </w:r>
      <w:r w:rsidR="00E04004">
        <w:t xml:space="preserve"> (exempt pensions, benefit</w:t>
      </w:r>
      <w:r w:rsidR="00424D26">
        <w:t>s, allowances</w:t>
      </w:r>
      <w:r w:rsidR="00996091">
        <w:t xml:space="preserve"> and </w:t>
      </w:r>
      <w:r w:rsidR="00424D26">
        <w:t>settlement amounts</w:t>
      </w:r>
      <w:r w:rsidR="00996091">
        <w:t>)</w:t>
      </w:r>
      <w:r w:rsidR="00797FDB">
        <w:t>;</w:t>
      </w:r>
      <w:r w:rsidR="00550B3B">
        <w:t xml:space="preserve"> or</w:t>
      </w:r>
    </w:p>
    <w:p w14:paraId="4D0A64C3" w14:textId="5DDE9A95" w:rsidR="00797FDB" w:rsidRDefault="008F5C71" w:rsidP="004A3F03">
      <w:pPr>
        <w:pStyle w:val="Bullet"/>
        <w:tabs>
          <w:tab w:val="clear" w:pos="520"/>
        </w:tabs>
        <w:ind w:left="709" w:hanging="142"/>
      </w:pPr>
      <w:r>
        <w:t xml:space="preserve">payments </w:t>
      </w:r>
      <w:r w:rsidR="00797FDB">
        <w:t>under a law of a foreign country</w:t>
      </w:r>
      <w:r w:rsidR="006D6273">
        <w:t xml:space="preserve"> of exempt pensions, benefits, allowances and settlement amounts</w:t>
      </w:r>
      <w:r>
        <w:t>.</w:t>
      </w:r>
    </w:p>
    <w:p w14:paraId="318AC47A" w14:textId="5313EF48" w:rsidR="000762F2" w:rsidRPr="00337963" w:rsidRDefault="000762F2" w:rsidP="1BDF7A98">
      <w:pPr>
        <w:pStyle w:val="Normalparatextwithnumbers"/>
        <w:numPr>
          <w:ilvl w:val="0"/>
          <w:numId w:val="0"/>
        </w:numPr>
        <w:ind w:left="709"/>
        <w:rPr>
          <w:b/>
          <w:bCs/>
          <w:i/>
          <w:iCs/>
        </w:rPr>
      </w:pPr>
      <w:bookmarkStart w:id="37" w:name="_Hlk161137356"/>
      <w:r w:rsidRPr="1BDF7A98">
        <w:rPr>
          <w:rStyle w:val="References"/>
        </w:rPr>
        <w:t xml:space="preserve">[Schedule #, item </w:t>
      </w:r>
      <w:r w:rsidR="00147182" w:rsidRPr="1BDF7A98">
        <w:rPr>
          <w:rStyle w:val="References"/>
        </w:rPr>
        <w:t>1</w:t>
      </w:r>
      <w:r w:rsidRPr="1BDF7A98">
        <w:rPr>
          <w:rStyle w:val="References"/>
        </w:rPr>
        <w:t xml:space="preserve">, </w:t>
      </w:r>
      <w:r w:rsidR="00C41B45" w:rsidRPr="1BDF7A98">
        <w:rPr>
          <w:rStyle w:val="References"/>
        </w:rPr>
        <w:t xml:space="preserve">definition </w:t>
      </w:r>
      <w:r w:rsidR="00B4290A" w:rsidRPr="1BDF7A98">
        <w:rPr>
          <w:rStyle w:val="References"/>
        </w:rPr>
        <w:t xml:space="preserve">of </w:t>
      </w:r>
      <w:r w:rsidR="00E10A24" w:rsidRPr="1BDF7A98">
        <w:rPr>
          <w:rStyle w:val="References"/>
        </w:rPr>
        <w:t xml:space="preserve">eligible lump sum in </w:t>
      </w:r>
      <w:r w:rsidR="00B7130C" w:rsidRPr="1BDF7A98">
        <w:rPr>
          <w:rStyle w:val="References"/>
        </w:rPr>
        <w:t>paragraph</w:t>
      </w:r>
      <w:r w:rsidR="00D50615" w:rsidRPr="1BDF7A98">
        <w:rPr>
          <w:rStyle w:val="References"/>
        </w:rPr>
        <w:t xml:space="preserve"> 9A</w:t>
      </w:r>
      <w:r w:rsidR="00C315A1" w:rsidRPr="1BDF7A98">
        <w:rPr>
          <w:rStyle w:val="References"/>
        </w:rPr>
        <w:t>(1)(a)</w:t>
      </w:r>
      <w:r w:rsidRPr="1BDF7A98">
        <w:rPr>
          <w:rStyle w:val="References"/>
        </w:rPr>
        <w:t xml:space="preserve"> of the </w:t>
      </w:r>
      <w:r w:rsidR="005D6311" w:rsidRPr="1BDF7A98">
        <w:rPr>
          <w:b/>
          <w:bCs/>
          <w:i/>
          <w:iCs/>
        </w:rPr>
        <w:t>Medicare Levy Act 1986</w:t>
      </w:r>
      <w:r w:rsidR="00340D33" w:rsidRPr="1BDF7A98">
        <w:rPr>
          <w:b/>
          <w:bCs/>
          <w:i/>
          <w:iCs/>
        </w:rPr>
        <w:t>]</w:t>
      </w:r>
    </w:p>
    <w:bookmarkEnd w:id="37"/>
    <w:p w14:paraId="486817F7" w14:textId="0A554706" w:rsidR="008F5C71" w:rsidRDefault="00921434" w:rsidP="00EF08EE">
      <w:pPr>
        <w:pStyle w:val="Heading4"/>
        <w:ind w:firstLine="0"/>
      </w:pPr>
      <w:r>
        <w:t>Other criteria</w:t>
      </w:r>
    </w:p>
    <w:p w14:paraId="2F8F6835" w14:textId="609BA894" w:rsidR="00AD0AC0" w:rsidRDefault="00746AA4" w:rsidP="00AD0AC0">
      <w:pPr>
        <w:pStyle w:val="Normalparatextwithnumbers"/>
        <w:numPr>
          <w:ilvl w:val="1"/>
          <w:numId w:val="6"/>
        </w:numPr>
      </w:pPr>
      <w:r>
        <w:t xml:space="preserve">Schedule # provides that </w:t>
      </w:r>
      <w:r w:rsidR="00BD4D6C">
        <w:t xml:space="preserve">for </w:t>
      </w:r>
      <w:r w:rsidR="00C7709A">
        <w:t>Medicare</w:t>
      </w:r>
      <w:r w:rsidR="007B45C4">
        <w:t xml:space="preserve"> </w:t>
      </w:r>
      <w:r w:rsidR="00A01284">
        <w:t xml:space="preserve">levy </w:t>
      </w:r>
      <w:r w:rsidR="007B45C4">
        <w:t>relief to apply</w:t>
      </w:r>
      <w:r w:rsidR="00C82576">
        <w:t>,</w:t>
      </w:r>
      <w:r w:rsidR="007B45C4">
        <w:t xml:space="preserve"> </w:t>
      </w:r>
      <w:r>
        <w:t>t</w:t>
      </w:r>
      <w:r w:rsidR="00AD0AC0">
        <w:t>he</w:t>
      </w:r>
      <w:r>
        <w:t xml:space="preserve"> amount of</w:t>
      </w:r>
      <w:r w:rsidR="00AD0AC0">
        <w:t xml:space="preserve"> </w:t>
      </w:r>
      <w:r w:rsidR="0000626D">
        <w:t xml:space="preserve">the </w:t>
      </w:r>
      <w:r w:rsidR="00AD0AC0">
        <w:t>total arrears</w:t>
      </w:r>
      <w:r w:rsidR="0000626D">
        <w:t xml:space="preserve"> amount</w:t>
      </w:r>
      <w:r w:rsidR="00AD0AC0">
        <w:t xml:space="preserve"> must </w:t>
      </w:r>
      <w:r w:rsidR="00DA55F0">
        <w:t xml:space="preserve">be </w:t>
      </w:r>
      <w:r w:rsidR="00AD0AC0">
        <w:t xml:space="preserve">ten per cent </w:t>
      </w:r>
      <w:r w:rsidR="00643B9B">
        <w:t xml:space="preserve">or more </w:t>
      </w:r>
      <w:r w:rsidR="00AD0AC0">
        <w:t xml:space="preserve">of the </w:t>
      </w:r>
      <w:r w:rsidR="005F41A7">
        <w:t>individual’s</w:t>
      </w:r>
      <w:r w:rsidR="00AD0AC0">
        <w:t xml:space="preserve"> </w:t>
      </w:r>
      <w:r w:rsidR="007617F4">
        <w:t xml:space="preserve">normal </w:t>
      </w:r>
      <w:r w:rsidR="00AD0AC0">
        <w:t>taxable income after the deduction of the total arrears</w:t>
      </w:r>
      <w:r w:rsidR="000E779B">
        <w:t xml:space="preserve"> amount</w:t>
      </w:r>
      <w:r w:rsidR="00AD0AC0">
        <w:t>.</w:t>
      </w:r>
      <w:r w:rsidR="00AD47C4">
        <w:t xml:space="preserve"> </w:t>
      </w:r>
    </w:p>
    <w:p w14:paraId="6BDD9EC7" w14:textId="43F3B50D" w:rsidR="00D40487" w:rsidRPr="00337963" w:rsidRDefault="00D40487" w:rsidP="1BDF7A98">
      <w:pPr>
        <w:pStyle w:val="Normalparatextwithnumbers"/>
        <w:numPr>
          <w:ilvl w:val="0"/>
          <w:numId w:val="0"/>
        </w:numPr>
        <w:ind w:left="709"/>
        <w:rPr>
          <w:b/>
          <w:bCs/>
          <w:i/>
          <w:iCs/>
        </w:rPr>
      </w:pPr>
      <w:bookmarkStart w:id="38" w:name="_Hlk161217882"/>
      <w:r w:rsidRPr="1BDF7A98">
        <w:rPr>
          <w:rStyle w:val="References"/>
        </w:rPr>
        <w:t xml:space="preserve">[Schedule #, item 1, </w:t>
      </w:r>
      <w:r w:rsidR="00B7130C" w:rsidRPr="1BDF7A98">
        <w:rPr>
          <w:rStyle w:val="References"/>
        </w:rPr>
        <w:t>paragraph</w:t>
      </w:r>
      <w:r w:rsidRPr="1BDF7A98">
        <w:rPr>
          <w:rStyle w:val="References"/>
        </w:rPr>
        <w:t xml:space="preserve"> 9A(1)</w:t>
      </w:r>
      <w:r w:rsidR="009C250A" w:rsidRPr="1BDF7A98">
        <w:rPr>
          <w:rStyle w:val="References"/>
        </w:rPr>
        <w:t>(b)</w:t>
      </w:r>
      <w:r w:rsidRPr="1BDF7A98">
        <w:rPr>
          <w:rStyle w:val="References"/>
        </w:rPr>
        <w:t xml:space="preserve"> of the </w:t>
      </w:r>
      <w:r w:rsidRPr="1BDF7A98">
        <w:rPr>
          <w:b/>
          <w:bCs/>
          <w:i/>
          <w:iCs/>
        </w:rPr>
        <w:t>Medicare Levy Act 1986]</w:t>
      </w:r>
    </w:p>
    <w:bookmarkEnd w:id="38"/>
    <w:p w14:paraId="31A6EEBA" w14:textId="5DCEC52E" w:rsidR="00566523" w:rsidRDefault="00566523" w:rsidP="00AD0AC0">
      <w:pPr>
        <w:pStyle w:val="Normalparatextwithnumbers"/>
        <w:numPr>
          <w:ilvl w:val="1"/>
          <w:numId w:val="6"/>
        </w:numPr>
      </w:pPr>
      <w:r>
        <w:t xml:space="preserve">Total arrears amount </w:t>
      </w:r>
      <w:r w:rsidR="00C73C1D">
        <w:t xml:space="preserve">is defined by reference to its definition in subsection 159R(1) of the ITAA 1936. </w:t>
      </w:r>
      <w:r w:rsidR="00890CE3">
        <w:t xml:space="preserve">It is defined </w:t>
      </w:r>
      <w:r w:rsidR="0001503B">
        <w:t xml:space="preserve">as the total of the eligible </w:t>
      </w:r>
      <w:r w:rsidR="000E779B">
        <w:t xml:space="preserve">lump </w:t>
      </w:r>
      <w:r w:rsidR="0001503B">
        <w:t>sums included in the assessable income of a taxpayer that accrued in an earlier year or years of income.</w:t>
      </w:r>
    </w:p>
    <w:p w14:paraId="19DC70C0" w14:textId="30B1D78C" w:rsidR="007617F4" w:rsidRDefault="007617F4" w:rsidP="00AD0AC0">
      <w:pPr>
        <w:pStyle w:val="Normalparatextwithnumbers"/>
        <w:numPr>
          <w:ilvl w:val="1"/>
          <w:numId w:val="6"/>
        </w:numPr>
      </w:pPr>
      <w:r>
        <w:t>Normal taxable income is defined in existing subsection 159ZR(1)</w:t>
      </w:r>
      <w:r w:rsidR="00493D47">
        <w:t xml:space="preserve"> broadly as taxable income exc</w:t>
      </w:r>
      <w:r w:rsidR="008D2F45">
        <w:t>l</w:t>
      </w:r>
      <w:r w:rsidR="00493D47">
        <w:t>u</w:t>
      </w:r>
      <w:r w:rsidR="008D2F45">
        <w:t>d</w:t>
      </w:r>
      <w:r w:rsidR="00493D47">
        <w:t xml:space="preserve">ing </w:t>
      </w:r>
      <w:r w:rsidR="00FC2002">
        <w:t>certain:</w:t>
      </w:r>
    </w:p>
    <w:p w14:paraId="41674A07" w14:textId="68A822B5" w:rsidR="00FC2002" w:rsidRDefault="00F87D42" w:rsidP="004A3F03">
      <w:pPr>
        <w:pStyle w:val="Bullet"/>
        <w:ind w:left="709" w:hanging="85"/>
        <w:jc w:val="both"/>
      </w:pPr>
      <w:r>
        <w:t>e</w:t>
      </w:r>
      <w:r w:rsidR="00FC2002">
        <w:t>mployment termination payment</w:t>
      </w:r>
      <w:r w:rsidR="00124FBE">
        <w:t>, unused leave payments and superannuation</w:t>
      </w:r>
      <w:r w:rsidR="00807061">
        <w:t xml:space="preserve"> </w:t>
      </w:r>
      <w:r w:rsidR="00124FBE">
        <w:t>benefits</w:t>
      </w:r>
      <w:r w:rsidR="005A1A1A">
        <w:t xml:space="preserve"> and net capital gains</w:t>
      </w:r>
      <w:r w:rsidR="00493D47">
        <w:t>;</w:t>
      </w:r>
    </w:p>
    <w:p w14:paraId="3127C6E2" w14:textId="7D4B2AE6" w:rsidR="005A1A1A" w:rsidRDefault="00493D47" w:rsidP="00807061">
      <w:pPr>
        <w:pStyle w:val="Bullet"/>
        <w:ind w:left="0" w:firstLine="624"/>
        <w:jc w:val="both"/>
      </w:pPr>
      <w:r>
        <w:t>n</w:t>
      </w:r>
      <w:r w:rsidR="005A1A1A">
        <w:t>et capital gains included in assessable income</w:t>
      </w:r>
      <w:r w:rsidR="00F87D42">
        <w:t>; and</w:t>
      </w:r>
    </w:p>
    <w:p w14:paraId="2F8C8539" w14:textId="35C1BA60" w:rsidR="005A1A1A" w:rsidRDefault="00493D47" w:rsidP="00807061">
      <w:pPr>
        <w:pStyle w:val="Bullet"/>
        <w:ind w:left="0" w:firstLine="624"/>
        <w:jc w:val="both"/>
      </w:pPr>
      <w:r>
        <w:t>a</w:t>
      </w:r>
      <w:r w:rsidR="005A1A1A">
        <w:t>bove-average special professional income</w:t>
      </w:r>
      <w:r w:rsidR="00F87D42">
        <w:t>.</w:t>
      </w:r>
    </w:p>
    <w:p w14:paraId="3E01D6DB" w14:textId="43F00460" w:rsidR="005B17C8" w:rsidRPr="00337963" w:rsidRDefault="005B17C8" w:rsidP="00677A9B">
      <w:pPr>
        <w:pStyle w:val="Bullet"/>
        <w:numPr>
          <w:ilvl w:val="0"/>
          <w:numId w:val="0"/>
        </w:numPr>
        <w:ind w:left="567"/>
        <w:rPr>
          <w:rStyle w:val="References"/>
        </w:rPr>
      </w:pPr>
      <w:r w:rsidRPr="1BDF7A98">
        <w:rPr>
          <w:rStyle w:val="References"/>
        </w:rPr>
        <w:t xml:space="preserve">[Schedule #, item 1, </w:t>
      </w:r>
      <w:r w:rsidR="0086305A" w:rsidRPr="1BDF7A98">
        <w:rPr>
          <w:rStyle w:val="References"/>
        </w:rPr>
        <w:t>definition of normal taxable income</w:t>
      </w:r>
      <w:r w:rsidR="00CD7A37" w:rsidRPr="1BDF7A98">
        <w:rPr>
          <w:rStyle w:val="References"/>
        </w:rPr>
        <w:t xml:space="preserve"> and total arrears amount</w:t>
      </w:r>
      <w:r w:rsidR="0086305A" w:rsidRPr="1BDF7A98">
        <w:rPr>
          <w:rStyle w:val="References"/>
        </w:rPr>
        <w:t xml:space="preserve"> in </w:t>
      </w:r>
      <w:r w:rsidRPr="1BDF7A98">
        <w:rPr>
          <w:rStyle w:val="References"/>
        </w:rPr>
        <w:t>subsection 9A(4)</w:t>
      </w:r>
      <w:r w:rsidR="0086305A" w:rsidRPr="1BDF7A98">
        <w:rPr>
          <w:rStyle w:val="References"/>
        </w:rPr>
        <w:t xml:space="preserve"> of the </w:t>
      </w:r>
      <w:r w:rsidR="0086305A" w:rsidRPr="1BDF7A98">
        <w:rPr>
          <w:b/>
          <w:bCs/>
          <w:i/>
          <w:iCs/>
        </w:rPr>
        <w:t>Medicare Levy Act 1986</w:t>
      </w:r>
      <w:r w:rsidR="0086305A" w:rsidRPr="1BDF7A98">
        <w:rPr>
          <w:rStyle w:val="References"/>
        </w:rPr>
        <w:t>]</w:t>
      </w:r>
    </w:p>
    <w:p w14:paraId="4986DBD6" w14:textId="5B7CE2B0" w:rsidR="00490E94" w:rsidRDefault="00E07835" w:rsidP="00AD0AC0">
      <w:pPr>
        <w:pStyle w:val="Normalparatextwithnumbers"/>
        <w:numPr>
          <w:ilvl w:val="1"/>
          <w:numId w:val="6"/>
        </w:numPr>
      </w:pPr>
      <w:r>
        <w:t>In addition, t</w:t>
      </w:r>
      <w:r w:rsidR="00F70556">
        <w:t xml:space="preserve">o qualify for concessional treatment </w:t>
      </w:r>
      <w:r w:rsidR="00244251">
        <w:t xml:space="preserve">at least one of the following </w:t>
      </w:r>
      <w:r w:rsidR="00E07318">
        <w:t xml:space="preserve">must </w:t>
      </w:r>
      <w:r w:rsidR="00244251">
        <w:t>apply</w:t>
      </w:r>
      <w:r w:rsidR="00E07318">
        <w:t xml:space="preserve"> to the individual</w:t>
      </w:r>
      <w:r w:rsidR="000C5A19">
        <w:t xml:space="preserve"> for each relevant accrual year</w:t>
      </w:r>
      <w:r w:rsidR="00490E94">
        <w:t>:</w:t>
      </w:r>
    </w:p>
    <w:p w14:paraId="6C199E19" w14:textId="11F90DBA" w:rsidR="00A80730" w:rsidRDefault="00E07835" w:rsidP="004A3F03">
      <w:pPr>
        <w:pStyle w:val="Bullet"/>
        <w:ind w:left="709" w:hanging="142"/>
      </w:pPr>
      <w:r>
        <w:t>their</w:t>
      </w:r>
      <w:r w:rsidR="001758CF">
        <w:t xml:space="preserve"> taxable income</w:t>
      </w:r>
      <w:r w:rsidR="005B38F6">
        <w:t xml:space="preserve">, </w:t>
      </w:r>
      <w:r w:rsidR="005B38F6" w:rsidRPr="005B38F6">
        <w:t xml:space="preserve">adjusted by the amount of the lump sum accrued </w:t>
      </w:r>
      <w:r w:rsidR="00675F7E">
        <w:t xml:space="preserve">(but not received </w:t>
      </w:r>
      <w:r w:rsidR="005B38F6" w:rsidRPr="005B38F6">
        <w:t xml:space="preserve">in that </w:t>
      </w:r>
      <w:r w:rsidR="00AB26C9" w:rsidRPr="005B38F6">
        <w:t>year</w:t>
      </w:r>
      <w:r w:rsidR="00675F7E">
        <w:t>)</w:t>
      </w:r>
      <w:r w:rsidR="00AB26C9" w:rsidRPr="005B38F6">
        <w:t xml:space="preserve">, </w:t>
      </w:r>
      <w:r w:rsidR="00AB26C9">
        <w:t>was</w:t>
      </w:r>
      <w:r w:rsidR="001F1409">
        <w:t xml:space="preserve"> below the relevant Medic</w:t>
      </w:r>
      <w:r w:rsidR="001A4B1B">
        <w:t>are levy</w:t>
      </w:r>
      <w:r w:rsidR="00822EAD">
        <w:t xml:space="preserve"> threshold </w:t>
      </w:r>
      <w:r w:rsidR="007B55EC">
        <w:t>for which no levy is payable</w:t>
      </w:r>
      <w:r w:rsidR="000E779B">
        <w:t xml:space="preserve"> or </w:t>
      </w:r>
      <w:r w:rsidR="00942261">
        <w:t xml:space="preserve">the </w:t>
      </w:r>
      <w:r w:rsidR="00C05AA5">
        <w:t xml:space="preserve">Medicare levy </w:t>
      </w:r>
      <w:r w:rsidR="00432EE1">
        <w:t>shade in rate applies</w:t>
      </w:r>
      <w:r w:rsidR="00830166">
        <w:t>;</w:t>
      </w:r>
      <w:r w:rsidR="00DE1B15">
        <w:t xml:space="preserve"> or</w:t>
      </w:r>
    </w:p>
    <w:p w14:paraId="2F268C74" w14:textId="463F52F0" w:rsidR="00040706" w:rsidRDefault="00537FBC" w:rsidP="00CA2C42">
      <w:pPr>
        <w:pStyle w:val="Bullet"/>
        <w:ind w:left="57" w:firstLine="567"/>
      </w:pPr>
      <w:r>
        <w:t>the</w:t>
      </w:r>
      <w:r w:rsidR="00E07835">
        <w:t>y</w:t>
      </w:r>
      <w:r>
        <w:t xml:space="preserve"> w</w:t>
      </w:r>
      <w:r w:rsidR="00E07835">
        <w:t>ere</w:t>
      </w:r>
      <w:r w:rsidR="003F0209">
        <w:t xml:space="preserve"> </w:t>
      </w:r>
      <w:r w:rsidR="00A243B9">
        <w:t xml:space="preserve">a prescribed person </w:t>
      </w:r>
      <w:r w:rsidR="00AA084A">
        <w:t>for a least one day</w:t>
      </w:r>
      <w:r w:rsidR="00D112F6">
        <w:t>.</w:t>
      </w:r>
    </w:p>
    <w:p w14:paraId="143B81DD" w14:textId="73DECF1B" w:rsidR="00654FCB" w:rsidRPr="00337963" w:rsidRDefault="003F0209" w:rsidP="1BDF7A98">
      <w:pPr>
        <w:pStyle w:val="Normalparatextwithnumbers"/>
        <w:numPr>
          <w:ilvl w:val="0"/>
          <w:numId w:val="0"/>
        </w:numPr>
        <w:ind w:left="709"/>
        <w:rPr>
          <w:b/>
          <w:bCs/>
          <w:i/>
          <w:iCs/>
        </w:rPr>
      </w:pPr>
      <w:r>
        <w:t xml:space="preserve"> </w:t>
      </w:r>
      <w:r w:rsidR="00654FCB" w:rsidRPr="1BDF7A98">
        <w:rPr>
          <w:rStyle w:val="References"/>
        </w:rPr>
        <w:t xml:space="preserve">[Schedule #, item 1, </w:t>
      </w:r>
      <w:r w:rsidR="00B7130C" w:rsidRPr="1BDF7A98">
        <w:rPr>
          <w:rStyle w:val="References"/>
        </w:rPr>
        <w:t>paragraph</w:t>
      </w:r>
      <w:r w:rsidR="00654FCB" w:rsidRPr="1BDF7A98">
        <w:rPr>
          <w:rStyle w:val="References"/>
        </w:rPr>
        <w:t xml:space="preserve"> 9A</w:t>
      </w:r>
      <w:r w:rsidR="00E11FCF" w:rsidRPr="1BDF7A98">
        <w:rPr>
          <w:rStyle w:val="References"/>
        </w:rPr>
        <w:t>(1)(c)</w:t>
      </w:r>
      <w:r w:rsidR="00654FCB" w:rsidRPr="1BDF7A98">
        <w:rPr>
          <w:rStyle w:val="References"/>
        </w:rPr>
        <w:t xml:space="preserve"> of the </w:t>
      </w:r>
      <w:r w:rsidR="00654FCB" w:rsidRPr="1BDF7A98">
        <w:rPr>
          <w:b/>
          <w:bCs/>
          <w:i/>
          <w:iCs/>
        </w:rPr>
        <w:t>Medicare Levy Act 1986]</w:t>
      </w:r>
    </w:p>
    <w:p w14:paraId="5C1D98E0" w14:textId="0EA06F3B" w:rsidR="002A5A15" w:rsidRDefault="00942261" w:rsidP="00D70284">
      <w:pPr>
        <w:pStyle w:val="Normalparatextwithnumbers"/>
        <w:numPr>
          <w:ilvl w:val="1"/>
          <w:numId w:val="6"/>
        </w:numPr>
      </w:pPr>
      <w:r>
        <w:t>The term r</w:t>
      </w:r>
      <w:r w:rsidR="00291476">
        <w:t>elevant accrual ye</w:t>
      </w:r>
      <w:r w:rsidR="002A5A15">
        <w:t>ars is defined as:</w:t>
      </w:r>
    </w:p>
    <w:p w14:paraId="26262FE6" w14:textId="27BCBDF3" w:rsidR="002A5A15" w:rsidRDefault="00F251F8" w:rsidP="004A3F03">
      <w:pPr>
        <w:pStyle w:val="Bullet"/>
        <w:ind w:left="709" w:hanging="208"/>
      </w:pPr>
      <w:r>
        <w:t>i</w:t>
      </w:r>
      <w:r w:rsidR="002A5A15">
        <w:t xml:space="preserve">f there are two </w:t>
      </w:r>
      <w:r w:rsidR="005B38F6">
        <w:t xml:space="preserve">or </w:t>
      </w:r>
      <w:r w:rsidR="00526907">
        <w:t xml:space="preserve">more </w:t>
      </w:r>
      <w:r w:rsidR="004B243C">
        <w:t>accrual years for the total arrears amount then the most recent two years; and</w:t>
      </w:r>
    </w:p>
    <w:p w14:paraId="0F700066" w14:textId="170981E7" w:rsidR="004B243C" w:rsidRDefault="00F251F8" w:rsidP="004A3F03">
      <w:pPr>
        <w:pStyle w:val="Bullet"/>
        <w:ind w:left="709" w:hanging="208"/>
      </w:pPr>
      <w:r>
        <w:t>otherwise the accrual year for the total arrears amount.</w:t>
      </w:r>
    </w:p>
    <w:p w14:paraId="7D110D73" w14:textId="4D8A8FB5" w:rsidR="00F251F8" w:rsidRDefault="00F251F8" w:rsidP="00AB26C9">
      <w:pPr>
        <w:pStyle w:val="Normalparatextwithnumbers"/>
        <w:numPr>
          <w:ilvl w:val="1"/>
          <w:numId w:val="6"/>
        </w:numPr>
      </w:pPr>
      <w:r>
        <w:t xml:space="preserve">The definition of relevant accrual year means that the two most recent accrual years are taken into account to determine if </w:t>
      </w:r>
      <w:r w:rsidR="001A7DE3">
        <w:t xml:space="preserve">concessional Medicare levy </w:t>
      </w:r>
      <w:r w:rsidR="001A7DE3">
        <w:lastRenderedPageBreak/>
        <w:t xml:space="preserve">treatment applied in past years. </w:t>
      </w:r>
      <w:r w:rsidR="00F84747">
        <w:t xml:space="preserve">This will reduce compliance costs and ensure that taxpayers are </w:t>
      </w:r>
      <w:r w:rsidR="0044773F">
        <w:t xml:space="preserve">more </w:t>
      </w:r>
      <w:r w:rsidR="00F84747">
        <w:t>likely to have all available records if there is more than one accrual year.</w:t>
      </w:r>
    </w:p>
    <w:p w14:paraId="0095D7BC" w14:textId="5A988541" w:rsidR="00350644" w:rsidRDefault="00935B62" w:rsidP="00AB26C9">
      <w:pPr>
        <w:pStyle w:val="Normalparatextwithnumbers"/>
        <w:numPr>
          <w:ilvl w:val="1"/>
          <w:numId w:val="6"/>
        </w:numPr>
      </w:pPr>
      <w:r>
        <w:t>Acc</w:t>
      </w:r>
      <w:r w:rsidR="00E12354">
        <w:t xml:space="preserve">rual year takes its meaning from the definition of the term in </w:t>
      </w:r>
      <w:r w:rsidR="005B17C8">
        <w:t>subsection</w:t>
      </w:r>
      <w:r w:rsidR="00E12354">
        <w:t xml:space="preserve"> 159ZR(1)</w:t>
      </w:r>
      <w:r w:rsidR="005B17C8">
        <w:t xml:space="preserve"> of the ITAA 1936</w:t>
      </w:r>
      <w:r w:rsidR="00741176">
        <w:t>. It is defined as a</w:t>
      </w:r>
      <w:r w:rsidR="00F03D74">
        <w:t>ny</w:t>
      </w:r>
      <w:r w:rsidR="00741176">
        <w:t xml:space="preserve"> year</w:t>
      </w:r>
      <w:r w:rsidR="00697A8A">
        <w:t>/s</w:t>
      </w:r>
      <w:r w:rsidR="00741176">
        <w:t xml:space="preserve"> of income in which any part of the</w:t>
      </w:r>
      <w:r w:rsidR="00C168DA">
        <w:t xml:space="preserve"> eligible </w:t>
      </w:r>
      <w:r w:rsidR="007A6533">
        <w:t xml:space="preserve">lump </w:t>
      </w:r>
      <w:r w:rsidR="00C168DA">
        <w:t>sum that has been received</w:t>
      </w:r>
      <w:r w:rsidR="00697A8A">
        <w:t xml:space="preserve"> was accrued.</w:t>
      </w:r>
      <w:r w:rsidR="00C168DA">
        <w:t xml:space="preserve"> </w:t>
      </w:r>
    </w:p>
    <w:p w14:paraId="7E7FD3AA" w14:textId="77777777" w:rsidR="00585DB7" w:rsidRPr="00585DB7" w:rsidRDefault="00585DB7" w:rsidP="00585DB7">
      <w:pPr>
        <w:pStyle w:val="Normalparatextwithnumbers"/>
      </w:pPr>
      <w:r w:rsidRPr="00585DB7">
        <w:t>The term annual arrears amount takes its meaning from the definition of the term in subsection 159ZR(1) of the ITAA 1936. It is defined as the part of the total arrears amount that was accrued in the accrual year.</w:t>
      </w:r>
    </w:p>
    <w:p w14:paraId="08E82250" w14:textId="77777777" w:rsidR="00585DB7" w:rsidRPr="00835014" w:rsidRDefault="00585DB7" w:rsidP="00EF08EE">
      <w:pPr>
        <w:pStyle w:val="Bullet"/>
        <w:numPr>
          <w:ilvl w:val="0"/>
          <w:numId w:val="0"/>
        </w:numPr>
        <w:ind w:left="709"/>
        <w:rPr>
          <w:rStyle w:val="References"/>
          <w:i w:val="0"/>
          <w:iCs w:val="0"/>
        </w:rPr>
      </w:pPr>
      <w:r w:rsidRPr="00585DB7">
        <w:rPr>
          <w:rStyle w:val="References"/>
        </w:rPr>
        <w:t xml:space="preserve">[Schedule #, item 1, definition of accrual year, relevant accrual years and annual arrears amount in subsection 9A(4) of the </w:t>
      </w:r>
      <w:r w:rsidRPr="00585DB7">
        <w:rPr>
          <w:b/>
          <w:bCs/>
          <w:i/>
          <w:iCs/>
        </w:rPr>
        <w:t>Medicare Levy Act 1986</w:t>
      </w:r>
      <w:r w:rsidRPr="00585DB7">
        <w:rPr>
          <w:rStyle w:val="References"/>
        </w:rPr>
        <w:t>]</w:t>
      </w:r>
    </w:p>
    <w:p w14:paraId="31E5FE87" w14:textId="77777777" w:rsidR="000502F5" w:rsidRPr="00F94D5D" w:rsidRDefault="000502F5" w:rsidP="00EF08EE">
      <w:pPr>
        <w:pStyle w:val="Heading4"/>
        <w:ind w:firstLine="0"/>
      </w:pPr>
      <w:r>
        <w:t>Adjustment of taxable income for lump sum payments in arrears</w:t>
      </w:r>
    </w:p>
    <w:p w14:paraId="50794EB5" w14:textId="19289D97" w:rsidR="00C03B66" w:rsidRDefault="009641E6" w:rsidP="00873094">
      <w:pPr>
        <w:pStyle w:val="Normalparatextwithnumbers"/>
        <w:numPr>
          <w:ilvl w:val="1"/>
          <w:numId w:val="6"/>
        </w:numPr>
      </w:pPr>
      <w:r>
        <w:t xml:space="preserve">Under </w:t>
      </w:r>
      <w:r w:rsidR="00D868F1">
        <w:t xml:space="preserve">Schedule # </w:t>
      </w:r>
      <w:r>
        <w:t>to the Bill</w:t>
      </w:r>
      <w:r w:rsidR="00D868F1">
        <w:t xml:space="preserve"> </w:t>
      </w:r>
      <w:r w:rsidR="002E4326">
        <w:t>an ind</w:t>
      </w:r>
      <w:r w:rsidR="008C39FE">
        <w:t>ividual</w:t>
      </w:r>
      <w:r w:rsidR="002E4326">
        <w:t xml:space="preserve"> that meets the </w:t>
      </w:r>
      <w:r>
        <w:t xml:space="preserve">eligibility </w:t>
      </w:r>
      <w:r w:rsidR="00370843">
        <w:t>requirements</w:t>
      </w:r>
      <w:r w:rsidR="002E4326">
        <w:t xml:space="preserve"> </w:t>
      </w:r>
      <w:r>
        <w:t>has</w:t>
      </w:r>
      <w:r w:rsidR="002E4326">
        <w:t xml:space="preserve"> the</w:t>
      </w:r>
      <w:r w:rsidR="00370843">
        <w:t>ir</w:t>
      </w:r>
      <w:r w:rsidR="002E4326">
        <w:t xml:space="preserve"> ind</w:t>
      </w:r>
      <w:r w:rsidR="00370843">
        <w:t>i</w:t>
      </w:r>
      <w:r w:rsidR="002E4326">
        <w:t>vi</w:t>
      </w:r>
      <w:r w:rsidR="00370843">
        <w:t>du</w:t>
      </w:r>
      <w:r w:rsidR="002E4326">
        <w:t xml:space="preserve">al taxable income </w:t>
      </w:r>
      <w:r w:rsidR="00CA4288">
        <w:t xml:space="preserve">for Medicare levy liability purposes </w:t>
      </w:r>
      <w:r w:rsidR="002E4326">
        <w:t>adjusted</w:t>
      </w:r>
      <w:r w:rsidR="006E66AD">
        <w:t>. Under the adjustment</w:t>
      </w:r>
      <w:r w:rsidR="00DD1379">
        <w:t xml:space="preserve"> the </w:t>
      </w:r>
      <w:r w:rsidR="0080452C">
        <w:t xml:space="preserve">total </w:t>
      </w:r>
      <w:r w:rsidR="00C24149">
        <w:t>a</w:t>
      </w:r>
      <w:r w:rsidR="005D397C">
        <w:t>r</w:t>
      </w:r>
      <w:r w:rsidR="00C24149">
        <w:t>rears amount</w:t>
      </w:r>
      <w:r w:rsidR="008A5393">
        <w:t xml:space="preserve"> is</w:t>
      </w:r>
      <w:r w:rsidR="006E66AD">
        <w:t xml:space="preserve"> excluded </w:t>
      </w:r>
      <w:r w:rsidR="002E4326">
        <w:t xml:space="preserve">for the </w:t>
      </w:r>
      <w:r w:rsidR="00192397">
        <w:t>income</w:t>
      </w:r>
      <w:r w:rsidR="00E84D17">
        <w:t xml:space="preserve"> </w:t>
      </w:r>
      <w:r w:rsidR="002E4326">
        <w:t xml:space="preserve">year in which they </w:t>
      </w:r>
      <w:r w:rsidR="00370843">
        <w:t xml:space="preserve">have </w:t>
      </w:r>
      <w:r w:rsidR="00C037BF">
        <w:t xml:space="preserve">been </w:t>
      </w:r>
      <w:r w:rsidR="002E4326">
        <w:t xml:space="preserve">received </w:t>
      </w:r>
      <w:r w:rsidR="00370843">
        <w:t xml:space="preserve">for the purposes of the Medicare levy. </w:t>
      </w:r>
      <w:r w:rsidR="005D397C">
        <w:t xml:space="preserve">This adjustment has the effect of </w:t>
      </w:r>
      <w:r w:rsidR="00576729">
        <w:t>ensuring that no or a lower rate of Medicare levy potentially applies</w:t>
      </w:r>
      <w:r w:rsidR="007A6533">
        <w:t xml:space="preserve"> in respect of the </w:t>
      </w:r>
      <w:r w:rsidR="006E3FC4">
        <w:t>other income of the individual and no Medicar</w:t>
      </w:r>
      <w:r w:rsidR="00804A97">
        <w:t>e</w:t>
      </w:r>
      <w:r w:rsidR="006E3FC4">
        <w:t xml:space="preserve"> levy applies to the </w:t>
      </w:r>
      <w:r w:rsidR="007A6533">
        <w:t>eligible lump sum</w:t>
      </w:r>
      <w:r w:rsidR="00576729">
        <w:t>.</w:t>
      </w:r>
    </w:p>
    <w:p w14:paraId="017B9266" w14:textId="77777777" w:rsidR="00E21F0B" w:rsidRPr="00E21F0B" w:rsidRDefault="00E21F0B" w:rsidP="00E21F0B">
      <w:pPr>
        <w:pStyle w:val="Normalparatextwithnumbers"/>
        <w:numPr>
          <w:ilvl w:val="0"/>
          <w:numId w:val="0"/>
        </w:numPr>
        <w:ind w:left="709"/>
        <w:rPr>
          <w:b/>
          <w:bCs/>
          <w:i/>
          <w:iCs/>
        </w:rPr>
      </w:pPr>
      <w:bookmarkStart w:id="39" w:name="_Hlk161831444"/>
      <w:bookmarkStart w:id="40" w:name="_Toc78193246"/>
      <w:bookmarkStart w:id="41" w:name="_Toc78193403"/>
      <w:bookmarkStart w:id="42" w:name="_Toc78548476"/>
      <w:bookmarkStart w:id="43" w:name="_Toc78549747"/>
      <w:bookmarkStart w:id="44" w:name="_Toc78549791"/>
      <w:r w:rsidRPr="00E21F0B">
        <w:rPr>
          <w:rStyle w:val="References"/>
        </w:rPr>
        <w:t>[Schedule #, item 1, sub</w:t>
      </w:r>
      <w:r w:rsidRPr="00E21F0B">
        <w:rPr>
          <w:b/>
          <w:bCs/>
          <w:i/>
          <w:iCs/>
        </w:rPr>
        <w:t xml:space="preserve">sections 9A(2) and (3) </w:t>
      </w:r>
      <w:r w:rsidRPr="00E21F0B">
        <w:rPr>
          <w:rStyle w:val="References"/>
        </w:rPr>
        <w:t xml:space="preserve">of the </w:t>
      </w:r>
      <w:r w:rsidRPr="00E21F0B">
        <w:rPr>
          <w:b/>
          <w:bCs/>
          <w:i/>
          <w:iCs/>
        </w:rPr>
        <w:t>Medicare Levy Act 1986]</w:t>
      </w:r>
    </w:p>
    <w:bookmarkEnd w:id="39"/>
    <w:p w14:paraId="7CAC0627" w14:textId="77777777" w:rsidR="00E21F0B" w:rsidRPr="00E21F0B" w:rsidRDefault="00E21F0B" w:rsidP="00E21F0B">
      <w:pPr>
        <w:pStyle w:val="Normalparatextwithnumbers"/>
        <w:numPr>
          <w:ilvl w:val="1"/>
          <w:numId w:val="6"/>
        </w:numPr>
      </w:pPr>
      <w:r w:rsidRPr="00E21F0B">
        <w:t>A note to Schedule # clarifies that the adjustment of the total arrears amount for the income year in which it was received by the individual, is only adjusted for the individual and has no effect on the family income assessment that also considers the taxable income of the individual’s spouse.</w:t>
      </w:r>
    </w:p>
    <w:p w14:paraId="6E7501B9" w14:textId="77777777" w:rsidR="00E21F0B" w:rsidRPr="00835014" w:rsidRDefault="00E21F0B" w:rsidP="00E21F0B">
      <w:pPr>
        <w:pStyle w:val="Normalparatextwithnumbers"/>
        <w:numPr>
          <w:ilvl w:val="0"/>
          <w:numId w:val="0"/>
        </w:numPr>
        <w:ind w:left="709"/>
        <w:rPr>
          <w:b/>
          <w:bCs/>
          <w:i/>
          <w:iCs/>
        </w:rPr>
      </w:pPr>
      <w:r w:rsidRPr="00E21F0B">
        <w:t xml:space="preserve"> </w:t>
      </w:r>
      <w:r w:rsidRPr="00E21F0B">
        <w:rPr>
          <w:rStyle w:val="References"/>
        </w:rPr>
        <w:t>[Schedule #, item 1, note to subsection 9A(3) of the Medicare Levy Act 1986]</w:t>
      </w:r>
    </w:p>
    <w:p w14:paraId="322AD24F" w14:textId="75B5B18C" w:rsidR="00873094" w:rsidRPr="00020288" w:rsidRDefault="00873094" w:rsidP="00EF08EE">
      <w:pPr>
        <w:pStyle w:val="Heading2"/>
        <w:numPr>
          <w:ilvl w:val="0"/>
          <w:numId w:val="1"/>
        </w:numPr>
        <w:ind w:firstLine="0"/>
        <w:rPr>
          <w:rFonts w:hint="eastAsia"/>
        </w:rPr>
      </w:pPr>
      <w:r>
        <w:t>Commencement, application, and transitional provisions</w:t>
      </w:r>
    </w:p>
    <w:p w14:paraId="2FD2E808" w14:textId="3AA734DD" w:rsidR="00873094" w:rsidRDefault="009E3A35" w:rsidP="003C1513">
      <w:pPr>
        <w:pStyle w:val="Normalparatextwithnumbers"/>
        <w:numPr>
          <w:ilvl w:val="1"/>
          <w:numId w:val="6"/>
        </w:numPr>
      </w:pPr>
      <w:r>
        <w:t xml:space="preserve">Schedule # to the Bill provides that the amendments commence on the first </w:t>
      </w:r>
      <w:r w:rsidR="00192397">
        <w:t>1 </w:t>
      </w:r>
      <w:r>
        <w:t>January, 1 April, 1 July or 1 October to occur after the date the Bill receives Royal Assent.</w:t>
      </w:r>
    </w:p>
    <w:p w14:paraId="0D2C9DF9" w14:textId="5D259A57" w:rsidR="003C6008" w:rsidRPr="00B81BE0" w:rsidRDefault="00B81BE0" w:rsidP="1BDF7A98">
      <w:pPr>
        <w:pStyle w:val="Normalparatextwithnumbers"/>
        <w:numPr>
          <w:ilvl w:val="0"/>
          <w:numId w:val="0"/>
        </w:numPr>
        <w:ind w:left="709"/>
        <w:rPr>
          <w:b/>
          <w:bCs/>
          <w:i/>
          <w:iCs/>
        </w:rPr>
      </w:pPr>
      <w:r w:rsidRPr="1BDF7A98">
        <w:rPr>
          <w:b/>
          <w:bCs/>
          <w:i/>
          <w:iCs/>
        </w:rPr>
        <w:t>[Clause 2]</w:t>
      </w:r>
    </w:p>
    <w:p w14:paraId="477585B3" w14:textId="77777777" w:rsidR="005D4C4B" w:rsidRDefault="00802B8C" w:rsidP="00D919C1">
      <w:pPr>
        <w:pStyle w:val="Normalparatextwithnumbers"/>
        <w:numPr>
          <w:ilvl w:val="1"/>
          <w:numId w:val="6"/>
        </w:numPr>
      </w:pPr>
      <w:r>
        <w:t>The amendments apply to</w:t>
      </w:r>
      <w:r w:rsidR="005D4C4B">
        <w:t>:</w:t>
      </w:r>
    </w:p>
    <w:p w14:paraId="014AA731" w14:textId="1A7015A8" w:rsidR="005D4C4B" w:rsidRDefault="005D4C4B" w:rsidP="004A3F03">
      <w:pPr>
        <w:pStyle w:val="Bullet"/>
        <w:ind w:left="142" w:firstLine="425"/>
        <w:outlineLvl w:val="0"/>
      </w:pPr>
      <w:r>
        <w:t xml:space="preserve">assessments </w:t>
      </w:r>
      <w:r w:rsidR="00A6235D">
        <w:t>for the 2024</w:t>
      </w:r>
      <w:r>
        <w:noBreakHyphen/>
      </w:r>
      <w:r w:rsidR="00A6235D">
        <w:t>25 income year</w:t>
      </w:r>
      <w:r w:rsidR="00B23F5C">
        <w:t xml:space="preserve"> and later income years</w:t>
      </w:r>
      <w:r>
        <w:t>; and</w:t>
      </w:r>
    </w:p>
    <w:p w14:paraId="1AD81707" w14:textId="5D15B239" w:rsidR="00C653FA" w:rsidRDefault="005D4C4B" w:rsidP="004A3F03">
      <w:pPr>
        <w:pStyle w:val="Bullet"/>
        <w:tabs>
          <w:tab w:val="clear" w:pos="520"/>
          <w:tab w:val="num" w:pos="709"/>
        </w:tabs>
        <w:ind w:left="567" w:firstLine="0"/>
        <w:outlineLvl w:val="0"/>
      </w:pPr>
      <w:r>
        <w:lastRenderedPageBreak/>
        <w:t>accrual years</w:t>
      </w:r>
      <w:r w:rsidR="002F0A0A">
        <w:t xml:space="preserve"> that begin before, at or after </w:t>
      </w:r>
      <w:r w:rsidR="00346AE7">
        <w:t>the commencement of Schedule # to the Bill.</w:t>
      </w:r>
    </w:p>
    <w:p w14:paraId="68B80D96" w14:textId="0F82C823" w:rsidR="00402516" w:rsidRPr="00337963" w:rsidRDefault="00402516" w:rsidP="1BDF7A98">
      <w:pPr>
        <w:pStyle w:val="Normalparatextwithnumbers"/>
        <w:numPr>
          <w:ilvl w:val="0"/>
          <w:numId w:val="0"/>
        </w:numPr>
        <w:ind w:left="709"/>
        <w:rPr>
          <w:rStyle w:val="References"/>
        </w:rPr>
      </w:pPr>
      <w:r w:rsidRPr="1BDF7A98">
        <w:rPr>
          <w:rStyle w:val="References"/>
        </w:rPr>
        <w:t>[Schedule #, item</w:t>
      </w:r>
      <w:r w:rsidR="000A0671" w:rsidRPr="1BDF7A98">
        <w:rPr>
          <w:rStyle w:val="References"/>
        </w:rPr>
        <w:t xml:space="preserve"> 2</w:t>
      </w:r>
      <w:r w:rsidRPr="1BDF7A98">
        <w:rPr>
          <w:rStyle w:val="References"/>
        </w:rPr>
        <w:t>]</w:t>
      </w:r>
    </w:p>
    <w:p w14:paraId="50AB687C" w14:textId="1F159526" w:rsidR="00B77D03" w:rsidRDefault="00C449DC" w:rsidP="0081173D">
      <w:pPr>
        <w:pStyle w:val="Normalparatextwithnumbers"/>
        <w:numPr>
          <w:ilvl w:val="1"/>
          <w:numId w:val="6"/>
        </w:numPr>
      </w:pPr>
      <w:r>
        <w:t>Although the amendments can apply to accrual years than begin before commencement of Schedule # to the Bill</w:t>
      </w:r>
      <w:r w:rsidR="008C455D">
        <w:t xml:space="preserve">, the amendments </w:t>
      </w:r>
      <w:r w:rsidR="009B3009">
        <w:t>a</w:t>
      </w:r>
      <w:r w:rsidR="00192397">
        <w:t xml:space="preserve">ffect assessments prospectively and </w:t>
      </w:r>
      <w:r w:rsidR="008C455D">
        <w:t xml:space="preserve">are wholly beneficial </w:t>
      </w:r>
      <w:r w:rsidR="003C6008">
        <w:t xml:space="preserve">to affected taxpayers </w:t>
      </w:r>
      <w:r w:rsidR="008C455D">
        <w:t xml:space="preserve">as they allow past accrued lump sums to qualify </w:t>
      </w:r>
      <w:r w:rsidR="006E6750">
        <w:t xml:space="preserve">for </w:t>
      </w:r>
      <w:r w:rsidR="00124DF0">
        <w:t xml:space="preserve">concessional treatment </w:t>
      </w:r>
      <w:r w:rsidR="00340C85">
        <w:t>for eligible lump sums received for the 2024-25 income year</w:t>
      </w:r>
      <w:r w:rsidR="003C6008">
        <w:t>s and later income year</w:t>
      </w:r>
      <w:bookmarkStart w:id="45" w:name="_Hlk83390738"/>
      <w:r w:rsidR="008677EF">
        <w:t>.</w:t>
      </w:r>
      <w:bookmarkStart w:id="46" w:name="RISGoesHere"/>
      <w:bookmarkEnd w:id="5"/>
      <w:bookmarkEnd w:id="40"/>
      <w:bookmarkEnd w:id="41"/>
      <w:bookmarkEnd w:id="42"/>
      <w:bookmarkEnd w:id="43"/>
      <w:bookmarkEnd w:id="44"/>
      <w:bookmarkEnd w:id="45"/>
      <w:bookmarkEnd w:id="46"/>
    </w:p>
    <w:sectPr w:rsidR="00B77D03" w:rsidSect="00000BFC">
      <w:headerReference w:type="even" r:id="rId19"/>
      <w:headerReference w:type="default" r:id="rId20"/>
      <w:headerReference w:type="first" r:id="rId2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DFA0" w14:textId="77777777" w:rsidR="00213A98" w:rsidRDefault="00213A98">
      <w:pPr>
        <w:spacing w:before="0" w:after="0"/>
      </w:pPr>
      <w:r>
        <w:separator/>
      </w:r>
    </w:p>
  </w:endnote>
  <w:endnote w:type="continuationSeparator" w:id="0">
    <w:p w14:paraId="32B3CF69" w14:textId="77777777" w:rsidR="00213A98" w:rsidRDefault="00213A98">
      <w:pPr>
        <w:spacing w:before="0" w:after="0"/>
      </w:pPr>
      <w:r>
        <w:continuationSeparator/>
      </w:r>
    </w:p>
  </w:endnote>
  <w:endnote w:type="continuationNotice" w:id="1">
    <w:p w14:paraId="31BC0858" w14:textId="77777777" w:rsidR="00213A98" w:rsidRDefault="00213A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790F"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7344"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5C8F"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D796"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ED63"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E7A1" w14:textId="77777777" w:rsidR="00213A98" w:rsidRDefault="00213A98">
      <w:pPr>
        <w:spacing w:before="0" w:after="0"/>
      </w:pPr>
      <w:r>
        <w:separator/>
      </w:r>
    </w:p>
  </w:footnote>
  <w:footnote w:type="continuationSeparator" w:id="0">
    <w:p w14:paraId="527F4D61" w14:textId="77777777" w:rsidR="00213A98" w:rsidRDefault="00213A98">
      <w:pPr>
        <w:spacing w:before="0" w:after="0"/>
      </w:pPr>
      <w:r>
        <w:continuationSeparator/>
      </w:r>
    </w:p>
  </w:footnote>
  <w:footnote w:type="continuationNotice" w:id="1">
    <w:p w14:paraId="390E421C" w14:textId="77777777" w:rsidR="00213A98" w:rsidRDefault="00213A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741D4D10" w14:textId="77777777" w:rsidR="007A2DBD" w:rsidRDefault="003A04D0">
        <w:pPr>
          <w:pStyle w:val="Header"/>
        </w:pPr>
        <w:r>
          <w:rPr>
            <w:noProof/>
          </w:rPr>
          <w:pict w14:anchorId="4C40D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CE40"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4FB0"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92B7" w14:textId="73EBD91E" w:rsidR="007A2DBD" w:rsidRPr="006A1E35" w:rsidRDefault="007A2DBD" w:rsidP="006A1E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E615"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CBB1" w14:textId="7A8CDC35" w:rsidR="007A2DBD" w:rsidRPr="00816825" w:rsidRDefault="003A04D0" w:rsidP="002425D9">
    <w:pPr>
      <w:pStyle w:val="leftheader"/>
    </w:pPr>
    <w:r>
      <w:fldChar w:fldCharType="begin"/>
    </w:r>
    <w:r>
      <w:instrText>STYLEREF  "Heading 1"  \* MERGEFORMAT</w:instrText>
    </w:r>
    <w:r>
      <w:fldChar w:fldCharType="separate"/>
    </w:r>
    <w:r w:rsidR="00C422CA">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209C" w14:textId="659F049D" w:rsidR="007A2DBD" w:rsidRPr="001227A2" w:rsidRDefault="003A04D0" w:rsidP="001227A2">
    <w:pPr>
      <w:pStyle w:val="rightheader"/>
    </w:pPr>
    <w:r>
      <w:fldChar w:fldCharType="begin"/>
    </w:r>
    <w:r>
      <w:instrText xml:space="preserve"> STYLEREF  "Bill Name"  \* MERGEFORMAT </w:instrText>
    </w:r>
    <w:r>
      <w:fldChar w:fldCharType="separate"/>
    </w:r>
    <w:r w:rsidR="00C422CA" w:rsidRPr="00C422CA">
      <w:rPr>
        <w:b/>
        <w:bCs/>
        <w:noProof/>
        <w:lang w:val="en-US"/>
      </w:rPr>
      <w:t>Treasury Laws Amendment (No #) Bill 2024</w:t>
    </w:r>
    <w:r>
      <w:rPr>
        <w:b/>
        <w:bCs/>
        <w:noProof/>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444B" w14:textId="3E21E583" w:rsidR="007A2DBD" w:rsidRPr="001227A2" w:rsidRDefault="007A2DBD" w:rsidP="002425D9">
    <w:pPr>
      <w:pStyle w:val="right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9FDD" w14:textId="21B15621" w:rsidR="007A2DBD" w:rsidRPr="00A74B1A" w:rsidRDefault="007A2DBD" w:rsidP="00A74B1A">
    <w:pPr>
      <w:pStyle w:val="lef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1C73" w14:textId="4BD8E4D1" w:rsidR="007A2DBD" w:rsidRPr="00A74B1A" w:rsidRDefault="007A2DBD" w:rsidP="003A07AE">
    <w:pPr>
      <w:pStyle w:val="right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EC48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49B04F3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FC237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52012340"/>
    <w:multiLevelType w:val="multilevel"/>
    <w:tmpl w:val="37FADF36"/>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5FBC7E8D"/>
    <w:multiLevelType w:val="singleLevel"/>
    <w:tmpl w:val="56EE607A"/>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0D85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84BCA"/>
    <w:multiLevelType w:val="multilevel"/>
    <w:tmpl w:val="4D5E63E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1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1"/>
  </w:num>
  <w:num w:numId="5">
    <w:abstractNumId w:val="16"/>
  </w:num>
  <w:num w:numId="6">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4"/>
  </w:num>
  <w:num w:numId="10">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5"/>
  </w:num>
  <w:num w:numId="12">
    <w:abstractNumId w:val="18"/>
  </w:num>
  <w:num w:numId="13">
    <w:abstractNumId w:val="9"/>
  </w:num>
  <w:num w:numId="14">
    <w:abstractNumId w:val="7"/>
  </w:num>
  <w:num w:numId="1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16"/>
  </w:num>
  <w:num w:numId="17">
    <w:abstractNumId w:val="12"/>
  </w:num>
  <w:num w:numId="18">
    <w:abstractNumId w:val="14"/>
  </w:num>
  <w:num w:numId="19">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5"/>
  </w:num>
  <w:num w:numId="21">
    <w:abstractNumId w:val="3"/>
  </w:num>
  <w:num w:numId="22">
    <w:abstractNumId w:val="10"/>
  </w:num>
  <w:num w:numId="23">
    <w:abstractNumId w:val="17"/>
  </w:num>
  <w:num w:numId="24">
    <w:abstractNumId w:val="16"/>
  </w:num>
  <w:num w:numId="25">
    <w:abstractNumId w:val="2"/>
  </w:num>
  <w:num w:numId="26">
    <w:abstractNumId w:val="15"/>
  </w:num>
  <w:num w:numId="27">
    <w:abstractNumId w:val="11"/>
  </w:num>
  <w:num w:numId="28">
    <w:abstractNumId w:val="0"/>
  </w:num>
  <w:num w:numId="29">
    <w:abstractNumId w:val="4"/>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num>
  <w:num w:numId="33">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Normalparatextwithnumbers"/>
        <w:lvlText w:val="%1.%2"/>
        <w:lvlJc w:val="left"/>
        <w:pPr>
          <w:tabs>
            <w:tab w:val="num" w:pos="1134"/>
          </w:tabs>
          <w:ind w:left="1134"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15"/>
  </w:num>
  <w:num w:numId="35">
    <w:abstractNumId w:val="4"/>
  </w:num>
  <w:num w:numId="36">
    <w:abstractNumId w:val="4"/>
  </w:num>
  <w:num w:numId="37">
    <w:abstractNumId w:val="15"/>
  </w:num>
  <w:num w:numId="38">
    <w:abstractNumId w:val="4"/>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5"/>
  </w:num>
  <w:num w:numId="51">
    <w:abstractNumId w:val="15"/>
  </w:num>
  <w:num w:numId="52">
    <w:abstractNumId w:val="15"/>
  </w:num>
  <w:num w:numId="53">
    <w:abstractNumId w:val="4"/>
  </w:num>
  <w:num w:numId="54">
    <w:abstractNumId w:val="4"/>
  </w:num>
  <w:num w:numId="55">
    <w:abstractNumId w:val="15"/>
  </w:num>
  <w:num w:numId="56">
    <w:abstractNumId w:val="4"/>
  </w:num>
  <w:num w:numId="57">
    <w:abstractNumId w:val="4"/>
  </w:num>
  <w:num w:numId="58">
    <w:abstractNumId w:val="4"/>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BF"/>
    <w:rsid w:val="00000BFC"/>
    <w:rsid w:val="00002FED"/>
    <w:rsid w:val="00003105"/>
    <w:rsid w:val="0000502D"/>
    <w:rsid w:val="00005B4C"/>
    <w:rsid w:val="0000626D"/>
    <w:rsid w:val="0000674A"/>
    <w:rsid w:val="0000736A"/>
    <w:rsid w:val="000076AB"/>
    <w:rsid w:val="000106B8"/>
    <w:rsid w:val="00010DFE"/>
    <w:rsid w:val="0001114B"/>
    <w:rsid w:val="00012333"/>
    <w:rsid w:val="00012A65"/>
    <w:rsid w:val="0001503B"/>
    <w:rsid w:val="00015E59"/>
    <w:rsid w:val="00015EE0"/>
    <w:rsid w:val="00017B8A"/>
    <w:rsid w:val="00021843"/>
    <w:rsid w:val="00021DAA"/>
    <w:rsid w:val="00022656"/>
    <w:rsid w:val="000230CC"/>
    <w:rsid w:val="00024CB6"/>
    <w:rsid w:val="00031C61"/>
    <w:rsid w:val="0003204B"/>
    <w:rsid w:val="00032183"/>
    <w:rsid w:val="00035A2D"/>
    <w:rsid w:val="00035BFA"/>
    <w:rsid w:val="000374DC"/>
    <w:rsid w:val="00037507"/>
    <w:rsid w:val="00037B96"/>
    <w:rsid w:val="00040058"/>
    <w:rsid w:val="00040527"/>
    <w:rsid w:val="00040706"/>
    <w:rsid w:val="0004125C"/>
    <w:rsid w:val="00041348"/>
    <w:rsid w:val="00042585"/>
    <w:rsid w:val="000426C6"/>
    <w:rsid w:val="00043696"/>
    <w:rsid w:val="00043828"/>
    <w:rsid w:val="00044709"/>
    <w:rsid w:val="00044CB1"/>
    <w:rsid w:val="00045245"/>
    <w:rsid w:val="00045285"/>
    <w:rsid w:val="00046866"/>
    <w:rsid w:val="00047FF2"/>
    <w:rsid w:val="000502F5"/>
    <w:rsid w:val="00050463"/>
    <w:rsid w:val="00052086"/>
    <w:rsid w:val="00053744"/>
    <w:rsid w:val="00054243"/>
    <w:rsid w:val="00054E9A"/>
    <w:rsid w:val="00057378"/>
    <w:rsid w:val="00060991"/>
    <w:rsid w:val="00061324"/>
    <w:rsid w:val="000616DD"/>
    <w:rsid w:val="00061E9A"/>
    <w:rsid w:val="000628EB"/>
    <w:rsid w:val="00062F19"/>
    <w:rsid w:val="0006428E"/>
    <w:rsid w:val="00064EAC"/>
    <w:rsid w:val="0006698D"/>
    <w:rsid w:val="00067AEA"/>
    <w:rsid w:val="0007224B"/>
    <w:rsid w:val="000724F4"/>
    <w:rsid w:val="00073B9C"/>
    <w:rsid w:val="00074C52"/>
    <w:rsid w:val="00075DDB"/>
    <w:rsid w:val="000762F2"/>
    <w:rsid w:val="00076DBD"/>
    <w:rsid w:val="00076F24"/>
    <w:rsid w:val="00080BC4"/>
    <w:rsid w:val="0008364D"/>
    <w:rsid w:val="00084786"/>
    <w:rsid w:val="000853D1"/>
    <w:rsid w:val="000857FA"/>
    <w:rsid w:val="0008585B"/>
    <w:rsid w:val="0008786B"/>
    <w:rsid w:val="00087F47"/>
    <w:rsid w:val="00087FE9"/>
    <w:rsid w:val="00090A2C"/>
    <w:rsid w:val="00090AB7"/>
    <w:rsid w:val="00091B13"/>
    <w:rsid w:val="00095C8D"/>
    <w:rsid w:val="0009607B"/>
    <w:rsid w:val="00096166"/>
    <w:rsid w:val="000A0671"/>
    <w:rsid w:val="000A1227"/>
    <w:rsid w:val="000A3230"/>
    <w:rsid w:val="000A61E1"/>
    <w:rsid w:val="000A7594"/>
    <w:rsid w:val="000B05EF"/>
    <w:rsid w:val="000B1980"/>
    <w:rsid w:val="000B27FE"/>
    <w:rsid w:val="000B3477"/>
    <w:rsid w:val="000B5814"/>
    <w:rsid w:val="000B6506"/>
    <w:rsid w:val="000B6B3E"/>
    <w:rsid w:val="000B7276"/>
    <w:rsid w:val="000B7643"/>
    <w:rsid w:val="000B7D6E"/>
    <w:rsid w:val="000C024F"/>
    <w:rsid w:val="000C0AAB"/>
    <w:rsid w:val="000C0CC8"/>
    <w:rsid w:val="000C1C07"/>
    <w:rsid w:val="000C2883"/>
    <w:rsid w:val="000C30E3"/>
    <w:rsid w:val="000C31FC"/>
    <w:rsid w:val="000C331F"/>
    <w:rsid w:val="000C4363"/>
    <w:rsid w:val="000C5256"/>
    <w:rsid w:val="000C5596"/>
    <w:rsid w:val="000C5A19"/>
    <w:rsid w:val="000C777C"/>
    <w:rsid w:val="000D05AD"/>
    <w:rsid w:val="000D334B"/>
    <w:rsid w:val="000D37F3"/>
    <w:rsid w:val="000D4CC3"/>
    <w:rsid w:val="000D611C"/>
    <w:rsid w:val="000E2C70"/>
    <w:rsid w:val="000E37A6"/>
    <w:rsid w:val="000E4D39"/>
    <w:rsid w:val="000E521B"/>
    <w:rsid w:val="000E63C9"/>
    <w:rsid w:val="000E7167"/>
    <w:rsid w:val="000E72BC"/>
    <w:rsid w:val="000E74CB"/>
    <w:rsid w:val="000E7745"/>
    <w:rsid w:val="000E779B"/>
    <w:rsid w:val="000F3FAC"/>
    <w:rsid w:val="000F484D"/>
    <w:rsid w:val="000F5551"/>
    <w:rsid w:val="000F5806"/>
    <w:rsid w:val="000F5CCC"/>
    <w:rsid w:val="000F7156"/>
    <w:rsid w:val="000F7CDC"/>
    <w:rsid w:val="00100129"/>
    <w:rsid w:val="00100BC2"/>
    <w:rsid w:val="00101488"/>
    <w:rsid w:val="001031B7"/>
    <w:rsid w:val="00103EB4"/>
    <w:rsid w:val="00105E85"/>
    <w:rsid w:val="001064C7"/>
    <w:rsid w:val="00106908"/>
    <w:rsid w:val="00106B80"/>
    <w:rsid w:val="00106D3D"/>
    <w:rsid w:val="00106FDC"/>
    <w:rsid w:val="001108C4"/>
    <w:rsid w:val="00112629"/>
    <w:rsid w:val="00112984"/>
    <w:rsid w:val="0011359F"/>
    <w:rsid w:val="00114511"/>
    <w:rsid w:val="00114558"/>
    <w:rsid w:val="0011506C"/>
    <w:rsid w:val="00115509"/>
    <w:rsid w:val="00116C01"/>
    <w:rsid w:val="00116F01"/>
    <w:rsid w:val="00116FEF"/>
    <w:rsid w:val="00121EAE"/>
    <w:rsid w:val="001227A2"/>
    <w:rsid w:val="001237EE"/>
    <w:rsid w:val="00124DF0"/>
    <w:rsid w:val="00124FBE"/>
    <w:rsid w:val="0012669C"/>
    <w:rsid w:val="0013077F"/>
    <w:rsid w:val="00130EEF"/>
    <w:rsid w:val="0013192C"/>
    <w:rsid w:val="00132D10"/>
    <w:rsid w:val="00133006"/>
    <w:rsid w:val="001345D0"/>
    <w:rsid w:val="001352C4"/>
    <w:rsid w:val="00135B5E"/>
    <w:rsid w:val="00137446"/>
    <w:rsid w:val="0013798F"/>
    <w:rsid w:val="00137B24"/>
    <w:rsid w:val="00139128"/>
    <w:rsid w:val="001403AC"/>
    <w:rsid w:val="00140E41"/>
    <w:rsid w:val="00140E5F"/>
    <w:rsid w:val="00141701"/>
    <w:rsid w:val="001419EF"/>
    <w:rsid w:val="00142639"/>
    <w:rsid w:val="0014346A"/>
    <w:rsid w:val="00143F2C"/>
    <w:rsid w:val="00145AEE"/>
    <w:rsid w:val="0014620F"/>
    <w:rsid w:val="001468B5"/>
    <w:rsid w:val="00147182"/>
    <w:rsid w:val="00152888"/>
    <w:rsid w:val="00153429"/>
    <w:rsid w:val="0015372F"/>
    <w:rsid w:val="00153BD2"/>
    <w:rsid w:val="001543E0"/>
    <w:rsid w:val="00154730"/>
    <w:rsid w:val="00157FCF"/>
    <w:rsid w:val="00163457"/>
    <w:rsid w:val="00164627"/>
    <w:rsid w:val="00164C53"/>
    <w:rsid w:val="00167155"/>
    <w:rsid w:val="00170585"/>
    <w:rsid w:val="00170C78"/>
    <w:rsid w:val="00173F10"/>
    <w:rsid w:val="001741A2"/>
    <w:rsid w:val="00174282"/>
    <w:rsid w:val="00174E9E"/>
    <w:rsid w:val="001758CF"/>
    <w:rsid w:val="001762B0"/>
    <w:rsid w:val="001779CC"/>
    <w:rsid w:val="00181A82"/>
    <w:rsid w:val="00183096"/>
    <w:rsid w:val="00186E96"/>
    <w:rsid w:val="00190191"/>
    <w:rsid w:val="0019224C"/>
    <w:rsid w:val="00192397"/>
    <w:rsid w:val="00192D4F"/>
    <w:rsid w:val="00193AF7"/>
    <w:rsid w:val="00194003"/>
    <w:rsid w:val="00194403"/>
    <w:rsid w:val="00195D1C"/>
    <w:rsid w:val="00196F28"/>
    <w:rsid w:val="00197376"/>
    <w:rsid w:val="001974A5"/>
    <w:rsid w:val="001978A1"/>
    <w:rsid w:val="00197AD2"/>
    <w:rsid w:val="001A06AE"/>
    <w:rsid w:val="001A258A"/>
    <w:rsid w:val="001A27A2"/>
    <w:rsid w:val="001A4B1B"/>
    <w:rsid w:val="001A579D"/>
    <w:rsid w:val="001A5C1E"/>
    <w:rsid w:val="001A5F75"/>
    <w:rsid w:val="001A711B"/>
    <w:rsid w:val="001A7DE3"/>
    <w:rsid w:val="001B07FA"/>
    <w:rsid w:val="001B097A"/>
    <w:rsid w:val="001B1306"/>
    <w:rsid w:val="001B150C"/>
    <w:rsid w:val="001B2F79"/>
    <w:rsid w:val="001B312C"/>
    <w:rsid w:val="001B41E6"/>
    <w:rsid w:val="001B56B1"/>
    <w:rsid w:val="001C1D30"/>
    <w:rsid w:val="001C24EA"/>
    <w:rsid w:val="001C40B2"/>
    <w:rsid w:val="001C5CBF"/>
    <w:rsid w:val="001C65F2"/>
    <w:rsid w:val="001C693C"/>
    <w:rsid w:val="001C6BFB"/>
    <w:rsid w:val="001C7702"/>
    <w:rsid w:val="001D13CC"/>
    <w:rsid w:val="001D4A19"/>
    <w:rsid w:val="001D5331"/>
    <w:rsid w:val="001D54D7"/>
    <w:rsid w:val="001D6CAE"/>
    <w:rsid w:val="001D6F86"/>
    <w:rsid w:val="001D7B09"/>
    <w:rsid w:val="001D7C47"/>
    <w:rsid w:val="001E01BF"/>
    <w:rsid w:val="001E0B4F"/>
    <w:rsid w:val="001E1406"/>
    <w:rsid w:val="001E2CFA"/>
    <w:rsid w:val="001E34AB"/>
    <w:rsid w:val="001F1409"/>
    <w:rsid w:val="001F241A"/>
    <w:rsid w:val="001F6FAA"/>
    <w:rsid w:val="002020A8"/>
    <w:rsid w:val="00203FF1"/>
    <w:rsid w:val="0020474D"/>
    <w:rsid w:val="00205DEC"/>
    <w:rsid w:val="00205F6F"/>
    <w:rsid w:val="0021284D"/>
    <w:rsid w:val="00212D91"/>
    <w:rsid w:val="00213A98"/>
    <w:rsid w:val="00213ACE"/>
    <w:rsid w:val="00213EBD"/>
    <w:rsid w:val="002162A3"/>
    <w:rsid w:val="00217AE8"/>
    <w:rsid w:val="002209EC"/>
    <w:rsid w:val="00222CF2"/>
    <w:rsid w:val="00223711"/>
    <w:rsid w:val="00224F63"/>
    <w:rsid w:val="002256C0"/>
    <w:rsid w:val="00226A3C"/>
    <w:rsid w:val="0023064C"/>
    <w:rsid w:val="002308EF"/>
    <w:rsid w:val="00230C17"/>
    <w:rsid w:val="00231CBF"/>
    <w:rsid w:val="002326D8"/>
    <w:rsid w:val="002328E8"/>
    <w:rsid w:val="0023409D"/>
    <w:rsid w:val="00234C95"/>
    <w:rsid w:val="0023603A"/>
    <w:rsid w:val="0023736D"/>
    <w:rsid w:val="00237514"/>
    <w:rsid w:val="00237DD3"/>
    <w:rsid w:val="002425D9"/>
    <w:rsid w:val="00242A33"/>
    <w:rsid w:val="00242B2A"/>
    <w:rsid w:val="00244251"/>
    <w:rsid w:val="002447D8"/>
    <w:rsid w:val="0024784F"/>
    <w:rsid w:val="00250844"/>
    <w:rsid w:val="002516D4"/>
    <w:rsid w:val="00251B5E"/>
    <w:rsid w:val="00252AB8"/>
    <w:rsid w:val="00252ECD"/>
    <w:rsid w:val="0025380A"/>
    <w:rsid w:val="00254363"/>
    <w:rsid w:val="002557C5"/>
    <w:rsid w:val="00255C8B"/>
    <w:rsid w:val="00260B8B"/>
    <w:rsid w:val="002656D5"/>
    <w:rsid w:val="002704A8"/>
    <w:rsid w:val="002704BC"/>
    <w:rsid w:val="00270D4F"/>
    <w:rsid w:val="002716CF"/>
    <w:rsid w:val="00271E03"/>
    <w:rsid w:val="00272F4F"/>
    <w:rsid w:val="002733B6"/>
    <w:rsid w:val="00274D5C"/>
    <w:rsid w:val="00276145"/>
    <w:rsid w:val="00276753"/>
    <w:rsid w:val="00276AB5"/>
    <w:rsid w:val="00277863"/>
    <w:rsid w:val="00277E13"/>
    <w:rsid w:val="0028080A"/>
    <w:rsid w:val="00280C2C"/>
    <w:rsid w:val="00280FA9"/>
    <w:rsid w:val="002831D3"/>
    <w:rsid w:val="00283654"/>
    <w:rsid w:val="00283DDF"/>
    <w:rsid w:val="002851F9"/>
    <w:rsid w:val="002872AB"/>
    <w:rsid w:val="00291476"/>
    <w:rsid w:val="00292261"/>
    <w:rsid w:val="002935AC"/>
    <w:rsid w:val="00293DCB"/>
    <w:rsid w:val="00295A5F"/>
    <w:rsid w:val="00297081"/>
    <w:rsid w:val="002A0272"/>
    <w:rsid w:val="002A0DE5"/>
    <w:rsid w:val="002A0F43"/>
    <w:rsid w:val="002A2137"/>
    <w:rsid w:val="002A2A96"/>
    <w:rsid w:val="002A2FE2"/>
    <w:rsid w:val="002A52E5"/>
    <w:rsid w:val="002A55C7"/>
    <w:rsid w:val="002A5764"/>
    <w:rsid w:val="002A5A15"/>
    <w:rsid w:val="002A66A8"/>
    <w:rsid w:val="002A6A2E"/>
    <w:rsid w:val="002B02FE"/>
    <w:rsid w:val="002B0989"/>
    <w:rsid w:val="002B0B45"/>
    <w:rsid w:val="002B0B67"/>
    <w:rsid w:val="002B13DC"/>
    <w:rsid w:val="002B1D9E"/>
    <w:rsid w:val="002B2B1C"/>
    <w:rsid w:val="002B2DB5"/>
    <w:rsid w:val="002B2EC5"/>
    <w:rsid w:val="002B3BE8"/>
    <w:rsid w:val="002B4B4F"/>
    <w:rsid w:val="002B4CE1"/>
    <w:rsid w:val="002B5F18"/>
    <w:rsid w:val="002B623C"/>
    <w:rsid w:val="002B6F60"/>
    <w:rsid w:val="002C06F0"/>
    <w:rsid w:val="002C56B9"/>
    <w:rsid w:val="002C78D6"/>
    <w:rsid w:val="002D03AC"/>
    <w:rsid w:val="002D080A"/>
    <w:rsid w:val="002D1616"/>
    <w:rsid w:val="002D2B39"/>
    <w:rsid w:val="002D2C41"/>
    <w:rsid w:val="002D32D2"/>
    <w:rsid w:val="002D5F5D"/>
    <w:rsid w:val="002D635D"/>
    <w:rsid w:val="002D7249"/>
    <w:rsid w:val="002E0062"/>
    <w:rsid w:val="002E0527"/>
    <w:rsid w:val="002E08A4"/>
    <w:rsid w:val="002E0E85"/>
    <w:rsid w:val="002E1178"/>
    <w:rsid w:val="002E136A"/>
    <w:rsid w:val="002E2A10"/>
    <w:rsid w:val="002E35A5"/>
    <w:rsid w:val="002E4326"/>
    <w:rsid w:val="002E545E"/>
    <w:rsid w:val="002E56CE"/>
    <w:rsid w:val="002E58FB"/>
    <w:rsid w:val="002E5A3C"/>
    <w:rsid w:val="002E6876"/>
    <w:rsid w:val="002F056C"/>
    <w:rsid w:val="002F0A0A"/>
    <w:rsid w:val="002F0D54"/>
    <w:rsid w:val="002F14F6"/>
    <w:rsid w:val="002F1CB0"/>
    <w:rsid w:val="002F3BB6"/>
    <w:rsid w:val="002F4B60"/>
    <w:rsid w:val="002F4D02"/>
    <w:rsid w:val="002F5302"/>
    <w:rsid w:val="002F5DF7"/>
    <w:rsid w:val="002F614F"/>
    <w:rsid w:val="002F66A1"/>
    <w:rsid w:val="002F6B97"/>
    <w:rsid w:val="002F7669"/>
    <w:rsid w:val="003005A0"/>
    <w:rsid w:val="00301C2A"/>
    <w:rsid w:val="003027CB"/>
    <w:rsid w:val="00302D15"/>
    <w:rsid w:val="00303BFE"/>
    <w:rsid w:val="00304AA3"/>
    <w:rsid w:val="00305513"/>
    <w:rsid w:val="00305A58"/>
    <w:rsid w:val="00306F43"/>
    <w:rsid w:val="00306F4D"/>
    <w:rsid w:val="00310D98"/>
    <w:rsid w:val="00310FF9"/>
    <w:rsid w:val="0031163B"/>
    <w:rsid w:val="00312B4D"/>
    <w:rsid w:val="00312BA9"/>
    <w:rsid w:val="003131F7"/>
    <w:rsid w:val="00313B98"/>
    <w:rsid w:val="00315C40"/>
    <w:rsid w:val="00315D81"/>
    <w:rsid w:val="00315DB6"/>
    <w:rsid w:val="00316109"/>
    <w:rsid w:val="0031643D"/>
    <w:rsid w:val="00316B35"/>
    <w:rsid w:val="00317685"/>
    <w:rsid w:val="00317F74"/>
    <w:rsid w:val="0032001C"/>
    <w:rsid w:val="00320CDA"/>
    <w:rsid w:val="00320FDA"/>
    <w:rsid w:val="0032269C"/>
    <w:rsid w:val="0032394B"/>
    <w:rsid w:val="00325AC2"/>
    <w:rsid w:val="00325BD4"/>
    <w:rsid w:val="003274DF"/>
    <w:rsid w:val="00330B03"/>
    <w:rsid w:val="00330B65"/>
    <w:rsid w:val="00331F8E"/>
    <w:rsid w:val="00332B86"/>
    <w:rsid w:val="00332DCE"/>
    <w:rsid w:val="0033367B"/>
    <w:rsid w:val="00333FD3"/>
    <w:rsid w:val="003345D1"/>
    <w:rsid w:val="00334B78"/>
    <w:rsid w:val="003354C2"/>
    <w:rsid w:val="003357E8"/>
    <w:rsid w:val="00336D40"/>
    <w:rsid w:val="00337B64"/>
    <w:rsid w:val="00337B94"/>
    <w:rsid w:val="00337EDF"/>
    <w:rsid w:val="003400FB"/>
    <w:rsid w:val="0034050E"/>
    <w:rsid w:val="00340C85"/>
    <w:rsid w:val="00340D33"/>
    <w:rsid w:val="0034307A"/>
    <w:rsid w:val="00343B78"/>
    <w:rsid w:val="00345E9E"/>
    <w:rsid w:val="00346AE7"/>
    <w:rsid w:val="00350644"/>
    <w:rsid w:val="00350FF6"/>
    <w:rsid w:val="003510A8"/>
    <w:rsid w:val="00351274"/>
    <w:rsid w:val="00351567"/>
    <w:rsid w:val="00351D4D"/>
    <w:rsid w:val="00353F0B"/>
    <w:rsid w:val="003556BF"/>
    <w:rsid w:val="00361770"/>
    <w:rsid w:val="003648C6"/>
    <w:rsid w:val="0036557B"/>
    <w:rsid w:val="003663FE"/>
    <w:rsid w:val="00366495"/>
    <w:rsid w:val="00367456"/>
    <w:rsid w:val="0036790F"/>
    <w:rsid w:val="00370843"/>
    <w:rsid w:val="00371DD7"/>
    <w:rsid w:val="00371EE7"/>
    <w:rsid w:val="003722DE"/>
    <w:rsid w:val="00373AF6"/>
    <w:rsid w:val="00374C0E"/>
    <w:rsid w:val="00375FC7"/>
    <w:rsid w:val="0037777F"/>
    <w:rsid w:val="00377831"/>
    <w:rsid w:val="0038023C"/>
    <w:rsid w:val="00380321"/>
    <w:rsid w:val="003803DC"/>
    <w:rsid w:val="003806E9"/>
    <w:rsid w:val="003820F6"/>
    <w:rsid w:val="003822AB"/>
    <w:rsid w:val="0038250C"/>
    <w:rsid w:val="00384B66"/>
    <w:rsid w:val="00386BF6"/>
    <w:rsid w:val="00387402"/>
    <w:rsid w:val="00387705"/>
    <w:rsid w:val="00387E0C"/>
    <w:rsid w:val="00390F5A"/>
    <w:rsid w:val="00391801"/>
    <w:rsid w:val="00392825"/>
    <w:rsid w:val="00392C9D"/>
    <w:rsid w:val="0039391C"/>
    <w:rsid w:val="00394D3A"/>
    <w:rsid w:val="00394E33"/>
    <w:rsid w:val="00394F7C"/>
    <w:rsid w:val="0039543D"/>
    <w:rsid w:val="00396B51"/>
    <w:rsid w:val="003971ED"/>
    <w:rsid w:val="003A018C"/>
    <w:rsid w:val="003A0372"/>
    <w:rsid w:val="003A07AE"/>
    <w:rsid w:val="003A09A9"/>
    <w:rsid w:val="003A32AE"/>
    <w:rsid w:val="003A3B33"/>
    <w:rsid w:val="003A3E8C"/>
    <w:rsid w:val="003A5104"/>
    <w:rsid w:val="003A52D2"/>
    <w:rsid w:val="003A68B5"/>
    <w:rsid w:val="003A6B97"/>
    <w:rsid w:val="003B0AE1"/>
    <w:rsid w:val="003B22A2"/>
    <w:rsid w:val="003B2560"/>
    <w:rsid w:val="003B27F4"/>
    <w:rsid w:val="003B37A5"/>
    <w:rsid w:val="003B3AEA"/>
    <w:rsid w:val="003B3BCE"/>
    <w:rsid w:val="003B4F2B"/>
    <w:rsid w:val="003B511B"/>
    <w:rsid w:val="003B5FD4"/>
    <w:rsid w:val="003C0FDC"/>
    <w:rsid w:val="003C1513"/>
    <w:rsid w:val="003C3B7E"/>
    <w:rsid w:val="003C6008"/>
    <w:rsid w:val="003C70C4"/>
    <w:rsid w:val="003C7889"/>
    <w:rsid w:val="003C7AA6"/>
    <w:rsid w:val="003D0AEF"/>
    <w:rsid w:val="003D1B25"/>
    <w:rsid w:val="003D2110"/>
    <w:rsid w:val="003D21FE"/>
    <w:rsid w:val="003D244E"/>
    <w:rsid w:val="003D313C"/>
    <w:rsid w:val="003D3208"/>
    <w:rsid w:val="003D36AD"/>
    <w:rsid w:val="003D3BBF"/>
    <w:rsid w:val="003D3F53"/>
    <w:rsid w:val="003D6A18"/>
    <w:rsid w:val="003D725F"/>
    <w:rsid w:val="003D74F5"/>
    <w:rsid w:val="003D762A"/>
    <w:rsid w:val="003E0C6A"/>
    <w:rsid w:val="003E0E7D"/>
    <w:rsid w:val="003E173B"/>
    <w:rsid w:val="003E1B16"/>
    <w:rsid w:val="003E2D07"/>
    <w:rsid w:val="003E402E"/>
    <w:rsid w:val="003E42B2"/>
    <w:rsid w:val="003E44D1"/>
    <w:rsid w:val="003E6249"/>
    <w:rsid w:val="003E7262"/>
    <w:rsid w:val="003F005A"/>
    <w:rsid w:val="003F013D"/>
    <w:rsid w:val="003F0209"/>
    <w:rsid w:val="003F0DDA"/>
    <w:rsid w:val="003F16EA"/>
    <w:rsid w:val="003F18B6"/>
    <w:rsid w:val="003F1AD7"/>
    <w:rsid w:val="003F5749"/>
    <w:rsid w:val="003F5B2A"/>
    <w:rsid w:val="00402516"/>
    <w:rsid w:val="00402619"/>
    <w:rsid w:val="0040336C"/>
    <w:rsid w:val="00404EC5"/>
    <w:rsid w:val="00405787"/>
    <w:rsid w:val="00405D78"/>
    <w:rsid w:val="00405E25"/>
    <w:rsid w:val="0040626C"/>
    <w:rsid w:val="00406876"/>
    <w:rsid w:val="00406A7A"/>
    <w:rsid w:val="00406C57"/>
    <w:rsid w:val="00406DC8"/>
    <w:rsid w:val="0040770E"/>
    <w:rsid w:val="00407FBF"/>
    <w:rsid w:val="00411EC7"/>
    <w:rsid w:val="004128C6"/>
    <w:rsid w:val="004139C0"/>
    <w:rsid w:val="00414017"/>
    <w:rsid w:val="00415FE9"/>
    <w:rsid w:val="00416108"/>
    <w:rsid w:val="0041620B"/>
    <w:rsid w:val="00416868"/>
    <w:rsid w:val="004201F8"/>
    <w:rsid w:val="0042134F"/>
    <w:rsid w:val="00422289"/>
    <w:rsid w:val="00422B09"/>
    <w:rsid w:val="00423269"/>
    <w:rsid w:val="00423FB7"/>
    <w:rsid w:val="004241F5"/>
    <w:rsid w:val="004249BD"/>
    <w:rsid w:val="00424D26"/>
    <w:rsid w:val="004251A4"/>
    <w:rsid w:val="00427EDF"/>
    <w:rsid w:val="004301B0"/>
    <w:rsid w:val="004309DD"/>
    <w:rsid w:val="00430A32"/>
    <w:rsid w:val="004315CB"/>
    <w:rsid w:val="00432EE1"/>
    <w:rsid w:val="0043309D"/>
    <w:rsid w:val="00433899"/>
    <w:rsid w:val="00436869"/>
    <w:rsid w:val="00440423"/>
    <w:rsid w:val="00440E70"/>
    <w:rsid w:val="00440F03"/>
    <w:rsid w:val="00441EDD"/>
    <w:rsid w:val="004435AC"/>
    <w:rsid w:val="00444F8F"/>
    <w:rsid w:val="004457EE"/>
    <w:rsid w:val="004459D2"/>
    <w:rsid w:val="0044645E"/>
    <w:rsid w:val="0044773F"/>
    <w:rsid w:val="00450F33"/>
    <w:rsid w:val="00452308"/>
    <w:rsid w:val="0045302A"/>
    <w:rsid w:val="00454174"/>
    <w:rsid w:val="004561D9"/>
    <w:rsid w:val="00456C41"/>
    <w:rsid w:val="004572B9"/>
    <w:rsid w:val="00460169"/>
    <w:rsid w:val="004603EF"/>
    <w:rsid w:val="0046073B"/>
    <w:rsid w:val="00464DB2"/>
    <w:rsid w:val="0046570C"/>
    <w:rsid w:val="00466864"/>
    <w:rsid w:val="00466E7C"/>
    <w:rsid w:val="00470E74"/>
    <w:rsid w:val="00471709"/>
    <w:rsid w:val="00472A05"/>
    <w:rsid w:val="00472D52"/>
    <w:rsid w:val="00473AFE"/>
    <w:rsid w:val="00473F76"/>
    <w:rsid w:val="0047534B"/>
    <w:rsid w:val="0047593B"/>
    <w:rsid w:val="00475E44"/>
    <w:rsid w:val="00476C47"/>
    <w:rsid w:val="00477975"/>
    <w:rsid w:val="00477C04"/>
    <w:rsid w:val="00480CC9"/>
    <w:rsid w:val="0048155C"/>
    <w:rsid w:val="00481C23"/>
    <w:rsid w:val="00481C93"/>
    <w:rsid w:val="004831EC"/>
    <w:rsid w:val="00483B75"/>
    <w:rsid w:val="004856C2"/>
    <w:rsid w:val="00485FD0"/>
    <w:rsid w:val="004879EF"/>
    <w:rsid w:val="00490540"/>
    <w:rsid w:val="00490E94"/>
    <w:rsid w:val="00492729"/>
    <w:rsid w:val="00493D47"/>
    <w:rsid w:val="004940F5"/>
    <w:rsid w:val="004953D9"/>
    <w:rsid w:val="004956BF"/>
    <w:rsid w:val="0049581D"/>
    <w:rsid w:val="00496553"/>
    <w:rsid w:val="00496642"/>
    <w:rsid w:val="00496C21"/>
    <w:rsid w:val="004971E2"/>
    <w:rsid w:val="00497AC6"/>
    <w:rsid w:val="004A18EB"/>
    <w:rsid w:val="004A2B69"/>
    <w:rsid w:val="004A2F75"/>
    <w:rsid w:val="004A3F03"/>
    <w:rsid w:val="004A4258"/>
    <w:rsid w:val="004B0A77"/>
    <w:rsid w:val="004B1A62"/>
    <w:rsid w:val="004B1C70"/>
    <w:rsid w:val="004B1F33"/>
    <w:rsid w:val="004B243C"/>
    <w:rsid w:val="004B2846"/>
    <w:rsid w:val="004B39B5"/>
    <w:rsid w:val="004B3D96"/>
    <w:rsid w:val="004B3F91"/>
    <w:rsid w:val="004B431C"/>
    <w:rsid w:val="004B43D6"/>
    <w:rsid w:val="004B6038"/>
    <w:rsid w:val="004B6C61"/>
    <w:rsid w:val="004B7E67"/>
    <w:rsid w:val="004C01DE"/>
    <w:rsid w:val="004C207A"/>
    <w:rsid w:val="004C225A"/>
    <w:rsid w:val="004C3085"/>
    <w:rsid w:val="004C32AE"/>
    <w:rsid w:val="004C56E7"/>
    <w:rsid w:val="004C6B49"/>
    <w:rsid w:val="004C6B7F"/>
    <w:rsid w:val="004C77AA"/>
    <w:rsid w:val="004C77BE"/>
    <w:rsid w:val="004C7C0C"/>
    <w:rsid w:val="004D1117"/>
    <w:rsid w:val="004D1D97"/>
    <w:rsid w:val="004D2586"/>
    <w:rsid w:val="004D2F19"/>
    <w:rsid w:val="004D3393"/>
    <w:rsid w:val="004D3665"/>
    <w:rsid w:val="004D4B66"/>
    <w:rsid w:val="004D55D3"/>
    <w:rsid w:val="004D67A8"/>
    <w:rsid w:val="004D6C44"/>
    <w:rsid w:val="004D6FB7"/>
    <w:rsid w:val="004E0083"/>
    <w:rsid w:val="004E1CF7"/>
    <w:rsid w:val="004E3AE1"/>
    <w:rsid w:val="004E5A4F"/>
    <w:rsid w:val="004E5F69"/>
    <w:rsid w:val="004E68DF"/>
    <w:rsid w:val="004E7641"/>
    <w:rsid w:val="004E77ED"/>
    <w:rsid w:val="004F082C"/>
    <w:rsid w:val="004F0C04"/>
    <w:rsid w:val="004F20DC"/>
    <w:rsid w:val="004F23C3"/>
    <w:rsid w:val="004F39C3"/>
    <w:rsid w:val="004F39E6"/>
    <w:rsid w:val="004F3C7F"/>
    <w:rsid w:val="004F4DDE"/>
    <w:rsid w:val="004F70EC"/>
    <w:rsid w:val="004F7C15"/>
    <w:rsid w:val="005012BD"/>
    <w:rsid w:val="00505347"/>
    <w:rsid w:val="005066F5"/>
    <w:rsid w:val="00510284"/>
    <w:rsid w:val="00511030"/>
    <w:rsid w:val="00511481"/>
    <w:rsid w:val="0051267F"/>
    <w:rsid w:val="00514812"/>
    <w:rsid w:val="0051485B"/>
    <w:rsid w:val="005151A1"/>
    <w:rsid w:val="005169FB"/>
    <w:rsid w:val="00517C7C"/>
    <w:rsid w:val="00517D6E"/>
    <w:rsid w:val="005206F4"/>
    <w:rsid w:val="005229A6"/>
    <w:rsid w:val="00522AAC"/>
    <w:rsid w:val="0052527A"/>
    <w:rsid w:val="00526907"/>
    <w:rsid w:val="00527653"/>
    <w:rsid w:val="0053044E"/>
    <w:rsid w:val="00530D46"/>
    <w:rsid w:val="00531C67"/>
    <w:rsid w:val="00532B53"/>
    <w:rsid w:val="0053304F"/>
    <w:rsid w:val="005356CB"/>
    <w:rsid w:val="00536316"/>
    <w:rsid w:val="00537FBC"/>
    <w:rsid w:val="00540859"/>
    <w:rsid w:val="00541185"/>
    <w:rsid w:val="005419E7"/>
    <w:rsid w:val="005422BC"/>
    <w:rsid w:val="00542536"/>
    <w:rsid w:val="00543552"/>
    <w:rsid w:val="00547A50"/>
    <w:rsid w:val="00547BB9"/>
    <w:rsid w:val="00550B3B"/>
    <w:rsid w:val="00550ED5"/>
    <w:rsid w:val="005510F5"/>
    <w:rsid w:val="00551183"/>
    <w:rsid w:val="005515C0"/>
    <w:rsid w:val="00551635"/>
    <w:rsid w:val="00552BF0"/>
    <w:rsid w:val="0055310A"/>
    <w:rsid w:val="005532FF"/>
    <w:rsid w:val="0055358F"/>
    <w:rsid w:val="00553708"/>
    <w:rsid w:val="005548C3"/>
    <w:rsid w:val="0055526B"/>
    <w:rsid w:val="00555F61"/>
    <w:rsid w:val="005604A4"/>
    <w:rsid w:val="00560C82"/>
    <w:rsid w:val="005617B7"/>
    <w:rsid w:val="00562406"/>
    <w:rsid w:val="00564129"/>
    <w:rsid w:val="00564BBC"/>
    <w:rsid w:val="00566523"/>
    <w:rsid w:val="0056675C"/>
    <w:rsid w:val="0057163B"/>
    <w:rsid w:val="005725E9"/>
    <w:rsid w:val="005731D1"/>
    <w:rsid w:val="00574FE3"/>
    <w:rsid w:val="005758C5"/>
    <w:rsid w:val="00576729"/>
    <w:rsid w:val="00580A9F"/>
    <w:rsid w:val="00580B49"/>
    <w:rsid w:val="005825DD"/>
    <w:rsid w:val="00582CD8"/>
    <w:rsid w:val="0058358E"/>
    <w:rsid w:val="005842BF"/>
    <w:rsid w:val="00585037"/>
    <w:rsid w:val="00585D08"/>
    <w:rsid w:val="00585DB7"/>
    <w:rsid w:val="00586311"/>
    <w:rsid w:val="0059200B"/>
    <w:rsid w:val="005926B5"/>
    <w:rsid w:val="005945A7"/>
    <w:rsid w:val="005966AE"/>
    <w:rsid w:val="0059716E"/>
    <w:rsid w:val="00597A6E"/>
    <w:rsid w:val="005A0135"/>
    <w:rsid w:val="005A061C"/>
    <w:rsid w:val="005A1A1A"/>
    <w:rsid w:val="005A216D"/>
    <w:rsid w:val="005A257A"/>
    <w:rsid w:val="005A3AA3"/>
    <w:rsid w:val="005A3E32"/>
    <w:rsid w:val="005A5259"/>
    <w:rsid w:val="005A53F3"/>
    <w:rsid w:val="005A6676"/>
    <w:rsid w:val="005A79DC"/>
    <w:rsid w:val="005B11E4"/>
    <w:rsid w:val="005B17C8"/>
    <w:rsid w:val="005B1AFA"/>
    <w:rsid w:val="005B2E40"/>
    <w:rsid w:val="005B310B"/>
    <w:rsid w:val="005B38F6"/>
    <w:rsid w:val="005B4C67"/>
    <w:rsid w:val="005B6BC3"/>
    <w:rsid w:val="005C0559"/>
    <w:rsid w:val="005C1EF0"/>
    <w:rsid w:val="005C2BD1"/>
    <w:rsid w:val="005C3CC3"/>
    <w:rsid w:val="005C40DC"/>
    <w:rsid w:val="005C5C04"/>
    <w:rsid w:val="005C5C9B"/>
    <w:rsid w:val="005C63C9"/>
    <w:rsid w:val="005C77C9"/>
    <w:rsid w:val="005C77F7"/>
    <w:rsid w:val="005D0844"/>
    <w:rsid w:val="005D0981"/>
    <w:rsid w:val="005D134C"/>
    <w:rsid w:val="005D169F"/>
    <w:rsid w:val="005D192D"/>
    <w:rsid w:val="005D2420"/>
    <w:rsid w:val="005D2843"/>
    <w:rsid w:val="005D397C"/>
    <w:rsid w:val="005D43A3"/>
    <w:rsid w:val="005D4C4B"/>
    <w:rsid w:val="005D5455"/>
    <w:rsid w:val="005D5BA3"/>
    <w:rsid w:val="005D5ED9"/>
    <w:rsid w:val="005D5F12"/>
    <w:rsid w:val="005D615C"/>
    <w:rsid w:val="005D6311"/>
    <w:rsid w:val="005E1082"/>
    <w:rsid w:val="005E1542"/>
    <w:rsid w:val="005E3792"/>
    <w:rsid w:val="005E3EAB"/>
    <w:rsid w:val="005E418B"/>
    <w:rsid w:val="005E4433"/>
    <w:rsid w:val="005E4DF7"/>
    <w:rsid w:val="005E5181"/>
    <w:rsid w:val="005E6D47"/>
    <w:rsid w:val="005E7288"/>
    <w:rsid w:val="005E7443"/>
    <w:rsid w:val="005F2029"/>
    <w:rsid w:val="005F2E42"/>
    <w:rsid w:val="005F3C45"/>
    <w:rsid w:val="005F3D69"/>
    <w:rsid w:val="005F41A7"/>
    <w:rsid w:val="005F4376"/>
    <w:rsid w:val="005F470E"/>
    <w:rsid w:val="005F580E"/>
    <w:rsid w:val="005F5BA5"/>
    <w:rsid w:val="005F62F0"/>
    <w:rsid w:val="005F7032"/>
    <w:rsid w:val="006005BF"/>
    <w:rsid w:val="00601D6F"/>
    <w:rsid w:val="006024CF"/>
    <w:rsid w:val="006042C2"/>
    <w:rsid w:val="0060658D"/>
    <w:rsid w:val="00607038"/>
    <w:rsid w:val="00613335"/>
    <w:rsid w:val="00615DFD"/>
    <w:rsid w:val="00617A3A"/>
    <w:rsid w:val="00620394"/>
    <w:rsid w:val="006215A6"/>
    <w:rsid w:val="00621CC3"/>
    <w:rsid w:val="00622763"/>
    <w:rsid w:val="0062296F"/>
    <w:rsid w:val="006229ED"/>
    <w:rsid w:val="006235C8"/>
    <w:rsid w:val="00623720"/>
    <w:rsid w:val="00624905"/>
    <w:rsid w:val="00624C6D"/>
    <w:rsid w:val="00625388"/>
    <w:rsid w:val="00625527"/>
    <w:rsid w:val="00625785"/>
    <w:rsid w:val="00625DF9"/>
    <w:rsid w:val="00626FE0"/>
    <w:rsid w:val="00630725"/>
    <w:rsid w:val="00632A23"/>
    <w:rsid w:val="00632D06"/>
    <w:rsid w:val="0063309D"/>
    <w:rsid w:val="00633471"/>
    <w:rsid w:val="00634912"/>
    <w:rsid w:val="00634995"/>
    <w:rsid w:val="00636F1B"/>
    <w:rsid w:val="00640EC8"/>
    <w:rsid w:val="006414C7"/>
    <w:rsid w:val="00642420"/>
    <w:rsid w:val="00643342"/>
    <w:rsid w:val="00643B9B"/>
    <w:rsid w:val="00646004"/>
    <w:rsid w:val="006469CA"/>
    <w:rsid w:val="00646CC8"/>
    <w:rsid w:val="006479AC"/>
    <w:rsid w:val="006522CF"/>
    <w:rsid w:val="006527B9"/>
    <w:rsid w:val="0065308B"/>
    <w:rsid w:val="00654EDF"/>
    <w:rsid w:val="00654FCB"/>
    <w:rsid w:val="00655047"/>
    <w:rsid w:val="00655524"/>
    <w:rsid w:val="0065571B"/>
    <w:rsid w:val="006563C2"/>
    <w:rsid w:val="00656B87"/>
    <w:rsid w:val="00656BAB"/>
    <w:rsid w:val="00660153"/>
    <w:rsid w:val="006601EC"/>
    <w:rsid w:val="006603DF"/>
    <w:rsid w:val="00662CFB"/>
    <w:rsid w:val="006638A7"/>
    <w:rsid w:val="00663D00"/>
    <w:rsid w:val="00667A13"/>
    <w:rsid w:val="00667A81"/>
    <w:rsid w:val="0067096C"/>
    <w:rsid w:val="00670B32"/>
    <w:rsid w:val="006712B5"/>
    <w:rsid w:val="006718F2"/>
    <w:rsid w:val="00671DAC"/>
    <w:rsid w:val="00671FF2"/>
    <w:rsid w:val="00672B12"/>
    <w:rsid w:val="00673E2C"/>
    <w:rsid w:val="00674248"/>
    <w:rsid w:val="00674C4B"/>
    <w:rsid w:val="00675685"/>
    <w:rsid w:val="0067577F"/>
    <w:rsid w:val="00675F7E"/>
    <w:rsid w:val="00676745"/>
    <w:rsid w:val="006775F1"/>
    <w:rsid w:val="00677A9B"/>
    <w:rsid w:val="00680452"/>
    <w:rsid w:val="006813FE"/>
    <w:rsid w:val="00683847"/>
    <w:rsid w:val="00687F63"/>
    <w:rsid w:val="00691F54"/>
    <w:rsid w:val="0069218C"/>
    <w:rsid w:val="006927C0"/>
    <w:rsid w:val="0069559C"/>
    <w:rsid w:val="006956A6"/>
    <w:rsid w:val="00696C3B"/>
    <w:rsid w:val="006973F2"/>
    <w:rsid w:val="00697A8A"/>
    <w:rsid w:val="00697D16"/>
    <w:rsid w:val="006A04E0"/>
    <w:rsid w:val="006A1E35"/>
    <w:rsid w:val="006A2308"/>
    <w:rsid w:val="006A26A3"/>
    <w:rsid w:val="006A2BC6"/>
    <w:rsid w:val="006A2C09"/>
    <w:rsid w:val="006A3004"/>
    <w:rsid w:val="006A4270"/>
    <w:rsid w:val="006A4EAC"/>
    <w:rsid w:val="006A4ED3"/>
    <w:rsid w:val="006A6638"/>
    <w:rsid w:val="006A67FC"/>
    <w:rsid w:val="006A6849"/>
    <w:rsid w:val="006A6F2E"/>
    <w:rsid w:val="006B1F4D"/>
    <w:rsid w:val="006B2184"/>
    <w:rsid w:val="006B253B"/>
    <w:rsid w:val="006B4C1A"/>
    <w:rsid w:val="006B5D9D"/>
    <w:rsid w:val="006B5FFF"/>
    <w:rsid w:val="006B6BAA"/>
    <w:rsid w:val="006C0A13"/>
    <w:rsid w:val="006C192F"/>
    <w:rsid w:val="006C1A01"/>
    <w:rsid w:val="006C24BF"/>
    <w:rsid w:val="006C2D4D"/>
    <w:rsid w:val="006C2FC6"/>
    <w:rsid w:val="006C40A4"/>
    <w:rsid w:val="006C429B"/>
    <w:rsid w:val="006C4742"/>
    <w:rsid w:val="006C50E0"/>
    <w:rsid w:val="006C5F16"/>
    <w:rsid w:val="006C67F6"/>
    <w:rsid w:val="006D07CC"/>
    <w:rsid w:val="006D0869"/>
    <w:rsid w:val="006D08C7"/>
    <w:rsid w:val="006D2E37"/>
    <w:rsid w:val="006D3BF6"/>
    <w:rsid w:val="006D46D1"/>
    <w:rsid w:val="006D5AC0"/>
    <w:rsid w:val="006D6273"/>
    <w:rsid w:val="006D62A8"/>
    <w:rsid w:val="006D6C66"/>
    <w:rsid w:val="006E0237"/>
    <w:rsid w:val="006E0876"/>
    <w:rsid w:val="006E0AB8"/>
    <w:rsid w:val="006E1892"/>
    <w:rsid w:val="006E1EE7"/>
    <w:rsid w:val="006E2DD0"/>
    <w:rsid w:val="006E3222"/>
    <w:rsid w:val="006E36C8"/>
    <w:rsid w:val="006E3FC4"/>
    <w:rsid w:val="006E456F"/>
    <w:rsid w:val="006E4C13"/>
    <w:rsid w:val="006E5C48"/>
    <w:rsid w:val="006E66AD"/>
    <w:rsid w:val="006E6750"/>
    <w:rsid w:val="006E699E"/>
    <w:rsid w:val="006E6B14"/>
    <w:rsid w:val="006E6C22"/>
    <w:rsid w:val="006E6E05"/>
    <w:rsid w:val="006E7208"/>
    <w:rsid w:val="006F0FE2"/>
    <w:rsid w:val="006F170C"/>
    <w:rsid w:val="006F425D"/>
    <w:rsid w:val="006F4B31"/>
    <w:rsid w:val="006F66CE"/>
    <w:rsid w:val="006F693C"/>
    <w:rsid w:val="0070013B"/>
    <w:rsid w:val="0070046B"/>
    <w:rsid w:val="007007D4"/>
    <w:rsid w:val="007033D4"/>
    <w:rsid w:val="00704730"/>
    <w:rsid w:val="007055A3"/>
    <w:rsid w:val="00711568"/>
    <w:rsid w:val="00712EEA"/>
    <w:rsid w:val="00712F37"/>
    <w:rsid w:val="0071364C"/>
    <w:rsid w:val="0071387D"/>
    <w:rsid w:val="007141AF"/>
    <w:rsid w:val="00714400"/>
    <w:rsid w:val="007144BD"/>
    <w:rsid w:val="007145E8"/>
    <w:rsid w:val="00716811"/>
    <w:rsid w:val="00716BAE"/>
    <w:rsid w:val="00716BB8"/>
    <w:rsid w:val="00716FC7"/>
    <w:rsid w:val="0072078D"/>
    <w:rsid w:val="00721A55"/>
    <w:rsid w:val="00721E3C"/>
    <w:rsid w:val="00722394"/>
    <w:rsid w:val="00722CC2"/>
    <w:rsid w:val="00723762"/>
    <w:rsid w:val="00724563"/>
    <w:rsid w:val="0072560D"/>
    <w:rsid w:val="00725839"/>
    <w:rsid w:val="00727DC5"/>
    <w:rsid w:val="007303E1"/>
    <w:rsid w:val="007316F6"/>
    <w:rsid w:val="00731BE4"/>
    <w:rsid w:val="0073230C"/>
    <w:rsid w:val="00732402"/>
    <w:rsid w:val="007328F8"/>
    <w:rsid w:val="0073326A"/>
    <w:rsid w:val="007340BF"/>
    <w:rsid w:val="00734238"/>
    <w:rsid w:val="0073540D"/>
    <w:rsid w:val="0073790B"/>
    <w:rsid w:val="00737DD6"/>
    <w:rsid w:val="007403F4"/>
    <w:rsid w:val="00740D2A"/>
    <w:rsid w:val="00741176"/>
    <w:rsid w:val="007426A8"/>
    <w:rsid w:val="007426F0"/>
    <w:rsid w:val="00744DEE"/>
    <w:rsid w:val="00745F47"/>
    <w:rsid w:val="00746AA4"/>
    <w:rsid w:val="00747234"/>
    <w:rsid w:val="00747615"/>
    <w:rsid w:val="007479A1"/>
    <w:rsid w:val="007507E4"/>
    <w:rsid w:val="00752137"/>
    <w:rsid w:val="00752190"/>
    <w:rsid w:val="0075251D"/>
    <w:rsid w:val="0075274E"/>
    <w:rsid w:val="0075295F"/>
    <w:rsid w:val="0075539A"/>
    <w:rsid w:val="007563EF"/>
    <w:rsid w:val="0075715A"/>
    <w:rsid w:val="007606C3"/>
    <w:rsid w:val="007615B4"/>
    <w:rsid w:val="007617F4"/>
    <w:rsid w:val="00761B44"/>
    <w:rsid w:val="00761FC1"/>
    <w:rsid w:val="007629C9"/>
    <w:rsid w:val="00763484"/>
    <w:rsid w:val="0076501B"/>
    <w:rsid w:val="00765864"/>
    <w:rsid w:val="00766129"/>
    <w:rsid w:val="0076664D"/>
    <w:rsid w:val="00766AE2"/>
    <w:rsid w:val="00766B37"/>
    <w:rsid w:val="00771BBB"/>
    <w:rsid w:val="00771F72"/>
    <w:rsid w:val="00773749"/>
    <w:rsid w:val="007746B7"/>
    <w:rsid w:val="00774CF1"/>
    <w:rsid w:val="007751B6"/>
    <w:rsid w:val="00776D95"/>
    <w:rsid w:val="00777A92"/>
    <w:rsid w:val="00780128"/>
    <w:rsid w:val="00781AA0"/>
    <w:rsid w:val="007837FF"/>
    <w:rsid w:val="00784E4A"/>
    <w:rsid w:val="007850A3"/>
    <w:rsid w:val="007871D0"/>
    <w:rsid w:val="00787677"/>
    <w:rsid w:val="007878CB"/>
    <w:rsid w:val="00787B1C"/>
    <w:rsid w:val="00790D4B"/>
    <w:rsid w:val="0079119F"/>
    <w:rsid w:val="007918DC"/>
    <w:rsid w:val="00792797"/>
    <w:rsid w:val="00792BD9"/>
    <w:rsid w:val="00792C58"/>
    <w:rsid w:val="00792E15"/>
    <w:rsid w:val="00793846"/>
    <w:rsid w:val="00795024"/>
    <w:rsid w:val="00797FDB"/>
    <w:rsid w:val="007A11B0"/>
    <w:rsid w:val="007A2DBD"/>
    <w:rsid w:val="007A3781"/>
    <w:rsid w:val="007A3E01"/>
    <w:rsid w:val="007A5E9A"/>
    <w:rsid w:val="007A6533"/>
    <w:rsid w:val="007A764E"/>
    <w:rsid w:val="007A7D19"/>
    <w:rsid w:val="007B090F"/>
    <w:rsid w:val="007B0C4A"/>
    <w:rsid w:val="007B1260"/>
    <w:rsid w:val="007B1509"/>
    <w:rsid w:val="007B18EE"/>
    <w:rsid w:val="007B3DBE"/>
    <w:rsid w:val="007B45C4"/>
    <w:rsid w:val="007B4DB8"/>
    <w:rsid w:val="007B55EC"/>
    <w:rsid w:val="007B56B0"/>
    <w:rsid w:val="007B62A1"/>
    <w:rsid w:val="007B6304"/>
    <w:rsid w:val="007B690A"/>
    <w:rsid w:val="007B7516"/>
    <w:rsid w:val="007B7EAC"/>
    <w:rsid w:val="007B7F2E"/>
    <w:rsid w:val="007C01D5"/>
    <w:rsid w:val="007C19B7"/>
    <w:rsid w:val="007C1F94"/>
    <w:rsid w:val="007C2578"/>
    <w:rsid w:val="007C28AA"/>
    <w:rsid w:val="007C2F6C"/>
    <w:rsid w:val="007C373D"/>
    <w:rsid w:val="007C431E"/>
    <w:rsid w:val="007C6371"/>
    <w:rsid w:val="007D0737"/>
    <w:rsid w:val="007D1E80"/>
    <w:rsid w:val="007D3408"/>
    <w:rsid w:val="007D377F"/>
    <w:rsid w:val="007D4569"/>
    <w:rsid w:val="007D4963"/>
    <w:rsid w:val="007D53C4"/>
    <w:rsid w:val="007D5626"/>
    <w:rsid w:val="007D5EEA"/>
    <w:rsid w:val="007D613A"/>
    <w:rsid w:val="007D7F7A"/>
    <w:rsid w:val="007E0AEE"/>
    <w:rsid w:val="007E1561"/>
    <w:rsid w:val="007E1ED8"/>
    <w:rsid w:val="007E4B8F"/>
    <w:rsid w:val="007E62B0"/>
    <w:rsid w:val="007E655A"/>
    <w:rsid w:val="007F0456"/>
    <w:rsid w:val="007F1B4B"/>
    <w:rsid w:val="007F3B53"/>
    <w:rsid w:val="007F3C4E"/>
    <w:rsid w:val="007F3D3A"/>
    <w:rsid w:val="007F4E98"/>
    <w:rsid w:val="007F50EC"/>
    <w:rsid w:val="007F5124"/>
    <w:rsid w:val="00800A34"/>
    <w:rsid w:val="0080148E"/>
    <w:rsid w:val="0080170E"/>
    <w:rsid w:val="00802B8C"/>
    <w:rsid w:val="00803352"/>
    <w:rsid w:val="0080452C"/>
    <w:rsid w:val="00804825"/>
    <w:rsid w:val="00804A97"/>
    <w:rsid w:val="008051D3"/>
    <w:rsid w:val="00806DC6"/>
    <w:rsid w:val="00807061"/>
    <w:rsid w:val="00807ADE"/>
    <w:rsid w:val="0081057B"/>
    <w:rsid w:val="008111C7"/>
    <w:rsid w:val="0081173D"/>
    <w:rsid w:val="00812EF3"/>
    <w:rsid w:val="008132B7"/>
    <w:rsid w:val="00815179"/>
    <w:rsid w:val="00815BEB"/>
    <w:rsid w:val="00815DBA"/>
    <w:rsid w:val="008163C8"/>
    <w:rsid w:val="0082284C"/>
    <w:rsid w:val="00822EAD"/>
    <w:rsid w:val="00827411"/>
    <w:rsid w:val="00827E79"/>
    <w:rsid w:val="00830166"/>
    <w:rsid w:val="00830888"/>
    <w:rsid w:val="00831C89"/>
    <w:rsid w:val="00831CDF"/>
    <w:rsid w:val="008327DE"/>
    <w:rsid w:val="008329DC"/>
    <w:rsid w:val="008352B6"/>
    <w:rsid w:val="00836233"/>
    <w:rsid w:val="00840882"/>
    <w:rsid w:val="0084322B"/>
    <w:rsid w:val="0084376C"/>
    <w:rsid w:val="00845E9F"/>
    <w:rsid w:val="00845FFB"/>
    <w:rsid w:val="0084692D"/>
    <w:rsid w:val="00851FA7"/>
    <w:rsid w:val="008522F9"/>
    <w:rsid w:val="008526AD"/>
    <w:rsid w:val="00852D9E"/>
    <w:rsid w:val="0085653E"/>
    <w:rsid w:val="00861BC7"/>
    <w:rsid w:val="00861F3F"/>
    <w:rsid w:val="00862FF5"/>
    <w:rsid w:val="0086305A"/>
    <w:rsid w:val="00863F5F"/>
    <w:rsid w:val="008651AC"/>
    <w:rsid w:val="00866334"/>
    <w:rsid w:val="00867082"/>
    <w:rsid w:val="0086726D"/>
    <w:rsid w:val="008677EF"/>
    <w:rsid w:val="00870071"/>
    <w:rsid w:val="008700FF"/>
    <w:rsid w:val="00873094"/>
    <w:rsid w:val="008739DB"/>
    <w:rsid w:val="00873ACB"/>
    <w:rsid w:val="00875572"/>
    <w:rsid w:val="00876E17"/>
    <w:rsid w:val="0087702A"/>
    <w:rsid w:val="00877AE6"/>
    <w:rsid w:val="008834EA"/>
    <w:rsid w:val="00883962"/>
    <w:rsid w:val="00883A1C"/>
    <w:rsid w:val="008854CB"/>
    <w:rsid w:val="00885767"/>
    <w:rsid w:val="00886826"/>
    <w:rsid w:val="008869A9"/>
    <w:rsid w:val="00890CE3"/>
    <w:rsid w:val="00892628"/>
    <w:rsid w:val="008956E6"/>
    <w:rsid w:val="008A024C"/>
    <w:rsid w:val="008A02A7"/>
    <w:rsid w:val="008A1BCD"/>
    <w:rsid w:val="008A1CA4"/>
    <w:rsid w:val="008A2117"/>
    <w:rsid w:val="008A5225"/>
    <w:rsid w:val="008A5393"/>
    <w:rsid w:val="008A5A27"/>
    <w:rsid w:val="008A5E73"/>
    <w:rsid w:val="008A68B3"/>
    <w:rsid w:val="008A7135"/>
    <w:rsid w:val="008A79F5"/>
    <w:rsid w:val="008B1987"/>
    <w:rsid w:val="008B46F6"/>
    <w:rsid w:val="008B4A8F"/>
    <w:rsid w:val="008B4F47"/>
    <w:rsid w:val="008B6136"/>
    <w:rsid w:val="008B6540"/>
    <w:rsid w:val="008B6FAD"/>
    <w:rsid w:val="008B7531"/>
    <w:rsid w:val="008C02D6"/>
    <w:rsid w:val="008C24BD"/>
    <w:rsid w:val="008C39FE"/>
    <w:rsid w:val="008C455D"/>
    <w:rsid w:val="008C52FF"/>
    <w:rsid w:val="008C5717"/>
    <w:rsid w:val="008C6065"/>
    <w:rsid w:val="008D0851"/>
    <w:rsid w:val="008D0B7F"/>
    <w:rsid w:val="008D0ED3"/>
    <w:rsid w:val="008D10D2"/>
    <w:rsid w:val="008D1594"/>
    <w:rsid w:val="008D1E3D"/>
    <w:rsid w:val="008D1ED1"/>
    <w:rsid w:val="008D2F45"/>
    <w:rsid w:val="008D3847"/>
    <w:rsid w:val="008D46C2"/>
    <w:rsid w:val="008D483F"/>
    <w:rsid w:val="008D51CF"/>
    <w:rsid w:val="008D62FC"/>
    <w:rsid w:val="008D65E0"/>
    <w:rsid w:val="008E0B9C"/>
    <w:rsid w:val="008E3DC9"/>
    <w:rsid w:val="008E4147"/>
    <w:rsid w:val="008E4A4D"/>
    <w:rsid w:val="008E4E8F"/>
    <w:rsid w:val="008E5DC5"/>
    <w:rsid w:val="008E6935"/>
    <w:rsid w:val="008E73C7"/>
    <w:rsid w:val="008F0F2C"/>
    <w:rsid w:val="008F3D3E"/>
    <w:rsid w:val="008F57D7"/>
    <w:rsid w:val="008F5C71"/>
    <w:rsid w:val="008F7080"/>
    <w:rsid w:val="008F73FC"/>
    <w:rsid w:val="009011E0"/>
    <w:rsid w:val="0090265D"/>
    <w:rsid w:val="00902AFB"/>
    <w:rsid w:val="0090372D"/>
    <w:rsid w:val="00903889"/>
    <w:rsid w:val="0090413F"/>
    <w:rsid w:val="0090743A"/>
    <w:rsid w:val="00907721"/>
    <w:rsid w:val="00907EB9"/>
    <w:rsid w:val="009149CD"/>
    <w:rsid w:val="00914D36"/>
    <w:rsid w:val="00915BDE"/>
    <w:rsid w:val="00915CB2"/>
    <w:rsid w:val="009161C9"/>
    <w:rsid w:val="0091680C"/>
    <w:rsid w:val="00916CF4"/>
    <w:rsid w:val="009176CB"/>
    <w:rsid w:val="00921434"/>
    <w:rsid w:val="00921ABC"/>
    <w:rsid w:val="00922189"/>
    <w:rsid w:val="0092224A"/>
    <w:rsid w:val="009225CA"/>
    <w:rsid w:val="009227FC"/>
    <w:rsid w:val="009239DD"/>
    <w:rsid w:val="009245B5"/>
    <w:rsid w:val="00924845"/>
    <w:rsid w:val="00926022"/>
    <w:rsid w:val="0092636D"/>
    <w:rsid w:val="009275EE"/>
    <w:rsid w:val="009306E6"/>
    <w:rsid w:val="0093116E"/>
    <w:rsid w:val="00932498"/>
    <w:rsid w:val="00932D0C"/>
    <w:rsid w:val="00933A18"/>
    <w:rsid w:val="00935B62"/>
    <w:rsid w:val="00936FB2"/>
    <w:rsid w:val="00940063"/>
    <w:rsid w:val="00940D60"/>
    <w:rsid w:val="00942261"/>
    <w:rsid w:val="009451B3"/>
    <w:rsid w:val="00945DEC"/>
    <w:rsid w:val="00945E4B"/>
    <w:rsid w:val="00947C46"/>
    <w:rsid w:val="009516B5"/>
    <w:rsid w:val="0095399E"/>
    <w:rsid w:val="00954ADB"/>
    <w:rsid w:val="009608E9"/>
    <w:rsid w:val="00960D95"/>
    <w:rsid w:val="00961969"/>
    <w:rsid w:val="00963396"/>
    <w:rsid w:val="00963B26"/>
    <w:rsid w:val="009641E6"/>
    <w:rsid w:val="00964430"/>
    <w:rsid w:val="00966407"/>
    <w:rsid w:val="00966650"/>
    <w:rsid w:val="009667F4"/>
    <w:rsid w:val="00966F30"/>
    <w:rsid w:val="0096719E"/>
    <w:rsid w:val="009673E0"/>
    <w:rsid w:val="00971555"/>
    <w:rsid w:val="00972A68"/>
    <w:rsid w:val="00972F28"/>
    <w:rsid w:val="00972FD1"/>
    <w:rsid w:val="00973049"/>
    <w:rsid w:val="009732E4"/>
    <w:rsid w:val="009747C3"/>
    <w:rsid w:val="00974ACA"/>
    <w:rsid w:val="00977035"/>
    <w:rsid w:val="00982527"/>
    <w:rsid w:val="0098382A"/>
    <w:rsid w:val="00983899"/>
    <w:rsid w:val="00983A43"/>
    <w:rsid w:val="00983F51"/>
    <w:rsid w:val="00983F84"/>
    <w:rsid w:val="00983FD9"/>
    <w:rsid w:val="0098452F"/>
    <w:rsid w:val="009849E2"/>
    <w:rsid w:val="009854CB"/>
    <w:rsid w:val="00985901"/>
    <w:rsid w:val="009867E1"/>
    <w:rsid w:val="00992C56"/>
    <w:rsid w:val="0099381D"/>
    <w:rsid w:val="00994BE4"/>
    <w:rsid w:val="00996091"/>
    <w:rsid w:val="00996219"/>
    <w:rsid w:val="009967CC"/>
    <w:rsid w:val="009978E4"/>
    <w:rsid w:val="009A06E2"/>
    <w:rsid w:val="009A0CBC"/>
    <w:rsid w:val="009A195E"/>
    <w:rsid w:val="009A1994"/>
    <w:rsid w:val="009A2CD1"/>
    <w:rsid w:val="009A3B6D"/>
    <w:rsid w:val="009A3C34"/>
    <w:rsid w:val="009A3DE0"/>
    <w:rsid w:val="009A4963"/>
    <w:rsid w:val="009A56F2"/>
    <w:rsid w:val="009A673E"/>
    <w:rsid w:val="009A6C53"/>
    <w:rsid w:val="009B1C74"/>
    <w:rsid w:val="009B2EC1"/>
    <w:rsid w:val="009B3009"/>
    <w:rsid w:val="009B33CF"/>
    <w:rsid w:val="009B38F1"/>
    <w:rsid w:val="009B4566"/>
    <w:rsid w:val="009B4A64"/>
    <w:rsid w:val="009B4E16"/>
    <w:rsid w:val="009B57E6"/>
    <w:rsid w:val="009B6159"/>
    <w:rsid w:val="009B6691"/>
    <w:rsid w:val="009B68D5"/>
    <w:rsid w:val="009B6FB7"/>
    <w:rsid w:val="009C00C3"/>
    <w:rsid w:val="009C01E4"/>
    <w:rsid w:val="009C03EE"/>
    <w:rsid w:val="009C0E53"/>
    <w:rsid w:val="009C250A"/>
    <w:rsid w:val="009C2AE2"/>
    <w:rsid w:val="009D095E"/>
    <w:rsid w:val="009D11B0"/>
    <w:rsid w:val="009D20CE"/>
    <w:rsid w:val="009D2E89"/>
    <w:rsid w:val="009D3ED1"/>
    <w:rsid w:val="009D438D"/>
    <w:rsid w:val="009D5AF6"/>
    <w:rsid w:val="009E0034"/>
    <w:rsid w:val="009E08D3"/>
    <w:rsid w:val="009E1943"/>
    <w:rsid w:val="009E19F9"/>
    <w:rsid w:val="009E1A1A"/>
    <w:rsid w:val="009E2A01"/>
    <w:rsid w:val="009E3A35"/>
    <w:rsid w:val="009E3A3D"/>
    <w:rsid w:val="009E3D7C"/>
    <w:rsid w:val="009E47BB"/>
    <w:rsid w:val="009E5020"/>
    <w:rsid w:val="009E52EC"/>
    <w:rsid w:val="009E7A1A"/>
    <w:rsid w:val="009F0585"/>
    <w:rsid w:val="009F1D47"/>
    <w:rsid w:val="009F3F5F"/>
    <w:rsid w:val="009F3FA5"/>
    <w:rsid w:val="009F6425"/>
    <w:rsid w:val="00A01284"/>
    <w:rsid w:val="00A01296"/>
    <w:rsid w:val="00A01CAB"/>
    <w:rsid w:val="00A02735"/>
    <w:rsid w:val="00A043F7"/>
    <w:rsid w:val="00A04BF2"/>
    <w:rsid w:val="00A04CCD"/>
    <w:rsid w:val="00A0523A"/>
    <w:rsid w:val="00A06534"/>
    <w:rsid w:val="00A06A6C"/>
    <w:rsid w:val="00A07C8D"/>
    <w:rsid w:val="00A07FBC"/>
    <w:rsid w:val="00A10234"/>
    <w:rsid w:val="00A10F56"/>
    <w:rsid w:val="00A11AD6"/>
    <w:rsid w:val="00A13BEA"/>
    <w:rsid w:val="00A142DC"/>
    <w:rsid w:val="00A14544"/>
    <w:rsid w:val="00A14B48"/>
    <w:rsid w:val="00A1558D"/>
    <w:rsid w:val="00A16007"/>
    <w:rsid w:val="00A165D9"/>
    <w:rsid w:val="00A20109"/>
    <w:rsid w:val="00A20174"/>
    <w:rsid w:val="00A20BDB"/>
    <w:rsid w:val="00A22AF8"/>
    <w:rsid w:val="00A23242"/>
    <w:rsid w:val="00A237E6"/>
    <w:rsid w:val="00A243B9"/>
    <w:rsid w:val="00A26C75"/>
    <w:rsid w:val="00A27F73"/>
    <w:rsid w:val="00A300D4"/>
    <w:rsid w:val="00A32515"/>
    <w:rsid w:val="00A326D9"/>
    <w:rsid w:val="00A3342D"/>
    <w:rsid w:val="00A35C07"/>
    <w:rsid w:val="00A37155"/>
    <w:rsid w:val="00A3737E"/>
    <w:rsid w:val="00A37C4F"/>
    <w:rsid w:val="00A41D46"/>
    <w:rsid w:val="00A42DB2"/>
    <w:rsid w:val="00A42DD0"/>
    <w:rsid w:val="00A43006"/>
    <w:rsid w:val="00A430FD"/>
    <w:rsid w:val="00A43563"/>
    <w:rsid w:val="00A444AF"/>
    <w:rsid w:val="00A4562E"/>
    <w:rsid w:val="00A45DF2"/>
    <w:rsid w:val="00A469E2"/>
    <w:rsid w:val="00A47CD8"/>
    <w:rsid w:val="00A50270"/>
    <w:rsid w:val="00A502B1"/>
    <w:rsid w:val="00A50552"/>
    <w:rsid w:val="00A51C9D"/>
    <w:rsid w:val="00A52D08"/>
    <w:rsid w:val="00A52E86"/>
    <w:rsid w:val="00A56BEB"/>
    <w:rsid w:val="00A57511"/>
    <w:rsid w:val="00A5785A"/>
    <w:rsid w:val="00A60232"/>
    <w:rsid w:val="00A60E2E"/>
    <w:rsid w:val="00A60E52"/>
    <w:rsid w:val="00A60E9A"/>
    <w:rsid w:val="00A6235D"/>
    <w:rsid w:val="00A631A5"/>
    <w:rsid w:val="00A63A51"/>
    <w:rsid w:val="00A64921"/>
    <w:rsid w:val="00A70BBA"/>
    <w:rsid w:val="00A70F09"/>
    <w:rsid w:val="00A7111A"/>
    <w:rsid w:val="00A71E76"/>
    <w:rsid w:val="00A74785"/>
    <w:rsid w:val="00A74B1A"/>
    <w:rsid w:val="00A7578A"/>
    <w:rsid w:val="00A75EDF"/>
    <w:rsid w:val="00A80730"/>
    <w:rsid w:val="00A81438"/>
    <w:rsid w:val="00A81A56"/>
    <w:rsid w:val="00A83D4E"/>
    <w:rsid w:val="00A83DFF"/>
    <w:rsid w:val="00A855B9"/>
    <w:rsid w:val="00A85617"/>
    <w:rsid w:val="00A85A22"/>
    <w:rsid w:val="00A85CDE"/>
    <w:rsid w:val="00A878C0"/>
    <w:rsid w:val="00A90247"/>
    <w:rsid w:val="00A90EAD"/>
    <w:rsid w:val="00A912BA"/>
    <w:rsid w:val="00A919E6"/>
    <w:rsid w:val="00A91C7B"/>
    <w:rsid w:val="00A9202A"/>
    <w:rsid w:val="00A95417"/>
    <w:rsid w:val="00A955CA"/>
    <w:rsid w:val="00A9588A"/>
    <w:rsid w:val="00A95AD3"/>
    <w:rsid w:val="00A9667A"/>
    <w:rsid w:val="00A9678B"/>
    <w:rsid w:val="00A97180"/>
    <w:rsid w:val="00A97977"/>
    <w:rsid w:val="00AA084A"/>
    <w:rsid w:val="00AA1AD5"/>
    <w:rsid w:val="00AA2654"/>
    <w:rsid w:val="00AA4A1E"/>
    <w:rsid w:val="00AA50C1"/>
    <w:rsid w:val="00AA54CE"/>
    <w:rsid w:val="00AA5699"/>
    <w:rsid w:val="00AA700B"/>
    <w:rsid w:val="00AA726B"/>
    <w:rsid w:val="00AB0895"/>
    <w:rsid w:val="00AB0FBF"/>
    <w:rsid w:val="00AB155A"/>
    <w:rsid w:val="00AB161B"/>
    <w:rsid w:val="00AB227E"/>
    <w:rsid w:val="00AB26C9"/>
    <w:rsid w:val="00AB37B7"/>
    <w:rsid w:val="00AB4119"/>
    <w:rsid w:val="00AB5ABE"/>
    <w:rsid w:val="00AB5D47"/>
    <w:rsid w:val="00AB5FDC"/>
    <w:rsid w:val="00AB7449"/>
    <w:rsid w:val="00AB757D"/>
    <w:rsid w:val="00AC05B8"/>
    <w:rsid w:val="00AC0E53"/>
    <w:rsid w:val="00AC1B30"/>
    <w:rsid w:val="00AC33B9"/>
    <w:rsid w:val="00AC3AD8"/>
    <w:rsid w:val="00AC47AC"/>
    <w:rsid w:val="00AC5AC8"/>
    <w:rsid w:val="00AC71C8"/>
    <w:rsid w:val="00AD0154"/>
    <w:rsid w:val="00AD0AC0"/>
    <w:rsid w:val="00AD2D8B"/>
    <w:rsid w:val="00AD37CA"/>
    <w:rsid w:val="00AD3E7D"/>
    <w:rsid w:val="00AD4393"/>
    <w:rsid w:val="00AD47C4"/>
    <w:rsid w:val="00AD60E4"/>
    <w:rsid w:val="00AD76B7"/>
    <w:rsid w:val="00AE0D8F"/>
    <w:rsid w:val="00AE1109"/>
    <w:rsid w:val="00AE1E9A"/>
    <w:rsid w:val="00AE2978"/>
    <w:rsid w:val="00AE3193"/>
    <w:rsid w:val="00AE57EE"/>
    <w:rsid w:val="00AE63FE"/>
    <w:rsid w:val="00AE66AC"/>
    <w:rsid w:val="00AF040A"/>
    <w:rsid w:val="00AF0CDA"/>
    <w:rsid w:val="00AF128C"/>
    <w:rsid w:val="00AF13FE"/>
    <w:rsid w:val="00AF27DA"/>
    <w:rsid w:val="00AF2B3C"/>
    <w:rsid w:val="00AF2D2F"/>
    <w:rsid w:val="00AF2DEF"/>
    <w:rsid w:val="00AF3CAD"/>
    <w:rsid w:val="00AF440D"/>
    <w:rsid w:val="00AF4DF9"/>
    <w:rsid w:val="00AF50A1"/>
    <w:rsid w:val="00AF50CE"/>
    <w:rsid w:val="00AF5E70"/>
    <w:rsid w:val="00AF7CC4"/>
    <w:rsid w:val="00B017D3"/>
    <w:rsid w:val="00B0221F"/>
    <w:rsid w:val="00B03177"/>
    <w:rsid w:val="00B039F4"/>
    <w:rsid w:val="00B046AC"/>
    <w:rsid w:val="00B05DB4"/>
    <w:rsid w:val="00B06C7A"/>
    <w:rsid w:val="00B06E0E"/>
    <w:rsid w:val="00B07271"/>
    <w:rsid w:val="00B076D4"/>
    <w:rsid w:val="00B10DBF"/>
    <w:rsid w:val="00B1251F"/>
    <w:rsid w:val="00B13AF2"/>
    <w:rsid w:val="00B14C83"/>
    <w:rsid w:val="00B158B9"/>
    <w:rsid w:val="00B16D7F"/>
    <w:rsid w:val="00B17521"/>
    <w:rsid w:val="00B17899"/>
    <w:rsid w:val="00B17EA8"/>
    <w:rsid w:val="00B17F74"/>
    <w:rsid w:val="00B17F81"/>
    <w:rsid w:val="00B20225"/>
    <w:rsid w:val="00B219EE"/>
    <w:rsid w:val="00B22EBF"/>
    <w:rsid w:val="00B23F5C"/>
    <w:rsid w:val="00B2452B"/>
    <w:rsid w:val="00B24821"/>
    <w:rsid w:val="00B255C5"/>
    <w:rsid w:val="00B26203"/>
    <w:rsid w:val="00B264B8"/>
    <w:rsid w:val="00B26605"/>
    <w:rsid w:val="00B268E2"/>
    <w:rsid w:val="00B26C0A"/>
    <w:rsid w:val="00B32DD0"/>
    <w:rsid w:val="00B335CC"/>
    <w:rsid w:val="00B33BFF"/>
    <w:rsid w:val="00B34154"/>
    <w:rsid w:val="00B34986"/>
    <w:rsid w:val="00B353B8"/>
    <w:rsid w:val="00B355B1"/>
    <w:rsid w:val="00B36649"/>
    <w:rsid w:val="00B371C8"/>
    <w:rsid w:val="00B419F5"/>
    <w:rsid w:val="00B42409"/>
    <w:rsid w:val="00B4290A"/>
    <w:rsid w:val="00B42913"/>
    <w:rsid w:val="00B429CF"/>
    <w:rsid w:val="00B42CC1"/>
    <w:rsid w:val="00B45FBC"/>
    <w:rsid w:val="00B501A5"/>
    <w:rsid w:val="00B53C1C"/>
    <w:rsid w:val="00B53CF9"/>
    <w:rsid w:val="00B542D7"/>
    <w:rsid w:val="00B55F8B"/>
    <w:rsid w:val="00B57D35"/>
    <w:rsid w:val="00B60130"/>
    <w:rsid w:val="00B60525"/>
    <w:rsid w:val="00B607D7"/>
    <w:rsid w:val="00B60CA4"/>
    <w:rsid w:val="00B61672"/>
    <w:rsid w:val="00B61EF2"/>
    <w:rsid w:val="00B62002"/>
    <w:rsid w:val="00B62856"/>
    <w:rsid w:val="00B642BA"/>
    <w:rsid w:val="00B65CF9"/>
    <w:rsid w:val="00B66119"/>
    <w:rsid w:val="00B7130C"/>
    <w:rsid w:val="00B7133D"/>
    <w:rsid w:val="00B71BD8"/>
    <w:rsid w:val="00B71CDE"/>
    <w:rsid w:val="00B72731"/>
    <w:rsid w:val="00B7393A"/>
    <w:rsid w:val="00B75582"/>
    <w:rsid w:val="00B7595E"/>
    <w:rsid w:val="00B75D0D"/>
    <w:rsid w:val="00B7626A"/>
    <w:rsid w:val="00B762FB"/>
    <w:rsid w:val="00B76564"/>
    <w:rsid w:val="00B778BF"/>
    <w:rsid w:val="00B77D03"/>
    <w:rsid w:val="00B8187E"/>
    <w:rsid w:val="00B81BE0"/>
    <w:rsid w:val="00B8394F"/>
    <w:rsid w:val="00B83BA7"/>
    <w:rsid w:val="00B83F19"/>
    <w:rsid w:val="00B849DB"/>
    <w:rsid w:val="00B84B3D"/>
    <w:rsid w:val="00B8526A"/>
    <w:rsid w:val="00B87D40"/>
    <w:rsid w:val="00B90825"/>
    <w:rsid w:val="00B919E7"/>
    <w:rsid w:val="00B941BD"/>
    <w:rsid w:val="00B94F57"/>
    <w:rsid w:val="00B9525A"/>
    <w:rsid w:val="00B95CFF"/>
    <w:rsid w:val="00B9640E"/>
    <w:rsid w:val="00B96479"/>
    <w:rsid w:val="00BA1B2B"/>
    <w:rsid w:val="00BA2494"/>
    <w:rsid w:val="00BA3CAC"/>
    <w:rsid w:val="00BA44E1"/>
    <w:rsid w:val="00BA5137"/>
    <w:rsid w:val="00BA54C2"/>
    <w:rsid w:val="00BA5B46"/>
    <w:rsid w:val="00BB1D6D"/>
    <w:rsid w:val="00BB3661"/>
    <w:rsid w:val="00BB7AC3"/>
    <w:rsid w:val="00BC06BC"/>
    <w:rsid w:val="00BC2027"/>
    <w:rsid w:val="00BC221E"/>
    <w:rsid w:val="00BC2CBB"/>
    <w:rsid w:val="00BC2E4A"/>
    <w:rsid w:val="00BC3B5B"/>
    <w:rsid w:val="00BC3F1E"/>
    <w:rsid w:val="00BC45A9"/>
    <w:rsid w:val="00BC4CD4"/>
    <w:rsid w:val="00BC5691"/>
    <w:rsid w:val="00BC5C84"/>
    <w:rsid w:val="00BC6AF5"/>
    <w:rsid w:val="00BC752B"/>
    <w:rsid w:val="00BC7B6D"/>
    <w:rsid w:val="00BD0423"/>
    <w:rsid w:val="00BD0751"/>
    <w:rsid w:val="00BD266C"/>
    <w:rsid w:val="00BD38FF"/>
    <w:rsid w:val="00BD4D6C"/>
    <w:rsid w:val="00BD53A7"/>
    <w:rsid w:val="00BD5ADD"/>
    <w:rsid w:val="00BD6FC1"/>
    <w:rsid w:val="00BD7030"/>
    <w:rsid w:val="00BD7ED2"/>
    <w:rsid w:val="00BE10D4"/>
    <w:rsid w:val="00BE1DE1"/>
    <w:rsid w:val="00BE2BB4"/>
    <w:rsid w:val="00BE2EAD"/>
    <w:rsid w:val="00BE49D1"/>
    <w:rsid w:val="00BE4F35"/>
    <w:rsid w:val="00BE5BC9"/>
    <w:rsid w:val="00BE5FA3"/>
    <w:rsid w:val="00BE6058"/>
    <w:rsid w:val="00BF1BBA"/>
    <w:rsid w:val="00BF24AA"/>
    <w:rsid w:val="00BF2536"/>
    <w:rsid w:val="00BF2D49"/>
    <w:rsid w:val="00BF49C7"/>
    <w:rsid w:val="00BF4BED"/>
    <w:rsid w:val="00BF51EF"/>
    <w:rsid w:val="00BF52F9"/>
    <w:rsid w:val="00BF71A0"/>
    <w:rsid w:val="00BF7383"/>
    <w:rsid w:val="00C00961"/>
    <w:rsid w:val="00C0113A"/>
    <w:rsid w:val="00C016EC"/>
    <w:rsid w:val="00C037BF"/>
    <w:rsid w:val="00C03B66"/>
    <w:rsid w:val="00C04B62"/>
    <w:rsid w:val="00C05AA5"/>
    <w:rsid w:val="00C07658"/>
    <w:rsid w:val="00C07D6B"/>
    <w:rsid w:val="00C103E4"/>
    <w:rsid w:val="00C10A99"/>
    <w:rsid w:val="00C12132"/>
    <w:rsid w:val="00C1229A"/>
    <w:rsid w:val="00C12991"/>
    <w:rsid w:val="00C131E2"/>
    <w:rsid w:val="00C133F7"/>
    <w:rsid w:val="00C13E06"/>
    <w:rsid w:val="00C151D7"/>
    <w:rsid w:val="00C168DA"/>
    <w:rsid w:val="00C17D4F"/>
    <w:rsid w:val="00C17FDE"/>
    <w:rsid w:val="00C2087B"/>
    <w:rsid w:val="00C20E27"/>
    <w:rsid w:val="00C21E1B"/>
    <w:rsid w:val="00C226B2"/>
    <w:rsid w:val="00C24149"/>
    <w:rsid w:val="00C2513B"/>
    <w:rsid w:val="00C2516B"/>
    <w:rsid w:val="00C255CE"/>
    <w:rsid w:val="00C2649F"/>
    <w:rsid w:val="00C26ED3"/>
    <w:rsid w:val="00C274C2"/>
    <w:rsid w:val="00C301C3"/>
    <w:rsid w:val="00C3156E"/>
    <w:rsid w:val="00C315A1"/>
    <w:rsid w:val="00C32646"/>
    <w:rsid w:val="00C32729"/>
    <w:rsid w:val="00C33085"/>
    <w:rsid w:val="00C332A4"/>
    <w:rsid w:val="00C33B45"/>
    <w:rsid w:val="00C36000"/>
    <w:rsid w:val="00C41B45"/>
    <w:rsid w:val="00C422CA"/>
    <w:rsid w:val="00C42D61"/>
    <w:rsid w:val="00C44474"/>
    <w:rsid w:val="00C449DC"/>
    <w:rsid w:val="00C44F35"/>
    <w:rsid w:val="00C4560F"/>
    <w:rsid w:val="00C45A6E"/>
    <w:rsid w:val="00C4725B"/>
    <w:rsid w:val="00C511B0"/>
    <w:rsid w:val="00C51DE4"/>
    <w:rsid w:val="00C557F8"/>
    <w:rsid w:val="00C558DE"/>
    <w:rsid w:val="00C558EC"/>
    <w:rsid w:val="00C56E4D"/>
    <w:rsid w:val="00C57052"/>
    <w:rsid w:val="00C57F8F"/>
    <w:rsid w:val="00C60128"/>
    <w:rsid w:val="00C627B6"/>
    <w:rsid w:val="00C64773"/>
    <w:rsid w:val="00C64D87"/>
    <w:rsid w:val="00C653FA"/>
    <w:rsid w:val="00C6587F"/>
    <w:rsid w:val="00C70213"/>
    <w:rsid w:val="00C70303"/>
    <w:rsid w:val="00C710BF"/>
    <w:rsid w:val="00C71142"/>
    <w:rsid w:val="00C722E6"/>
    <w:rsid w:val="00C72AE0"/>
    <w:rsid w:val="00C73B39"/>
    <w:rsid w:val="00C73C1D"/>
    <w:rsid w:val="00C7626E"/>
    <w:rsid w:val="00C7709A"/>
    <w:rsid w:val="00C80962"/>
    <w:rsid w:val="00C81014"/>
    <w:rsid w:val="00C82130"/>
    <w:rsid w:val="00C82576"/>
    <w:rsid w:val="00C82753"/>
    <w:rsid w:val="00C836B4"/>
    <w:rsid w:val="00C87478"/>
    <w:rsid w:val="00C90206"/>
    <w:rsid w:val="00C907C7"/>
    <w:rsid w:val="00C90D4D"/>
    <w:rsid w:val="00C916FD"/>
    <w:rsid w:val="00C927BB"/>
    <w:rsid w:val="00C934BE"/>
    <w:rsid w:val="00C938A8"/>
    <w:rsid w:val="00C93E28"/>
    <w:rsid w:val="00C9423C"/>
    <w:rsid w:val="00C95514"/>
    <w:rsid w:val="00C97D11"/>
    <w:rsid w:val="00CA030B"/>
    <w:rsid w:val="00CA0CA8"/>
    <w:rsid w:val="00CA1B4D"/>
    <w:rsid w:val="00CA1FDA"/>
    <w:rsid w:val="00CA259A"/>
    <w:rsid w:val="00CA26AA"/>
    <w:rsid w:val="00CA2C42"/>
    <w:rsid w:val="00CA4288"/>
    <w:rsid w:val="00CA7E6E"/>
    <w:rsid w:val="00CB22D9"/>
    <w:rsid w:val="00CB2475"/>
    <w:rsid w:val="00CB255C"/>
    <w:rsid w:val="00CB360B"/>
    <w:rsid w:val="00CB3CB6"/>
    <w:rsid w:val="00CB4F57"/>
    <w:rsid w:val="00CB5794"/>
    <w:rsid w:val="00CB62E6"/>
    <w:rsid w:val="00CC0025"/>
    <w:rsid w:val="00CC029D"/>
    <w:rsid w:val="00CC11B2"/>
    <w:rsid w:val="00CC13FC"/>
    <w:rsid w:val="00CC296D"/>
    <w:rsid w:val="00CC2AD9"/>
    <w:rsid w:val="00CC336C"/>
    <w:rsid w:val="00CC3CA1"/>
    <w:rsid w:val="00CC54C1"/>
    <w:rsid w:val="00CC6ADC"/>
    <w:rsid w:val="00CC6CBC"/>
    <w:rsid w:val="00CC7572"/>
    <w:rsid w:val="00CD0735"/>
    <w:rsid w:val="00CD196A"/>
    <w:rsid w:val="00CD26F2"/>
    <w:rsid w:val="00CD282D"/>
    <w:rsid w:val="00CD308C"/>
    <w:rsid w:val="00CD3358"/>
    <w:rsid w:val="00CD33F6"/>
    <w:rsid w:val="00CD3D6D"/>
    <w:rsid w:val="00CD4206"/>
    <w:rsid w:val="00CD4B9C"/>
    <w:rsid w:val="00CD5611"/>
    <w:rsid w:val="00CD7153"/>
    <w:rsid w:val="00CD7A37"/>
    <w:rsid w:val="00CE1503"/>
    <w:rsid w:val="00CE25FE"/>
    <w:rsid w:val="00CE2639"/>
    <w:rsid w:val="00CE2C54"/>
    <w:rsid w:val="00CE2E1A"/>
    <w:rsid w:val="00CE3A34"/>
    <w:rsid w:val="00CE3D4A"/>
    <w:rsid w:val="00CE5B6B"/>
    <w:rsid w:val="00CE6C2C"/>
    <w:rsid w:val="00CE6DE3"/>
    <w:rsid w:val="00CF04CD"/>
    <w:rsid w:val="00CF16E1"/>
    <w:rsid w:val="00CF5AF1"/>
    <w:rsid w:val="00CF6524"/>
    <w:rsid w:val="00CF688F"/>
    <w:rsid w:val="00CF7DFE"/>
    <w:rsid w:val="00D01FE3"/>
    <w:rsid w:val="00D02601"/>
    <w:rsid w:val="00D0324A"/>
    <w:rsid w:val="00D04320"/>
    <w:rsid w:val="00D04892"/>
    <w:rsid w:val="00D04933"/>
    <w:rsid w:val="00D06419"/>
    <w:rsid w:val="00D07D9F"/>
    <w:rsid w:val="00D112F6"/>
    <w:rsid w:val="00D11E0B"/>
    <w:rsid w:val="00D12165"/>
    <w:rsid w:val="00D1235E"/>
    <w:rsid w:val="00D126E6"/>
    <w:rsid w:val="00D13A37"/>
    <w:rsid w:val="00D1469F"/>
    <w:rsid w:val="00D15409"/>
    <w:rsid w:val="00D15674"/>
    <w:rsid w:val="00D16749"/>
    <w:rsid w:val="00D1764D"/>
    <w:rsid w:val="00D20D70"/>
    <w:rsid w:val="00D210A9"/>
    <w:rsid w:val="00D219D6"/>
    <w:rsid w:val="00D21B7A"/>
    <w:rsid w:val="00D22832"/>
    <w:rsid w:val="00D2329B"/>
    <w:rsid w:val="00D244E2"/>
    <w:rsid w:val="00D251D2"/>
    <w:rsid w:val="00D277A8"/>
    <w:rsid w:val="00D30C84"/>
    <w:rsid w:val="00D30F91"/>
    <w:rsid w:val="00D32D86"/>
    <w:rsid w:val="00D331DA"/>
    <w:rsid w:val="00D3351B"/>
    <w:rsid w:val="00D33AF3"/>
    <w:rsid w:val="00D34E72"/>
    <w:rsid w:val="00D360B1"/>
    <w:rsid w:val="00D366DF"/>
    <w:rsid w:val="00D40260"/>
    <w:rsid w:val="00D40487"/>
    <w:rsid w:val="00D4083B"/>
    <w:rsid w:val="00D40B6C"/>
    <w:rsid w:val="00D41029"/>
    <w:rsid w:val="00D411D8"/>
    <w:rsid w:val="00D417F5"/>
    <w:rsid w:val="00D41A18"/>
    <w:rsid w:val="00D424C1"/>
    <w:rsid w:val="00D428FF"/>
    <w:rsid w:val="00D505AB"/>
    <w:rsid w:val="00D50615"/>
    <w:rsid w:val="00D506E7"/>
    <w:rsid w:val="00D51108"/>
    <w:rsid w:val="00D5182D"/>
    <w:rsid w:val="00D5290E"/>
    <w:rsid w:val="00D53608"/>
    <w:rsid w:val="00D53F74"/>
    <w:rsid w:val="00D54D78"/>
    <w:rsid w:val="00D556B9"/>
    <w:rsid w:val="00D55852"/>
    <w:rsid w:val="00D604A6"/>
    <w:rsid w:val="00D62689"/>
    <w:rsid w:val="00D627B5"/>
    <w:rsid w:val="00D62D5A"/>
    <w:rsid w:val="00D63000"/>
    <w:rsid w:val="00D64108"/>
    <w:rsid w:val="00D64723"/>
    <w:rsid w:val="00D6559B"/>
    <w:rsid w:val="00D70284"/>
    <w:rsid w:val="00D7078A"/>
    <w:rsid w:val="00D70B8D"/>
    <w:rsid w:val="00D7166A"/>
    <w:rsid w:val="00D71A86"/>
    <w:rsid w:val="00D73F6A"/>
    <w:rsid w:val="00D73FC9"/>
    <w:rsid w:val="00D74827"/>
    <w:rsid w:val="00D750C3"/>
    <w:rsid w:val="00D7550D"/>
    <w:rsid w:val="00D75727"/>
    <w:rsid w:val="00D7607C"/>
    <w:rsid w:val="00D76696"/>
    <w:rsid w:val="00D76BF1"/>
    <w:rsid w:val="00D77EA1"/>
    <w:rsid w:val="00D80F5B"/>
    <w:rsid w:val="00D83DFA"/>
    <w:rsid w:val="00D85771"/>
    <w:rsid w:val="00D85918"/>
    <w:rsid w:val="00D85956"/>
    <w:rsid w:val="00D85D04"/>
    <w:rsid w:val="00D868F1"/>
    <w:rsid w:val="00D9082E"/>
    <w:rsid w:val="00D90F1B"/>
    <w:rsid w:val="00D9100B"/>
    <w:rsid w:val="00D9109E"/>
    <w:rsid w:val="00D91260"/>
    <w:rsid w:val="00D919C1"/>
    <w:rsid w:val="00D92D54"/>
    <w:rsid w:val="00D93318"/>
    <w:rsid w:val="00D9532D"/>
    <w:rsid w:val="00DA2018"/>
    <w:rsid w:val="00DA273D"/>
    <w:rsid w:val="00DA2BB4"/>
    <w:rsid w:val="00DA3496"/>
    <w:rsid w:val="00DA4AE5"/>
    <w:rsid w:val="00DA4E3E"/>
    <w:rsid w:val="00DA55F0"/>
    <w:rsid w:val="00DA5FF8"/>
    <w:rsid w:val="00DA640D"/>
    <w:rsid w:val="00DA6787"/>
    <w:rsid w:val="00DA77A3"/>
    <w:rsid w:val="00DA77F2"/>
    <w:rsid w:val="00DB0A95"/>
    <w:rsid w:val="00DB0C5B"/>
    <w:rsid w:val="00DB497C"/>
    <w:rsid w:val="00DB49B1"/>
    <w:rsid w:val="00DB6744"/>
    <w:rsid w:val="00DB6C4E"/>
    <w:rsid w:val="00DB78BE"/>
    <w:rsid w:val="00DC14A6"/>
    <w:rsid w:val="00DC305B"/>
    <w:rsid w:val="00DC31A1"/>
    <w:rsid w:val="00DC3B00"/>
    <w:rsid w:val="00DC3E92"/>
    <w:rsid w:val="00DC516C"/>
    <w:rsid w:val="00DC6A0B"/>
    <w:rsid w:val="00DD0A8C"/>
    <w:rsid w:val="00DD1062"/>
    <w:rsid w:val="00DD1379"/>
    <w:rsid w:val="00DD1F9C"/>
    <w:rsid w:val="00DD274A"/>
    <w:rsid w:val="00DD318F"/>
    <w:rsid w:val="00DD48EA"/>
    <w:rsid w:val="00DD6655"/>
    <w:rsid w:val="00DD6CB7"/>
    <w:rsid w:val="00DD745C"/>
    <w:rsid w:val="00DE03B6"/>
    <w:rsid w:val="00DE09D4"/>
    <w:rsid w:val="00DE1B15"/>
    <w:rsid w:val="00DE2FF8"/>
    <w:rsid w:val="00DE3033"/>
    <w:rsid w:val="00DE3839"/>
    <w:rsid w:val="00DE5205"/>
    <w:rsid w:val="00DE5CDF"/>
    <w:rsid w:val="00DE5F7E"/>
    <w:rsid w:val="00DE60EC"/>
    <w:rsid w:val="00DE6EBD"/>
    <w:rsid w:val="00DE73AC"/>
    <w:rsid w:val="00DE7746"/>
    <w:rsid w:val="00DF187C"/>
    <w:rsid w:val="00DF1ED6"/>
    <w:rsid w:val="00DF2196"/>
    <w:rsid w:val="00DF2477"/>
    <w:rsid w:val="00DF3774"/>
    <w:rsid w:val="00DF3971"/>
    <w:rsid w:val="00DF5675"/>
    <w:rsid w:val="00DF5D0C"/>
    <w:rsid w:val="00DF647C"/>
    <w:rsid w:val="00DF6FAE"/>
    <w:rsid w:val="00DF7462"/>
    <w:rsid w:val="00DF7EC3"/>
    <w:rsid w:val="00E00B7D"/>
    <w:rsid w:val="00E01088"/>
    <w:rsid w:val="00E020D6"/>
    <w:rsid w:val="00E02253"/>
    <w:rsid w:val="00E02389"/>
    <w:rsid w:val="00E04004"/>
    <w:rsid w:val="00E04C4B"/>
    <w:rsid w:val="00E04FC1"/>
    <w:rsid w:val="00E07318"/>
    <w:rsid w:val="00E07835"/>
    <w:rsid w:val="00E07C60"/>
    <w:rsid w:val="00E10A24"/>
    <w:rsid w:val="00E1142A"/>
    <w:rsid w:val="00E119C7"/>
    <w:rsid w:val="00E11B6C"/>
    <w:rsid w:val="00E11FCF"/>
    <w:rsid w:val="00E12354"/>
    <w:rsid w:val="00E1286A"/>
    <w:rsid w:val="00E13C74"/>
    <w:rsid w:val="00E1444A"/>
    <w:rsid w:val="00E14EF1"/>
    <w:rsid w:val="00E156AB"/>
    <w:rsid w:val="00E156EB"/>
    <w:rsid w:val="00E17296"/>
    <w:rsid w:val="00E17D90"/>
    <w:rsid w:val="00E21F0B"/>
    <w:rsid w:val="00E226F3"/>
    <w:rsid w:val="00E2336E"/>
    <w:rsid w:val="00E24245"/>
    <w:rsid w:val="00E2463F"/>
    <w:rsid w:val="00E24AA1"/>
    <w:rsid w:val="00E25312"/>
    <w:rsid w:val="00E26958"/>
    <w:rsid w:val="00E26B56"/>
    <w:rsid w:val="00E27D54"/>
    <w:rsid w:val="00E31245"/>
    <w:rsid w:val="00E31DA4"/>
    <w:rsid w:val="00E326A8"/>
    <w:rsid w:val="00E338DF"/>
    <w:rsid w:val="00E33E52"/>
    <w:rsid w:val="00E34075"/>
    <w:rsid w:val="00E34978"/>
    <w:rsid w:val="00E34CC2"/>
    <w:rsid w:val="00E36481"/>
    <w:rsid w:val="00E42A0F"/>
    <w:rsid w:val="00E43A32"/>
    <w:rsid w:val="00E44EED"/>
    <w:rsid w:val="00E46172"/>
    <w:rsid w:val="00E50554"/>
    <w:rsid w:val="00E506EE"/>
    <w:rsid w:val="00E51362"/>
    <w:rsid w:val="00E51C72"/>
    <w:rsid w:val="00E52FB0"/>
    <w:rsid w:val="00E551E8"/>
    <w:rsid w:val="00E558C4"/>
    <w:rsid w:val="00E55F01"/>
    <w:rsid w:val="00E56D3F"/>
    <w:rsid w:val="00E57971"/>
    <w:rsid w:val="00E60842"/>
    <w:rsid w:val="00E62B7E"/>
    <w:rsid w:val="00E63C01"/>
    <w:rsid w:val="00E64017"/>
    <w:rsid w:val="00E64615"/>
    <w:rsid w:val="00E652F5"/>
    <w:rsid w:val="00E6560B"/>
    <w:rsid w:val="00E65669"/>
    <w:rsid w:val="00E65A99"/>
    <w:rsid w:val="00E66E1E"/>
    <w:rsid w:val="00E70DE2"/>
    <w:rsid w:val="00E72330"/>
    <w:rsid w:val="00E72862"/>
    <w:rsid w:val="00E73A7F"/>
    <w:rsid w:val="00E73E02"/>
    <w:rsid w:val="00E74282"/>
    <w:rsid w:val="00E76DAB"/>
    <w:rsid w:val="00E771D2"/>
    <w:rsid w:val="00E7751B"/>
    <w:rsid w:val="00E77FB7"/>
    <w:rsid w:val="00E80054"/>
    <w:rsid w:val="00E805A6"/>
    <w:rsid w:val="00E8197C"/>
    <w:rsid w:val="00E82011"/>
    <w:rsid w:val="00E8276A"/>
    <w:rsid w:val="00E827F0"/>
    <w:rsid w:val="00E84186"/>
    <w:rsid w:val="00E84506"/>
    <w:rsid w:val="00E84D17"/>
    <w:rsid w:val="00E85B33"/>
    <w:rsid w:val="00E860EF"/>
    <w:rsid w:val="00E862AD"/>
    <w:rsid w:val="00E86F46"/>
    <w:rsid w:val="00E9176D"/>
    <w:rsid w:val="00E91CD3"/>
    <w:rsid w:val="00E92E7C"/>
    <w:rsid w:val="00E93C05"/>
    <w:rsid w:val="00E93DEB"/>
    <w:rsid w:val="00E9410B"/>
    <w:rsid w:val="00E94A6C"/>
    <w:rsid w:val="00E95EB2"/>
    <w:rsid w:val="00E9629A"/>
    <w:rsid w:val="00E9736A"/>
    <w:rsid w:val="00E979FD"/>
    <w:rsid w:val="00EA0846"/>
    <w:rsid w:val="00EA0977"/>
    <w:rsid w:val="00EA0994"/>
    <w:rsid w:val="00EA0B26"/>
    <w:rsid w:val="00EA0F4F"/>
    <w:rsid w:val="00EA1DEC"/>
    <w:rsid w:val="00EA396C"/>
    <w:rsid w:val="00EA4407"/>
    <w:rsid w:val="00EA46CA"/>
    <w:rsid w:val="00EA556A"/>
    <w:rsid w:val="00EB00A7"/>
    <w:rsid w:val="00EB0342"/>
    <w:rsid w:val="00EB03FB"/>
    <w:rsid w:val="00EB3925"/>
    <w:rsid w:val="00EB4027"/>
    <w:rsid w:val="00EB43F4"/>
    <w:rsid w:val="00EB4DC1"/>
    <w:rsid w:val="00EB5DF0"/>
    <w:rsid w:val="00EB60A8"/>
    <w:rsid w:val="00EB60C7"/>
    <w:rsid w:val="00EC2308"/>
    <w:rsid w:val="00EC294A"/>
    <w:rsid w:val="00EC29F1"/>
    <w:rsid w:val="00EC3E28"/>
    <w:rsid w:val="00EC49D6"/>
    <w:rsid w:val="00EC77DC"/>
    <w:rsid w:val="00EC7EC0"/>
    <w:rsid w:val="00ED139B"/>
    <w:rsid w:val="00ED149E"/>
    <w:rsid w:val="00ED193F"/>
    <w:rsid w:val="00ED2C7C"/>
    <w:rsid w:val="00ED2FE6"/>
    <w:rsid w:val="00ED5BB6"/>
    <w:rsid w:val="00ED5E39"/>
    <w:rsid w:val="00ED7148"/>
    <w:rsid w:val="00ED79D8"/>
    <w:rsid w:val="00EE0AB7"/>
    <w:rsid w:val="00EE0C1A"/>
    <w:rsid w:val="00EE0DFB"/>
    <w:rsid w:val="00EE2A44"/>
    <w:rsid w:val="00EE6E0C"/>
    <w:rsid w:val="00EE6F5C"/>
    <w:rsid w:val="00EE7580"/>
    <w:rsid w:val="00EF048C"/>
    <w:rsid w:val="00EF08EE"/>
    <w:rsid w:val="00EF0E5B"/>
    <w:rsid w:val="00EF15FC"/>
    <w:rsid w:val="00EF24C7"/>
    <w:rsid w:val="00EF341D"/>
    <w:rsid w:val="00EF3996"/>
    <w:rsid w:val="00EF6DB8"/>
    <w:rsid w:val="00F01DDA"/>
    <w:rsid w:val="00F02D69"/>
    <w:rsid w:val="00F03392"/>
    <w:rsid w:val="00F03D74"/>
    <w:rsid w:val="00F03DC4"/>
    <w:rsid w:val="00F04C67"/>
    <w:rsid w:val="00F053CD"/>
    <w:rsid w:val="00F05424"/>
    <w:rsid w:val="00F0579D"/>
    <w:rsid w:val="00F06491"/>
    <w:rsid w:val="00F06FC5"/>
    <w:rsid w:val="00F07BF8"/>
    <w:rsid w:val="00F10E8C"/>
    <w:rsid w:val="00F12E1A"/>
    <w:rsid w:val="00F13A46"/>
    <w:rsid w:val="00F14AD4"/>
    <w:rsid w:val="00F14C57"/>
    <w:rsid w:val="00F14D5D"/>
    <w:rsid w:val="00F15D97"/>
    <w:rsid w:val="00F16185"/>
    <w:rsid w:val="00F16BC0"/>
    <w:rsid w:val="00F16C15"/>
    <w:rsid w:val="00F209F8"/>
    <w:rsid w:val="00F21149"/>
    <w:rsid w:val="00F2127F"/>
    <w:rsid w:val="00F21292"/>
    <w:rsid w:val="00F21DAA"/>
    <w:rsid w:val="00F2225C"/>
    <w:rsid w:val="00F22530"/>
    <w:rsid w:val="00F22F58"/>
    <w:rsid w:val="00F22F84"/>
    <w:rsid w:val="00F251F8"/>
    <w:rsid w:val="00F253EA"/>
    <w:rsid w:val="00F254C2"/>
    <w:rsid w:val="00F25ADC"/>
    <w:rsid w:val="00F26B71"/>
    <w:rsid w:val="00F3056A"/>
    <w:rsid w:val="00F315A2"/>
    <w:rsid w:val="00F321CB"/>
    <w:rsid w:val="00F32FE0"/>
    <w:rsid w:val="00F36FE4"/>
    <w:rsid w:val="00F37FEE"/>
    <w:rsid w:val="00F41182"/>
    <w:rsid w:val="00F420A3"/>
    <w:rsid w:val="00F426D8"/>
    <w:rsid w:val="00F42FB4"/>
    <w:rsid w:val="00F430C2"/>
    <w:rsid w:val="00F44655"/>
    <w:rsid w:val="00F50D74"/>
    <w:rsid w:val="00F52765"/>
    <w:rsid w:val="00F554CF"/>
    <w:rsid w:val="00F603F5"/>
    <w:rsid w:val="00F60B6E"/>
    <w:rsid w:val="00F61E0A"/>
    <w:rsid w:val="00F62519"/>
    <w:rsid w:val="00F63AC6"/>
    <w:rsid w:val="00F63E35"/>
    <w:rsid w:val="00F6446D"/>
    <w:rsid w:val="00F64D0D"/>
    <w:rsid w:val="00F66A42"/>
    <w:rsid w:val="00F70556"/>
    <w:rsid w:val="00F70B23"/>
    <w:rsid w:val="00F71310"/>
    <w:rsid w:val="00F72AEE"/>
    <w:rsid w:val="00F72BFA"/>
    <w:rsid w:val="00F72EBA"/>
    <w:rsid w:val="00F731D7"/>
    <w:rsid w:val="00F735E9"/>
    <w:rsid w:val="00F73EC5"/>
    <w:rsid w:val="00F742DF"/>
    <w:rsid w:val="00F74428"/>
    <w:rsid w:val="00F74BA3"/>
    <w:rsid w:val="00F751C8"/>
    <w:rsid w:val="00F75898"/>
    <w:rsid w:val="00F76029"/>
    <w:rsid w:val="00F7675C"/>
    <w:rsid w:val="00F7714C"/>
    <w:rsid w:val="00F804EE"/>
    <w:rsid w:val="00F8281E"/>
    <w:rsid w:val="00F84747"/>
    <w:rsid w:val="00F84B71"/>
    <w:rsid w:val="00F84DC1"/>
    <w:rsid w:val="00F86BFD"/>
    <w:rsid w:val="00F8730C"/>
    <w:rsid w:val="00F878B1"/>
    <w:rsid w:val="00F87D42"/>
    <w:rsid w:val="00F902B7"/>
    <w:rsid w:val="00F926F6"/>
    <w:rsid w:val="00F930B5"/>
    <w:rsid w:val="00F9473C"/>
    <w:rsid w:val="00F94B27"/>
    <w:rsid w:val="00F94D5D"/>
    <w:rsid w:val="00F94FFA"/>
    <w:rsid w:val="00F955AD"/>
    <w:rsid w:val="00F95D19"/>
    <w:rsid w:val="00F961D0"/>
    <w:rsid w:val="00FA1933"/>
    <w:rsid w:val="00FA346E"/>
    <w:rsid w:val="00FA525D"/>
    <w:rsid w:val="00FA6C05"/>
    <w:rsid w:val="00FA7157"/>
    <w:rsid w:val="00FA71EF"/>
    <w:rsid w:val="00FB015E"/>
    <w:rsid w:val="00FB06BB"/>
    <w:rsid w:val="00FB1C3F"/>
    <w:rsid w:val="00FB2F90"/>
    <w:rsid w:val="00FB3017"/>
    <w:rsid w:val="00FB364C"/>
    <w:rsid w:val="00FB41CC"/>
    <w:rsid w:val="00FB5ACC"/>
    <w:rsid w:val="00FB6981"/>
    <w:rsid w:val="00FB6F07"/>
    <w:rsid w:val="00FB70D9"/>
    <w:rsid w:val="00FC019F"/>
    <w:rsid w:val="00FC0648"/>
    <w:rsid w:val="00FC2002"/>
    <w:rsid w:val="00FC4C9D"/>
    <w:rsid w:val="00FC5044"/>
    <w:rsid w:val="00FC7187"/>
    <w:rsid w:val="00FD05BC"/>
    <w:rsid w:val="00FD1021"/>
    <w:rsid w:val="00FD5587"/>
    <w:rsid w:val="00FD5699"/>
    <w:rsid w:val="00FD74FB"/>
    <w:rsid w:val="00FD7AA6"/>
    <w:rsid w:val="00FE0F84"/>
    <w:rsid w:val="00FE18DD"/>
    <w:rsid w:val="00FE2322"/>
    <w:rsid w:val="00FE3703"/>
    <w:rsid w:val="00FE4295"/>
    <w:rsid w:val="00FE498A"/>
    <w:rsid w:val="00FF149E"/>
    <w:rsid w:val="00FF2C63"/>
    <w:rsid w:val="00FF3174"/>
    <w:rsid w:val="00FF4111"/>
    <w:rsid w:val="00FF7FDA"/>
    <w:rsid w:val="012AFE82"/>
    <w:rsid w:val="01AC223E"/>
    <w:rsid w:val="02D2ACE5"/>
    <w:rsid w:val="09979DD7"/>
    <w:rsid w:val="09A58537"/>
    <w:rsid w:val="0A250D02"/>
    <w:rsid w:val="0B883A94"/>
    <w:rsid w:val="0C17A6A1"/>
    <w:rsid w:val="0CC67EF7"/>
    <w:rsid w:val="0E2373B8"/>
    <w:rsid w:val="16412C4A"/>
    <w:rsid w:val="1AB6CD98"/>
    <w:rsid w:val="1AE6DFDF"/>
    <w:rsid w:val="1B7CA182"/>
    <w:rsid w:val="1BDF7A98"/>
    <w:rsid w:val="1D362234"/>
    <w:rsid w:val="2021B362"/>
    <w:rsid w:val="20C03603"/>
    <w:rsid w:val="2163C58C"/>
    <w:rsid w:val="28D39016"/>
    <w:rsid w:val="291C321C"/>
    <w:rsid w:val="2B6EBC07"/>
    <w:rsid w:val="2CF36083"/>
    <w:rsid w:val="2F393A62"/>
    <w:rsid w:val="2FEE7AA5"/>
    <w:rsid w:val="3099E6F4"/>
    <w:rsid w:val="3839B8C8"/>
    <w:rsid w:val="39B1BD40"/>
    <w:rsid w:val="3A7DC9ED"/>
    <w:rsid w:val="4099B07B"/>
    <w:rsid w:val="41F4EAA3"/>
    <w:rsid w:val="443C0EB0"/>
    <w:rsid w:val="44DFC5AD"/>
    <w:rsid w:val="4780A7EC"/>
    <w:rsid w:val="48867A97"/>
    <w:rsid w:val="48D9DF79"/>
    <w:rsid w:val="49EED19A"/>
    <w:rsid w:val="4C0C388D"/>
    <w:rsid w:val="4FBABB24"/>
    <w:rsid w:val="5370C654"/>
    <w:rsid w:val="53D1E412"/>
    <w:rsid w:val="55A451EC"/>
    <w:rsid w:val="593A91EB"/>
    <w:rsid w:val="5A55F7D5"/>
    <w:rsid w:val="602EFD3F"/>
    <w:rsid w:val="608BBC48"/>
    <w:rsid w:val="63245F01"/>
    <w:rsid w:val="6B0AC993"/>
    <w:rsid w:val="6B235BE8"/>
    <w:rsid w:val="6C7DA5C0"/>
    <w:rsid w:val="725F98BE"/>
    <w:rsid w:val="73168D14"/>
    <w:rsid w:val="737E09D3"/>
    <w:rsid w:val="75AFF1A3"/>
    <w:rsid w:val="7AA348BE"/>
    <w:rsid w:val="7E856A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2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ind w:firstLine="52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4"/>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9"/>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9"/>
      </w:numPr>
      <w:pBdr>
        <w:bottom w:val="single" w:sz="4" w:space="8" w:color="auto"/>
      </w:pBdr>
      <w:spacing w:before="0"/>
    </w:pPr>
  </w:style>
  <w:style w:type="numbering" w:customStyle="1" w:styleId="Chapternumbering">
    <w:name w:val="Chapter numbering"/>
    <w:uiPriority w:val="99"/>
    <w:rsid w:val="005D0844"/>
    <w:pPr>
      <w:numPr>
        <w:numId w:val="9"/>
      </w:numPr>
    </w:pPr>
  </w:style>
  <w:style w:type="paragraph" w:customStyle="1" w:styleId="ChartandTableFootnoteAlpha">
    <w:name w:val="Chart and Table Footnote Alpha"/>
    <w:uiPriority w:val="1"/>
    <w:rsid w:val="00F22F58"/>
    <w:pPr>
      <w:tabs>
        <w:tab w:val="num" w:pos="284"/>
      </w:tabs>
      <w:spacing w:after="0"/>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6"/>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12"/>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3"/>
      </w:numPr>
      <w:spacing w:before="120" w:after="120"/>
      <w:ind w:left="1843" w:right="862" w:hanging="709"/>
    </w:pPr>
  </w:style>
  <w:style w:type="paragraph" w:customStyle="1" w:styleId="Exampledotpoint2">
    <w:name w:val="Example dot point 2"/>
    <w:basedOn w:val="Exampledotpoint1"/>
    <w:uiPriority w:val="1"/>
    <w:rsid w:val="000E521B"/>
    <w:pPr>
      <w:numPr>
        <w:numId w:val="14"/>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7"/>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8"/>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9"/>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21"/>
      </w:numPr>
      <w:tabs>
        <w:tab w:val="clear" w:pos="567"/>
      </w:tabs>
    </w:pPr>
  </w:style>
  <w:style w:type="paragraph" w:customStyle="1" w:styleId="Tabledotpoint1">
    <w:name w:val="Table dot point 1"/>
    <w:basedOn w:val="Normalparatextnonumbers"/>
    <w:uiPriority w:val="1"/>
    <w:rsid w:val="000E521B"/>
    <w:pPr>
      <w:numPr>
        <w:numId w:val="22"/>
      </w:numPr>
      <w:ind w:left="425" w:hanging="425"/>
    </w:pPr>
    <w:rPr>
      <w:sz w:val="20"/>
    </w:rPr>
  </w:style>
  <w:style w:type="paragraph" w:customStyle="1" w:styleId="Tabledotpoint2">
    <w:name w:val="Table dot point 2"/>
    <w:basedOn w:val="Tabledotpoint1"/>
    <w:uiPriority w:val="1"/>
    <w:rsid w:val="000E521B"/>
    <w:pPr>
      <w:numPr>
        <w:numId w:val="23"/>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customStyle="1" w:styleId="normaltextrun">
    <w:name w:val="normaltextrun"/>
    <w:basedOn w:val="DefaultParagraphFont"/>
    <w:rsid w:val="002E56CE"/>
  </w:style>
  <w:style w:type="character" w:customStyle="1" w:styleId="eop">
    <w:name w:val="eop"/>
    <w:basedOn w:val="DefaultParagraphFont"/>
    <w:rsid w:val="002E56CE"/>
  </w:style>
  <w:style w:type="character" w:styleId="CommentReference">
    <w:name w:val="annotation reference"/>
    <w:basedOn w:val="DefaultParagraphFont"/>
    <w:uiPriority w:val="99"/>
    <w:semiHidden/>
    <w:unhideWhenUsed/>
    <w:rsid w:val="009D11B0"/>
    <w:rPr>
      <w:sz w:val="16"/>
      <w:szCs w:val="16"/>
    </w:rPr>
  </w:style>
  <w:style w:type="paragraph" w:styleId="CommentText">
    <w:name w:val="annotation text"/>
    <w:basedOn w:val="Normal"/>
    <w:link w:val="CommentTextChar"/>
    <w:uiPriority w:val="99"/>
    <w:unhideWhenUsed/>
    <w:rsid w:val="009D11B0"/>
    <w:rPr>
      <w:sz w:val="20"/>
      <w:szCs w:val="20"/>
    </w:rPr>
  </w:style>
  <w:style w:type="character" w:customStyle="1" w:styleId="CommentTextChar">
    <w:name w:val="Comment Text Char"/>
    <w:basedOn w:val="DefaultParagraphFont"/>
    <w:link w:val="CommentText"/>
    <w:uiPriority w:val="99"/>
    <w:rsid w:val="009D11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11B0"/>
    <w:rPr>
      <w:b/>
      <w:bCs/>
    </w:rPr>
  </w:style>
  <w:style w:type="character" w:customStyle="1" w:styleId="CommentSubjectChar">
    <w:name w:val="Comment Subject Char"/>
    <w:basedOn w:val="CommentTextChar"/>
    <w:link w:val="CommentSubject"/>
    <w:uiPriority w:val="99"/>
    <w:semiHidden/>
    <w:rsid w:val="009D11B0"/>
    <w:rPr>
      <w:rFonts w:ascii="Times New Roman" w:hAnsi="Times New Roman"/>
      <w:b/>
      <w:bCs/>
      <w:sz w:val="20"/>
      <w:szCs w:val="20"/>
    </w:rPr>
  </w:style>
  <w:style w:type="paragraph" w:customStyle="1" w:styleId="Bullet">
    <w:name w:val="Bullet"/>
    <w:basedOn w:val="Normal"/>
    <w:link w:val="BulletChar"/>
    <w:rsid w:val="00852D9E"/>
    <w:pPr>
      <w:numPr>
        <w:numId w:val="26"/>
      </w:numPr>
    </w:pPr>
  </w:style>
  <w:style w:type="character" w:customStyle="1" w:styleId="NormalparatextnonumbersChar">
    <w:name w:val="Normal para text (no numbers) Char"/>
    <w:basedOn w:val="DefaultParagraphFont"/>
    <w:link w:val="Normalparatextnonumbers"/>
    <w:rsid w:val="00852D9E"/>
    <w:rPr>
      <w:rFonts w:ascii="Times New Roman" w:hAnsi="Times New Roman"/>
    </w:rPr>
  </w:style>
  <w:style w:type="character" w:customStyle="1" w:styleId="NormalparatextwithnumbersChar">
    <w:name w:val="Normal para text (with numbers) Char"/>
    <w:basedOn w:val="NormalparatextnonumbersChar"/>
    <w:link w:val="Normalparatextwithnumbers"/>
    <w:rsid w:val="00852D9E"/>
    <w:rPr>
      <w:rFonts w:ascii="Times New Roman" w:hAnsi="Times New Roman"/>
    </w:rPr>
  </w:style>
  <w:style w:type="character" w:customStyle="1" w:styleId="BulletChar">
    <w:name w:val="Bullet Char"/>
    <w:basedOn w:val="NormalparatextwithnumbersChar"/>
    <w:link w:val="Bullet"/>
    <w:rsid w:val="00852D9E"/>
    <w:rPr>
      <w:rFonts w:ascii="Times New Roman" w:hAnsi="Times New Roman"/>
    </w:rPr>
  </w:style>
  <w:style w:type="paragraph" w:customStyle="1" w:styleId="DoubleDot">
    <w:name w:val="Double Dot"/>
    <w:basedOn w:val="Normal"/>
    <w:link w:val="DoubleDotChar"/>
    <w:rsid w:val="00852D9E"/>
    <w:pPr>
      <w:numPr>
        <w:ilvl w:val="2"/>
        <w:numId w:val="26"/>
      </w:numPr>
    </w:pPr>
  </w:style>
  <w:style w:type="character" w:customStyle="1" w:styleId="DoubleDotChar">
    <w:name w:val="Double Dot Char"/>
    <w:basedOn w:val="NormalparatextwithnumbersChar"/>
    <w:link w:val="DoubleDot"/>
    <w:rsid w:val="00852D9E"/>
    <w:rPr>
      <w:rFonts w:ascii="Times New Roman" w:hAnsi="Times New Roman"/>
    </w:rPr>
  </w:style>
  <w:style w:type="paragraph" w:customStyle="1" w:styleId="base-text-paragraph">
    <w:name w:val="base-text-paragraph"/>
    <w:link w:val="base-text-paragraphChar"/>
    <w:rsid w:val="00B642BA"/>
    <w:pPr>
      <w:numPr>
        <w:numId w:val="27"/>
      </w:numPr>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B642BA"/>
    <w:rPr>
      <w:rFonts w:ascii="Times New Roman" w:eastAsia="Times New Roman" w:hAnsi="Times New Roman" w:cs="Times New Roman"/>
      <w:szCs w:val="20"/>
      <w:lang w:eastAsia="en-AU"/>
    </w:rPr>
  </w:style>
  <w:style w:type="paragraph" w:styleId="ListBullet">
    <w:name w:val="List Bullet"/>
    <w:basedOn w:val="Normal"/>
    <w:uiPriority w:val="99"/>
    <w:unhideWhenUsed/>
    <w:rsid w:val="004B43D6"/>
    <w:pPr>
      <w:numPr>
        <w:numId w:val="28"/>
      </w:numPr>
      <w:contextualSpacing/>
    </w:pPr>
  </w:style>
  <w:style w:type="numbering" w:customStyle="1" w:styleId="Chapternumbering1">
    <w:name w:val="Chapter numbering1"/>
    <w:uiPriority w:val="99"/>
    <w:rsid w:val="00646CC8"/>
  </w:style>
  <w:style w:type="paragraph" w:styleId="NormalWeb">
    <w:name w:val="Normal (Web)"/>
    <w:basedOn w:val="Normal"/>
    <w:uiPriority w:val="99"/>
    <w:semiHidden/>
    <w:unhideWhenUsed/>
    <w:rsid w:val="00716B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7574">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018700581">
      <w:bodyDiv w:val="1"/>
      <w:marLeft w:val="0"/>
      <w:marRight w:val="0"/>
      <w:marTop w:val="0"/>
      <w:marBottom w:val="0"/>
      <w:divBdr>
        <w:top w:val="none" w:sz="0" w:space="0" w:color="auto"/>
        <w:left w:val="none" w:sz="0" w:space="0" w:color="auto"/>
        <w:bottom w:val="none" w:sz="0" w:space="0" w:color="auto"/>
        <w:right w:val="none" w:sz="0" w:space="0" w:color="auto"/>
      </w:divBdr>
    </w:div>
    <w:div w:id="1027566796">
      <w:bodyDiv w:val="1"/>
      <w:marLeft w:val="0"/>
      <w:marRight w:val="0"/>
      <w:marTop w:val="0"/>
      <w:marBottom w:val="0"/>
      <w:divBdr>
        <w:top w:val="none" w:sz="0" w:space="0" w:color="auto"/>
        <w:left w:val="none" w:sz="0" w:space="0" w:color="auto"/>
        <w:bottom w:val="none" w:sz="0" w:space="0" w:color="auto"/>
        <w:right w:val="none" w:sz="0" w:space="0" w:color="auto"/>
      </w:divBdr>
    </w:div>
    <w:div w:id="1363631922">
      <w:bodyDiv w:val="1"/>
      <w:marLeft w:val="0"/>
      <w:marRight w:val="0"/>
      <w:marTop w:val="0"/>
      <w:marBottom w:val="0"/>
      <w:divBdr>
        <w:top w:val="none" w:sz="0" w:space="0" w:color="auto"/>
        <w:left w:val="none" w:sz="0" w:space="0" w:color="auto"/>
        <w:bottom w:val="none" w:sz="0" w:space="0" w:color="auto"/>
        <w:right w:val="none" w:sz="0" w:space="0" w:color="auto"/>
      </w:divBdr>
    </w:div>
    <w:div w:id="1392464979">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71141939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2036</Words>
  <Characters>10314</Characters>
  <Application>Microsoft Office Word</Application>
  <DocSecurity>0</DocSecurity>
  <Lines>240</Lines>
  <Paragraphs>99</Paragraphs>
  <ScaleCrop>false</ScaleCrop>
  <HeadingPairs>
    <vt:vector size="2" baseType="variant">
      <vt:variant>
        <vt:lpstr>Title</vt:lpstr>
      </vt:variant>
      <vt:variant>
        <vt:i4>1</vt:i4>
      </vt:variant>
    </vt:vector>
  </HeadingPairs>
  <TitlesOfParts>
    <vt:vector size="1" baseType="lpstr">
      <vt:lpstr>Exposure explanatory materials - Exempting lump sums payments in arrears from the Medicare levy</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explanatory materials - Exempting lump sums payments in arrears from the Medicare levy</dc:title>
  <dc:subject/>
  <dc:creator/>
  <cp:keywords/>
  <dc:description/>
  <cp:lastModifiedBy/>
  <cp:revision>1</cp:revision>
  <dcterms:created xsi:type="dcterms:W3CDTF">2024-03-26T03:59:00Z</dcterms:created>
  <dcterms:modified xsi:type="dcterms:W3CDTF">2024-03-26T04:07:00Z</dcterms:modified>
</cp:coreProperties>
</file>