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CF381" w14:textId="059FA37C" w:rsidR="00F109D4" w:rsidRPr="003C5719" w:rsidRDefault="00304F1E" w:rsidP="004A27A8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EXPOSURE </w:t>
      </w:r>
      <w:r w:rsidR="00B07F4F">
        <w:rPr>
          <w:rFonts w:ascii="Times New Roman" w:hAnsi="Times New Roman"/>
          <w:sz w:val="24"/>
          <w:szCs w:val="24"/>
        </w:rPr>
        <w:t xml:space="preserve">DRAFT </w:t>
      </w:r>
      <w:r w:rsidR="00F109D4" w:rsidRPr="003C5719">
        <w:rPr>
          <w:rFonts w:ascii="Times New Roman" w:hAnsi="Times New Roman"/>
          <w:sz w:val="24"/>
          <w:szCs w:val="24"/>
        </w:rPr>
        <w:t>EXPLANATORY STATEMENT</w:t>
      </w:r>
      <w:r w:rsidR="00B07F4F">
        <w:rPr>
          <w:rFonts w:ascii="Times New Roman" w:hAnsi="Times New Roman"/>
          <w:sz w:val="24"/>
          <w:szCs w:val="24"/>
        </w:rPr>
        <w:t xml:space="preserve"> </w:t>
      </w:r>
    </w:p>
    <w:p w14:paraId="53C660A6" w14:textId="7BCE4898" w:rsidR="007662C7" w:rsidRPr="003C5719" w:rsidRDefault="00F109D4" w:rsidP="004A27A8">
      <w:pPr>
        <w:pStyle w:val="Heading2"/>
        <w:jc w:val="center"/>
        <w:rPr>
          <w:sz w:val="24"/>
          <w:szCs w:val="24"/>
        </w:rPr>
      </w:pPr>
      <w:r w:rsidRPr="003C5719">
        <w:rPr>
          <w:sz w:val="24"/>
          <w:szCs w:val="24"/>
        </w:rPr>
        <w:t xml:space="preserve">Issued by authority of </w:t>
      </w:r>
      <w:sdt>
        <w:sdtPr>
          <w:rPr>
            <w:rStyle w:val="DefaultChar"/>
          </w:rPr>
          <w:id w:val="-1025254589"/>
          <w:placeholder>
            <w:docPart w:val="1B13CDBA30FA48D48B5E915FB7049C2E"/>
          </w:placeholder>
          <w:dropDownList>
            <w:listItem w:displayText="the Treasurer" w:value="the Treasurer"/>
            <w:listItem w:displayText="the Minister for Housing, Minister for Homelessness and Minister for Small Business" w:value="the Minister for Housing, Minister for Homelessness and Minister for Small Business"/>
            <w:listItem w:displayText="the Assistant Treasurer and Minister for Financial Services" w:value="the Assistant Treasurer and Minister for Financial Services"/>
            <w:listItem w:displayText="the Assistant Minister for Competition, Charities and Treasury" w:value="the Assistant Minister for Competition, Charities and Treasury"/>
          </w:dropDownList>
        </w:sdtPr>
        <w:sdtEndPr>
          <w:rPr>
            <w:rStyle w:val="DefaultParagraphFont"/>
            <w:color w:val="auto"/>
            <w:sz w:val="28"/>
            <w:szCs w:val="20"/>
          </w:rPr>
        </w:sdtEndPr>
        <w:sdtContent>
          <w:r w:rsidR="00140277">
            <w:rPr>
              <w:rStyle w:val="DefaultChar"/>
            </w:rPr>
            <w:t>the Assistant Treasurer and Minister for Financial Services</w:t>
          </w:r>
        </w:sdtContent>
      </w:sdt>
      <w:r w:rsidR="00076178" w:rsidRPr="003C5719">
        <w:rPr>
          <w:sz w:val="24"/>
          <w:szCs w:val="24"/>
        </w:rPr>
        <w:t xml:space="preserve"> </w:t>
      </w:r>
    </w:p>
    <w:p w14:paraId="7C769066" w14:textId="07B28BF3" w:rsidR="00F109D4" w:rsidRPr="003C5719" w:rsidRDefault="00140277" w:rsidP="004A27A8">
      <w:pPr>
        <w:spacing w:before="240" w:after="240"/>
        <w:jc w:val="center"/>
        <w:rPr>
          <w:i/>
        </w:rPr>
      </w:pPr>
      <w:r>
        <w:rPr>
          <w:i/>
        </w:rPr>
        <w:t>Corporations Act 2001</w:t>
      </w:r>
    </w:p>
    <w:p w14:paraId="6CB66AA1" w14:textId="2D25944E" w:rsidR="00AD4956" w:rsidRPr="003C5719" w:rsidRDefault="00AD4956" w:rsidP="004A27A8">
      <w:pPr>
        <w:spacing w:before="240" w:after="240"/>
        <w:jc w:val="center"/>
        <w:rPr>
          <w:i/>
        </w:rPr>
      </w:pPr>
      <w:r w:rsidRPr="001A0D6C">
        <w:rPr>
          <w:i/>
          <w:iCs/>
        </w:rPr>
        <w:t>Competition and Consumer Act 2010</w:t>
      </w:r>
    </w:p>
    <w:p w14:paraId="6B8E9FEC" w14:textId="0C7F4845" w:rsidR="00F109D4" w:rsidRPr="003C5719" w:rsidRDefault="002156DB" w:rsidP="004A27A8">
      <w:pPr>
        <w:tabs>
          <w:tab w:val="left" w:pos="1418"/>
        </w:tabs>
        <w:spacing w:before="0" w:after="240"/>
        <w:jc w:val="center"/>
        <w:rPr>
          <w:i/>
        </w:rPr>
      </w:pPr>
      <w:bookmarkStart w:id="0" w:name="_Hlk145669274"/>
      <w:r>
        <w:rPr>
          <w:i/>
        </w:rPr>
        <w:t>Corporations and Competition</w:t>
      </w:r>
      <w:r w:rsidR="009E7919">
        <w:rPr>
          <w:i/>
        </w:rPr>
        <w:t xml:space="preserve"> (CS Services) Instrument 202</w:t>
      </w:r>
      <w:r w:rsidR="000B761F">
        <w:rPr>
          <w:i/>
        </w:rPr>
        <w:t>4</w:t>
      </w:r>
    </w:p>
    <w:bookmarkEnd w:id="0"/>
    <w:p w14:paraId="2A206EB1" w14:textId="1F4F1DA9" w:rsidR="00AE4EA3" w:rsidRDefault="00836845" w:rsidP="004A27A8">
      <w:pPr>
        <w:spacing w:before="240"/>
      </w:pPr>
      <w:r>
        <w:t>Part 7</w:t>
      </w:r>
      <w:r w:rsidR="00A97089">
        <w:t xml:space="preserve">.3A of the </w:t>
      </w:r>
      <w:r w:rsidR="00A97089">
        <w:rPr>
          <w:i/>
          <w:iCs/>
        </w:rPr>
        <w:t xml:space="preserve">Corporations Act 2001 </w:t>
      </w:r>
      <w:r w:rsidR="00A97089">
        <w:t xml:space="preserve">(the Corporations Act) provides for the regulation of CS services. </w:t>
      </w:r>
      <w:r w:rsidR="00C87C41">
        <w:t xml:space="preserve"> Under </w:t>
      </w:r>
      <w:r w:rsidR="001734BD">
        <w:t xml:space="preserve">section 828A </w:t>
      </w:r>
      <w:r w:rsidR="00AE4EA3">
        <w:t xml:space="preserve">of the Corporations Act the Australian Securities and Investments Commission (ASIC) may make CS services rules imposing requirements </w:t>
      </w:r>
      <w:r w:rsidR="00A352E0">
        <w:t>dealing with the activities, conduct and governance arrangements of CS facility licensees and associated entities</w:t>
      </w:r>
      <w:r w:rsidR="001C5ED8">
        <w:t>, in relation to CS services</w:t>
      </w:r>
      <w:r w:rsidR="00A352E0">
        <w:t xml:space="preserve">. </w:t>
      </w:r>
      <w:r w:rsidR="00AE4EA3">
        <w:t xml:space="preserve">However, such requirements can only be imposed in relation to </w:t>
      </w:r>
      <w:r w:rsidR="00110921">
        <w:t>services of a type covered by determination made by the Minister</w:t>
      </w:r>
      <w:r w:rsidR="00E55B5F">
        <w:t xml:space="preserve"> under section</w:t>
      </w:r>
      <w:r w:rsidR="00C55D29" w:rsidRPr="003C5719">
        <w:t xml:space="preserve"> </w:t>
      </w:r>
      <w:r w:rsidR="00912972">
        <w:t>828B</w:t>
      </w:r>
      <w:r w:rsidR="004A23C5">
        <w:t xml:space="preserve"> of the Corporations Act</w:t>
      </w:r>
      <w:r w:rsidR="00AE4EA3">
        <w:t>.</w:t>
      </w:r>
    </w:p>
    <w:p w14:paraId="599A1F23" w14:textId="243810A4" w:rsidR="00892D3B" w:rsidRDefault="00C55D29" w:rsidP="004A27A8">
      <w:pPr>
        <w:spacing w:before="240"/>
      </w:pPr>
      <w:r w:rsidRPr="003C5719">
        <w:t>S</w:t>
      </w:r>
      <w:r w:rsidR="00AE4EA3">
        <w:t>ubs</w:t>
      </w:r>
      <w:r w:rsidRPr="003C5719">
        <w:t xml:space="preserve">ection </w:t>
      </w:r>
      <w:r w:rsidR="00912972">
        <w:t>828B</w:t>
      </w:r>
      <w:r w:rsidR="00AE4EA3">
        <w:t>(2)</w:t>
      </w:r>
      <w:r w:rsidR="005E4BAC" w:rsidRPr="003C5719">
        <w:t xml:space="preserve"> </w:t>
      </w:r>
      <w:r w:rsidR="00F109D4" w:rsidRPr="003C5719">
        <w:t xml:space="preserve">of the </w:t>
      </w:r>
      <w:r w:rsidR="009E7919">
        <w:t xml:space="preserve">Corporations </w:t>
      </w:r>
      <w:r w:rsidR="00F109D4" w:rsidRPr="003C5719">
        <w:t>Act</w:t>
      </w:r>
      <w:r w:rsidR="00B73BFD">
        <w:t xml:space="preserve"> </w:t>
      </w:r>
      <w:r w:rsidR="00F109D4" w:rsidRPr="003C5719">
        <w:t xml:space="preserve">provides that the </w:t>
      </w:r>
      <w:r w:rsidR="001A0D6C">
        <w:t>Minister may</w:t>
      </w:r>
      <w:r w:rsidR="00435D06">
        <w:t>, by legislative instrument, make a</w:t>
      </w:r>
      <w:r w:rsidR="001A0D6C">
        <w:t xml:space="preserve"> determin</w:t>
      </w:r>
      <w:r w:rsidR="00435D06">
        <w:t>ation</w:t>
      </w:r>
      <w:r w:rsidR="001A0D6C">
        <w:t xml:space="preserve"> </w:t>
      </w:r>
      <w:r w:rsidR="00435D06">
        <w:t>specifying</w:t>
      </w:r>
      <w:r w:rsidR="001A0D6C">
        <w:t xml:space="preserve"> one or more classes of CS services </w:t>
      </w:r>
      <w:r w:rsidR="00ED02EA">
        <w:t xml:space="preserve">in relation to which </w:t>
      </w:r>
      <w:r w:rsidR="000C05A3">
        <w:t xml:space="preserve">requirements may be imposed under </w:t>
      </w:r>
      <w:r w:rsidR="00786CBC">
        <w:t xml:space="preserve">the </w:t>
      </w:r>
      <w:r w:rsidR="001A0D6C">
        <w:t>CS service rules</w:t>
      </w:r>
      <w:r w:rsidR="00F109D4" w:rsidRPr="003C5719">
        <w:t>.</w:t>
      </w:r>
    </w:p>
    <w:p w14:paraId="6D1389F0" w14:textId="33898D56" w:rsidR="007865CA" w:rsidRPr="00B8167D" w:rsidRDefault="007865CA" w:rsidP="004A27A8">
      <w:pPr>
        <w:spacing w:before="240"/>
      </w:pPr>
      <w:r>
        <w:t>Part</w:t>
      </w:r>
      <w:r w:rsidR="008E30C6">
        <w:t xml:space="preserve"> XICB</w:t>
      </w:r>
      <w:r w:rsidR="00B8167D">
        <w:t xml:space="preserve"> of the </w:t>
      </w:r>
      <w:r w:rsidR="00B8167D">
        <w:rPr>
          <w:i/>
          <w:iCs/>
        </w:rPr>
        <w:t xml:space="preserve">Competition and Consumer Act 2010 </w:t>
      </w:r>
      <w:r w:rsidR="00B8167D">
        <w:t>(the CCA)</w:t>
      </w:r>
      <w:r w:rsidR="00575DC9">
        <w:t xml:space="preserve"> </w:t>
      </w:r>
      <w:r w:rsidR="00E02A98">
        <w:t xml:space="preserve">provides for a </w:t>
      </w:r>
      <w:r w:rsidR="006E795E">
        <w:t xml:space="preserve">negotiation and </w:t>
      </w:r>
      <w:r w:rsidR="00E02A98">
        <w:t>arbitration regime for persons seeking access to CS services</w:t>
      </w:r>
      <w:r w:rsidR="00B03AA1">
        <w:t>.</w:t>
      </w:r>
      <w:r w:rsidR="00C05665">
        <w:t xml:space="preserve"> Under </w:t>
      </w:r>
      <w:r w:rsidR="006E3912">
        <w:t>Part XICB</w:t>
      </w:r>
      <w:r w:rsidR="00290DDC">
        <w:t xml:space="preserve"> of the CCA t</w:t>
      </w:r>
      <w:r w:rsidR="00CF03BF">
        <w:t>he</w:t>
      </w:r>
      <w:r w:rsidR="007B7FF4">
        <w:t xml:space="preserve"> negotiation and</w:t>
      </w:r>
      <w:r w:rsidR="00CF03BF">
        <w:t xml:space="preserve"> arbitration regime is only open to access seekers seeking access to </w:t>
      </w:r>
      <w:r w:rsidR="004E3CEE">
        <w:t xml:space="preserve">a declared CS service. </w:t>
      </w:r>
      <w:r w:rsidR="0074509F">
        <w:t>A CS service is a declared CS service if the CS service is covered by a Ministerial declaration made under section</w:t>
      </w:r>
      <w:r w:rsidR="009A5468">
        <w:t xml:space="preserve"> 153ZEF</w:t>
      </w:r>
      <w:r w:rsidR="00082C1B">
        <w:t xml:space="preserve"> of the CCA</w:t>
      </w:r>
      <w:r w:rsidR="0074509F">
        <w:t>.</w:t>
      </w:r>
    </w:p>
    <w:p w14:paraId="2093B5D1" w14:textId="48489990" w:rsidR="009A5468" w:rsidRDefault="009A5468" w:rsidP="004A27A8">
      <w:pPr>
        <w:spacing w:before="240"/>
      </w:pPr>
      <w:r>
        <w:t>S</w:t>
      </w:r>
      <w:r w:rsidR="00511CC2">
        <w:t>ubs</w:t>
      </w:r>
      <w:r>
        <w:t>ection 153ZEF</w:t>
      </w:r>
      <w:r w:rsidR="00511CC2">
        <w:t>(1)</w:t>
      </w:r>
      <w:r>
        <w:t xml:space="preserve"> of the </w:t>
      </w:r>
      <w:r w:rsidR="002156DB">
        <w:t>CCA</w:t>
      </w:r>
      <w:r w:rsidR="00B73BFD">
        <w:t xml:space="preserve"> </w:t>
      </w:r>
      <w:r>
        <w:t>provides that the Minister may</w:t>
      </w:r>
      <w:r w:rsidR="00C1702C">
        <w:t>, by legislative instrument, make a</w:t>
      </w:r>
      <w:r>
        <w:t xml:space="preserve"> declar</w:t>
      </w:r>
      <w:r w:rsidR="00C1702C">
        <w:t>ation</w:t>
      </w:r>
      <w:r>
        <w:t xml:space="preserve"> </w:t>
      </w:r>
      <w:r w:rsidR="00C1702C">
        <w:t xml:space="preserve">specifying </w:t>
      </w:r>
      <w:r w:rsidR="00326191">
        <w:t xml:space="preserve">one or more CS services, or one or more classes of CS services, as </w:t>
      </w:r>
      <w:r>
        <w:t xml:space="preserve">CS services </w:t>
      </w:r>
      <w:r w:rsidR="00955B2C">
        <w:t>to which access may be</w:t>
      </w:r>
      <w:r>
        <w:t xml:space="preserve"> </w:t>
      </w:r>
      <w:r w:rsidR="006C4E39">
        <w:t>the</w:t>
      </w:r>
      <w:r>
        <w:t xml:space="preserve"> subject </w:t>
      </w:r>
      <w:r w:rsidR="006C4E39">
        <w:t>of</w:t>
      </w:r>
      <w:r>
        <w:t xml:space="preserve"> negotiation or arbitration</w:t>
      </w:r>
      <w:r w:rsidR="006C4E39">
        <w:t xml:space="preserve"> under Part XICB</w:t>
      </w:r>
      <w:r>
        <w:t xml:space="preserve">. </w:t>
      </w:r>
    </w:p>
    <w:p w14:paraId="4E891AFB" w14:textId="617AC8FB" w:rsidR="002156DB" w:rsidRDefault="002156DB" w:rsidP="00912972">
      <w:pPr>
        <w:spacing w:before="240"/>
      </w:pPr>
      <w:r>
        <w:t xml:space="preserve">The purpose of the </w:t>
      </w:r>
      <w:r>
        <w:rPr>
          <w:i/>
          <w:iCs/>
        </w:rPr>
        <w:t>Corporations and Competition (CS Services) Instrument 202</w:t>
      </w:r>
      <w:r w:rsidR="000B761F">
        <w:rPr>
          <w:i/>
          <w:iCs/>
        </w:rPr>
        <w:t>4</w:t>
      </w:r>
      <w:r>
        <w:rPr>
          <w:i/>
          <w:iCs/>
        </w:rPr>
        <w:t xml:space="preserve"> </w:t>
      </w:r>
      <w:r>
        <w:t>(Instrument)</w:t>
      </w:r>
      <w:r w:rsidR="00B92444">
        <w:t xml:space="preserve"> is to: </w:t>
      </w:r>
    </w:p>
    <w:p w14:paraId="5F7098D4" w14:textId="0F88113B" w:rsidR="00B92444" w:rsidRDefault="00232BC0" w:rsidP="00522CF9">
      <w:pPr>
        <w:pStyle w:val="Bullet"/>
      </w:pPr>
      <w:r>
        <w:t>d</w:t>
      </w:r>
      <w:r w:rsidR="00B92444">
        <w:t xml:space="preserve">etermine </w:t>
      </w:r>
      <w:r w:rsidR="0060034A">
        <w:t>a</w:t>
      </w:r>
      <w:r w:rsidR="00584D00">
        <w:t xml:space="preserve"> class</w:t>
      </w:r>
      <w:r w:rsidR="00B92444">
        <w:t xml:space="preserve"> of </w:t>
      </w:r>
      <w:r w:rsidR="00A22C5E">
        <w:t xml:space="preserve">CS services in </w:t>
      </w:r>
      <w:r w:rsidR="00CA7AFF">
        <w:t>relation to</w:t>
      </w:r>
      <w:r w:rsidR="00A22C5E">
        <w:t xml:space="preserve"> which ASIC </w:t>
      </w:r>
      <w:r w:rsidR="00C24BFD">
        <w:t>may impose</w:t>
      </w:r>
      <w:r w:rsidR="00A22C5E">
        <w:t xml:space="preserve"> CS service</w:t>
      </w:r>
      <w:r w:rsidR="00156B69">
        <w:t>s</w:t>
      </w:r>
      <w:r w:rsidR="00A22C5E">
        <w:t xml:space="preserve"> rules. </w:t>
      </w:r>
    </w:p>
    <w:p w14:paraId="4F48A1A9" w14:textId="759247CB" w:rsidR="00A22C5E" w:rsidRPr="002156DB" w:rsidRDefault="00232BC0" w:rsidP="00522CF9">
      <w:pPr>
        <w:pStyle w:val="Bullet"/>
      </w:pPr>
      <w:r>
        <w:t>d</w:t>
      </w:r>
      <w:r w:rsidR="00A22C5E">
        <w:t xml:space="preserve">eclare </w:t>
      </w:r>
      <w:r w:rsidR="00835062">
        <w:t>a</w:t>
      </w:r>
      <w:r w:rsidR="00E910A2">
        <w:t xml:space="preserve"> class</w:t>
      </w:r>
      <w:r w:rsidR="00E32388">
        <w:t xml:space="preserve"> of CS services </w:t>
      </w:r>
      <w:r w:rsidR="00E910A2">
        <w:t>to</w:t>
      </w:r>
      <w:r w:rsidR="00E32388">
        <w:t xml:space="preserve"> which access </w:t>
      </w:r>
      <w:r w:rsidR="00E910A2">
        <w:t>may be</w:t>
      </w:r>
      <w:r w:rsidR="000777A8">
        <w:t xml:space="preserve"> the</w:t>
      </w:r>
      <w:r w:rsidR="00E32388">
        <w:t xml:space="preserve"> subject </w:t>
      </w:r>
      <w:r w:rsidR="000777A8">
        <w:t>of</w:t>
      </w:r>
      <w:r w:rsidR="00E32388">
        <w:t xml:space="preserve"> negotiation </w:t>
      </w:r>
      <w:r w:rsidR="003A6A81">
        <w:t xml:space="preserve">or </w:t>
      </w:r>
      <w:r w:rsidR="00E32388">
        <w:t xml:space="preserve">arbitration </w:t>
      </w:r>
      <w:r w:rsidR="008B463B">
        <w:t>under</w:t>
      </w:r>
      <w:r w:rsidR="00E32388">
        <w:t xml:space="preserve"> </w:t>
      </w:r>
      <w:r w:rsidR="00EA7343">
        <w:t xml:space="preserve">Part XICB of the CCA. </w:t>
      </w:r>
    </w:p>
    <w:p w14:paraId="417DE094" w14:textId="407A426F" w:rsidR="00987133" w:rsidRDefault="00E269B6" w:rsidP="004A27A8">
      <w:pPr>
        <w:pStyle w:val="Bullet"/>
        <w:numPr>
          <w:ilvl w:val="0"/>
          <w:numId w:val="0"/>
        </w:numPr>
      </w:pPr>
      <w:r w:rsidRPr="00E269B6">
        <w:t xml:space="preserve">Subsection </w:t>
      </w:r>
      <w:r w:rsidR="00B75B8E">
        <w:t>828</w:t>
      </w:r>
      <w:proofErr w:type="gramStart"/>
      <w:r w:rsidR="00B75B8E">
        <w:t>B(</w:t>
      </w:r>
      <w:proofErr w:type="gramEnd"/>
      <w:r w:rsidR="00B75B8E">
        <w:t>5)</w:t>
      </w:r>
      <w:r w:rsidRPr="00E269B6">
        <w:t xml:space="preserve"> of the </w:t>
      </w:r>
      <w:r w:rsidR="00B75B8E">
        <w:t xml:space="preserve">Corporations </w:t>
      </w:r>
      <w:r w:rsidRPr="00E269B6">
        <w:t>Act provides</w:t>
      </w:r>
      <w:r w:rsidR="00322B69">
        <w:t xml:space="preserve"> that,</w:t>
      </w:r>
      <w:r w:rsidRPr="00E269B6">
        <w:t xml:space="preserve"> </w:t>
      </w:r>
      <w:r w:rsidR="00EE72AC">
        <w:t>i</w:t>
      </w:r>
      <w:r w:rsidR="00621B0D">
        <w:t xml:space="preserve">n making </w:t>
      </w:r>
      <w:r w:rsidR="00E45D84">
        <w:t>a determination</w:t>
      </w:r>
      <w:r w:rsidR="00621B0D">
        <w:t>, t</w:t>
      </w:r>
      <w:r w:rsidR="00987133">
        <w:t xml:space="preserve">he Minister must </w:t>
      </w:r>
      <w:r w:rsidR="000E3C07">
        <w:t>have regard to</w:t>
      </w:r>
      <w:r w:rsidR="001B14E5">
        <w:t xml:space="preserve"> </w:t>
      </w:r>
      <w:r w:rsidR="00B42C09">
        <w:t>certain</w:t>
      </w:r>
      <w:r w:rsidR="00E36B8B">
        <w:t xml:space="preserve"> matters </w:t>
      </w:r>
      <w:r w:rsidR="00B42C09">
        <w:t xml:space="preserve">in relation to the effect of </w:t>
      </w:r>
      <w:r w:rsidR="000E5817">
        <w:t xml:space="preserve">the </w:t>
      </w:r>
      <w:r w:rsidR="0031607C">
        <w:t>determination</w:t>
      </w:r>
      <w:r w:rsidR="005C53F8">
        <w:t>, including the</w:t>
      </w:r>
      <w:r w:rsidR="00987133">
        <w:t xml:space="preserve"> likely</w:t>
      </w:r>
      <w:r w:rsidR="00E36B8B">
        <w:t xml:space="preserve">: </w:t>
      </w:r>
    </w:p>
    <w:p w14:paraId="33C44DB1" w14:textId="71FA894A" w:rsidR="00987133" w:rsidRDefault="00E36B8B" w:rsidP="00F5705E">
      <w:pPr>
        <w:pStyle w:val="Bullet"/>
      </w:pPr>
      <w:r w:rsidRPr="00987133">
        <w:t xml:space="preserve">effect </w:t>
      </w:r>
      <w:r w:rsidR="00987133">
        <w:t xml:space="preserve">on </w:t>
      </w:r>
      <w:r w:rsidRPr="00987133">
        <w:t xml:space="preserve">the Australian economy, and on the efficiency, integrity, and stability of the Australian financial </w:t>
      </w:r>
      <w:proofErr w:type="gramStart"/>
      <w:r w:rsidRPr="00987133">
        <w:t>system;</w:t>
      </w:r>
      <w:proofErr w:type="gramEnd"/>
      <w:r w:rsidRPr="00987133">
        <w:t xml:space="preserve"> </w:t>
      </w:r>
    </w:p>
    <w:p w14:paraId="0E6EE7E1" w14:textId="74CC67BB" w:rsidR="00987133" w:rsidRDefault="00E36B8B" w:rsidP="00F5705E">
      <w:pPr>
        <w:pStyle w:val="Bullet"/>
      </w:pPr>
      <w:r w:rsidRPr="00987133">
        <w:t>regulatory impact</w:t>
      </w:r>
      <w:r w:rsidR="00807C86">
        <w:t xml:space="preserve"> of making the </w:t>
      </w:r>
      <w:r w:rsidR="001E58C0">
        <w:t>determination</w:t>
      </w:r>
      <w:r w:rsidRPr="00987133">
        <w:t xml:space="preserve">; and </w:t>
      </w:r>
    </w:p>
    <w:p w14:paraId="70B3E825" w14:textId="2E213743" w:rsidR="00987133" w:rsidRDefault="00E36B8B" w:rsidP="00F5705E">
      <w:pPr>
        <w:pStyle w:val="Bullet"/>
      </w:pPr>
      <w:r w:rsidRPr="00987133">
        <w:lastRenderedPageBreak/>
        <w:t>effect on the safety, fairness and effectiveness of competition in the provision of CS services.</w:t>
      </w:r>
    </w:p>
    <w:p w14:paraId="181BBD8E" w14:textId="70152332" w:rsidR="00987133" w:rsidRDefault="003E639A" w:rsidP="00886042">
      <w:bookmarkStart w:id="1" w:name="_Hlk145688118"/>
      <w:r>
        <w:t>T</w:t>
      </w:r>
      <w:r w:rsidR="00987133">
        <w:t xml:space="preserve">he Minister must consider any matters </w:t>
      </w:r>
      <w:r w:rsidR="003B67A6">
        <w:t xml:space="preserve">raised in advice provided by </w:t>
      </w:r>
      <w:r w:rsidR="00987133">
        <w:t>ASIC, the ACCC or the RBA</w:t>
      </w:r>
      <w:r w:rsidR="0026368D">
        <w:t xml:space="preserve"> (collectively, the regulators)</w:t>
      </w:r>
      <w:r w:rsidR="00987133">
        <w:t xml:space="preserve"> in relation to the </w:t>
      </w:r>
      <w:r w:rsidR="00237169">
        <w:t>determination</w:t>
      </w:r>
      <w:r w:rsidR="00987133">
        <w:t>. The Minister may also have regard to any other matters that they consider relevant (for example any relevant international standards or international commitments)</w:t>
      </w:r>
      <w:r>
        <w:t xml:space="preserve">. </w:t>
      </w:r>
    </w:p>
    <w:p w14:paraId="7DFF0E66" w14:textId="45E4F002" w:rsidR="00027417" w:rsidRDefault="00027417" w:rsidP="00400001">
      <w:r>
        <w:t>Subsection 828</w:t>
      </w:r>
      <w:proofErr w:type="gramStart"/>
      <w:r w:rsidR="007A0735">
        <w:t>B</w:t>
      </w:r>
      <w:r>
        <w:t>(</w:t>
      </w:r>
      <w:proofErr w:type="gramEnd"/>
      <w:r>
        <w:t xml:space="preserve">6) provides that </w:t>
      </w:r>
      <w:r w:rsidR="00400001">
        <w:t xml:space="preserve">the regulators may, on their own initiative, provide advice on whether </w:t>
      </w:r>
      <w:r w:rsidR="007B4276">
        <w:t>the</w:t>
      </w:r>
      <w:r w:rsidR="00400001">
        <w:t xml:space="preserve"> </w:t>
      </w:r>
      <w:r w:rsidR="002D67B7">
        <w:t>determination</w:t>
      </w:r>
      <w:r w:rsidR="00400001">
        <w:t xml:space="preserve"> should be made. They must provide this advice in response to a request from the Minister. Regulators providing advice through the CFR on potential </w:t>
      </w:r>
      <w:r w:rsidR="00B65178">
        <w:t xml:space="preserve">determinations </w:t>
      </w:r>
      <w:r w:rsidR="00400001">
        <w:t xml:space="preserve">following a public consultation process could be considered a provision of advice to the Minister. This would give the regulators an opportunity to provide input in determining the scope and text of </w:t>
      </w:r>
      <w:r w:rsidR="001972D0">
        <w:t xml:space="preserve">the </w:t>
      </w:r>
      <w:r w:rsidR="00296750">
        <w:t>determination</w:t>
      </w:r>
      <w:r w:rsidR="00400001">
        <w:t xml:space="preserve">. Before making </w:t>
      </w:r>
      <w:r w:rsidR="00CA6E05">
        <w:t>the</w:t>
      </w:r>
      <w:r w:rsidR="00096E7E">
        <w:t xml:space="preserve"> </w:t>
      </w:r>
      <w:r w:rsidR="00C4622D">
        <w:t>determination</w:t>
      </w:r>
      <w:r w:rsidR="00400001">
        <w:t>, the Minister must have regard to such advice.</w:t>
      </w:r>
    </w:p>
    <w:p w14:paraId="5E93C85F" w14:textId="7E767EAA" w:rsidR="00C45776" w:rsidRDefault="00C45776" w:rsidP="00C45776">
      <w:pPr>
        <w:spacing w:before="240"/>
      </w:pPr>
      <w:r>
        <w:t>S</w:t>
      </w:r>
      <w:r w:rsidR="009809AB">
        <w:t>ubs</w:t>
      </w:r>
      <w:r>
        <w:t xml:space="preserve">ection </w:t>
      </w:r>
      <w:r w:rsidRPr="00AE4A55">
        <w:t>153</w:t>
      </w:r>
      <w:proofErr w:type="gramStart"/>
      <w:r w:rsidRPr="00AE4A55">
        <w:t>ZEF</w:t>
      </w:r>
      <w:r w:rsidR="009809AB">
        <w:t>(</w:t>
      </w:r>
      <w:proofErr w:type="gramEnd"/>
      <w:r w:rsidR="009809AB">
        <w:t>4)</w:t>
      </w:r>
      <w:r w:rsidRPr="00AE4A55">
        <w:t xml:space="preserve"> </w:t>
      </w:r>
      <w:r>
        <w:t>of the CCA provides that</w:t>
      </w:r>
      <w:r w:rsidR="00375CD3">
        <w:t>,</w:t>
      </w:r>
      <w:r>
        <w:t xml:space="preserve"> in making </w:t>
      </w:r>
      <w:r w:rsidR="005B10A1">
        <w:t xml:space="preserve">the </w:t>
      </w:r>
      <w:r w:rsidR="00C4622D">
        <w:t>declaration</w:t>
      </w:r>
      <w:r>
        <w:t xml:space="preserve">, the Minister must </w:t>
      </w:r>
      <w:r w:rsidR="00FC3512">
        <w:t>have regard to</w:t>
      </w:r>
      <w:r w:rsidR="007E37AC">
        <w:t xml:space="preserve"> the following </w:t>
      </w:r>
      <w:r w:rsidR="003E1C60">
        <w:t>matters</w:t>
      </w:r>
      <w:r>
        <w:t xml:space="preserve">: </w:t>
      </w:r>
    </w:p>
    <w:p w14:paraId="667AC13B" w14:textId="5426E497" w:rsidR="00C45776" w:rsidRDefault="00684FAC" w:rsidP="00F5705E">
      <w:pPr>
        <w:pStyle w:val="Bullet"/>
      </w:pPr>
      <w:r>
        <w:t>the</w:t>
      </w:r>
      <w:r w:rsidR="00C45776">
        <w:t xml:space="preserve"> likely effect on the Australian economy, and on the efficiency, integrity and stability of the Australian financial system</w:t>
      </w:r>
      <w:r w:rsidR="00D14E3C">
        <w:t>, of making the</w:t>
      </w:r>
      <w:r w:rsidR="00C4622D">
        <w:t xml:space="preserve"> </w:t>
      </w:r>
      <w:proofErr w:type="gramStart"/>
      <w:r w:rsidR="00C4622D">
        <w:t>declaration</w:t>
      </w:r>
      <w:r w:rsidR="00C45776">
        <w:t>;</w:t>
      </w:r>
      <w:proofErr w:type="gramEnd"/>
      <w:r w:rsidR="00C45776">
        <w:t xml:space="preserve"> </w:t>
      </w:r>
    </w:p>
    <w:p w14:paraId="0E53D16C" w14:textId="7574EF57" w:rsidR="00C45776" w:rsidRDefault="00D14E3C" w:rsidP="00F5705E">
      <w:pPr>
        <w:pStyle w:val="Bullet"/>
      </w:pPr>
      <w:r>
        <w:t>the</w:t>
      </w:r>
      <w:r w:rsidR="00C45776">
        <w:t xml:space="preserve"> likely regulatory impact</w:t>
      </w:r>
      <w:r>
        <w:t xml:space="preserve"> of the </w:t>
      </w:r>
      <w:r w:rsidR="00C4622D">
        <w:t>declaration</w:t>
      </w:r>
      <w:r w:rsidR="00C45776">
        <w:t xml:space="preserve">; and </w:t>
      </w:r>
    </w:p>
    <w:p w14:paraId="4095DFAC" w14:textId="75FE398D" w:rsidR="00C45776" w:rsidRDefault="00C45776" w:rsidP="00F5705E">
      <w:pPr>
        <w:pStyle w:val="Bullet"/>
      </w:pPr>
      <w:r>
        <w:t xml:space="preserve">the extent to which a provider of a CS service that </w:t>
      </w:r>
      <w:r w:rsidR="00D14E3C">
        <w:t xml:space="preserve">will be affected by the </w:t>
      </w:r>
      <w:r w:rsidR="00C4622D">
        <w:t>declaration</w:t>
      </w:r>
      <w:r>
        <w:t xml:space="preserve"> has a monopoly or significant market power over the provision of the CS service.</w:t>
      </w:r>
    </w:p>
    <w:p w14:paraId="5C9DE05E" w14:textId="19607B66" w:rsidR="00956295" w:rsidRDefault="00D14E3C" w:rsidP="00886042">
      <w:r>
        <w:t>Subsection 153</w:t>
      </w:r>
      <w:proofErr w:type="gramStart"/>
      <w:r>
        <w:t>ZEF(</w:t>
      </w:r>
      <w:proofErr w:type="gramEnd"/>
      <w:r>
        <w:t xml:space="preserve">5) provides that the ACCC </w:t>
      </w:r>
      <w:r w:rsidR="00A25CD5">
        <w:t xml:space="preserve">must advise the Minister when requested, or may provide advice at its discretion, relating to whether </w:t>
      </w:r>
      <w:r w:rsidR="007267D9">
        <w:t>the</w:t>
      </w:r>
      <w:r w:rsidR="00A25CD5">
        <w:t xml:space="preserve"> </w:t>
      </w:r>
      <w:r w:rsidR="008421CB">
        <w:t>declaration</w:t>
      </w:r>
      <w:r w:rsidR="00A25CD5">
        <w:t xml:space="preserve"> should be made. </w:t>
      </w:r>
    </w:p>
    <w:p w14:paraId="69B4A930" w14:textId="093ED89D" w:rsidR="00A12A3E" w:rsidRDefault="00956295" w:rsidP="00A12A3E">
      <w:r>
        <w:t>The Minister must have regard to any matters raised by the ACCC in its advice.</w:t>
      </w:r>
      <w:r w:rsidR="00A12A3E">
        <w:t xml:space="preserve"> The Minister may also have regard to any other matters that they consider relevant</w:t>
      </w:r>
      <w:r w:rsidR="002E68DF">
        <w:t xml:space="preserve"> (for example any relevant international standards or international commitments)</w:t>
      </w:r>
      <w:r w:rsidR="00A12A3E">
        <w:t>.</w:t>
      </w:r>
    </w:p>
    <w:bookmarkEnd w:id="1"/>
    <w:p w14:paraId="6B4017BB" w14:textId="4B2F4E3D" w:rsidR="00B56718" w:rsidRDefault="007F6977" w:rsidP="0043703F">
      <w:pPr>
        <w:pStyle w:val="Dotpoint"/>
        <w:numPr>
          <w:ilvl w:val="0"/>
          <w:numId w:val="0"/>
        </w:numPr>
      </w:pPr>
      <w:r>
        <w:t>Subsection</w:t>
      </w:r>
      <w:r w:rsidR="00747F56">
        <w:t>s</w:t>
      </w:r>
      <w:r w:rsidR="00E92CF7">
        <w:t xml:space="preserve"> </w:t>
      </w:r>
      <w:r>
        <w:t>153</w:t>
      </w:r>
      <w:proofErr w:type="gramStart"/>
      <w:r>
        <w:t>ZEF(</w:t>
      </w:r>
      <w:proofErr w:type="gramEnd"/>
      <w:r>
        <w:t xml:space="preserve">6) and (7) </w:t>
      </w:r>
      <w:r w:rsidR="001962CD">
        <w:t>provide that ASIC</w:t>
      </w:r>
      <w:r w:rsidR="00DF1C45">
        <w:t xml:space="preserve"> and the RBA may</w:t>
      </w:r>
      <w:r w:rsidR="003053D3">
        <w:t xml:space="preserve"> provide advice to the ACCC without being requested or the ACCC may request advice from the ASIC and the RBA for the purposes of advising the Minister on whether </w:t>
      </w:r>
      <w:r w:rsidR="007267D9">
        <w:t>the</w:t>
      </w:r>
      <w:r w:rsidR="003053D3">
        <w:t xml:space="preserve"> </w:t>
      </w:r>
      <w:r w:rsidR="00CE0BC1">
        <w:t xml:space="preserve">declaration </w:t>
      </w:r>
      <w:r w:rsidR="003053D3">
        <w:t>should be made.</w:t>
      </w:r>
      <w:r w:rsidR="00F70139">
        <w:t xml:space="preserve"> </w:t>
      </w:r>
    </w:p>
    <w:p w14:paraId="3E3CDF4E" w14:textId="18B7FB15" w:rsidR="000E18CA" w:rsidRPr="009978B5" w:rsidRDefault="00AF33F7" w:rsidP="0043703F">
      <w:pPr>
        <w:pStyle w:val="Dotpoint"/>
        <w:numPr>
          <w:ilvl w:val="0"/>
          <w:numId w:val="0"/>
        </w:numPr>
      </w:pPr>
      <w:r w:rsidRPr="009978B5">
        <w:t>Th</w:t>
      </w:r>
      <w:r w:rsidR="00B07F4F" w:rsidRPr="009978B5">
        <w:t xml:space="preserve">is consultation on the </w:t>
      </w:r>
      <w:r w:rsidR="006B42F5">
        <w:t xml:space="preserve">exposure draft </w:t>
      </w:r>
      <w:r w:rsidR="00D97C83">
        <w:t>I</w:t>
      </w:r>
      <w:r w:rsidR="006B42F5">
        <w:t xml:space="preserve">nstrument (covering both the determination and declaration) </w:t>
      </w:r>
      <w:r w:rsidR="00B07F4F" w:rsidRPr="009978B5">
        <w:t xml:space="preserve">can be used </w:t>
      </w:r>
      <w:r w:rsidR="002462B5" w:rsidRPr="009978B5">
        <w:t xml:space="preserve">by stakeholders </w:t>
      </w:r>
      <w:r w:rsidR="00B07F4F" w:rsidRPr="009978B5">
        <w:t xml:space="preserve">to make submissions which </w:t>
      </w:r>
      <w:r w:rsidR="00BA1B32">
        <w:t>will</w:t>
      </w:r>
      <w:r w:rsidR="00B07F4F" w:rsidRPr="009978B5">
        <w:t xml:space="preserve"> be considered by the regulators in forming any advice</w:t>
      </w:r>
      <w:r w:rsidR="00774E74" w:rsidRPr="009978B5">
        <w:t xml:space="preserve">, particularly related to the matters to which the Minister must have regard in making </w:t>
      </w:r>
      <w:r w:rsidR="00E24DAA">
        <w:t>the</w:t>
      </w:r>
      <w:r w:rsidR="00EB0740">
        <w:t xml:space="preserve"> determination</w:t>
      </w:r>
      <w:r w:rsidR="00E24DAA">
        <w:t xml:space="preserve"> or declaration</w:t>
      </w:r>
      <w:r w:rsidR="008F7057" w:rsidRPr="009978B5">
        <w:t xml:space="preserve">, as outlined in </w:t>
      </w:r>
      <w:r w:rsidR="00585F05">
        <w:t>s</w:t>
      </w:r>
      <w:r w:rsidR="002634C7" w:rsidRPr="009978B5">
        <w:t xml:space="preserve">ection </w:t>
      </w:r>
      <w:r w:rsidR="00FA4742" w:rsidRPr="009978B5">
        <w:t xml:space="preserve">828B of the </w:t>
      </w:r>
      <w:r w:rsidR="00933A45">
        <w:t xml:space="preserve">Corporations </w:t>
      </w:r>
      <w:r w:rsidR="00FA4742" w:rsidRPr="009978B5">
        <w:t>Act</w:t>
      </w:r>
      <w:r w:rsidR="00933A45">
        <w:t xml:space="preserve"> and section </w:t>
      </w:r>
      <w:r w:rsidR="00E82E6E">
        <w:t>153ZEF of the CCA</w:t>
      </w:r>
      <w:r w:rsidR="00B07F4F" w:rsidRPr="009978B5">
        <w:t xml:space="preserve">. </w:t>
      </w:r>
    </w:p>
    <w:p w14:paraId="5AAB9D07" w14:textId="0E751176" w:rsidR="00C923AD" w:rsidRPr="009978B5" w:rsidRDefault="003D1538" w:rsidP="0043703F">
      <w:pPr>
        <w:pStyle w:val="Dotpoint"/>
        <w:numPr>
          <w:ilvl w:val="0"/>
          <w:numId w:val="0"/>
        </w:numPr>
      </w:pPr>
      <w:r w:rsidRPr="009978B5">
        <w:t>All submissions</w:t>
      </w:r>
      <w:r w:rsidR="00C063F0" w:rsidRPr="009978B5">
        <w:t xml:space="preserve"> to this consultation</w:t>
      </w:r>
      <w:r w:rsidR="00542C2F">
        <w:t xml:space="preserve"> on the </w:t>
      </w:r>
      <w:r w:rsidR="00E24DAA">
        <w:t xml:space="preserve">exposure draft </w:t>
      </w:r>
      <w:r w:rsidR="001D2425">
        <w:t>I</w:t>
      </w:r>
      <w:r w:rsidR="00E24DAA">
        <w:t>nstrument</w:t>
      </w:r>
      <w:r w:rsidR="00C063F0" w:rsidRPr="009978B5">
        <w:t xml:space="preserve"> will be shared with the </w:t>
      </w:r>
      <w:r w:rsidR="00E24DAA" w:rsidRPr="009978B5">
        <w:t>regulators unless</w:t>
      </w:r>
      <w:r w:rsidR="000E508A" w:rsidRPr="009978B5">
        <w:t xml:space="preserve"> the submission is explicitly marked </w:t>
      </w:r>
      <w:r w:rsidR="000A0AA5" w:rsidRPr="009978B5">
        <w:t>otherwise</w:t>
      </w:r>
      <w:r w:rsidR="00A73700" w:rsidRPr="009978B5">
        <w:t>.</w:t>
      </w:r>
      <w:r w:rsidR="000E18CA" w:rsidRPr="009978B5">
        <w:t xml:space="preserve"> </w:t>
      </w:r>
      <w:r w:rsidR="00CF1AD9">
        <w:t xml:space="preserve">This includes submissions </w:t>
      </w:r>
      <w:r w:rsidR="00556D89">
        <w:t xml:space="preserve">that the submitter requests </w:t>
      </w:r>
      <w:r w:rsidR="00E24DAA">
        <w:t>are not</w:t>
      </w:r>
      <w:r w:rsidR="00556D89">
        <w:t xml:space="preserve"> made public (</w:t>
      </w:r>
      <w:r w:rsidR="00CF1AD9">
        <w:t>confidential</w:t>
      </w:r>
      <w:r w:rsidR="0087775A">
        <w:t xml:space="preserve"> submission</w:t>
      </w:r>
      <w:r w:rsidR="006C47FE">
        <w:t>s</w:t>
      </w:r>
      <w:r w:rsidR="0087775A">
        <w:t>). These submissions</w:t>
      </w:r>
      <w:r w:rsidR="00CF1AD9">
        <w:t xml:space="preserve"> </w:t>
      </w:r>
      <w:r w:rsidR="00EC677C">
        <w:t xml:space="preserve">will only be shared with regulators </w:t>
      </w:r>
      <w:r w:rsidR="003F3ABB">
        <w:t xml:space="preserve">with the caveat that they cannot be shared more widely. If stakeholders wish for their submission to be considered by </w:t>
      </w:r>
      <w:r w:rsidR="00296435">
        <w:t>Treasury</w:t>
      </w:r>
      <w:r w:rsidR="00D61989">
        <w:t xml:space="preserve"> only</w:t>
      </w:r>
      <w:r w:rsidR="00296435">
        <w:t>,</w:t>
      </w:r>
      <w:r w:rsidR="003F3ABB">
        <w:t xml:space="preserve"> they will need to specify this in their submission.</w:t>
      </w:r>
      <w:r w:rsidR="00CF1AD9">
        <w:t xml:space="preserve"> </w:t>
      </w:r>
      <w:r w:rsidR="000E18CA" w:rsidRPr="009978B5">
        <w:t xml:space="preserve">Regulators may request follow up bilateral meetings </w:t>
      </w:r>
      <w:r w:rsidR="00901262" w:rsidRPr="009978B5">
        <w:t xml:space="preserve">with stakeholders </w:t>
      </w:r>
      <w:r w:rsidR="000E18CA" w:rsidRPr="009978B5">
        <w:t>if they require more information to form any advice they may give</w:t>
      </w:r>
      <w:r w:rsidR="00544765" w:rsidRPr="009978B5">
        <w:t xml:space="preserve"> to the Minister</w:t>
      </w:r>
      <w:r w:rsidR="000E18CA" w:rsidRPr="009978B5">
        <w:t>.</w:t>
      </w:r>
    </w:p>
    <w:p w14:paraId="5DA35246" w14:textId="3C2BA54C" w:rsidR="00AD4E5B" w:rsidRDefault="00AD4E5B" w:rsidP="003B38C5">
      <w:pPr>
        <w:spacing w:before="240"/>
      </w:pPr>
      <w:r>
        <w:t xml:space="preserve">Details of the </w:t>
      </w:r>
      <w:r w:rsidR="00696A55">
        <w:t xml:space="preserve">exposure draft </w:t>
      </w:r>
      <w:r w:rsidR="001D2425">
        <w:t>I</w:t>
      </w:r>
      <w:r w:rsidR="00696A55">
        <w:t xml:space="preserve">nstrument </w:t>
      </w:r>
      <w:r>
        <w:t xml:space="preserve">are set out in </w:t>
      </w:r>
      <w:r w:rsidRPr="003C5719">
        <w:rPr>
          <w:u w:val="single"/>
        </w:rPr>
        <w:t xml:space="preserve">Attachment </w:t>
      </w:r>
      <w:r>
        <w:rPr>
          <w:u w:val="single"/>
        </w:rPr>
        <w:t>A</w:t>
      </w:r>
      <w:r w:rsidRPr="003C5719">
        <w:t>.</w:t>
      </w:r>
    </w:p>
    <w:p w14:paraId="6510F866" w14:textId="5CC8D019" w:rsidR="003B38C5" w:rsidRPr="003C5719" w:rsidRDefault="003B38C5" w:rsidP="003B38C5">
      <w:pPr>
        <w:spacing w:before="240"/>
      </w:pPr>
      <w:r w:rsidRPr="003C5719">
        <w:lastRenderedPageBreak/>
        <w:t xml:space="preserve">The </w:t>
      </w:r>
      <w:r w:rsidR="00933A45">
        <w:t xml:space="preserve">Instrument </w:t>
      </w:r>
      <w:r>
        <w:t>is</w:t>
      </w:r>
      <w:r w:rsidR="003D3489">
        <w:t xml:space="preserve"> intended to be</w:t>
      </w:r>
      <w:r>
        <w:t xml:space="preserve"> </w:t>
      </w:r>
      <w:r w:rsidRPr="003C5719">
        <w:t xml:space="preserve">a legislative instrument for the purposes of the </w:t>
      </w:r>
      <w:r w:rsidRPr="003C5719">
        <w:rPr>
          <w:i/>
          <w:iCs/>
        </w:rPr>
        <w:t>Legislation Act 2003</w:t>
      </w:r>
      <w:r w:rsidRPr="003C5719">
        <w:t>.</w:t>
      </w:r>
    </w:p>
    <w:p w14:paraId="7395957D" w14:textId="71712EBF" w:rsidR="00DC7857" w:rsidRDefault="003B38C5" w:rsidP="00015ABD">
      <w:pPr>
        <w:spacing w:before="240"/>
      </w:pPr>
      <w:r w:rsidRPr="003C5719">
        <w:t xml:space="preserve">The </w:t>
      </w:r>
      <w:r w:rsidR="00AD4E5B">
        <w:t>Instrument</w:t>
      </w:r>
      <w:r>
        <w:t xml:space="preserve"> </w:t>
      </w:r>
      <w:r w:rsidR="003D3489">
        <w:t xml:space="preserve">is intended to </w:t>
      </w:r>
      <w:r w:rsidRPr="003C5719">
        <w:t xml:space="preserve">commence on </w:t>
      </w:r>
      <w:r>
        <w:t>the day a</w:t>
      </w:r>
      <w:r w:rsidR="005B307E">
        <w:t>fter it is registered on the Federal Register of Legislation.</w:t>
      </w:r>
    </w:p>
    <w:p w14:paraId="324BADE9" w14:textId="256DD08F" w:rsidR="00BF1C4F" w:rsidRPr="003C5719" w:rsidRDefault="00BF1C4F" w:rsidP="00BF1C4F">
      <w:pPr>
        <w:pageBreakBefore/>
        <w:spacing w:before="240"/>
        <w:jc w:val="right"/>
        <w:rPr>
          <w:b/>
          <w:u w:val="single"/>
        </w:rPr>
      </w:pPr>
      <w:r w:rsidRPr="003C5719">
        <w:rPr>
          <w:b/>
          <w:u w:val="single"/>
        </w:rPr>
        <w:lastRenderedPageBreak/>
        <w:t xml:space="preserve">ATTACHMENT </w:t>
      </w:r>
      <w:r>
        <w:rPr>
          <w:b/>
          <w:u w:val="single"/>
        </w:rPr>
        <w:t>A</w:t>
      </w:r>
    </w:p>
    <w:p w14:paraId="1C5B88BB" w14:textId="0113F511" w:rsidR="00BF1C4F" w:rsidRPr="003C5719" w:rsidRDefault="00BF1C4F" w:rsidP="00BF1C4F">
      <w:pPr>
        <w:spacing w:before="240"/>
        <w:rPr>
          <w:b/>
          <w:bCs/>
          <w:szCs w:val="24"/>
          <w:u w:val="single"/>
        </w:rPr>
      </w:pPr>
      <w:r w:rsidRPr="003C5719">
        <w:rPr>
          <w:b/>
          <w:bCs/>
          <w:u w:val="single"/>
        </w:rPr>
        <w:t xml:space="preserve">Details of the </w:t>
      </w:r>
      <w:r w:rsidR="00E82E6E">
        <w:rPr>
          <w:b/>
          <w:i/>
          <w:u w:val="single"/>
        </w:rPr>
        <w:t>Corporations and Competition (CS Services) Instrument 202</w:t>
      </w:r>
      <w:r w:rsidR="005B3060">
        <w:rPr>
          <w:b/>
          <w:i/>
          <w:u w:val="single"/>
        </w:rPr>
        <w:t>4</w:t>
      </w:r>
      <w:r w:rsidRPr="003C5719">
        <w:rPr>
          <w:b/>
          <w:bCs/>
          <w:u w:val="single"/>
        </w:rPr>
        <w:t xml:space="preserve"> </w:t>
      </w:r>
    </w:p>
    <w:p w14:paraId="375F869A" w14:textId="259EACDC" w:rsidR="008F60A2" w:rsidRPr="00F5705E" w:rsidRDefault="008F60A2" w:rsidP="00F5705E">
      <w:pPr>
        <w:shd w:val="clear" w:color="auto" w:fill="FFFFFF"/>
        <w:spacing w:before="240"/>
        <w:ind w:right="91"/>
        <w:rPr>
          <w:b/>
          <w:bCs/>
          <w:color w:val="000000"/>
          <w:szCs w:val="24"/>
        </w:rPr>
      </w:pPr>
      <w:r w:rsidRPr="004D7F52">
        <w:rPr>
          <w:b/>
          <w:bCs/>
          <w:color w:val="000000"/>
          <w:szCs w:val="24"/>
          <w:u w:val="single"/>
        </w:rPr>
        <w:t xml:space="preserve">Part </w:t>
      </w:r>
      <w:r>
        <w:rPr>
          <w:b/>
          <w:bCs/>
          <w:color w:val="000000"/>
          <w:szCs w:val="24"/>
          <w:u w:val="single"/>
        </w:rPr>
        <w:t>1</w:t>
      </w:r>
      <w:r w:rsidRPr="004D7F52">
        <w:rPr>
          <w:b/>
          <w:bCs/>
          <w:color w:val="000000"/>
          <w:szCs w:val="24"/>
          <w:u w:val="single"/>
        </w:rPr>
        <w:t xml:space="preserve"> – </w:t>
      </w:r>
      <w:r w:rsidR="00AF12F6">
        <w:rPr>
          <w:b/>
          <w:bCs/>
          <w:color w:val="000000"/>
          <w:szCs w:val="24"/>
          <w:u w:val="single"/>
        </w:rPr>
        <w:t xml:space="preserve">Preliminary </w:t>
      </w:r>
      <w:r w:rsidRPr="004D7F52">
        <w:rPr>
          <w:b/>
          <w:bCs/>
          <w:color w:val="000000"/>
          <w:szCs w:val="24"/>
          <w:u w:val="single"/>
        </w:rPr>
        <w:t xml:space="preserve"> </w:t>
      </w:r>
    </w:p>
    <w:p w14:paraId="7E99338A" w14:textId="1FFC9151" w:rsidR="00BF1C4F" w:rsidRPr="003C5719" w:rsidRDefault="00BF1C4F" w:rsidP="00BF1C4F">
      <w:pPr>
        <w:spacing w:before="240"/>
        <w:rPr>
          <w:rFonts w:ascii="Calibri" w:hAnsi="Calibri"/>
          <w:sz w:val="22"/>
          <w:szCs w:val="22"/>
          <w:u w:val="single"/>
          <w:lang w:eastAsia="en-US"/>
        </w:rPr>
      </w:pPr>
      <w:r w:rsidRPr="003C5719">
        <w:rPr>
          <w:u w:val="single"/>
        </w:rPr>
        <w:t xml:space="preserve">Section 1 – Name </w:t>
      </w:r>
    </w:p>
    <w:p w14:paraId="565B2B85" w14:textId="68011370" w:rsidR="00BF1C4F" w:rsidRPr="003C5719" w:rsidRDefault="00BF1C4F" w:rsidP="00BF1C4F">
      <w:pPr>
        <w:spacing w:before="240"/>
      </w:pPr>
      <w:r w:rsidRPr="003C5719">
        <w:t xml:space="preserve">This section provides that the name of the </w:t>
      </w:r>
      <w:r w:rsidR="008A49CB">
        <w:t>Instrument</w:t>
      </w:r>
      <w:r w:rsidR="008A49CB" w:rsidRPr="003C5719">
        <w:t xml:space="preserve"> </w:t>
      </w:r>
      <w:r w:rsidRPr="003C5719">
        <w:t xml:space="preserve">is the </w:t>
      </w:r>
      <w:r w:rsidR="00765903" w:rsidRPr="000968B8">
        <w:rPr>
          <w:i/>
          <w:noProof/>
        </w:rPr>
        <w:t>Corporations and Competition (CS Services) Instrument 202</w:t>
      </w:r>
      <w:r w:rsidR="005B3060">
        <w:rPr>
          <w:i/>
          <w:noProof/>
        </w:rPr>
        <w:t>4</w:t>
      </w:r>
      <w:r w:rsidRPr="003C5719">
        <w:t xml:space="preserve"> (the </w:t>
      </w:r>
      <w:r w:rsidR="00765903">
        <w:t>Instrument</w:t>
      </w:r>
      <w:r w:rsidRPr="003C5719">
        <w:t>).</w:t>
      </w:r>
    </w:p>
    <w:p w14:paraId="02A166DC" w14:textId="77777777" w:rsidR="00BF1C4F" w:rsidRPr="003C5719" w:rsidRDefault="00BF1C4F" w:rsidP="00BF1C4F">
      <w:pPr>
        <w:spacing w:before="240"/>
        <w:rPr>
          <w:u w:val="single"/>
        </w:rPr>
      </w:pPr>
      <w:r w:rsidRPr="003C5719">
        <w:rPr>
          <w:u w:val="single"/>
        </w:rPr>
        <w:t>Section 2 – Commencement</w:t>
      </w:r>
    </w:p>
    <w:p w14:paraId="04F3BBB9" w14:textId="79E98CDF" w:rsidR="00BF1C4F" w:rsidRPr="003C5719" w:rsidRDefault="0025732C" w:rsidP="00BF1C4F">
      <w:pPr>
        <w:spacing w:before="240"/>
      </w:pPr>
      <w:r>
        <w:t xml:space="preserve">The </w:t>
      </w:r>
      <w:r w:rsidR="00096146">
        <w:t>Instrument</w:t>
      </w:r>
      <w:r w:rsidR="00BF1C4F" w:rsidRPr="003C5719">
        <w:t xml:space="preserve"> commence</w:t>
      </w:r>
      <w:r w:rsidR="00BF1C4F">
        <w:t>d</w:t>
      </w:r>
      <w:r w:rsidR="00BF1C4F" w:rsidRPr="003C5719">
        <w:t xml:space="preserve"> on </w:t>
      </w:r>
      <w:r w:rsidR="00BF1C4F" w:rsidRPr="006F683C">
        <w:t xml:space="preserve">the day after </w:t>
      </w:r>
      <w:r w:rsidR="000F181B">
        <w:t>it</w:t>
      </w:r>
      <w:r w:rsidR="00BF1C4F" w:rsidRPr="006F683C">
        <w:t xml:space="preserve"> is registered </w:t>
      </w:r>
      <w:r w:rsidR="00BF1C4F" w:rsidRPr="003C5719">
        <w:t>on the Federal Register of Legislation.</w:t>
      </w:r>
    </w:p>
    <w:p w14:paraId="15756BB9" w14:textId="77777777" w:rsidR="00BF1C4F" w:rsidRPr="003C5719" w:rsidRDefault="00BF1C4F" w:rsidP="00BF1C4F">
      <w:pPr>
        <w:spacing w:before="240"/>
        <w:rPr>
          <w:u w:val="single"/>
        </w:rPr>
      </w:pPr>
      <w:r w:rsidRPr="003C5719">
        <w:rPr>
          <w:u w:val="single"/>
        </w:rPr>
        <w:t>Section 3 – Authority</w:t>
      </w:r>
    </w:p>
    <w:p w14:paraId="54B25590" w14:textId="59776DFD" w:rsidR="00BF1C4F" w:rsidRPr="002A605F" w:rsidRDefault="00BF1C4F" w:rsidP="00BF1C4F">
      <w:pPr>
        <w:spacing w:before="240"/>
      </w:pPr>
      <w:r w:rsidRPr="003C5719">
        <w:t xml:space="preserve">The </w:t>
      </w:r>
      <w:r w:rsidR="00FD0C9A">
        <w:t>Instrument</w:t>
      </w:r>
      <w:r w:rsidR="002D3175">
        <w:t xml:space="preserve"> is</w:t>
      </w:r>
      <w:r w:rsidRPr="003C5719">
        <w:t xml:space="preserve"> made under the </w:t>
      </w:r>
      <w:r w:rsidR="002D3175" w:rsidRPr="002D3175">
        <w:rPr>
          <w:i/>
        </w:rPr>
        <w:t xml:space="preserve">Corporations Act 2001 </w:t>
      </w:r>
      <w:r w:rsidRPr="003C5719">
        <w:t xml:space="preserve">(the </w:t>
      </w:r>
      <w:r w:rsidR="00FD0C9A">
        <w:t xml:space="preserve">Corporations </w:t>
      </w:r>
      <w:r w:rsidRPr="003C5719">
        <w:t>Act)</w:t>
      </w:r>
      <w:r w:rsidR="00FD0C9A">
        <w:t xml:space="preserve"> and the </w:t>
      </w:r>
      <w:r w:rsidR="002A605F">
        <w:rPr>
          <w:i/>
          <w:iCs/>
        </w:rPr>
        <w:t>Competition and Consumer Act 2010</w:t>
      </w:r>
      <w:r w:rsidR="002A605F">
        <w:t xml:space="preserve"> (the CCA)</w:t>
      </w:r>
      <w:r w:rsidR="00874705">
        <w:t>.</w:t>
      </w:r>
    </w:p>
    <w:p w14:paraId="58895D33" w14:textId="0355FC8F" w:rsidR="00BF1C4F" w:rsidRPr="003C5719" w:rsidRDefault="00BF1C4F" w:rsidP="00BF1C4F">
      <w:pPr>
        <w:spacing w:before="240"/>
        <w:rPr>
          <w:u w:val="single"/>
        </w:rPr>
      </w:pPr>
      <w:r w:rsidRPr="003C5719">
        <w:rPr>
          <w:u w:val="single"/>
        </w:rPr>
        <w:t xml:space="preserve">Section 4 – </w:t>
      </w:r>
      <w:r w:rsidR="008A084E">
        <w:rPr>
          <w:u w:val="single"/>
        </w:rPr>
        <w:t>Definitions</w:t>
      </w:r>
    </w:p>
    <w:p w14:paraId="5A5165E4" w14:textId="7AD01DDE" w:rsidR="00DB39AD" w:rsidRDefault="00DB39AD" w:rsidP="00DB39AD">
      <w:pPr>
        <w:shd w:val="clear" w:color="auto" w:fill="FFFFFF"/>
        <w:spacing w:before="240"/>
        <w:ind w:right="91"/>
        <w:rPr>
          <w:color w:val="000000"/>
          <w:szCs w:val="24"/>
        </w:rPr>
      </w:pPr>
      <w:bookmarkStart w:id="2" w:name="_Hlk129269892"/>
      <w:r w:rsidRPr="008A084E">
        <w:rPr>
          <w:color w:val="000000"/>
          <w:szCs w:val="24"/>
        </w:rPr>
        <w:t xml:space="preserve">This section contains definitions of terms used in the </w:t>
      </w:r>
      <w:r w:rsidR="002A605F">
        <w:rPr>
          <w:color w:val="000000"/>
          <w:szCs w:val="24"/>
        </w:rPr>
        <w:t xml:space="preserve">Instrument. </w:t>
      </w:r>
    </w:p>
    <w:p w14:paraId="01D1817B" w14:textId="71F6325E" w:rsidR="00C15493" w:rsidRDefault="002A605F" w:rsidP="00C15493">
      <w:pPr>
        <w:shd w:val="clear" w:color="auto" w:fill="FFFFFF"/>
        <w:spacing w:before="240"/>
        <w:ind w:right="91"/>
        <w:rPr>
          <w:color w:val="000000"/>
          <w:szCs w:val="24"/>
        </w:rPr>
      </w:pPr>
      <w:r>
        <w:rPr>
          <w:color w:val="000000"/>
          <w:szCs w:val="24"/>
        </w:rPr>
        <w:t xml:space="preserve">A reference to </w:t>
      </w:r>
      <w:r w:rsidR="00047D16">
        <w:rPr>
          <w:b/>
          <w:bCs/>
          <w:i/>
          <w:iCs/>
          <w:color w:val="000000"/>
          <w:szCs w:val="24"/>
        </w:rPr>
        <w:t xml:space="preserve">cash equity </w:t>
      </w:r>
      <w:r w:rsidR="00047D16">
        <w:rPr>
          <w:color w:val="000000"/>
          <w:szCs w:val="24"/>
        </w:rPr>
        <w:t>is a reference to a</w:t>
      </w:r>
      <w:r w:rsidR="00C15493">
        <w:rPr>
          <w:color w:val="000000"/>
          <w:szCs w:val="24"/>
        </w:rPr>
        <w:t>ny</w:t>
      </w:r>
      <w:r w:rsidR="00047D16">
        <w:rPr>
          <w:color w:val="000000"/>
          <w:szCs w:val="24"/>
        </w:rPr>
        <w:t xml:space="preserve"> financial product</w:t>
      </w:r>
      <w:r w:rsidR="00DA2972">
        <w:rPr>
          <w:color w:val="000000"/>
          <w:szCs w:val="24"/>
        </w:rPr>
        <w:t xml:space="preserve"> that</w:t>
      </w:r>
      <w:r w:rsidR="00C15493">
        <w:rPr>
          <w:color w:val="000000"/>
          <w:szCs w:val="24"/>
        </w:rPr>
        <w:t xml:space="preserve"> is</w:t>
      </w:r>
      <w:r w:rsidR="008653E7">
        <w:rPr>
          <w:color w:val="000000"/>
          <w:szCs w:val="24"/>
        </w:rPr>
        <w:t xml:space="preserve">: </w:t>
      </w:r>
    </w:p>
    <w:p w14:paraId="04CE4A0D" w14:textId="73A234FA" w:rsidR="008653E7" w:rsidRDefault="008653E7" w:rsidP="008653E7">
      <w:pPr>
        <w:pStyle w:val="ListParagraph"/>
        <w:numPr>
          <w:ilvl w:val="0"/>
          <w:numId w:val="18"/>
        </w:numPr>
        <w:shd w:val="clear" w:color="auto" w:fill="FFFFFF"/>
        <w:spacing w:before="240"/>
        <w:ind w:right="91"/>
        <w:rPr>
          <w:color w:val="000000"/>
          <w:szCs w:val="24"/>
        </w:rPr>
      </w:pPr>
      <w:r>
        <w:rPr>
          <w:color w:val="000000"/>
          <w:szCs w:val="24"/>
        </w:rPr>
        <w:t xml:space="preserve">a share in a </w:t>
      </w:r>
      <w:proofErr w:type="gramStart"/>
      <w:r>
        <w:rPr>
          <w:color w:val="000000"/>
          <w:szCs w:val="24"/>
        </w:rPr>
        <w:t>body</w:t>
      </w:r>
      <w:r w:rsidR="00CE74EC">
        <w:rPr>
          <w:color w:val="000000"/>
          <w:szCs w:val="24"/>
        </w:rPr>
        <w:t>;</w:t>
      </w:r>
      <w:proofErr w:type="gramEnd"/>
    </w:p>
    <w:p w14:paraId="4F5303C7" w14:textId="3FF5A9B9" w:rsidR="00D23C84" w:rsidRDefault="00D23C84" w:rsidP="008653E7">
      <w:pPr>
        <w:pStyle w:val="ListParagraph"/>
        <w:numPr>
          <w:ilvl w:val="0"/>
          <w:numId w:val="18"/>
        </w:numPr>
        <w:shd w:val="clear" w:color="auto" w:fill="FFFFFF"/>
        <w:spacing w:before="240"/>
        <w:ind w:right="91"/>
        <w:rPr>
          <w:color w:val="000000"/>
          <w:szCs w:val="24"/>
        </w:rPr>
      </w:pPr>
      <w:r>
        <w:rPr>
          <w:color w:val="000000"/>
          <w:szCs w:val="24"/>
        </w:rPr>
        <w:t xml:space="preserve">an interest in a managed investment scheme or notified foreign passport </w:t>
      </w:r>
      <w:proofErr w:type="gramStart"/>
      <w:r>
        <w:rPr>
          <w:color w:val="000000"/>
          <w:szCs w:val="24"/>
        </w:rPr>
        <w:t>fund</w:t>
      </w:r>
      <w:r w:rsidR="00CE74EC">
        <w:rPr>
          <w:color w:val="000000"/>
          <w:szCs w:val="24"/>
        </w:rPr>
        <w:t>;</w:t>
      </w:r>
      <w:proofErr w:type="gramEnd"/>
    </w:p>
    <w:p w14:paraId="28EC54CB" w14:textId="5E340B9D" w:rsidR="008653E7" w:rsidRDefault="008653E7" w:rsidP="008653E7">
      <w:pPr>
        <w:pStyle w:val="ListParagraph"/>
        <w:numPr>
          <w:ilvl w:val="0"/>
          <w:numId w:val="18"/>
        </w:numPr>
        <w:shd w:val="clear" w:color="auto" w:fill="FFFFFF"/>
        <w:spacing w:before="240"/>
        <w:ind w:right="91"/>
        <w:rPr>
          <w:color w:val="000000"/>
          <w:szCs w:val="24"/>
        </w:rPr>
      </w:pPr>
      <w:r>
        <w:rPr>
          <w:color w:val="000000"/>
          <w:szCs w:val="24"/>
        </w:rPr>
        <w:t xml:space="preserve">a legal or equitable right </w:t>
      </w:r>
      <w:r w:rsidR="0002478F">
        <w:rPr>
          <w:color w:val="000000"/>
          <w:szCs w:val="24"/>
        </w:rPr>
        <w:t>or interest</w:t>
      </w:r>
      <w:r>
        <w:rPr>
          <w:color w:val="000000"/>
          <w:szCs w:val="24"/>
        </w:rPr>
        <w:t xml:space="preserve"> in a share in a body</w:t>
      </w:r>
      <w:r w:rsidR="003F07E4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</w:t>
      </w:r>
      <w:r w:rsidR="003F07E4">
        <w:rPr>
          <w:color w:val="000000"/>
          <w:szCs w:val="24"/>
        </w:rPr>
        <w:t xml:space="preserve">or an interest in a managed investment scheme or notified foreign passport </w:t>
      </w:r>
      <w:proofErr w:type="gramStart"/>
      <w:r w:rsidR="003F07E4">
        <w:rPr>
          <w:color w:val="000000"/>
          <w:szCs w:val="24"/>
        </w:rPr>
        <w:t>fund</w:t>
      </w:r>
      <w:r w:rsidR="00CE74EC">
        <w:rPr>
          <w:color w:val="000000"/>
          <w:szCs w:val="24"/>
        </w:rPr>
        <w:t>;</w:t>
      </w:r>
      <w:proofErr w:type="gramEnd"/>
    </w:p>
    <w:p w14:paraId="6F5C03E2" w14:textId="1E1B42EF" w:rsidR="008653E7" w:rsidRDefault="006241D6" w:rsidP="008653E7">
      <w:pPr>
        <w:pStyle w:val="ListParagraph"/>
        <w:numPr>
          <w:ilvl w:val="0"/>
          <w:numId w:val="18"/>
        </w:numPr>
        <w:shd w:val="clear" w:color="auto" w:fill="FFFFFF"/>
        <w:spacing w:before="240"/>
        <w:ind w:right="91"/>
        <w:rPr>
          <w:color w:val="000000"/>
          <w:szCs w:val="24"/>
        </w:rPr>
      </w:pPr>
      <w:r>
        <w:rPr>
          <w:color w:val="000000"/>
          <w:szCs w:val="24"/>
        </w:rPr>
        <w:t>an option to acquire, by way of issue, a share in a body</w:t>
      </w:r>
      <w:r w:rsidR="003F07E4">
        <w:rPr>
          <w:color w:val="000000"/>
          <w:szCs w:val="24"/>
        </w:rPr>
        <w:t>, an interest in a managed investment scheme or notified foreign passport fund</w:t>
      </w:r>
      <w:r w:rsidR="0021121F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or a legal or equitable right in a share</w:t>
      </w:r>
      <w:r w:rsidR="00671BC0">
        <w:rPr>
          <w:color w:val="000000"/>
          <w:szCs w:val="24"/>
        </w:rPr>
        <w:t xml:space="preserve"> in a body</w:t>
      </w:r>
      <w:r w:rsidR="0021121F">
        <w:rPr>
          <w:color w:val="000000"/>
          <w:szCs w:val="24"/>
        </w:rPr>
        <w:t xml:space="preserve"> or interest in a managed investment scheme or notified foreign passport fund</w:t>
      </w:r>
      <w:r w:rsidR="00CE74EC">
        <w:rPr>
          <w:color w:val="000000"/>
          <w:szCs w:val="24"/>
        </w:rPr>
        <w:t>;</w:t>
      </w:r>
      <w:r w:rsidR="00345C9B">
        <w:rPr>
          <w:color w:val="000000"/>
          <w:szCs w:val="24"/>
        </w:rPr>
        <w:t xml:space="preserve"> or</w:t>
      </w:r>
      <w:r w:rsidR="00671BC0">
        <w:rPr>
          <w:color w:val="000000"/>
          <w:szCs w:val="24"/>
        </w:rPr>
        <w:t xml:space="preserve"> </w:t>
      </w:r>
    </w:p>
    <w:p w14:paraId="11C55421" w14:textId="76487B2A" w:rsidR="00671BC0" w:rsidRDefault="00671BC0" w:rsidP="008653E7">
      <w:pPr>
        <w:pStyle w:val="ListParagraph"/>
        <w:numPr>
          <w:ilvl w:val="0"/>
          <w:numId w:val="18"/>
        </w:numPr>
        <w:shd w:val="clear" w:color="auto" w:fill="FFFFFF"/>
        <w:spacing w:before="240"/>
        <w:ind w:right="91"/>
        <w:rPr>
          <w:color w:val="000000"/>
          <w:szCs w:val="24"/>
        </w:rPr>
      </w:pPr>
      <w:r>
        <w:rPr>
          <w:color w:val="000000"/>
          <w:szCs w:val="24"/>
        </w:rPr>
        <w:t xml:space="preserve">a right </w:t>
      </w:r>
      <w:r w:rsidR="000548B1">
        <w:rPr>
          <w:color w:val="000000"/>
          <w:szCs w:val="24"/>
        </w:rPr>
        <w:t xml:space="preserve">(whether existing or future and whether contingent or not) </w:t>
      </w:r>
      <w:r>
        <w:rPr>
          <w:color w:val="000000"/>
          <w:szCs w:val="24"/>
        </w:rPr>
        <w:t>to acquire</w:t>
      </w:r>
      <w:r w:rsidR="004F322A">
        <w:rPr>
          <w:color w:val="000000"/>
          <w:szCs w:val="24"/>
        </w:rPr>
        <w:t>, by way of issue,</w:t>
      </w:r>
      <w:r>
        <w:rPr>
          <w:color w:val="000000"/>
          <w:szCs w:val="24"/>
        </w:rPr>
        <w:t xml:space="preserve"> </w:t>
      </w:r>
      <w:r w:rsidR="005A1899">
        <w:rPr>
          <w:color w:val="000000"/>
          <w:szCs w:val="24"/>
        </w:rPr>
        <w:t xml:space="preserve">any of the above. </w:t>
      </w:r>
    </w:p>
    <w:p w14:paraId="675601A2" w14:textId="33ACFC66" w:rsidR="005A1899" w:rsidRDefault="00C6428F" w:rsidP="005A1899">
      <w:pPr>
        <w:shd w:val="clear" w:color="auto" w:fill="FFFFFF"/>
        <w:spacing w:before="240"/>
        <w:ind w:right="91"/>
        <w:rPr>
          <w:color w:val="000000"/>
          <w:szCs w:val="24"/>
        </w:rPr>
      </w:pPr>
      <w:r>
        <w:rPr>
          <w:color w:val="000000"/>
          <w:szCs w:val="24"/>
        </w:rPr>
        <w:t>This definition is intended</w:t>
      </w:r>
      <w:r w:rsidR="005A1899">
        <w:rPr>
          <w:color w:val="000000"/>
          <w:szCs w:val="24"/>
        </w:rPr>
        <w:t xml:space="preserve"> to match what industry </w:t>
      </w:r>
      <w:r>
        <w:rPr>
          <w:color w:val="000000"/>
          <w:szCs w:val="24"/>
        </w:rPr>
        <w:t xml:space="preserve">generally considers is </w:t>
      </w:r>
      <w:r w:rsidR="00655D7F">
        <w:rPr>
          <w:color w:val="000000"/>
          <w:szCs w:val="24"/>
        </w:rPr>
        <w:t xml:space="preserve">a financial product </w:t>
      </w:r>
      <w:r>
        <w:rPr>
          <w:color w:val="000000"/>
          <w:szCs w:val="24"/>
        </w:rPr>
        <w:t xml:space="preserve">covered by the term </w:t>
      </w:r>
      <w:r w:rsidR="00655D7F">
        <w:rPr>
          <w:color w:val="000000"/>
          <w:szCs w:val="24"/>
        </w:rPr>
        <w:t>‘</w:t>
      </w:r>
      <w:r>
        <w:rPr>
          <w:color w:val="000000"/>
          <w:szCs w:val="24"/>
        </w:rPr>
        <w:t>cash equity</w:t>
      </w:r>
      <w:r w:rsidR="00655D7F">
        <w:rPr>
          <w:color w:val="000000"/>
          <w:szCs w:val="24"/>
        </w:rPr>
        <w:t>’</w:t>
      </w:r>
      <w:r w:rsidR="00A43DDF">
        <w:rPr>
          <w:color w:val="000000"/>
          <w:szCs w:val="24"/>
        </w:rPr>
        <w:t>.</w:t>
      </w:r>
      <w:r w:rsidR="005A1899">
        <w:rPr>
          <w:color w:val="000000"/>
          <w:szCs w:val="24"/>
        </w:rPr>
        <w:t xml:space="preserve"> </w:t>
      </w:r>
      <w:r w:rsidR="00105E3C">
        <w:rPr>
          <w:color w:val="000000"/>
          <w:szCs w:val="24"/>
        </w:rPr>
        <w:t xml:space="preserve">For example, the </w:t>
      </w:r>
      <w:r w:rsidR="00963EEB">
        <w:rPr>
          <w:color w:val="000000"/>
          <w:szCs w:val="24"/>
        </w:rPr>
        <w:t>definition is intended to capture transfer</w:t>
      </w:r>
      <w:r w:rsidR="000F0E4D">
        <w:rPr>
          <w:color w:val="000000"/>
          <w:szCs w:val="24"/>
        </w:rPr>
        <w:t>able custody</w:t>
      </w:r>
      <w:r w:rsidR="00963EEB">
        <w:rPr>
          <w:color w:val="000000"/>
          <w:szCs w:val="24"/>
        </w:rPr>
        <w:t xml:space="preserve"> receipts and depository interests</w:t>
      </w:r>
      <w:r w:rsidR="0059157C">
        <w:rPr>
          <w:color w:val="000000"/>
          <w:szCs w:val="24"/>
        </w:rPr>
        <w:t xml:space="preserve"> such as shares issued by a foreign company. The definition is not intended to capture warrants</w:t>
      </w:r>
      <w:r w:rsidR="00F8318C">
        <w:rPr>
          <w:color w:val="000000"/>
          <w:szCs w:val="24"/>
        </w:rPr>
        <w:t xml:space="preserve"> or securities based </w:t>
      </w:r>
      <w:r w:rsidR="00A92445">
        <w:rPr>
          <w:color w:val="000000"/>
          <w:szCs w:val="24"/>
        </w:rPr>
        <w:t xml:space="preserve">on </w:t>
      </w:r>
      <w:r w:rsidR="00F8318C">
        <w:rPr>
          <w:color w:val="000000"/>
          <w:szCs w:val="24"/>
        </w:rPr>
        <w:t xml:space="preserve">debt instruments such as debentures or </w:t>
      </w:r>
      <w:r w:rsidR="00330BC5">
        <w:rPr>
          <w:color w:val="000000"/>
          <w:szCs w:val="24"/>
        </w:rPr>
        <w:t>Commonwealth Government Securities (</w:t>
      </w:r>
      <w:r w:rsidR="00F8318C">
        <w:rPr>
          <w:color w:val="000000"/>
          <w:szCs w:val="24"/>
        </w:rPr>
        <w:t>CGS</w:t>
      </w:r>
      <w:r w:rsidR="00330BC5">
        <w:rPr>
          <w:color w:val="000000"/>
          <w:szCs w:val="24"/>
        </w:rPr>
        <w:t>)</w:t>
      </w:r>
      <w:r w:rsidR="00F8318C">
        <w:rPr>
          <w:color w:val="000000"/>
          <w:szCs w:val="24"/>
        </w:rPr>
        <w:t xml:space="preserve"> depository interests. </w:t>
      </w:r>
    </w:p>
    <w:p w14:paraId="03DA1391" w14:textId="6A8B324F" w:rsidR="00D72D93" w:rsidRPr="00E27862" w:rsidRDefault="00022D2D" w:rsidP="005A1899">
      <w:pPr>
        <w:shd w:val="clear" w:color="auto" w:fill="FFFFFF"/>
        <w:spacing w:before="240"/>
        <w:ind w:right="91"/>
        <w:rPr>
          <w:color w:val="000000"/>
          <w:szCs w:val="24"/>
        </w:rPr>
      </w:pPr>
      <w:r>
        <w:rPr>
          <w:color w:val="000000"/>
          <w:szCs w:val="24"/>
        </w:rPr>
        <w:t xml:space="preserve">Treasury seeks views during this exposure draft consultation on whether the definition of ‘cash equity’ </w:t>
      </w:r>
      <w:r w:rsidR="00813866">
        <w:rPr>
          <w:color w:val="000000"/>
          <w:szCs w:val="24"/>
        </w:rPr>
        <w:t>adequately cover</w:t>
      </w:r>
      <w:r w:rsidR="00B37990">
        <w:rPr>
          <w:color w:val="000000"/>
          <w:szCs w:val="24"/>
        </w:rPr>
        <w:t>s</w:t>
      </w:r>
      <w:r w:rsidR="00813866">
        <w:rPr>
          <w:color w:val="000000"/>
          <w:szCs w:val="24"/>
        </w:rPr>
        <w:t xml:space="preserve"> the fina</w:t>
      </w:r>
      <w:r w:rsidR="00D16E80">
        <w:rPr>
          <w:color w:val="000000"/>
          <w:szCs w:val="24"/>
        </w:rPr>
        <w:t xml:space="preserve">ncial </w:t>
      </w:r>
      <w:r w:rsidR="00813866">
        <w:rPr>
          <w:color w:val="000000"/>
          <w:szCs w:val="24"/>
        </w:rPr>
        <w:t xml:space="preserve">products </w:t>
      </w:r>
      <w:r w:rsidR="007C2EAB">
        <w:rPr>
          <w:color w:val="000000"/>
          <w:szCs w:val="24"/>
        </w:rPr>
        <w:t>which would ordina</w:t>
      </w:r>
      <w:r w:rsidR="00B37990">
        <w:rPr>
          <w:color w:val="000000"/>
          <w:szCs w:val="24"/>
        </w:rPr>
        <w:t>rily</w:t>
      </w:r>
      <w:r w:rsidR="007C2EAB">
        <w:rPr>
          <w:color w:val="000000"/>
          <w:szCs w:val="24"/>
        </w:rPr>
        <w:t xml:space="preserve"> be considered cash equities.</w:t>
      </w:r>
    </w:p>
    <w:p w14:paraId="75BA1E8B" w14:textId="28B5A59B" w:rsidR="00312FF7" w:rsidRPr="006761ED" w:rsidRDefault="00312FF7" w:rsidP="005A1899">
      <w:pPr>
        <w:shd w:val="clear" w:color="auto" w:fill="FFFFFF"/>
        <w:spacing w:before="240"/>
        <w:ind w:right="91"/>
        <w:rPr>
          <w:color w:val="000000"/>
          <w:szCs w:val="24"/>
        </w:rPr>
      </w:pPr>
      <w:r>
        <w:rPr>
          <w:color w:val="000000"/>
          <w:szCs w:val="24"/>
        </w:rPr>
        <w:t xml:space="preserve">A reference to </w:t>
      </w:r>
      <w:r w:rsidR="00465825">
        <w:rPr>
          <w:b/>
          <w:bCs/>
          <w:i/>
          <w:iCs/>
          <w:color w:val="000000"/>
          <w:szCs w:val="24"/>
        </w:rPr>
        <w:t xml:space="preserve">CCA </w:t>
      </w:r>
      <w:r w:rsidR="00465825">
        <w:rPr>
          <w:color w:val="000000"/>
          <w:szCs w:val="24"/>
        </w:rPr>
        <w:t xml:space="preserve">in the Instrument is a reference to the </w:t>
      </w:r>
      <w:r w:rsidR="00465825">
        <w:rPr>
          <w:i/>
          <w:iCs/>
          <w:color w:val="000000"/>
          <w:szCs w:val="24"/>
        </w:rPr>
        <w:t>Competition and Consumer Act 2010</w:t>
      </w:r>
      <w:r w:rsidR="00020781">
        <w:rPr>
          <w:color w:val="000000"/>
          <w:szCs w:val="24"/>
        </w:rPr>
        <w:t xml:space="preserve">. A reference to </w:t>
      </w:r>
      <w:r w:rsidR="00020781">
        <w:rPr>
          <w:b/>
          <w:bCs/>
          <w:i/>
          <w:iCs/>
          <w:color w:val="000000"/>
          <w:szCs w:val="24"/>
        </w:rPr>
        <w:t xml:space="preserve">Corporations Act </w:t>
      </w:r>
      <w:r w:rsidR="00020781">
        <w:rPr>
          <w:color w:val="000000"/>
          <w:szCs w:val="24"/>
        </w:rPr>
        <w:t xml:space="preserve">in the Instrument is a reference to </w:t>
      </w:r>
      <w:r w:rsidR="006761ED">
        <w:rPr>
          <w:color w:val="000000"/>
          <w:szCs w:val="24"/>
        </w:rPr>
        <w:t xml:space="preserve">the </w:t>
      </w:r>
      <w:r w:rsidR="006761ED">
        <w:rPr>
          <w:i/>
          <w:iCs/>
          <w:color w:val="000000"/>
          <w:szCs w:val="24"/>
        </w:rPr>
        <w:t>Corporations Act 2001</w:t>
      </w:r>
      <w:r w:rsidR="006761ED">
        <w:rPr>
          <w:color w:val="000000"/>
          <w:szCs w:val="24"/>
        </w:rPr>
        <w:t xml:space="preserve">. </w:t>
      </w:r>
    </w:p>
    <w:p w14:paraId="2668C469" w14:textId="40FEF05B" w:rsidR="005507CD" w:rsidRPr="00F5705E" w:rsidRDefault="005507CD" w:rsidP="005507CD">
      <w:pPr>
        <w:shd w:val="clear" w:color="auto" w:fill="FFFFFF"/>
        <w:spacing w:before="240"/>
        <w:ind w:right="91"/>
        <w:rPr>
          <w:b/>
          <w:bCs/>
          <w:color w:val="000000"/>
          <w:szCs w:val="24"/>
        </w:rPr>
      </w:pPr>
      <w:r w:rsidRPr="00F5705E">
        <w:rPr>
          <w:b/>
          <w:bCs/>
          <w:color w:val="000000"/>
          <w:szCs w:val="24"/>
          <w:u w:val="single"/>
        </w:rPr>
        <w:lastRenderedPageBreak/>
        <w:t xml:space="preserve">Part </w:t>
      </w:r>
      <w:r w:rsidR="003A415D" w:rsidRPr="00F5705E">
        <w:rPr>
          <w:b/>
          <w:bCs/>
          <w:color w:val="000000"/>
          <w:szCs w:val="24"/>
          <w:u w:val="single"/>
        </w:rPr>
        <w:t>2</w:t>
      </w:r>
      <w:r w:rsidRPr="00F5705E">
        <w:rPr>
          <w:b/>
          <w:bCs/>
          <w:color w:val="000000"/>
          <w:szCs w:val="24"/>
          <w:u w:val="single"/>
        </w:rPr>
        <w:t xml:space="preserve"> – CS services in relation to which ASIC may impose rules </w:t>
      </w:r>
    </w:p>
    <w:p w14:paraId="0BEDA9DF" w14:textId="79F2C15C" w:rsidR="008A084E" w:rsidRPr="008A084E" w:rsidRDefault="008A084E" w:rsidP="008A084E">
      <w:pPr>
        <w:shd w:val="clear" w:color="auto" w:fill="FFFFFF"/>
        <w:spacing w:before="240"/>
        <w:ind w:right="91"/>
        <w:rPr>
          <w:color w:val="000000"/>
          <w:szCs w:val="24"/>
        </w:rPr>
      </w:pPr>
      <w:r w:rsidRPr="008A084E">
        <w:rPr>
          <w:color w:val="000000"/>
          <w:szCs w:val="24"/>
          <w:u w:val="single"/>
        </w:rPr>
        <w:t xml:space="preserve">Section </w:t>
      </w:r>
      <w:r w:rsidR="000D7508">
        <w:rPr>
          <w:color w:val="000000"/>
          <w:szCs w:val="24"/>
          <w:u w:val="single"/>
        </w:rPr>
        <w:t>5</w:t>
      </w:r>
      <w:r>
        <w:rPr>
          <w:color w:val="000000"/>
          <w:szCs w:val="24"/>
          <w:u w:val="single"/>
        </w:rPr>
        <w:t xml:space="preserve"> </w:t>
      </w:r>
      <w:r w:rsidRPr="008A084E">
        <w:rPr>
          <w:color w:val="000000"/>
          <w:szCs w:val="24"/>
          <w:u w:val="single"/>
        </w:rPr>
        <w:t>– </w:t>
      </w:r>
      <w:r w:rsidR="00FA698F">
        <w:rPr>
          <w:color w:val="000000"/>
          <w:szCs w:val="24"/>
          <w:u w:val="single"/>
        </w:rPr>
        <w:t>D</w:t>
      </w:r>
      <w:r w:rsidR="000D7508">
        <w:rPr>
          <w:color w:val="000000"/>
          <w:szCs w:val="24"/>
          <w:u w:val="single"/>
        </w:rPr>
        <w:t>etermined class</w:t>
      </w:r>
      <w:r w:rsidR="00D256D9">
        <w:rPr>
          <w:color w:val="000000"/>
          <w:szCs w:val="24"/>
          <w:u w:val="single"/>
        </w:rPr>
        <w:t>es</w:t>
      </w:r>
      <w:r w:rsidR="000D7508">
        <w:rPr>
          <w:color w:val="000000"/>
          <w:szCs w:val="24"/>
          <w:u w:val="single"/>
        </w:rPr>
        <w:t xml:space="preserve"> of CS services </w:t>
      </w:r>
    </w:p>
    <w:bookmarkEnd w:id="2"/>
    <w:p w14:paraId="70C14F6A" w14:textId="3475604F" w:rsidR="00542901" w:rsidRDefault="008F26AA" w:rsidP="00027FDE">
      <w:r>
        <w:t>Section 5</w:t>
      </w:r>
      <w:r w:rsidR="00027FDE">
        <w:t xml:space="preserve"> </w:t>
      </w:r>
      <w:r w:rsidR="00B739BB">
        <w:t>specifies</w:t>
      </w:r>
      <w:r w:rsidR="00027FDE">
        <w:t xml:space="preserve"> a class of CS services </w:t>
      </w:r>
      <w:r w:rsidR="00954D8D">
        <w:t>in relation to</w:t>
      </w:r>
      <w:r w:rsidR="00027FDE">
        <w:t xml:space="preserve"> which CS services rules may impose requirements. The class of CS services </w:t>
      </w:r>
      <w:r w:rsidR="00E1142D">
        <w:t>covered by the Instrument is</w:t>
      </w:r>
      <w:r w:rsidR="00027FDE">
        <w:t xml:space="preserve"> </w:t>
      </w:r>
      <w:r w:rsidR="00403355">
        <w:t>a</w:t>
      </w:r>
      <w:r w:rsidR="00027FDE">
        <w:t xml:space="preserve"> CS service relating to cash equities</w:t>
      </w:r>
      <w:r w:rsidR="00E1142D">
        <w:t xml:space="preserve"> (being a type of financial product)</w:t>
      </w:r>
      <w:r w:rsidR="00027FDE">
        <w:t>. Th</w:t>
      </w:r>
      <w:r w:rsidR="0051114E">
        <w:t>e effect of this section is</w:t>
      </w:r>
      <w:r w:rsidR="00027FDE">
        <w:t xml:space="preserve"> that </w:t>
      </w:r>
      <w:r w:rsidR="006C18A7">
        <w:t xml:space="preserve">ASIC may make </w:t>
      </w:r>
      <w:r w:rsidR="001E7A88">
        <w:t xml:space="preserve">CS services rules imposing requirements dealing with the activities, conduct and governance arrangements of CS facility licensees and associated entities, in relation to </w:t>
      </w:r>
      <w:r w:rsidR="009B4E8C">
        <w:t xml:space="preserve">a </w:t>
      </w:r>
      <w:r w:rsidR="009424D9">
        <w:t>CS service</w:t>
      </w:r>
      <w:r w:rsidR="009B4E8C">
        <w:t xml:space="preserve"> relating to cash equities. </w:t>
      </w:r>
    </w:p>
    <w:p w14:paraId="556E8F51" w14:textId="2B37D848" w:rsidR="004A06FD" w:rsidRPr="008D63DD" w:rsidRDefault="004A06FD" w:rsidP="006032A9">
      <w:pPr>
        <w:keepNext/>
        <w:shd w:val="clear" w:color="auto" w:fill="FFFFFF"/>
        <w:spacing w:before="240"/>
        <w:ind w:right="91"/>
        <w:rPr>
          <w:b/>
          <w:bCs/>
          <w:color w:val="000000"/>
          <w:szCs w:val="24"/>
        </w:rPr>
      </w:pPr>
      <w:r w:rsidRPr="008D63DD">
        <w:rPr>
          <w:b/>
          <w:bCs/>
          <w:color w:val="000000"/>
          <w:szCs w:val="24"/>
          <w:u w:val="single"/>
        </w:rPr>
        <w:t xml:space="preserve">Part </w:t>
      </w:r>
      <w:r>
        <w:rPr>
          <w:b/>
          <w:bCs/>
          <w:color w:val="000000"/>
          <w:szCs w:val="24"/>
          <w:u w:val="single"/>
        </w:rPr>
        <w:t>3</w:t>
      </w:r>
      <w:r w:rsidRPr="008D63DD">
        <w:rPr>
          <w:b/>
          <w:bCs/>
          <w:color w:val="000000"/>
          <w:szCs w:val="24"/>
          <w:u w:val="single"/>
        </w:rPr>
        <w:t xml:space="preserve"> – CS services </w:t>
      </w:r>
      <w:r w:rsidRPr="004A06FD">
        <w:rPr>
          <w:b/>
          <w:bCs/>
          <w:color w:val="000000"/>
          <w:szCs w:val="24"/>
          <w:u w:val="single"/>
        </w:rPr>
        <w:t>to which access may be subject to negotiation or arbitration</w:t>
      </w:r>
    </w:p>
    <w:p w14:paraId="290A3EA0" w14:textId="26C48459" w:rsidR="000D7508" w:rsidRPr="008A084E" w:rsidRDefault="000D7508" w:rsidP="000D7508">
      <w:pPr>
        <w:shd w:val="clear" w:color="auto" w:fill="FFFFFF"/>
        <w:spacing w:before="240"/>
        <w:ind w:right="91"/>
        <w:rPr>
          <w:color w:val="000000"/>
          <w:szCs w:val="24"/>
        </w:rPr>
      </w:pPr>
      <w:r w:rsidRPr="008A084E">
        <w:rPr>
          <w:color w:val="000000"/>
          <w:szCs w:val="24"/>
          <w:u w:val="single"/>
        </w:rPr>
        <w:t xml:space="preserve">Section </w:t>
      </w:r>
      <w:r>
        <w:rPr>
          <w:color w:val="000000"/>
          <w:szCs w:val="24"/>
          <w:u w:val="single"/>
        </w:rPr>
        <w:t xml:space="preserve">6 </w:t>
      </w:r>
      <w:r w:rsidRPr="008A084E">
        <w:rPr>
          <w:color w:val="000000"/>
          <w:szCs w:val="24"/>
          <w:u w:val="single"/>
        </w:rPr>
        <w:t>– </w:t>
      </w:r>
      <w:r w:rsidR="004A06FD">
        <w:rPr>
          <w:color w:val="000000"/>
          <w:szCs w:val="24"/>
          <w:u w:val="single"/>
        </w:rPr>
        <w:t>D</w:t>
      </w:r>
      <w:r w:rsidR="00231B66">
        <w:rPr>
          <w:color w:val="000000"/>
          <w:szCs w:val="24"/>
          <w:u w:val="single"/>
        </w:rPr>
        <w:t>eclared</w:t>
      </w:r>
      <w:r>
        <w:rPr>
          <w:color w:val="000000"/>
          <w:szCs w:val="24"/>
          <w:u w:val="single"/>
        </w:rPr>
        <w:t xml:space="preserve"> CS services </w:t>
      </w:r>
    </w:p>
    <w:p w14:paraId="65EA2A5E" w14:textId="5702D31C" w:rsidR="00E37FF7" w:rsidRPr="00C84FA0" w:rsidRDefault="00754FAF" w:rsidP="004A27A8">
      <w:pPr>
        <w:spacing w:before="240"/>
      </w:pPr>
      <w:r>
        <w:t>Section 6</w:t>
      </w:r>
      <w:r w:rsidR="00D93135" w:rsidDel="00805EDF">
        <w:t xml:space="preserve"> </w:t>
      </w:r>
      <w:r w:rsidR="00670FD0">
        <w:t>declares</w:t>
      </w:r>
      <w:r w:rsidR="00D93135" w:rsidDel="00805EDF">
        <w:t xml:space="preserve"> a class of CS services </w:t>
      </w:r>
      <w:r w:rsidR="00E75A94">
        <w:t>to</w:t>
      </w:r>
      <w:r w:rsidR="00D93135" w:rsidDel="00805EDF">
        <w:t xml:space="preserve"> which </w:t>
      </w:r>
      <w:r w:rsidR="00FD1175">
        <w:t xml:space="preserve">access may </w:t>
      </w:r>
      <w:r w:rsidR="00B930FB">
        <w:t>be the subject of negotiations or arbitration under Part XICB of the CCA.</w:t>
      </w:r>
      <w:r w:rsidR="00D93135" w:rsidDel="00805EDF">
        <w:t xml:space="preserve"> </w:t>
      </w:r>
      <w:r w:rsidR="00F77B48">
        <w:t xml:space="preserve">The class of CS services </w:t>
      </w:r>
      <w:r w:rsidR="00A470EB">
        <w:t>covered by the Instrument</w:t>
      </w:r>
      <w:r w:rsidR="00F77B48">
        <w:t xml:space="preserve"> is a CS service relating to cash equities</w:t>
      </w:r>
      <w:r w:rsidR="00D93135" w:rsidDel="00805EDF">
        <w:t>. Th</w:t>
      </w:r>
      <w:r w:rsidR="00A02315">
        <w:t xml:space="preserve">e effect of this section </w:t>
      </w:r>
      <w:r w:rsidR="00D93135" w:rsidDel="00805EDF">
        <w:t>is that</w:t>
      </w:r>
      <w:r w:rsidR="00EA4ACD">
        <w:t>, under Part XICB,</w:t>
      </w:r>
      <w:r w:rsidR="00D93135" w:rsidDel="00805EDF">
        <w:t xml:space="preserve"> </w:t>
      </w:r>
      <w:r w:rsidR="00CF384A">
        <w:t xml:space="preserve">access seekers can negotiate </w:t>
      </w:r>
      <w:r w:rsidR="001808AB">
        <w:t xml:space="preserve">access </w:t>
      </w:r>
      <w:r w:rsidR="00CF384A">
        <w:t xml:space="preserve">in relation to </w:t>
      </w:r>
      <w:r w:rsidR="00DF5941" w:rsidRPr="00DF5941">
        <w:t>a CS service relating to cash equities</w:t>
      </w:r>
      <w:r w:rsidR="00DF5941">
        <w:t xml:space="preserve"> </w:t>
      </w:r>
      <w:r w:rsidR="00CF384A">
        <w:t>and</w:t>
      </w:r>
      <w:r w:rsidR="006B4108">
        <w:t xml:space="preserve">, where parties are unable to agree on one or more </w:t>
      </w:r>
      <w:r w:rsidR="00BE79D0">
        <w:t>matters related to</w:t>
      </w:r>
      <w:r w:rsidR="006B4108">
        <w:t xml:space="preserve"> access </w:t>
      </w:r>
      <w:r w:rsidR="00A47311">
        <w:t>to th</w:t>
      </w:r>
      <w:r w:rsidR="00784485">
        <w:t>at</w:t>
      </w:r>
      <w:r w:rsidR="00A47311">
        <w:t xml:space="preserve"> CS service</w:t>
      </w:r>
      <w:r w:rsidR="006B4108">
        <w:t>,</w:t>
      </w:r>
      <w:r w:rsidR="00CF384A">
        <w:t xml:space="preserve"> the ACCC may conduct binding arbitration</w:t>
      </w:r>
      <w:r w:rsidR="00DA2835">
        <w:t xml:space="preserve"> to resolve </w:t>
      </w:r>
      <w:r w:rsidR="00D408F0">
        <w:t>disputes</w:t>
      </w:r>
      <w:r w:rsidR="00B7763E">
        <w:t xml:space="preserve"> regarding access to that CS service.</w:t>
      </w:r>
    </w:p>
    <w:sectPr w:rsidR="00E37FF7" w:rsidRPr="00C84FA0" w:rsidSect="004A27A8">
      <w:footerReference w:type="default" r:id="rId7"/>
      <w:pgSz w:w="11906" w:h="16838"/>
      <w:pgMar w:top="1440" w:right="1558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16811" w14:textId="77777777" w:rsidR="00431A9B" w:rsidRDefault="00431A9B" w:rsidP="00954679">
      <w:pPr>
        <w:spacing w:before="0" w:after="0"/>
      </w:pPr>
      <w:r>
        <w:separator/>
      </w:r>
    </w:p>
  </w:endnote>
  <w:endnote w:type="continuationSeparator" w:id="0">
    <w:p w14:paraId="777231BB" w14:textId="77777777" w:rsidR="00431A9B" w:rsidRDefault="00431A9B" w:rsidP="00954679">
      <w:pPr>
        <w:spacing w:before="0" w:after="0"/>
      </w:pPr>
      <w:r>
        <w:continuationSeparator/>
      </w:r>
    </w:p>
  </w:endnote>
  <w:endnote w:type="continuationNotice" w:id="1">
    <w:p w14:paraId="36E089CF" w14:textId="77777777" w:rsidR="00431A9B" w:rsidRDefault="00431A9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668412F" w14:textId="77777777" w:rsidR="00954679" w:rsidRDefault="00954679" w:rsidP="00013390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0E32E3">
              <w:rPr>
                <w:bCs/>
                <w:noProof/>
              </w:rPr>
              <w:t>4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0E32E3">
              <w:rPr>
                <w:bCs/>
                <w:noProof/>
              </w:rPr>
              <w:t>4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45FC2" w14:textId="77777777" w:rsidR="00431A9B" w:rsidRDefault="00431A9B" w:rsidP="00954679">
      <w:pPr>
        <w:spacing w:before="0" w:after="0"/>
      </w:pPr>
      <w:r>
        <w:separator/>
      </w:r>
    </w:p>
  </w:footnote>
  <w:footnote w:type="continuationSeparator" w:id="0">
    <w:p w14:paraId="70A2A043" w14:textId="77777777" w:rsidR="00431A9B" w:rsidRDefault="00431A9B" w:rsidP="00954679">
      <w:pPr>
        <w:spacing w:before="0" w:after="0"/>
      </w:pPr>
      <w:r>
        <w:continuationSeparator/>
      </w:r>
    </w:p>
  </w:footnote>
  <w:footnote w:type="continuationNotice" w:id="1">
    <w:p w14:paraId="3D3C2EB6" w14:textId="77777777" w:rsidR="00431A9B" w:rsidRDefault="00431A9B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3D6A"/>
    <w:multiLevelType w:val="hybridMultilevel"/>
    <w:tmpl w:val="E48A2CD6"/>
    <w:lvl w:ilvl="0" w:tplc="8032A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49D10C22"/>
    <w:multiLevelType w:val="hybridMultilevel"/>
    <w:tmpl w:val="3FD8CCB0"/>
    <w:lvl w:ilvl="0" w:tplc="C6984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254C5"/>
    <w:multiLevelType w:val="hybridMultilevel"/>
    <w:tmpl w:val="3FF88CE6"/>
    <w:lvl w:ilvl="0" w:tplc="97763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43C0B"/>
    <w:multiLevelType w:val="multilevel"/>
    <w:tmpl w:val="BE429E30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9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B6"/>
    <w:rsid w:val="000016DA"/>
    <w:rsid w:val="000026BE"/>
    <w:rsid w:val="00003189"/>
    <w:rsid w:val="00004285"/>
    <w:rsid w:val="00004432"/>
    <w:rsid w:val="00005B51"/>
    <w:rsid w:val="0000628C"/>
    <w:rsid w:val="00007FD3"/>
    <w:rsid w:val="00011902"/>
    <w:rsid w:val="00013390"/>
    <w:rsid w:val="00015ABD"/>
    <w:rsid w:val="00016EA2"/>
    <w:rsid w:val="00020781"/>
    <w:rsid w:val="0002148F"/>
    <w:rsid w:val="00022D2D"/>
    <w:rsid w:val="00023662"/>
    <w:rsid w:val="000244AF"/>
    <w:rsid w:val="0002478F"/>
    <w:rsid w:val="0002546A"/>
    <w:rsid w:val="00027417"/>
    <w:rsid w:val="00027FDE"/>
    <w:rsid w:val="00031AE1"/>
    <w:rsid w:val="00032B0C"/>
    <w:rsid w:val="00034BF1"/>
    <w:rsid w:val="000354DE"/>
    <w:rsid w:val="00037D37"/>
    <w:rsid w:val="00041C87"/>
    <w:rsid w:val="000455BA"/>
    <w:rsid w:val="00047D16"/>
    <w:rsid w:val="00051648"/>
    <w:rsid w:val="000524A9"/>
    <w:rsid w:val="0005316A"/>
    <w:rsid w:val="00054073"/>
    <w:rsid w:val="000547DB"/>
    <w:rsid w:val="000548B1"/>
    <w:rsid w:val="0005493F"/>
    <w:rsid w:val="00057D80"/>
    <w:rsid w:val="00064D2A"/>
    <w:rsid w:val="00067268"/>
    <w:rsid w:val="0007047D"/>
    <w:rsid w:val="00075094"/>
    <w:rsid w:val="00075A77"/>
    <w:rsid w:val="00075B26"/>
    <w:rsid w:val="00076178"/>
    <w:rsid w:val="00076B2B"/>
    <w:rsid w:val="00076E15"/>
    <w:rsid w:val="00076FF9"/>
    <w:rsid w:val="000777A8"/>
    <w:rsid w:val="00080673"/>
    <w:rsid w:val="00082C1B"/>
    <w:rsid w:val="000854E0"/>
    <w:rsid w:val="0008741E"/>
    <w:rsid w:val="00087EAC"/>
    <w:rsid w:val="0009222F"/>
    <w:rsid w:val="00095211"/>
    <w:rsid w:val="00095273"/>
    <w:rsid w:val="00096146"/>
    <w:rsid w:val="00096E7E"/>
    <w:rsid w:val="000A0AA5"/>
    <w:rsid w:val="000A3CAB"/>
    <w:rsid w:val="000A41FF"/>
    <w:rsid w:val="000A4B4A"/>
    <w:rsid w:val="000A69C5"/>
    <w:rsid w:val="000B186F"/>
    <w:rsid w:val="000B31ED"/>
    <w:rsid w:val="000B39A1"/>
    <w:rsid w:val="000B761F"/>
    <w:rsid w:val="000C05A3"/>
    <w:rsid w:val="000C0D08"/>
    <w:rsid w:val="000C10DF"/>
    <w:rsid w:val="000C233B"/>
    <w:rsid w:val="000C2E12"/>
    <w:rsid w:val="000C3ECC"/>
    <w:rsid w:val="000C4B61"/>
    <w:rsid w:val="000C5C40"/>
    <w:rsid w:val="000C6935"/>
    <w:rsid w:val="000D11E5"/>
    <w:rsid w:val="000D2234"/>
    <w:rsid w:val="000D4E35"/>
    <w:rsid w:val="000D5827"/>
    <w:rsid w:val="000D59B4"/>
    <w:rsid w:val="000D7508"/>
    <w:rsid w:val="000E18CA"/>
    <w:rsid w:val="000E32E3"/>
    <w:rsid w:val="000E3C07"/>
    <w:rsid w:val="000E4773"/>
    <w:rsid w:val="000E508A"/>
    <w:rsid w:val="000E5817"/>
    <w:rsid w:val="000E6EC0"/>
    <w:rsid w:val="000F0E4D"/>
    <w:rsid w:val="000F181B"/>
    <w:rsid w:val="000F1F12"/>
    <w:rsid w:val="000F3A05"/>
    <w:rsid w:val="000F53D9"/>
    <w:rsid w:val="000F7FE4"/>
    <w:rsid w:val="00100772"/>
    <w:rsid w:val="001012C2"/>
    <w:rsid w:val="00105E3C"/>
    <w:rsid w:val="00110921"/>
    <w:rsid w:val="00112344"/>
    <w:rsid w:val="00113B45"/>
    <w:rsid w:val="00114003"/>
    <w:rsid w:val="0011527C"/>
    <w:rsid w:val="00117C02"/>
    <w:rsid w:val="00121731"/>
    <w:rsid w:val="001276B4"/>
    <w:rsid w:val="00127F95"/>
    <w:rsid w:val="001319C8"/>
    <w:rsid w:val="001331B7"/>
    <w:rsid w:val="00133D7A"/>
    <w:rsid w:val="0013518D"/>
    <w:rsid w:val="00140277"/>
    <w:rsid w:val="00141A25"/>
    <w:rsid w:val="00141F2C"/>
    <w:rsid w:val="00142BCF"/>
    <w:rsid w:val="0014492A"/>
    <w:rsid w:val="0014608E"/>
    <w:rsid w:val="001511E1"/>
    <w:rsid w:val="001545E8"/>
    <w:rsid w:val="001568E4"/>
    <w:rsid w:val="00156B69"/>
    <w:rsid w:val="0015794B"/>
    <w:rsid w:val="0016430E"/>
    <w:rsid w:val="00164658"/>
    <w:rsid w:val="00172759"/>
    <w:rsid w:val="00172B5A"/>
    <w:rsid w:val="001734BD"/>
    <w:rsid w:val="00174DF9"/>
    <w:rsid w:val="00175AC9"/>
    <w:rsid w:val="00176A1F"/>
    <w:rsid w:val="001808AB"/>
    <w:rsid w:val="00184ACD"/>
    <w:rsid w:val="00187857"/>
    <w:rsid w:val="00195A29"/>
    <w:rsid w:val="001962CD"/>
    <w:rsid w:val="001972D0"/>
    <w:rsid w:val="001972DA"/>
    <w:rsid w:val="001A032A"/>
    <w:rsid w:val="001A0D6C"/>
    <w:rsid w:val="001A34AE"/>
    <w:rsid w:val="001A45D2"/>
    <w:rsid w:val="001B1443"/>
    <w:rsid w:val="001B14E5"/>
    <w:rsid w:val="001B4919"/>
    <w:rsid w:val="001B7535"/>
    <w:rsid w:val="001B7EC2"/>
    <w:rsid w:val="001C0477"/>
    <w:rsid w:val="001C1016"/>
    <w:rsid w:val="001C11EB"/>
    <w:rsid w:val="001C5ED8"/>
    <w:rsid w:val="001D134B"/>
    <w:rsid w:val="001D2425"/>
    <w:rsid w:val="001D327E"/>
    <w:rsid w:val="001D3EB3"/>
    <w:rsid w:val="001D6D09"/>
    <w:rsid w:val="001E08F0"/>
    <w:rsid w:val="001E58C0"/>
    <w:rsid w:val="001E6A74"/>
    <w:rsid w:val="001E6CF2"/>
    <w:rsid w:val="001E7A88"/>
    <w:rsid w:val="001F07AA"/>
    <w:rsid w:val="001F41D0"/>
    <w:rsid w:val="001F462C"/>
    <w:rsid w:val="002008EA"/>
    <w:rsid w:val="00207190"/>
    <w:rsid w:val="0021121F"/>
    <w:rsid w:val="00212B9B"/>
    <w:rsid w:val="002156DB"/>
    <w:rsid w:val="00220F16"/>
    <w:rsid w:val="00221082"/>
    <w:rsid w:val="002220D1"/>
    <w:rsid w:val="0022268E"/>
    <w:rsid w:val="00222C68"/>
    <w:rsid w:val="00231837"/>
    <w:rsid w:val="00231B66"/>
    <w:rsid w:val="00232BC0"/>
    <w:rsid w:val="002349A0"/>
    <w:rsid w:val="00237169"/>
    <w:rsid w:val="00240D31"/>
    <w:rsid w:val="0024245F"/>
    <w:rsid w:val="00242630"/>
    <w:rsid w:val="00242843"/>
    <w:rsid w:val="0024370F"/>
    <w:rsid w:val="002462B5"/>
    <w:rsid w:val="0025015A"/>
    <w:rsid w:val="0025294B"/>
    <w:rsid w:val="00254C5B"/>
    <w:rsid w:val="0025732C"/>
    <w:rsid w:val="0026031D"/>
    <w:rsid w:val="00261BE5"/>
    <w:rsid w:val="002634C7"/>
    <w:rsid w:val="0026368D"/>
    <w:rsid w:val="002655DE"/>
    <w:rsid w:val="0027118E"/>
    <w:rsid w:val="00272230"/>
    <w:rsid w:val="002725F4"/>
    <w:rsid w:val="0027288B"/>
    <w:rsid w:val="0027336D"/>
    <w:rsid w:val="0027482C"/>
    <w:rsid w:val="0027623F"/>
    <w:rsid w:val="002771E5"/>
    <w:rsid w:val="00277840"/>
    <w:rsid w:val="00287C5A"/>
    <w:rsid w:val="00290DDC"/>
    <w:rsid w:val="00291EC3"/>
    <w:rsid w:val="00293839"/>
    <w:rsid w:val="002938E5"/>
    <w:rsid w:val="00296435"/>
    <w:rsid w:val="00296750"/>
    <w:rsid w:val="002A1236"/>
    <w:rsid w:val="002A3C80"/>
    <w:rsid w:val="002A47D4"/>
    <w:rsid w:val="002A605F"/>
    <w:rsid w:val="002A6DA4"/>
    <w:rsid w:val="002A7B74"/>
    <w:rsid w:val="002A7E1F"/>
    <w:rsid w:val="002C0792"/>
    <w:rsid w:val="002C0A5A"/>
    <w:rsid w:val="002C226C"/>
    <w:rsid w:val="002C2FE4"/>
    <w:rsid w:val="002C3EE2"/>
    <w:rsid w:val="002C5842"/>
    <w:rsid w:val="002C7A8B"/>
    <w:rsid w:val="002D1F66"/>
    <w:rsid w:val="002D3175"/>
    <w:rsid w:val="002D4B55"/>
    <w:rsid w:val="002D67B7"/>
    <w:rsid w:val="002D6DA0"/>
    <w:rsid w:val="002D79ED"/>
    <w:rsid w:val="002E17E2"/>
    <w:rsid w:val="002E206A"/>
    <w:rsid w:val="002E68DF"/>
    <w:rsid w:val="002E6E13"/>
    <w:rsid w:val="002E73BB"/>
    <w:rsid w:val="002F022D"/>
    <w:rsid w:val="002F0252"/>
    <w:rsid w:val="002F107E"/>
    <w:rsid w:val="002F6888"/>
    <w:rsid w:val="002F6BB1"/>
    <w:rsid w:val="003006C7"/>
    <w:rsid w:val="00302B32"/>
    <w:rsid w:val="003037F8"/>
    <w:rsid w:val="003041FA"/>
    <w:rsid w:val="00304F1E"/>
    <w:rsid w:val="003053D3"/>
    <w:rsid w:val="003073A9"/>
    <w:rsid w:val="003076DA"/>
    <w:rsid w:val="00312A68"/>
    <w:rsid w:val="00312FF7"/>
    <w:rsid w:val="0031426C"/>
    <w:rsid w:val="0031607C"/>
    <w:rsid w:val="00322B69"/>
    <w:rsid w:val="003247B0"/>
    <w:rsid w:val="00326191"/>
    <w:rsid w:val="00330BC5"/>
    <w:rsid w:val="0033131C"/>
    <w:rsid w:val="003342CD"/>
    <w:rsid w:val="0033477F"/>
    <w:rsid w:val="00335042"/>
    <w:rsid w:val="00335777"/>
    <w:rsid w:val="00335C76"/>
    <w:rsid w:val="00340688"/>
    <w:rsid w:val="00341642"/>
    <w:rsid w:val="00343D62"/>
    <w:rsid w:val="003443A8"/>
    <w:rsid w:val="00345051"/>
    <w:rsid w:val="00345C9B"/>
    <w:rsid w:val="00355872"/>
    <w:rsid w:val="00356B51"/>
    <w:rsid w:val="00356C2E"/>
    <w:rsid w:val="0035714B"/>
    <w:rsid w:val="00357733"/>
    <w:rsid w:val="003601F7"/>
    <w:rsid w:val="00360C0A"/>
    <w:rsid w:val="00362B70"/>
    <w:rsid w:val="00364B84"/>
    <w:rsid w:val="00364DEE"/>
    <w:rsid w:val="00365702"/>
    <w:rsid w:val="00365807"/>
    <w:rsid w:val="00370395"/>
    <w:rsid w:val="0037180D"/>
    <w:rsid w:val="00373853"/>
    <w:rsid w:val="00375CD3"/>
    <w:rsid w:val="003810CF"/>
    <w:rsid w:val="00382259"/>
    <w:rsid w:val="00386A99"/>
    <w:rsid w:val="00392BBA"/>
    <w:rsid w:val="00392C0C"/>
    <w:rsid w:val="003954FD"/>
    <w:rsid w:val="003A415D"/>
    <w:rsid w:val="003A4A0E"/>
    <w:rsid w:val="003A6A81"/>
    <w:rsid w:val="003B19DD"/>
    <w:rsid w:val="003B1EBE"/>
    <w:rsid w:val="003B31F4"/>
    <w:rsid w:val="003B3622"/>
    <w:rsid w:val="003B38C5"/>
    <w:rsid w:val="003B4356"/>
    <w:rsid w:val="003B542F"/>
    <w:rsid w:val="003B67A6"/>
    <w:rsid w:val="003B7564"/>
    <w:rsid w:val="003C034C"/>
    <w:rsid w:val="003C2152"/>
    <w:rsid w:val="003C445C"/>
    <w:rsid w:val="003C4FEC"/>
    <w:rsid w:val="003C50E6"/>
    <w:rsid w:val="003C5719"/>
    <w:rsid w:val="003C7907"/>
    <w:rsid w:val="003C7B82"/>
    <w:rsid w:val="003D0B99"/>
    <w:rsid w:val="003D1538"/>
    <w:rsid w:val="003D3489"/>
    <w:rsid w:val="003D392B"/>
    <w:rsid w:val="003D3F60"/>
    <w:rsid w:val="003D5B4F"/>
    <w:rsid w:val="003D60D7"/>
    <w:rsid w:val="003E0411"/>
    <w:rsid w:val="003E10F6"/>
    <w:rsid w:val="003E1C60"/>
    <w:rsid w:val="003E1C8F"/>
    <w:rsid w:val="003E1CE3"/>
    <w:rsid w:val="003E34CD"/>
    <w:rsid w:val="003E639A"/>
    <w:rsid w:val="003E77BC"/>
    <w:rsid w:val="003F07E4"/>
    <w:rsid w:val="003F17A4"/>
    <w:rsid w:val="003F3ABB"/>
    <w:rsid w:val="003F3B86"/>
    <w:rsid w:val="003F4408"/>
    <w:rsid w:val="003F6385"/>
    <w:rsid w:val="003F653B"/>
    <w:rsid w:val="003F7531"/>
    <w:rsid w:val="00400001"/>
    <w:rsid w:val="004000AE"/>
    <w:rsid w:val="00403355"/>
    <w:rsid w:val="004049A9"/>
    <w:rsid w:val="00405E87"/>
    <w:rsid w:val="0040644D"/>
    <w:rsid w:val="004118E1"/>
    <w:rsid w:val="004125BE"/>
    <w:rsid w:val="00412BB6"/>
    <w:rsid w:val="00420D10"/>
    <w:rsid w:val="00423E67"/>
    <w:rsid w:val="0043030A"/>
    <w:rsid w:val="00431A9B"/>
    <w:rsid w:val="00432CC9"/>
    <w:rsid w:val="004351A4"/>
    <w:rsid w:val="00435D06"/>
    <w:rsid w:val="00436952"/>
    <w:rsid w:val="0043703F"/>
    <w:rsid w:val="00437517"/>
    <w:rsid w:val="00444AF0"/>
    <w:rsid w:val="00451103"/>
    <w:rsid w:val="00454E2D"/>
    <w:rsid w:val="004577E7"/>
    <w:rsid w:val="0046044D"/>
    <w:rsid w:val="00461C17"/>
    <w:rsid w:val="00462095"/>
    <w:rsid w:val="00464356"/>
    <w:rsid w:val="00465825"/>
    <w:rsid w:val="00466731"/>
    <w:rsid w:val="00466DD5"/>
    <w:rsid w:val="00467E83"/>
    <w:rsid w:val="004708E9"/>
    <w:rsid w:val="0047265F"/>
    <w:rsid w:val="00473B71"/>
    <w:rsid w:val="0047473B"/>
    <w:rsid w:val="004755FE"/>
    <w:rsid w:val="00482B81"/>
    <w:rsid w:val="00482D4C"/>
    <w:rsid w:val="00483475"/>
    <w:rsid w:val="004838E4"/>
    <w:rsid w:val="0048463A"/>
    <w:rsid w:val="0048738D"/>
    <w:rsid w:val="004877F2"/>
    <w:rsid w:val="00492BF6"/>
    <w:rsid w:val="004935C5"/>
    <w:rsid w:val="004A06FD"/>
    <w:rsid w:val="004A10CE"/>
    <w:rsid w:val="004A128D"/>
    <w:rsid w:val="004A1481"/>
    <w:rsid w:val="004A1638"/>
    <w:rsid w:val="004A23C5"/>
    <w:rsid w:val="004A27A8"/>
    <w:rsid w:val="004A3018"/>
    <w:rsid w:val="004A310F"/>
    <w:rsid w:val="004A4405"/>
    <w:rsid w:val="004A4499"/>
    <w:rsid w:val="004B3C0F"/>
    <w:rsid w:val="004B3F00"/>
    <w:rsid w:val="004B4A3C"/>
    <w:rsid w:val="004B68C7"/>
    <w:rsid w:val="004C05E4"/>
    <w:rsid w:val="004C1C4E"/>
    <w:rsid w:val="004C2499"/>
    <w:rsid w:val="004C28DF"/>
    <w:rsid w:val="004C29BF"/>
    <w:rsid w:val="004C58CD"/>
    <w:rsid w:val="004C789A"/>
    <w:rsid w:val="004D06BB"/>
    <w:rsid w:val="004D31DA"/>
    <w:rsid w:val="004D4AE5"/>
    <w:rsid w:val="004E2EE7"/>
    <w:rsid w:val="004E3590"/>
    <w:rsid w:val="004E39E1"/>
    <w:rsid w:val="004E3CEE"/>
    <w:rsid w:val="004E58FA"/>
    <w:rsid w:val="004E738A"/>
    <w:rsid w:val="004F00BA"/>
    <w:rsid w:val="004F011F"/>
    <w:rsid w:val="004F03F4"/>
    <w:rsid w:val="004F322A"/>
    <w:rsid w:val="004F33F6"/>
    <w:rsid w:val="004F4C00"/>
    <w:rsid w:val="004F56D0"/>
    <w:rsid w:val="0050235E"/>
    <w:rsid w:val="00503A99"/>
    <w:rsid w:val="00503E44"/>
    <w:rsid w:val="0050777E"/>
    <w:rsid w:val="00507F18"/>
    <w:rsid w:val="00510A3A"/>
    <w:rsid w:val="00510F20"/>
    <w:rsid w:val="0051114E"/>
    <w:rsid w:val="0051185F"/>
    <w:rsid w:val="00511CC2"/>
    <w:rsid w:val="00512530"/>
    <w:rsid w:val="00513278"/>
    <w:rsid w:val="00513FE8"/>
    <w:rsid w:val="0051429B"/>
    <w:rsid w:val="00515232"/>
    <w:rsid w:val="00515281"/>
    <w:rsid w:val="00515283"/>
    <w:rsid w:val="00515B27"/>
    <w:rsid w:val="005227CE"/>
    <w:rsid w:val="00522CF9"/>
    <w:rsid w:val="005230F3"/>
    <w:rsid w:val="005231C5"/>
    <w:rsid w:val="00527554"/>
    <w:rsid w:val="00527CE1"/>
    <w:rsid w:val="00530201"/>
    <w:rsid w:val="00533599"/>
    <w:rsid w:val="00533926"/>
    <w:rsid w:val="00537FB7"/>
    <w:rsid w:val="005411D1"/>
    <w:rsid w:val="00542873"/>
    <w:rsid w:val="00542901"/>
    <w:rsid w:val="00542C2F"/>
    <w:rsid w:val="00543D48"/>
    <w:rsid w:val="00544765"/>
    <w:rsid w:val="00547022"/>
    <w:rsid w:val="00547BB9"/>
    <w:rsid w:val="005507CD"/>
    <w:rsid w:val="00551A73"/>
    <w:rsid w:val="00552CC0"/>
    <w:rsid w:val="0055675D"/>
    <w:rsid w:val="00556D89"/>
    <w:rsid w:val="005573C4"/>
    <w:rsid w:val="00560A3F"/>
    <w:rsid w:val="00561D65"/>
    <w:rsid w:val="00563538"/>
    <w:rsid w:val="00566E8F"/>
    <w:rsid w:val="00570027"/>
    <w:rsid w:val="005709DE"/>
    <w:rsid w:val="005726BA"/>
    <w:rsid w:val="00573FFC"/>
    <w:rsid w:val="0057422E"/>
    <w:rsid w:val="00575DC9"/>
    <w:rsid w:val="005833BE"/>
    <w:rsid w:val="00584D00"/>
    <w:rsid w:val="005858FB"/>
    <w:rsid w:val="00585F05"/>
    <w:rsid w:val="0059157C"/>
    <w:rsid w:val="0059302A"/>
    <w:rsid w:val="00593F9F"/>
    <w:rsid w:val="00594E46"/>
    <w:rsid w:val="00595D77"/>
    <w:rsid w:val="005A1899"/>
    <w:rsid w:val="005A2572"/>
    <w:rsid w:val="005B0F45"/>
    <w:rsid w:val="005B10A1"/>
    <w:rsid w:val="005B3060"/>
    <w:rsid w:val="005B307E"/>
    <w:rsid w:val="005B3AF1"/>
    <w:rsid w:val="005B55A2"/>
    <w:rsid w:val="005C032C"/>
    <w:rsid w:val="005C53F8"/>
    <w:rsid w:val="005C73D6"/>
    <w:rsid w:val="005D1EA0"/>
    <w:rsid w:val="005D2168"/>
    <w:rsid w:val="005D5F86"/>
    <w:rsid w:val="005D7D5A"/>
    <w:rsid w:val="005D7E35"/>
    <w:rsid w:val="005E05D9"/>
    <w:rsid w:val="005E4792"/>
    <w:rsid w:val="005E4BAC"/>
    <w:rsid w:val="005E580A"/>
    <w:rsid w:val="005E58F8"/>
    <w:rsid w:val="005E666F"/>
    <w:rsid w:val="005E6C52"/>
    <w:rsid w:val="005F0ABE"/>
    <w:rsid w:val="005F1BC2"/>
    <w:rsid w:val="005F1FD2"/>
    <w:rsid w:val="005F51E2"/>
    <w:rsid w:val="005F5339"/>
    <w:rsid w:val="005F5DB8"/>
    <w:rsid w:val="0060034A"/>
    <w:rsid w:val="0060130D"/>
    <w:rsid w:val="006032A9"/>
    <w:rsid w:val="00603B19"/>
    <w:rsid w:val="00606671"/>
    <w:rsid w:val="006070A4"/>
    <w:rsid w:val="006100E5"/>
    <w:rsid w:val="00612329"/>
    <w:rsid w:val="006131B9"/>
    <w:rsid w:val="006137A6"/>
    <w:rsid w:val="00613B16"/>
    <w:rsid w:val="00615574"/>
    <w:rsid w:val="00621B0D"/>
    <w:rsid w:val="00623F9C"/>
    <w:rsid w:val="006241D6"/>
    <w:rsid w:val="006243C6"/>
    <w:rsid w:val="00625159"/>
    <w:rsid w:val="00630893"/>
    <w:rsid w:val="00631CC9"/>
    <w:rsid w:val="0063574A"/>
    <w:rsid w:val="0064129F"/>
    <w:rsid w:val="006423F0"/>
    <w:rsid w:val="0064309D"/>
    <w:rsid w:val="00647BB7"/>
    <w:rsid w:val="00650415"/>
    <w:rsid w:val="00655D7F"/>
    <w:rsid w:val="00657084"/>
    <w:rsid w:val="00660F56"/>
    <w:rsid w:val="00662931"/>
    <w:rsid w:val="00662FFA"/>
    <w:rsid w:val="006633A1"/>
    <w:rsid w:val="00665AE4"/>
    <w:rsid w:val="0066708A"/>
    <w:rsid w:val="00670FD0"/>
    <w:rsid w:val="006711DF"/>
    <w:rsid w:val="00671BC0"/>
    <w:rsid w:val="006750B7"/>
    <w:rsid w:val="00675CD2"/>
    <w:rsid w:val="006761ED"/>
    <w:rsid w:val="00680142"/>
    <w:rsid w:val="00680297"/>
    <w:rsid w:val="0068046D"/>
    <w:rsid w:val="00680871"/>
    <w:rsid w:val="00682B5D"/>
    <w:rsid w:val="00683956"/>
    <w:rsid w:val="00684FAC"/>
    <w:rsid w:val="006854C4"/>
    <w:rsid w:val="00685C03"/>
    <w:rsid w:val="006873CE"/>
    <w:rsid w:val="0069205F"/>
    <w:rsid w:val="00695DEC"/>
    <w:rsid w:val="00696940"/>
    <w:rsid w:val="00696A55"/>
    <w:rsid w:val="00697A45"/>
    <w:rsid w:val="006A0786"/>
    <w:rsid w:val="006A11D6"/>
    <w:rsid w:val="006A1D5E"/>
    <w:rsid w:val="006A558E"/>
    <w:rsid w:val="006A7053"/>
    <w:rsid w:val="006B16E4"/>
    <w:rsid w:val="006B361A"/>
    <w:rsid w:val="006B4108"/>
    <w:rsid w:val="006B42F5"/>
    <w:rsid w:val="006B4DC0"/>
    <w:rsid w:val="006B520A"/>
    <w:rsid w:val="006B523A"/>
    <w:rsid w:val="006C021E"/>
    <w:rsid w:val="006C170A"/>
    <w:rsid w:val="006C18A7"/>
    <w:rsid w:val="006C47FE"/>
    <w:rsid w:val="006C4E39"/>
    <w:rsid w:val="006D10EC"/>
    <w:rsid w:val="006D478B"/>
    <w:rsid w:val="006D4DAA"/>
    <w:rsid w:val="006D60D0"/>
    <w:rsid w:val="006D672B"/>
    <w:rsid w:val="006D7341"/>
    <w:rsid w:val="006E04DB"/>
    <w:rsid w:val="006E0852"/>
    <w:rsid w:val="006E0CBA"/>
    <w:rsid w:val="006E3912"/>
    <w:rsid w:val="006E3AB4"/>
    <w:rsid w:val="006E4AE6"/>
    <w:rsid w:val="006E520F"/>
    <w:rsid w:val="006E6321"/>
    <w:rsid w:val="006E722E"/>
    <w:rsid w:val="006E795E"/>
    <w:rsid w:val="006F06C1"/>
    <w:rsid w:val="006F076F"/>
    <w:rsid w:val="006F6142"/>
    <w:rsid w:val="006F683C"/>
    <w:rsid w:val="006F6C2A"/>
    <w:rsid w:val="006F74AB"/>
    <w:rsid w:val="0070169C"/>
    <w:rsid w:val="00701F57"/>
    <w:rsid w:val="00704CCA"/>
    <w:rsid w:val="00705171"/>
    <w:rsid w:val="007053B0"/>
    <w:rsid w:val="00705AE3"/>
    <w:rsid w:val="007108C5"/>
    <w:rsid w:val="00710E94"/>
    <w:rsid w:val="00712543"/>
    <w:rsid w:val="007163D3"/>
    <w:rsid w:val="00717A59"/>
    <w:rsid w:val="00723352"/>
    <w:rsid w:val="0072529F"/>
    <w:rsid w:val="007254D6"/>
    <w:rsid w:val="007267D9"/>
    <w:rsid w:val="00727D8A"/>
    <w:rsid w:val="00727F43"/>
    <w:rsid w:val="00730357"/>
    <w:rsid w:val="00730DA8"/>
    <w:rsid w:val="00731EE0"/>
    <w:rsid w:val="00731FEA"/>
    <w:rsid w:val="007323F4"/>
    <w:rsid w:val="00732D17"/>
    <w:rsid w:val="00735921"/>
    <w:rsid w:val="0073599B"/>
    <w:rsid w:val="00736F61"/>
    <w:rsid w:val="0074062E"/>
    <w:rsid w:val="00741050"/>
    <w:rsid w:val="007413B2"/>
    <w:rsid w:val="0074185E"/>
    <w:rsid w:val="00742253"/>
    <w:rsid w:val="007436F0"/>
    <w:rsid w:val="0074422A"/>
    <w:rsid w:val="0074509F"/>
    <w:rsid w:val="0074728E"/>
    <w:rsid w:val="00747F56"/>
    <w:rsid w:val="00752779"/>
    <w:rsid w:val="00754FAF"/>
    <w:rsid w:val="00757B95"/>
    <w:rsid w:val="00760F1F"/>
    <w:rsid w:val="00761B8F"/>
    <w:rsid w:val="00762B19"/>
    <w:rsid w:val="00762C24"/>
    <w:rsid w:val="00765903"/>
    <w:rsid w:val="007662C7"/>
    <w:rsid w:val="00767FFB"/>
    <w:rsid w:val="0077245D"/>
    <w:rsid w:val="00772FAF"/>
    <w:rsid w:val="007730C6"/>
    <w:rsid w:val="00774E74"/>
    <w:rsid w:val="00776306"/>
    <w:rsid w:val="00776B19"/>
    <w:rsid w:val="007816E2"/>
    <w:rsid w:val="00783FA2"/>
    <w:rsid w:val="00784485"/>
    <w:rsid w:val="007865CA"/>
    <w:rsid w:val="0078681C"/>
    <w:rsid w:val="00786CBC"/>
    <w:rsid w:val="007943F7"/>
    <w:rsid w:val="007967DA"/>
    <w:rsid w:val="00796F7E"/>
    <w:rsid w:val="007A0735"/>
    <w:rsid w:val="007A1887"/>
    <w:rsid w:val="007A33F8"/>
    <w:rsid w:val="007A55A7"/>
    <w:rsid w:val="007A57BC"/>
    <w:rsid w:val="007A7002"/>
    <w:rsid w:val="007A745D"/>
    <w:rsid w:val="007B12E2"/>
    <w:rsid w:val="007B1F10"/>
    <w:rsid w:val="007B2143"/>
    <w:rsid w:val="007B335E"/>
    <w:rsid w:val="007B4276"/>
    <w:rsid w:val="007B4A9D"/>
    <w:rsid w:val="007B5962"/>
    <w:rsid w:val="007B7FF4"/>
    <w:rsid w:val="007C137D"/>
    <w:rsid w:val="007C2175"/>
    <w:rsid w:val="007C2EAB"/>
    <w:rsid w:val="007C30BD"/>
    <w:rsid w:val="007C7D64"/>
    <w:rsid w:val="007D6771"/>
    <w:rsid w:val="007E018D"/>
    <w:rsid w:val="007E36EB"/>
    <w:rsid w:val="007E37AC"/>
    <w:rsid w:val="007E6A45"/>
    <w:rsid w:val="007F1B71"/>
    <w:rsid w:val="007F6977"/>
    <w:rsid w:val="007F7900"/>
    <w:rsid w:val="00800997"/>
    <w:rsid w:val="008016EF"/>
    <w:rsid w:val="0080320B"/>
    <w:rsid w:val="00803CE6"/>
    <w:rsid w:val="008065B4"/>
    <w:rsid w:val="00807C86"/>
    <w:rsid w:val="00807E7D"/>
    <w:rsid w:val="00810642"/>
    <w:rsid w:val="00810728"/>
    <w:rsid w:val="00813866"/>
    <w:rsid w:val="008145BA"/>
    <w:rsid w:val="00816CBE"/>
    <w:rsid w:val="0082350D"/>
    <w:rsid w:val="008249BE"/>
    <w:rsid w:val="00826691"/>
    <w:rsid w:val="00831675"/>
    <w:rsid w:val="00833654"/>
    <w:rsid w:val="00835062"/>
    <w:rsid w:val="00836845"/>
    <w:rsid w:val="008404AD"/>
    <w:rsid w:val="00841BAB"/>
    <w:rsid w:val="008421CB"/>
    <w:rsid w:val="00844849"/>
    <w:rsid w:val="00845A80"/>
    <w:rsid w:val="008552D6"/>
    <w:rsid w:val="00855DA3"/>
    <w:rsid w:val="00856D7B"/>
    <w:rsid w:val="00860BB5"/>
    <w:rsid w:val="00862443"/>
    <w:rsid w:val="008653E7"/>
    <w:rsid w:val="00871B3F"/>
    <w:rsid w:val="00874705"/>
    <w:rsid w:val="008766CB"/>
    <w:rsid w:val="00877071"/>
    <w:rsid w:val="0087775A"/>
    <w:rsid w:val="008779B4"/>
    <w:rsid w:val="00877A2F"/>
    <w:rsid w:val="0088138D"/>
    <w:rsid w:val="00883863"/>
    <w:rsid w:val="0088467C"/>
    <w:rsid w:val="008853B9"/>
    <w:rsid w:val="00885AA3"/>
    <w:rsid w:val="00885B24"/>
    <w:rsid w:val="00886042"/>
    <w:rsid w:val="008901E4"/>
    <w:rsid w:val="008905B4"/>
    <w:rsid w:val="0089067F"/>
    <w:rsid w:val="00891F21"/>
    <w:rsid w:val="00892065"/>
    <w:rsid w:val="00892D3B"/>
    <w:rsid w:val="00893E5B"/>
    <w:rsid w:val="008940A6"/>
    <w:rsid w:val="00894579"/>
    <w:rsid w:val="008A084E"/>
    <w:rsid w:val="008A2BDB"/>
    <w:rsid w:val="008A4609"/>
    <w:rsid w:val="008A49CB"/>
    <w:rsid w:val="008A4BE7"/>
    <w:rsid w:val="008A5B67"/>
    <w:rsid w:val="008A5CCD"/>
    <w:rsid w:val="008A6A6D"/>
    <w:rsid w:val="008B0062"/>
    <w:rsid w:val="008B29E7"/>
    <w:rsid w:val="008B2C4E"/>
    <w:rsid w:val="008B33DF"/>
    <w:rsid w:val="008B4542"/>
    <w:rsid w:val="008B463B"/>
    <w:rsid w:val="008B5C0B"/>
    <w:rsid w:val="008C2216"/>
    <w:rsid w:val="008C42B0"/>
    <w:rsid w:val="008C4B96"/>
    <w:rsid w:val="008C63D1"/>
    <w:rsid w:val="008D0098"/>
    <w:rsid w:val="008D07E2"/>
    <w:rsid w:val="008D16F7"/>
    <w:rsid w:val="008D323E"/>
    <w:rsid w:val="008D3DA8"/>
    <w:rsid w:val="008D40FA"/>
    <w:rsid w:val="008D4835"/>
    <w:rsid w:val="008E1427"/>
    <w:rsid w:val="008E30C6"/>
    <w:rsid w:val="008E3B03"/>
    <w:rsid w:val="008E52C7"/>
    <w:rsid w:val="008E5A1D"/>
    <w:rsid w:val="008E6913"/>
    <w:rsid w:val="008F0C50"/>
    <w:rsid w:val="008F2529"/>
    <w:rsid w:val="008F26AA"/>
    <w:rsid w:val="008F60A2"/>
    <w:rsid w:val="008F7057"/>
    <w:rsid w:val="008F778A"/>
    <w:rsid w:val="009002D8"/>
    <w:rsid w:val="00901262"/>
    <w:rsid w:val="00902ED6"/>
    <w:rsid w:val="0090320B"/>
    <w:rsid w:val="00906037"/>
    <w:rsid w:val="00906D21"/>
    <w:rsid w:val="009122AC"/>
    <w:rsid w:val="009124E6"/>
    <w:rsid w:val="0091280A"/>
    <w:rsid w:val="00912940"/>
    <w:rsid w:val="00912972"/>
    <w:rsid w:val="00912E3F"/>
    <w:rsid w:val="009143A0"/>
    <w:rsid w:val="0092014F"/>
    <w:rsid w:val="00921956"/>
    <w:rsid w:val="00921B5A"/>
    <w:rsid w:val="00925124"/>
    <w:rsid w:val="00925635"/>
    <w:rsid w:val="00927959"/>
    <w:rsid w:val="00927C59"/>
    <w:rsid w:val="00931881"/>
    <w:rsid w:val="00933A45"/>
    <w:rsid w:val="0093421F"/>
    <w:rsid w:val="00935AED"/>
    <w:rsid w:val="00936902"/>
    <w:rsid w:val="00942170"/>
    <w:rsid w:val="009424D9"/>
    <w:rsid w:val="0094358B"/>
    <w:rsid w:val="0094486D"/>
    <w:rsid w:val="00950E58"/>
    <w:rsid w:val="00952DF0"/>
    <w:rsid w:val="00954679"/>
    <w:rsid w:val="00954D8D"/>
    <w:rsid w:val="00955246"/>
    <w:rsid w:val="009552FE"/>
    <w:rsid w:val="00955673"/>
    <w:rsid w:val="00955B2C"/>
    <w:rsid w:val="00955D5E"/>
    <w:rsid w:val="00956295"/>
    <w:rsid w:val="009562E9"/>
    <w:rsid w:val="00956D56"/>
    <w:rsid w:val="009578F5"/>
    <w:rsid w:val="00962174"/>
    <w:rsid w:val="00963EEB"/>
    <w:rsid w:val="00964AA9"/>
    <w:rsid w:val="009655DA"/>
    <w:rsid w:val="00965BBC"/>
    <w:rsid w:val="009673D0"/>
    <w:rsid w:val="00970A32"/>
    <w:rsid w:val="00972823"/>
    <w:rsid w:val="00974996"/>
    <w:rsid w:val="009809AB"/>
    <w:rsid w:val="00984859"/>
    <w:rsid w:val="009860EA"/>
    <w:rsid w:val="00987133"/>
    <w:rsid w:val="0098737D"/>
    <w:rsid w:val="00990BE6"/>
    <w:rsid w:val="009978B5"/>
    <w:rsid w:val="009A2167"/>
    <w:rsid w:val="009A49F0"/>
    <w:rsid w:val="009A5307"/>
    <w:rsid w:val="009A5468"/>
    <w:rsid w:val="009A7C94"/>
    <w:rsid w:val="009B4E8C"/>
    <w:rsid w:val="009B6F2D"/>
    <w:rsid w:val="009B7A38"/>
    <w:rsid w:val="009C0051"/>
    <w:rsid w:val="009C4ED3"/>
    <w:rsid w:val="009C507F"/>
    <w:rsid w:val="009C60E8"/>
    <w:rsid w:val="009C6A1E"/>
    <w:rsid w:val="009D0A57"/>
    <w:rsid w:val="009D1710"/>
    <w:rsid w:val="009D2F0C"/>
    <w:rsid w:val="009D477C"/>
    <w:rsid w:val="009D4B1D"/>
    <w:rsid w:val="009E1803"/>
    <w:rsid w:val="009E27A5"/>
    <w:rsid w:val="009E2F86"/>
    <w:rsid w:val="009E7919"/>
    <w:rsid w:val="009F0676"/>
    <w:rsid w:val="009F60EF"/>
    <w:rsid w:val="009F6C3A"/>
    <w:rsid w:val="00A01F86"/>
    <w:rsid w:val="00A02315"/>
    <w:rsid w:val="00A04A06"/>
    <w:rsid w:val="00A12209"/>
    <w:rsid w:val="00A12A3E"/>
    <w:rsid w:val="00A22C5E"/>
    <w:rsid w:val="00A24C2B"/>
    <w:rsid w:val="00A25CD5"/>
    <w:rsid w:val="00A27F84"/>
    <w:rsid w:val="00A30734"/>
    <w:rsid w:val="00A31484"/>
    <w:rsid w:val="00A31681"/>
    <w:rsid w:val="00A34CA4"/>
    <w:rsid w:val="00A35059"/>
    <w:rsid w:val="00A352E0"/>
    <w:rsid w:val="00A366A2"/>
    <w:rsid w:val="00A36DF3"/>
    <w:rsid w:val="00A41548"/>
    <w:rsid w:val="00A43DDF"/>
    <w:rsid w:val="00A4441D"/>
    <w:rsid w:val="00A45F14"/>
    <w:rsid w:val="00A470EB"/>
    <w:rsid w:val="00A47311"/>
    <w:rsid w:val="00A50724"/>
    <w:rsid w:val="00A513FF"/>
    <w:rsid w:val="00A532DD"/>
    <w:rsid w:val="00A54D45"/>
    <w:rsid w:val="00A5522E"/>
    <w:rsid w:val="00A61E39"/>
    <w:rsid w:val="00A62D8F"/>
    <w:rsid w:val="00A649B6"/>
    <w:rsid w:val="00A6530C"/>
    <w:rsid w:val="00A72BEF"/>
    <w:rsid w:val="00A734C8"/>
    <w:rsid w:val="00A7369D"/>
    <w:rsid w:val="00A73700"/>
    <w:rsid w:val="00A74B90"/>
    <w:rsid w:val="00A760F0"/>
    <w:rsid w:val="00A80BCF"/>
    <w:rsid w:val="00A825D1"/>
    <w:rsid w:val="00A8369C"/>
    <w:rsid w:val="00A84449"/>
    <w:rsid w:val="00A84A20"/>
    <w:rsid w:val="00A86579"/>
    <w:rsid w:val="00A90212"/>
    <w:rsid w:val="00A90CC4"/>
    <w:rsid w:val="00A910EA"/>
    <w:rsid w:val="00A92216"/>
    <w:rsid w:val="00A92445"/>
    <w:rsid w:val="00A9401D"/>
    <w:rsid w:val="00A97089"/>
    <w:rsid w:val="00AA0055"/>
    <w:rsid w:val="00AA1689"/>
    <w:rsid w:val="00AA496F"/>
    <w:rsid w:val="00AA5770"/>
    <w:rsid w:val="00AA70DB"/>
    <w:rsid w:val="00AA719F"/>
    <w:rsid w:val="00AB2E70"/>
    <w:rsid w:val="00AB33C1"/>
    <w:rsid w:val="00AB3E03"/>
    <w:rsid w:val="00AB497A"/>
    <w:rsid w:val="00AC0719"/>
    <w:rsid w:val="00AC1D15"/>
    <w:rsid w:val="00AC2719"/>
    <w:rsid w:val="00AD214E"/>
    <w:rsid w:val="00AD29D0"/>
    <w:rsid w:val="00AD4004"/>
    <w:rsid w:val="00AD44C6"/>
    <w:rsid w:val="00AD4956"/>
    <w:rsid w:val="00AD4E5B"/>
    <w:rsid w:val="00AD525D"/>
    <w:rsid w:val="00AD63A1"/>
    <w:rsid w:val="00AE460D"/>
    <w:rsid w:val="00AE4EA3"/>
    <w:rsid w:val="00AE7F82"/>
    <w:rsid w:val="00AF116C"/>
    <w:rsid w:val="00AF12F6"/>
    <w:rsid w:val="00AF1C4B"/>
    <w:rsid w:val="00AF33F7"/>
    <w:rsid w:val="00AF3899"/>
    <w:rsid w:val="00AF3C1F"/>
    <w:rsid w:val="00AF7AEF"/>
    <w:rsid w:val="00B03AA1"/>
    <w:rsid w:val="00B07B0C"/>
    <w:rsid w:val="00B07F4F"/>
    <w:rsid w:val="00B1185C"/>
    <w:rsid w:val="00B120F9"/>
    <w:rsid w:val="00B156A2"/>
    <w:rsid w:val="00B15B53"/>
    <w:rsid w:val="00B16C60"/>
    <w:rsid w:val="00B2021B"/>
    <w:rsid w:val="00B23CDB"/>
    <w:rsid w:val="00B25563"/>
    <w:rsid w:val="00B26D48"/>
    <w:rsid w:val="00B2789F"/>
    <w:rsid w:val="00B364A0"/>
    <w:rsid w:val="00B37990"/>
    <w:rsid w:val="00B40949"/>
    <w:rsid w:val="00B40D80"/>
    <w:rsid w:val="00B41AFE"/>
    <w:rsid w:val="00B41F7B"/>
    <w:rsid w:val="00B42C09"/>
    <w:rsid w:val="00B42EE1"/>
    <w:rsid w:val="00B45A42"/>
    <w:rsid w:val="00B46CD1"/>
    <w:rsid w:val="00B47A59"/>
    <w:rsid w:val="00B52DCF"/>
    <w:rsid w:val="00B5349B"/>
    <w:rsid w:val="00B563B6"/>
    <w:rsid w:val="00B5649C"/>
    <w:rsid w:val="00B56718"/>
    <w:rsid w:val="00B56B5C"/>
    <w:rsid w:val="00B61C1B"/>
    <w:rsid w:val="00B65178"/>
    <w:rsid w:val="00B6666B"/>
    <w:rsid w:val="00B67E94"/>
    <w:rsid w:val="00B7138A"/>
    <w:rsid w:val="00B71B03"/>
    <w:rsid w:val="00B72F56"/>
    <w:rsid w:val="00B72FD9"/>
    <w:rsid w:val="00B739BB"/>
    <w:rsid w:val="00B73BFD"/>
    <w:rsid w:val="00B75B8E"/>
    <w:rsid w:val="00B76B17"/>
    <w:rsid w:val="00B770E1"/>
    <w:rsid w:val="00B7729E"/>
    <w:rsid w:val="00B7763E"/>
    <w:rsid w:val="00B8167D"/>
    <w:rsid w:val="00B817FF"/>
    <w:rsid w:val="00B818A9"/>
    <w:rsid w:val="00B8293D"/>
    <w:rsid w:val="00B85B0A"/>
    <w:rsid w:val="00B87A49"/>
    <w:rsid w:val="00B87FE8"/>
    <w:rsid w:val="00B91ECE"/>
    <w:rsid w:val="00B92444"/>
    <w:rsid w:val="00B92478"/>
    <w:rsid w:val="00B930FB"/>
    <w:rsid w:val="00B943FB"/>
    <w:rsid w:val="00B9557D"/>
    <w:rsid w:val="00B97463"/>
    <w:rsid w:val="00BA0C9A"/>
    <w:rsid w:val="00BA13A1"/>
    <w:rsid w:val="00BA1B32"/>
    <w:rsid w:val="00BA25B4"/>
    <w:rsid w:val="00BA6188"/>
    <w:rsid w:val="00BB5D15"/>
    <w:rsid w:val="00BB608E"/>
    <w:rsid w:val="00BB7567"/>
    <w:rsid w:val="00BC1C73"/>
    <w:rsid w:val="00BC361A"/>
    <w:rsid w:val="00BC5C6B"/>
    <w:rsid w:val="00BC660B"/>
    <w:rsid w:val="00BC68C2"/>
    <w:rsid w:val="00BD1214"/>
    <w:rsid w:val="00BD2045"/>
    <w:rsid w:val="00BD3230"/>
    <w:rsid w:val="00BD3450"/>
    <w:rsid w:val="00BD3795"/>
    <w:rsid w:val="00BD3D7D"/>
    <w:rsid w:val="00BD49F7"/>
    <w:rsid w:val="00BD61A2"/>
    <w:rsid w:val="00BE484D"/>
    <w:rsid w:val="00BE79D0"/>
    <w:rsid w:val="00BF1C4F"/>
    <w:rsid w:val="00BF2596"/>
    <w:rsid w:val="00C00B11"/>
    <w:rsid w:val="00C0138E"/>
    <w:rsid w:val="00C02AF5"/>
    <w:rsid w:val="00C05665"/>
    <w:rsid w:val="00C063F0"/>
    <w:rsid w:val="00C15493"/>
    <w:rsid w:val="00C1702C"/>
    <w:rsid w:val="00C232C4"/>
    <w:rsid w:val="00C24BFD"/>
    <w:rsid w:val="00C24EDE"/>
    <w:rsid w:val="00C26CC5"/>
    <w:rsid w:val="00C270B1"/>
    <w:rsid w:val="00C35146"/>
    <w:rsid w:val="00C37732"/>
    <w:rsid w:val="00C37B04"/>
    <w:rsid w:val="00C37E05"/>
    <w:rsid w:val="00C4270A"/>
    <w:rsid w:val="00C43864"/>
    <w:rsid w:val="00C45776"/>
    <w:rsid w:val="00C4622D"/>
    <w:rsid w:val="00C47789"/>
    <w:rsid w:val="00C47E8F"/>
    <w:rsid w:val="00C52172"/>
    <w:rsid w:val="00C5364A"/>
    <w:rsid w:val="00C55D29"/>
    <w:rsid w:val="00C56F2E"/>
    <w:rsid w:val="00C570E3"/>
    <w:rsid w:val="00C57600"/>
    <w:rsid w:val="00C62B3A"/>
    <w:rsid w:val="00C6428F"/>
    <w:rsid w:val="00C65044"/>
    <w:rsid w:val="00C65B72"/>
    <w:rsid w:val="00C67075"/>
    <w:rsid w:val="00C67599"/>
    <w:rsid w:val="00C7288B"/>
    <w:rsid w:val="00C77CBF"/>
    <w:rsid w:val="00C81F3F"/>
    <w:rsid w:val="00C827E3"/>
    <w:rsid w:val="00C83DB6"/>
    <w:rsid w:val="00C83F4A"/>
    <w:rsid w:val="00C84FA0"/>
    <w:rsid w:val="00C86F6D"/>
    <w:rsid w:val="00C87C41"/>
    <w:rsid w:val="00C91287"/>
    <w:rsid w:val="00C923AD"/>
    <w:rsid w:val="00C948D8"/>
    <w:rsid w:val="00C9580A"/>
    <w:rsid w:val="00C958E4"/>
    <w:rsid w:val="00CA05AB"/>
    <w:rsid w:val="00CA0BE9"/>
    <w:rsid w:val="00CA138D"/>
    <w:rsid w:val="00CA4CD5"/>
    <w:rsid w:val="00CA57D9"/>
    <w:rsid w:val="00CA5D67"/>
    <w:rsid w:val="00CA6577"/>
    <w:rsid w:val="00CA6E05"/>
    <w:rsid w:val="00CA7AFF"/>
    <w:rsid w:val="00CA7FFE"/>
    <w:rsid w:val="00CB4647"/>
    <w:rsid w:val="00CB6329"/>
    <w:rsid w:val="00CB6357"/>
    <w:rsid w:val="00CB684F"/>
    <w:rsid w:val="00CB7C3A"/>
    <w:rsid w:val="00CB7F41"/>
    <w:rsid w:val="00CC02CC"/>
    <w:rsid w:val="00CC0893"/>
    <w:rsid w:val="00CC220F"/>
    <w:rsid w:val="00CC2AFE"/>
    <w:rsid w:val="00CC4742"/>
    <w:rsid w:val="00CC7641"/>
    <w:rsid w:val="00CD1BB7"/>
    <w:rsid w:val="00CD1EC2"/>
    <w:rsid w:val="00CD1F48"/>
    <w:rsid w:val="00CD302D"/>
    <w:rsid w:val="00CD513F"/>
    <w:rsid w:val="00CE0B46"/>
    <w:rsid w:val="00CE0BC1"/>
    <w:rsid w:val="00CE4EFB"/>
    <w:rsid w:val="00CE74EC"/>
    <w:rsid w:val="00CE7D19"/>
    <w:rsid w:val="00CF03BF"/>
    <w:rsid w:val="00CF0681"/>
    <w:rsid w:val="00CF1477"/>
    <w:rsid w:val="00CF1AD9"/>
    <w:rsid w:val="00CF2515"/>
    <w:rsid w:val="00CF384A"/>
    <w:rsid w:val="00CF3E79"/>
    <w:rsid w:val="00CF717D"/>
    <w:rsid w:val="00D05ED5"/>
    <w:rsid w:val="00D071DA"/>
    <w:rsid w:val="00D074A2"/>
    <w:rsid w:val="00D13794"/>
    <w:rsid w:val="00D14E3C"/>
    <w:rsid w:val="00D16E80"/>
    <w:rsid w:val="00D218E7"/>
    <w:rsid w:val="00D23C84"/>
    <w:rsid w:val="00D24052"/>
    <w:rsid w:val="00D24386"/>
    <w:rsid w:val="00D256D9"/>
    <w:rsid w:val="00D309D3"/>
    <w:rsid w:val="00D30DCE"/>
    <w:rsid w:val="00D311B5"/>
    <w:rsid w:val="00D31575"/>
    <w:rsid w:val="00D31A89"/>
    <w:rsid w:val="00D3251D"/>
    <w:rsid w:val="00D32D48"/>
    <w:rsid w:val="00D341CD"/>
    <w:rsid w:val="00D34626"/>
    <w:rsid w:val="00D34FB4"/>
    <w:rsid w:val="00D359BA"/>
    <w:rsid w:val="00D36804"/>
    <w:rsid w:val="00D406CA"/>
    <w:rsid w:val="00D40782"/>
    <w:rsid w:val="00D408F0"/>
    <w:rsid w:val="00D4257A"/>
    <w:rsid w:val="00D456A9"/>
    <w:rsid w:val="00D52798"/>
    <w:rsid w:val="00D5468A"/>
    <w:rsid w:val="00D61745"/>
    <w:rsid w:val="00D61989"/>
    <w:rsid w:val="00D61A06"/>
    <w:rsid w:val="00D61ADC"/>
    <w:rsid w:val="00D62506"/>
    <w:rsid w:val="00D62665"/>
    <w:rsid w:val="00D645AC"/>
    <w:rsid w:val="00D66C71"/>
    <w:rsid w:val="00D66D7C"/>
    <w:rsid w:val="00D70205"/>
    <w:rsid w:val="00D72D93"/>
    <w:rsid w:val="00D735EF"/>
    <w:rsid w:val="00D7609F"/>
    <w:rsid w:val="00D81AA7"/>
    <w:rsid w:val="00D82E47"/>
    <w:rsid w:val="00D84A01"/>
    <w:rsid w:val="00D920B3"/>
    <w:rsid w:val="00D92811"/>
    <w:rsid w:val="00D93135"/>
    <w:rsid w:val="00D93DFF"/>
    <w:rsid w:val="00D977EA"/>
    <w:rsid w:val="00D97C83"/>
    <w:rsid w:val="00DA2835"/>
    <w:rsid w:val="00DA2972"/>
    <w:rsid w:val="00DA2D12"/>
    <w:rsid w:val="00DA32B6"/>
    <w:rsid w:val="00DA468A"/>
    <w:rsid w:val="00DB148C"/>
    <w:rsid w:val="00DB1A31"/>
    <w:rsid w:val="00DB1D18"/>
    <w:rsid w:val="00DB202E"/>
    <w:rsid w:val="00DB39AD"/>
    <w:rsid w:val="00DB4F78"/>
    <w:rsid w:val="00DC027B"/>
    <w:rsid w:val="00DC0CDE"/>
    <w:rsid w:val="00DC1A85"/>
    <w:rsid w:val="00DC1F65"/>
    <w:rsid w:val="00DC498E"/>
    <w:rsid w:val="00DC4D72"/>
    <w:rsid w:val="00DC64E4"/>
    <w:rsid w:val="00DC6525"/>
    <w:rsid w:val="00DC69E9"/>
    <w:rsid w:val="00DC6D4B"/>
    <w:rsid w:val="00DC7018"/>
    <w:rsid w:val="00DC7857"/>
    <w:rsid w:val="00DD0E36"/>
    <w:rsid w:val="00DD12B0"/>
    <w:rsid w:val="00DD265D"/>
    <w:rsid w:val="00DD3249"/>
    <w:rsid w:val="00DD5610"/>
    <w:rsid w:val="00DD6E92"/>
    <w:rsid w:val="00DE4037"/>
    <w:rsid w:val="00DE60E1"/>
    <w:rsid w:val="00DE6567"/>
    <w:rsid w:val="00DF0CB3"/>
    <w:rsid w:val="00DF1C45"/>
    <w:rsid w:val="00DF28BC"/>
    <w:rsid w:val="00DF3950"/>
    <w:rsid w:val="00DF494C"/>
    <w:rsid w:val="00DF5941"/>
    <w:rsid w:val="00DF5CF7"/>
    <w:rsid w:val="00DF6D0B"/>
    <w:rsid w:val="00DF7E0D"/>
    <w:rsid w:val="00E02A98"/>
    <w:rsid w:val="00E0624D"/>
    <w:rsid w:val="00E070C9"/>
    <w:rsid w:val="00E108A0"/>
    <w:rsid w:val="00E1142D"/>
    <w:rsid w:val="00E11BAE"/>
    <w:rsid w:val="00E13653"/>
    <w:rsid w:val="00E14AA8"/>
    <w:rsid w:val="00E179D4"/>
    <w:rsid w:val="00E20023"/>
    <w:rsid w:val="00E24DAA"/>
    <w:rsid w:val="00E269B6"/>
    <w:rsid w:val="00E27762"/>
    <w:rsid w:val="00E27862"/>
    <w:rsid w:val="00E303BA"/>
    <w:rsid w:val="00E32388"/>
    <w:rsid w:val="00E33128"/>
    <w:rsid w:val="00E353A3"/>
    <w:rsid w:val="00E35C9D"/>
    <w:rsid w:val="00E36B8B"/>
    <w:rsid w:val="00E37FF7"/>
    <w:rsid w:val="00E4247F"/>
    <w:rsid w:val="00E4438C"/>
    <w:rsid w:val="00E457F3"/>
    <w:rsid w:val="00E45C2E"/>
    <w:rsid w:val="00E45D84"/>
    <w:rsid w:val="00E4768E"/>
    <w:rsid w:val="00E47F44"/>
    <w:rsid w:val="00E50663"/>
    <w:rsid w:val="00E54579"/>
    <w:rsid w:val="00E55B5F"/>
    <w:rsid w:val="00E55F9B"/>
    <w:rsid w:val="00E56616"/>
    <w:rsid w:val="00E576F5"/>
    <w:rsid w:val="00E57A6A"/>
    <w:rsid w:val="00E639FF"/>
    <w:rsid w:val="00E73CC1"/>
    <w:rsid w:val="00E73CC2"/>
    <w:rsid w:val="00E73CDF"/>
    <w:rsid w:val="00E74D31"/>
    <w:rsid w:val="00E75A94"/>
    <w:rsid w:val="00E76021"/>
    <w:rsid w:val="00E8090D"/>
    <w:rsid w:val="00E82E6E"/>
    <w:rsid w:val="00E83EB2"/>
    <w:rsid w:val="00E84E39"/>
    <w:rsid w:val="00E86357"/>
    <w:rsid w:val="00E87284"/>
    <w:rsid w:val="00E87733"/>
    <w:rsid w:val="00E87CCD"/>
    <w:rsid w:val="00E910A2"/>
    <w:rsid w:val="00E9243E"/>
    <w:rsid w:val="00E92CF7"/>
    <w:rsid w:val="00E963FD"/>
    <w:rsid w:val="00E97664"/>
    <w:rsid w:val="00EA4ACD"/>
    <w:rsid w:val="00EA4DD8"/>
    <w:rsid w:val="00EA7343"/>
    <w:rsid w:val="00EA7959"/>
    <w:rsid w:val="00EB0740"/>
    <w:rsid w:val="00EB2AEF"/>
    <w:rsid w:val="00EB2BED"/>
    <w:rsid w:val="00EB33DC"/>
    <w:rsid w:val="00EB3D69"/>
    <w:rsid w:val="00EB580B"/>
    <w:rsid w:val="00EB7E71"/>
    <w:rsid w:val="00EC12CE"/>
    <w:rsid w:val="00EC677C"/>
    <w:rsid w:val="00EC6A05"/>
    <w:rsid w:val="00ED02EA"/>
    <w:rsid w:val="00ED123E"/>
    <w:rsid w:val="00ED1F15"/>
    <w:rsid w:val="00ED216B"/>
    <w:rsid w:val="00ED2314"/>
    <w:rsid w:val="00ED3832"/>
    <w:rsid w:val="00ED4C09"/>
    <w:rsid w:val="00ED6A8E"/>
    <w:rsid w:val="00ED78D1"/>
    <w:rsid w:val="00EE0BB4"/>
    <w:rsid w:val="00EE1BB3"/>
    <w:rsid w:val="00EE535A"/>
    <w:rsid w:val="00EE60A1"/>
    <w:rsid w:val="00EE6D5B"/>
    <w:rsid w:val="00EE72AC"/>
    <w:rsid w:val="00EF2788"/>
    <w:rsid w:val="00EF3103"/>
    <w:rsid w:val="00EF6E9B"/>
    <w:rsid w:val="00EF7714"/>
    <w:rsid w:val="00F01B53"/>
    <w:rsid w:val="00F023DB"/>
    <w:rsid w:val="00F04D46"/>
    <w:rsid w:val="00F06507"/>
    <w:rsid w:val="00F109D4"/>
    <w:rsid w:val="00F10A6F"/>
    <w:rsid w:val="00F1141A"/>
    <w:rsid w:val="00F126FE"/>
    <w:rsid w:val="00F15EE9"/>
    <w:rsid w:val="00F20450"/>
    <w:rsid w:val="00F20A3F"/>
    <w:rsid w:val="00F24736"/>
    <w:rsid w:val="00F25F89"/>
    <w:rsid w:val="00F27344"/>
    <w:rsid w:val="00F32325"/>
    <w:rsid w:val="00F33212"/>
    <w:rsid w:val="00F332C0"/>
    <w:rsid w:val="00F33F1B"/>
    <w:rsid w:val="00F343AA"/>
    <w:rsid w:val="00F412A8"/>
    <w:rsid w:val="00F4241B"/>
    <w:rsid w:val="00F450CB"/>
    <w:rsid w:val="00F454CD"/>
    <w:rsid w:val="00F46704"/>
    <w:rsid w:val="00F46C17"/>
    <w:rsid w:val="00F47585"/>
    <w:rsid w:val="00F52FAD"/>
    <w:rsid w:val="00F5705E"/>
    <w:rsid w:val="00F60A11"/>
    <w:rsid w:val="00F6249C"/>
    <w:rsid w:val="00F655C9"/>
    <w:rsid w:val="00F6579C"/>
    <w:rsid w:val="00F6768D"/>
    <w:rsid w:val="00F678B8"/>
    <w:rsid w:val="00F70139"/>
    <w:rsid w:val="00F7078E"/>
    <w:rsid w:val="00F721BD"/>
    <w:rsid w:val="00F75BDB"/>
    <w:rsid w:val="00F769B1"/>
    <w:rsid w:val="00F77B48"/>
    <w:rsid w:val="00F80926"/>
    <w:rsid w:val="00F81232"/>
    <w:rsid w:val="00F8291C"/>
    <w:rsid w:val="00F8318C"/>
    <w:rsid w:val="00F85E6F"/>
    <w:rsid w:val="00F90218"/>
    <w:rsid w:val="00F95449"/>
    <w:rsid w:val="00F96B4B"/>
    <w:rsid w:val="00FA000A"/>
    <w:rsid w:val="00FA0DED"/>
    <w:rsid w:val="00FA1380"/>
    <w:rsid w:val="00FA1942"/>
    <w:rsid w:val="00FA380A"/>
    <w:rsid w:val="00FA4742"/>
    <w:rsid w:val="00FA698F"/>
    <w:rsid w:val="00FB116A"/>
    <w:rsid w:val="00FB5ACF"/>
    <w:rsid w:val="00FC2CB5"/>
    <w:rsid w:val="00FC3512"/>
    <w:rsid w:val="00FC38D9"/>
    <w:rsid w:val="00FC3A8F"/>
    <w:rsid w:val="00FC595E"/>
    <w:rsid w:val="00FD0C9A"/>
    <w:rsid w:val="00FD1175"/>
    <w:rsid w:val="00FD19F7"/>
    <w:rsid w:val="00FD55DA"/>
    <w:rsid w:val="00FD7402"/>
    <w:rsid w:val="00FE04E4"/>
    <w:rsid w:val="00FE0B80"/>
    <w:rsid w:val="00FE2DD7"/>
    <w:rsid w:val="00FE73F9"/>
    <w:rsid w:val="00FF1057"/>
    <w:rsid w:val="00FF38DA"/>
    <w:rsid w:val="00FF3E25"/>
    <w:rsid w:val="00FF4A49"/>
    <w:rsid w:val="00FF5A9C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07751B"/>
  <w15:docId w15:val="{43788893-713F-4FF5-A517-F0ABFD6C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2F022D"/>
    <w:rPr>
      <w:u w:val="single"/>
    </w:rPr>
  </w:style>
  <w:style w:type="paragraph" w:styleId="ListParagraph">
    <w:name w:val="List Paragraph"/>
    <w:basedOn w:val="Normal"/>
    <w:uiPriority w:val="34"/>
    <w:qFormat/>
    <w:rsid w:val="007B2143"/>
    <w:pPr>
      <w:ind w:left="720"/>
      <w:contextualSpacing/>
    </w:pPr>
  </w:style>
  <w:style w:type="paragraph" w:styleId="Revision">
    <w:name w:val="Revision"/>
    <w:hidden/>
    <w:uiPriority w:val="99"/>
    <w:semiHidden/>
    <w:rsid w:val="00623F9C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920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789F"/>
    <w:pPr>
      <w:spacing w:before="100" w:beforeAutospacing="1" w:after="100" w:afterAutospacing="1"/>
    </w:pPr>
    <w:rPr>
      <w:szCs w:val="24"/>
    </w:rPr>
  </w:style>
  <w:style w:type="character" w:customStyle="1" w:styleId="ui-provider">
    <w:name w:val="ui-provider"/>
    <w:basedOn w:val="DefaultParagraphFont"/>
    <w:rsid w:val="00906037"/>
  </w:style>
  <w:style w:type="character" w:styleId="Mention">
    <w:name w:val="Mention"/>
    <w:basedOn w:val="DefaultParagraphFont"/>
    <w:uiPriority w:val="99"/>
    <w:unhideWhenUsed/>
    <w:rsid w:val="004C789A"/>
    <w:rPr>
      <w:color w:val="2B579A"/>
      <w:shd w:val="clear" w:color="auto" w:fill="E1DFDD"/>
    </w:rPr>
  </w:style>
  <w:style w:type="character" w:customStyle="1" w:styleId="charparttext">
    <w:name w:val="charparttext"/>
    <w:basedOn w:val="DefaultParagraphFont"/>
    <w:rsid w:val="008A084E"/>
  </w:style>
  <w:style w:type="paragraph" w:customStyle="1" w:styleId="subsection">
    <w:name w:val="subsection"/>
    <w:aliases w:val="ss"/>
    <w:basedOn w:val="Normal"/>
    <w:link w:val="subsectionChar"/>
    <w:rsid w:val="00ED6A8E"/>
    <w:pPr>
      <w:tabs>
        <w:tab w:val="right" w:pos="1021"/>
      </w:tabs>
      <w:spacing w:before="180" w:after="0"/>
      <w:ind w:left="1134" w:hanging="1134"/>
    </w:pPr>
    <w:rPr>
      <w:sz w:val="22"/>
    </w:rPr>
  </w:style>
  <w:style w:type="paragraph" w:customStyle="1" w:styleId="paragraph">
    <w:name w:val="paragraph"/>
    <w:aliases w:val="a"/>
    <w:basedOn w:val="Normal"/>
    <w:rsid w:val="00ED6A8E"/>
    <w:pPr>
      <w:tabs>
        <w:tab w:val="right" w:pos="1531"/>
      </w:tabs>
      <w:spacing w:before="40" w:after="0"/>
      <w:ind w:left="1644" w:hanging="1644"/>
    </w:pPr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D6A8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13CDBA30FA48D48B5E915FB7049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38A6B-5000-45F6-AB8C-834D29366EC9}"/>
      </w:docPartPr>
      <w:docPartBody>
        <w:p w:rsidR="00C42BFF" w:rsidRDefault="003B7564">
          <w:pPr>
            <w:pStyle w:val="1B13CDBA30FA48D48B5E915FB7049C2E"/>
          </w:pPr>
          <w:r w:rsidRPr="003C5719">
            <w:rPr>
              <w:rStyle w:val="PlaceholderText"/>
              <w:sz w:val="24"/>
              <w:szCs w:val="24"/>
            </w:rPr>
            <w:t>select a Minister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A1"/>
    <w:rsid w:val="00120DDF"/>
    <w:rsid w:val="001E0CAD"/>
    <w:rsid w:val="003B7564"/>
    <w:rsid w:val="003D09D9"/>
    <w:rsid w:val="004A0C4D"/>
    <w:rsid w:val="00693B88"/>
    <w:rsid w:val="008C2727"/>
    <w:rsid w:val="00A044CA"/>
    <w:rsid w:val="00BF6B47"/>
    <w:rsid w:val="00C42BFF"/>
    <w:rsid w:val="00EB6978"/>
    <w:rsid w:val="00F22B2F"/>
    <w:rsid w:val="00F911CC"/>
    <w:rsid w:val="00F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B47"/>
    <w:rPr>
      <w:color w:val="808080"/>
    </w:rPr>
  </w:style>
  <w:style w:type="paragraph" w:customStyle="1" w:styleId="1B13CDBA30FA48D48B5E915FB7049C2E">
    <w:name w:val="1B13CDBA30FA48D48B5E915FB7049C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1512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explanatory statement - Corporations Act 2001, Competition and Consumer Act 2010, Corporations and Competition (CS Services) Instrument 2024</vt:lpstr>
    </vt:vector>
  </TitlesOfParts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explanatory statement - Corporations Act 2001, Competition and Consumer Act 2010, Corporations and Competition (CS Services) Instrument 2024</dc:title>
  <dc:subject/>
  <dc:creator>Treasury</dc:creator>
  <cp:keywords/>
  <dc:description/>
  <cp:lastModifiedBy>Hill, Christine</cp:lastModifiedBy>
  <cp:revision>3</cp:revision>
  <dcterms:created xsi:type="dcterms:W3CDTF">2024-01-15T03:03:00Z</dcterms:created>
  <dcterms:modified xsi:type="dcterms:W3CDTF">2024-01-15T03:04:00Z</dcterms:modified>
  <cp:category/>
  <cp:contentStatus/>
</cp:coreProperties>
</file>