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1CEA" w14:textId="77777777" w:rsidR="00236901" w:rsidRDefault="00236901" w:rsidP="00236901">
      <w:pPr>
        <w:spacing w:before="360"/>
        <w:ind w:right="95"/>
        <w:jc w:val="center"/>
      </w:pPr>
      <w:r>
        <w:rPr>
          <w:caps/>
          <w:noProof/>
        </w:rPr>
        <w:drawing>
          <wp:inline distT="0" distB="0" distL="0" distR="0" wp14:anchorId="46536974" wp14:editId="09016840">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5705" cy="1371600"/>
                    </a:xfrm>
                    <a:prstGeom prst="rect">
                      <a:avLst/>
                    </a:prstGeom>
                    <a:noFill/>
                    <a:ln>
                      <a:noFill/>
                    </a:ln>
                  </pic:spPr>
                </pic:pic>
              </a:graphicData>
            </a:graphic>
          </wp:inline>
        </w:drawing>
      </w:r>
    </w:p>
    <w:p w14:paraId="06B4A7B1" w14:textId="752E73D7" w:rsidR="002A31E6" w:rsidRPr="00EC7701" w:rsidRDefault="002A31E6" w:rsidP="006F732E">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Report Title"/>
          <w:tag w:val="ReportTitle"/>
          <w:id w:val="160520125"/>
          <w:placeholder>
            <w:docPart w:val="749CD8EB45014960823471CA5E14FDC1"/>
          </w:placeholder>
        </w:sdtPr>
        <w:sdtContent>
          <w:r w:rsidR="00145574">
            <w:rPr>
              <w:rStyle w:val="commiChar"/>
            </w:rPr>
            <w:t xml:space="preserve">Review of </w:t>
          </w:r>
          <w:r w:rsidR="00211B00">
            <w:rPr>
              <w:rStyle w:val="commiChar"/>
            </w:rPr>
            <w:t xml:space="preserve">Part 5 </w:t>
          </w:r>
          <w:r w:rsidR="00145574">
            <w:rPr>
              <w:rStyle w:val="commiChar"/>
            </w:rPr>
            <w:t>of the Food and Grocery Code of Conduct</w:t>
          </w:r>
        </w:sdtContent>
      </w:sdt>
    </w:p>
    <w:p w14:paraId="26B52DAF" w14:textId="3368DF60" w:rsidR="002A31E6" w:rsidRPr="00EC7701" w:rsidRDefault="00155122" w:rsidP="002A31E6">
      <w:pPr>
        <w:jc w:val="right"/>
        <w:rPr>
          <w:rFonts w:ascii="Montserrat Light" w:hAnsi="Montserrat Light"/>
          <w:caps/>
          <w:sz w:val="28"/>
          <w:szCs w:val="28"/>
        </w:rPr>
      </w:pPr>
      <w:r w:rsidRPr="00155122">
        <w:rPr>
          <w:rFonts w:ascii="Montserrat Light" w:hAnsi="Montserrat Light"/>
          <w:sz w:val="28"/>
          <w:szCs w:val="28"/>
        </w:rPr>
        <w:t>December</w:t>
      </w:r>
      <w:r w:rsidR="003E2833" w:rsidRPr="00155122">
        <w:rPr>
          <w:rFonts w:ascii="Montserrat Light" w:hAnsi="Montserrat Light"/>
          <w:sz w:val="28"/>
          <w:szCs w:val="28"/>
        </w:rPr>
        <w:t xml:space="preserve"> 2023</w:t>
      </w:r>
    </w:p>
    <w:p w14:paraId="1455F258" w14:textId="6C648C90" w:rsidR="00236901" w:rsidRDefault="00236901" w:rsidP="002A31E6">
      <w:pPr>
        <w:jc w:val="right"/>
        <w:rPr>
          <w:rFonts w:ascii="Montserrat Light" w:hAnsi="Montserrat Light"/>
          <w:sz w:val="28"/>
          <w:szCs w:val="28"/>
        </w:rPr>
      </w:pPr>
    </w:p>
    <w:p w14:paraId="08DA4624" w14:textId="77777777" w:rsidR="002A31E6" w:rsidRPr="00B47ECF" w:rsidRDefault="002A31E6" w:rsidP="002A31E6">
      <w:pPr>
        <w:pStyle w:val="NoSpacing"/>
      </w:pPr>
    </w:p>
    <w:p w14:paraId="5743A300" w14:textId="77777777" w:rsidR="00B47ECF" w:rsidRDefault="00B47ECF" w:rsidP="002A31E6">
      <w:pPr>
        <w:pStyle w:val="NoSpacing"/>
      </w:pPr>
    </w:p>
    <w:p w14:paraId="73749DBB" w14:textId="77777777" w:rsidR="00155122" w:rsidRPr="00155122" w:rsidRDefault="00155122" w:rsidP="00155122">
      <w:pPr>
        <w:rPr>
          <w:lang w:eastAsia="en-US"/>
        </w:rPr>
      </w:pPr>
    </w:p>
    <w:p w14:paraId="728BF57E" w14:textId="77777777" w:rsidR="00155122" w:rsidRPr="00155122" w:rsidRDefault="00155122" w:rsidP="00155122">
      <w:pPr>
        <w:rPr>
          <w:lang w:eastAsia="en-US"/>
        </w:rPr>
      </w:pPr>
    </w:p>
    <w:p w14:paraId="37A70D88" w14:textId="33393386" w:rsidR="00155122" w:rsidRDefault="00155122" w:rsidP="00155122">
      <w:pPr>
        <w:tabs>
          <w:tab w:val="left" w:pos="5080"/>
        </w:tabs>
        <w:rPr>
          <w:rFonts w:ascii="Times New Roman" w:hAnsi="Times New Roman"/>
          <w:sz w:val="24"/>
          <w:szCs w:val="24"/>
          <w:lang w:eastAsia="en-US"/>
        </w:rPr>
      </w:pPr>
      <w:r>
        <w:rPr>
          <w:rFonts w:ascii="Times New Roman" w:hAnsi="Times New Roman"/>
          <w:sz w:val="24"/>
          <w:szCs w:val="24"/>
          <w:lang w:eastAsia="en-US"/>
        </w:rPr>
        <w:tab/>
      </w:r>
    </w:p>
    <w:p w14:paraId="55D3538F" w14:textId="77777777" w:rsidR="00155122" w:rsidRDefault="00155122" w:rsidP="00155122">
      <w:pPr>
        <w:rPr>
          <w:rFonts w:ascii="Times New Roman" w:hAnsi="Times New Roman"/>
          <w:sz w:val="24"/>
          <w:szCs w:val="24"/>
          <w:lang w:eastAsia="en-US"/>
        </w:rPr>
      </w:pPr>
    </w:p>
    <w:p w14:paraId="7564D92C" w14:textId="36D99FC7" w:rsidR="00155122" w:rsidRPr="00155122" w:rsidRDefault="00155122" w:rsidP="00155122">
      <w:pPr>
        <w:rPr>
          <w:lang w:eastAsia="en-US"/>
        </w:rPr>
        <w:sectPr w:rsidR="00155122" w:rsidRPr="00155122" w:rsidSect="00B47ECF">
          <w:headerReference w:type="even" r:id="rId9"/>
          <w:headerReference w:type="default" r:id="rId10"/>
          <w:footerReference w:type="even" r:id="rId11"/>
          <w:footerReference w:type="default" r:id="rId12"/>
          <w:pgSz w:w="11906" w:h="16838" w:code="9"/>
          <w:pgMar w:top="1418" w:right="1418" w:bottom="1418" w:left="1418" w:header="709" w:footer="709" w:gutter="0"/>
          <w:pgNumType w:fmt="lowerRoman" w:start="1"/>
          <w:cols w:space="708"/>
          <w:titlePg/>
          <w:docGrid w:linePitch="360"/>
        </w:sectPr>
      </w:pPr>
    </w:p>
    <w:p w14:paraId="38EC6997" w14:textId="77777777" w:rsidR="00B47ECF" w:rsidRPr="00C47A9C" w:rsidRDefault="00B47ECF" w:rsidP="0077630F">
      <w:pPr>
        <w:pStyle w:val="Heading1"/>
      </w:pPr>
      <w:bookmarkStart w:id="0" w:name="_Toc256000000"/>
      <w:bookmarkStart w:id="1" w:name="_Toc307237589"/>
      <w:r w:rsidRPr="00C47A9C">
        <w:lastRenderedPageBreak/>
        <w:t>Introduction</w:t>
      </w:r>
      <w:bookmarkEnd w:id="0"/>
      <w:bookmarkEnd w:id="1"/>
    </w:p>
    <w:p w14:paraId="6C52FFAB" w14:textId="77777777" w:rsidR="00652BE0" w:rsidRDefault="00652BE0" w:rsidP="00652BE0">
      <w:r>
        <w:t>The Food and Grocery Code of Conduct (</w:t>
      </w:r>
      <w:r w:rsidRPr="006B7386">
        <w:t>the Code</w:t>
      </w:r>
      <w:r>
        <w:t>)</w:t>
      </w:r>
      <w:r w:rsidRPr="00021AE2">
        <w:t xml:space="preserve"> is a prescribed voluntary code under Part IVB of the </w:t>
      </w:r>
      <w:r w:rsidRPr="00F52267">
        <w:rPr>
          <w:i/>
          <w:iCs/>
        </w:rPr>
        <w:t>Competition and Consumer Act 2010</w:t>
      </w:r>
      <w:r>
        <w:t xml:space="preserve"> (</w:t>
      </w:r>
      <w:proofErr w:type="spellStart"/>
      <w:r>
        <w:t>Cth</w:t>
      </w:r>
      <w:proofErr w:type="spellEnd"/>
      <w:r>
        <w:t>).</w:t>
      </w:r>
      <w:r w:rsidRPr="0066043D">
        <w:t xml:space="preserve"> </w:t>
      </w:r>
      <w:r>
        <w:t>The objectives of the Code are to promote transparency and certainty in commercial dealings between the parties and provide an effective process for resolving disputes without the need to resort to legal action.</w:t>
      </w:r>
    </w:p>
    <w:p w14:paraId="249C84C5" w14:textId="54C8A7D0" w:rsidR="00652BE0" w:rsidRDefault="00652BE0" w:rsidP="000F33DF">
      <w:pPr>
        <w:pStyle w:val="Bullet"/>
        <w:numPr>
          <w:ilvl w:val="0"/>
          <w:numId w:val="0"/>
        </w:numPr>
      </w:pPr>
      <w:r>
        <w:t xml:space="preserve">The Code contains rules about how supermarkets (also known as retailers) and wholesalers of grocery products in Australia must deal with their grocery suppliers (which includes food manufacturers and farmers). </w:t>
      </w:r>
      <w:r w:rsidRPr="009F3545">
        <w:t xml:space="preserve">Woolworths, Coles, </w:t>
      </w:r>
      <w:r w:rsidRPr="00FE43C4">
        <w:t>ALDI,</w:t>
      </w:r>
      <w:r>
        <w:t xml:space="preserve"> and Metcash Food &amp; Grocery (Metcash) are signatories to the Code and are bound by it.</w:t>
      </w:r>
    </w:p>
    <w:p w14:paraId="08657F0A" w14:textId="3F1D5885" w:rsidR="00652BE0" w:rsidRDefault="00652BE0" w:rsidP="00652BE0">
      <w:r>
        <w:t>This review considered:</w:t>
      </w:r>
    </w:p>
    <w:p w14:paraId="38C75117" w14:textId="77777777" w:rsidR="00652BE0" w:rsidRPr="001A3CA0" w:rsidRDefault="00652BE0" w:rsidP="000F33DF">
      <w:pPr>
        <w:pStyle w:val="Dash"/>
        <w:numPr>
          <w:ilvl w:val="1"/>
          <w:numId w:val="12"/>
        </w:numPr>
        <w:spacing w:after="200"/>
      </w:pPr>
      <w:r w:rsidRPr="001A3CA0">
        <w:t>The effectiveness of the provisions in Part 5 of the Code in meeting its purpose of providing an effective, fair and equitable dispute resolution process for raising and investigation of complaints and resolving disputes arising between retailers or wholesalers and suppliers</w:t>
      </w:r>
      <w:r>
        <w:t>.</w:t>
      </w:r>
    </w:p>
    <w:p w14:paraId="517EAA82" w14:textId="77777777" w:rsidR="00652BE0" w:rsidRPr="001A3CA0" w:rsidRDefault="00652BE0" w:rsidP="000F33DF">
      <w:pPr>
        <w:pStyle w:val="Dash"/>
        <w:numPr>
          <w:ilvl w:val="1"/>
          <w:numId w:val="12"/>
        </w:numPr>
        <w:spacing w:after="200"/>
      </w:pPr>
      <w:r w:rsidRPr="001A3CA0">
        <w:t>Any barriers that may be preventing suppliers from fully utilising the dispute resolution arrangements in Part 5 of the Code</w:t>
      </w:r>
      <w:r>
        <w:t>.</w:t>
      </w:r>
    </w:p>
    <w:p w14:paraId="30DAADC8" w14:textId="0E1BA1C4" w:rsidR="00652BE0" w:rsidRDefault="00652BE0" w:rsidP="000F33DF">
      <w:pPr>
        <w:pStyle w:val="Dash"/>
        <w:numPr>
          <w:ilvl w:val="1"/>
          <w:numId w:val="12"/>
        </w:numPr>
        <w:spacing w:after="200"/>
      </w:pPr>
      <w:r w:rsidRPr="001A3CA0">
        <w:t>If appropriate, options or alternative approaches for improving the dispute resolution provisions in Part 5 of the Code.</w:t>
      </w:r>
    </w:p>
    <w:p w14:paraId="3D986C0D" w14:textId="4FBE6DE0" w:rsidR="004E7118" w:rsidRDefault="004E7118" w:rsidP="000F33DF">
      <w:pPr>
        <w:pStyle w:val="Bullet"/>
        <w:numPr>
          <w:ilvl w:val="0"/>
          <w:numId w:val="0"/>
        </w:numPr>
      </w:pPr>
      <w:r>
        <w:t>The Review</w:t>
      </w:r>
      <w:r w:rsidRPr="00050149">
        <w:t xml:space="preserve"> does not recommend </w:t>
      </w:r>
      <w:r>
        <w:t>major</w:t>
      </w:r>
      <w:r w:rsidRPr="00050149">
        <w:t xml:space="preserve"> changes to</w:t>
      </w:r>
      <w:r>
        <w:t xml:space="preserve"> Part 5 of the Code at this time, noting that:</w:t>
      </w:r>
    </w:p>
    <w:p w14:paraId="1B75FC93" w14:textId="77777777" w:rsidR="004E7118" w:rsidRPr="000C3292" w:rsidRDefault="004E7118" w:rsidP="004E7118">
      <w:pPr>
        <w:pStyle w:val="Dash"/>
        <w:numPr>
          <w:ilvl w:val="1"/>
          <w:numId w:val="12"/>
        </w:numPr>
        <w:spacing w:after="200"/>
      </w:pPr>
      <w:r>
        <w:t>t</w:t>
      </w:r>
      <w:r w:rsidRPr="000C3292">
        <w:t xml:space="preserve">here is broad ongoing support within the </w:t>
      </w:r>
      <w:r>
        <w:t xml:space="preserve">grocery </w:t>
      </w:r>
      <w:r w:rsidRPr="000C3292">
        <w:t>industry for</w:t>
      </w:r>
      <w:r>
        <w:t xml:space="preserve"> retaining</w:t>
      </w:r>
      <w:r w:rsidRPr="000C3292">
        <w:t xml:space="preserve"> the current dispute resolution </w:t>
      </w:r>
      <w:proofErr w:type="gramStart"/>
      <w:r w:rsidRPr="000C3292">
        <w:t>framework</w:t>
      </w:r>
      <w:proofErr w:type="gramEnd"/>
    </w:p>
    <w:p w14:paraId="186762AE" w14:textId="6245F68C" w:rsidR="004E7118" w:rsidRDefault="004E7118" w:rsidP="004E7118">
      <w:pPr>
        <w:pStyle w:val="Dash"/>
        <w:numPr>
          <w:ilvl w:val="1"/>
          <w:numId w:val="12"/>
        </w:numPr>
        <w:spacing w:after="200"/>
      </w:pPr>
      <w:r>
        <w:t>the current framework should be give</w:t>
      </w:r>
      <w:r w:rsidR="00124DDF">
        <w:t>n</w:t>
      </w:r>
      <w:r>
        <w:t xml:space="preserve"> more time to work – particularly as it was not fully implemented and operational until March 2021, and</w:t>
      </w:r>
    </w:p>
    <w:p w14:paraId="5141676E" w14:textId="5C7AD44D" w:rsidR="004E7118" w:rsidRDefault="004E7118" w:rsidP="004E7118">
      <w:pPr>
        <w:pStyle w:val="Dash"/>
        <w:numPr>
          <w:ilvl w:val="1"/>
          <w:numId w:val="12"/>
        </w:numPr>
        <w:spacing w:after="200"/>
      </w:pPr>
      <w:r>
        <w:t xml:space="preserve">the low number of disputes that have </w:t>
      </w:r>
      <w:r w:rsidR="000F33DF">
        <w:t>used</w:t>
      </w:r>
      <w:r>
        <w:t xml:space="preserve"> the current framework does not necessarily mean that it is not working</w:t>
      </w:r>
      <w:r w:rsidR="00CE1887">
        <w:t xml:space="preserve">, </w:t>
      </w:r>
      <w:r>
        <w:t xml:space="preserve">particularly as suppliers have reported relatively low numbers of serious disputes in </w:t>
      </w:r>
      <w:r w:rsidR="00D965A2">
        <w:t xml:space="preserve">the </w:t>
      </w:r>
      <w:r w:rsidRPr="00A513DF">
        <w:t>Independent Reviewer’s 2021–22 annual survey</w:t>
      </w:r>
      <w:r>
        <w:t xml:space="preserve">. </w:t>
      </w:r>
    </w:p>
    <w:p w14:paraId="13A7F372" w14:textId="2D8CB71D" w:rsidR="000F33DF" w:rsidRDefault="000F33DF" w:rsidP="000F33DF">
      <w:pPr>
        <w:pStyle w:val="Bullet"/>
        <w:numPr>
          <w:ilvl w:val="0"/>
          <w:numId w:val="0"/>
        </w:numPr>
      </w:pPr>
      <w:r>
        <w:t>The Government would like to thank</w:t>
      </w:r>
      <w:r w:rsidR="00D965A2">
        <w:t xml:space="preserve"> </w:t>
      </w:r>
      <w:r>
        <w:t>stakeholders for their involvement including through submissions and participation in roundtable meetings.</w:t>
      </w:r>
    </w:p>
    <w:p w14:paraId="32BC8D98" w14:textId="265674C4" w:rsidR="00310964" w:rsidRDefault="00310964">
      <w:pPr>
        <w:spacing w:after="160" w:line="259" w:lineRule="auto"/>
      </w:pPr>
      <w:r w:rsidRPr="00310964">
        <w:t>Under Section 5 of the </w:t>
      </w:r>
      <w:r>
        <w:t>Code</w:t>
      </w:r>
      <w:r w:rsidRPr="00310964">
        <w:t>, a second review of</w:t>
      </w:r>
      <w:r>
        <w:t xml:space="preserve"> provisions </w:t>
      </w:r>
      <w:r w:rsidRPr="00310964">
        <w:t>other than Part 5</w:t>
      </w:r>
      <w:r>
        <w:t xml:space="preserve"> commenced on 3 October 2023.</w:t>
      </w:r>
    </w:p>
    <w:p w14:paraId="0EC6BF9E" w14:textId="00EA2C92" w:rsidR="00C47A9C" w:rsidRPr="00C47A9C" w:rsidRDefault="00C47A9C">
      <w:pPr>
        <w:spacing w:after="160" w:line="259" w:lineRule="auto"/>
        <w:rPr>
          <w:caps/>
          <w:sz w:val="28"/>
          <w:szCs w:val="28"/>
        </w:rPr>
      </w:pPr>
      <w:r w:rsidRPr="00C47A9C">
        <w:rPr>
          <w:caps/>
          <w:sz w:val="28"/>
          <w:szCs w:val="28"/>
        </w:rPr>
        <w:br w:type="page"/>
      </w:r>
    </w:p>
    <w:p w14:paraId="54B4AE1F" w14:textId="2FE108EE" w:rsidR="00C47A9C" w:rsidRPr="00C47A9C" w:rsidRDefault="00C47A9C" w:rsidP="0077630F">
      <w:pPr>
        <w:pStyle w:val="Heading1"/>
      </w:pPr>
      <w:r w:rsidRPr="00C47A9C">
        <w:lastRenderedPageBreak/>
        <w:t>Response to the recommendations</w:t>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C47A9C" w:rsidRPr="00C47A9C" w14:paraId="5860208F" w14:textId="77777777" w:rsidTr="00FB6B0E">
        <w:trPr>
          <w:trHeight w:val="70"/>
        </w:trPr>
        <w:tc>
          <w:tcPr>
            <w:tcW w:w="9016" w:type="dxa"/>
          </w:tcPr>
          <w:p w14:paraId="66EE6193" w14:textId="50AE7B4D" w:rsidR="00C47A9C" w:rsidRPr="008774BA" w:rsidRDefault="00C47A9C" w:rsidP="00FB6B0E">
            <w:pPr>
              <w:pStyle w:val="BoxHeading"/>
              <w:rPr>
                <w:caps/>
              </w:rPr>
            </w:pPr>
            <w:r w:rsidRPr="008774BA">
              <w:t>Recommendation 1</w:t>
            </w:r>
          </w:p>
          <w:p w14:paraId="788AB004" w14:textId="1390BA52" w:rsidR="00690F8F" w:rsidRDefault="00C47A9C" w:rsidP="00764601">
            <w:pPr>
              <w:pStyle w:val="OutlineNumbered1"/>
              <w:numPr>
                <w:ilvl w:val="0"/>
                <w:numId w:val="0"/>
              </w:numPr>
            </w:pPr>
            <w:r w:rsidRPr="008774BA">
              <w:t>The</w:t>
            </w:r>
            <w:r w:rsidR="00690F8F" w:rsidRPr="00043175">
              <w:t xml:space="preserve"> Government should consider amending the Code to:</w:t>
            </w:r>
          </w:p>
          <w:p w14:paraId="7B8F7DBD" w14:textId="77777777" w:rsidR="00690F8F" w:rsidRDefault="00690F8F" w:rsidP="00690F8F">
            <w:pPr>
              <w:pStyle w:val="OutlineNumbered3"/>
              <w:numPr>
                <w:ilvl w:val="3"/>
                <w:numId w:val="11"/>
              </w:numPr>
            </w:pPr>
            <w:r w:rsidRPr="002C539D">
              <w:t>enable Code Arbiters to mediat</w:t>
            </w:r>
            <w:r>
              <w:t>e, and</w:t>
            </w:r>
          </w:p>
          <w:p w14:paraId="4AD7B844" w14:textId="77777777" w:rsidR="00690F8F" w:rsidRPr="002C539D" w:rsidRDefault="00690F8F" w:rsidP="00690F8F">
            <w:pPr>
              <w:pStyle w:val="OutlineNumbered3"/>
              <w:numPr>
                <w:ilvl w:val="3"/>
                <w:numId w:val="11"/>
              </w:numPr>
            </w:pPr>
            <w:r w:rsidRPr="002C539D">
              <w:t>provide for suppliers being able to contact and seek preliminary information from Code Arbiters without making a formal complaint.</w:t>
            </w:r>
          </w:p>
          <w:p w14:paraId="4F16936E" w14:textId="50C4E53D" w:rsidR="00C47A9C" w:rsidRPr="008774BA" w:rsidRDefault="00C47A9C" w:rsidP="00FB6B0E">
            <w:pPr>
              <w:pStyle w:val="BoxText"/>
            </w:pPr>
          </w:p>
          <w:p w14:paraId="30A4F0C9" w14:textId="77777777" w:rsidR="00FB6B0E" w:rsidRPr="009753EB" w:rsidRDefault="00FB6B0E" w:rsidP="00FB6B0E">
            <w:pPr>
              <w:pStyle w:val="BoxSubHeading"/>
              <w:keepNext w:val="0"/>
              <w:rPr>
                <w:caps/>
              </w:rPr>
            </w:pPr>
            <w:r w:rsidRPr="009753EB">
              <w:t xml:space="preserve">Australian Government response </w:t>
            </w:r>
          </w:p>
          <w:p w14:paraId="5532AD1A" w14:textId="604C3DF1" w:rsidR="008774BA" w:rsidRDefault="008774BA" w:rsidP="00FB6B0E">
            <w:pPr>
              <w:pStyle w:val="BoxText"/>
            </w:pPr>
            <w:r>
              <w:rPr>
                <w:caps/>
              </w:rPr>
              <w:t>t</w:t>
            </w:r>
            <w:r>
              <w:t xml:space="preserve">he Government </w:t>
            </w:r>
            <w:r w:rsidR="00076769" w:rsidRPr="00FB6B0E">
              <w:rPr>
                <w:b/>
                <w:bCs/>
              </w:rPr>
              <w:t>supports</w:t>
            </w:r>
            <w:r w:rsidR="00690F8F">
              <w:rPr>
                <w:b/>
                <w:bCs/>
              </w:rPr>
              <w:t xml:space="preserve"> </w:t>
            </w:r>
            <w:r>
              <w:t>this recommendation.</w:t>
            </w:r>
          </w:p>
          <w:p w14:paraId="331C1BB8" w14:textId="43B93AD2" w:rsidR="0014533A" w:rsidRPr="00175861" w:rsidRDefault="00C95E75" w:rsidP="00FB6B0E">
            <w:pPr>
              <w:pStyle w:val="BoxText"/>
            </w:pPr>
            <w:r>
              <w:t>Strengthening</w:t>
            </w:r>
            <w:r w:rsidR="005B25D4">
              <w:t xml:space="preserve"> the</w:t>
            </w:r>
            <w:r>
              <w:t xml:space="preserve"> toolkit available to Code Arbiters to allow them to mediate disputes will </w:t>
            </w:r>
            <w:r w:rsidR="005B25D4">
              <w:t>increase</w:t>
            </w:r>
            <w:r>
              <w:t xml:space="preserve"> the options available to suppliers to resolve their complaints </w:t>
            </w:r>
            <w:r w:rsidR="007B3A5F">
              <w:t xml:space="preserve">more </w:t>
            </w:r>
            <w:r>
              <w:t>efficiently and effective</w:t>
            </w:r>
            <w:r w:rsidR="007B3A5F">
              <w:t>ly</w:t>
            </w:r>
            <w:r>
              <w:t xml:space="preserve">. </w:t>
            </w:r>
            <w:r w:rsidR="00AD751C">
              <w:t xml:space="preserve">Changes to the Code will be implemented as part of a broader package of reforms to the </w:t>
            </w:r>
            <w:r w:rsidR="00710369">
              <w:t>Code following the conclusion of the</w:t>
            </w:r>
            <w:r w:rsidR="007B3A5F">
              <w:t xml:space="preserve"> 2023-24</w:t>
            </w:r>
            <w:r w:rsidR="00710369">
              <w:t xml:space="preserve"> review of the remaining provisions of the Code.</w:t>
            </w:r>
            <w:r w:rsidR="008774BA">
              <w:t xml:space="preserve"> </w:t>
            </w:r>
          </w:p>
        </w:tc>
      </w:tr>
      <w:tr w:rsidR="008774BA" w:rsidRPr="00C47A9C" w14:paraId="1CCEFE42" w14:textId="77777777" w:rsidTr="00FB6B0E">
        <w:trPr>
          <w:trHeight w:val="70"/>
        </w:trPr>
        <w:tc>
          <w:tcPr>
            <w:tcW w:w="9016" w:type="dxa"/>
          </w:tcPr>
          <w:p w14:paraId="1D51AA6B" w14:textId="2A2005E4" w:rsidR="00FB6B0E" w:rsidRPr="008774BA" w:rsidRDefault="00FB6B0E" w:rsidP="00FB6B0E">
            <w:pPr>
              <w:pStyle w:val="BoxHeading"/>
              <w:rPr>
                <w:caps/>
              </w:rPr>
            </w:pPr>
            <w:r w:rsidRPr="008774BA">
              <w:t xml:space="preserve">Recommendation </w:t>
            </w:r>
            <w:r>
              <w:t>2</w:t>
            </w:r>
          </w:p>
          <w:p w14:paraId="04B44021" w14:textId="77777777" w:rsidR="00764601" w:rsidRPr="002C539D" w:rsidRDefault="00764601" w:rsidP="00764601">
            <w:pPr>
              <w:pStyle w:val="OutlineNumbered1"/>
              <w:numPr>
                <w:ilvl w:val="0"/>
                <w:numId w:val="0"/>
              </w:numPr>
            </w:pPr>
            <w:r w:rsidRPr="002C539D">
              <w:t>The Government should consider amending the Code to:</w:t>
            </w:r>
          </w:p>
          <w:p w14:paraId="120CE1F2" w14:textId="77777777" w:rsidR="00764601" w:rsidRPr="00043175" w:rsidRDefault="00764601" w:rsidP="00764601">
            <w:pPr>
              <w:pStyle w:val="OutlineNumbered3"/>
              <w:numPr>
                <w:ilvl w:val="3"/>
                <w:numId w:val="11"/>
              </w:numPr>
            </w:pPr>
            <w:r w:rsidRPr="00043175">
              <w:t>enable the Independent Reviewer to conduct an evaluation of Code Arbiters’ complaints handling processes, to determine whether complaints have been handled in accordance with the Code and the Code Arbiter’s complaints handling procedure</w:t>
            </w:r>
            <w:r>
              <w:t>, and</w:t>
            </w:r>
          </w:p>
          <w:p w14:paraId="1344BDFC" w14:textId="75641670" w:rsidR="00764601" w:rsidRPr="006D4FEF" w:rsidRDefault="00764601" w:rsidP="00764601">
            <w:pPr>
              <w:pStyle w:val="OutlineNumbered3"/>
              <w:numPr>
                <w:ilvl w:val="3"/>
                <w:numId w:val="11"/>
              </w:numPr>
            </w:pPr>
            <w:r w:rsidRPr="00043175">
              <w:t xml:space="preserve">enable the Independent Reviewer to require the provision of </w:t>
            </w:r>
            <w:r w:rsidR="00D965A2">
              <w:t xml:space="preserve">the </w:t>
            </w:r>
            <w:r w:rsidRPr="00043175">
              <w:t>Code Arbiters</w:t>
            </w:r>
            <w:r>
              <w:t>’</w:t>
            </w:r>
            <w:r w:rsidRPr="00043175">
              <w:t xml:space="preserve"> complaint files as part of conducting </w:t>
            </w:r>
            <w:r>
              <w:t>this</w:t>
            </w:r>
            <w:r w:rsidRPr="00043175">
              <w:t xml:space="preserve"> evaluation.</w:t>
            </w:r>
          </w:p>
          <w:p w14:paraId="603DB50B" w14:textId="77777777" w:rsidR="00FB6B0E" w:rsidRPr="009753EB" w:rsidRDefault="00FB6B0E" w:rsidP="00FB6B0E">
            <w:pPr>
              <w:pStyle w:val="BoxSubHeading"/>
              <w:keepNext w:val="0"/>
              <w:rPr>
                <w:caps/>
              </w:rPr>
            </w:pPr>
            <w:r w:rsidRPr="009753EB">
              <w:t xml:space="preserve">Australian Government response </w:t>
            </w:r>
          </w:p>
          <w:p w14:paraId="3A574AA7" w14:textId="56B5AC72" w:rsidR="00FB6B0E" w:rsidRDefault="00FB6B0E" w:rsidP="00FB6B0E">
            <w:pPr>
              <w:pStyle w:val="BoxText"/>
            </w:pPr>
            <w:r>
              <w:rPr>
                <w:caps/>
              </w:rPr>
              <w:t>t</w:t>
            </w:r>
            <w:r>
              <w:t xml:space="preserve">he Government </w:t>
            </w:r>
            <w:r w:rsidRPr="00FB6B0E">
              <w:rPr>
                <w:b/>
                <w:bCs/>
              </w:rPr>
              <w:t>supports</w:t>
            </w:r>
            <w:r w:rsidR="00A8521C">
              <w:rPr>
                <w:b/>
                <w:bCs/>
              </w:rPr>
              <w:t xml:space="preserve"> </w:t>
            </w:r>
            <w:r>
              <w:t>this recommendation.</w:t>
            </w:r>
          </w:p>
          <w:p w14:paraId="0C2FB211" w14:textId="62B7F779" w:rsidR="008774BA" w:rsidRPr="008774BA" w:rsidRDefault="00236F5A" w:rsidP="00FB6B0E">
            <w:pPr>
              <w:pStyle w:val="BoxText"/>
              <w:rPr>
                <w:b/>
                <w:bCs/>
              </w:rPr>
            </w:pPr>
            <w:r>
              <w:t>Enhancing the Independent Reviewer’s role in overseeing the conduct and complaint handling practices of the Code Arbiters will boost confidence in the Code’s dispute resolution system</w:t>
            </w:r>
            <w:r w:rsidR="00C75681">
              <w:t>.</w:t>
            </w:r>
            <w:r>
              <w:t xml:space="preserve"> </w:t>
            </w:r>
            <w:r w:rsidR="00710369">
              <w:t xml:space="preserve">Changes to the Code will be implemented as part of a broader package of reforms to the Code following </w:t>
            </w:r>
            <w:bookmarkStart w:id="2" w:name="_Hlk148103105"/>
            <w:r w:rsidR="00710369">
              <w:t xml:space="preserve">the conclusion of the </w:t>
            </w:r>
            <w:r w:rsidR="005B25D4">
              <w:t xml:space="preserve">2023-24 </w:t>
            </w:r>
            <w:r w:rsidR="00710369">
              <w:t>review of the remaining provisions of the Code.</w:t>
            </w:r>
            <w:bookmarkEnd w:id="2"/>
          </w:p>
        </w:tc>
      </w:tr>
    </w:tbl>
    <w:p w14:paraId="2EF3A908" w14:textId="5330471D" w:rsidR="00FB6B0E" w:rsidRDefault="00FB6B0E">
      <w:pPr>
        <w:spacing w:after="480"/>
        <w:rPr>
          <w:caps/>
        </w:rPr>
      </w:pPr>
    </w:p>
    <w:p w14:paraId="7E250730" w14:textId="596689FD" w:rsidR="00FB6B0E" w:rsidRDefault="00FB6B0E">
      <w:pPr>
        <w:spacing w:before="0" w:after="160" w:line="259" w:lineRule="auto"/>
        <w:rPr>
          <w:caps/>
        </w:rPr>
      </w:pPr>
    </w:p>
    <w:sectPr w:rsidR="00FB6B0E" w:rsidSect="0077630F">
      <w:headerReference w:type="even" r:id="rId13"/>
      <w:headerReference w:type="default" r:id="rId14"/>
      <w:headerReference w:type="first" r:id="rId15"/>
      <w:footerReference w:type="first" r:id="rId16"/>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2A4CE" w14:textId="77777777" w:rsidR="00783986" w:rsidRDefault="00783986" w:rsidP="00B47ECF">
      <w:r>
        <w:separator/>
      </w:r>
    </w:p>
  </w:endnote>
  <w:endnote w:type="continuationSeparator" w:id="0">
    <w:p w14:paraId="3051C86A" w14:textId="77777777" w:rsidR="00783986" w:rsidRDefault="00783986" w:rsidP="00B47ECF">
      <w:r>
        <w:continuationSeparator/>
      </w:r>
    </w:p>
  </w:endnote>
  <w:endnote w:type="continuationNotice" w:id="1">
    <w:p w14:paraId="4105BF5E" w14:textId="77777777" w:rsidR="00783986" w:rsidRDefault="0078398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altName w:val="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E17" w14:textId="00FA6DAE" w:rsidR="0077630F" w:rsidRPr="00F347BE" w:rsidRDefault="00F347BE"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 STYLEREF  &quot;Heading 1&quot;  \* MERGEFORMAT ">
      <w:r w:rsidR="00512C2A">
        <w:t>Response to the recommendations</w:t>
      </w:r>
    </w:fldSimple>
    <w:r>
      <w:tab/>
    </w:r>
    <w:r w:rsidRPr="00103F3C">
      <w:rPr>
        <w:position w:val="-8"/>
      </w:rPr>
      <w:drawing>
        <wp:inline distT="0" distB="0" distL="0" distR="0" wp14:anchorId="469FB33D" wp14:editId="3605CF65">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5C21" w14:textId="583A8E00" w:rsidR="0077630F" w:rsidRPr="00F347BE" w:rsidRDefault="00F347BE" w:rsidP="00F347BE">
    <w:pPr>
      <w:pStyle w:val="FooterOdd"/>
      <w:jc w:val="left"/>
    </w:pPr>
    <w:r w:rsidRPr="00103F3C">
      <w:rPr>
        <w:noProof/>
        <w:position w:val="-8"/>
      </w:rPr>
      <w:drawing>
        <wp:inline distT="0" distB="0" distL="0" distR="0" wp14:anchorId="5329FF0C" wp14:editId="2229F19B">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 STYLEREF  &quot;Heading 1&quot;  \* MERGEFORMAT ">
      <w:r w:rsidR="00C44C3E">
        <w:rPr>
          <w:noProof/>
        </w:rPr>
        <w:t>Response to the recommendations</w:t>
      </w:r>
    </w:fldSimple>
    <w:r>
      <w:t xml:space="preserve"> | </w:t>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52D" w14:textId="50595CDD" w:rsidR="0077630F" w:rsidRPr="00F347BE" w:rsidRDefault="00F347BE" w:rsidP="00F347BE">
    <w:pPr>
      <w:pStyle w:val="FooterOdd"/>
      <w:jc w:val="left"/>
    </w:pPr>
    <w:r w:rsidRPr="00103F3C">
      <w:rPr>
        <w:noProof/>
        <w:position w:val="-8"/>
      </w:rPr>
      <w:drawing>
        <wp:inline distT="0" distB="0" distL="0" distR="0" wp14:anchorId="00DED92E" wp14:editId="2E836F3D">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 STYLEREF  &quot;Heading 1&quot;  \* MERGEFORMAT ">
      <w:r w:rsidR="00512C2A">
        <w:rPr>
          <w:noProof/>
        </w:rPr>
        <w:t>Introduction</w:t>
      </w:r>
    </w:fldSimple>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4821B" w14:textId="77777777" w:rsidR="00783986" w:rsidRDefault="00783986" w:rsidP="00B47ECF">
      <w:r>
        <w:separator/>
      </w:r>
    </w:p>
  </w:footnote>
  <w:footnote w:type="continuationSeparator" w:id="0">
    <w:p w14:paraId="55F162C2" w14:textId="77777777" w:rsidR="00783986" w:rsidRDefault="00783986" w:rsidP="00B47ECF">
      <w:r>
        <w:continuationSeparator/>
      </w:r>
    </w:p>
  </w:footnote>
  <w:footnote w:type="continuationNotice" w:id="1">
    <w:p w14:paraId="0052A211" w14:textId="77777777" w:rsidR="00783986" w:rsidRDefault="0078398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C2A6" w14:textId="680ACFC2" w:rsidR="008774BA" w:rsidRDefault="00F347BE">
    <w:pPr>
      <w:pStyle w:val="Header"/>
    </w:pPr>
    <w:r>
      <w:rPr>
        <w:noProof/>
      </w:rPr>
      <w:drawing>
        <wp:anchor distT="0" distB="0" distL="114300" distR="114300" simplePos="0" relativeHeight="251658241" behindDoc="1" locked="1" layoutInCell="1" allowOverlap="1" wp14:anchorId="468E1C3E" wp14:editId="7758BC9B">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DD92" w14:textId="01D126BD" w:rsidR="008774BA" w:rsidRDefault="00F347BE">
    <w:pPr>
      <w:pStyle w:val="Header"/>
    </w:pPr>
    <w:r>
      <w:rPr>
        <w:noProof/>
      </w:rPr>
      <w:drawing>
        <wp:anchor distT="0" distB="0" distL="114300" distR="114300" simplePos="0" relativeHeight="251658242" behindDoc="1" locked="1" layoutInCell="1" allowOverlap="1" wp14:anchorId="66BA2EE1" wp14:editId="051B5A2E">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B655" w14:textId="3ECEE3A6"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A222" w14:textId="22003B43"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0A41" w14:textId="4FC7CB4B" w:rsidR="0077630F" w:rsidRDefault="00F347BE">
    <w:pPr>
      <w:pStyle w:val="Header"/>
    </w:pPr>
    <w:r>
      <w:rPr>
        <w:noProof/>
      </w:rPr>
      <w:drawing>
        <wp:anchor distT="0" distB="0" distL="114300" distR="114300" simplePos="0" relativeHeight="251658240" behindDoc="1" locked="1" layoutInCell="1" allowOverlap="1" wp14:anchorId="337E5AD6" wp14:editId="7177B55B">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7ED3FC7"/>
    <w:multiLevelType w:val="multilevel"/>
    <w:tmpl w:val="43846F94"/>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00460"/>
    <w:multiLevelType w:val="hybridMultilevel"/>
    <w:tmpl w:val="8E40C3F0"/>
    <w:lvl w:ilvl="0" w:tplc="059A62A4">
      <w:start w:val="1"/>
      <w:numFmt w:val="decimal"/>
      <w:pStyle w:val="OneLevelNumberedParagraph"/>
      <w:lvlText w:val="%1."/>
      <w:lvlJc w:val="left"/>
      <w:pPr>
        <w:tabs>
          <w:tab w:val="num" w:pos="567"/>
        </w:tabs>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5895885"/>
    <w:multiLevelType w:val="hybridMultilevel"/>
    <w:tmpl w:val="3FC612CC"/>
    <w:lvl w:ilvl="0" w:tplc="CEA4FB0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0D2021"/>
    <w:multiLevelType w:val="multilevel"/>
    <w:tmpl w:val="72F8140E"/>
    <w:numStyleLink w:val="OutlineList"/>
  </w:abstractNum>
  <w:abstractNum w:abstractNumId="11" w15:restartNumberingAfterBreak="0">
    <w:nsid w:val="6C181079"/>
    <w:multiLevelType w:val="multilevel"/>
    <w:tmpl w:val="AC92D2CE"/>
    <w:lvl w:ilvl="0">
      <w:start w:val="1"/>
      <w:numFmt w:val="bullet"/>
      <w:pStyle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2"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29838831">
    <w:abstractNumId w:val="3"/>
  </w:num>
  <w:num w:numId="2" w16cid:durableId="1871338764">
    <w:abstractNumId w:val="5"/>
  </w:num>
  <w:num w:numId="3" w16cid:durableId="568617945">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2948329">
    <w:abstractNumId w:val="1"/>
  </w:num>
  <w:num w:numId="5" w16cid:durableId="1259102570">
    <w:abstractNumId w:val="6"/>
  </w:num>
  <w:num w:numId="6" w16cid:durableId="974023960">
    <w:abstractNumId w:val="7"/>
  </w:num>
  <w:num w:numId="7" w16cid:durableId="540552335">
    <w:abstractNumId w:val="4"/>
  </w:num>
  <w:num w:numId="8" w16cid:durableId="113522482">
    <w:abstractNumId w:val="8"/>
  </w:num>
  <w:num w:numId="9" w16cid:durableId="690376481">
    <w:abstractNumId w:val="2"/>
  </w:num>
  <w:num w:numId="10" w16cid:durableId="16541332">
    <w:abstractNumId w:val="9"/>
  </w:num>
  <w:num w:numId="11" w16cid:durableId="641426851">
    <w:abstractNumId w:val="10"/>
    <w:lvlOverride w:ilvl="0">
      <w:lvl w:ilvl="0">
        <w:start w:val="1"/>
        <w:numFmt w:val="decimal"/>
        <w:pStyle w:val="OutlineNumbered1"/>
        <w:lvlText w:val="%1."/>
        <w:lvlJc w:val="left"/>
        <w:pPr>
          <w:tabs>
            <w:tab w:val="num" w:pos="851"/>
          </w:tabs>
          <w:ind w:left="851" w:hanging="851"/>
        </w:pPr>
        <w:rPr>
          <w:rFonts w:hint="default"/>
        </w:rPr>
      </w:lvl>
    </w:lvlOverride>
    <w:lvlOverride w:ilvl="1">
      <w:lvl w:ilvl="1">
        <w:start w:val="1"/>
        <w:numFmt w:val="lowerLetter"/>
        <w:pStyle w:val="OutlineNumbered2"/>
        <w:lvlText w:val="%2)"/>
        <w:lvlJc w:val="left"/>
        <w:pPr>
          <w:tabs>
            <w:tab w:val="num" w:pos="1134"/>
          </w:tabs>
          <w:ind w:left="1134" w:hanging="1134"/>
        </w:pPr>
        <w:rPr>
          <w:rFonts w:hint="default"/>
        </w:rPr>
      </w:lvl>
    </w:lvlOverride>
    <w:lvlOverride w:ilvl="2">
      <w:lvl w:ilvl="2">
        <w:start w:val="1"/>
        <w:numFmt w:val="decimal"/>
        <w:pStyle w:val="OutlineNumbered3"/>
        <w:lvlText w:val="%1.%2.%3"/>
        <w:lvlJc w:val="left"/>
        <w:pPr>
          <w:tabs>
            <w:tab w:val="num" w:pos="1418"/>
          </w:tabs>
          <w:ind w:left="1418" w:hanging="1418"/>
        </w:pPr>
        <w:rPr>
          <w:rFonts w:hint="default"/>
        </w:rPr>
      </w:lvl>
    </w:lvlOverride>
    <w:lvlOverride w:ilvl="3">
      <w:lvl w:ilvl="3">
        <w:start w:val="1"/>
        <w:numFmt w:val="lowerLetter"/>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16cid:durableId="411705428">
    <w:abstractNumId w:val="0"/>
  </w:num>
  <w:num w:numId="13" w16cid:durableId="1937400576">
    <w:abstractNumId w:val="11"/>
  </w:num>
  <w:num w:numId="14" w16cid:durableId="13184124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23180"/>
    <w:rsid w:val="0004489F"/>
    <w:rsid w:val="00056FF5"/>
    <w:rsid w:val="00071ACB"/>
    <w:rsid w:val="00076769"/>
    <w:rsid w:val="000846EF"/>
    <w:rsid w:val="000D1C7F"/>
    <w:rsid w:val="000F33DF"/>
    <w:rsid w:val="001070AC"/>
    <w:rsid w:val="00124DDF"/>
    <w:rsid w:val="0014533A"/>
    <w:rsid w:val="00145574"/>
    <w:rsid w:val="00155122"/>
    <w:rsid w:val="00175861"/>
    <w:rsid w:val="001B057F"/>
    <w:rsid w:val="00205BAC"/>
    <w:rsid w:val="00210BEE"/>
    <w:rsid w:val="00211B00"/>
    <w:rsid w:val="00236901"/>
    <w:rsid w:val="00236F5A"/>
    <w:rsid w:val="00237748"/>
    <w:rsid w:val="00263156"/>
    <w:rsid w:val="00281FE6"/>
    <w:rsid w:val="002A30D0"/>
    <w:rsid w:val="002A31E6"/>
    <w:rsid w:val="002B4442"/>
    <w:rsid w:val="003072B1"/>
    <w:rsid w:val="00310964"/>
    <w:rsid w:val="00326FB8"/>
    <w:rsid w:val="00340F54"/>
    <w:rsid w:val="003463B6"/>
    <w:rsid w:val="00353FD7"/>
    <w:rsid w:val="003A1872"/>
    <w:rsid w:val="003D0751"/>
    <w:rsid w:val="003E2833"/>
    <w:rsid w:val="004063DC"/>
    <w:rsid w:val="00406BB2"/>
    <w:rsid w:val="0042266F"/>
    <w:rsid w:val="00422C91"/>
    <w:rsid w:val="00495C13"/>
    <w:rsid w:val="004E7118"/>
    <w:rsid w:val="00510BCE"/>
    <w:rsid w:val="00512C2A"/>
    <w:rsid w:val="005537C9"/>
    <w:rsid w:val="005A000F"/>
    <w:rsid w:val="005B25D4"/>
    <w:rsid w:val="005E449B"/>
    <w:rsid w:val="00652BE0"/>
    <w:rsid w:val="0066657F"/>
    <w:rsid w:val="006848CE"/>
    <w:rsid w:val="00690F8F"/>
    <w:rsid w:val="006D1D3B"/>
    <w:rsid w:val="006D3E76"/>
    <w:rsid w:val="006F05B6"/>
    <w:rsid w:val="006F732E"/>
    <w:rsid w:val="00710369"/>
    <w:rsid w:val="00725F12"/>
    <w:rsid w:val="00746B01"/>
    <w:rsid w:val="00752982"/>
    <w:rsid w:val="00764601"/>
    <w:rsid w:val="0077630F"/>
    <w:rsid w:val="007820EC"/>
    <w:rsid w:val="00783986"/>
    <w:rsid w:val="007B3A5F"/>
    <w:rsid w:val="007B69C3"/>
    <w:rsid w:val="007C593D"/>
    <w:rsid w:val="007C5FCA"/>
    <w:rsid w:val="00854626"/>
    <w:rsid w:val="008671CE"/>
    <w:rsid w:val="008706FC"/>
    <w:rsid w:val="008774BA"/>
    <w:rsid w:val="00895A1E"/>
    <w:rsid w:val="008D32D4"/>
    <w:rsid w:val="008D6E34"/>
    <w:rsid w:val="008F3C30"/>
    <w:rsid w:val="00935E3D"/>
    <w:rsid w:val="009A652D"/>
    <w:rsid w:val="009B6954"/>
    <w:rsid w:val="00A2437E"/>
    <w:rsid w:val="00A47334"/>
    <w:rsid w:val="00A507E0"/>
    <w:rsid w:val="00A7212C"/>
    <w:rsid w:val="00A8521C"/>
    <w:rsid w:val="00AD751C"/>
    <w:rsid w:val="00B11725"/>
    <w:rsid w:val="00B47ECF"/>
    <w:rsid w:val="00BB1B65"/>
    <w:rsid w:val="00BE31D9"/>
    <w:rsid w:val="00C44C3E"/>
    <w:rsid w:val="00C45BA7"/>
    <w:rsid w:val="00C47A9C"/>
    <w:rsid w:val="00C75681"/>
    <w:rsid w:val="00C95E75"/>
    <w:rsid w:val="00CB74E1"/>
    <w:rsid w:val="00CE1887"/>
    <w:rsid w:val="00D04818"/>
    <w:rsid w:val="00D965A2"/>
    <w:rsid w:val="00E12215"/>
    <w:rsid w:val="00E31961"/>
    <w:rsid w:val="00EC7701"/>
    <w:rsid w:val="00EF10D7"/>
    <w:rsid w:val="00EF2F09"/>
    <w:rsid w:val="00F14197"/>
    <w:rsid w:val="00F347BE"/>
    <w:rsid w:val="00F53754"/>
    <w:rsid w:val="00F769CE"/>
    <w:rsid w:val="00F92A63"/>
    <w:rsid w:val="00FB6B0E"/>
    <w:rsid w:val="00FD3A5A"/>
    <w:rsid w:val="00FE0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F33DF"/>
    <w:pPr>
      <w:numPr>
        <w:numId w:val="13"/>
      </w:numPr>
      <w:tabs>
        <w:tab w:val="left" w:pos="720"/>
      </w:tabs>
      <w:spacing w:before="0" w:line="276" w:lineRule="auto"/>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11"/>
      </w:numPr>
      <w:spacing w:before="0"/>
    </w:pPr>
  </w:style>
  <w:style w:type="paragraph" w:customStyle="1" w:styleId="OutlineNumbered2">
    <w:name w:val="Outline Numbered 2"/>
    <w:basedOn w:val="Normal"/>
    <w:rsid w:val="000846EF"/>
    <w:pPr>
      <w:numPr>
        <w:ilvl w:val="1"/>
        <w:numId w:val="11"/>
      </w:numPr>
      <w:spacing w:before="0"/>
    </w:pPr>
  </w:style>
  <w:style w:type="paragraph" w:customStyle="1" w:styleId="OutlineNumbered3">
    <w:name w:val="Outline Numbered 3"/>
    <w:basedOn w:val="Normal"/>
    <w:rsid w:val="000846EF"/>
    <w:pPr>
      <w:numPr>
        <w:ilvl w:val="2"/>
        <w:numId w:val="11"/>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qFormat/>
    <w:locked/>
    <w:rsid w:val="000F33D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 w:type="paragraph" w:styleId="Revision">
    <w:name w:val="Revision"/>
    <w:hidden/>
    <w:uiPriority w:val="99"/>
    <w:semiHidden/>
    <w:rsid w:val="00C95E75"/>
    <w:pPr>
      <w:spacing w:after="0" w:line="240" w:lineRule="auto"/>
    </w:pPr>
    <w:rPr>
      <w:rFonts w:ascii="Calibri Light" w:eastAsia="Times New Roman" w:hAnsi="Calibri Light"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60316">
      <w:bodyDiv w:val="1"/>
      <w:marLeft w:val="0"/>
      <w:marRight w:val="0"/>
      <w:marTop w:val="0"/>
      <w:marBottom w:val="0"/>
      <w:divBdr>
        <w:top w:val="none" w:sz="0" w:space="0" w:color="auto"/>
        <w:left w:val="none" w:sz="0" w:space="0" w:color="auto"/>
        <w:bottom w:val="none" w:sz="0" w:space="0" w:color="auto"/>
        <w:right w:val="none" w:sz="0" w:space="0" w:color="auto"/>
      </w:divBdr>
    </w:div>
    <w:div w:id="28570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1257C3" w:rsidRDefault="002F52A6" w:rsidP="002F52A6">
          <w:pPr>
            <w:pStyle w:val="749CD8EB45014960823471CA5E14FDC1"/>
          </w:pPr>
          <w:r>
            <w:rPr>
              <w:rFonts w:ascii="Montserrat Light" w:hAnsi="Montserrat Light"/>
              <w:sz w:val="32"/>
              <w:szCs w:val="32"/>
            </w:rPr>
            <w:t>Report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altName w:val="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1257C3"/>
    <w:rsid w:val="002F52A6"/>
    <w:rsid w:val="003200BE"/>
    <w:rsid w:val="003A3B08"/>
    <w:rsid w:val="00635FB8"/>
    <w:rsid w:val="008B1EF4"/>
    <w:rsid w:val="008B3EB9"/>
    <w:rsid w:val="00B84B01"/>
    <w:rsid w:val="00CF75DF"/>
    <w:rsid w:val="00DE431E"/>
    <w:rsid w:val="00E7416D"/>
    <w:rsid w:val="00E864AE"/>
    <w:rsid w:val="00F301AF"/>
    <w:rsid w:val="00F30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BD540-A2A0-48B0-A8B6-6E90CBE10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Australian Government response to the Food and Grocery Code of Conduct Review 2022-23</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Food and Grocery Code of Conduct Review 2022-23</dc:title>
  <dc:subject/>
  <dc:creator/>
  <cp:keywords/>
  <dc:description/>
  <cp:lastModifiedBy/>
  <cp:revision>1</cp:revision>
  <dcterms:created xsi:type="dcterms:W3CDTF">2023-12-20T05:43:00Z</dcterms:created>
  <dcterms:modified xsi:type="dcterms:W3CDTF">2023-12-20T05:44:00Z</dcterms:modified>
</cp:coreProperties>
</file>