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6CC" w14:textId="31DBF95C" w:rsidR="00103150" w:rsidRPr="00875146" w:rsidRDefault="00093179" w:rsidP="00243487">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sidR="002A3277">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205899" w:rsidRPr="00875146" w14:paraId="75CD8332" w14:textId="77777777" w:rsidTr="00B11706">
        <w:tc>
          <w:tcPr>
            <w:tcW w:w="10246" w:type="dxa"/>
            <w:gridSpan w:val="2"/>
            <w:shd w:val="clear" w:color="auto" w:fill="E2EFD9" w:themeFill="accent6" w:themeFillTint="33"/>
          </w:tcPr>
          <w:p w14:paraId="14074422" w14:textId="763E3E7E" w:rsidR="00205899" w:rsidRPr="00875146" w:rsidRDefault="00205899">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4B673A">
              <w:rPr>
                <w:rFonts w:asciiTheme="minorHAnsi" w:hAnsiTheme="minorHAnsi" w:cstheme="minorHAnsi"/>
                <w:b/>
                <w:color w:val="auto"/>
              </w:rPr>
              <w:t>O</w:t>
            </w:r>
            <w:r w:rsidRPr="00875146">
              <w:rPr>
                <w:rFonts w:asciiTheme="minorHAnsi" w:hAnsiTheme="minorHAnsi" w:cstheme="minorHAnsi"/>
                <w:b/>
                <w:color w:val="auto"/>
              </w:rPr>
              <w:t>peration of</w:t>
            </w:r>
            <w:r w:rsidR="004B673A">
              <w:rPr>
                <w:rFonts w:asciiTheme="minorHAnsi" w:hAnsiTheme="minorHAnsi" w:cstheme="minorHAnsi"/>
                <w:b/>
                <w:color w:val="auto"/>
              </w:rPr>
              <w:t xml:space="preserve"> the</w:t>
            </w:r>
            <w:r w:rsidRPr="00875146">
              <w:rPr>
                <w:rFonts w:asciiTheme="minorHAnsi" w:hAnsiTheme="minorHAnsi" w:cstheme="minorHAnsi"/>
                <w:b/>
                <w:color w:val="auto"/>
              </w:rPr>
              <w:t xml:space="preserve"> schedule</w:t>
            </w:r>
          </w:p>
        </w:tc>
      </w:tr>
      <w:tr w:rsidR="00205899" w:rsidRPr="00875146" w14:paraId="58943C6C" w14:textId="77777777" w:rsidTr="000A2367">
        <w:trPr>
          <w:trHeight w:val="573"/>
        </w:trPr>
        <w:tc>
          <w:tcPr>
            <w:tcW w:w="1946" w:type="dxa"/>
            <w:shd w:val="clear" w:color="auto" w:fill="auto"/>
          </w:tcPr>
          <w:p w14:paraId="682F13DE"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0F3753BD" w14:textId="60555C5D" w:rsidR="00911A92" w:rsidRPr="00875146" w:rsidRDefault="00205899"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sidR="00F61B23">
              <w:rPr>
                <w:rFonts w:asciiTheme="minorHAnsi" w:hAnsiTheme="minorHAnsi" w:cstheme="minorHAnsi"/>
                <w:color w:val="auto"/>
              </w:rPr>
              <w:t xml:space="preserve"> and all states and territories</w:t>
            </w:r>
            <w:r w:rsidR="003807C0">
              <w:rPr>
                <w:rFonts w:asciiTheme="minorHAnsi" w:hAnsiTheme="minorHAnsi" w:cstheme="minorHAnsi"/>
                <w:color w:val="auto"/>
              </w:rPr>
              <w:t>.</w:t>
            </w:r>
          </w:p>
        </w:tc>
      </w:tr>
      <w:tr w:rsidR="00205899" w:rsidRPr="00875146" w14:paraId="4CFE5EA6" w14:textId="77777777" w:rsidTr="00B11706">
        <w:tc>
          <w:tcPr>
            <w:tcW w:w="1946" w:type="dxa"/>
            <w:shd w:val="clear" w:color="auto" w:fill="auto"/>
          </w:tcPr>
          <w:p w14:paraId="49DECF01"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03B8360E" w14:textId="24761020" w:rsidR="00205899" w:rsidRPr="00875146" w:rsidRDefault="00103150" w:rsidP="00103150">
            <w:pPr>
              <w:pStyle w:val="Tableformat"/>
              <w:rPr>
                <w:rFonts w:asciiTheme="minorHAnsi" w:hAnsiTheme="minorHAnsi" w:cstheme="minorHAnsi"/>
                <w:color w:val="auto"/>
              </w:rPr>
            </w:pPr>
            <w:r w:rsidRPr="00875146">
              <w:rPr>
                <w:rFonts w:asciiTheme="minorHAnsi" w:hAnsiTheme="minorHAnsi" w:cstheme="minorHAnsi"/>
                <w:color w:val="auto"/>
              </w:rPr>
              <w:t xml:space="preserve">This Schedule is expected to expire on </w:t>
            </w:r>
            <w:r w:rsidR="007A1CDD" w:rsidRPr="00875146">
              <w:rPr>
                <w:rFonts w:asciiTheme="minorHAnsi" w:hAnsiTheme="minorHAnsi" w:cstheme="minorHAnsi"/>
                <w:color w:val="auto"/>
              </w:rPr>
              <w:t xml:space="preserve">30 </w:t>
            </w:r>
            <w:r w:rsidR="7E66DE8B" w:rsidRPr="00875146">
              <w:rPr>
                <w:rFonts w:asciiTheme="minorHAnsi" w:hAnsiTheme="minorHAnsi" w:cstheme="minorHAnsi"/>
                <w:color w:val="auto"/>
              </w:rPr>
              <w:t>June 20</w:t>
            </w:r>
            <w:r w:rsidR="003807C0">
              <w:rPr>
                <w:rFonts w:asciiTheme="minorHAnsi" w:hAnsiTheme="minorHAnsi" w:cstheme="minorHAnsi"/>
                <w:color w:val="auto"/>
              </w:rPr>
              <w:t>29</w:t>
            </w:r>
            <w:r w:rsidR="007A1CDD" w:rsidRPr="00875146">
              <w:rPr>
                <w:rFonts w:asciiTheme="minorHAnsi" w:hAnsiTheme="minorHAnsi" w:cstheme="minorHAnsi"/>
                <w:color w:val="auto"/>
              </w:rPr>
              <w:t>.</w:t>
            </w:r>
          </w:p>
        </w:tc>
      </w:tr>
      <w:tr w:rsidR="00205899" w:rsidRPr="00875146" w14:paraId="22B0002D" w14:textId="77777777" w:rsidTr="00B11706">
        <w:tc>
          <w:tcPr>
            <w:tcW w:w="1946" w:type="dxa"/>
            <w:shd w:val="clear" w:color="auto" w:fill="auto"/>
          </w:tcPr>
          <w:p w14:paraId="5581DC8C"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71F6C351" w14:textId="54BD94C8" w:rsidR="00205899" w:rsidRPr="00875146" w:rsidRDefault="00103150"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sidR="001F6815">
              <w:rPr>
                <w:rFonts w:asciiTheme="minorHAnsi" w:hAnsiTheme="minorHAnsi" w:cstheme="minorHAnsi"/>
                <w:color w:val="auto"/>
              </w:rPr>
              <w:t xml:space="preserve">e </w:t>
            </w:r>
            <w:r w:rsidRPr="00875146">
              <w:rPr>
                <w:rFonts w:asciiTheme="minorHAnsi" w:hAnsiTheme="minorHAnsi" w:cstheme="minorHAnsi"/>
                <w:color w:val="auto"/>
              </w:rPr>
              <w:t>delivery of</w:t>
            </w:r>
            <w:r w:rsidR="00585312" w:rsidRPr="00875146">
              <w:rPr>
                <w:rFonts w:asciiTheme="minorHAnsi" w:hAnsiTheme="minorHAnsi" w:cstheme="minorHAnsi"/>
                <w:color w:val="auto"/>
              </w:rPr>
              <w:t xml:space="preserve"> </w:t>
            </w:r>
            <w:r w:rsidR="00244ADC" w:rsidRPr="00875146">
              <w:rPr>
                <w:rFonts w:asciiTheme="minorHAnsi" w:hAnsiTheme="minorHAnsi" w:cstheme="minorHAnsi"/>
                <w:color w:val="auto"/>
              </w:rPr>
              <w:t>the National Housing Accord.</w:t>
            </w:r>
          </w:p>
        </w:tc>
      </w:tr>
    </w:tbl>
    <w:p w14:paraId="639B9DEE" w14:textId="77777777" w:rsidR="00205899" w:rsidRDefault="00205899" w:rsidP="00205899"/>
    <w:p w14:paraId="64C83965" w14:textId="1A860591" w:rsidR="00F12714" w:rsidRDefault="00F12714" w:rsidP="00205899">
      <w:pPr>
        <w:rPr>
          <w:b/>
          <w:bCs/>
        </w:rPr>
      </w:pPr>
    </w:p>
    <w:p w14:paraId="6DFF6B42" w14:textId="05A1A5AC" w:rsidR="00BD3346" w:rsidRDefault="00BD3346">
      <w:pPr>
        <w:widowControl/>
        <w:spacing w:after="160" w:line="259" w:lineRule="auto"/>
      </w:pPr>
    </w:p>
    <w:p w14:paraId="09996A81" w14:textId="77777777" w:rsidR="00205899" w:rsidRDefault="00205899" w:rsidP="00205899">
      <w:pPr>
        <w:sectPr w:rsidR="00205899" w:rsidSect="00205899">
          <w:headerReference w:type="even" r:id="rId7"/>
          <w:headerReference w:type="default" r:id="rId8"/>
          <w:footerReference w:type="even" r:id="rId9"/>
          <w:footerReference w:type="default" r:id="rId10"/>
          <w:footerReference w:type="first" r:id="rId11"/>
          <w:pgSz w:w="11906" w:h="16838" w:code="9"/>
          <w:pgMar w:top="1134" w:right="1134" w:bottom="1134" w:left="1134" w:header="709" w:footer="709" w:gutter="0"/>
          <w:pgNumType w:chapStyle="9"/>
          <w:cols w:space="708"/>
          <w:titlePg/>
          <w:docGrid w:linePitch="360"/>
        </w:sectPr>
      </w:pPr>
    </w:p>
    <w:p w14:paraId="0A4F1C3B" w14:textId="77777777" w:rsidR="000C3D17" w:rsidRDefault="000C3D17" w:rsidP="00205899"/>
    <w:tbl>
      <w:tblPr>
        <w:tblW w:w="5200"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0"/>
        <w:gridCol w:w="7642"/>
        <w:gridCol w:w="2194"/>
      </w:tblGrid>
      <w:tr w:rsidR="000C3D17" w14:paraId="57174E0A" w14:textId="77777777" w:rsidTr="002A1B09">
        <w:tc>
          <w:tcPr>
            <w:tcW w:w="14496" w:type="dxa"/>
            <w:gridSpan w:val="3"/>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E2EFD9" w:themeFill="accent6" w:themeFillTint="33"/>
            <w:hideMark/>
          </w:tcPr>
          <w:p w14:paraId="0C8EA331" w14:textId="626F1E4D" w:rsidR="000C3D17" w:rsidRDefault="000C3D17" w:rsidP="00D1489C">
            <w:pPr>
              <w:pStyle w:val="Tableformat"/>
              <w:tabs>
                <w:tab w:val="left" w:pos="6043"/>
              </w:tabs>
              <w:spacing w:line="256" w:lineRule="auto"/>
              <w:rPr>
                <w:rFonts w:asciiTheme="minorHAnsi" w:hAnsiTheme="minorHAnsi" w:cstheme="minorBidi"/>
                <w:b/>
                <w:color w:val="auto"/>
                <w:lang w:eastAsia="en-US"/>
              </w:rPr>
            </w:pPr>
            <w:r>
              <w:rPr>
                <w:rFonts w:asciiTheme="minorHAnsi" w:hAnsiTheme="minorHAnsi" w:cstheme="minorBidi"/>
                <w:b/>
                <w:color w:val="auto"/>
                <w:lang w:eastAsia="en-US"/>
              </w:rPr>
              <w:t xml:space="preserve">Table 2: </w:t>
            </w:r>
            <w:r>
              <w:rPr>
                <w:rFonts w:asciiTheme="minorHAnsi" w:hAnsiTheme="minorHAnsi" w:cstheme="minorBidi"/>
                <w:b/>
                <w:bCs/>
                <w:color w:val="auto"/>
                <w:lang w:eastAsia="en-US"/>
              </w:rPr>
              <w:t xml:space="preserve">Western Australia </w:t>
            </w:r>
            <w:r w:rsidR="00074B20">
              <w:rPr>
                <w:rFonts w:asciiTheme="minorHAnsi" w:hAnsiTheme="minorHAnsi" w:cstheme="minorBidi"/>
                <w:b/>
                <w:bCs/>
                <w:color w:val="auto"/>
                <w:lang w:eastAsia="en-US"/>
              </w:rPr>
              <w:t>– as at June 2023</w:t>
            </w:r>
          </w:p>
        </w:tc>
      </w:tr>
      <w:tr w:rsidR="000C3D17" w14:paraId="0C897D0D" w14:textId="77777777" w:rsidTr="002A1B09">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3419BB29" w14:textId="49CEF965" w:rsidR="000C3D17" w:rsidRDefault="003807C0" w:rsidP="00D1489C">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Western Australian</w:t>
            </w:r>
            <w:r w:rsidR="000C3D17">
              <w:rPr>
                <w:rFonts w:asciiTheme="minorHAnsi" w:hAnsiTheme="minorHAnsi" w:cstheme="minorHAnsi"/>
                <w:b/>
                <w:color w:val="auto"/>
                <w:lang w:eastAsia="en-US"/>
              </w:rPr>
              <w:t xml:space="preserve"> commitments/ outputs</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5A2DF274" w14:textId="77777777" w:rsidR="000C3D17" w:rsidRDefault="000C3D17" w:rsidP="00D1489C">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Delivery mechanisms</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2FBB2ED3" w14:textId="77777777" w:rsidR="000C3D17" w:rsidRDefault="000C3D17" w:rsidP="00D1489C">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Timeframes</w:t>
            </w:r>
          </w:p>
          <w:p w14:paraId="3B001098" w14:textId="77777777" w:rsidR="000C3D17" w:rsidRDefault="000C3D17" w:rsidP="00D1489C">
            <w:pPr>
              <w:pStyle w:val="Tableformat"/>
              <w:spacing w:line="256" w:lineRule="auto"/>
              <w:rPr>
                <w:rFonts w:asciiTheme="minorHAnsi" w:hAnsiTheme="minorHAnsi" w:cstheme="minorHAnsi"/>
                <w:b/>
                <w:color w:val="auto"/>
                <w:lang w:eastAsia="en-US"/>
              </w:rPr>
            </w:pPr>
          </w:p>
        </w:tc>
      </w:tr>
      <w:tr w:rsidR="002A1B09" w14:paraId="27E9BA81" w14:textId="77777777" w:rsidTr="002A1B09">
        <w:trPr>
          <w:trHeight w:val="1150"/>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00A9BBDA"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States and territories to deliver up to 10,000 affordable homes</w:t>
            </w:r>
          </w:p>
          <w:p w14:paraId="0A983A31"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Western Australia’s allocation totals 1,076 homes</w:t>
            </w:r>
          </w:p>
          <w:p w14:paraId="0CFD32C9"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p>
          <w:p w14:paraId="118F096F" w14:textId="1BE271DB" w:rsidR="002A1B09" w:rsidRDefault="002A1B09" w:rsidP="002A1B09">
            <w:pPr>
              <w:pStyle w:val="Milestonetable"/>
              <w:spacing w:line="256" w:lineRule="auto"/>
              <w:rPr>
                <w:rFonts w:asciiTheme="minorHAnsi" w:hAnsiTheme="minorHAnsi" w:cstheme="minorBidi"/>
                <w:color w:val="auto"/>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689204D9"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WA anticipates meeting its share of the Housing Accord target of 1,076 affordable homes through existing programs that are yet to be fully committed.</w:t>
            </w:r>
          </w:p>
          <w:p w14:paraId="44D0E764"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WA has a number of delivery mechanisms through existing and proposed programs to support affordable housing outcomes (outlined below).</w:t>
            </w:r>
          </w:p>
          <w:p w14:paraId="1D49AE5D" w14:textId="77777777" w:rsidR="002A1B09" w:rsidRDefault="002A1B09" w:rsidP="002A1B09">
            <w:pPr>
              <w:pStyle w:val="Milestonetable"/>
              <w:spacing w:line="254" w:lineRule="auto"/>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Facilitating Development Partnership Projects</w:t>
            </w:r>
          </w:p>
          <w:p w14:paraId="2EB2E0C1"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 WA Housing Diversity Pipeline (HDP) is targeted at delivering greater housing diversity in well-located, transit-oriented locations, by making surplus Government land available for partnership projects with developers and CHPs. </w:t>
            </w:r>
          </w:p>
          <w:p w14:paraId="1F652415"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An Expression of Interest program for the first stage of the HDP, with nine State Government-owned lots, was released in August 2022 and is currently under assessment. Project delivery methods may include long-term ground leases, partnership models, and design and construct models for either build-to-rent or build-to-sell housing. </w:t>
            </w:r>
          </w:p>
          <w:p w14:paraId="0625F68D"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In addition, planning and development work is underway on a number of large-scale residential developments, which will include a mix of social and affordable housing, and potential CHP involvement, including the Bentley 360 redevelopment and the Smith Street Ground Lease Pilot.</w:t>
            </w:r>
            <w:r>
              <w:rPr>
                <w:rFonts w:asciiTheme="minorHAnsi" w:hAnsiTheme="minorHAnsi" w:cstheme="minorBidi"/>
                <w:color w:val="auto"/>
                <w:sz w:val="22"/>
                <w:szCs w:val="22"/>
                <w:lang w:eastAsia="en-US"/>
              </w:rPr>
              <w:t xml:space="preserve"> The WA Department of Communities is undertaking a number of separate housing projects/ programs and </w:t>
            </w:r>
            <w:r>
              <w:rPr>
                <w:rFonts w:asciiTheme="minorHAnsi" w:eastAsia="Roboto" w:hAnsiTheme="minorHAnsi" w:cstheme="minorHAnsi"/>
                <w:color w:val="auto"/>
                <w:sz w:val="22"/>
                <w:szCs w:val="22"/>
                <w:lang w:val="en-AU" w:eastAsia="en-US"/>
              </w:rPr>
              <w:t>considering a range of delivery models to increase housing supply.</w:t>
            </w:r>
          </w:p>
          <w:p w14:paraId="7970262F" w14:textId="77777777" w:rsidR="002A1B09" w:rsidRDefault="002A1B09" w:rsidP="002A1B09">
            <w:pPr>
              <w:pStyle w:val="Milestonetable"/>
              <w:spacing w:line="254" w:lineRule="auto"/>
              <w:rPr>
                <w:rFonts w:asciiTheme="minorHAnsi" w:hAnsiTheme="minorHAnsi" w:cstheme="minorHAnsi"/>
                <w:b/>
                <w:bCs/>
                <w:color w:val="auto"/>
                <w:sz w:val="22"/>
                <w:szCs w:val="22"/>
                <w:lang w:eastAsia="en-US"/>
              </w:rPr>
            </w:pPr>
            <w:proofErr w:type="spellStart"/>
            <w:r>
              <w:rPr>
                <w:rFonts w:asciiTheme="minorHAnsi" w:hAnsiTheme="minorHAnsi" w:cstheme="minorHAnsi"/>
                <w:b/>
                <w:bCs/>
                <w:color w:val="auto"/>
                <w:sz w:val="22"/>
                <w:szCs w:val="22"/>
                <w:lang w:eastAsia="en-US"/>
              </w:rPr>
              <w:t>Keystart</w:t>
            </w:r>
            <w:proofErr w:type="spellEnd"/>
            <w:r>
              <w:rPr>
                <w:rFonts w:asciiTheme="minorHAnsi" w:hAnsiTheme="minorHAnsi" w:cstheme="minorHAnsi"/>
                <w:b/>
                <w:bCs/>
                <w:color w:val="auto"/>
                <w:sz w:val="22"/>
                <w:szCs w:val="22"/>
                <w:lang w:eastAsia="en-US"/>
              </w:rPr>
              <w:t xml:space="preserve"> Low Deposit Loan and Shared Equity Programs</w:t>
            </w:r>
          </w:p>
          <w:p w14:paraId="5E75C44C" w14:textId="77777777" w:rsidR="002A1B09" w:rsidRDefault="002A1B09" w:rsidP="002A1B09">
            <w:pPr>
              <w:pStyle w:val="Milestonetable"/>
              <w:spacing w:line="254" w:lineRule="auto"/>
              <w:rPr>
                <w:rFonts w:asciiTheme="minorHAnsi" w:hAnsiTheme="minorHAnsi" w:cstheme="minorBidi"/>
                <w:color w:val="auto"/>
                <w:sz w:val="22"/>
                <w:szCs w:val="22"/>
                <w:lang w:eastAsia="en-US"/>
              </w:rPr>
            </w:pPr>
            <w:r>
              <w:rPr>
                <w:rFonts w:asciiTheme="minorHAnsi" w:hAnsiTheme="minorHAnsi" w:cstheme="minorBidi"/>
                <w:color w:val="auto"/>
                <w:sz w:val="22"/>
                <w:szCs w:val="22"/>
                <w:lang w:eastAsia="en-US"/>
              </w:rPr>
              <w:t xml:space="preserve">WA’s </w:t>
            </w:r>
            <w:proofErr w:type="spellStart"/>
            <w:r>
              <w:rPr>
                <w:rFonts w:asciiTheme="minorHAnsi" w:hAnsiTheme="minorHAnsi" w:cstheme="minorBidi"/>
                <w:color w:val="auto"/>
                <w:sz w:val="22"/>
                <w:szCs w:val="22"/>
                <w:lang w:eastAsia="en-US"/>
              </w:rPr>
              <w:t>Keystart</w:t>
            </w:r>
            <w:proofErr w:type="spellEnd"/>
            <w:r>
              <w:rPr>
                <w:rFonts w:asciiTheme="minorHAnsi" w:hAnsiTheme="minorHAnsi" w:cstheme="minorBidi"/>
                <w:color w:val="auto"/>
                <w:sz w:val="22"/>
                <w:szCs w:val="22"/>
                <w:lang w:eastAsia="en-US"/>
              </w:rPr>
              <w:t xml:space="preserve"> program provides a low deposit loan scheme to support creditworthy singles, couples and families who </w:t>
            </w:r>
            <w:r>
              <w:rPr>
                <w:rFonts w:ascii="Calibri" w:eastAsia="Calibri" w:hAnsi="Calibri" w:cs="Calibri"/>
                <w:color w:val="auto"/>
                <w:sz w:val="22"/>
                <w:szCs w:val="22"/>
                <w:lang w:eastAsia="en-US"/>
              </w:rPr>
              <w:t>are unable to meet the deposit requirements of mainstream lenders to</w:t>
            </w:r>
            <w:r>
              <w:rPr>
                <w:color w:val="auto"/>
                <w:lang w:val="en-AU" w:eastAsia="en-US"/>
              </w:rPr>
              <w:t xml:space="preserve"> </w:t>
            </w:r>
            <w:r>
              <w:rPr>
                <w:rFonts w:asciiTheme="minorHAnsi" w:hAnsiTheme="minorHAnsi" w:cstheme="minorBidi"/>
                <w:color w:val="auto"/>
                <w:sz w:val="22"/>
                <w:szCs w:val="22"/>
                <w:lang w:eastAsia="en-US"/>
              </w:rPr>
              <w:t xml:space="preserve">secure a loan to get into home ownership. </w:t>
            </w:r>
            <w:proofErr w:type="spellStart"/>
            <w:r>
              <w:rPr>
                <w:rFonts w:asciiTheme="minorHAnsi" w:hAnsiTheme="minorHAnsi" w:cstheme="minorBidi"/>
                <w:color w:val="auto"/>
                <w:sz w:val="22"/>
                <w:szCs w:val="22"/>
                <w:lang w:eastAsia="en-US"/>
              </w:rPr>
              <w:lastRenderedPageBreak/>
              <w:t>Keystart</w:t>
            </w:r>
            <w:proofErr w:type="spellEnd"/>
            <w:r>
              <w:rPr>
                <w:rFonts w:asciiTheme="minorHAnsi" w:hAnsiTheme="minorHAnsi" w:cstheme="minorBidi"/>
                <w:color w:val="auto"/>
                <w:sz w:val="22"/>
                <w:szCs w:val="22"/>
                <w:lang w:eastAsia="en-US"/>
              </w:rPr>
              <w:t xml:space="preserve"> also provides a shared equity scheme for specific cohorts, funding up to a maximum of 40% of the purchase of a property. </w:t>
            </w:r>
          </w:p>
          <w:p w14:paraId="66F86EC0"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 Western Australian Government has committed more than $600 million over the forward estimates from 2023-24 to enable the financing of home ownership for eligible applicants, through both the Low Deposit and Shared Ownership Home Loan schemes. </w:t>
            </w:r>
            <w:proofErr w:type="spellStart"/>
            <w:r>
              <w:rPr>
                <w:rFonts w:asciiTheme="minorHAnsi" w:hAnsiTheme="minorHAnsi" w:cstheme="minorHAnsi"/>
                <w:color w:val="auto"/>
                <w:sz w:val="22"/>
                <w:szCs w:val="22"/>
                <w:lang w:eastAsia="en-US"/>
              </w:rPr>
              <w:t>Keystart</w:t>
            </w:r>
            <w:proofErr w:type="spellEnd"/>
            <w:r>
              <w:rPr>
                <w:rFonts w:asciiTheme="minorHAnsi" w:hAnsiTheme="minorHAnsi" w:cstheme="minorHAnsi"/>
                <w:color w:val="auto"/>
                <w:sz w:val="22"/>
                <w:szCs w:val="22"/>
                <w:lang w:eastAsia="en-US"/>
              </w:rPr>
              <w:t xml:space="preserve"> income eligibility limits were also permanently increased in the 2023-24 State Budget.    </w:t>
            </w:r>
          </w:p>
          <w:p w14:paraId="63BD9F1A" w14:textId="77777777" w:rsidR="002A1B09" w:rsidRDefault="002A1B09" w:rsidP="002A1B09">
            <w:pPr>
              <w:spacing w:line="256" w:lineRule="auto"/>
            </w:pPr>
            <w:r>
              <w:rPr>
                <w:rFonts w:ascii="Calibri" w:eastAsia="Calibri" w:hAnsi="Calibri" w:cs="Calibri"/>
                <w:b/>
                <w:bCs/>
                <w:lang w:val="en-AU"/>
              </w:rPr>
              <w:t xml:space="preserve">Affordable Land to Support Affordable Housing </w:t>
            </w:r>
          </w:p>
          <w:p w14:paraId="7C8DA319" w14:textId="77777777" w:rsidR="002A1B09" w:rsidRDefault="002A1B09" w:rsidP="002A1B09">
            <w:pPr>
              <w:spacing w:line="252" w:lineRule="auto"/>
              <w:rPr>
                <w:rFonts w:ascii="Calibri" w:eastAsia="Calibri" w:hAnsi="Calibri" w:cs="Calibri"/>
              </w:rPr>
            </w:pPr>
            <w:r>
              <w:rPr>
                <w:rFonts w:ascii="Calibri" w:eastAsia="Calibri" w:hAnsi="Calibri" w:cs="Calibri"/>
              </w:rPr>
              <w:t>The Western Australian government undertakes a range of residential land development projects in metropolitan Perth and across regional WA. The projects deliver a supply of residential land to market including a significant percentage of lots targeted to purchasers on low to moderate incomes.</w:t>
            </w:r>
          </w:p>
          <w:p w14:paraId="60B7038C" w14:textId="77777777" w:rsidR="002A1B09" w:rsidRDefault="002A1B09" w:rsidP="002A1B09">
            <w:pPr>
              <w:pStyle w:val="Milestonetable"/>
              <w:spacing w:line="254" w:lineRule="auto"/>
              <w:rPr>
                <w:rFonts w:asciiTheme="minorHAnsi" w:hAnsiTheme="minorHAnsi" w:cstheme="minorHAnsi"/>
                <w:b/>
                <w:color w:val="auto"/>
                <w:sz w:val="22"/>
                <w:szCs w:val="22"/>
                <w:lang w:eastAsia="en-US"/>
              </w:rPr>
            </w:pPr>
            <w:r>
              <w:rPr>
                <w:rFonts w:asciiTheme="minorHAnsi" w:hAnsiTheme="minorHAnsi" w:cstheme="minorHAnsi"/>
                <w:b/>
                <w:color w:val="auto"/>
                <w:sz w:val="22"/>
                <w:szCs w:val="22"/>
                <w:lang w:eastAsia="en-US"/>
              </w:rPr>
              <w:t>Metropolitan Redevelopment Authority – Development Policy 9 (DP9)</w:t>
            </w:r>
          </w:p>
          <w:p w14:paraId="680FE94C"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bCs/>
                <w:color w:val="auto"/>
                <w:sz w:val="22"/>
                <w:szCs w:val="22"/>
                <w:lang w:eastAsia="en-US"/>
              </w:rPr>
              <w:t>The Metropolitan Redevelopment Authority’s DP9</w:t>
            </w:r>
            <w:r>
              <w:rPr>
                <w:rFonts w:asciiTheme="minorHAnsi" w:hAnsiTheme="minorHAnsi" w:cstheme="minorHAnsi"/>
                <w:color w:val="auto"/>
                <w:sz w:val="22"/>
                <w:szCs w:val="22"/>
                <w:lang w:eastAsia="en-US"/>
              </w:rPr>
              <w:t xml:space="preserve"> is a development policy which applies to development areas in the Perth metropolitan region and aims to ensure a diversity of housing types, sizes and tenure options, over a variety of prices.</w:t>
            </w:r>
          </w:p>
          <w:p w14:paraId="457607D6"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DP9 requires developers to ensure residential and multi-use developments include a minimum 12% of units as affordable housing for use as either social or affordable owner occupier housing.  </w:t>
            </w:r>
          </w:p>
          <w:p w14:paraId="5C1786EA" w14:textId="77777777" w:rsidR="002A1B09" w:rsidRDefault="002A1B09" w:rsidP="002A1B09">
            <w:pPr>
              <w:pStyle w:val="Milestonetable"/>
              <w:spacing w:line="254" w:lineRule="auto"/>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North-West Aboriginal Housing Fund (NWAHF)</w:t>
            </w:r>
          </w:p>
          <w:p w14:paraId="0D9FA79C"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 NWAHF is a $200 million initiative that aims to create pathways to social and economic independence and wellbeing for Aboriginal people in the Pilbara and Kimberley regions by funding innovative projects to improve home ownership outcomes.  The Fund is expected to make 320 homes available for affordable rental or home ownership, through the construction of new homes, spot purchases, and grant funding in partnership with Aboriginal </w:t>
            </w:r>
            <w:proofErr w:type="spellStart"/>
            <w:r>
              <w:rPr>
                <w:rFonts w:asciiTheme="minorHAnsi" w:hAnsiTheme="minorHAnsi" w:cstheme="minorHAnsi"/>
                <w:color w:val="auto"/>
                <w:sz w:val="22"/>
                <w:szCs w:val="22"/>
                <w:lang w:eastAsia="en-US"/>
              </w:rPr>
              <w:t>organisations</w:t>
            </w:r>
            <w:proofErr w:type="spellEnd"/>
            <w:r>
              <w:rPr>
                <w:rFonts w:asciiTheme="minorHAnsi" w:hAnsiTheme="minorHAnsi" w:cstheme="minorHAnsi"/>
                <w:color w:val="auto"/>
                <w:sz w:val="22"/>
                <w:szCs w:val="22"/>
                <w:lang w:eastAsia="en-US"/>
              </w:rPr>
              <w:t xml:space="preserve">.  </w:t>
            </w:r>
          </w:p>
          <w:p w14:paraId="40EDD507" w14:textId="77777777" w:rsidR="002A1B09" w:rsidRDefault="002A1B09" w:rsidP="002A1B09">
            <w:pPr>
              <w:pStyle w:val="Milestonetable"/>
              <w:spacing w:line="254" w:lineRule="auto"/>
              <w:rPr>
                <w:rFonts w:asciiTheme="minorHAnsi" w:hAnsiTheme="minorHAnsi" w:cstheme="minorHAnsi"/>
                <w:b/>
                <w:color w:val="auto"/>
                <w:sz w:val="22"/>
                <w:szCs w:val="22"/>
                <w:lang w:eastAsia="en-US"/>
              </w:rPr>
            </w:pPr>
            <w:r>
              <w:rPr>
                <w:rFonts w:asciiTheme="minorHAnsi" w:hAnsiTheme="minorHAnsi" w:cstheme="minorHAnsi"/>
                <w:b/>
                <w:color w:val="auto"/>
                <w:sz w:val="22"/>
                <w:szCs w:val="22"/>
                <w:lang w:eastAsia="en-US"/>
              </w:rPr>
              <w:t>Social Housing Investment Fund (SHIF)</w:t>
            </w:r>
          </w:p>
          <w:p w14:paraId="7F1240B6" w14:textId="77777777" w:rsidR="002A1B09" w:rsidRDefault="002A1B09" w:rsidP="002A1B09">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WA has committed $1.2 billion to the SHIF to support housing outcomes, including new social housing, accelerating residential housing development on State </w:t>
            </w:r>
            <w:r>
              <w:rPr>
                <w:rFonts w:asciiTheme="minorHAnsi" w:hAnsiTheme="minorHAnsi" w:cstheme="minorHAnsi"/>
                <w:color w:val="auto"/>
                <w:sz w:val="22"/>
                <w:szCs w:val="22"/>
                <w:lang w:eastAsia="en-US"/>
              </w:rPr>
              <w:lastRenderedPageBreak/>
              <w:t>Government-owned land, and supporting projects led by Community Housing Providers (CHPs).  The SHIF investment will deliver 4,000 social houses.</w:t>
            </w:r>
          </w:p>
          <w:p w14:paraId="7A4977C8" w14:textId="77777777" w:rsidR="002A1B09" w:rsidRDefault="002A1B09" w:rsidP="002A1B09">
            <w:pPr>
              <w:pStyle w:val="Milestonetable"/>
              <w:spacing w:line="254" w:lineRule="auto"/>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East Perth and Mandurah Common Ground Facilities</w:t>
            </w:r>
          </w:p>
          <w:p w14:paraId="6F85229F" w14:textId="77777777" w:rsidR="002A1B09" w:rsidRDefault="002A1B09" w:rsidP="002A1B09">
            <w:pPr>
              <w:pStyle w:val="Milestonetable"/>
              <w:spacing w:line="254" w:lineRule="auto"/>
              <w:rPr>
                <w:rFonts w:asciiTheme="minorHAnsi" w:eastAsia="Arial" w:hAnsiTheme="minorHAnsi" w:cstheme="minorHAnsi"/>
                <w:color w:val="auto"/>
                <w:sz w:val="22"/>
                <w:szCs w:val="22"/>
                <w:lang w:eastAsia="en-US"/>
              </w:rPr>
            </w:pPr>
            <w:r>
              <w:rPr>
                <w:rFonts w:asciiTheme="minorHAnsi" w:eastAsia="Arial" w:hAnsiTheme="minorHAnsi" w:cstheme="minorHAnsi"/>
                <w:color w:val="auto"/>
                <w:sz w:val="22"/>
                <w:szCs w:val="22"/>
                <w:lang w:eastAsia="en-US"/>
              </w:rPr>
              <w:t xml:space="preserve">The WA Department of Communities is leading the delivery of two Common Ground facilities, located in East Perth and Mandurah, to help address the issue of homelessness and social housing needs in WA. The developments comprise a mixture of housing for people experiencing chronic homelessness or rough sleepers and social housing tenants, coupled with onsite wrap-around supports and connections to other in-reach services to sustain tenancies.  </w:t>
            </w:r>
          </w:p>
          <w:p w14:paraId="2B26E94B" w14:textId="618E2E69" w:rsidR="002A1B09" w:rsidRDefault="002A1B09" w:rsidP="002A1B09">
            <w:pPr>
              <w:pStyle w:val="Milestonetable"/>
              <w:spacing w:line="256" w:lineRule="auto"/>
              <w:rPr>
                <w:rFonts w:asciiTheme="minorHAnsi" w:hAnsiTheme="minorHAnsi" w:cstheme="minorHAnsi"/>
                <w:color w:val="auto"/>
                <w:sz w:val="22"/>
                <w:szCs w:val="22"/>
                <w:lang w:eastAsia="en-US"/>
              </w:rPr>
            </w:pPr>
            <w:r w:rsidRPr="00D34E07">
              <w:rPr>
                <w:rFonts w:asciiTheme="minorHAnsi" w:eastAsia="Arial" w:hAnsiTheme="minorHAnsi" w:cstheme="minorHAnsi"/>
                <w:color w:val="auto"/>
                <w:sz w:val="22"/>
                <w:szCs w:val="22"/>
                <w:lang w:eastAsia="en-US"/>
              </w:rPr>
              <w:t>These developments are expected to deliver 162 self-contained apartments, with community and commercial facilities included in the design.</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26976DB4" w14:textId="77777777" w:rsidR="002A1B09" w:rsidRDefault="002A1B09" w:rsidP="002A1B09">
            <w:pPr>
              <w:pStyle w:val="Milestonetable"/>
              <w:spacing w:line="254"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 xml:space="preserve"> 5 years from 2024 (or earlier if possible)</w:t>
            </w:r>
          </w:p>
          <w:p w14:paraId="77879846" w14:textId="1A585A06" w:rsidR="002A1B09" w:rsidRDefault="002A1B09" w:rsidP="002A1B09">
            <w:pPr>
              <w:pStyle w:val="Milestonetable"/>
              <w:spacing w:line="256"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States and territories will provide quarterly reports on the number of affordable homes supported.</w:t>
            </w:r>
          </w:p>
        </w:tc>
      </w:tr>
      <w:tr w:rsidR="00B54803" w14:paraId="6CE0E3EF" w14:textId="77777777" w:rsidTr="002A1B09">
        <w:trPr>
          <w:trHeight w:val="1150"/>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56CF4AEC" w14:textId="77777777" w:rsidR="00B54803" w:rsidRDefault="00B54803" w:rsidP="00B54803">
            <w:pPr>
              <w:pStyle w:val="Milestonetable"/>
              <w:spacing w:line="254"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lastRenderedPageBreak/>
              <w:t>Definition of well-located homes and measures of progress toward 1 million new homes.</w:t>
            </w:r>
          </w:p>
          <w:p w14:paraId="697A28DB" w14:textId="77777777" w:rsidR="00B54803" w:rsidRDefault="00B54803" w:rsidP="00B54803">
            <w:pPr>
              <w:spacing w:line="254" w:lineRule="auto"/>
              <w:rPr>
                <w:rFonts w:eastAsia="Times New Roman" w:cstheme="minorHAnsi"/>
                <w:iCs/>
                <w:color w:val="ED7D31" w:themeColor="accent2"/>
                <w:lang w:eastAsia="en-AU"/>
              </w:rPr>
            </w:pPr>
          </w:p>
          <w:p w14:paraId="34223BEF" w14:textId="77777777" w:rsidR="00B54803" w:rsidRDefault="00B54803" w:rsidP="00B54803">
            <w:pPr>
              <w:pStyle w:val="Milestonetable"/>
              <w:spacing w:line="254" w:lineRule="auto"/>
              <w:rPr>
                <w:rFonts w:asciiTheme="minorHAnsi" w:hAnsiTheme="minorHAnsi" w:cstheme="minorHAnsi"/>
                <w:color w:val="auto"/>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E7E53B2" w14:textId="77777777" w:rsidR="00B54803" w:rsidRDefault="00B54803" w:rsidP="00B54803">
            <w:pPr>
              <w:spacing w:before="60" w:line="256" w:lineRule="auto"/>
              <w:rPr>
                <w:rFonts w:cstheme="minorHAnsi"/>
                <w:i/>
              </w:rPr>
            </w:pPr>
            <w:r>
              <w:rPr>
                <w:rFonts w:cstheme="minorHAnsi"/>
              </w:rPr>
              <w:t xml:space="preserve">WA supports a definition of ‘well-located’ to include </w:t>
            </w:r>
            <w:r>
              <w:t>homes that are close to work, schools, transport and other amenities</w:t>
            </w:r>
            <w:r>
              <w:rPr>
                <w:rFonts w:cstheme="minorHAnsi"/>
                <w:i/>
              </w:rPr>
              <w:t>.</w:t>
            </w:r>
          </w:p>
          <w:p w14:paraId="1F5D89FD" w14:textId="77777777" w:rsidR="00B54803" w:rsidRDefault="00B54803" w:rsidP="00B54803">
            <w:pPr>
              <w:spacing w:before="60" w:line="256" w:lineRule="auto"/>
              <w:rPr>
                <w:rFonts w:cstheme="minorHAnsi"/>
                <w:iCs/>
              </w:rPr>
            </w:pPr>
            <w:r>
              <w:rPr>
                <w:rFonts w:cstheme="minorHAnsi"/>
                <w:iCs/>
              </w:rPr>
              <w:t>To support urban infill priorities, the Government has adopted a definition, which encompasses suburbs within a 10-kilometre radius of the Perth central business district or a two-</w:t>
            </w:r>
            <w:proofErr w:type="spellStart"/>
            <w:r>
              <w:rPr>
                <w:rFonts w:cstheme="minorHAnsi"/>
                <w:iCs/>
              </w:rPr>
              <w:t>kilometre</w:t>
            </w:r>
            <w:proofErr w:type="spellEnd"/>
            <w:r>
              <w:rPr>
                <w:rFonts w:cstheme="minorHAnsi"/>
                <w:iCs/>
              </w:rPr>
              <w:t xml:space="preserve"> radius of existing and proposed metropolitan train stations.</w:t>
            </w:r>
          </w:p>
          <w:p w14:paraId="62837CD5" w14:textId="77777777" w:rsidR="00B54803" w:rsidRDefault="00B54803" w:rsidP="00B54803">
            <w:pPr>
              <w:spacing w:before="60" w:line="256" w:lineRule="auto"/>
              <w:rPr>
                <w:rFonts w:cstheme="minorHAnsi"/>
                <w:iCs/>
              </w:rPr>
            </w:pPr>
            <w:r>
              <w:rPr>
                <w:rFonts w:cstheme="minorHAnsi"/>
                <w:iCs/>
              </w:rPr>
              <w:t>Given Western Australia’s vast size and geographical spread ‘well-located’ may include less-densely populated regions, including economically critical regions in the north of the State.  Housing in particular is critical to attracting the workforce needed to support economic diversification and resource projects.</w:t>
            </w:r>
          </w:p>
          <w:p w14:paraId="6958F3FC" w14:textId="77777777" w:rsidR="00B54803" w:rsidRDefault="00B54803" w:rsidP="00B54803">
            <w:pPr>
              <w:spacing w:before="60" w:line="256" w:lineRule="auto"/>
              <w:rPr>
                <w:rFonts w:cstheme="minorHAnsi"/>
              </w:rPr>
            </w:pPr>
            <w:r>
              <w:rPr>
                <w:rFonts w:cstheme="minorHAnsi"/>
              </w:rPr>
              <w:t>In WA around 1 in 8 of the State’s Aboriginal population live in more than 200 remote communities, town-based reserves and homelands.  An allocation of $150 million has been committed to building new housing to address Closing the Gap targets and to refurbish and upgrade existing housing to make it more suitable and to extend its life.</w:t>
            </w:r>
          </w:p>
          <w:p w14:paraId="1494E703" w14:textId="77777777" w:rsidR="00B54803" w:rsidRDefault="00B54803" w:rsidP="00B54803">
            <w:pPr>
              <w:spacing w:line="254" w:lineRule="auto"/>
              <w:rPr>
                <w:rFonts w:cstheme="minorHAnsi"/>
                <w:b/>
                <w:bCs/>
              </w:rPr>
            </w:pPr>
            <w:r>
              <w:rPr>
                <w:rFonts w:cstheme="minorHAnsi"/>
                <w:b/>
                <w:bCs/>
              </w:rPr>
              <w:t>Aspirational 1 million Houses Target</w:t>
            </w:r>
          </w:p>
          <w:p w14:paraId="2F6F171D" w14:textId="77777777" w:rsidR="00B54803" w:rsidRDefault="00B54803" w:rsidP="00B54803">
            <w:pPr>
              <w:spacing w:line="254" w:lineRule="auto"/>
              <w:rPr>
                <w:rFonts w:cstheme="minorHAnsi"/>
              </w:rPr>
            </w:pPr>
            <w:r>
              <w:rPr>
                <w:rFonts w:cstheme="minorHAnsi"/>
              </w:rPr>
              <w:t>In addition to the programs listed above, WA has a number of initiatives underway to stimulate and support broader housing supply:</w:t>
            </w:r>
          </w:p>
          <w:p w14:paraId="53D66FC7" w14:textId="77777777" w:rsidR="00B54803" w:rsidRDefault="00B54803" w:rsidP="00B54803">
            <w:pPr>
              <w:spacing w:line="254" w:lineRule="auto"/>
              <w:rPr>
                <w:rFonts w:cstheme="minorHAnsi"/>
                <w:sz w:val="12"/>
                <w:szCs w:val="12"/>
              </w:rPr>
            </w:pPr>
          </w:p>
          <w:p w14:paraId="648B00A1" w14:textId="77777777" w:rsidR="00B54803" w:rsidRDefault="00B54803" w:rsidP="00B54803">
            <w:pPr>
              <w:pStyle w:val="ListParagraph"/>
              <w:numPr>
                <w:ilvl w:val="0"/>
                <w:numId w:val="29"/>
              </w:numPr>
              <w:spacing w:line="254" w:lineRule="auto"/>
              <w:ind w:left="360"/>
              <w:rPr>
                <w:rFonts w:cstheme="minorHAnsi"/>
              </w:rPr>
            </w:pPr>
            <w:r>
              <w:rPr>
                <w:rFonts w:cstheme="minorHAnsi"/>
                <w:u w:val="single"/>
              </w:rPr>
              <w:lastRenderedPageBreak/>
              <w:t>Infrastructure Development Fund:</w:t>
            </w:r>
            <w:r>
              <w:rPr>
                <w:rFonts w:cstheme="minorHAnsi"/>
              </w:rPr>
              <w:t xml:space="preserve"> An $80 million Infrastructure Development Fund to unlock a pipeline of new apartment developments in metropolitan Perth and worker accommodation in regional areas. The Fund helps local governments and developers to offset the costs of providing water, sewerage and electricity services to new housing developments. </w:t>
            </w:r>
          </w:p>
          <w:p w14:paraId="43A40A70" w14:textId="77777777" w:rsidR="00B54803" w:rsidRDefault="00B54803" w:rsidP="00B54803">
            <w:pPr>
              <w:spacing w:line="254" w:lineRule="auto"/>
              <w:rPr>
                <w:rFonts w:cstheme="minorHAnsi"/>
                <w:sz w:val="12"/>
                <w:szCs w:val="12"/>
              </w:rPr>
            </w:pPr>
          </w:p>
          <w:p w14:paraId="07313E63" w14:textId="77777777" w:rsidR="00B54803" w:rsidRDefault="00B54803" w:rsidP="00B54803">
            <w:pPr>
              <w:pStyle w:val="ListParagraph"/>
              <w:numPr>
                <w:ilvl w:val="0"/>
                <w:numId w:val="29"/>
              </w:numPr>
              <w:spacing w:line="254" w:lineRule="auto"/>
              <w:ind w:left="360"/>
              <w:rPr>
                <w:rFonts w:cstheme="minorHAnsi"/>
                <w:u w:val="single"/>
              </w:rPr>
            </w:pPr>
            <w:r>
              <w:rPr>
                <w:rFonts w:cstheme="minorHAnsi"/>
                <w:u w:val="single"/>
              </w:rPr>
              <w:t xml:space="preserve">Land Tax Concession: </w:t>
            </w:r>
            <w:r>
              <w:rPr>
                <w:rFonts w:cstheme="minorHAnsi"/>
              </w:rPr>
              <w:t xml:space="preserve">The Government is providing a 50 per cent land tax exemption for up to 20 years for eligible build to rent developments. </w:t>
            </w:r>
          </w:p>
          <w:p w14:paraId="07330B53" w14:textId="77777777" w:rsidR="00B54803" w:rsidRDefault="00B54803" w:rsidP="00B54803">
            <w:pPr>
              <w:spacing w:line="254" w:lineRule="auto"/>
              <w:rPr>
                <w:rFonts w:cstheme="minorHAnsi"/>
                <w:sz w:val="12"/>
                <w:szCs w:val="12"/>
              </w:rPr>
            </w:pPr>
          </w:p>
          <w:p w14:paraId="4C461AD6" w14:textId="77777777" w:rsidR="00B54803" w:rsidRDefault="00B54803" w:rsidP="00B54803">
            <w:pPr>
              <w:pStyle w:val="ListParagraph"/>
              <w:numPr>
                <w:ilvl w:val="0"/>
                <w:numId w:val="29"/>
              </w:numPr>
              <w:spacing w:line="254" w:lineRule="auto"/>
              <w:ind w:left="360"/>
              <w:rPr>
                <w:rFonts w:cstheme="minorHAnsi"/>
                <w:u w:val="single"/>
              </w:rPr>
            </w:pPr>
            <w:proofErr w:type="spellStart"/>
            <w:r>
              <w:rPr>
                <w:rFonts w:cstheme="minorHAnsi"/>
                <w:u w:val="single"/>
              </w:rPr>
              <w:t>Keystart</w:t>
            </w:r>
            <w:proofErr w:type="spellEnd"/>
            <w:r>
              <w:rPr>
                <w:rFonts w:cstheme="minorHAnsi"/>
                <w:u w:val="single"/>
              </w:rPr>
              <w:t xml:space="preserve"> Urban Connect Home Loan:</w:t>
            </w:r>
            <w:r>
              <w:rPr>
                <w:rFonts w:cstheme="minorHAnsi"/>
              </w:rPr>
              <w:t xml:space="preserve"> A pilot program providing low-deposit home loans specifically for medium and high-density apartments in urban locations and close to rail transport hubs. </w:t>
            </w:r>
          </w:p>
          <w:p w14:paraId="3880599C" w14:textId="77777777" w:rsidR="00B54803" w:rsidRDefault="00B54803" w:rsidP="00B54803">
            <w:pPr>
              <w:spacing w:line="254" w:lineRule="auto"/>
              <w:rPr>
                <w:rFonts w:cstheme="minorHAnsi"/>
                <w:sz w:val="12"/>
                <w:szCs w:val="12"/>
              </w:rPr>
            </w:pPr>
          </w:p>
          <w:p w14:paraId="2EFA95A8" w14:textId="77777777" w:rsidR="00B54803" w:rsidRDefault="00B54803" w:rsidP="00B54803">
            <w:pPr>
              <w:pStyle w:val="ListParagraph"/>
              <w:numPr>
                <w:ilvl w:val="0"/>
                <w:numId w:val="29"/>
              </w:numPr>
              <w:spacing w:line="254" w:lineRule="auto"/>
              <w:ind w:left="360"/>
              <w:rPr>
                <w:rFonts w:cstheme="minorHAnsi"/>
              </w:rPr>
            </w:pPr>
            <w:r>
              <w:rPr>
                <w:rFonts w:cstheme="minorHAnsi"/>
                <w:u w:val="single"/>
              </w:rPr>
              <w:t>Off-the-Plan Transfer Duty Concession:</w:t>
            </w:r>
            <w:r>
              <w:rPr>
                <w:rFonts w:cstheme="minorHAnsi"/>
              </w:rPr>
              <w:t xml:space="preserve"> The Government has committed to extend the </w:t>
            </w:r>
            <w:r>
              <w:t>Off-the-Plan transfer duty rebate, and lift the exemption threshold to $650,000 for a 100 per cent duty concession, tapering to a 50 per cent concession from $750,000.</w:t>
            </w:r>
          </w:p>
          <w:p w14:paraId="5E4C1BA8" w14:textId="77777777" w:rsidR="00B54803" w:rsidRDefault="00B54803" w:rsidP="00B54803">
            <w:pPr>
              <w:spacing w:line="254" w:lineRule="auto"/>
              <w:rPr>
                <w:rFonts w:cstheme="minorHAnsi"/>
                <w:sz w:val="12"/>
                <w:szCs w:val="12"/>
              </w:rPr>
            </w:pPr>
          </w:p>
          <w:p w14:paraId="28CDDCC4" w14:textId="77777777" w:rsidR="00B54803" w:rsidRDefault="00B54803" w:rsidP="00B54803">
            <w:pPr>
              <w:pStyle w:val="ListParagraph"/>
              <w:numPr>
                <w:ilvl w:val="0"/>
                <w:numId w:val="29"/>
              </w:numPr>
              <w:spacing w:line="254" w:lineRule="auto"/>
              <w:ind w:left="360"/>
              <w:rPr>
                <w:rFonts w:cstheme="minorHAnsi"/>
              </w:rPr>
            </w:pPr>
            <w:r>
              <w:rPr>
                <w:rFonts w:cstheme="minorHAnsi"/>
                <w:u w:val="single"/>
              </w:rPr>
              <w:t>Strategic Water and Wastewater Infrastructure:</w:t>
            </w:r>
            <w:r>
              <w:rPr>
                <w:rFonts w:cstheme="minorHAnsi"/>
              </w:rPr>
              <w:t xml:space="preserve"> As part of the 2023-24 State Budget, the Government will deliver $55 million in strategic water and wastewater infrastructure to unlock more than 15,000 new homes across Perth.</w:t>
            </w:r>
          </w:p>
          <w:p w14:paraId="7C9B11C8" w14:textId="77777777" w:rsidR="00B54803" w:rsidRDefault="00B54803" w:rsidP="00B54803">
            <w:pPr>
              <w:spacing w:line="254" w:lineRule="auto"/>
              <w:rPr>
                <w:rFonts w:cstheme="minorHAnsi"/>
                <w:sz w:val="12"/>
                <w:szCs w:val="12"/>
              </w:rPr>
            </w:pPr>
          </w:p>
          <w:p w14:paraId="640629E7" w14:textId="77777777" w:rsidR="00B54803" w:rsidRDefault="00B54803" w:rsidP="00B54803">
            <w:pPr>
              <w:pStyle w:val="ListParagraph"/>
              <w:widowControl/>
              <w:numPr>
                <w:ilvl w:val="0"/>
                <w:numId w:val="29"/>
              </w:numPr>
              <w:overflowPunct w:val="0"/>
              <w:autoSpaceDE w:val="0"/>
              <w:autoSpaceDN w:val="0"/>
              <w:adjustRightInd w:val="0"/>
              <w:spacing w:before="60" w:line="254" w:lineRule="auto"/>
              <w:ind w:left="326" w:hanging="326"/>
              <w:contextualSpacing/>
              <w:jc w:val="both"/>
              <w:textAlignment w:val="baseline"/>
              <w:rPr>
                <w:rFonts w:cstheme="minorHAnsi"/>
              </w:rPr>
            </w:pPr>
            <w:r>
              <w:rPr>
                <w:rFonts w:cstheme="minorHAnsi"/>
                <w:u w:val="single"/>
              </w:rPr>
              <w:t xml:space="preserve">Construction Workforce Package: </w:t>
            </w:r>
            <w:proofErr w:type="spellStart"/>
            <w:r>
              <w:rPr>
                <w:rFonts w:cstheme="minorHAnsi"/>
              </w:rPr>
              <w:t>Recognising</w:t>
            </w:r>
            <w:proofErr w:type="spellEnd"/>
            <w:r>
              <w:rPr>
                <w:rFonts w:cstheme="minorHAnsi"/>
              </w:rPr>
              <w:t xml:space="preserve"> that skilled </w:t>
            </w:r>
            <w:proofErr w:type="spellStart"/>
            <w:r>
              <w:rPr>
                <w:rFonts w:cstheme="minorHAnsi"/>
              </w:rPr>
              <w:t>labour</w:t>
            </w:r>
            <w:proofErr w:type="spellEnd"/>
            <w:r>
              <w:rPr>
                <w:rFonts w:cstheme="minorHAnsi"/>
              </w:rPr>
              <w:t xml:space="preserve"> is a critical enabler to the delivery of new housing, the Government is supporting initiatives to expand the residential construction workforce, including:</w:t>
            </w:r>
          </w:p>
          <w:p w14:paraId="5B8273AF" w14:textId="77777777" w:rsidR="00B54803" w:rsidRDefault="00B54803" w:rsidP="00B54803">
            <w:pPr>
              <w:widowControl/>
              <w:numPr>
                <w:ilvl w:val="0"/>
                <w:numId w:val="30"/>
              </w:numPr>
              <w:overflowPunct w:val="0"/>
              <w:autoSpaceDE w:val="0"/>
              <w:autoSpaceDN w:val="0"/>
              <w:adjustRightInd w:val="0"/>
              <w:spacing w:line="254" w:lineRule="auto"/>
              <w:jc w:val="both"/>
              <w:textAlignment w:val="baseline"/>
              <w:rPr>
                <w:rFonts w:cstheme="minorHAnsi"/>
                <w:lang w:val="en-AU"/>
              </w:rPr>
            </w:pPr>
            <w:r>
              <w:rPr>
                <w:rFonts w:cstheme="minorHAnsi"/>
                <w:lang w:val="en-AU"/>
              </w:rPr>
              <w:t>boosting the Base Employer Grant from $10,000 to $12,000 for apprentices;</w:t>
            </w:r>
          </w:p>
          <w:p w14:paraId="369CE893" w14:textId="77777777" w:rsidR="00B54803" w:rsidRDefault="00B54803" w:rsidP="00B54803">
            <w:pPr>
              <w:widowControl/>
              <w:numPr>
                <w:ilvl w:val="0"/>
                <w:numId w:val="30"/>
              </w:numPr>
              <w:overflowPunct w:val="0"/>
              <w:autoSpaceDE w:val="0"/>
              <w:autoSpaceDN w:val="0"/>
              <w:adjustRightInd w:val="0"/>
              <w:spacing w:line="254" w:lineRule="auto"/>
              <w:jc w:val="both"/>
              <w:textAlignment w:val="baseline"/>
              <w:rPr>
                <w:rFonts w:cstheme="minorHAnsi"/>
                <w:lang w:val="en-AU"/>
              </w:rPr>
            </w:pPr>
            <w:r>
              <w:rPr>
                <w:rFonts w:cstheme="minorHAnsi"/>
                <w:lang w:val="en-AU"/>
              </w:rPr>
              <w:t>expanding the Group Training Wages subsidy to include residential and commercial construction sector apprentices;</w:t>
            </w:r>
          </w:p>
          <w:p w14:paraId="3C932DBD" w14:textId="77777777" w:rsidR="00B54803" w:rsidRDefault="00B54803" w:rsidP="00B54803">
            <w:pPr>
              <w:widowControl/>
              <w:numPr>
                <w:ilvl w:val="0"/>
                <w:numId w:val="30"/>
              </w:numPr>
              <w:overflowPunct w:val="0"/>
              <w:autoSpaceDE w:val="0"/>
              <w:autoSpaceDN w:val="0"/>
              <w:adjustRightInd w:val="0"/>
              <w:spacing w:line="254" w:lineRule="auto"/>
              <w:jc w:val="both"/>
              <w:textAlignment w:val="baseline"/>
              <w:rPr>
                <w:rFonts w:cstheme="minorHAnsi"/>
                <w:lang w:val="en-AU"/>
              </w:rPr>
            </w:pPr>
            <w:r>
              <w:rPr>
                <w:rFonts w:cstheme="minorHAnsi"/>
                <w:lang w:val="en-AU"/>
              </w:rPr>
              <w:t>a $2,000 training completion payment for apprentices;</w:t>
            </w:r>
          </w:p>
          <w:p w14:paraId="754E796F" w14:textId="77777777" w:rsidR="00B54803" w:rsidRDefault="00B54803" w:rsidP="00B54803">
            <w:pPr>
              <w:widowControl/>
              <w:numPr>
                <w:ilvl w:val="0"/>
                <w:numId w:val="30"/>
              </w:numPr>
              <w:overflowPunct w:val="0"/>
              <w:autoSpaceDE w:val="0"/>
              <w:autoSpaceDN w:val="0"/>
              <w:adjustRightInd w:val="0"/>
              <w:spacing w:line="254" w:lineRule="auto"/>
              <w:jc w:val="both"/>
              <w:textAlignment w:val="baseline"/>
              <w:rPr>
                <w:rFonts w:cstheme="minorHAnsi"/>
                <w:lang w:val="en-AU"/>
              </w:rPr>
            </w:pPr>
            <w:r>
              <w:rPr>
                <w:rFonts w:cstheme="minorHAnsi"/>
                <w:lang w:val="en-AU"/>
              </w:rPr>
              <w:t>expediting approvals of occupational licensing; and</w:t>
            </w:r>
          </w:p>
          <w:p w14:paraId="5E9585FE" w14:textId="77777777" w:rsidR="00B54803" w:rsidRDefault="00B54803" w:rsidP="00B54803">
            <w:pPr>
              <w:widowControl/>
              <w:numPr>
                <w:ilvl w:val="0"/>
                <w:numId w:val="30"/>
              </w:numPr>
              <w:overflowPunct w:val="0"/>
              <w:autoSpaceDE w:val="0"/>
              <w:autoSpaceDN w:val="0"/>
              <w:adjustRightInd w:val="0"/>
              <w:spacing w:before="60" w:line="254" w:lineRule="auto"/>
              <w:contextualSpacing/>
              <w:jc w:val="both"/>
              <w:textAlignment w:val="baseline"/>
              <w:rPr>
                <w:rFonts w:cstheme="minorHAnsi"/>
                <w:lang w:val="en-AU"/>
              </w:rPr>
            </w:pPr>
            <w:r>
              <w:rPr>
                <w:rFonts w:cstheme="minorHAnsi"/>
                <w:lang w:val="en-AU"/>
              </w:rPr>
              <w:t>a targeted visa subsidy scheme to attract skilled migrants to the industry.</w:t>
            </w:r>
          </w:p>
          <w:p w14:paraId="2942460E" w14:textId="77777777" w:rsidR="00B54803" w:rsidRDefault="00B54803" w:rsidP="00B54803">
            <w:pPr>
              <w:pStyle w:val="ListParagraph"/>
              <w:widowControl/>
              <w:numPr>
                <w:ilvl w:val="0"/>
                <w:numId w:val="31"/>
              </w:numPr>
              <w:overflowPunct w:val="0"/>
              <w:autoSpaceDE w:val="0"/>
              <w:autoSpaceDN w:val="0"/>
              <w:adjustRightInd w:val="0"/>
              <w:spacing w:before="60" w:line="254" w:lineRule="auto"/>
              <w:contextualSpacing/>
              <w:jc w:val="both"/>
              <w:textAlignment w:val="baseline"/>
              <w:rPr>
                <w:rFonts w:cstheme="minorHAnsi"/>
                <w:lang w:val="en-AU"/>
              </w:rPr>
            </w:pPr>
            <w:r>
              <w:rPr>
                <w:rFonts w:cstheme="minorHAnsi"/>
                <w:u w:val="single"/>
                <w:lang w:val="en-AU"/>
              </w:rPr>
              <w:lastRenderedPageBreak/>
              <w:t>Planning Reform for Building Density Bonuses</w:t>
            </w:r>
            <w:r>
              <w:rPr>
                <w:rFonts w:cstheme="minorHAnsi"/>
                <w:lang w:val="en-AU"/>
              </w:rPr>
              <w:t xml:space="preserve">:  As part of tranche 2 of the States’s planning reform package, it is proposed to provide for the delivery of Community Housing as a consideration in securing building density bonuses.  Where a development includes the provision of a minimum 5% mix of social or community housing project, an additional density entitlement is proposed to be provided. </w:t>
            </w:r>
          </w:p>
          <w:p w14:paraId="6E864653" w14:textId="77777777" w:rsidR="00B54803" w:rsidRDefault="00B54803" w:rsidP="00B54803">
            <w:pPr>
              <w:widowControl/>
              <w:overflowPunct w:val="0"/>
              <w:autoSpaceDE w:val="0"/>
              <w:autoSpaceDN w:val="0"/>
              <w:adjustRightInd w:val="0"/>
              <w:spacing w:line="254" w:lineRule="auto"/>
              <w:jc w:val="both"/>
              <w:textAlignment w:val="baseline"/>
              <w:rPr>
                <w:rFonts w:cstheme="minorHAnsi"/>
                <w:sz w:val="12"/>
                <w:szCs w:val="12"/>
              </w:rPr>
            </w:pPr>
            <w:r>
              <w:rPr>
                <w:rFonts w:cstheme="minorHAnsi"/>
              </w:rPr>
              <w:t xml:space="preserve"> </w:t>
            </w:r>
          </w:p>
          <w:p w14:paraId="20620CED" w14:textId="1B76167B" w:rsidR="00B54803" w:rsidRDefault="00B54803" w:rsidP="00EC13DA">
            <w:pPr>
              <w:widowControl/>
              <w:overflowPunct w:val="0"/>
              <w:autoSpaceDE w:val="0"/>
              <w:autoSpaceDN w:val="0"/>
              <w:adjustRightInd w:val="0"/>
              <w:spacing w:line="254" w:lineRule="auto"/>
              <w:jc w:val="both"/>
              <w:textAlignment w:val="baseline"/>
              <w:rPr>
                <w:rFonts w:cstheme="minorHAnsi"/>
              </w:rPr>
            </w:pPr>
            <w:r>
              <w:rPr>
                <w:rFonts w:cstheme="minorHAnsi"/>
              </w:rPr>
              <w:t>WA supports the Housing Accord’s aspirational target for 1 million new homes to be delivered nationally being tracked and regularly reported by the Australian Bureau of Statistics.</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5913C8D8" w14:textId="77777777" w:rsidR="00B54803" w:rsidRDefault="00B54803" w:rsidP="00B54803">
            <w:pPr>
              <w:pStyle w:val="Milestonetable"/>
              <w:spacing w:line="254"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From 2024 onwards</w:t>
            </w:r>
          </w:p>
          <w:p w14:paraId="6C96B66A" w14:textId="77777777" w:rsidR="00B54803" w:rsidRDefault="00B54803" w:rsidP="00B54803">
            <w:pPr>
              <w:pStyle w:val="Milestonetable"/>
              <w:spacing w:line="254" w:lineRule="auto"/>
              <w:jc w:val="right"/>
              <w:rPr>
                <w:rFonts w:asciiTheme="minorHAnsi" w:hAnsiTheme="minorHAnsi" w:cstheme="minorHAnsi"/>
                <w:color w:val="auto"/>
                <w:sz w:val="22"/>
                <w:szCs w:val="22"/>
                <w:lang w:eastAsia="en-US"/>
              </w:rPr>
            </w:pPr>
          </w:p>
        </w:tc>
      </w:tr>
      <w:tr w:rsidR="00EC13DA" w14:paraId="4285D980" w14:textId="77777777" w:rsidTr="002A1B09">
        <w:trPr>
          <w:trHeight w:val="1150"/>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33085C1E" w14:textId="77777777" w:rsidR="00EC13DA" w:rsidRDefault="00EC13DA" w:rsidP="00EC13DA">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Undertake expedited zoning, planning and land release to deliver the joint commitment on social and affordable housing in well located areas.</w:t>
            </w:r>
          </w:p>
          <w:p w14:paraId="329CD54F" w14:textId="77777777" w:rsidR="00EC13DA" w:rsidRDefault="00EC13DA" w:rsidP="00EC13DA">
            <w:pPr>
              <w:pStyle w:val="Milestonetable"/>
              <w:spacing w:line="254" w:lineRule="auto"/>
              <w:rPr>
                <w:rFonts w:asciiTheme="minorHAnsi" w:hAnsiTheme="minorHAnsi" w:cstheme="minorHAnsi"/>
                <w:color w:val="000000" w:themeColor="text1"/>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62C2C09D" w14:textId="77777777" w:rsidR="00EC13DA" w:rsidRDefault="00EC13DA" w:rsidP="00EC13DA">
            <w:pPr>
              <w:spacing w:line="254" w:lineRule="auto"/>
            </w:pPr>
            <w:r>
              <w:t xml:space="preserve">In WA, the planning system is generally </w:t>
            </w:r>
            <w:proofErr w:type="spellStart"/>
            <w:r>
              <w:t>centralised</w:t>
            </w:r>
            <w:proofErr w:type="spellEnd"/>
            <w:r>
              <w:t>, with the majority of decision-making on strategic planning directions, land delivery, and major development applications falling under the jurisdiction of State Government agencies.</w:t>
            </w:r>
          </w:p>
          <w:p w14:paraId="64643F71" w14:textId="77777777" w:rsidR="00EC13DA" w:rsidRDefault="00EC13DA" w:rsidP="00EC13DA">
            <w:pPr>
              <w:spacing w:line="254" w:lineRule="auto"/>
            </w:pPr>
            <w:r>
              <w:t>Planning reform has been ongoing over the past 10 years and is well advanced, with recent reform initiatives focused on consistency across local government areas, simplifying planning processes, and improving design outcomes and pathways for higher-density development.</w:t>
            </w:r>
          </w:p>
          <w:p w14:paraId="74E2CE47" w14:textId="77777777" w:rsidR="00EC13DA" w:rsidRDefault="00EC13DA" w:rsidP="00EC13DA">
            <w:pPr>
              <w:spacing w:line="254" w:lineRule="auto"/>
            </w:pPr>
            <w:r>
              <w:t>Planning measures in place to boost and streamline the delivery of social and affordable housing include:</w:t>
            </w:r>
          </w:p>
          <w:p w14:paraId="3C108024" w14:textId="77777777" w:rsidR="00EC13DA" w:rsidRDefault="00EC13DA" w:rsidP="00EC13DA">
            <w:pPr>
              <w:widowControl/>
              <w:numPr>
                <w:ilvl w:val="0"/>
                <w:numId w:val="30"/>
              </w:numPr>
              <w:overflowPunct w:val="0"/>
              <w:autoSpaceDE w:val="0"/>
              <w:autoSpaceDN w:val="0"/>
              <w:adjustRightInd w:val="0"/>
              <w:spacing w:line="254" w:lineRule="auto"/>
              <w:jc w:val="both"/>
              <w:textAlignment w:val="baseline"/>
              <w:rPr>
                <w:rFonts w:cstheme="minorHAnsi"/>
                <w:lang w:val="en-AU"/>
              </w:rPr>
            </w:pPr>
            <w:r>
              <w:rPr>
                <w:rFonts w:cstheme="minorHAnsi"/>
                <w:lang w:val="en-AU"/>
              </w:rPr>
              <w:t>Delegated authority for the Housing Authority to assess social and affordable housing projects of up to 20 dwellings;</w:t>
            </w:r>
          </w:p>
          <w:p w14:paraId="6010B2C7" w14:textId="77777777" w:rsidR="00EC13DA" w:rsidRDefault="00EC13DA" w:rsidP="00EC13DA">
            <w:pPr>
              <w:widowControl/>
              <w:numPr>
                <w:ilvl w:val="0"/>
                <w:numId w:val="30"/>
              </w:numPr>
              <w:overflowPunct w:val="0"/>
              <w:autoSpaceDE w:val="0"/>
              <w:autoSpaceDN w:val="0"/>
              <w:adjustRightInd w:val="0"/>
              <w:spacing w:line="254" w:lineRule="auto"/>
              <w:jc w:val="both"/>
              <w:textAlignment w:val="baseline"/>
              <w:rPr>
                <w:rFonts w:cstheme="minorHAnsi"/>
                <w:lang w:val="en-AU"/>
              </w:rPr>
            </w:pPr>
            <w:r>
              <w:rPr>
                <w:rFonts w:cstheme="minorHAnsi"/>
                <w:lang w:val="en-AU"/>
              </w:rPr>
              <w:t>A commitment to introduce planning bonuses for projects that include social housing; and</w:t>
            </w:r>
          </w:p>
          <w:p w14:paraId="7BA763FE" w14:textId="77777777" w:rsidR="00EC13DA" w:rsidRDefault="00EC13DA" w:rsidP="00EC13DA">
            <w:pPr>
              <w:widowControl/>
              <w:numPr>
                <w:ilvl w:val="0"/>
                <w:numId w:val="30"/>
              </w:numPr>
              <w:overflowPunct w:val="0"/>
              <w:autoSpaceDE w:val="0"/>
              <w:autoSpaceDN w:val="0"/>
              <w:adjustRightInd w:val="0"/>
              <w:spacing w:line="254" w:lineRule="auto"/>
              <w:jc w:val="both"/>
              <w:textAlignment w:val="baseline"/>
              <w:rPr>
                <w:rFonts w:cstheme="minorHAnsi"/>
                <w:lang w:val="en-AU"/>
              </w:rPr>
            </w:pPr>
            <w:r>
              <w:rPr>
                <w:rFonts w:cstheme="minorHAnsi"/>
                <w:lang w:val="en-AU"/>
              </w:rPr>
              <w:t>Ability for the State Development Assessment Unit to independently assess applications for social housing projects, via the “Part 17 Significant Development Pathway”.</w:t>
            </w:r>
          </w:p>
          <w:p w14:paraId="5FB3F019" w14:textId="77777777" w:rsidR="00EC13DA" w:rsidRDefault="00EC13DA" w:rsidP="00EC13DA">
            <w:pPr>
              <w:spacing w:line="254" w:lineRule="auto"/>
            </w:pPr>
            <w:r>
              <w:t xml:space="preserve">There are a number of vehicles for social and affordable housing including the HDP process to identify surplus Government land for expression of interest with developers and CHPs.  </w:t>
            </w:r>
          </w:p>
          <w:p w14:paraId="150ECD6B" w14:textId="77777777" w:rsidR="00EC13DA" w:rsidRDefault="00EC13DA" w:rsidP="00EC13DA">
            <w:pPr>
              <w:spacing w:line="254" w:lineRule="auto"/>
            </w:pPr>
            <w:r>
              <w:t xml:space="preserve">State social housing development DA approvals are undertaken by the Department of Communities (if less than 30 dwellings) or the Western Australian Planning </w:t>
            </w:r>
            <w:r>
              <w:lastRenderedPageBreak/>
              <w:t xml:space="preserve">Commission (WAPC). </w:t>
            </w:r>
          </w:p>
          <w:p w14:paraId="45B005B3" w14:textId="73EB4FA5" w:rsidR="00EC13DA" w:rsidRDefault="00EC13DA" w:rsidP="00EC13DA">
            <w:pPr>
              <w:spacing w:before="60" w:line="256" w:lineRule="auto"/>
              <w:rPr>
                <w:rFonts w:cstheme="minorHAnsi"/>
              </w:rPr>
            </w:pPr>
            <w:r>
              <w:t>The Department of Planning, Lands and Heritage has a State Development Assessment Unit (SDAU) which assesses significant developments, including the Housing Diversity Pipeline sites.</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CD7813E" w14:textId="255B5B9D" w:rsidR="00EC13DA" w:rsidRDefault="00EC13DA" w:rsidP="00EC13DA">
            <w:pPr>
              <w:pStyle w:val="Milestonetable"/>
              <w:spacing w:line="254"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Ongoing from 2024</w:t>
            </w:r>
          </w:p>
        </w:tc>
      </w:tr>
      <w:tr w:rsidR="00E604EE" w14:paraId="40ED7855" w14:textId="77777777" w:rsidTr="002A1B09">
        <w:trPr>
          <w:trHeight w:val="1150"/>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772E66A3" w14:textId="77777777" w:rsidR="00E604EE" w:rsidRDefault="00E604EE" w:rsidP="00E604EE">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Work with Local Governments to deliver planning and land-use reforms that will make housing supply more responsive to demand over time, subject to further work agreed under the Accord.</w:t>
            </w:r>
          </w:p>
          <w:p w14:paraId="757BC346" w14:textId="77777777" w:rsidR="00E604EE" w:rsidRDefault="00E604EE" w:rsidP="00E604EE">
            <w:pPr>
              <w:pStyle w:val="Milestonetable"/>
              <w:spacing w:line="254" w:lineRule="auto"/>
              <w:rPr>
                <w:rFonts w:asciiTheme="minorHAnsi" w:hAnsiTheme="minorHAnsi" w:cstheme="minorHAnsi"/>
                <w:color w:val="auto"/>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27FF51B6" w14:textId="4A248276" w:rsidR="00E604EE" w:rsidRDefault="00E604EE" w:rsidP="00E604EE">
            <w:pPr>
              <w:spacing w:line="254" w:lineRule="auto"/>
            </w:pPr>
            <w:r>
              <w:rPr>
                <w:rFonts w:cstheme="minorHAnsi"/>
                <w:lang w:val="en-AU"/>
              </w:rPr>
              <w:t xml:space="preserve">As noted above, WA’s planning system is largely centralised.  Liaison and work with local governments is largely focused on improving consistency across local planning scheme, where appropriate, improving transparency and consistency across the planning system, and reducing unnecessary red tape in accordance with the 2019 Action Plan for Planning Reform.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8EE8192" w14:textId="75ADBD75" w:rsidR="00E604EE" w:rsidRDefault="00E604EE" w:rsidP="00E604EE">
            <w:pPr>
              <w:pStyle w:val="Milestonetable"/>
              <w:spacing w:line="254"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From 2024</w:t>
            </w:r>
          </w:p>
        </w:tc>
      </w:tr>
      <w:tr w:rsidR="00F646A5" w14:paraId="04381B2D" w14:textId="77777777" w:rsidTr="002A1B09">
        <w:trPr>
          <w:trHeight w:val="1150"/>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5EA279BA" w14:textId="77777777" w:rsidR="00F646A5" w:rsidRDefault="00F646A5" w:rsidP="00F646A5">
            <w:pPr>
              <w:pStyle w:val="Milestonetable"/>
              <w:spacing w:line="254"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Support the distribution of the Housing Australia Future Fund (HAFF).</w:t>
            </w:r>
          </w:p>
          <w:p w14:paraId="1A24C0C5" w14:textId="77777777" w:rsidR="00F646A5" w:rsidRDefault="00F646A5" w:rsidP="00F646A5">
            <w:pPr>
              <w:spacing w:line="254" w:lineRule="auto"/>
              <w:rPr>
                <w:rFonts w:cstheme="minorHAnsi"/>
                <w:color w:val="000000" w:themeColor="text1"/>
                <w:lang w:eastAsia="en-AU"/>
              </w:rPr>
            </w:pPr>
          </w:p>
          <w:p w14:paraId="00328E61" w14:textId="77777777" w:rsidR="00F646A5" w:rsidRDefault="00F646A5" w:rsidP="00F646A5">
            <w:pPr>
              <w:pStyle w:val="Milestonetable"/>
              <w:spacing w:line="254" w:lineRule="auto"/>
              <w:rPr>
                <w:rFonts w:asciiTheme="minorHAnsi" w:hAnsiTheme="minorHAnsi" w:cstheme="minorHAnsi"/>
                <w:color w:val="auto"/>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F040423" w14:textId="77777777" w:rsidR="00F646A5" w:rsidRDefault="00F646A5" w:rsidP="00F646A5">
            <w:pPr>
              <w:pStyle w:val="Milestonetable"/>
              <w:spacing w:line="254" w:lineRule="auto"/>
              <w:jc w:val="both"/>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WA is undertaking a range of initiatives which will support delivery of projects funded under the HAFF. In particular, the strategic identification of State Government-owned land, suitable for residential development and support to bring down the cost of development are anticipated to assist the overall financial viability of any HAFF-funded partnership project.</w:t>
            </w:r>
          </w:p>
          <w:p w14:paraId="2E8CC9A6" w14:textId="281F5988" w:rsidR="00F646A5" w:rsidRDefault="00F646A5" w:rsidP="00F646A5">
            <w:pPr>
              <w:spacing w:line="254" w:lineRule="auto"/>
              <w:rPr>
                <w:rFonts w:cstheme="minorHAnsi"/>
                <w:lang w:val="en-AU"/>
              </w:rPr>
            </w:pPr>
            <w:r>
              <w:rPr>
                <w:rFonts w:cstheme="minorHAnsi"/>
              </w:rPr>
              <w:t>WA continues to liaise with NHFIC to identify opportunities to align priorities to support effective distribution of HAFF funding and delivery of the Commonwealth’s commitments to deliver additional social and affordable houses.</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6A20B7CD" w14:textId="55BA6D54" w:rsidR="00F646A5" w:rsidRDefault="00F646A5" w:rsidP="00F646A5">
            <w:pPr>
              <w:pStyle w:val="Milestonetable"/>
              <w:spacing w:line="254"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To be confirmed</w:t>
            </w:r>
          </w:p>
        </w:tc>
      </w:tr>
      <w:tr w:rsidR="00AB3F65" w14:paraId="6320387D" w14:textId="77777777" w:rsidTr="002A1B09">
        <w:trPr>
          <w:trHeight w:val="1150"/>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43672031" w14:textId="77777777" w:rsidR="00AB3F65" w:rsidRDefault="00AB3F65" w:rsidP="00AB3F65">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Support building of a strong and sustainable Community Housing Provider sector.</w:t>
            </w:r>
          </w:p>
          <w:p w14:paraId="18AE2BAC" w14:textId="77777777" w:rsidR="00AB3F65" w:rsidRDefault="00AB3F65" w:rsidP="00AB3F65">
            <w:pPr>
              <w:pStyle w:val="Milestonetable"/>
              <w:spacing w:line="254" w:lineRule="auto"/>
              <w:rPr>
                <w:rFonts w:asciiTheme="minorHAnsi" w:hAnsiTheme="minorHAnsi" w:cstheme="minorHAnsi"/>
                <w:color w:val="000000" w:themeColor="text1"/>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664ADD2D" w14:textId="77777777" w:rsidR="00AB3F65" w:rsidRDefault="00AB3F65" w:rsidP="00AB3F65">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A Community Housing Partnership Steering Group (CHPSG) has been formed, with CHP representatives, to provide strategic advice to the Minister for Housing and Department of Communities on the future directions of the community housing sector and development of short, medium and long-term reform priorities.</w:t>
            </w:r>
          </w:p>
          <w:p w14:paraId="6113FE55" w14:textId="77777777" w:rsidR="00AB3F65" w:rsidRDefault="00AB3F65" w:rsidP="00AB3F65">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The Government is supporting WA CHP’s sustainability through the Social Housing Economic Recovery Program CHP grants program, which is providing funding to support new builds and refurbishment of existing dwellings for CHPs.</w:t>
            </w:r>
          </w:p>
          <w:p w14:paraId="5710EDCD" w14:textId="77777777" w:rsidR="00AB3F65" w:rsidRDefault="00AB3F65" w:rsidP="00AB3F65">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In 2022, the Government announced the procurement process for the Smith Street Ground Lease Pilot, for the Department of Communities to partner with a CHP or CHP-led consortium to establish an innovative Build-to-Rent housing development in Smith Street, Highgate, the site of a former social housing </w:t>
            </w:r>
            <w:r>
              <w:rPr>
                <w:rFonts w:asciiTheme="minorHAnsi" w:hAnsiTheme="minorHAnsi" w:cstheme="minorHAnsi"/>
                <w:color w:val="auto"/>
                <w:sz w:val="22"/>
                <w:szCs w:val="22"/>
                <w:lang w:eastAsia="en-US"/>
              </w:rPr>
              <w:lastRenderedPageBreak/>
              <w:t>apartment block. The successful CHP will provide integrated asset and tenancy management services under a Ground Lease for a period of up to 49 years.</w:t>
            </w:r>
          </w:p>
          <w:p w14:paraId="6CCE2672" w14:textId="3F7FB308" w:rsidR="00AB3F65" w:rsidRDefault="00AB3F65" w:rsidP="00AB3F65">
            <w:pPr>
              <w:pStyle w:val="Milestonetable"/>
              <w:spacing w:line="254" w:lineRule="auto"/>
              <w:jc w:val="both"/>
              <w:rPr>
                <w:rFonts w:asciiTheme="minorHAnsi" w:hAnsiTheme="minorHAnsi" w:cstheme="minorHAnsi"/>
                <w:color w:val="auto"/>
                <w:sz w:val="22"/>
                <w:szCs w:val="22"/>
                <w:lang w:eastAsia="en-US"/>
              </w:rPr>
            </w:pPr>
            <w:r w:rsidRPr="00AB3F65">
              <w:rPr>
                <w:rFonts w:asciiTheme="minorHAnsi" w:hAnsiTheme="minorHAnsi" w:cstheme="minorHAnsi"/>
                <w:color w:val="auto"/>
                <w:sz w:val="22"/>
                <w:szCs w:val="22"/>
                <w:lang w:eastAsia="en-US"/>
              </w:rPr>
              <w:t xml:space="preserve">The WA government is working with Shelter WA to identify those Aboriginal </w:t>
            </w:r>
            <w:proofErr w:type="spellStart"/>
            <w:r w:rsidRPr="00AB3F65">
              <w:rPr>
                <w:rFonts w:asciiTheme="minorHAnsi" w:hAnsiTheme="minorHAnsi" w:cstheme="minorHAnsi"/>
                <w:color w:val="auto"/>
                <w:sz w:val="22"/>
                <w:szCs w:val="22"/>
                <w:lang w:eastAsia="en-US"/>
              </w:rPr>
              <w:t>organisations</w:t>
            </w:r>
            <w:proofErr w:type="spellEnd"/>
            <w:r w:rsidRPr="00AB3F65">
              <w:rPr>
                <w:rFonts w:asciiTheme="minorHAnsi" w:hAnsiTheme="minorHAnsi" w:cstheme="minorHAnsi"/>
                <w:color w:val="auto"/>
                <w:sz w:val="22"/>
                <w:szCs w:val="22"/>
                <w:lang w:eastAsia="en-US"/>
              </w:rPr>
              <w:t xml:space="preserve"> providing housing and encourage them to become registered Community Housing Providers.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3BA5CFC3" w14:textId="2104006A" w:rsidR="00AB3F65" w:rsidRDefault="00AB3F65" w:rsidP="00AB3F65">
            <w:pPr>
              <w:pStyle w:val="Milestonetable"/>
              <w:spacing w:line="254"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Ongoing from 2024</w:t>
            </w:r>
          </w:p>
        </w:tc>
      </w:tr>
      <w:tr w:rsidR="00E876B6" w14:paraId="61ABC913" w14:textId="77777777" w:rsidTr="002A1B09">
        <w:trPr>
          <w:trHeight w:val="1150"/>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C49D8DD" w14:textId="77777777" w:rsidR="00E876B6" w:rsidRDefault="00E876B6" w:rsidP="00E876B6">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Ensure achievement of targets for social and affordable housing are met.</w:t>
            </w:r>
          </w:p>
          <w:p w14:paraId="0FD84902" w14:textId="77777777" w:rsidR="00E876B6" w:rsidRDefault="00E876B6" w:rsidP="00E876B6">
            <w:pPr>
              <w:pStyle w:val="Milestonetable"/>
              <w:spacing w:line="254" w:lineRule="auto"/>
              <w:rPr>
                <w:rFonts w:asciiTheme="minorHAnsi" w:hAnsiTheme="minorHAnsi" w:cstheme="minorHAnsi"/>
                <w:color w:val="auto"/>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8114E7C" w14:textId="77777777" w:rsidR="00E876B6" w:rsidRDefault="00E876B6" w:rsidP="00E876B6">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The Government has committed to deliver 4,000 additional social houses, with 1,300 delivered to date, on top of other residential housing focused programs.</w:t>
            </w:r>
          </w:p>
          <w:p w14:paraId="77758D37" w14:textId="1AFCA75E" w:rsidR="00E876B6" w:rsidRDefault="00E876B6" w:rsidP="00E876B6">
            <w:pPr>
              <w:pStyle w:val="Milestonetable"/>
              <w:spacing w:line="254"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The Government has established robust governance arrangements to oversee delivery of residential housing and land for residential housing through the cross-agency Residential Lands and Housing Delivery Steering Committee and Ministerial Oversight Committee. These committees bring relevant housing, planning, and land delivery focused agencies together with central agencies to provide comprehensive oversight.</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73B77FB9" w14:textId="69AD7D17" w:rsidR="00E876B6" w:rsidRDefault="00E876B6" w:rsidP="00E876B6">
            <w:pPr>
              <w:pStyle w:val="Milestonetable"/>
              <w:spacing w:line="254"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Ongoing</w:t>
            </w:r>
          </w:p>
        </w:tc>
      </w:tr>
    </w:tbl>
    <w:p w14:paraId="07D4DF7E" w14:textId="77777777" w:rsidR="000C3D17" w:rsidRDefault="000C3D17" w:rsidP="00205899"/>
    <w:p w14:paraId="268870E4" w14:textId="77777777" w:rsidR="0025680C" w:rsidRDefault="0025680C" w:rsidP="00205899"/>
    <w:p w14:paraId="00722381" w14:textId="77777777" w:rsidR="0025680C" w:rsidRDefault="0025680C" w:rsidP="00205899"/>
    <w:p w14:paraId="73892572" w14:textId="77777777" w:rsidR="0025680C" w:rsidRDefault="0025680C" w:rsidP="00205899"/>
    <w:p w14:paraId="7C3DE397" w14:textId="77777777" w:rsidR="0025680C" w:rsidRDefault="0025680C" w:rsidP="00205899"/>
    <w:p w14:paraId="5AB8CD55" w14:textId="77777777" w:rsidR="0025680C" w:rsidRDefault="0025680C" w:rsidP="00205899"/>
    <w:p w14:paraId="60AAAF2A" w14:textId="77777777" w:rsidR="0025680C" w:rsidRDefault="0025680C" w:rsidP="00205899"/>
    <w:p w14:paraId="4576C933" w14:textId="77777777" w:rsidR="0025680C" w:rsidRDefault="0025680C" w:rsidP="00205899"/>
    <w:p w14:paraId="2EA1CD91" w14:textId="77777777" w:rsidR="0025680C" w:rsidRDefault="0025680C" w:rsidP="00205899"/>
    <w:p w14:paraId="18A48553" w14:textId="77777777" w:rsidR="0025680C" w:rsidRDefault="0025680C" w:rsidP="00205899"/>
    <w:p w14:paraId="3965CFB2" w14:textId="77777777" w:rsidR="0025680C" w:rsidRDefault="0025680C" w:rsidP="00205899"/>
    <w:p w14:paraId="7FEEF4E1" w14:textId="77777777" w:rsidR="0025680C" w:rsidRDefault="0025680C" w:rsidP="00205899"/>
    <w:p w14:paraId="53543B74" w14:textId="77777777" w:rsidR="0025680C" w:rsidRDefault="0025680C" w:rsidP="00205899"/>
    <w:p w14:paraId="12849DA9" w14:textId="77777777" w:rsidR="0025680C" w:rsidRDefault="0025680C" w:rsidP="00205899"/>
    <w:p w14:paraId="571143E9" w14:textId="77777777" w:rsidR="000C3D17" w:rsidRDefault="000C3D17" w:rsidP="00205899"/>
    <w:p w14:paraId="2BF7C5D0" w14:textId="77777777" w:rsidR="000C3D17" w:rsidRDefault="000C3D17" w:rsidP="00205899"/>
    <w:p w14:paraId="6E882DF6" w14:textId="77777777" w:rsidR="000C3D17" w:rsidRDefault="000C3D17" w:rsidP="00205899"/>
    <w:p w14:paraId="6059AF60" w14:textId="77777777" w:rsidR="000C3D17" w:rsidRDefault="000C3D17" w:rsidP="00205899"/>
    <w:sectPr w:rsidR="000C3D17" w:rsidSect="00BF32A5">
      <w:headerReference w:type="even" r:id="rId12"/>
      <w:headerReference w:type="default" r:id="rId13"/>
      <w:head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828A" w14:textId="77777777" w:rsidR="00C750C5" w:rsidRDefault="00C750C5">
      <w:r>
        <w:separator/>
      </w:r>
    </w:p>
  </w:endnote>
  <w:endnote w:type="continuationSeparator" w:id="0">
    <w:p w14:paraId="44BA8490" w14:textId="77777777" w:rsidR="00C750C5" w:rsidRDefault="00C750C5">
      <w:r>
        <w:continuationSeparator/>
      </w:r>
    </w:p>
  </w:endnote>
  <w:endnote w:type="continuationNotice" w:id="1">
    <w:p w14:paraId="35EE64F3" w14:textId="77777777" w:rsidR="00C750C5" w:rsidRDefault="00C75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331" w14:textId="77777777" w:rsidR="00A34CAE"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2871"/>
      <w:docPartObj>
        <w:docPartGallery w:val="Page Numbers (Bottom of Page)"/>
        <w:docPartUnique/>
      </w:docPartObj>
    </w:sdtPr>
    <w:sdtEndPr>
      <w:rPr>
        <w:noProof/>
      </w:rPr>
    </w:sdtEndPr>
    <w:sdtContent>
      <w:p w14:paraId="3B92323E" w14:textId="0A0245FF" w:rsidR="00031C69" w:rsidRDefault="00031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278A2" w14:textId="1232A28A" w:rsidR="00A34CAE" w:rsidRPr="00431127" w:rsidRDefault="00A34CAE"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FE10" w14:textId="4CE51F71" w:rsidR="007426C8" w:rsidRPr="00431127" w:rsidRDefault="007426C8" w:rsidP="00431127">
    <w:pPr>
      <w:pStyle w:val="Footer"/>
      <w:jc w:val="center"/>
      <w:rPr>
        <w:b/>
        <w:bCs/>
        <w:color w:val="FF0000"/>
      </w:rPr>
    </w:pPr>
    <w:r w:rsidRPr="00431127">
      <w:rPr>
        <w:b/>
        <w:bCs/>
        <w:color w:val="FF0000"/>
      </w:rPr>
      <w:t>OFFICIAL</w:t>
    </w:r>
  </w:p>
  <w:p w14:paraId="078BD4B4" w14:textId="77777777" w:rsidR="00A34CAE" w:rsidRPr="00BE249A" w:rsidRDefault="00BE6529">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CBF3" w14:textId="77777777" w:rsidR="00C750C5" w:rsidRDefault="00C750C5">
      <w:r>
        <w:separator/>
      </w:r>
    </w:p>
  </w:footnote>
  <w:footnote w:type="continuationSeparator" w:id="0">
    <w:p w14:paraId="3D7B6054" w14:textId="77777777" w:rsidR="00C750C5" w:rsidRDefault="00C750C5">
      <w:r>
        <w:continuationSeparator/>
      </w:r>
    </w:p>
  </w:footnote>
  <w:footnote w:type="continuationNotice" w:id="1">
    <w:p w14:paraId="358E468B" w14:textId="77777777" w:rsidR="00C750C5" w:rsidRDefault="00C75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7BB" w14:textId="630CD238" w:rsidR="00B5493D" w:rsidRDefault="0016748A">
    <w:pPr>
      <w:pStyle w:val="Header"/>
    </w:pPr>
    <w:r>
      <w:rPr>
        <w:noProof/>
      </w:rPr>
      <mc:AlternateContent>
        <mc:Choice Requires="wps">
          <w:drawing>
            <wp:anchor distT="0" distB="0" distL="114300" distR="114300" simplePos="0" relativeHeight="251658241" behindDoc="1" locked="0" layoutInCell="0" allowOverlap="1" wp14:anchorId="75874FC9" wp14:editId="3FE49A37">
              <wp:simplePos x="0" y="0"/>
              <wp:positionH relativeFrom="margin">
                <wp:align>center</wp:align>
              </wp:positionH>
              <wp:positionV relativeFrom="margin">
                <wp:align>center</wp:align>
              </wp:positionV>
              <wp:extent cx="5050155" cy="303022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874FC9"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4E" w14:textId="63284502" w:rsidR="00A34CAE" w:rsidRPr="003351A4" w:rsidRDefault="0016748A">
    <w:pPr>
      <w:pStyle w:val="Header"/>
    </w:pPr>
    <w:r>
      <w:rPr>
        <w:noProof/>
      </w:rPr>
      <mc:AlternateContent>
        <mc:Choice Requires="wps">
          <w:drawing>
            <wp:anchor distT="0" distB="0" distL="114300" distR="114300" simplePos="0" relativeHeight="251658242" behindDoc="1" locked="0" layoutInCell="0" allowOverlap="1" wp14:anchorId="34B371FA" wp14:editId="3FFD1895">
              <wp:simplePos x="0" y="0"/>
              <wp:positionH relativeFrom="margin">
                <wp:align>center</wp:align>
              </wp:positionH>
              <wp:positionV relativeFrom="margin">
                <wp:align>center</wp:align>
              </wp:positionV>
              <wp:extent cx="5050155" cy="303022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371FA" id="_x0000_t202" coordsize="21600,21600" o:spt="202" path="m,l,21600r21600,l21600,xe">
              <v:stroke joinstyle="miter"/>
              <v:path gradientshapeok="t" o:connecttype="rect"/>
            </v:shapetype>
            <v:shape id="Text Box 5" o:spid="_x0000_s1027" type="#_x0000_t202" style="position:absolute;margin-left:0;margin-top:0;width:397.65pt;height:238.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4"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28"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ZHw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VXzWdKRmG9AHYh7Twmsefi+E6jJ7Z29AQosudcg2EeK+BKz+hOB9fAo0I8UIrFfdacEZh45&#10;ioo5YZMh6omAbEfB3ouOzbMTR6bj4ZHzETXddbAkFxuTBT3zHAVRFrPO8b9JYf/1PZ96/rsXPwE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KH/fZ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689083B2"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3"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29" type="#_x0000_t202" style="position:absolute;margin-left:0;margin-top:0;width:397.65pt;height:238.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aGHg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UXQSUdivgF1IO49JbDm4ftOoCa3d/YGKLDkXoNgHyniS8zqTwTWw6NAP1KIxH7VnRKYeeQo&#10;KuaETYaoJwKyHQV7Lzo2z04cmY6HR85H1HTXwZJcbEwW9MxzFERZzDrH/yaF/df3fOr57178BA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F5DNoY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9A2A4C"/>
    <w:multiLevelType w:val="multilevel"/>
    <w:tmpl w:val="CD1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DE0"/>
    <w:multiLevelType w:val="hybridMultilevel"/>
    <w:tmpl w:val="5A2A9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F531D"/>
    <w:multiLevelType w:val="hybridMultilevel"/>
    <w:tmpl w:val="AD981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200D"/>
    <w:multiLevelType w:val="multilevel"/>
    <w:tmpl w:val="B4E43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75DA6"/>
    <w:multiLevelType w:val="multilevel"/>
    <w:tmpl w:val="8E6678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4D587D"/>
    <w:multiLevelType w:val="hybridMultilevel"/>
    <w:tmpl w:val="FF96A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B7FE3"/>
    <w:multiLevelType w:val="hybridMultilevel"/>
    <w:tmpl w:val="682252E8"/>
    <w:lvl w:ilvl="0" w:tplc="5B96FA5C">
      <w:start w:val="1"/>
      <w:numFmt w:val="lowerLetter"/>
      <w:lvlText w:val="%1)"/>
      <w:lvlJc w:val="left"/>
      <w:pPr>
        <w:ind w:left="821" w:hanging="360"/>
      </w:pPr>
    </w:lvl>
    <w:lvl w:ilvl="1" w:tplc="0C090019">
      <w:start w:val="1"/>
      <w:numFmt w:val="lowerLetter"/>
      <w:lvlText w:val="%2."/>
      <w:lvlJc w:val="left"/>
      <w:pPr>
        <w:ind w:left="1541" w:hanging="360"/>
      </w:pPr>
    </w:lvl>
    <w:lvl w:ilvl="2" w:tplc="0C09001B">
      <w:start w:val="1"/>
      <w:numFmt w:val="lowerRoman"/>
      <w:lvlText w:val="%3."/>
      <w:lvlJc w:val="right"/>
      <w:pPr>
        <w:ind w:left="2261" w:hanging="180"/>
      </w:pPr>
    </w:lvl>
    <w:lvl w:ilvl="3" w:tplc="0C09000F">
      <w:start w:val="1"/>
      <w:numFmt w:val="decimal"/>
      <w:lvlText w:val="%4."/>
      <w:lvlJc w:val="left"/>
      <w:pPr>
        <w:ind w:left="2981" w:hanging="360"/>
      </w:pPr>
    </w:lvl>
    <w:lvl w:ilvl="4" w:tplc="0C090019">
      <w:start w:val="1"/>
      <w:numFmt w:val="lowerLetter"/>
      <w:lvlText w:val="%5."/>
      <w:lvlJc w:val="left"/>
      <w:pPr>
        <w:ind w:left="3701" w:hanging="360"/>
      </w:pPr>
    </w:lvl>
    <w:lvl w:ilvl="5" w:tplc="0C09001B">
      <w:start w:val="1"/>
      <w:numFmt w:val="lowerRoman"/>
      <w:lvlText w:val="%6."/>
      <w:lvlJc w:val="right"/>
      <w:pPr>
        <w:ind w:left="4421" w:hanging="180"/>
      </w:pPr>
    </w:lvl>
    <w:lvl w:ilvl="6" w:tplc="0C09000F">
      <w:start w:val="1"/>
      <w:numFmt w:val="decimal"/>
      <w:lvlText w:val="%7."/>
      <w:lvlJc w:val="left"/>
      <w:pPr>
        <w:ind w:left="5141" w:hanging="360"/>
      </w:pPr>
    </w:lvl>
    <w:lvl w:ilvl="7" w:tplc="0C090019">
      <w:start w:val="1"/>
      <w:numFmt w:val="lowerLetter"/>
      <w:lvlText w:val="%8."/>
      <w:lvlJc w:val="left"/>
      <w:pPr>
        <w:ind w:left="5861" w:hanging="360"/>
      </w:pPr>
    </w:lvl>
    <w:lvl w:ilvl="8" w:tplc="0C09001B">
      <w:start w:val="1"/>
      <w:numFmt w:val="lowerRoman"/>
      <w:lvlText w:val="%9."/>
      <w:lvlJc w:val="right"/>
      <w:pPr>
        <w:ind w:left="6581" w:hanging="180"/>
      </w:pPr>
    </w:lvl>
  </w:abstractNum>
  <w:abstractNum w:abstractNumId="11" w15:restartNumberingAfterBreak="0">
    <w:nsid w:val="3D940E72"/>
    <w:multiLevelType w:val="hybridMultilevel"/>
    <w:tmpl w:val="DCE25FAE"/>
    <w:lvl w:ilvl="0" w:tplc="F0A0B902">
      <w:start w:val="1"/>
      <w:numFmt w:val="bullet"/>
      <w:lvlText w:val=""/>
      <w:lvlJc w:val="left"/>
      <w:pPr>
        <w:ind w:left="360" w:hanging="360"/>
      </w:pPr>
      <w:rPr>
        <w:rFonts w:ascii="Symbol" w:hAnsi="Symbol" w:hint="default"/>
      </w:rPr>
    </w:lvl>
    <w:lvl w:ilvl="1" w:tplc="29FADB8C">
      <w:start w:val="1"/>
      <w:numFmt w:val="bullet"/>
      <w:lvlText w:val="o"/>
      <w:lvlJc w:val="left"/>
      <w:pPr>
        <w:ind w:left="1080" w:hanging="360"/>
      </w:pPr>
      <w:rPr>
        <w:rFonts w:ascii="Courier New" w:hAnsi="Courier New" w:cs="Courier New" w:hint="default"/>
      </w:rPr>
    </w:lvl>
    <w:lvl w:ilvl="2" w:tplc="2E5AB390">
      <w:start w:val="1"/>
      <w:numFmt w:val="bullet"/>
      <w:lvlText w:val=""/>
      <w:lvlJc w:val="left"/>
      <w:pPr>
        <w:ind w:left="1800" w:hanging="360"/>
      </w:pPr>
      <w:rPr>
        <w:rFonts w:ascii="Wingdings" w:hAnsi="Wingdings" w:hint="default"/>
      </w:rPr>
    </w:lvl>
    <w:lvl w:ilvl="3" w:tplc="3A507D00">
      <w:start w:val="1"/>
      <w:numFmt w:val="bullet"/>
      <w:lvlText w:val=""/>
      <w:lvlJc w:val="left"/>
      <w:pPr>
        <w:ind w:left="2520" w:hanging="360"/>
      </w:pPr>
      <w:rPr>
        <w:rFonts w:ascii="Symbol" w:hAnsi="Symbol" w:hint="default"/>
      </w:rPr>
    </w:lvl>
    <w:lvl w:ilvl="4" w:tplc="02445602">
      <w:start w:val="1"/>
      <w:numFmt w:val="bullet"/>
      <w:lvlText w:val="o"/>
      <w:lvlJc w:val="left"/>
      <w:pPr>
        <w:ind w:left="3240" w:hanging="360"/>
      </w:pPr>
      <w:rPr>
        <w:rFonts w:ascii="Courier New" w:hAnsi="Courier New" w:cs="Courier New" w:hint="default"/>
      </w:rPr>
    </w:lvl>
    <w:lvl w:ilvl="5" w:tplc="0C32414E">
      <w:start w:val="1"/>
      <w:numFmt w:val="bullet"/>
      <w:lvlText w:val=""/>
      <w:lvlJc w:val="left"/>
      <w:pPr>
        <w:ind w:left="3960" w:hanging="360"/>
      </w:pPr>
      <w:rPr>
        <w:rFonts w:ascii="Wingdings" w:hAnsi="Wingdings" w:hint="default"/>
      </w:rPr>
    </w:lvl>
    <w:lvl w:ilvl="6" w:tplc="E38AB696">
      <w:start w:val="1"/>
      <w:numFmt w:val="bullet"/>
      <w:lvlText w:val=""/>
      <w:lvlJc w:val="left"/>
      <w:pPr>
        <w:ind w:left="4680" w:hanging="360"/>
      </w:pPr>
      <w:rPr>
        <w:rFonts w:ascii="Symbol" w:hAnsi="Symbol" w:hint="default"/>
      </w:rPr>
    </w:lvl>
    <w:lvl w:ilvl="7" w:tplc="308E0D0E">
      <w:start w:val="1"/>
      <w:numFmt w:val="bullet"/>
      <w:lvlText w:val="o"/>
      <w:lvlJc w:val="left"/>
      <w:pPr>
        <w:ind w:left="5400" w:hanging="360"/>
      </w:pPr>
      <w:rPr>
        <w:rFonts w:ascii="Courier New" w:hAnsi="Courier New" w:cs="Courier New" w:hint="default"/>
      </w:rPr>
    </w:lvl>
    <w:lvl w:ilvl="8" w:tplc="270667BA">
      <w:start w:val="1"/>
      <w:numFmt w:val="bullet"/>
      <w:lvlText w:val=""/>
      <w:lvlJc w:val="left"/>
      <w:pPr>
        <w:ind w:left="6120" w:hanging="360"/>
      </w:pPr>
      <w:rPr>
        <w:rFonts w:ascii="Wingdings" w:hAnsi="Wingdings" w:hint="default"/>
      </w:rPr>
    </w:lvl>
  </w:abstractNum>
  <w:abstractNum w:abstractNumId="12" w15:restartNumberingAfterBreak="0">
    <w:nsid w:val="4159E841"/>
    <w:multiLevelType w:val="hybridMultilevel"/>
    <w:tmpl w:val="FFFFFFFF"/>
    <w:lvl w:ilvl="0" w:tplc="B42EDB04">
      <w:start w:val="1"/>
      <w:numFmt w:val="bullet"/>
      <w:lvlText w:val="-"/>
      <w:lvlJc w:val="left"/>
      <w:pPr>
        <w:ind w:left="720" w:hanging="360"/>
      </w:pPr>
      <w:rPr>
        <w:rFonts w:ascii="Calibri" w:hAnsi="Calibri" w:hint="default"/>
      </w:rPr>
    </w:lvl>
    <w:lvl w:ilvl="1" w:tplc="AC4C8C06">
      <w:start w:val="1"/>
      <w:numFmt w:val="bullet"/>
      <w:lvlText w:val="o"/>
      <w:lvlJc w:val="left"/>
      <w:pPr>
        <w:ind w:left="1440" w:hanging="360"/>
      </w:pPr>
      <w:rPr>
        <w:rFonts w:ascii="Courier New" w:hAnsi="Courier New" w:hint="default"/>
      </w:rPr>
    </w:lvl>
    <w:lvl w:ilvl="2" w:tplc="242E60D8">
      <w:start w:val="1"/>
      <w:numFmt w:val="bullet"/>
      <w:lvlText w:val=""/>
      <w:lvlJc w:val="left"/>
      <w:pPr>
        <w:ind w:left="2160" w:hanging="360"/>
      </w:pPr>
      <w:rPr>
        <w:rFonts w:ascii="Wingdings" w:hAnsi="Wingdings" w:hint="default"/>
      </w:rPr>
    </w:lvl>
    <w:lvl w:ilvl="3" w:tplc="D40C7502">
      <w:start w:val="1"/>
      <w:numFmt w:val="bullet"/>
      <w:lvlText w:val=""/>
      <w:lvlJc w:val="left"/>
      <w:pPr>
        <w:ind w:left="2880" w:hanging="360"/>
      </w:pPr>
      <w:rPr>
        <w:rFonts w:ascii="Symbol" w:hAnsi="Symbol" w:hint="default"/>
      </w:rPr>
    </w:lvl>
    <w:lvl w:ilvl="4" w:tplc="32CC29A4">
      <w:start w:val="1"/>
      <w:numFmt w:val="bullet"/>
      <w:lvlText w:val="o"/>
      <w:lvlJc w:val="left"/>
      <w:pPr>
        <w:ind w:left="3600" w:hanging="360"/>
      </w:pPr>
      <w:rPr>
        <w:rFonts w:ascii="Courier New" w:hAnsi="Courier New" w:hint="default"/>
      </w:rPr>
    </w:lvl>
    <w:lvl w:ilvl="5" w:tplc="C63C66A6">
      <w:start w:val="1"/>
      <w:numFmt w:val="bullet"/>
      <w:lvlText w:val=""/>
      <w:lvlJc w:val="left"/>
      <w:pPr>
        <w:ind w:left="4320" w:hanging="360"/>
      </w:pPr>
      <w:rPr>
        <w:rFonts w:ascii="Wingdings" w:hAnsi="Wingdings" w:hint="default"/>
      </w:rPr>
    </w:lvl>
    <w:lvl w:ilvl="6" w:tplc="4FC8FEC6">
      <w:start w:val="1"/>
      <w:numFmt w:val="bullet"/>
      <w:lvlText w:val=""/>
      <w:lvlJc w:val="left"/>
      <w:pPr>
        <w:ind w:left="5040" w:hanging="360"/>
      </w:pPr>
      <w:rPr>
        <w:rFonts w:ascii="Symbol" w:hAnsi="Symbol" w:hint="default"/>
      </w:rPr>
    </w:lvl>
    <w:lvl w:ilvl="7" w:tplc="904AF6CE">
      <w:start w:val="1"/>
      <w:numFmt w:val="bullet"/>
      <w:lvlText w:val="o"/>
      <w:lvlJc w:val="left"/>
      <w:pPr>
        <w:ind w:left="5760" w:hanging="360"/>
      </w:pPr>
      <w:rPr>
        <w:rFonts w:ascii="Courier New" w:hAnsi="Courier New" w:hint="default"/>
      </w:rPr>
    </w:lvl>
    <w:lvl w:ilvl="8" w:tplc="C43CB5D4">
      <w:start w:val="1"/>
      <w:numFmt w:val="bullet"/>
      <w:lvlText w:val=""/>
      <w:lvlJc w:val="left"/>
      <w:pPr>
        <w:ind w:left="6480" w:hanging="360"/>
      </w:pPr>
      <w:rPr>
        <w:rFonts w:ascii="Wingdings" w:hAnsi="Wingdings" w:hint="default"/>
      </w:rPr>
    </w:lvl>
  </w:abstractNum>
  <w:abstractNum w:abstractNumId="13" w15:restartNumberingAfterBreak="0">
    <w:nsid w:val="445DC9D3"/>
    <w:multiLevelType w:val="hybridMultilevel"/>
    <w:tmpl w:val="FFFFFFFF"/>
    <w:lvl w:ilvl="0" w:tplc="FDF2D31A">
      <w:start w:val="1"/>
      <w:numFmt w:val="bullet"/>
      <w:lvlText w:val="-"/>
      <w:lvlJc w:val="left"/>
      <w:pPr>
        <w:ind w:left="720" w:hanging="360"/>
      </w:pPr>
      <w:rPr>
        <w:rFonts w:ascii="Calibri" w:hAnsi="Calibri" w:hint="default"/>
      </w:rPr>
    </w:lvl>
    <w:lvl w:ilvl="1" w:tplc="0B2E401A">
      <w:start w:val="1"/>
      <w:numFmt w:val="bullet"/>
      <w:lvlText w:val="o"/>
      <w:lvlJc w:val="left"/>
      <w:pPr>
        <w:ind w:left="1440" w:hanging="360"/>
      </w:pPr>
      <w:rPr>
        <w:rFonts w:ascii="Courier New" w:hAnsi="Courier New" w:hint="default"/>
      </w:rPr>
    </w:lvl>
    <w:lvl w:ilvl="2" w:tplc="8F2C321E">
      <w:start w:val="1"/>
      <w:numFmt w:val="bullet"/>
      <w:lvlText w:val=""/>
      <w:lvlJc w:val="left"/>
      <w:pPr>
        <w:ind w:left="2160" w:hanging="360"/>
      </w:pPr>
      <w:rPr>
        <w:rFonts w:ascii="Wingdings" w:hAnsi="Wingdings" w:hint="default"/>
      </w:rPr>
    </w:lvl>
    <w:lvl w:ilvl="3" w:tplc="275AEA10">
      <w:start w:val="1"/>
      <w:numFmt w:val="bullet"/>
      <w:lvlText w:val=""/>
      <w:lvlJc w:val="left"/>
      <w:pPr>
        <w:ind w:left="2880" w:hanging="360"/>
      </w:pPr>
      <w:rPr>
        <w:rFonts w:ascii="Symbol" w:hAnsi="Symbol" w:hint="default"/>
      </w:rPr>
    </w:lvl>
    <w:lvl w:ilvl="4" w:tplc="2F3A52E0">
      <w:start w:val="1"/>
      <w:numFmt w:val="bullet"/>
      <w:lvlText w:val="o"/>
      <w:lvlJc w:val="left"/>
      <w:pPr>
        <w:ind w:left="3600" w:hanging="360"/>
      </w:pPr>
      <w:rPr>
        <w:rFonts w:ascii="Courier New" w:hAnsi="Courier New" w:hint="default"/>
      </w:rPr>
    </w:lvl>
    <w:lvl w:ilvl="5" w:tplc="D30C17B2">
      <w:start w:val="1"/>
      <w:numFmt w:val="bullet"/>
      <w:lvlText w:val=""/>
      <w:lvlJc w:val="left"/>
      <w:pPr>
        <w:ind w:left="4320" w:hanging="360"/>
      </w:pPr>
      <w:rPr>
        <w:rFonts w:ascii="Wingdings" w:hAnsi="Wingdings" w:hint="default"/>
      </w:rPr>
    </w:lvl>
    <w:lvl w:ilvl="6" w:tplc="75B874EC">
      <w:start w:val="1"/>
      <w:numFmt w:val="bullet"/>
      <w:lvlText w:val=""/>
      <w:lvlJc w:val="left"/>
      <w:pPr>
        <w:ind w:left="5040" w:hanging="360"/>
      </w:pPr>
      <w:rPr>
        <w:rFonts w:ascii="Symbol" w:hAnsi="Symbol" w:hint="default"/>
      </w:rPr>
    </w:lvl>
    <w:lvl w:ilvl="7" w:tplc="ECF6400C">
      <w:start w:val="1"/>
      <w:numFmt w:val="bullet"/>
      <w:lvlText w:val="o"/>
      <w:lvlJc w:val="left"/>
      <w:pPr>
        <w:ind w:left="5760" w:hanging="360"/>
      </w:pPr>
      <w:rPr>
        <w:rFonts w:ascii="Courier New" w:hAnsi="Courier New" w:hint="default"/>
      </w:rPr>
    </w:lvl>
    <w:lvl w:ilvl="8" w:tplc="772C6F7C">
      <w:start w:val="1"/>
      <w:numFmt w:val="bullet"/>
      <w:lvlText w:val=""/>
      <w:lvlJc w:val="left"/>
      <w:pPr>
        <w:ind w:left="6480" w:hanging="360"/>
      </w:pPr>
      <w:rPr>
        <w:rFonts w:ascii="Wingdings" w:hAnsi="Wingdings" w:hint="default"/>
      </w:rPr>
    </w:lvl>
  </w:abstractNum>
  <w:abstractNum w:abstractNumId="14"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BB66C4"/>
    <w:multiLevelType w:val="hybridMultilevel"/>
    <w:tmpl w:val="0E4E0F3C"/>
    <w:lvl w:ilvl="0" w:tplc="192646DE">
      <w:start w:val="3"/>
      <w:numFmt w:val="bullet"/>
      <w:lvlText w:val="-"/>
      <w:lvlJc w:val="left"/>
      <w:pPr>
        <w:ind w:left="720" w:hanging="36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42ABE"/>
    <w:multiLevelType w:val="hybridMultilevel"/>
    <w:tmpl w:val="C6A0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7C91"/>
    <w:multiLevelType w:val="hybridMultilevel"/>
    <w:tmpl w:val="528AD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106D5B"/>
    <w:multiLevelType w:val="hybridMultilevel"/>
    <w:tmpl w:val="955EBFCA"/>
    <w:lvl w:ilvl="0" w:tplc="4CDE76D4">
      <w:start w:val="1"/>
      <w:numFmt w:val="lowerRoman"/>
      <w:pStyle w:val="Reclistlevel1"/>
      <w:lvlText w:val="%1.)"/>
      <w:lvlJc w:val="right"/>
      <w:pPr>
        <w:ind w:left="831" w:hanging="360"/>
      </w:pPr>
      <w:rPr>
        <w:rFonts w:hint="default"/>
        <w:b/>
      </w:rPr>
    </w:lvl>
    <w:lvl w:ilvl="1" w:tplc="4C408FF2">
      <w:start w:val="1"/>
      <w:numFmt w:val="lowerLetter"/>
      <w:lvlText w:val="%2)"/>
      <w:lvlJc w:val="left"/>
      <w:pPr>
        <w:ind w:left="1911" w:hanging="360"/>
      </w:pPr>
      <w:rPr>
        <w:rFonts w:ascii="Arial" w:eastAsia="Times New Roman" w:hAnsi="Arial" w:cs="Times New Roman"/>
        <w:b/>
        <w:bCs w:val="0"/>
      </w:rPr>
    </w:lvl>
    <w:lvl w:ilvl="2" w:tplc="04F2FCD6" w:tentative="1">
      <w:start w:val="1"/>
      <w:numFmt w:val="lowerRoman"/>
      <w:lvlText w:val="%3."/>
      <w:lvlJc w:val="right"/>
      <w:pPr>
        <w:ind w:left="2631" w:hanging="180"/>
      </w:pPr>
    </w:lvl>
    <w:lvl w:ilvl="3" w:tplc="6A223B62" w:tentative="1">
      <w:start w:val="1"/>
      <w:numFmt w:val="decimal"/>
      <w:lvlText w:val="%4."/>
      <w:lvlJc w:val="left"/>
      <w:pPr>
        <w:ind w:left="3351" w:hanging="360"/>
      </w:pPr>
    </w:lvl>
    <w:lvl w:ilvl="4" w:tplc="9404F2BA" w:tentative="1">
      <w:start w:val="1"/>
      <w:numFmt w:val="lowerLetter"/>
      <w:lvlText w:val="%5."/>
      <w:lvlJc w:val="left"/>
      <w:pPr>
        <w:ind w:left="4071" w:hanging="360"/>
      </w:pPr>
    </w:lvl>
    <w:lvl w:ilvl="5" w:tplc="699AA14A" w:tentative="1">
      <w:start w:val="1"/>
      <w:numFmt w:val="lowerRoman"/>
      <w:lvlText w:val="%6."/>
      <w:lvlJc w:val="right"/>
      <w:pPr>
        <w:ind w:left="4791" w:hanging="180"/>
      </w:pPr>
    </w:lvl>
    <w:lvl w:ilvl="6" w:tplc="0A4085B2" w:tentative="1">
      <w:start w:val="1"/>
      <w:numFmt w:val="decimal"/>
      <w:lvlText w:val="%7."/>
      <w:lvlJc w:val="left"/>
      <w:pPr>
        <w:ind w:left="5511" w:hanging="360"/>
      </w:pPr>
    </w:lvl>
    <w:lvl w:ilvl="7" w:tplc="694AB04A" w:tentative="1">
      <w:start w:val="1"/>
      <w:numFmt w:val="lowerLetter"/>
      <w:lvlText w:val="%8."/>
      <w:lvlJc w:val="left"/>
      <w:pPr>
        <w:ind w:left="6231" w:hanging="360"/>
      </w:pPr>
    </w:lvl>
    <w:lvl w:ilvl="8" w:tplc="79C4D1DE" w:tentative="1">
      <w:start w:val="1"/>
      <w:numFmt w:val="lowerRoman"/>
      <w:lvlText w:val="%9."/>
      <w:lvlJc w:val="right"/>
      <w:pPr>
        <w:ind w:left="6951" w:hanging="180"/>
      </w:pPr>
    </w:lvl>
  </w:abstractNum>
  <w:abstractNum w:abstractNumId="19" w15:restartNumberingAfterBreak="0">
    <w:nsid w:val="67196ACE"/>
    <w:multiLevelType w:val="hybridMultilevel"/>
    <w:tmpl w:val="3EE2EF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1D7311"/>
    <w:multiLevelType w:val="hybridMultilevel"/>
    <w:tmpl w:val="62E09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22"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3"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4" w15:restartNumberingAfterBreak="0">
    <w:nsid w:val="74A51D7A"/>
    <w:multiLevelType w:val="multilevel"/>
    <w:tmpl w:val="1FC2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89F3E2F"/>
    <w:multiLevelType w:val="hybridMultilevel"/>
    <w:tmpl w:val="9D762AE2"/>
    <w:lvl w:ilvl="0" w:tplc="ADECBF26">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CC6B9B"/>
    <w:multiLevelType w:val="hybridMultilevel"/>
    <w:tmpl w:val="DE88CA34"/>
    <w:lvl w:ilvl="0" w:tplc="192646DE">
      <w:start w:val="3"/>
      <w:numFmt w:val="bullet"/>
      <w:lvlText w:val="-"/>
      <w:lvlJc w:val="left"/>
      <w:pPr>
        <w:ind w:left="720" w:hanging="360"/>
      </w:pPr>
      <w:rPr>
        <w:rFonts w:ascii="Corbel" w:eastAsia="Times New Roman" w:hAnsi="Corbe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5"/>
  </w:num>
  <w:num w:numId="4">
    <w:abstractNumId w:val="22"/>
  </w:num>
  <w:num w:numId="5">
    <w:abstractNumId w:val="22"/>
  </w:num>
  <w:num w:numId="6">
    <w:abstractNumId w:val="6"/>
  </w:num>
  <w:num w:numId="7">
    <w:abstractNumId w:val="2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1"/>
  </w:num>
  <w:num w:numId="13">
    <w:abstractNumId w:val="7"/>
  </w:num>
  <w:num w:numId="14">
    <w:abstractNumId w:val="5"/>
  </w:num>
  <w:num w:numId="15">
    <w:abstractNumId w:val="15"/>
  </w:num>
  <w:num w:numId="16">
    <w:abstractNumId w:val="18"/>
  </w:num>
  <w:num w:numId="17">
    <w:abstractNumId w:val="3"/>
  </w:num>
  <w:num w:numId="18">
    <w:abstractNumId w:val="1"/>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num>
  <w:num w:numId="27">
    <w:abstractNumId w:val="17"/>
  </w:num>
  <w:num w:numId="28">
    <w:abstractNumId w:val="26"/>
  </w:num>
  <w:num w:numId="29">
    <w:abstractNumId w:val="8"/>
  </w:num>
  <w:num w:numId="30">
    <w:abstractNumId w:val="24"/>
  </w:num>
  <w:num w:numId="31">
    <w:abstractNumId w:val="20"/>
  </w:num>
  <w:num w:numId="32">
    <w:abstractNumId w:val="1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42BA"/>
    <w:rsid w:val="00004FAF"/>
    <w:rsid w:val="00005B83"/>
    <w:rsid w:val="00005CA6"/>
    <w:rsid w:val="000068A1"/>
    <w:rsid w:val="00007C88"/>
    <w:rsid w:val="000109E6"/>
    <w:rsid w:val="000118EC"/>
    <w:rsid w:val="0001206E"/>
    <w:rsid w:val="00012BC0"/>
    <w:rsid w:val="00015960"/>
    <w:rsid w:val="00017FD9"/>
    <w:rsid w:val="0002285E"/>
    <w:rsid w:val="000229A6"/>
    <w:rsid w:val="00023411"/>
    <w:rsid w:val="0002375E"/>
    <w:rsid w:val="000242D2"/>
    <w:rsid w:val="000268B4"/>
    <w:rsid w:val="00026FB9"/>
    <w:rsid w:val="000270F0"/>
    <w:rsid w:val="00027EDB"/>
    <w:rsid w:val="0003000B"/>
    <w:rsid w:val="00030099"/>
    <w:rsid w:val="000300C4"/>
    <w:rsid w:val="00030650"/>
    <w:rsid w:val="00031C69"/>
    <w:rsid w:val="000340D2"/>
    <w:rsid w:val="00034A2F"/>
    <w:rsid w:val="00036041"/>
    <w:rsid w:val="0003608F"/>
    <w:rsid w:val="00036584"/>
    <w:rsid w:val="0004062F"/>
    <w:rsid w:val="00040D8C"/>
    <w:rsid w:val="00042B20"/>
    <w:rsid w:val="00043996"/>
    <w:rsid w:val="0004471F"/>
    <w:rsid w:val="00050EC7"/>
    <w:rsid w:val="0005174A"/>
    <w:rsid w:val="0005228B"/>
    <w:rsid w:val="00052E5D"/>
    <w:rsid w:val="0005343F"/>
    <w:rsid w:val="00057A04"/>
    <w:rsid w:val="0006193C"/>
    <w:rsid w:val="00061BE2"/>
    <w:rsid w:val="000620BB"/>
    <w:rsid w:val="0006215E"/>
    <w:rsid w:val="0006301A"/>
    <w:rsid w:val="000630BB"/>
    <w:rsid w:val="000639D4"/>
    <w:rsid w:val="00065160"/>
    <w:rsid w:val="0006578B"/>
    <w:rsid w:val="00065AFC"/>
    <w:rsid w:val="00070833"/>
    <w:rsid w:val="00071502"/>
    <w:rsid w:val="000726C2"/>
    <w:rsid w:val="00072823"/>
    <w:rsid w:val="00073561"/>
    <w:rsid w:val="00074592"/>
    <w:rsid w:val="00074926"/>
    <w:rsid w:val="00074952"/>
    <w:rsid w:val="000749B4"/>
    <w:rsid w:val="00074B20"/>
    <w:rsid w:val="00074CD9"/>
    <w:rsid w:val="00074D71"/>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1D30"/>
    <w:rsid w:val="00093179"/>
    <w:rsid w:val="0009433F"/>
    <w:rsid w:val="000961BC"/>
    <w:rsid w:val="0009ED1A"/>
    <w:rsid w:val="000A0CB2"/>
    <w:rsid w:val="000A0D1C"/>
    <w:rsid w:val="000A2367"/>
    <w:rsid w:val="000A2B8F"/>
    <w:rsid w:val="000A2CCE"/>
    <w:rsid w:val="000A4663"/>
    <w:rsid w:val="000A5712"/>
    <w:rsid w:val="000A79FF"/>
    <w:rsid w:val="000B0692"/>
    <w:rsid w:val="000B11B3"/>
    <w:rsid w:val="000B1289"/>
    <w:rsid w:val="000B2970"/>
    <w:rsid w:val="000B2E7B"/>
    <w:rsid w:val="000B3D30"/>
    <w:rsid w:val="000B5B85"/>
    <w:rsid w:val="000B657E"/>
    <w:rsid w:val="000B6B45"/>
    <w:rsid w:val="000C17F3"/>
    <w:rsid w:val="000C1F9B"/>
    <w:rsid w:val="000C1FB7"/>
    <w:rsid w:val="000C29ED"/>
    <w:rsid w:val="000C2E51"/>
    <w:rsid w:val="000C2F89"/>
    <w:rsid w:val="000C36B2"/>
    <w:rsid w:val="000C3A42"/>
    <w:rsid w:val="000C3D17"/>
    <w:rsid w:val="000C431C"/>
    <w:rsid w:val="000C5E60"/>
    <w:rsid w:val="000C6BEE"/>
    <w:rsid w:val="000C716D"/>
    <w:rsid w:val="000C7641"/>
    <w:rsid w:val="000C7BD5"/>
    <w:rsid w:val="000C7CB8"/>
    <w:rsid w:val="000D0E59"/>
    <w:rsid w:val="000D43D2"/>
    <w:rsid w:val="000D4563"/>
    <w:rsid w:val="000D4727"/>
    <w:rsid w:val="000D4C33"/>
    <w:rsid w:val="000D7E44"/>
    <w:rsid w:val="000E0535"/>
    <w:rsid w:val="000E07DF"/>
    <w:rsid w:val="000E1F70"/>
    <w:rsid w:val="000E43A6"/>
    <w:rsid w:val="000E49B8"/>
    <w:rsid w:val="000E525B"/>
    <w:rsid w:val="000E5E42"/>
    <w:rsid w:val="000E62B5"/>
    <w:rsid w:val="000E7C12"/>
    <w:rsid w:val="000E7E03"/>
    <w:rsid w:val="000F034A"/>
    <w:rsid w:val="000F06CC"/>
    <w:rsid w:val="000F1F84"/>
    <w:rsid w:val="000F22DA"/>
    <w:rsid w:val="000F326C"/>
    <w:rsid w:val="000F3708"/>
    <w:rsid w:val="000F3CF7"/>
    <w:rsid w:val="000F41FA"/>
    <w:rsid w:val="000F488D"/>
    <w:rsid w:val="000F4F21"/>
    <w:rsid w:val="000F5E82"/>
    <w:rsid w:val="00100643"/>
    <w:rsid w:val="00100720"/>
    <w:rsid w:val="00101B6C"/>
    <w:rsid w:val="00103150"/>
    <w:rsid w:val="00103A78"/>
    <w:rsid w:val="00107BA3"/>
    <w:rsid w:val="001118E6"/>
    <w:rsid w:val="00111DB0"/>
    <w:rsid w:val="001130DE"/>
    <w:rsid w:val="0011360D"/>
    <w:rsid w:val="00114B1E"/>
    <w:rsid w:val="00114B29"/>
    <w:rsid w:val="00115484"/>
    <w:rsid w:val="00116F83"/>
    <w:rsid w:val="00117D13"/>
    <w:rsid w:val="00120C35"/>
    <w:rsid w:val="00121AA3"/>
    <w:rsid w:val="00123859"/>
    <w:rsid w:val="00123C86"/>
    <w:rsid w:val="00125631"/>
    <w:rsid w:val="001256D6"/>
    <w:rsid w:val="00126C53"/>
    <w:rsid w:val="00126EF7"/>
    <w:rsid w:val="001271DB"/>
    <w:rsid w:val="00127B1A"/>
    <w:rsid w:val="001306F3"/>
    <w:rsid w:val="00132556"/>
    <w:rsid w:val="00133932"/>
    <w:rsid w:val="00135BA2"/>
    <w:rsid w:val="00136157"/>
    <w:rsid w:val="0014095C"/>
    <w:rsid w:val="00140FD3"/>
    <w:rsid w:val="00141254"/>
    <w:rsid w:val="0014272D"/>
    <w:rsid w:val="00142D76"/>
    <w:rsid w:val="001434DC"/>
    <w:rsid w:val="00143DF2"/>
    <w:rsid w:val="00143E75"/>
    <w:rsid w:val="00144624"/>
    <w:rsid w:val="001461AC"/>
    <w:rsid w:val="00151765"/>
    <w:rsid w:val="001517B8"/>
    <w:rsid w:val="00151BC2"/>
    <w:rsid w:val="00152D8C"/>
    <w:rsid w:val="00152E58"/>
    <w:rsid w:val="00152E66"/>
    <w:rsid w:val="001548F2"/>
    <w:rsid w:val="00160E49"/>
    <w:rsid w:val="001612CB"/>
    <w:rsid w:val="0016219C"/>
    <w:rsid w:val="00163458"/>
    <w:rsid w:val="00163BD9"/>
    <w:rsid w:val="0016614F"/>
    <w:rsid w:val="00166CE3"/>
    <w:rsid w:val="0016748A"/>
    <w:rsid w:val="00167647"/>
    <w:rsid w:val="00167F9A"/>
    <w:rsid w:val="0017287F"/>
    <w:rsid w:val="00173440"/>
    <w:rsid w:val="00175242"/>
    <w:rsid w:val="00175FD9"/>
    <w:rsid w:val="001769CD"/>
    <w:rsid w:val="00176E61"/>
    <w:rsid w:val="00177234"/>
    <w:rsid w:val="00177EEA"/>
    <w:rsid w:val="00181940"/>
    <w:rsid w:val="00182DBF"/>
    <w:rsid w:val="00183B34"/>
    <w:rsid w:val="001844DF"/>
    <w:rsid w:val="00185771"/>
    <w:rsid w:val="00185899"/>
    <w:rsid w:val="00186191"/>
    <w:rsid w:val="00190DD7"/>
    <w:rsid w:val="00192812"/>
    <w:rsid w:val="00192A44"/>
    <w:rsid w:val="00193169"/>
    <w:rsid w:val="00194C95"/>
    <w:rsid w:val="00195FF3"/>
    <w:rsid w:val="00196092"/>
    <w:rsid w:val="00196196"/>
    <w:rsid w:val="001962F8"/>
    <w:rsid w:val="00196BF1"/>
    <w:rsid w:val="0019706C"/>
    <w:rsid w:val="00197DD3"/>
    <w:rsid w:val="001A0142"/>
    <w:rsid w:val="001A08C2"/>
    <w:rsid w:val="001A48A7"/>
    <w:rsid w:val="001A57A9"/>
    <w:rsid w:val="001B0E30"/>
    <w:rsid w:val="001B182D"/>
    <w:rsid w:val="001B1842"/>
    <w:rsid w:val="001B32CA"/>
    <w:rsid w:val="001B384E"/>
    <w:rsid w:val="001B3CB7"/>
    <w:rsid w:val="001B3EA5"/>
    <w:rsid w:val="001B40C7"/>
    <w:rsid w:val="001B40E0"/>
    <w:rsid w:val="001B59DB"/>
    <w:rsid w:val="001C0976"/>
    <w:rsid w:val="001C250A"/>
    <w:rsid w:val="001C2848"/>
    <w:rsid w:val="001C3728"/>
    <w:rsid w:val="001C4EED"/>
    <w:rsid w:val="001C559A"/>
    <w:rsid w:val="001C5A3F"/>
    <w:rsid w:val="001C6AB8"/>
    <w:rsid w:val="001C6EFC"/>
    <w:rsid w:val="001C7A54"/>
    <w:rsid w:val="001D01EE"/>
    <w:rsid w:val="001D0B8F"/>
    <w:rsid w:val="001D15AF"/>
    <w:rsid w:val="001D2A8C"/>
    <w:rsid w:val="001D4285"/>
    <w:rsid w:val="001D5CB8"/>
    <w:rsid w:val="001D6608"/>
    <w:rsid w:val="001D6956"/>
    <w:rsid w:val="001E192B"/>
    <w:rsid w:val="001E2789"/>
    <w:rsid w:val="001E3D97"/>
    <w:rsid w:val="001E4868"/>
    <w:rsid w:val="001E6532"/>
    <w:rsid w:val="001E67E0"/>
    <w:rsid w:val="001F01F4"/>
    <w:rsid w:val="001F069D"/>
    <w:rsid w:val="001F0731"/>
    <w:rsid w:val="001F1871"/>
    <w:rsid w:val="001F19E5"/>
    <w:rsid w:val="001F1F6D"/>
    <w:rsid w:val="001F322C"/>
    <w:rsid w:val="001F412B"/>
    <w:rsid w:val="001F4E1C"/>
    <w:rsid w:val="001F63A1"/>
    <w:rsid w:val="001F675E"/>
    <w:rsid w:val="001F6815"/>
    <w:rsid w:val="001F7722"/>
    <w:rsid w:val="00200D51"/>
    <w:rsid w:val="00201C3C"/>
    <w:rsid w:val="00202B30"/>
    <w:rsid w:val="00203A26"/>
    <w:rsid w:val="002045B3"/>
    <w:rsid w:val="00205899"/>
    <w:rsid w:val="00205E24"/>
    <w:rsid w:val="00206040"/>
    <w:rsid w:val="002104BD"/>
    <w:rsid w:val="002108ED"/>
    <w:rsid w:val="00213192"/>
    <w:rsid w:val="00213A76"/>
    <w:rsid w:val="002170B5"/>
    <w:rsid w:val="00217D6C"/>
    <w:rsid w:val="00220851"/>
    <w:rsid w:val="00220C7A"/>
    <w:rsid w:val="00221E75"/>
    <w:rsid w:val="00222A83"/>
    <w:rsid w:val="002230EB"/>
    <w:rsid w:val="00224280"/>
    <w:rsid w:val="00224C8A"/>
    <w:rsid w:val="00224E7E"/>
    <w:rsid w:val="00225F94"/>
    <w:rsid w:val="00226BB9"/>
    <w:rsid w:val="00230257"/>
    <w:rsid w:val="00233CEB"/>
    <w:rsid w:val="00236531"/>
    <w:rsid w:val="00236E92"/>
    <w:rsid w:val="0023706F"/>
    <w:rsid w:val="00237224"/>
    <w:rsid w:val="002416D3"/>
    <w:rsid w:val="00241711"/>
    <w:rsid w:val="002423B8"/>
    <w:rsid w:val="00243487"/>
    <w:rsid w:val="00243597"/>
    <w:rsid w:val="00244A22"/>
    <w:rsid w:val="00244ADC"/>
    <w:rsid w:val="00245486"/>
    <w:rsid w:val="0024605D"/>
    <w:rsid w:val="00246677"/>
    <w:rsid w:val="002468C1"/>
    <w:rsid w:val="002471A6"/>
    <w:rsid w:val="00247D32"/>
    <w:rsid w:val="00251657"/>
    <w:rsid w:val="00251AC1"/>
    <w:rsid w:val="002526CB"/>
    <w:rsid w:val="0025680C"/>
    <w:rsid w:val="002568D0"/>
    <w:rsid w:val="002574D1"/>
    <w:rsid w:val="00261DDE"/>
    <w:rsid w:val="00261FF2"/>
    <w:rsid w:val="0026243D"/>
    <w:rsid w:val="00262CC7"/>
    <w:rsid w:val="00264BDF"/>
    <w:rsid w:val="00265E8B"/>
    <w:rsid w:val="0026647E"/>
    <w:rsid w:val="00271D96"/>
    <w:rsid w:val="0027444F"/>
    <w:rsid w:val="00275BE9"/>
    <w:rsid w:val="00276BA6"/>
    <w:rsid w:val="00281F6B"/>
    <w:rsid w:val="00282032"/>
    <w:rsid w:val="0028304E"/>
    <w:rsid w:val="00283C86"/>
    <w:rsid w:val="00285977"/>
    <w:rsid w:val="00292065"/>
    <w:rsid w:val="002941F7"/>
    <w:rsid w:val="0029509F"/>
    <w:rsid w:val="00295440"/>
    <w:rsid w:val="002966CE"/>
    <w:rsid w:val="00296D7F"/>
    <w:rsid w:val="002A0E00"/>
    <w:rsid w:val="002A0E33"/>
    <w:rsid w:val="002A1B09"/>
    <w:rsid w:val="002A2811"/>
    <w:rsid w:val="002A3064"/>
    <w:rsid w:val="002A3277"/>
    <w:rsid w:val="002A40F5"/>
    <w:rsid w:val="002A49DE"/>
    <w:rsid w:val="002A54BB"/>
    <w:rsid w:val="002A75C2"/>
    <w:rsid w:val="002A799B"/>
    <w:rsid w:val="002A7C12"/>
    <w:rsid w:val="002B082E"/>
    <w:rsid w:val="002B13BE"/>
    <w:rsid w:val="002B1477"/>
    <w:rsid w:val="002B24E7"/>
    <w:rsid w:val="002B52E9"/>
    <w:rsid w:val="002B6653"/>
    <w:rsid w:val="002B6F7F"/>
    <w:rsid w:val="002B74EF"/>
    <w:rsid w:val="002C057E"/>
    <w:rsid w:val="002C0903"/>
    <w:rsid w:val="002C0BC5"/>
    <w:rsid w:val="002C1B1D"/>
    <w:rsid w:val="002C2D7E"/>
    <w:rsid w:val="002C50C4"/>
    <w:rsid w:val="002D09C6"/>
    <w:rsid w:val="002D0A91"/>
    <w:rsid w:val="002D1369"/>
    <w:rsid w:val="002D413E"/>
    <w:rsid w:val="002D5DCA"/>
    <w:rsid w:val="002D6CF8"/>
    <w:rsid w:val="002D6E8B"/>
    <w:rsid w:val="002D7667"/>
    <w:rsid w:val="002E0502"/>
    <w:rsid w:val="002E1ED6"/>
    <w:rsid w:val="002E2465"/>
    <w:rsid w:val="002E31C8"/>
    <w:rsid w:val="002E6080"/>
    <w:rsid w:val="002E78A0"/>
    <w:rsid w:val="002F0665"/>
    <w:rsid w:val="002F0EA1"/>
    <w:rsid w:val="002F21C2"/>
    <w:rsid w:val="002F241F"/>
    <w:rsid w:val="002F3144"/>
    <w:rsid w:val="002F4261"/>
    <w:rsid w:val="002F78A8"/>
    <w:rsid w:val="00300401"/>
    <w:rsid w:val="00300D1D"/>
    <w:rsid w:val="00301D6B"/>
    <w:rsid w:val="00302FF0"/>
    <w:rsid w:val="003049FB"/>
    <w:rsid w:val="00305480"/>
    <w:rsid w:val="00305766"/>
    <w:rsid w:val="00306B6E"/>
    <w:rsid w:val="003109DA"/>
    <w:rsid w:val="003124FE"/>
    <w:rsid w:val="003128A1"/>
    <w:rsid w:val="00313B0A"/>
    <w:rsid w:val="00314537"/>
    <w:rsid w:val="00314E22"/>
    <w:rsid w:val="003150A1"/>
    <w:rsid w:val="00317756"/>
    <w:rsid w:val="00317879"/>
    <w:rsid w:val="00320C4A"/>
    <w:rsid w:val="003223DA"/>
    <w:rsid w:val="00323D4E"/>
    <w:rsid w:val="00324BA3"/>
    <w:rsid w:val="003252DE"/>
    <w:rsid w:val="00326524"/>
    <w:rsid w:val="00326CED"/>
    <w:rsid w:val="00327586"/>
    <w:rsid w:val="00327B71"/>
    <w:rsid w:val="00330237"/>
    <w:rsid w:val="003321D7"/>
    <w:rsid w:val="003326CE"/>
    <w:rsid w:val="00333272"/>
    <w:rsid w:val="0033570F"/>
    <w:rsid w:val="0033585A"/>
    <w:rsid w:val="0033602C"/>
    <w:rsid w:val="00336989"/>
    <w:rsid w:val="00336B0A"/>
    <w:rsid w:val="00337F41"/>
    <w:rsid w:val="00341444"/>
    <w:rsid w:val="00341AA9"/>
    <w:rsid w:val="0034251F"/>
    <w:rsid w:val="00342706"/>
    <w:rsid w:val="00342AC8"/>
    <w:rsid w:val="0034304E"/>
    <w:rsid w:val="003430E4"/>
    <w:rsid w:val="00345B0B"/>
    <w:rsid w:val="00345BAC"/>
    <w:rsid w:val="00346A0B"/>
    <w:rsid w:val="0034760D"/>
    <w:rsid w:val="00347F62"/>
    <w:rsid w:val="00352198"/>
    <w:rsid w:val="00352200"/>
    <w:rsid w:val="00354FC0"/>
    <w:rsid w:val="0035647D"/>
    <w:rsid w:val="00356B71"/>
    <w:rsid w:val="00357A47"/>
    <w:rsid w:val="0036004C"/>
    <w:rsid w:val="00361F3D"/>
    <w:rsid w:val="0036205D"/>
    <w:rsid w:val="00362E29"/>
    <w:rsid w:val="00367E78"/>
    <w:rsid w:val="00372C9C"/>
    <w:rsid w:val="0037460E"/>
    <w:rsid w:val="00375E11"/>
    <w:rsid w:val="003762D8"/>
    <w:rsid w:val="00376954"/>
    <w:rsid w:val="00380335"/>
    <w:rsid w:val="003804C8"/>
    <w:rsid w:val="003807C0"/>
    <w:rsid w:val="003809AD"/>
    <w:rsid w:val="0038199A"/>
    <w:rsid w:val="0038280C"/>
    <w:rsid w:val="00383320"/>
    <w:rsid w:val="00384E7C"/>
    <w:rsid w:val="00386818"/>
    <w:rsid w:val="00387942"/>
    <w:rsid w:val="00387D09"/>
    <w:rsid w:val="00390F79"/>
    <w:rsid w:val="00391E3A"/>
    <w:rsid w:val="0039312C"/>
    <w:rsid w:val="00393895"/>
    <w:rsid w:val="00396870"/>
    <w:rsid w:val="003970EA"/>
    <w:rsid w:val="003A012B"/>
    <w:rsid w:val="003A0AF4"/>
    <w:rsid w:val="003A1D2E"/>
    <w:rsid w:val="003A2F34"/>
    <w:rsid w:val="003A4E49"/>
    <w:rsid w:val="003A509C"/>
    <w:rsid w:val="003A7FF3"/>
    <w:rsid w:val="003B0505"/>
    <w:rsid w:val="003B159D"/>
    <w:rsid w:val="003B242A"/>
    <w:rsid w:val="003B4FC8"/>
    <w:rsid w:val="003B535D"/>
    <w:rsid w:val="003B5BDA"/>
    <w:rsid w:val="003C48CD"/>
    <w:rsid w:val="003C4F14"/>
    <w:rsid w:val="003C6418"/>
    <w:rsid w:val="003D219C"/>
    <w:rsid w:val="003D28C7"/>
    <w:rsid w:val="003D3482"/>
    <w:rsid w:val="003D3730"/>
    <w:rsid w:val="003D386A"/>
    <w:rsid w:val="003D3981"/>
    <w:rsid w:val="003D4C70"/>
    <w:rsid w:val="003E0077"/>
    <w:rsid w:val="003E0EF9"/>
    <w:rsid w:val="003E311A"/>
    <w:rsid w:val="003E345E"/>
    <w:rsid w:val="003E419E"/>
    <w:rsid w:val="003E4BB1"/>
    <w:rsid w:val="003E5A0A"/>
    <w:rsid w:val="003E611E"/>
    <w:rsid w:val="003E62AD"/>
    <w:rsid w:val="003E649D"/>
    <w:rsid w:val="003E6B69"/>
    <w:rsid w:val="003E6E6D"/>
    <w:rsid w:val="003F0165"/>
    <w:rsid w:val="003F04B1"/>
    <w:rsid w:val="003F059B"/>
    <w:rsid w:val="003F23BF"/>
    <w:rsid w:val="003F25DE"/>
    <w:rsid w:val="003F679D"/>
    <w:rsid w:val="003F75DB"/>
    <w:rsid w:val="003F788A"/>
    <w:rsid w:val="003F799F"/>
    <w:rsid w:val="00400A58"/>
    <w:rsid w:val="00401863"/>
    <w:rsid w:val="004024C6"/>
    <w:rsid w:val="00402578"/>
    <w:rsid w:val="00402D6B"/>
    <w:rsid w:val="00403339"/>
    <w:rsid w:val="00404885"/>
    <w:rsid w:val="00406079"/>
    <w:rsid w:val="00406AE6"/>
    <w:rsid w:val="00411242"/>
    <w:rsid w:val="00412B7B"/>
    <w:rsid w:val="00415625"/>
    <w:rsid w:val="00415CF0"/>
    <w:rsid w:val="00415E37"/>
    <w:rsid w:val="0041753F"/>
    <w:rsid w:val="0042014F"/>
    <w:rsid w:val="0042040D"/>
    <w:rsid w:val="004221C2"/>
    <w:rsid w:val="004231E5"/>
    <w:rsid w:val="00423F0B"/>
    <w:rsid w:val="00426CB2"/>
    <w:rsid w:val="00427198"/>
    <w:rsid w:val="00427B32"/>
    <w:rsid w:val="00430006"/>
    <w:rsid w:val="004300C6"/>
    <w:rsid w:val="004301F0"/>
    <w:rsid w:val="0043063A"/>
    <w:rsid w:val="00431127"/>
    <w:rsid w:val="00431DE0"/>
    <w:rsid w:val="00432DD7"/>
    <w:rsid w:val="00432F03"/>
    <w:rsid w:val="00435C6D"/>
    <w:rsid w:val="00435F5E"/>
    <w:rsid w:val="004400D6"/>
    <w:rsid w:val="004418C2"/>
    <w:rsid w:val="00441D6B"/>
    <w:rsid w:val="0044257B"/>
    <w:rsid w:val="004432BC"/>
    <w:rsid w:val="004439C6"/>
    <w:rsid w:val="00446C91"/>
    <w:rsid w:val="00450279"/>
    <w:rsid w:val="004525E2"/>
    <w:rsid w:val="0045708A"/>
    <w:rsid w:val="00457255"/>
    <w:rsid w:val="0046191D"/>
    <w:rsid w:val="00461A4C"/>
    <w:rsid w:val="00461DEF"/>
    <w:rsid w:val="00462935"/>
    <w:rsid w:val="00462CE0"/>
    <w:rsid w:val="00463C17"/>
    <w:rsid w:val="00467106"/>
    <w:rsid w:val="00470432"/>
    <w:rsid w:val="00470562"/>
    <w:rsid w:val="00470738"/>
    <w:rsid w:val="00471F24"/>
    <w:rsid w:val="00472496"/>
    <w:rsid w:val="00472625"/>
    <w:rsid w:val="0047456E"/>
    <w:rsid w:val="00474FF2"/>
    <w:rsid w:val="00475D4B"/>
    <w:rsid w:val="004764D1"/>
    <w:rsid w:val="00476E55"/>
    <w:rsid w:val="0047786C"/>
    <w:rsid w:val="0047798B"/>
    <w:rsid w:val="004801B5"/>
    <w:rsid w:val="004804CA"/>
    <w:rsid w:val="00481763"/>
    <w:rsid w:val="0048229A"/>
    <w:rsid w:val="0048567E"/>
    <w:rsid w:val="0048612B"/>
    <w:rsid w:val="00486254"/>
    <w:rsid w:val="004876FF"/>
    <w:rsid w:val="00490E7F"/>
    <w:rsid w:val="00493310"/>
    <w:rsid w:val="004939EB"/>
    <w:rsid w:val="004946A9"/>
    <w:rsid w:val="00494779"/>
    <w:rsid w:val="00494E23"/>
    <w:rsid w:val="0049526D"/>
    <w:rsid w:val="00495868"/>
    <w:rsid w:val="004962B6"/>
    <w:rsid w:val="004975D6"/>
    <w:rsid w:val="004A06A9"/>
    <w:rsid w:val="004A2846"/>
    <w:rsid w:val="004A3C4E"/>
    <w:rsid w:val="004A5E58"/>
    <w:rsid w:val="004A7273"/>
    <w:rsid w:val="004A7F1E"/>
    <w:rsid w:val="004B12DC"/>
    <w:rsid w:val="004B2861"/>
    <w:rsid w:val="004B30D2"/>
    <w:rsid w:val="004B3AF4"/>
    <w:rsid w:val="004B3DA5"/>
    <w:rsid w:val="004B5165"/>
    <w:rsid w:val="004B63DF"/>
    <w:rsid w:val="004B673A"/>
    <w:rsid w:val="004C19E5"/>
    <w:rsid w:val="004C1A76"/>
    <w:rsid w:val="004C1F27"/>
    <w:rsid w:val="004C2766"/>
    <w:rsid w:val="004C2D3C"/>
    <w:rsid w:val="004C3A15"/>
    <w:rsid w:val="004C5091"/>
    <w:rsid w:val="004C598A"/>
    <w:rsid w:val="004C6106"/>
    <w:rsid w:val="004D030E"/>
    <w:rsid w:val="004D19FC"/>
    <w:rsid w:val="004D34D7"/>
    <w:rsid w:val="004D3926"/>
    <w:rsid w:val="004D3C8B"/>
    <w:rsid w:val="004D456C"/>
    <w:rsid w:val="004D471C"/>
    <w:rsid w:val="004D49BF"/>
    <w:rsid w:val="004D5A31"/>
    <w:rsid w:val="004D7483"/>
    <w:rsid w:val="004D777E"/>
    <w:rsid w:val="004D7ACC"/>
    <w:rsid w:val="004E0266"/>
    <w:rsid w:val="004E17A9"/>
    <w:rsid w:val="004E4AC6"/>
    <w:rsid w:val="004F082C"/>
    <w:rsid w:val="004F0CB6"/>
    <w:rsid w:val="004F307B"/>
    <w:rsid w:val="004F3712"/>
    <w:rsid w:val="004F46A5"/>
    <w:rsid w:val="004F494C"/>
    <w:rsid w:val="004F78A5"/>
    <w:rsid w:val="005003D5"/>
    <w:rsid w:val="00501501"/>
    <w:rsid w:val="00502C46"/>
    <w:rsid w:val="005036AE"/>
    <w:rsid w:val="005058FF"/>
    <w:rsid w:val="00507A59"/>
    <w:rsid w:val="005105EC"/>
    <w:rsid w:val="005110A9"/>
    <w:rsid w:val="00511756"/>
    <w:rsid w:val="00511CED"/>
    <w:rsid w:val="0051233D"/>
    <w:rsid w:val="005144F1"/>
    <w:rsid w:val="005159A1"/>
    <w:rsid w:val="00515ED5"/>
    <w:rsid w:val="00516778"/>
    <w:rsid w:val="00516B7D"/>
    <w:rsid w:val="005204CB"/>
    <w:rsid w:val="00522FBC"/>
    <w:rsid w:val="00523316"/>
    <w:rsid w:val="00523DD2"/>
    <w:rsid w:val="00525DD0"/>
    <w:rsid w:val="0052766C"/>
    <w:rsid w:val="0053002C"/>
    <w:rsid w:val="00531B1A"/>
    <w:rsid w:val="00531CB8"/>
    <w:rsid w:val="00534D7F"/>
    <w:rsid w:val="0053595B"/>
    <w:rsid w:val="00540385"/>
    <w:rsid w:val="00540F26"/>
    <w:rsid w:val="00541C6C"/>
    <w:rsid w:val="0054209A"/>
    <w:rsid w:val="005421D6"/>
    <w:rsid w:val="0054244A"/>
    <w:rsid w:val="00542A07"/>
    <w:rsid w:val="0054499D"/>
    <w:rsid w:val="00544C99"/>
    <w:rsid w:val="00545702"/>
    <w:rsid w:val="00547581"/>
    <w:rsid w:val="005479C1"/>
    <w:rsid w:val="00550696"/>
    <w:rsid w:val="00551D3A"/>
    <w:rsid w:val="00552131"/>
    <w:rsid w:val="005523DE"/>
    <w:rsid w:val="0055339F"/>
    <w:rsid w:val="005538D2"/>
    <w:rsid w:val="00553D14"/>
    <w:rsid w:val="00554922"/>
    <w:rsid w:val="00555B2B"/>
    <w:rsid w:val="00555C07"/>
    <w:rsid w:val="0055637F"/>
    <w:rsid w:val="00561B2F"/>
    <w:rsid w:val="00561D72"/>
    <w:rsid w:val="00562D44"/>
    <w:rsid w:val="00563C1F"/>
    <w:rsid w:val="0056636B"/>
    <w:rsid w:val="00567498"/>
    <w:rsid w:val="00567D52"/>
    <w:rsid w:val="00571FAC"/>
    <w:rsid w:val="005729DC"/>
    <w:rsid w:val="005730A1"/>
    <w:rsid w:val="005733D0"/>
    <w:rsid w:val="00573720"/>
    <w:rsid w:val="00574C3E"/>
    <w:rsid w:val="005752AB"/>
    <w:rsid w:val="00576935"/>
    <w:rsid w:val="00580429"/>
    <w:rsid w:val="00580940"/>
    <w:rsid w:val="005810FC"/>
    <w:rsid w:val="00581E1F"/>
    <w:rsid w:val="005826B3"/>
    <w:rsid w:val="0058375B"/>
    <w:rsid w:val="00584C53"/>
    <w:rsid w:val="00584EBC"/>
    <w:rsid w:val="00585312"/>
    <w:rsid w:val="00585C31"/>
    <w:rsid w:val="00587778"/>
    <w:rsid w:val="005900C5"/>
    <w:rsid w:val="0059074E"/>
    <w:rsid w:val="005915BA"/>
    <w:rsid w:val="00592ADE"/>
    <w:rsid w:val="005941FD"/>
    <w:rsid w:val="0059486C"/>
    <w:rsid w:val="00595DBD"/>
    <w:rsid w:val="00595F78"/>
    <w:rsid w:val="005962B7"/>
    <w:rsid w:val="005A0F41"/>
    <w:rsid w:val="005A1959"/>
    <w:rsid w:val="005A281B"/>
    <w:rsid w:val="005A2F6C"/>
    <w:rsid w:val="005A3458"/>
    <w:rsid w:val="005A36F4"/>
    <w:rsid w:val="005B129F"/>
    <w:rsid w:val="005B1CC3"/>
    <w:rsid w:val="005B1EE0"/>
    <w:rsid w:val="005B2E56"/>
    <w:rsid w:val="005B39F1"/>
    <w:rsid w:val="005B3A26"/>
    <w:rsid w:val="005B3B2B"/>
    <w:rsid w:val="005B47A7"/>
    <w:rsid w:val="005B4F94"/>
    <w:rsid w:val="005B5908"/>
    <w:rsid w:val="005B6362"/>
    <w:rsid w:val="005C46D2"/>
    <w:rsid w:val="005C4DD4"/>
    <w:rsid w:val="005C5A7C"/>
    <w:rsid w:val="005D0AF0"/>
    <w:rsid w:val="005D0B1F"/>
    <w:rsid w:val="005D1137"/>
    <w:rsid w:val="005D5065"/>
    <w:rsid w:val="005D5875"/>
    <w:rsid w:val="005D6813"/>
    <w:rsid w:val="005D6C40"/>
    <w:rsid w:val="005D745C"/>
    <w:rsid w:val="005D7B32"/>
    <w:rsid w:val="005E0751"/>
    <w:rsid w:val="005E0932"/>
    <w:rsid w:val="005E15C2"/>
    <w:rsid w:val="005E1C85"/>
    <w:rsid w:val="005E1E39"/>
    <w:rsid w:val="005E2EF3"/>
    <w:rsid w:val="005E4BAD"/>
    <w:rsid w:val="005E6F28"/>
    <w:rsid w:val="005E7070"/>
    <w:rsid w:val="005E7B12"/>
    <w:rsid w:val="005F289F"/>
    <w:rsid w:val="005F2B80"/>
    <w:rsid w:val="005F3A72"/>
    <w:rsid w:val="005F4F80"/>
    <w:rsid w:val="005F77E3"/>
    <w:rsid w:val="00602992"/>
    <w:rsid w:val="00603E78"/>
    <w:rsid w:val="00604306"/>
    <w:rsid w:val="00605631"/>
    <w:rsid w:val="00606EFD"/>
    <w:rsid w:val="00607C7B"/>
    <w:rsid w:val="00607DAF"/>
    <w:rsid w:val="0061006C"/>
    <w:rsid w:val="00610858"/>
    <w:rsid w:val="006119C8"/>
    <w:rsid w:val="00611E66"/>
    <w:rsid w:val="006120AF"/>
    <w:rsid w:val="00613135"/>
    <w:rsid w:val="006140C7"/>
    <w:rsid w:val="006148FD"/>
    <w:rsid w:val="00616914"/>
    <w:rsid w:val="00616ADF"/>
    <w:rsid w:val="00617990"/>
    <w:rsid w:val="006206BA"/>
    <w:rsid w:val="0062423D"/>
    <w:rsid w:val="00625439"/>
    <w:rsid w:val="006258B4"/>
    <w:rsid w:val="00630FE5"/>
    <w:rsid w:val="00631000"/>
    <w:rsid w:val="00631944"/>
    <w:rsid w:val="006322E8"/>
    <w:rsid w:val="00632A7F"/>
    <w:rsid w:val="00634ADE"/>
    <w:rsid w:val="00636181"/>
    <w:rsid w:val="006373F9"/>
    <w:rsid w:val="006379C5"/>
    <w:rsid w:val="00640391"/>
    <w:rsid w:val="00642039"/>
    <w:rsid w:val="006420BA"/>
    <w:rsid w:val="00644AE8"/>
    <w:rsid w:val="0064620E"/>
    <w:rsid w:val="00647069"/>
    <w:rsid w:val="00650EA3"/>
    <w:rsid w:val="00650F07"/>
    <w:rsid w:val="006523BA"/>
    <w:rsid w:val="00652643"/>
    <w:rsid w:val="006529F6"/>
    <w:rsid w:val="006533AD"/>
    <w:rsid w:val="00655D1B"/>
    <w:rsid w:val="00655D52"/>
    <w:rsid w:val="006562E1"/>
    <w:rsid w:val="00657FFA"/>
    <w:rsid w:val="006623A7"/>
    <w:rsid w:val="00663C7A"/>
    <w:rsid w:val="00664871"/>
    <w:rsid w:val="00664FD5"/>
    <w:rsid w:val="006708FC"/>
    <w:rsid w:val="00671871"/>
    <w:rsid w:val="00672ECB"/>
    <w:rsid w:val="00673883"/>
    <w:rsid w:val="00674811"/>
    <w:rsid w:val="00674848"/>
    <w:rsid w:val="00675A6A"/>
    <w:rsid w:val="0067790E"/>
    <w:rsid w:val="00680EAB"/>
    <w:rsid w:val="00680F0D"/>
    <w:rsid w:val="006812B2"/>
    <w:rsid w:val="006816E3"/>
    <w:rsid w:val="00685797"/>
    <w:rsid w:val="0068637A"/>
    <w:rsid w:val="0069163F"/>
    <w:rsid w:val="00692A85"/>
    <w:rsid w:val="0069643F"/>
    <w:rsid w:val="006A16CD"/>
    <w:rsid w:val="006A1F30"/>
    <w:rsid w:val="006A2919"/>
    <w:rsid w:val="006A3228"/>
    <w:rsid w:val="006A3D5D"/>
    <w:rsid w:val="006A54A5"/>
    <w:rsid w:val="006A6F54"/>
    <w:rsid w:val="006A7835"/>
    <w:rsid w:val="006B0743"/>
    <w:rsid w:val="006B0A1A"/>
    <w:rsid w:val="006B3471"/>
    <w:rsid w:val="006B3BE8"/>
    <w:rsid w:val="006B4190"/>
    <w:rsid w:val="006B456F"/>
    <w:rsid w:val="006B58A5"/>
    <w:rsid w:val="006B5E0C"/>
    <w:rsid w:val="006B5E4B"/>
    <w:rsid w:val="006B6CEF"/>
    <w:rsid w:val="006B73C4"/>
    <w:rsid w:val="006C0098"/>
    <w:rsid w:val="006C0305"/>
    <w:rsid w:val="006C161F"/>
    <w:rsid w:val="006C1E20"/>
    <w:rsid w:val="006C1ED0"/>
    <w:rsid w:val="006C2B54"/>
    <w:rsid w:val="006C3F96"/>
    <w:rsid w:val="006C5C22"/>
    <w:rsid w:val="006C737D"/>
    <w:rsid w:val="006D1E94"/>
    <w:rsid w:val="006D3A34"/>
    <w:rsid w:val="006D44A2"/>
    <w:rsid w:val="006D46B2"/>
    <w:rsid w:val="006D4FEA"/>
    <w:rsid w:val="006D5834"/>
    <w:rsid w:val="006D5F7A"/>
    <w:rsid w:val="006D601B"/>
    <w:rsid w:val="006D7752"/>
    <w:rsid w:val="006D7DD0"/>
    <w:rsid w:val="006E0FE1"/>
    <w:rsid w:val="006E295D"/>
    <w:rsid w:val="006E2976"/>
    <w:rsid w:val="006E2F59"/>
    <w:rsid w:val="006E409D"/>
    <w:rsid w:val="006E454B"/>
    <w:rsid w:val="006E6489"/>
    <w:rsid w:val="006E67EE"/>
    <w:rsid w:val="006E752D"/>
    <w:rsid w:val="006F0B73"/>
    <w:rsid w:val="006F11AE"/>
    <w:rsid w:val="006F189F"/>
    <w:rsid w:val="006F291D"/>
    <w:rsid w:val="006F2968"/>
    <w:rsid w:val="006F318E"/>
    <w:rsid w:val="006F3752"/>
    <w:rsid w:val="006F4002"/>
    <w:rsid w:val="006F5271"/>
    <w:rsid w:val="006F58D1"/>
    <w:rsid w:val="006F59E7"/>
    <w:rsid w:val="006F5A02"/>
    <w:rsid w:val="006F5ED7"/>
    <w:rsid w:val="006F6377"/>
    <w:rsid w:val="006F69B4"/>
    <w:rsid w:val="006F7479"/>
    <w:rsid w:val="006F7A0B"/>
    <w:rsid w:val="00701560"/>
    <w:rsid w:val="00702CBD"/>
    <w:rsid w:val="00703DEF"/>
    <w:rsid w:val="007044AE"/>
    <w:rsid w:val="00711466"/>
    <w:rsid w:val="0071634C"/>
    <w:rsid w:val="00716973"/>
    <w:rsid w:val="0072083C"/>
    <w:rsid w:val="00720E5E"/>
    <w:rsid w:val="00725B2C"/>
    <w:rsid w:val="0072652D"/>
    <w:rsid w:val="0072789D"/>
    <w:rsid w:val="00727FC3"/>
    <w:rsid w:val="00734FA6"/>
    <w:rsid w:val="007375B9"/>
    <w:rsid w:val="007411EA"/>
    <w:rsid w:val="007426C8"/>
    <w:rsid w:val="00743E5A"/>
    <w:rsid w:val="00746992"/>
    <w:rsid w:val="0075258A"/>
    <w:rsid w:val="00752747"/>
    <w:rsid w:val="00754DAA"/>
    <w:rsid w:val="00755300"/>
    <w:rsid w:val="00756993"/>
    <w:rsid w:val="00757698"/>
    <w:rsid w:val="00761364"/>
    <w:rsid w:val="00761AF1"/>
    <w:rsid w:val="00762194"/>
    <w:rsid w:val="00762F07"/>
    <w:rsid w:val="00765D32"/>
    <w:rsid w:val="007662DC"/>
    <w:rsid w:val="007673E1"/>
    <w:rsid w:val="007679B2"/>
    <w:rsid w:val="00771868"/>
    <w:rsid w:val="007718BC"/>
    <w:rsid w:val="00771E18"/>
    <w:rsid w:val="00773BDC"/>
    <w:rsid w:val="00774A26"/>
    <w:rsid w:val="007758C3"/>
    <w:rsid w:val="00775CF0"/>
    <w:rsid w:val="007766A2"/>
    <w:rsid w:val="00780A32"/>
    <w:rsid w:val="007811FC"/>
    <w:rsid w:val="00781D55"/>
    <w:rsid w:val="00782681"/>
    <w:rsid w:val="00785E20"/>
    <w:rsid w:val="00787775"/>
    <w:rsid w:val="00787A4D"/>
    <w:rsid w:val="00791DD6"/>
    <w:rsid w:val="00792270"/>
    <w:rsid w:val="00792EBC"/>
    <w:rsid w:val="00795A18"/>
    <w:rsid w:val="00795D1E"/>
    <w:rsid w:val="00795ED7"/>
    <w:rsid w:val="00797D70"/>
    <w:rsid w:val="00797DCB"/>
    <w:rsid w:val="00797FF2"/>
    <w:rsid w:val="007A0A2E"/>
    <w:rsid w:val="007A0D21"/>
    <w:rsid w:val="007A1CDD"/>
    <w:rsid w:val="007A3FB0"/>
    <w:rsid w:val="007A6DB0"/>
    <w:rsid w:val="007A6DB8"/>
    <w:rsid w:val="007A7CA0"/>
    <w:rsid w:val="007B0079"/>
    <w:rsid w:val="007B094C"/>
    <w:rsid w:val="007B0B0C"/>
    <w:rsid w:val="007B157F"/>
    <w:rsid w:val="007B16F1"/>
    <w:rsid w:val="007B2E44"/>
    <w:rsid w:val="007B519F"/>
    <w:rsid w:val="007B5A10"/>
    <w:rsid w:val="007B7C64"/>
    <w:rsid w:val="007B7C89"/>
    <w:rsid w:val="007C09B0"/>
    <w:rsid w:val="007C25D7"/>
    <w:rsid w:val="007C287B"/>
    <w:rsid w:val="007C4C27"/>
    <w:rsid w:val="007C6819"/>
    <w:rsid w:val="007C6DFD"/>
    <w:rsid w:val="007D0065"/>
    <w:rsid w:val="007D4B8A"/>
    <w:rsid w:val="007D6C1E"/>
    <w:rsid w:val="007D7225"/>
    <w:rsid w:val="007E0024"/>
    <w:rsid w:val="007E0455"/>
    <w:rsid w:val="007E0795"/>
    <w:rsid w:val="007E10A3"/>
    <w:rsid w:val="007E1963"/>
    <w:rsid w:val="007E1981"/>
    <w:rsid w:val="007E3927"/>
    <w:rsid w:val="007E3AB8"/>
    <w:rsid w:val="007E58DE"/>
    <w:rsid w:val="007E5E20"/>
    <w:rsid w:val="007E61D2"/>
    <w:rsid w:val="007E7076"/>
    <w:rsid w:val="007F11E7"/>
    <w:rsid w:val="007F3C6E"/>
    <w:rsid w:val="007F3D0E"/>
    <w:rsid w:val="007F4609"/>
    <w:rsid w:val="007F49CA"/>
    <w:rsid w:val="007F592D"/>
    <w:rsid w:val="007F6DD3"/>
    <w:rsid w:val="0080028D"/>
    <w:rsid w:val="0080138A"/>
    <w:rsid w:val="00801914"/>
    <w:rsid w:val="0080212E"/>
    <w:rsid w:val="00803305"/>
    <w:rsid w:val="00803E14"/>
    <w:rsid w:val="008075EA"/>
    <w:rsid w:val="00807E9A"/>
    <w:rsid w:val="008123FC"/>
    <w:rsid w:val="00813911"/>
    <w:rsid w:val="008142A6"/>
    <w:rsid w:val="00814E49"/>
    <w:rsid w:val="008168ED"/>
    <w:rsid w:val="00816D08"/>
    <w:rsid w:val="00817BB1"/>
    <w:rsid w:val="0082147E"/>
    <w:rsid w:val="0082206E"/>
    <w:rsid w:val="0082284D"/>
    <w:rsid w:val="00822992"/>
    <w:rsid w:val="00822D1C"/>
    <w:rsid w:val="008231F4"/>
    <w:rsid w:val="00824974"/>
    <w:rsid w:val="00825E33"/>
    <w:rsid w:val="00827D63"/>
    <w:rsid w:val="00830468"/>
    <w:rsid w:val="00830C79"/>
    <w:rsid w:val="0083113E"/>
    <w:rsid w:val="0083148F"/>
    <w:rsid w:val="00831E07"/>
    <w:rsid w:val="0083249F"/>
    <w:rsid w:val="00832566"/>
    <w:rsid w:val="008350E2"/>
    <w:rsid w:val="0083517B"/>
    <w:rsid w:val="00836BAD"/>
    <w:rsid w:val="008409BB"/>
    <w:rsid w:val="00840DA7"/>
    <w:rsid w:val="008420AB"/>
    <w:rsid w:val="008423CC"/>
    <w:rsid w:val="008430C7"/>
    <w:rsid w:val="00844087"/>
    <w:rsid w:val="00844862"/>
    <w:rsid w:val="008459AB"/>
    <w:rsid w:val="008460CC"/>
    <w:rsid w:val="00846AFF"/>
    <w:rsid w:val="00847872"/>
    <w:rsid w:val="00850019"/>
    <w:rsid w:val="00851F9E"/>
    <w:rsid w:val="008530D9"/>
    <w:rsid w:val="008557E5"/>
    <w:rsid w:val="00855DF4"/>
    <w:rsid w:val="008561CD"/>
    <w:rsid w:val="0085641A"/>
    <w:rsid w:val="00856A26"/>
    <w:rsid w:val="00862645"/>
    <w:rsid w:val="008629C6"/>
    <w:rsid w:val="00864A2D"/>
    <w:rsid w:val="00864A56"/>
    <w:rsid w:val="008650CF"/>
    <w:rsid w:val="00866EE1"/>
    <w:rsid w:val="008700E9"/>
    <w:rsid w:val="00871A0E"/>
    <w:rsid w:val="0087375D"/>
    <w:rsid w:val="0087421B"/>
    <w:rsid w:val="00874A1F"/>
    <w:rsid w:val="00875146"/>
    <w:rsid w:val="00875E49"/>
    <w:rsid w:val="008766ED"/>
    <w:rsid w:val="00876E6D"/>
    <w:rsid w:val="00880C19"/>
    <w:rsid w:val="00880D5E"/>
    <w:rsid w:val="00881B7A"/>
    <w:rsid w:val="00882FD2"/>
    <w:rsid w:val="008852D2"/>
    <w:rsid w:val="008904AC"/>
    <w:rsid w:val="00894227"/>
    <w:rsid w:val="00894B9D"/>
    <w:rsid w:val="00894DD7"/>
    <w:rsid w:val="00894E64"/>
    <w:rsid w:val="00896822"/>
    <w:rsid w:val="008A0DEF"/>
    <w:rsid w:val="008A2BA6"/>
    <w:rsid w:val="008A3F54"/>
    <w:rsid w:val="008A6172"/>
    <w:rsid w:val="008B1026"/>
    <w:rsid w:val="008B19BC"/>
    <w:rsid w:val="008B257C"/>
    <w:rsid w:val="008B6029"/>
    <w:rsid w:val="008B677D"/>
    <w:rsid w:val="008B69E0"/>
    <w:rsid w:val="008B73E9"/>
    <w:rsid w:val="008B76CD"/>
    <w:rsid w:val="008C22CB"/>
    <w:rsid w:val="008C26F4"/>
    <w:rsid w:val="008C27E2"/>
    <w:rsid w:val="008C2A14"/>
    <w:rsid w:val="008C2BE7"/>
    <w:rsid w:val="008C32A4"/>
    <w:rsid w:val="008C3D92"/>
    <w:rsid w:val="008C5387"/>
    <w:rsid w:val="008C7D98"/>
    <w:rsid w:val="008D03B7"/>
    <w:rsid w:val="008D11DB"/>
    <w:rsid w:val="008D42D1"/>
    <w:rsid w:val="008D49AC"/>
    <w:rsid w:val="008D6B81"/>
    <w:rsid w:val="008D6DBB"/>
    <w:rsid w:val="008D73D7"/>
    <w:rsid w:val="008D7A1D"/>
    <w:rsid w:val="008D7EA3"/>
    <w:rsid w:val="008E0067"/>
    <w:rsid w:val="008E075A"/>
    <w:rsid w:val="008E1515"/>
    <w:rsid w:val="008E2CE5"/>
    <w:rsid w:val="008E3594"/>
    <w:rsid w:val="008E7C02"/>
    <w:rsid w:val="008E7C29"/>
    <w:rsid w:val="008F006B"/>
    <w:rsid w:val="008F1AF7"/>
    <w:rsid w:val="008F7BAC"/>
    <w:rsid w:val="008F7CF3"/>
    <w:rsid w:val="0090191B"/>
    <w:rsid w:val="00902456"/>
    <w:rsid w:val="00904DD2"/>
    <w:rsid w:val="00906184"/>
    <w:rsid w:val="00906FF5"/>
    <w:rsid w:val="00907F95"/>
    <w:rsid w:val="009109B7"/>
    <w:rsid w:val="009109E0"/>
    <w:rsid w:val="00911A92"/>
    <w:rsid w:val="00912EDA"/>
    <w:rsid w:val="009142E0"/>
    <w:rsid w:val="009153CD"/>
    <w:rsid w:val="009156C1"/>
    <w:rsid w:val="00915C00"/>
    <w:rsid w:val="0091633B"/>
    <w:rsid w:val="00916609"/>
    <w:rsid w:val="009201F5"/>
    <w:rsid w:val="00920928"/>
    <w:rsid w:val="00921123"/>
    <w:rsid w:val="009224A1"/>
    <w:rsid w:val="00922823"/>
    <w:rsid w:val="0092286B"/>
    <w:rsid w:val="009241F6"/>
    <w:rsid w:val="00924530"/>
    <w:rsid w:val="00925B16"/>
    <w:rsid w:val="0092628A"/>
    <w:rsid w:val="00930A8F"/>
    <w:rsid w:val="00930CCD"/>
    <w:rsid w:val="00930E66"/>
    <w:rsid w:val="00931CD4"/>
    <w:rsid w:val="00933336"/>
    <w:rsid w:val="00934779"/>
    <w:rsid w:val="0093770C"/>
    <w:rsid w:val="0093772D"/>
    <w:rsid w:val="0093797B"/>
    <w:rsid w:val="0094140E"/>
    <w:rsid w:val="009414A7"/>
    <w:rsid w:val="00941C4F"/>
    <w:rsid w:val="00942A1D"/>
    <w:rsid w:val="009431A7"/>
    <w:rsid w:val="00945EEF"/>
    <w:rsid w:val="00946057"/>
    <w:rsid w:val="009466DB"/>
    <w:rsid w:val="009469E4"/>
    <w:rsid w:val="00947F55"/>
    <w:rsid w:val="0095024E"/>
    <w:rsid w:val="00950AA5"/>
    <w:rsid w:val="00950F5B"/>
    <w:rsid w:val="00955356"/>
    <w:rsid w:val="00956303"/>
    <w:rsid w:val="0095632C"/>
    <w:rsid w:val="00956425"/>
    <w:rsid w:val="00956650"/>
    <w:rsid w:val="009575D2"/>
    <w:rsid w:val="00960577"/>
    <w:rsid w:val="0096297D"/>
    <w:rsid w:val="009636B0"/>
    <w:rsid w:val="009642EA"/>
    <w:rsid w:val="0096560F"/>
    <w:rsid w:val="00966835"/>
    <w:rsid w:val="00966941"/>
    <w:rsid w:val="0097130B"/>
    <w:rsid w:val="00972E5F"/>
    <w:rsid w:val="00974D83"/>
    <w:rsid w:val="00974EC9"/>
    <w:rsid w:val="00975CA5"/>
    <w:rsid w:val="009768AD"/>
    <w:rsid w:val="009774AB"/>
    <w:rsid w:val="009809C1"/>
    <w:rsid w:val="00981683"/>
    <w:rsid w:val="00982881"/>
    <w:rsid w:val="009829AB"/>
    <w:rsid w:val="009874E9"/>
    <w:rsid w:val="009907E3"/>
    <w:rsid w:val="00994959"/>
    <w:rsid w:val="00994C2E"/>
    <w:rsid w:val="00994C7F"/>
    <w:rsid w:val="009962E7"/>
    <w:rsid w:val="00996F16"/>
    <w:rsid w:val="009971B5"/>
    <w:rsid w:val="009A3132"/>
    <w:rsid w:val="009A3540"/>
    <w:rsid w:val="009B0126"/>
    <w:rsid w:val="009B2805"/>
    <w:rsid w:val="009B3447"/>
    <w:rsid w:val="009B5599"/>
    <w:rsid w:val="009B689D"/>
    <w:rsid w:val="009B6D43"/>
    <w:rsid w:val="009C0361"/>
    <w:rsid w:val="009C0AA1"/>
    <w:rsid w:val="009C0DCE"/>
    <w:rsid w:val="009C2984"/>
    <w:rsid w:val="009C3443"/>
    <w:rsid w:val="009C48E7"/>
    <w:rsid w:val="009C4F0C"/>
    <w:rsid w:val="009C5E62"/>
    <w:rsid w:val="009C6BD5"/>
    <w:rsid w:val="009D1F88"/>
    <w:rsid w:val="009D32FE"/>
    <w:rsid w:val="009D3932"/>
    <w:rsid w:val="009D47F7"/>
    <w:rsid w:val="009D48DA"/>
    <w:rsid w:val="009D5806"/>
    <w:rsid w:val="009E06BD"/>
    <w:rsid w:val="009E14A1"/>
    <w:rsid w:val="009E2795"/>
    <w:rsid w:val="009E40F7"/>
    <w:rsid w:val="009E5385"/>
    <w:rsid w:val="009E5D54"/>
    <w:rsid w:val="009E6640"/>
    <w:rsid w:val="009E7717"/>
    <w:rsid w:val="009E7927"/>
    <w:rsid w:val="009F2B16"/>
    <w:rsid w:val="009F3A69"/>
    <w:rsid w:val="009F4D5F"/>
    <w:rsid w:val="009F567C"/>
    <w:rsid w:val="009F5962"/>
    <w:rsid w:val="009F6756"/>
    <w:rsid w:val="00A00A8B"/>
    <w:rsid w:val="00A01ABF"/>
    <w:rsid w:val="00A01D0E"/>
    <w:rsid w:val="00A01D9A"/>
    <w:rsid w:val="00A02B94"/>
    <w:rsid w:val="00A036FE"/>
    <w:rsid w:val="00A04366"/>
    <w:rsid w:val="00A1287B"/>
    <w:rsid w:val="00A128F1"/>
    <w:rsid w:val="00A12DFF"/>
    <w:rsid w:val="00A163A8"/>
    <w:rsid w:val="00A169C2"/>
    <w:rsid w:val="00A16BFC"/>
    <w:rsid w:val="00A178F7"/>
    <w:rsid w:val="00A20B12"/>
    <w:rsid w:val="00A2217B"/>
    <w:rsid w:val="00A25C86"/>
    <w:rsid w:val="00A27655"/>
    <w:rsid w:val="00A27A93"/>
    <w:rsid w:val="00A27DA5"/>
    <w:rsid w:val="00A34CAE"/>
    <w:rsid w:val="00A354A2"/>
    <w:rsid w:val="00A355D1"/>
    <w:rsid w:val="00A36367"/>
    <w:rsid w:val="00A367B3"/>
    <w:rsid w:val="00A37BA9"/>
    <w:rsid w:val="00A4122B"/>
    <w:rsid w:val="00A416AC"/>
    <w:rsid w:val="00A42394"/>
    <w:rsid w:val="00A42721"/>
    <w:rsid w:val="00A43100"/>
    <w:rsid w:val="00A43F0C"/>
    <w:rsid w:val="00A4440A"/>
    <w:rsid w:val="00A45ABF"/>
    <w:rsid w:val="00A45D42"/>
    <w:rsid w:val="00A4787A"/>
    <w:rsid w:val="00A50CCD"/>
    <w:rsid w:val="00A53A7C"/>
    <w:rsid w:val="00A5460D"/>
    <w:rsid w:val="00A55843"/>
    <w:rsid w:val="00A570F4"/>
    <w:rsid w:val="00A57AEB"/>
    <w:rsid w:val="00A613AA"/>
    <w:rsid w:val="00A62AED"/>
    <w:rsid w:val="00A63193"/>
    <w:rsid w:val="00A7101C"/>
    <w:rsid w:val="00A71ED7"/>
    <w:rsid w:val="00A73C09"/>
    <w:rsid w:val="00A74867"/>
    <w:rsid w:val="00A748CD"/>
    <w:rsid w:val="00A76434"/>
    <w:rsid w:val="00A76795"/>
    <w:rsid w:val="00A76E61"/>
    <w:rsid w:val="00A80BB1"/>
    <w:rsid w:val="00A80F1E"/>
    <w:rsid w:val="00A816AE"/>
    <w:rsid w:val="00A81B70"/>
    <w:rsid w:val="00A81DA3"/>
    <w:rsid w:val="00A831DD"/>
    <w:rsid w:val="00A83B19"/>
    <w:rsid w:val="00A84245"/>
    <w:rsid w:val="00A842B0"/>
    <w:rsid w:val="00A849B8"/>
    <w:rsid w:val="00A874FD"/>
    <w:rsid w:val="00A877B8"/>
    <w:rsid w:val="00A87A32"/>
    <w:rsid w:val="00A90082"/>
    <w:rsid w:val="00A90789"/>
    <w:rsid w:val="00A916DF"/>
    <w:rsid w:val="00A9183F"/>
    <w:rsid w:val="00A948F5"/>
    <w:rsid w:val="00A963D9"/>
    <w:rsid w:val="00A97895"/>
    <w:rsid w:val="00AA136F"/>
    <w:rsid w:val="00AA153E"/>
    <w:rsid w:val="00AA3F4E"/>
    <w:rsid w:val="00AB108C"/>
    <w:rsid w:val="00AB2094"/>
    <w:rsid w:val="00AB2B9B"/>
    <w:rsid w:val="00AB3413"/>
    <w:rsid w:val="00AB3B09"/>
    <w:rsid w:val="00AB3F65"/>
    <w:rsid w:val="00AB436E"/>
    <w:rsid w:val="00AB4B11"/>
    <w:rsid w:val="00AB4EF9"/>
    <w:rsid w:val="00AB5FF5"/>
    <w:rsid w:val="00AB60A5"/>
    <w:rsid w:val="00AB6702"/>
    <w:rsid w:val="00AC118C"/>
    <w:rsid w:val="00AC3703"/>
    <w:rsid w:val="00AC4702"/>
    <w:rsid w:val="00AC5400"/>
    <w:rsid w:val="00AC70FC"/>
    <w:rsid w:val="00AC725F"/>
    <w:rsid w:val="00AC75BC"/>
    <w:rsid w:val="00AD0D4D"/>
    <w:rsid w:val="00AD10CC"/>
    <w:rsid w:val="00AD1AC9"/>
    <w:rsid w:val="00AD2CCE"/>
    <w:rsid w:val="00AD325F"/>
    <w:rsid w:val="00AD61CC"/>
    <w:rsid w:val="00AD6B25"/>
    <w:rsid w:val="00AE1565"/>
    <w:rsid w:val="00AE19AC"/>
    <w:rsid w:val="00AE1CBA"/>
    <w:rsid w:val="00AE1F14"/>
    <w:rsid w:val="00AE2031"/>
    <w:rsid w:val="00AE5C92"/>
    <w:rsid w:val="00AE6F4D"/>
    <w:rsid w:val="00AF0BA3"/>
    <w:rsid w:val="00AF0F7B"/>
    <w:rsid w:val="00AF110C"/>
    <w:rsid w:val="00AF12A0"/>
    <w:rsid w:val="00AF1C93"/>
    <w:rsid w:val="00AF1E0F"/>
    <w:rsid w:val="00AF2677"/>
    <w:rsid w:val="00AF3CB1"/>
    <w:rsid w:val="00AF3CF7"/>
    <w:rsid w:val="00AF4E51"/>
    <w:rsid w:val="00AF588F"/>
    <w:rsid w:val="00AF6002"/>
    <w:rsid w:val="00AF68AF"/>
    <w:rsid w:val="00B0063A"/>
    <w:rsid w:val="00B0102F"/>
    <w:rsid w:val="00B018D0"/>
    <w:rsid w:val="00B0205A"/>
    <w:rsid w:val="00B021B6"/>
    <w:rsid w:val="00B02A3B"/>
    <w:rsid w:val="00B02DFA"/>
    <w:rsid w:val="00B048FE"/>
    <w:rsid w:val="00B0643F"/>
    <w:rsid w:val="00B06BB0"/>
    <w:rsid w:val="00B07C2E"/>
    <w:rsid w:val="00B10409"/>
    <w:rsid w:val="00B10A6B"/>
    <w:rsid w:val="00B11706"/>
    <w:rsid w:val="00B11727"/>
    <w:rsid w:val="00B13D5F"/>
    <w:rsid w:val="00B14144"/>
    <w:rsid w:val="00B1475B"/>
    <w:rsid w:val="00B16D76"/>
    <w:rsid w:val="00B1781C"/>
    <w:rsid w:val="00B17CD9"/>
    <w:rsid w:val="00B20421"/>
    <w:rsid w:val="00B21D28"/>
    <w:rsid w:val="00B23572"/>
    <w:rsid w:val="00B24ACC"/>
    <w:rsid w:val="00B3057A"/>
    <w:rsid w:val="00B32173"/>
    <w:rsid w:val="00B323EF"/>
    <w:rsid w:val="00B32EB2"/>
    <w:rsid w:val="00B33560"/>
    <w:rsid w:val="00B33680"/>
    <w:rsid w:val="00B35FC2"/>
    <w:rsid w:val="00B362A7"/>
    <w:rsid w:val="00B363C9"/>
    <w:rsid w:val="00B422C1"/>
    <w:rsid w:val="00B43218"/>
    <w:rsid w:val="00B4393F"/>
    <w:rsid w:val="00B43F5D"/>
    <w:rsid w:val="00B4637E"/>
    <w:rsid w:val="00B46EC4"/>
    <w:rsid w:val="00B47402"/>
    <w:rsid w:val="00B50655"/>
    <w:rsid w:val="00B51991"/>
    <w:rsid w:val="00B533CC"/>
    <w:rsid w:val="00B54803"/>
    <w:rsid w:val="00B5493D"/>
    <w:rsid w:val="00B5544E"/>
    <w:rsid w:val="00B55F96"/>
    <w:rsid w:val="00B55FDD"/>
    <w:rsid w:val="00B5626E"/>
    <w:rsid w:val="00B60A3F"/>
    <w:rsid w:val="00B61347"/>
    <w:rsid w:val="00B618E2"/>
    <w:rsid w:val="00B64354"/>
    <w:rsid w:val="00B648CE"/>
    <w:rsid w:val="00B679EB"/>
    <w:rsid w:val="00B70098"/>
    <w:rsid w:val="00B70DAB"/>
    <w:rsid w:val="00B716C8"/>
    <w:rsid w:val="00B71F6A"/>
    <w:rsid w:val="00B722CE"/>
    <w:rsid w:val="00B72480"/>
    <w:rsid w:val="00B75109"/>
    <w:rsid w:val="00B75D7D"/>
    <w:rsid w:val="00B7610D"/>
    <w:rsid w:val="00B7621A"/>
    <w:rsid w:val="00B766C9"/>
    <w:rsid w:val="00B76962"/>
    <w:rsid w:val="00B7793E"/>
    <w:rsid w:val="00B820A6"/>
    <w:rsid w:val="00B85429"/>
    <w:rsid w:val="00B85835"/>
    <w:rsid w:val="00B85E87"/>
    <w:rsid w:val="00B85FCF"/>
    <w:rsid w:val="00B8622A"/>
    <w:rsid w:val="00B871AA"/>
    <w:rsid w:val="00B91203"/>
    <w:rsid w:val="00B9191C"/>
    <w:rsid w:val="00B922F0"/>
    <w:rsid w:val="00B94266"/>
    <w:rsid w:val="00B9622C"/>
    <w:rsid w:val="00B96461"/>
    <w:rsid w:val="00B9687D"/>
    <w:rsid w:val="00BA0D5C"/>
    <w:rsid w:val="00BA4BCB"/>
    <w:rsid w:val="00BA5E35"/>
    <w:rsid w:val="00BA78BB"/>
    <w:rsid w:val="00BB09A3"/>
    <w:rsid w:val="00BB22C6"/>
    <w:rsid w:val="00BB4CCE"/>
    <w:rsid w:val="00BB5B13"/>
    <w:rsid w:val="00BC3151"/>
    <w:rsid w:val="00BC3572"/>
    <w:rsid w:val="00BC5CE9"/>
    <w:rsid w:val="00BC64C4"/>
    <w:rsid w:val="00BC678D"/>
    <w:rsid w:val="00BC69D0"/>
    <w:rsid w:val="00BD1161"/>
    <w:rsid w:val="00BD1645"/>
    <w:rsid w:val="00BD1CF8"/>
    <w:rsid w:val="00BD2D2F"/>
    <w:rsid w:val="00BD3346"/>
    <w:rsid w:val="00BD33BC"/>
    <w:rsid w:val="00BD3894"/>
    <w:rsid w:val="00BD3D1F"/>
    <w:rsid w:val="00BD6745"/>
    <w:rsid w:val="00BD741A"/>
    <w:rsid w:val="00BE0EFC"/>
    <w:rsid w:val="00BE16E9"/>
    <w:rsid w:val="00BE1D03"/>
    <w:rsid w:val="00BE1D10"/>
    <w:rsid w:val="00BE264E"/>
    <w:rsid w:val="00BE3D7D"/>
    <w:rsid w:val="00BE447F"/>
    <w:rsid w:val="00BE4D5C"/>
    <w:rsid w:val="00BE6529"/>
    <w:rsid w:val="00BE6A60"/>
    <w:rsid w:val="00BE744C"/>
    <w:rsid w:val="00BE7EC5"/>
    <w:rsid w:val="00BF020F"/>
    <w:rsid w:val="00BF047A"/>
    <w:rsid w:val="00BF0AD6"/>
    <w:rsid w:val="00BF203E"/>
    <w:rsid w:val="00BF21D3"/>
    <w:rsid w:val="00BF2C60"/>
    <w:rsid w:val="00BF2CF3"/>
    <w:rsid w:val="00BF32A5"/>
    <w:rsid w:val="00BF5528"/>
    <w:rsid w:val="00BF66FA"/>
    <w:rsid w:val="00BF6B6E"/>
    <w:rsid w:val="00BF78AE"/>
    <w:rsid w:val="00BF7DBB"/>
    <w:rsid w:val="00C001E4"/>
    <w:rsid w:val="00C00917"/>
    <w:rsid w:val="00C00DD6"/>
    <w:rsid w:val="00C01B15"/>
    <w:rsid w:val="00C02FB4"/>
    <w:rsid w:val="00C03A56"/>
    <w:rsid w:val="00C06269"/>
    <w:rsid w:val="00C0731B"/>
    <w:rsid w:val="00C07493"/>
    <w:rsid w:val="00C10A02"/>
    <w:rsid w:val="00C14770"/>
    <w:rsid w:val="00C15C2C"/>
    <w:rsid w:val="00C16860"/>
    <w:rsid w:val="00C170D0"/>
    <w:rsid w:val="00C17B04"/>
    <w:rsid w:val="00C20B6B"/>
    <w:rsid w:val="00C20F0E"/>
    <w:rsid w:val="00C2388F"/>
    <w:rsid w:val="00C239B1"/>
    <w:rsid w:val="00C25A2B"/>
    <w:rsid w:val="00C301BC"/>
    <w:rsid w:val="00C3087B"/>
    <w:rsid w:val="00C30CE8"/>
    <w:rsid w:val="00C31AC8"/>
    <w:rsid w:val="00C32203"/>
    <w:rsid w:val="00C3232B"/>
    <w:rsid w:val="00C32AB5"/>
    <w:rsid w:val="00C33F3D"/>
    <w:rsid w:val="00C379D2"/>
    <w:rsid w:val="00C41C41"/>
    <w:rsid w:val="00C428DD"/>
    <w:rsid w:val="00C42BC3"/>
    <w:rsid w:val="00C44B32"/>
    <w:rsid w:val="00C45362"/>
    <w:rsid w:val="00C45C64"/>
    <w:rsid w:val="00C47C6B"/>
    <w:rsid w:val="00C50752"/>
    <w:rsid w:val="00C50AEA"/>
    <w:rsid w:val="00C50BAE"/>
    <w:rsid w:val="00C518C1"/>
    <w:rsid w:val="00C51E86"/>
    <w:rsid w:val="00C5317A"/>
    <w:rsid w:val="00C54713"/>
    <w:rsid w:val="00C60E35"/>
    <w:rsid w:val="00C60E42"/>
    <w:rsid w:val="00C61188"/>
    <w:rsid w:val="00C646E4"/>
    <w:rsid w:val="00C64BCA"/>
    <w:rsid w:val="00C67640"/>
    <w:rsid w:val="00C67C5E"/>
    <w:rsid w:val="00C750C5"/>
    <w:rsid w:val="00C76218"/>
    <w:rsid w:val="00C80261"/>
    <w:rsid w:val="00C80872"/>
    <w:rsid w:val="00C817AD"/>
    <w:rsid w:val="00C8204F"/>
    <w:rsid w:val="00C82CE4"/>
    <w:rsid w:val="00C82F1F"/>
    <w:rsid w:val="00C8306C"/>
    <w:rsid w:val="00C8313C"/>
    <w:rsid w:val="00C85808"/>
    <w:rsid w:val="00C8613C"/>
    <w:rsid w:val="00C87187"/>
    <w:rsid w:val="00C902AA"/>
    <w:rsid w:val="00C92607"/>
    <w:rsid w:val="00C94087"/>
    <w:rsid w:val="00C94DF5"/>
    <w:rsid w:val="00C95032"/>
    <w:rsid w:val="00C95D81"/>
    <w:rsid w:val="00C97D18"/>
    <w:rsid w:val="00CA04D3"/>
    <w:rsid w:val="00CA0B7F"/>
    <w:rsid w:val="00CA227B"/>
    <w:rsid w:val="00CA282F"/>
    <w:rsid w:val="00CA28D5"/>
    <w:rsid w:val="00CA3D74"/>
    <w:rsid w:val="00CA3DE8"/>
    <w:rsid w:val="00CA494D"/>
    <w:rsid w:val="00CA7977"/>
    <w:rsid w:val="00CB0420"/>
    <w:rsid w:val="00CB1BD5"/>
    <w:rsid w:val="00CB2420"/>
    <w:rsid w:val="00CB44A3"/>
    <w:rsid w:val="00CB453E"/>
    <w:rsid w:val="00CB552A"/>
    <w:rsid w:val="00CB5686"/>
    <w:rsid w:val="00CB58F0"/>
    <w:rsid w:val="00CB5EAB"/>
    <w:rsid w:val="00CB7135"/>
    <w:rsid w:val="00CB71F1"/>
    <w:rsid w:val="00CB7EF6"/>
    <w:rsid w:val="00CC08AD"/>
    <w:rsid w:val="00CC123D"/>
    <w:rsid w:val="00CC323D"/>
    <w:rsid w:val="00CC35DB"/>
    <w:rsid w:val="00CC376A"/>
    <w:rsid w:val="00CC4C8F"/>
    <w:rsid w:val="00CC59D2"/>
    <w:rsid w:val="00CD0489"/>
    <w:rsid w:val="00CD07C5"/>
    <w:rsid w:val="00CD34D3"/>
    <w:rsid w:val="00CD3DD8"/>
    <w:rsid w:val="00CD4AD5"/>
    <w:rsid w:val="00CD4E48"/>
    <w:rsid w:val="00CD6944"/>
    <w:rsid w:val="00CE2DE2"/>
    <w:rsid w:val="00CE3300"/>
    <w:rsid w:val="00CE36F1"/>
    <w:rsid w:val="00CE38A5"/>
    <w:rsid w:val="00CE58A8"/>
    <w:rsid w:val="00CE7132"/>
    <w:rsid w:val="00CE7BCC"/>
    <w:rsid w:val="00CF11AA"/>
    <w:rsid w:val="00CF1479"/>
    <w:rsid w:val="00CF33E9"/>
    <w:rsid w:val="00CF3C2E"/>
    <w:rsid w:val="00CF3F3C"/>
    <w:rsid w:val="00CF424D"/>
    <w:rsid w:val="00CF4C4C"/>
    <w:rsid w:val="00CF5B5D"/>
    <w:rsid w:val="00D0071A"/>
    <w:rsid w:val="00D014CC"/>
    <w:rsid w:val="00D01FC6"/>
    <w:rsid w:val="00D03712"/>
    <w:rsid w:val="00D04503"/>
    <w:rsid w:val="00D04B5D"/>
    <w:rsid w:val="00D055E6"/>
    <w:rsid w:val="00D06894"/>
    <w:rsid w:val="00D06A97"/>
    <w:rsid w:val="00D07815"/>
    <w:rsid w:val="00D131C8"/>
    <w:rsid w:val="00D14895"/>
    <w:rsid w:val="00D1489C"/>
    <w:rsid w:val="00D149A9"/>
    <w:rsid w:val="00D16A5D"/>
    <w:rsid w:val="00D17D7C"/>
    <w:rsid w:val="00D22B50"/>
    <w:rsid w:val="00D2653B"/>
    <w:rsid w:val="00D274A7"/>
    <w:rsid w:val="00D27DE2"/>
    <w:rsid w:val="00D34E07"/>
    <w:rsid w:val="00D3564A"/>
    <w:rsid w:val="00D37144"/>
    <w:rsid w:val="00D37CE2"/>
    <w:rsid w:val="00D4024C"/>
    <w:rsid w:val="00D419A9"/>
    <w:rsid w:val="00D41EE9"/>
    <w:rsid w:val="00D445A2"/>
    <w:rsid w:val="00D45CDE"/>
    <w:rsid w:val="00D51F97"/>
    <w:rsid w:val="00D52CB8"/>
    <w:rsid w:val="00D537ED"/>
    <w:rsid w:val="00D56369"/>
    <w:rsid w:val="00D6027A"/>
    <w:rsid w:val="00D619B8"/>
    <w:rsid w:val="00D6311B"/>
    <w:rsid w:val="00D643F5"/>
    <w:rsid w:val="00D64796"/>
    <w:rsid w:val="00D64D41"/>
    <w:rsid w:val="00D663B0"/>
    <w:rsid w:val="00D70FB3"/>
    <w:rsid w:val="00D730ED"/>
    <w:rsid w:val="00D738C9"/>
    <w:rsid w:val="00D73BA9"/>
    <w:rsid w:val="00D75830"/>
    <w:rsid w:val="00D760B9"/>
    <w:rsid w:val="00D77EEC"/>
    <w:rsid w:val="00D8133F"/>
    <w:rsid w:val="00D815D9"/>
    <w:rsid w:val="00D819F1"/>
    <w:rsid w:val="00D82DD8"/>
    <w:rsid w:val="00D83234"/>
    <w:rsid w:val="00D8412F"/>
    <w:rsid w:val="00D845DE"/>
    <w:rsid w:val="00D85E59"/>
    <w:rsid w:val="00D86A2E"/>
    <w:rsid w:val="00D86FA9"/>
    <w:rsid w:val="00D871D7"/>
    <w:rsid w:val="00D87C63"/>
    <w:rsid w:val="00D9422B"/>
    <w:rsid w:val="00D947B9"/>
    <w:rsid w:val="00D960B1"/>
    <w:rsid w:val="00D96717"/>
    <w:rsid w:val="00DA14B0"/>
    <w:rsid w:val="00DA4DB5"/>
    <w:rsid w:val="00DA6696"/>
    <w:rsid w:val="00DA66AD"/>
    <w:rsid w:val="00DA6AC7"/>
    <w:rsid w:val="00DA7374"/>
    <w:rsid w:val="00DA77AF"/>
    <w:rsid w:val="00DB0B98"/>
    <w:rsid w:val="00DB180D"/>
    <w:rsid w:val="00DB1D75"/>
    <w:rsid w:val="00DB243F"/>
    <w:rsid w:val="00DB28C5"/>
    <w:rsid w:val="00DB61FE"/>
    <w:rsid w:val="00DB7893"/>
    <w:rsid w:val="00DC0B59"/>
    <w:rsid w:val="00DC2972"/>
    <w:rsid w:val="00DC564B"/>
    <w:rsid w:val="00DC61F7"/>
    <w:rsid w:val="00DD2877"/>
    <w:rsid w:val="00DD3EC5"/>
    <w:rsid w:val="00DD4BDC"/>
    <w:rsid w:val="00DD4D5E"/>
    <w:rsid w:val="00DD79D1"/>
    <w:rsid w:val="00DE13E7"/>
    <w:rsid w:val="00DE2971"/>
    <w:rsid w:val="00DE4016"/>
    <w:rsid w:val="00DE4069"/>
    <w:rsid w:val="00DE47BA"/>
    <w:rsid w:val="00DE5260"/>
    <w:rsid w:val="00DE5582"/>
    <w:rsid w:val="00DE57C8"/>
    <w:rsid w:val="00DE60DE"/>
    <w:rsid w:val="00DF1E5C"/>
    <w:rsid w:val="00DF5E0D"/>
    <w:rsid w:val="00DF6BA8"/>
    <w:rsid w:val="00E00819"/>
    <w:rsid w:val="00E02748"/>
    <w:rsid w:val="00E02E52"/>
    <w:rsid w:val="00E033A6"/>
    <w:rsid w:val="00E0439F"/>
    <w:rsid w:val="00E063E1"/>
    <w:rsid w:val="00E06A11"/>
    <w:rsid w:val="00E06AE5"/>
    <w:rsid w:val="00E06C96"/>
    <w:rsid w:val="00E07409"/>
    <w:rsid w:val="00E1045C"/>
    <w:rsid w:val="00E11DB1"/>
    <w:rsid w:val="00E12F87"/>
    <w:rsid w:val="00E137AE"/>
    <w:rsid w:val="00E13E95"/>
    <w:rsid w:val="00E16B97"/>
    <w:rsid w:val="00E17909"/>
    <w:rsid w:val="00E20CE3"/>
    <w:rsid w:val="00E20F3E"/>
    <w:rsid w:val="00E21068"/>
    <w:rsid w:val="00E213DA"/>
    <w:rsid w:val="00E218EA"/>
    <w:rsid w:val="00E22EF4"/>
    <w:rsid w:val="00E2350D"/>
    <w:rsid w:val="00E241DF"/>
    <w:rsid w:val="00E2450D"/>
    <w:rsid w:val="00E26329"/>
    <w:rsid w:val="00E30280"/>
    <w:rsid w:val="00E343B9"/>
    <w:rsid w:val="00E34571"/>
    <w:rsid w:val="00E35949"/>
    <w:rsid w:val="00E36913"/>
    <w:rsid w:val="00E36D2A"/>
    <w:rsid w:val="00E414C5"/>
    <w:rsid w:val="00E422C0"/>
    <w:rsid w:val="00E42B79"/>
    <w:rsid w:val="00E4578F"/>
    <w:rsid w:val="00E46BB3"/>
    <w:rsid w:val="00E504C7"/>
    <w:rsid w:val="00E52015"/>
    <w:rsid w:val="00E52E75"/>
    <w:rsid w:val="00E54E7B"/>
    <w:rsid w:val="00E55A14"/>
    <w:rsid w:val="00E564F5"/>
    <w:rsid w:val="00E56B63"/>
    <w:rsid w:val="00E604EE"/>
    <w:rsid w:val="00E60607"/>
    <w:rsid w:val="00E6122F"/>
    <w:rsid w:val="00E6495B"/>
    <w:rsid w:val="00E64DB0"/>
    <w:rsid w:val="00E6641A"/>
    <w:rsid w:val="00E708A4"/>
    <w:rsid w:val="00E70CAD"/>
    <w:rsid w:val="00E70F33"/>
    <w:rsid w:val="00E70F68"/>
    <w:rsid w:val="00E727FD"/>
    <w:rsid w:val="00E73163"/>
    <w:rsid w:val="00E74808"/>
    <w:rsid w:val="00E74D3A"/>
    <w:rsid w:val="00E80443"/>
    <w:rsid w:val="00E80C44"/>
    <w:rsid w:val="00E812E0"/>
    <w:rsid w:val="00E81E98"/>
    <w:rsid w:val="00E84B3D"/>
    <w:rsid w:val="00E84B96"/>
    <w:rsid w:val="00E84E92"/>
    <w:rsid w:val="00E85569"/>
    <w:rsid w:val="00E86D07"/>
    <w:rsid w:val="00E876B6"/>
    <w:rsid w:val="00E903AE"/>
    <w:rsid w:val="00E91678"/>
    <w:rsid w:val="00E929F9"/>
    <w:rsid w:val="00E9456D"/>
    <w:rsid w:val="00E95494"/>
    <w:rsid w:val="00E96E50"/>
    <w:rsid w:val="00E97CE1"/>
    <w:rsid w:val="00EA2C22"/>
    <w:rsid w:val="00EA2DEA"/>
    <w:rsid w:val="00EA404E"/>
    <w:rsid w:val="00EA4872"/>
    <w:rsid w:val="00EA4AE9"/>
    <w:rsid w:val="00EA525C"/>
    <w:rsid w:val="00EA6DB7"/>
    <w:rsid w:val="00EB02C6"/>
    <w:rsid w:val="00EB122B"/>
    <w:rsid w:val="00EB2A35"/>
    <w:rsid w:val="00EB2CA1"/>
    <w:rsid w:val="00EB3273"/>
    <w:rsid w:val="00EB56B8"/>
    <w:rsid w:val="00EB589C"/>
    <w:rsid w:val="00EB6D6A"/>
    <w:rsid w:val="00EC13DA"/>
    <w:rsid w:val="00EC2EA0"/>
    <w:rsid w:val="00EC552B"/>
    <w:rsid w:val="00EC5888"/>
    <w:rsid w:val="00EC6516"/>
    <w:rsid w:val="00EC68F8"/>
    <w:rsid w:val="00EC6968"/>
    <w:rsid w:val="00ED1403"/>
    <w:rsid w:val="00ED2B68"/>
    <w:rsid w:val="00ED33F2"/>
    <w:rsid w:val="00ED61D3"/>
    <w:rsid w:val="00ED6635"/>
    <w:rsid w:val="00ED7369"/>
    <w:rsid w:val="00ED78A5"/>
    <w:rsid w:val="00ED7D35"/>
    <w:rsid w:val="00EE1968"/>
    <w:rsid w:val="00EE2CEB"/>
    <w:rsid w:val="00EE3829"/>
    <w:rsid w:val="00EE47EC"/>
    <w:rsid w:val="00EE63CD"/>
    <w:rsid w:val="00EE6D0B"/>
    <w:rsid w:val="00EE7417"/>
    <w:rsid w:val="00EF0344"/>
    <w:rsid w:val="00EF05FC"/>
    <w:rsid w:val="00EF1938"/>
    <w:rsid w:val="00EF2F90"/>
    <w:rsid w:val="00EF45C0"/>
    <w:rsid w:val="00EF5E0C"/>
    <w:rsid w:val="00EF7532"/>
    <w:rsid w:val="00F01668"/>
    <w:rsid w:val="00F02746"/>
    <w:rsid w:val="00F03859"/>
    <w:rsid w:val="00F041A9"/>
    <w:rsid w:val="00F12714"/>
    <w:rsid w:val="00F15050"/>
    <w:rsid w:val="00F15B9C"/>
    <w:rsid w:val="00F1613D"/>
    <w:rsid w:val="00F1671D"/>
    <w:rsid w:val="00F1717B"/>
    <w:rsid w:val="00F240C7"/>
    <w:rsid w:val="00F24A0B"/>
    <w:rsid w:val="00F26BE0"/>
    <w:rsid w:val="00F26DF2"/>
    <w:rsid w:val="00F3106C"/>
    <w:rsid w:val="00F31CC8"/>
    <w:rsid w:val="00F36068"/>
    <w:rsid w:val="00F3708F"/>
    <w:rsid w:val="00F40C4A"/>
    <w:rsid w:val="00F40F09"/>
    <w:rsid w:val="00F41D38"/>
    <w:rsid w:val="00F44770"/>
    <w:rsid w:val="00F44B49"/>
    <w:rsid w:val="00F44B61"/>
    <w:rsid w:val="00F473FA"/>
    <w:rsid w:val="00F47E46"/>
    <w:rsid w:val="00F47EC5"/>
    <w:rsid w:val="00F51636"/>
    <w:rsid w:val="00F518BB"/>
    <w:rsid w:val="00F52289"/>
    <w:rsid w:val="00F5260E"/>
    <w:rsid w:val="00F526A6"/>
    <w:rsid w:val="00F52801"/>
    <w:rsid w:val="00F5335E"/>
    <w:rsid w:val="00F542AF"/>
    <w:rsid w:val="00F54719"/>
    <w:rsid w:val="00F55888"/>
    <w:rsid w:val="00F578B8"/>
    <w:rsid w:val="00F605CA"/>
    <w:rsid w:val="00F61B23"/>
    <w:rsid w:val="00F6235B"/>
    <w:rsid w:val="00F6277C"/>
    <w:rsid w:val="00F62DDC"/>
    <w:rsid w:val="00F6372A"/>
    <w:rsid w:val="00F63F84"/>
    <w:rsid w:val="00F646A5"/>
    <w:rsid w:val="00F65816"/>
    <w:rsid w:val="00F65940"/>
    <w:rsid w:val="00F670A1"/>
    <w:rsid w:val="00F676FF"/>
    <w:rsid w:val="00F71437"/>
    <w:rsid w:val="00F719DB"/>
    <w:rsid w:val="00F71A86"/>
    <w:rsid w:val="00F7249C"/>
    <w:rsid w:val="00F72885"/>
    <w:rsid w:val="00F76AB1"/>
    <w:rsid w:val="00F7735E"/>
    <w:rsid w:val="00F804E3"/>
    <w:rsid w:val="00F80FCF"/>
    <w:rsid w:val="00F82701"/>
    <w:rsid w:val="00F845B6"/>
    <w:rsid w:val="00F84896"/>
    <w:rsid w:val="00F84C8C"/>
    <w:rsid w:val="00F85387"/>
    <w:rsid w:val="00F85647"/>
    <w:rsid w:val="00F86B4A"/>
    <w:rsid w:val="00F91636"/>
    <w:rsid w:val="00F91F16"/>
    <w:rsid w:val="00F925D4"/>
    <w:rsid w:val="00F9306F"/>
    <w:rsid w:val="00F95CCE"/>
    <w:rsid w:val="00F971F5"/>
    <w:rsid w:val="00F97340"/>
    <w:rsid w:val="00F97B34"/>
    <w:rsid w:val="00FA33C7"/>
    <w:rsid w:val="00FA3F5C"/>
    <w:rsid w:val="00FA5D4E"/>
    <w:rsid w:val="00FA6216"/>
    <w:rsid w:val="00FA6810"/>
    <w:rsid w:val="00FA6B8E"/>
    <w:rsid w:val="00FB0445"/>
    <w:rsid w:val="00FB0892"/>
    <w:rsid w:val="00FB0A4F"/>
    <w:rsid w:val="00FB3D78"/>
    <w:rsid w:val="00FB52AC"/>
    <w:rsid w:val="00FB68A7"/>
    <w:rsid w:val="00FB7063"/>
    <w:rsid w:val="00FC25F4"/>
    <w:rsid w:val="00FC3AE9"/>
    <w:rsid w:val="00FC6866"/>
    <w:rsid w:val="00FC7230"/>
    <w:rsid w:val="00FC7339"/>
    <w:rsid w:val="00FC7CC9"/>
    <w:rsid w:val="00FD142C"/>
    <w:rsid w:val="00FD5FBF"/>
    <w:rsid w:val="00FD61D6"/>
    <w:rsid w:val="00FD72DC"/>
    <w:rsid w:val="00FE1D86"/>
    <w:rsid w:val="00FE1D93"/>
    <w:rsid w:val="00FE26C2"/>
    <w:rsid w:val="00FE3681"/>
    <w:rsid w:val="00FE3859"/>
    <w:rsid w:val="00FE476B"/>
    <w:rsid w:val="00FE5A3E"/>
    <w:rsid w:val="00FE5B6F"/>
    <w:rsid w:val="00FE681F"/>
    <w:rsid w:val="00FE7F97"/>
    <w:rsid w:val="00FF04F9"/>
    <w:rsid w:val="00FF087D"/>
    <w:rsid w:val="00FF1FF8"/>
    <w:rsid w:val="00FF219B"/>
    <w:rsid w:val="00FF3522"/>
    <w:rsid w:val="00FF3A70"/>
    <w:rsid w:val="00FF41D5"/>
    <w:rsid w:val="00FF5B8D"/>
    <w:rsid w:val="00FF63F8"/>
    <w:rsid w:val="00FF65B5"/>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802BB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1F33126"/>
    <w:rsid w:val="22AA2796"/>
    <w:rsid w:val="231F7970"/>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AAE3B9"/>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B595C"/>
    <w:rsid w:val="337CC4EA"/>
    <w:rsid w:val="338B40A1"/>
    <w:rsid w:val="3475B4E3"/>
    <w:rsid w:val="34B6007B"/>
    <w:rsid w:val="34FE71E7"/>
    <w:rsid w:val="35B549CE"/>
    <w:rsid w:val="363BF7F3"/>
    <w:rsid w:val="3645CB81"/>
    <w:rsid w:val="3667E6D9"/>
    <w:rsid w:val="366C8145"/>
    <w:rsid w:val="367452AE"/>
    <w:rsid w:val="370C42E9"/>
    <w:rsid w:val="370ED8B1"/>
    <w:rsid w:val="372E7A2F"/>
    <w:rsid w:val="377DEA3E"/>
    <w:rsid w:val="37A4D44A"/>
    <w:rsid w:val="37BDC228"/>
    <w:rsid w:val="37CEBB0C"/>
    <w:rsid w:val="3828F10F"/>
    <w:rsid w:val="3853E7FE"/>
    <w:rsid w:val="38666912"/>
    <w:rsid w:val="3899349A"/>
    <w:rsid w:val="38ECDEE3"/>
    <w:rsid w:val="38F84516"/>
    <w:rsid w:val="39B196FB"/>
    <w:rsid w:val="3A2FFFEA"/>
    <w:rsid w:val="3AA38090"/>
    <w:rsid w:val="3AECD797"/>
    <w:rsid w:val="3B49DFD5"/>
    <w:rsid w:val="3BC7991A"/>
    <w:rsid w:val="3BCA001C"/>
    <w:rsid w:val="3BD60F89"/>
    <w:rsid w:val="3C0D5844"/>
    <w:rsid w:val="3C69E32C"/>
    <w:rsid w:val="3C851082"/>
    <w:rsid w:val="3C86B224"/>
    <w:rsid w:val="3C876199"/>
    <w:rsid w:val="3CA4D6E8"/>
    <w:rsid w:val="3CD4D3E2"/>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7A34D5"/>
    <w:rsid w:val="40827DC0"/>
    <w:rsid w:val="40A9E979"/>
    <w:rsid w:val="40C9C222"/>
    <w:rsid w:val="40E2C878"/>
    <w:rsid w:val="40EFBBFC"/>
    <w:rsid w:val="4100E7C0"/>
    <w:rsid w:val="410E0655"/>
    <w:rsid w:val="416013CE"/>
    <w:rsid w:val="41F650C4"/>
    <w:rsid w:val="41FDA3ED"/>
    <w:rsid w:val="42075750"/>
    <w:rsid w:val="4276419D"/>
    <w:rsid w:val="42B2C881"/>
    <w:rsid w:val="431C2CCE"/>
    <w:rsid w:val="435196C5"/>
    <w:rsid w:val="43EC28AD"/>
    <w:rsid w:val="4410C1CF"/>
    <w:rsid w:val="441B93A4"/>
    <w:rsid w:val="44FE65D7"/>
    <w:rsid w:val="4556090C"/>
    <w:rsid w:val="459BECA1"/>
    <w:rsid w:val="4637CC9E"/>
    <w:rsid w:val="46DEB20D"/>
    <w:rsid w:val="46FFB154"/>
    <w:rsid w:val="473F15D8"/>
    <w:rsid w:val="482FA39A"/>
    <w:rsid w:val="48459BC8"/>
    <w:rsid w:val="48FB2A89"/>
    <w:rsid w:val="495BA732"/>
    <w:rsid w:val="497C2553"/>
    <w:rsid w:val="49DB8559"/>
    <w:rsid w:val="4B7D97FE"/>
    <w:rsid w:val="4C16307E"/>
    <w:rsid w:val="4C2242A6"/>
    <w:rsid w:val="4D0811D5"/>
    <w:rsid w:val="4D663744"/>
    <w:rsid w:val="4D919DD9"/>
    <w:rsid w:val="4DE068A6"/>
    <w:rsid w:val="4DE8894F"/>
    <w:rsid w:val="4DF362B6"/>
    <w:rsid w:val="4EC1BF27"/>
    <w:rsid w:val="4EE0FAF2"/>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831AD4"/>
    <w:rsid w:val="56BD7F57"/>
    <w:rsid w:val="56E1A661"/>
    <w:rsid w:val="57B07801"/>
    <w:rsid w:val="58034FC8"/>
    <w:rsid w:val="58284293"/>
    <w:rsid w:val="587ECBD1"/>
    <w:rsid w:val="58B3B235"/>
    <w:rsid w:val="58F705DC"/>
    <w:rsid w:val="58FBC716"/>
    <w:rsid w:val="591C4678"/>
    <w:rsid w:val="59227724"/>
    <w:rsid w:val="59BF6BC3"/>
    <w:rsid w:val="59CF1A58"/>
    <w:rsid w:val="5A3E1111"/>
    <w:rsid w:val="5A682E95"/>
    <w:rsid w:val="5A7FF808"/>
    <w:rsid w:val="5ACC927B"/>
    <w:rsid w:val="5B86BE87"/>
    <w:rsid w:val="5C371A28"/>
    <w:rsid w:val="5C63CE12"/>
    <w:rsid w:val="5C6F51BC"/>
    <w:rsid w:val="5C8A6E39"/>
    <w:rsid w:val="5D467ABC"/>
    <w:rsid w:val="5DAB6DAF"/>
    <w:rsid w:val="5DF9B2EA"/>
    <w:rsid w:val="5E18E5C9"/>
    <w:rsid w:val="5E1B7606"/>
    <w:rsid w:val="5E71DBB2"/>
    <w:rsid w:val="5E9093F2"/>
    <w:rsid w:val="5F1AEC75"/>
    <w:rsid w:val="5F44A4D4"/>
    <w:rsid w:val="5F67D2FC"/>
    <w:rsid w:val="5F74CC8F"/>
    <w:rsid w:val="5F9F4676"/>
    <w:rsid w:val="5FA7A2B3"/>
    <w:rsid w:val="5FA8A15F"/>
    <w:rsid w:val="5FB0A18D"/>
    <w:rsid w:val="5FD25ADE"/>
    <w:rsid w:val="5FF6D2E4"/>
    <w:rsid w:val="6132DECA"/>
    <w:rsid w:val="6149C2F9"/>
    <w:rsid w:val="61789D8D"/>
    <w:rsid w:val="61C0B058"/>
    <w:rsid w:val="62251024"/>
    <w:rsid w:val="62351C3A"/>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8F4217"/>
    <w:rsid w:val="64B62192"/>
    <w:rsid w:val="6521B3E8"/>
    <w:rsid w:val="65287E19"/>
    <w:rsid w:val="6549A139"/>
    <w:rsid w:val="65BA065A"/>
    <w:rsid w:val="65F5A45E"/>
    <w:rsid w:val="661644C8"/>
    <w:rsid w:val="6631F522"/>
    <w:rsid w:val="6682BFD5"/>
    <w:rsid w:val="66939CF3"/>
    <w:rsid w:val="66CDBD0C"/>
    <w:rsid w:val="66F376E1"/>
    <w:rsid w:val="671E1E8F"/>
    <w:rsid w:val="6758372A"/>
    <w:rsid w:val="67AF9AA8"/>
    <w:rsid w:val="67ED04F3"/>
    <w:rsid w:val="68459C2D"/>
    <w:rsid w:val="688D0DF3"/>
    <w:rsid w:val="68DE0B3B"/>
    <w:rsid w:val="6916726B"/>
    <w:rsid w:val="691E921F"/>
    <w:rsid w:val="692F012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202C2C9"/>
    <w:rsid w:val="720E9254"/>
    <w:rsid w:val="72749BB7"/>
    <w:rsid w:val="72EDA15F"/>
    <w:rsid w:val="72EEEE9B"/>
    <w:rsid w:val="72FD1631"/>
    <w:rsid w:val="7364EDFF"/>
    <w:rsid w:val="737B3F8F"/>
    <w:rsid w:val="7383EF59"/>
    <w:rsid w:val="73965656"/>
    <w:rsid w:val="73F8402C"/>
    <w:rsid w:val="7469AB8A"/>
    <w:rsid w:val="74753A66"/>
    <w:rsid w:val="750CCEDF"/>
    <w:rsid w:val="751322AF"/>
    <w:rsid w:val="75F77FEF"/>
    <w:rsid w:val="75FDFA1F"/>
    <w:rsid w:val="764E087A"/>
    <w:rsid w:val="7715F7BC"/>
    <w:rsid w:val="77520869"/>
    <w:rsid w:val="775D598B"/>
    <w:rsid w:val="779072A9"/>
    <w:rsid w:val="7811C1E5"/>
    <w:rsid w:val="7883B722"/>
    <w:rsid w:val="789FF836"/>
    <w:rsid w:val="78E08F18"/>
    <w:rsid w:val="78FA7549"/>
    <w:rsid w:val="79149F3A"/>
    <w:rsid w:val="7914EC65"/>
    <w:rsid w:val="795D8BFE"/>
    <w:rsid w:val="7971F656"/>
    <w:rsid w:val="79AA9E98"/>
    <w:rsid w:val="7A934D4F"/>
    <w:rsid w:val="7AE446C1"/>
    <w:rsid w:val="7B0F03D3"/>
    <w:rsid w:val="7B16ECE4"/>
    <w:rsid w:val="7BFAB6E6"/>
    <w:rsid w:val="7C1475FD"/>
    <w:rsid w:val="7C199527"/>
    <w:rsid w:val="7C338619"/>
    <w:rsid w:val="7CDF5123"/>
    <w:rsid w:val="7D387E42"/>
    <w:rsid w:val="7D6C1446"/>
    <w:rsid w:val="7DD20E0F"/>
    <w:rsid w:val="7DD82A67"/>
    <w:rsid w:val="7E072339"/>
    <w:rsid w:val="7E1290C9"/>
    <w:rsid w:val="7E27EE20"/>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3"/>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6"/>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6"/>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6"/>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F06CC"/>
  </w:style>
  <w:style w:type="paragraph" w:customStyle="1" w:styleId="OutlineNumbered1">
    <w:name w:val="Outline Numbered 1"/>
    <w:basedOn w:val="Normal"/>
    <w:link w:val="OutlineNumbered1Char"/>
    <w:rsid w:val="008F7CF3"/>
    <w:pPr>
      <w:widowControl/>
      <w:numPr>
        <w:numId w:val="13"/>
      </w:numPr>
      <w:spacing w:before="200" w:after="200"/>
    </w:pPr>
    <w:rPr>
      <w:lang w:val="en-AU"/>
    </w:rPr>
  </w:style>
  <w:style w:type="character" w:customStyle="1" w:styleId="OutlineNumbered1Char">
    <w:name w:val="Outline Numbered 1 Char"/>
    <w:basedOn w:val="DefaultParagraphFont"/>
    <w:link w:val="OutlineNumbered1"/>
    <w:rsid w:val="008F7CF3"/>
  </w:style>
  <w:style w:type="paragraph" w:customStyle="1" w:styleId="OutlineNumbered2">
    <w:name w:val="Outline Numbered 2"/>
    <w:basedOn w:val="Normal"/>
    <w:rsid w:val="008F7CF3"/>
    <w:pPr>
      <w:widowControl/>
      <w:numPr>
        <w:ilvl w:val="1"/>
        <w:numId w:val="13"/>
      </w:numPr>
      <w:spacing w:before="200" w:after="200"/>
    </w:pPr>
    <w:rPr>
      <w:lang w:val="en-AU"/>
    </w:rPr>
  </w:style>
  <w:style w:type="paragraph" w:customStyle="1" w:styleId="OutlineNumbered3">
    <w:name w:val="Outline Numbered 3"/>
    <w:basedOn w:val="Normal"/>
    <w:rsid w:val="008F7CF3"/>
    <w:pPr>
      <w:widowControl/>
      <w:numPr>
        <w:ilvl w:val="2"/>
        <w:numId w:val="13"/>
      </w:numPr>
      <w:spacing w:before="200" w:after="200"/>
    </w:pPr>
    <w:rPr>
      <w:lang w:val="en-AU"/>
    </w:rPr>
  </w:style>
  <w:style w:type="paragraph" w:customStyle="1" w:styleId="Reclistlevel1">
    <w:name w:val="Rec list level 1"/>
    <w:basedOn w:val="BodyText"/>
    <w:qFormat/>
    <w:rsid w:val="00934779"/>
    <w:pPr>
      <w:widowControl/>
      <w:numPr>
        <w:numId w:val="16"/>
      </w:numPr>
      <w:tabs>
        <w:tab w:val="num" w:pos="360"/>
      </w:tabs>
      <w:spacing w:before="200" w:after="0"/>
      <w:ind w:left="609" w:firstLine="0"/>
    </w:pPr>
    <w:rPr>
      <w:rFonts w:ascii="Arial" w:eastAsia="Times New Roman" w:hAnsi="Arial" w:cs="Times New Roman"/>
      <w:lang w:val="en-AU"/>
    </w:rPr>
  </w:style>
  <w:style w:type="character" w:customStyle="1" w:styleId="cf01">
    <w:name w:val="cf01"/>
    <w:basedOn w:val="DefaultParagraphFont"/>
    <w:rsid w:val="00934779"/>
    <w:rPr>
      <w:rFonts w:ascii="Segoe UI" w:hAnsi="Segoe UI" w:cs="Segoe UI" w:hint="default"/>
      <w:sz w:val="18"/>
      <w:szCs w:val="18"/>
    </w:rPr>
  </w:style>
  <w:style w:type="paragraph" w:customStyle="1" w:styleId="pf0">
    <w:name w:val="pf0"/>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f1">
    <w:name w:val="pf1"/>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934779"/>
    <w:pPr>
      <w:spacing w:after="120"/>
    </w:pPr>
  </w:style>
  <w:style w:type="character" w:customStyle="1" w:styleId="BodyTextChar">
    <w:name w:val="Body Text Char"/>
    <w:basedOn w:val="DefaultParagraphFont"/>
    <w:link w:val="BodyText"/>
    <w:uiPriority w:val="99"/>
    <w:semiHidden/>
    <w:rsid w:val="00934779"/>
    <w:rPr>
      <w:lang w:val="en-US"/>
    </w:rPr>
  </w:style>
  <w:style w:type="table" w:styleId="TableGrid">
    <w:name w:val="Table Grid"/>
    <w:basedOn w:val="TableNormal"/>
    <w:uiPriority w:val="39"/>
    <w:rsid w:val="00EF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254754535">
      <w:bodyDiv w:val="1"/>
      <w:marLeft w:val="0"/>
      <w:marRight w:val="0"/>
      <w:marTop w:val="0"/>
      <w:marBottom w:val="0"/>
      <w:divBdr>
        <w:top w:val="none" w:sz="0" w:space="0" w:color="auto"/>
        <w:left w:val="none" w:sz="0" w:space="0" w:color="auto"/>
        <w:bottom w:val="none" w:sz="0" w:space="0" w:color="auto"/>
        <w:right w:val="none" w:sz="0" w:space="0" w:color="auto"/>
      </w:divBdr>
    </w:div>
    <w:div w:id="368725550">
      <w:bodyDiv w:val="1"/>
      <w:marLeft w:val="0"/>
      <w:marRight w:val="0"/>
      <w:marTop w:val="0"/>
      <w:marBottom w:val="0"/>
      <w:divBdr>
        <w:top w:val="none" w:sz="0" w:space="0" w:color="auto"/>
        <w:left w:val="none" w:sz="0" w:space="0" w:color="auto"/>
        <w:bottom w:val="none" w:sz="0" w:space="0" w:color="auto"/>
        <w:right w:val="none" w:sz="0" w:space="0" w:color="auto"/>
      </w:divBdr>
    </w:div>
    <w:div w:id="605385772">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790054091">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
    <w:div w:id="12784848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1953</Words>
  <Characters>11541</Characters>
  <Application>Microsoft Office Word</Application>
  <DocSecurity>0</DocSecurity>
  <Lines>264</Lines>
  <Paragraphs>86</Paragraphs>
  <ScaleCrop>false</ScaleCrop>
  <HeadingPairs>
    <vt:vector size="2" baseType="variant">
      <vt:variant>
        <vt:lpstr>Title</vt:lpstr>
      </vt:variant>
      <vt:variant>
        <vt:i4>1</vt:i4>
      </vt:variant>
    </vt:vector>
  </HeadingPairs>
  <TitlesOfParts>
    <vt:vector size="1" baseType="lpstr">
      <vt:lpstr>WA - National Housing Accord – implementation schedule</vt:lpstr>
    </vt:vector>
  </TitlesOfParts>
  <Company/>
  <LinksUpToDate>false</LinksUpToDate>
  <CharactersWithSpaces>13457</CharactersWithSpaces>
  <SharedDoc>false</SharedDoc>
  <HLinks>
    <vt:vector size="6" baseType="variant">
      <vt:variant>
        <vt:i4>2556014</vt:i4>
      </vt:variant>
      <vt:variant>
        <vt:i4>0</vt:i4>
      </vt:variant>
      <vt:variant>
        <vt:i4>0</vt:i4>
      </vt:variant>
      <vt:variant>
        <vt:i4>5</vt:i4>
      </vt:variant>
      <vt:variant>
        <vt:lpwstr>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 National Housing Accord – implementation schedule</dc:title>
  <dc:subject/>
  <dc:creator/>
  <cp:keywords/>
  <dc:description/>
  <cp:lastModifiedBy/>
  <cp:revision>1</cp:revision>
  <dcterms:created xsi:type="dcterms:W3CDTF">2023-10-04T04:00:00Z</dcterms:created>
  <dcterms:modified xsi:type="dcterms:W3CDTF">2023-11-19T22:02:00Z</dcterms:modified>
</cp:coreProperties>
</file>