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206409104"/>
        <w:docPartObj>
          <w:docPartGallery w:val="Cover Pages"/>
          <w:docPartUnique/>
        </w:docPartObj>
      </w:sdtPr>
      <w:sdtEndPr/>
      <w:sdtContent>
        <w:p w14:paraId="0108E8FF" w14:textId="77777777" w:rsidR="00A652B8" w:rsidRPr="006D0240" w:rsidRDefault="00A652B8" w:rsidP="008E6292">
          <w:r>
            <w:rPr>
              <w:noProof/>
              <w:lang w:eastAsia="zh-CN"/>
            </w:rPr>
            <w:drawing>
              <wp:anchor distT="0" distB="0" distL="114300" distR="114300" simplePos="0" relativeHeight="251658240" behindDoc="1" locked="0" layoutInCell="1" allowOverlap="1" wp14:anchorId="7301EF79" wp14:editId="2F9E3530">
                <wp:simplePos x="0" y="0"/>
                <wp:positionH relativeFrom="page">
                  <wp:posOffset>0</wp:posOffset>
                </wp:positionH>
                <wp:positionV relativeFrom="page">
                  <wp:posOffset>-9728</wp:posOffset>
                </wp:positionV>
                <wp:extent cx="7558767" cy="10692581"/>
                <wp:effectExtent l="0" t="0" r="444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cstate="print">
                          <a:extLst>
                            <a:ext uri="{28A0092B-C50C-407E-A947-70E740481C1C}">
                              <a14:useLocalDpi xmlns:a14="http://schemas.microsoft.com/office/drawing/2010/main" val="0"/>
                            </a:ext>
                          </a:extLst>
                        </a:blip>
                        <a:srcRect l="3" r="3"/>
                        <a:stretch>
                          <a:fillRect/>
                        </a:stretch>
                      </pic:blipFill>
                      <pic:spPr bwMode="auto">
                        <a:xfrm>
                          <a:off x="0" y="0"/>
                          <a:ext cx="7558767" cy="1069258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DDF3D34" w14:textId="77777777" w:rsidR="00A652B8" w:rsidRPr="006D0240" w:rsidRDefault="00A652B8" w:rsidP="001D4EAA">
          <w:pPr>
            <w:pStyle w:val="Header"/>
            <w:spacing w:after="1320"/>
            <w:jc w:val="left"/>
          </w:pPr>
        </w:p>
        <w:p w14:paraId="209ECE1D" w14:textId="77777777" w:rsidR="00FB0868" w:rsidRDefault="00FB0868" w:rsidP="00F52F09">
          <w:pPr>
            <w:pStyle w:val="Subtitle"/>
            <w:spacing w:before="0" w:after="240"/>
            <w:rPr>
              <w:b/>
              <w:iCs w:val="0"/>
              <w:color w:val="2C384A" w:themeColor="accent1"/>
              <w:spacing w:val="5"/>
              <w:kern w:val="28"/>
              <w:sz w:val="72"/>
              <w:szCs w:val="52"/>
            </w:rPr>
          </w:pPr>
          <w:r w:rsidRPr="00FB0868">
            <w:rPr>
              <w:b/>
              <w:iCs w:val="0"/>
              <w:color w:val="2C384A" w:themeColor="accent1"/>
              <w:spacing w:val="5"/>
              <w:kern w:val="28"/>
              <w:sz w:val="72"/>
              <w:szCs w:val="52"/>
            </w:rPr>
            <w:t>Options to ensure the domestic wholesale gas market delivers for Australians</w:t>
          </w:r>
        </w:p>
        <w:p w14:paraId="776A91EC" w14:textId="071736D2" w:rsidR="00A652B8" w:rsidRPr="001D4EAA" w:rsidRDefault="00A652B8" w:rsidP="00082FC2">
          <w:pPr>
            <w:pStyle w:val="Subtitle"/>
            <w:spacing w:after="240"/>
          </w:pPr>
          <w:r>
            <w:t>Consultation paper</w:t>
          </w:r>
        </w:p>
        <w:p w14:paraId="47E7AF55" w14:textId="6FFE635F" w:rsidR="00A652B8" w:rsidRPr="00A75F48" w:rsidRDefault="00A75F48" w:rsidP="00A75F48">
          <w:pPr>
            <w:pStyle w:val="ReportDate"/>
            <w:rPr>
              <w:rFonts w:ascii="Rockwell" w:hAnsi="Rockwell"/>
              <w:sz w:val="24"/>
            </w:rPr>
          </w:pPr>
          <w:r>
            <w:rPr>
              <w:rStyle w:val="ReportDateChar"/>
            </w:rPr>
            <w:t>December 2022</w:t>
          </w:r>
        </w:p>
        <w:p w14:paraId="548349BE" w14:textId="77777777" w:rsidR="00A652B8" w:rsidRDefault="00A652B8" w:rsidP="00775702">
          <w:pPr>
            <w:spacing w:after="1640"/>
          </w:pPr>
        </w:p>
        <w:p w14:paraId="4BB0D76A" w14:textId="77777777" w:rsidR="00A652B8" w:rsidRDefault="00A652B8" w:rsidP="00775702">
          <w:pPr>
            <w:spacing w:after="1640"/>
          </w:pPr>
        </w:p>
        <w:p w14:paraId="5A44CBBB" w14:textId="77777777" w:rsidR="00A652B8" w:rsidRDefault="00A652B8">
          <w:pPr>
            <w:spacing w:before="0" w:after="160" w:line="259" w:lineRule="auto"/>
          </w:pPr>
          <w:r>
            <w:br w:type="page"/>
          </w:r>
        </w:p>
      </w:sdtContent>
    </w:sdt>
    <w:p w14:paraId="1C48B70D" w14:textId="77777777" w:rsidR="000E0B74" w:rsidRDefault="000E0B74" w:rsidP="000E0B74">
      <w:pPr>
        <w:sectPr w:rsidR="000E0B74" w:rsidSect="00555D14">
          <w:pgSz w:w="11906" w:h="16838" w:code="9"/>
          <w:pgMar w:top="1843" w:right="1418" w:bottom="1418" w:left="1418" w:header="709" w:footer="709" w:gutter="0"/>
          <w:pgNumType w:fmt="lowerRoman" w:start="0"/>
          <w:cols w:space="720"/>
          <w:titlePg/>
          <w:docGrid w:linePitch="299"/>
        </w:sectPr>
      </w:pPr>
    </w:p>
    <w:p w14:paraId="5F649FB8" w14:textId="77777777" w:rsidR="00A476A5" w:rsidRDefault="00A476A5" w:rsidP="00A476A5">
      <w:pPr>
        <w:spacing w:before="240"/>
      </w:pPr>
      <w:r>
        <w:lastRenderedPageBreak/>
        <w:t>© Commonwealth of Australia 2022</w:t>
      </w:r>
    </w:p>
    <w:p w14:paraId="32503B5F" w14:textId="77777777" w:rsidR="00A476A5" w:rsidRDefault="00A476A5" w:rsidP="00A476A5">
      <w:pPr>
        <w:tabs>
          <w:tab w:val="left" w:pos="1650"/>
        </w:tabs>
        <w:spacing w:before="240"/>
        <w:rPr>
          <w:rFonts w:cstheme="minorBidi"/>
          <w:sz w:val="24"/>
          <w:szCs w:val="24"/>
        </w:rPr>
      </w:pPr>
      <w:r>
        <w:t>This publication is available for your use under a</w:t>
      </w:r>
      <w:r>
        <w:rPr>
          <w:rFonts w:cstheme="minorHAnsi"/>
          <w:sz w:val="24"/>
          <w:szCs w:val="24"/>
        </w:rPr>
        <w:t xml:space="preserve"> </w:t>
      </w:r>
      <w:hyperlink r:id="rId12" w:history="1">
        <w:r>
          <w:rPr>
            <w:rStyle w:val="Hyperlink"/>
          </w:rPr>
          <w:t>Creative Commons Attribution 3.0 Australia</w:t>
        </w:r>
      </w:hyperlink>
      <w:r>
        <w:rPr>
          <w:rFonts w:cstheme="minorHAnsi"/>
          <w:sz w:val="24"/>
          <w:szCs w:val="24"/>
        </w:rPr>
        <w:t xml:space="preserve"> </w:t>
      </w:r>
      <w:r>
        <w:t>licence, with the exception of the Commonwealth Coat of Arms, the Treasury logo, photographs, images, signatures and where otherwise stated. The full licence terms are available from</w:t>
      </w:r>
      <w:r>
        <w:rPr>
          <w:rFonts w:cstheme="minorHAnsi"/>
          <w:sz w:val="24"/>
          <w:szCs w:val="24"/>
        </w:rPr>
        <w:t xml:space="preserve"> </w:t>
      </w:r>
      <w:hyperlink r:id="rId13" w:history="1">
        <w:r>
          <w:rPr>
            <w:rStyle w:val="Hyperlink"/>
          </w:rPr>
          <w:t>http://creativecommons.org/licenses/by/3.0/au/legalcode</w:t>
        </w:r>
      </w:hyperlink>
      <w:r>
        <w:rPr>
          <w:rStyle w:val="Hyperlink"/>
        </w:rPr>
        <w:t>.</w:t>
      </w:r>
      <w:r>
        <w:rPr>
          <w:sz w:val="24"/>
          <w:szCs w:val="24"/>
        </w:rPr>
        <w:t xml:space="preserve"> </w:t>
      </w:r>
    </w:p>
    <w:p w14:paraId="4B028A12" w14:textId="24C07893" w:rsidR="00A476A5" w:rsidRDefault="00A476A5" w:rsidP="00A476A5">
      <w:pPr>
        <w:pStyle w:val="ChartGraphic"/>
        <w:jc w:val="left"/>
      </w:pPr>
      <w:r>
        <w:rPr>
          <w:noProof/>
          <w:lang w:eastAsia="zh-CN"/>
        </w:rPr>
        <w:drawing>
          <wp:inline distT="0" distB="0" distL="0" distR="0" wp14:anchorId="71FF04B6" wp14:editId="2651A1FF">
            <wp:extent cx="807085" cy="281940"/>
            <wp:effectExtent l="0" t="0" r="0" b="3810"/>
            <wp:docPr id="3" name="Picture 3" descr="Creative Commons attribution licence 3.0 icon. " title="Creative Commons icon"/>
            <wp:cNvGraphicFramePr/>
            <a:graphic xmlns:a="http://schemas.openxmlformats.org/drawingml/2006/main">
              <a:graphicData uri="http://schemas.openxmlformats.org/drawingml/2006/picture">
                <pic:pic xmlns:pic="http://schemas.openxmlformats.org/drawingml/2006/picture">
                  <pic:nvPicPr>
                    <pic:cNvPr id="3" name="Picture 1" descr="Creative Commons attribution licence 3.0 icon. " title="Creative Commons icon"/>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3B77B738" w14:textId="77777777" w:rsidR="00A476A5" w:rsidRDefault="00A476A5" w:rsidP="00A476A5">
      <w:pPr>
        <w:tabs>
          <w:tab w:val="left" w:pos="1650"/>
        </w:tabs>
        <w:spacing w:before="240"/>
      </w:pPr>
      <w:r>
        <w:t>Use of Treasury material under a</w:t>
      </w:r>
      <w:r>
        <w:rPr>
          <w:rFonts w:cstheme="minorHAnsi"/>
          <w:sz w:val="24"/>
          <w:szCs w:val="24"/>
        </w:rPr>
        <w:t xml:space="preserve"> </w:t>
      </w:r>
      <w:hyperlink r:id="rId15" w:history="1">
        <w:r>
          <w:rPr>
            <w:rStyle w:val="Hyperlink"/>
          </w:rPr>
          <w:t>Creative Commons Attribution 3.0 Australia</w:t>
        </w:r>
      </w:hyperlink>
      <w:r>
        <w:t xml:space="preserve"> licence requires you to attribute the work (but not in any way that suggests that the Treasury endorses you or your use of the work).</w:t>
      </w:r>
    </w:p>
    <w:p w14:paraId="7ABCC1A5" w14:textId="77777777" w:rsidR="00A476A5" w:rsidRDefault="00A476A5" w:rsidP="00A476A5">
      <w:pPr>
        <w:spacing w:before="240"/>
        <w:rPr>
          <w:b/>
        </w:rPr>
      </w:pPr>
      <w:r>
        <w:rPr>
          <w:b/>
        </w:rPr>
        <w:t>Treasury material used ‘as supplied’</w:t>
      </w:r>
    </w:p>
    <w:p w14:paraId="365DE322" w14:textId="77777777" w:rsidR="00A476A5" w:rsidRDefault="00A476A5" w:rsidP="00A476A5">
      <w:r>
        <w:t xml:space="preserve">Provided you have not modified or transformed Treasury material in any way including, for example, by changing the Treasury text; calculating percentage changes; graphing or charting data; or deriving new statistics from published Treasury statistics — then Treasury prefers the following attribution: </w:t>
      </w:r>
    </w:p>
    <w:p w14:paraId="4ADF637F" w14:textId="77777777" w:rsidR="00A476A5" w:rsidRDefault="00A476A5" w:rsidP="00A476A5">
      <w:pPr>
        <w:ind w:firstLine="720"/>
      </w:pPr>
      <w:r>
        <w:rPr>
          <w:i/>
        </w:rPr>
        <w:t xml:space="preserve">Source: The </w:t>
      </w:r>
      <w:r>
        <w:rPr>
          <w:i/>
          <w:iCs/>
        </w:rPr>
        <w:t>Australian Government the Treasury</w:t>
      </w:r>
      <w:r>
        <w:t>.</w:t>
      </w:r>
    </w:p>
    <w:p w14:paraId="76F8D84C" w14:textId="77777777" w:rsidR="00A476A5" w:rsidRDefault="00A476A5" w:rsidP="00A476A5">
      <w:pPr>
        <w:spacing w:before="240"/>
      </w:pPr>
      <w:r>
        <w:rPr>
          <w:b/>
        </w:rPr>
        <w:t>Derivative</w:t>
      </w:r>
      <w:r>
        <w:t xml:space="preserve"> </w:t>
      </w:r>
      <w:r>
        <w:rPr>
          <w:b/>
        </w:rPr>
        <w:t>material</w:t>
      </w:r>
    </w:p>
    <w:p w14:paraId="438EE1A8" w14:textId="77777777" w:rsidR="00A476A5" w:rsidRDefault="00A476A5" w:rsidP="00A476A5">
      <w:r>
        <w:t xml:space="preserve">If you have modified or transformed Treasury material, or derived new material from those of the Treasury in any way, then Treasury prefers the following attribution: </w:t>
      </w:r>
    </w:p>
    <w:p w14:paraId="5B73C238" w14:textId="77777777" w:rsidR="00A476A5" w:rsidRDefault="00A476A5" w:rsidP="00A476A5">
      <w:pPr>
        <w:ind w:firstLine="720"/>
      </w:pPr>
      <w:r>
        <w:rPr>
          <w:i/>
        </w:rPr>
        <w:t>Based on The Australian Government the Treasury data</w:t>
      </w:r>
      <w:r>
        <w:t>.</w:t>
      </w:r>
    </w:p>
    <w:p w14:paraId="02EED688" w14:textId="77777777" w:rsidR="00A476A5" w:rsidRDefault="00A476A5" w:rsidP="00A476A5">
      <w:pPr>
        <w:spacing w:before="240"/>
        <w:rPr>
          <w:b/>
        </w:rPr>
      </w:pPr>
      <w:r>
        <w:rPr>
          <w:b/>
        </w:rPr>
        <w:t>Use of the Coat of Arms</w:t>
      </w:r>
    </w:p>
    <w:p w14:paraId="1FA8E05F" w14:textId="77777777" w:rsidR="00A476A5" w:rsidRDefault="00A476A5" w:rsidP="00A476A5">
      <w:r>
        <w:t xml:space="preserve">The terms under which the Coat of Arms can be used are set out on the Department of the Prime Minister and Cabinet website (see </w:t>
      </w:r>
      <w:hyperlink r:id="rId16" w:history="1">
        <w:r>
          <w:rPr>
            <w:rStyle w:val="Hyperlink"/>
          </w:rPr>
          <w:t>www.pmc.gov.au/government/commonwealth-coat-arms</w:t>
        </w:r>
      </w:hyperlink>
      <w:r>
        <w:t>).</w:t>
      </w:r>
    </w:p>
    <w:p w14:paraId="2CB46280" w14:textId="77777777" w:rsidR="00A476A5" w:rsidRDefault="00A476A5" w:rsidP="00A476A5">
      <w:pPr>
        <w:spacing w:before="240"/>
        <w:rPr>
          <w:b/>
        </w:rPr>
      </w:pPr>
      <w:r>
        <w:rPr>
          <w:b/>
        </w:rPr>
        <w:t>Other uses</w:t>
      </w:r>
    </w:p>
    <w:p w14:paraId="1F3385A5" w14:textId="77777777" w:rsidR="00A476A5" w:rsidRDefault="00A476A5" w:rsidP="00A476A5">
      <w:r>
        <w:t>Enquiries regarding this licence and any other use of this document are welcome at:</w:t>
      </w:r>
    </w:p>
    <w:p w14:paraId="169AC6D0" w14:textId="77777777" w:rsidR="00A476A5" w:rsidRDefault="00A476A5" w:rsidP="00A476A5">
      <w:pPr>
        <w:ind w:left="720"/>
        <w:rPr>
          <w:rStyle w:val="Hyperlink"/>
        </w:rPr>
      </w:pPr>
      <w:r>
        <w:t>Manager</w:t>
      </w:r>
      <w:r>
        <w:br/>
        <w:t>Media Unit</w:t>
      </w:r>
      <w:r>
        <w:br/>
        <w:t>The Treasury</w:t>
      </w:r>
      <w:r>
        <w:br/>
        <w:t xml:space="preserve">Langton Crescent </w:t>
      </w:r>
      <w:r>
        <w:br/>
      </w:r>
      <w:proofErr w:type="gramStart"/>
      <w:r>
        <w:t>Parkes  ACT</w:t>
      </w:r>
      <w:proofErr w:type="gramEnd"/>
      <w:r>
        <w:t xml:space="preserve">  2600</w:t>
      </w:r>
      <w:r>
        <w:br/>
        <w:t xml:space="preserve">Email: </w:t>
      </w:r>
      <w:hyperlink r:id="rId17" w:history="1">
        <w:r>
          <w:rPr>
            <w:rStyle w:val="Hyperlink"/>
          </w:rPr>
          <w:t>media@treasury.gov.au</w:t>
        </w:r>
      </w:hyperlink>
      <w:r>
        <w:t xml:space="preserve"> </w:t>
      </w:r>
    </w:p>
    <w:p w14:paraId="129D46FD" w14:textId="77777777" w:rsidR="000E0B74" w:rsidRDefault="000E0B74" w:rsidP="000E0B74">
      <w:pPr>
        <w:pStyle w:val="SingleParagraph"/>
        <w:sectPr w:rsidR="000E0B74" w:rsidSect="008043EA">
          <w:headerReference w:type="even" r:id="rId18"/>
          <w:headerReference w:type="default" r:id="rId19"/>
          <w:footerReference w:type="even" r:id="rId20"/>
          <w:pgSz w:w="11906" w:h="16838" w:code="9"/>
          <w:pgMar w:top="1843" w:right="1418" w:bottom="1418" w:left="1418" w:header="709" w:footer="709" w:gutter="0"/>
          <w:pgNumType w:fmt="lowerRoman"/>
          <w:cols w:space="708"/>
          <w:titlePg/>
          <w:docGrid w:linePitch="360"/>
        </w:sectPr>
      </w:pPr>
    </w:p>
    <w:p w14:paraId="36B92251" w14:textId="77777777" w:rsidR="000E0B74" w:rsidRPr="00354FBB" w:rsidRDefault="000E0B74" w:rsidP="00354FBB">
      <w:pPr>
        <w:pStyle w:val="Heading1"/>
      </w:pPr>
      <w:bookmarkStart w:id="0" w:name="_Toc121341736"/>
      <w:r w:rsidRPr="00354FBB">
        <w:lastRenderedPageBreak/>
        <w:t>Contents</w:t>
      </w:r>
      <w:bookmarkEnd w:id="0"/>
    </w:p>
    <w:p w14:paraId="792D40EB" w14:textId="0703F5C0" w:rsidR="00E226FA" w:rsidRDefault="00257AEE">
      <w:pPr>
        <w:pStyle w:val="TOC1"/>
        <w:rPr>
          <w:rFonts w:asciiTheme="minorHAnsi" w:eastAsiaTheme="minorEastAsia" w:hAnsiTheme="minorHAnsi" w:cstheme="minorBidi"/>
          <w:b w:val="0"/>
          <w:color w:val="auto"/>
        </w:rPr>
      </w:pPr>
      <w:r>
        <w:rPr>
          <w:color w:val="2C384A" w:themeColor="accent1"/>
        </w:rPr>
        <w:fldChar w:fldCharType="begin"/>
      </w:r>
      <w:r>
        <w:instrText xml:space="preserve"> TOC \o "1-2" \h \z \t "Heading 3,3,Chart Main Heading,3,Table Main Heading,3,Heading 3 Numbered,3,Table Heading Continued,3" </w:instrText>
      </w:r>
      <w:r>
        <w:rPr>
          <w:color w:val="2C384A" w:themeColor="accent1"/>
        </w:rPr>
        <w:fldChar w:fldCharType="separate"/>
      </w:r>
      <w:hyperlink w:anchor="_Toc121341736" w:history="1">
        <w:r w:rsidR="00E226FA" w:rsidRPr="000D4349">
          <w:rPr>
            <w:rStyle w:val="Hyperlink"/>
          </w:rPr>
          <w:t>Contents</w:t>
        </w:r>
        <w:r w:rsidR="00E226FA">
          <w:rPr>
            <w:webHidden/>
          </w:rPr>
          <w:tab/>
        </w:r>
        <w:r w:rsidR="00E226FA">
          <w:rPr>
            <w:webHidden/>
          </w:rPr>
          <w:fldChar w:fldCharType="begin"/>
        </w:r>
        <w:r w:rsidR="00E226FA">
          <w:rPr>
            <w:webHidden/>
          </w:rPr>
          <w:instrText xml:space="preserve"> PAGEREF _Toc121341736 \h </w:instrText>
        </w:r>
        <w:r w:rsidR="00E226FA">
          <w:rPr>
            <w:webHidden/>
          </w:rPr>
        </w:r>
        <w:r w:rsidR="00E226FA">
          <w:rPr>
            <w:webHidden/>
          </w:rPr>
          <w:fldChar w:fldCharType="separate"/>
        </w:r>
        <w:r w:rsidR="00E226FA">
          <w:rPr>
            <w:webHidden/>
          </w:rPr>
          <w:t>ii</w:t>
        </w:r>
        <w:r w:rsidR="00E226FA">
          <w:rPr>
            <w:webHidden/>
          </w:rPr>
          <w:fldChar w:fldCharType="end"/>
        </w:r>
      </w:hyperlink>
    </w:p>
    <w:p w14:paraId="582062D1" w14:textId="021AA378" w:rsidR="00E226FA" w:rsidRDefault="00B37682">
      <w:pPr>
        <w:pStyle w:val="TOC1"/>
        <w:rPr>
          <w:rFonts w:asciiTheme="minorHAnsi" w:eastAsiaTheme="minorEastAsia" w:hAnsiTheme="minorHAnsi" w:cstheme="minorBidi"/>
          <w:b w:val="0"/>
          <w:color w:val="auto"/>
        </w:rPr>
      </w:pPr>
      <w:hyperlink w:anchor="_Toc121341737" w:history="1">
        <w:r w:rsidR="00E226FA" w:rsidRPr="000D4349">
          <w:rPr>
            <w:rStyle w:val="Hyperlink"/>
          </w:rPr>
          <w:t>Consultation Process</w:t>
        </w:r>
        <w:r w:rsidR="00E226FA">
          <w:rPr>
            <w:webHidden/>
          </w:rPr>
          <w:tab/>
        </w:r>
        <w:r w:rsidR="00E226FA">
          <w:rPr>
            <w:webHidden/>
          </w:rPr>
          <w:fldChar w:fldCharType="begin"/>
        </w:r>
        <w:r w:rsidR="00E226FA">
          <w:rPr>
            <w:webHidden/>
          </w:rPr>
          <w:instrText xml:space="preserve"> PAGEREF _Toc121341737 \h </w:instrText>
        </w:r>
        <w:r w:rsidR="00E226FA">
          <w:rPr>
            <w:webHidden/>
          </w:rPr>
        </w:r>
        <w:r w:rsidR="00E226FA">
          <w:rPr>
            <w:webHidden/>
          </w:rPr>
          <w:fldChar w:fldCharType="separate"/>
        </w:r>
        <w:r w:rsidR="00E226FA">
          <w:rPr>
            <w:webHidden/>
          </w:rPr>
          <w:t>3</w:t>
        </w:r>
        <w:r w:rsidR="00E226FA">
          <w:rPr>
            <w:webHidden/>
          </w:rPr>
          <w:fldChar w:fldCharType="end"/>
        </w:r>
      </w:hyperlink>
    </w:p>
    <w:p w14:paraId="6D7BD80B" w14:textId="16D9347D" w:rsidR="00E226FA" w:rsidRDefault="00B37682">
      <w:pPr>
        <w:pStyle w:val="TOC1"/>
        <w:rPr>
          <w:rFonts w:asciiTheme="minorHAnsi" w:eastAsiaTheme="minorEastAsia" w:hAnsiTheme="minorHAnsi" w:cstheme="minorBidi"/>
          <w:b w:val="0"/>
          <w:color w:val="auto"/>
        </w:rPr>
      </w:pPr>
      <w:hyperlink w:anchor="_Toc121341738" w:history="1">
        <w:r w:rsidR="00E226FA" w:rsidRPr="000D4349">
          <w:rPr>
            <w:rStyle w:val="Hyperlink"/>
          </w:rPr>
          <w:t>Options to ensure the domestic wholesale gas market delivers for Australians</w:t>
        </w:r>
        <w:r w:rsidR="00E226FA">
          <w:rPr>
            <w:webHidden/>
          </w:rPr>
          <w:tab/>
        </w:r>
        <w:r w:rsidR="00E226FA">
          <w:rPr>
            <w:webHidden/>
          </w:rPr>
          <w:fldChar w:fldCharType="begin"/>
        </w:r>
        <w:r w:rsidR="00E226FA">
          <w:rPr>
            <w:webHidden/>
          </w:rPr>
          <w:instrText xml:space="preserve"> PAGEREF _Toc121341738 \h </w:instrText>
        </w:r>
        <w:r w:rsidR="00E226FA">
          <w:rPr>
            <w:webHidden/>
          </w:rPr>
        </w:r>
        <w:r w:rsidR="00E226FA">
          <w:rPr>
            <w:webHidden/>
          </w:rPr>
          <w:fldChar w:fldCharType="separate"/>
        </w:r>
        <w:r w:rsidR="00E226FA">
          <w:rPr>
            <w:webHidden/>
          </w:rPr>
          <w:t>4</w:t>
        </w:r>
        <w:r w:rsidR="00E226FA">
          <w:rPr>
            <w:webHidden/>
          </w:rPr>
          <w:fldChar w:fldCharType="end"/>
        </w:r>
      </w:hyperlink>
    </w:p>
    <w:p w14:paraId="431C2252" w14:textId="19053B53" w:rsidR="00E226FA" w:rsidRDefault="00B37682">
      <w:pPr>
        <w:pStyle w:val="TOC2"/>
        <w:rPr>
          <w:rFonts w:asciiTheme="minorHAnsi" w:eastAsiaTheme="minorEastAsia" w:hAnsiTheme="minorHAnsi" w:cstheme="minorBidi"/>
          <w:color w:val="auto"/>
          <w:szCs w:val="22"/>
        </w:rPr>
      </w:pPr>
      <w:hyperlink w:anchor="_Toc121341739" w:history="1">
        <w:r w:rsidR="00E226FA" w:rsidRPr="000D4349">
          <w:rPr>
            <w:rStyle w:val="Hyperlink"/>
          </w:rPr>
          <w:t>Introduction</w:t>
        </w:r>
        <w:r w:rsidR="00E226FA">
          <w:rPr>
            <w:webHidden/>
          </w:rPr>
          <w:tab/>
        </w:r>
        <w:r w:rsidR="00E226FA">
          <w:rPr>
            <w:webHidden/>
          </w:rPr>
          <w:fldChar w:fldCharType="begin"/>
        </w:r>
        <w:r w:rsidR="00E226FA">
          <w:rPr>
            <w:webHidden/>
          </w:rPr>
          <w:instrText xml:space="preserve"> PAGEREF _Toc121341739 \h </w:instrText>
        </w:r>
        <w:r w:rsidR="00E226FA">
          <w:rPr>
            <w:webHidden/>
          </w:rPr>
        </w:r>
        <w:r w:rsidR="00E226FA">
          <w:rPr>
            <w:webHidden/>
          </w:rPr>
          <w:fldChar w:fldCharType="separate"/>
        </w:r>
        <w:r w:rsidR="00E226FA">
          <w:rPr>
            <w:webHidden/>
          </w:rPr>
          <w:t>4</w:t>
        </w:r>
        <w:r w:rsidR="00E226FA">
          <w:rPr>
            <w:webHidden/>
          </w:rPr>
          <w:fldChar w:fldCharType="end"/>
        </w:r>
      </w:hyperlink>
    </w:p>
    <w:p w14:paraId="295D753D" w14:textId="0AB03286" w:rsidR="00E226FA" w:rsidRDefault="00B37682">
      <w:pPr>
        <w:pStyle w:val="TOC3"/>
        <w:rPr>
          <w:rFonts w:asciiTheme="minorHAnsi" w:eastAsiaTheme="minorEastAsia" w:hAnsiTheme="minorHAnsi" w:cstheme="minorBidi"/>
          <w:szCs w:val="22"/>
        </w:rPr>
      </w:pPr>
      <w:hyperlink w:anchor="_Toc121341740" w:history="1">
        <w:r w:rsidR="00E226FA" w:rsidRPr="000D4349">
          <w:rPr>
            <w:rStyle w:val="Hyperlink"/>
          </w:rPr>
          <w:t>The need for intervention</w:t>
        </w:r>
        <w:r w:rsidR="00E226FA">
          <w:rPr>
            <w:webHidden/>
          </w:rPr>
          <w:tab/>
        </w:r>
        <w:r w:rsidR="00E226FA">
          <w:rPr>
            <w:webHidden/>
          </w:rPr>
          <w:fldChar w:fldCharType="begin"/>
        </w:r>
        <w:r w:rsidR="00E226FA">
          <w:rPr>
            <w:webHidden/>
          </w:rPr>
          <w:instrText xml:space="preserve"> PAGEREF _Toc121341740 \h </w:instrText>
        </w:r>
        <w:r w:rsidR="00E226FA">
          <w:rPr>
            <w:webHidden/>
          </w:rPr>
        </w:r>
        <w:r w:rsidR="00E226FA">
          <w:rPr>
            <w:webHidden/>
          </w:rPr>
          <w:fldChar w:fldCharType="separate"/>
        </w:r>
        <w:r w:rsidR="00E226FA">
          <w:rPr>
            <w:webHidden/>
          </w:rPr>
          <w:t>4</w:t>
        </w:r>
        <w:r w:rsidR="00E226FA">
          <w:rPr>
            <w:webHidden/>
          </w:rPr>
          <w:fldChar w:fldCharType="end"/>
        </w:r>
      </w:hyperlink>
    </w:p>
    <w:p w14:paraId="016769A6" w14:textId="1FEA2252" w:rsidR="00E226FA" w:rsidRDefault="00B37682">
      <w:pPr>
        <w:pStyle w:val="TOC3"/>
        <w:rPr>
          <w:rFonts w:asciiTheme="minorHAnsi" w:eastAsiaTheme="minorEastAsia" w:hAnsiTheme="minorHAnsi" w:cstheme="minorBidi"/>
          <w:szCs w:val="22"/>
        </w:rPr>
      </w:pPr>
      <w:hyperlink w:anchor="_Toc121341741" w:history="1">
        <w:r w:rsidR="00E226FA" w:rsidRPr="000D4349">
          <w:rPr>
            <w:rStyle w:val="Hyperlink"/>
          </w:rPr>
          <w:t>Criteria for intervention</w:t>
        </w:r>
        <w:r w:rsidR="00E226FA">
          <w:rPr>
            <w:webHidden/>
          </w:rPr>
          <w:tab/>
        </w:r>
        <w:r w:rsidR="00E226FA">
          <w:rPr>
            <w:webHidden/>
          </w:rPr>
          <w:fldChar w:fldCharType="begin"/>
        </w:r>
        <w:r w:rsidR="00E226FA">
          <w:rPr>
            <w:webHidden/>
          </w:rPr>
          <w:instrText xml:space="preserve"> PAGEREF _Toc121341741 \h </w:instrText>
        </w:r>
        <w:r w:rsidR="00E226FA">
          <w:rPr>
            <w:webHidden/>
          </w:rPr>
        </w:r>
        <w:r w:rsidR="00E226FA">
          <w:rPr>
            <w:webHidden/>
          </w:rPr>
          <w:fldChar w:fldCharType="separate"/>
        </w:r>
        <w:r w:rsidR="00E226FA">
          <w:rPr>
            <w:webHidden/>
          </w:rPr>
          <w:t>5</w:t>
        </w:r>
        <w:r w:rsidR="00E226FA">
          <w:rPr>
            <w:webHidden/>
          </w:rPr>
          <w:fldChar w:fldCharType="end"/>
        </w:r>
      </w:hyperlink>
    </w:p>
    <w:p w14:paraId="774CB987" w14:textId="55CAF72F" w:rsidR="00E226FA" w:rsidRDefault="00B37682">
      <w:pPr>
        <w:pStyle w:val="TOC2"/>
        <w:rPr>
          <w:rFonts w:asciiTheme="minorHAnsi" w:eastAsiaTheme="minorEastAsia" w:hAnsiTheme="minorHAnsi" w:cstheme="minorBidi"/>
          <w:color w:val="auto"/>
          <w:szCs w:val="22"/>
        </w:rPr>
      </w:pPr>
      <w:hyperlink w:anchor="_Toc121341742" w:history="1">
        <w:r w:rsidR="00E226FA" w:rsidRPr="000D4349">
          <w:rPr>
            <w:rStyle w:val="Hyperlink"/>
          </w:rPr>
          <w:t>Consultation questions</w:t>
        </w:r>
        <w:r w:rsidR="00E226FA">
          <w:rPr>
            <w:webHidden/>
          </w:rPr>
          <w:tab/>
        </w:r>
        <w:r w:rsidR="00E226FA">
          <w:rPr>
            <w:webHidden/>
          </w:rPr>
          <w:fldChar w:fldCharType="begin"/>
        </w:r>
        <w:r w:rsidR="00E226FA">
          <w:rPr>
            <w:webHidden/>
          </w:rPr>
          <w:instrText xml:space="preserve"> PAGEREF _Toc121341742 \h </w:instrText>
        </w:r>
        <w:r w:rsidR="00E226FA">
          <w:rPr>
            <w:webHidden/>
          </w:rPr>
        </w:r>
        <w:r w:rsidR="00E226FA">
          <w:rPr>
            <w:webHidden/>
          </w:rPr>
          <w:fldChar w:fldCharType="separate"/>
        </w:r>
        <w:r w:rsidR="00E226FA">
          <w:rPr>
            <w:webHidden/>
          </w:rPr>
          <w:t>6</w:t>
        </w:r>
        <w:r w:rsidR="00E226FA">
          <w:rPr>
            <w:webHidden/>
          </w:rPr>
          <w:fldChar w:fldCharType="end"/>
        </w:r>
      </w:hyperlink>
    </w:p>
    <w:p w14:paraId="55766109" w14:textId="6BA2B1F7" w:rsidR="00E226FA" w:rsidRDefault="00B37682">
      <w:pPr>
        <w:pStyle w:val="TOC3"/>
        <w:rPr>
          <w:rFonts w:asciiTheme="minorHAnsi" w:eastAsiaTheme="minorEastAsia" w:hAnsiTheme="minorHAnsi" w:cstheme="minorBidi"/>
          <w:szCs w:val="22"/>
        </w:rPr>
      </w:pPr>
      <w:hyperlink w:anchor="_Toc121341743" w:history="1">
        <w:r w:rsidR="00E226FA" w:rsidRPr="000D4349">
          <w:rPr>
            <w:rStyle w:val="Hyperlink"/>
          </w:rPr>
          <w:t>An emergency, temporary price cap on wholesale gas prices</w:t>
        </w:r>
        <w:r w:rsidR="00E226FA">
          <w:rPr>
            <w:webHidden/>
          </w:rPr>
          <w:tab/>
        </w:r>
        <w:r w:rsidR="00E226FA">
          <w:rPr>
            <w:webHidden/>
          </w:rPr>
          <w:fldChar w:fldCharType="begin"/>
        </w:r>
        <w:r w:rsidR="00E226FA">
          <w:rPr>
            <w:webHidden/>
          </w:rPr>
          <w:instrText xml:space="preserve"> PAGEREF _Toc121341743 \h </w:instrText>
        </w:r>
        <w:r w:rsidR="00E226FA">
          <w:rPr>
            <w:webHidden/>
          </w:rPr>
        </w:r>
        <w:r w:rsidR="00E226FA">
          <w:rPr>
            <w:webHidden/>
          </w:rPr>
          <w:fldChar w:fldCharType="separate"/>
        </w:r>
        <w:r w:rsidR="00E226FA">
          <w:rPr>
            <w:webHidden/>
          </w:rPr>
          <w:t>6</w:t>
        </w:r>
        <w:r w:rsidR="00E226FA">
          <w:rPr>
            <w:webHidden/>
          </w:rPr>
          <w:fldChar w:fldCharType="end"/>
        </w:r>
      </w:hyperlink>
    </w:p>
    <w:p w14:paraId="3975785A" w14:textId="4B813731" w:rsidR="00E226FA" w:rsidRDefault="00B37682">
      <w:pPr>
        <w:pStyle w:val="TOC3"/>
        <w:rPr>
          <w:rFonts w:asciiTheme="minorHAnsi" w:eastAsiaTheme="minorEastAsia" w:hAnsiTheme="minorHAnsi" w:cstheme="minorBidi"/>
          <w:szCs w:val="22"/>
        </w:rPr>
      </w:pPr>
      <w:hyperlink w:anchor="_Toc121341744" w:history="1">
        <w:r w:rsidR="00E226FA" w:rsidRPr="000D4349">
          <w:rPr>
            <w:rStyle w:val="Hyperlink"/>
          </w:rPr>
          <w:t>A mandatory code of conduct to guide behaviour in the market</w:t>
        </w:r>
        <w:r w:rsidR="00E226FA">
          <w:rPr>
            <w:webHidden/>
          </w:rPr>
          <w:tab/>
        </w:r>
        <w:r w:rsidR="00E226FA">
          <w:rPr>
            <w:webHidden/>
          </w:rPr>
          <w:fldChar w:fldCharType="begin"/>
        </w:r>
        <w:r w:rsidR="00E226FA">
          <w:rPr>
            <w:webHidden/>
          </w:rPr>
          <w:instrText xml:space="preserve"> PAGEREF _Toc121341744 \h </w:instrText>
        </w:r>
        <w:r w:rsidR="00E226FA">
          <w:rPr>
            <w:webHidden/>
          </w:rPr>
        </w:r>
        <w:r w:rsidR="00E226FA">
          <w:rPr>
            <w:webHidden/>
          </w:rPr>
          <w:fldChar w:fldCharType="separate"/>
        </w:r>
        <w:r w:rsidR="00E226FA">
          <w:rPr>
            <w:webHidden/>
          </w:rPr>
          <w:t>9</w:t>
        </w:r>
        <w:r w:rsidR="00E226FA">
          <w:rPr>
            <w:webHidden/>
          </w:rPr>
          <w:fldChar w:fldCharType="end"/>
        </w:r>
      </w:hyperlink>
    </w:p>
    <w:p w14:paraId="6A96E59E" w14:textId="5DEC05E0" w:rsidR="00E226FA" w:rsidRDefault="00B37682">
      <w:pPr>
        <w:pStyle w:val="TOC2"/>
        <w:rPr>
          <w:rFonts w:asciiTheme="minorHAnsi" w:eastAsiaTheme="minorEastAsia" w:hAnsiTheme="minorHAnsi" w:cstheme="minorBidi"/>
          <w:color w:val="auto"/>
          <w:szCs w:val="22"/>
        </w:rPr>
      </w:pPr>
      <w:hyperlink w:anchor="_Toc121341745" w:history="1">
        <w:r w:rsidR="00E226FA" w:rsidRPr="000D4349">
          <w:rPr>
            <w:rStyle w:val="Hyperlink"/>
          </w:rPr>
          <w:t>Appendix A: Price cap and reasonable pricing framework</w:t>
        </w:r>
        <w:r w:rsidR="00E226FA">
          <w:rPr>
            <w:webHidden/>
          </w:rPr>
          <w:tab/>
        </w:r>
        <w:r w:rsidR="00E226FA">
          <w:rPr>
            <w:webHidden/>
          </w:rPr>
          <w:fldChar w:fldCharType="begin"/>
        </w:r>
        <w:r w:rsidR="00E226FA">
          <w:rPr>
            <w:webHidden/>
          </w:rPr>
          <w:instrText xml:space="preserve"> PAGEREF _Toc121341745 \h </w:instrText>
        </w:r>
        <w:r w:rsidR="00E226FA">
          <w:rPr>
            <w:webHidden/>
          </w:rPr>
        </w:r>
        <w:r w:rsidR="00E226FA">
          <w:rPr>
            <w:webHidden/>
          </w:rPr>
          <w:fldChar w:fldCharType="separate"/>
        </w:r>
        <w:r w:rsidR="00E226FA">
          <w:rPr>
            <w:webHidden/>
          </w:rPr>
          <w:t>13</w:t>
        </w:r>
        <w:r w:rsidR="00E226FA">
          <w:rPr>
            <w:webHidden/>
          </w:rPr>
          <w:fldChar w:fldCharType="end"/>
        </w:r>
      </w:hyperlink>
    </w:p>
    <w:p w14:paraId="39F3BED5" w14:textId="0A7F8827" w:rsidR="00E226FA" w:rsidRDefault="00B37682">
      <w:pPr>
        <w:pStyle w:val="TOC2"/>
        <w:rPr>
          <w:rFonts w:asciiTheme="minorHAnsi" w:eastAsiaTheme="minorEastAsia" w:hAnsiTheme="minorHAnsi" w:cstheme="minorBidi"/>
          <w:color w:val="auto"/>
          <w:szCs w:val="22"/>
        </w:rPr>
      </w:pPr>
      <w:hyperlink w:anchor="_Toc121341746" w:history="1">
        <w:r w:rsidR="00E226FA" w:rsidRPr="000D4349">
          <w:rPr>
            <w:rStyle w:val="Hyperlink"/>
          </w:rPr>
          <w:t>Appendix B: Draft price cap instrument</w:t>
        </w:r>
        <w:r w:rsidR="00E226FA">
          <w:rPr>
            <w:webHidden/>
          </w:rPr>
          <w:tab/>
        </w:r>
        <w:r w:rsidR="00E226FA">
          <w:rPr>
            <w:webHidden/>
          </w:rPr>
          <w:fldChar w:fldCharType="begin"/>
        </w:r>
        <w:r w:rsidR="00E226FA">
          <w:rPr>
            <w:webHidden/>
          </w:rPr>
          <w:instrText xml:space="preserve"> PAGEREF _Toc121341746 \h </w:instrText>
        </w:r>
        <w:r w:rsidR="00E226FA">
          <w:rPr>
            <w:webHidden/>
          </w:rPr>
        </w:r>
        <w:r w:rsidR="00E226FA">
          <w:rPr>
            <w:webHidden/>
          </w:rPr>
          <w:fldChar w:fldCharType="separate"/>
        </w:r>
        <w:r w:rsidR="00E226FA">
          <w:rPr>
            <w:webHidden/>
          </w:rPr>
          <w:t>15</w:t>
        </w:r>
        <w:r w:rsidR="00E226FA">
          <w:rPr>
            <w:webHidden/>
          </w:rPr>
          <w:fldChar w:fldCharType="end"/>
        </w:r>
      </w:hyperlink>
    </w:p>
    <w:p w14:paraId="56ECC273" w14:textId="4CAD73C3" w:rsidR="00E226FA" w:rsidRDefault="00B37682">
      <w:pPr>
        <w:pStyle w:val="TOC2"/>
        <w:rPr>
          <w:rFonts w:asciiTheme="minorHAnsi" w:eastAsiaTheme="minorEastAsia" w:hAnsiTheme="minorHAnsi" w:cstheme="minorBidi"/>
          <w:color w:val="auto"/>
          <w:szCs w:val="22"/>
        </w:rPr>
      </w:pPr>
      <w:hyperlink w:anchor="_Toc121341747" w:history="1">
        <w:r w:rsidR="00E226FA" w:rsidRPr="000D4349">
          <w:rPr>
            <w:rStyle w:val="Hyperlink"/>
          </w:rPr>
          <w:t>Appendix C: Summary of voluntary code</w:t>
        </w:r>
        <w:r w:rsidR="00E226FA">
          <w:rPr>
            <w:webHidden/>
          </w:rPr>
          <w:tab/>
        </w:r>
        <w:r w:rsidR="00E226FA">
          <w:rPr>
            <w:webHidden/>
          </w:rPr>
          <w:fldChar w:fldCharType="begin"/>
        </w:r>
        <w:r w:rsidR="00E226FA">
          <w:rPr>
            <w:webHidden/>
          </w:rPr>
          <w:instrText xml:space="preserve"> PAGEREF _Toc121341747 \h </w:instrText>
        </w:r>
        <w:r w:rsidR="00E226FA">
          <w:rPr>
            <w:webHidden/>
          </w:rPr>
        </w:r>
        <w:r w:rsidR="00E226FA">
          <w:rPr>
            <w:webHidden/>
          </w:rPr>
          <w:fldChar w:fldCharType="separate"/>
        </w:r>
        <w:r w:rsidR="00E226FA">
          <w:rPr>
            <w:webHidden/>
          </w:rPr>
          <w:t>16</w:t>
        </w:r>
        <w:r w:rsidR="00E226FA">
          <w:rPr>
            <w:webHidden/>
          </w:rPr>
          <w:fldChar w:fldCharType="end"/>
        </w:r>
      </w:hyperlink>
    </w:p>
    <w:p w14:paraId="5A7B0722" w14:textId="7F65F834" w:rsidR="000E0B74" w:rsidRDefault="00257AEE" w:rsidP="00656356">
      <w:pPr>
        <w:pStyle w:val="SingleParagraph"/>
        <w:tabs>
          <w:tab w:val="right" w:leader="dot" w:pos="9072"/>
        </w:tabs>
        <w:ind w:right="-2"/>
        <w:sectPr w:rsidR="000E0B74" w:rsidSect="008043EA">
          <w:footerReference w:type="default" r:id="rId21"/>
          <w:pgSz w:w="11906" w:h="16838" w:code="9"/>
          <w:pgMar w:top="1843" w:right="1418" w:bottom="1418" w:left="1418" w:header="709" w:footer="709" w:gutter="0"/>
          <w:pgNumType w:fmt="lowerRoman"/>
          <w:cols w:space="708"/>
          <w:titlePg/>
          <w:docGrid w:linePitch="360"/>
        </w:sectPr>
      </w:pPr>
      <w:r>
        <w:rPr>
          <w:noProof/>
          <w:color w:val="004A7F"/>
          <w:szCs w:val="22"/>
        </w:rPr>
        <w:fldChar w:fldCharType="end"/>
      </w:r>
    </w:p>
    <w:p w14:paraId="3CCD8462" w14:textId="77777777" w:rsidR="000E0B74" w:rsidRPr="00EE78FE" w:rsidRDefault="000E0B74" w:rsidP="00354FBB">
      <w:pPr>
        <w:pStyle w:val="Heading1"/>
      </w:pPr>
      <w:bookmarkStart w:id="1" w:name="_Toc121341737"/>
      <w:bookmarkStart w:id="2" w:name="_Toc432067103"/>
      <w:r w:rsidRPr="00EE78FE">
        <w:lastRenderedPageBreak/>
        <w:t>Consultation Process</w:t>
      </w:r>
      <w:bookmarkEnd w:id="1"/>
    </w:p>
    <w:p w14:paraId="133599C0" w14:textId="77777777" w:rsidR="00A476A5" w:rsidRDefault="00A476A5" w:rsidP="00A476A5">
      <w:pPr>
        <w:pStyle w:val="Heading2"/>
      </w:pPr>
      <w:bookmarkStart w:id="3" w:name="_Toc121470168"/>
      <w:bookmarkEnd w:id="2"/>
      <w:r>
        <w:t>Request for feedback and comments</w:t>
      </w:r>
      <w:bookmarkEnd w:id="3"/>
    </w:p>
    <w:p w14:paraId="0A5816D9" w14:textId="77777777" w:rsidR="00A476A5" w:rsidRDefault="00A476A5" w:rsidP="00A476A5">
      <w:r>
        <w:t xml:space="preserve">Interested parties are invited to comment on this consultation paper. </w:t>
      </w:r>
    </w:p>
    <w:p w14:paraId="707129DE" w14:textId="77777777" w:rsidR="00A476A5" w:rsidRDefault="00A476A5" w:rsidP="00A476A5">
      <w:r>
        <w:t xml:space="preserve">While submissions may be lodged electronically or by post, electronic lodgement is preferred. For accessibility reasons, please submit responses sent via email in a Word or RTF format. An additional PDF version may also be submitted. </w:t>
      </w:r>
    </w:p>
    <w:p w14:paraId="40601BD7" w14:textId="77777777" w:rsidR="00A476A5" w:rsidRDefault="00A476A5" w:rsidP="00A476A5">
      <w:r>
        <w:t xml:space="preserve">Submissions will be shared with other Commonwealth agencies where necessary for the purposes of this consultation. All information (including name and address details) contained in submissions will be made available to the public on the Treasury and Department of Climate Change, Energy, the Environment and Water websites unless you indicate that you would like all or part of your submission to remain in confidence. Automatically generated confidentiality statements in emails do not suffice for this purpose. Respondents who would like part of their submission to remain in confidence should provide this information marked as such in a separate attachment. Legal requirements, such as those imposed by the </w:t>
      </w:r>
      <w:r>
        <w:rPr>
          <w:i/>
          <w:iCs/>
        </w:rPr>
        <w:t>Freedom of Information Act 1982</w:t>
      </w:r>
      <w:r>
        <w:t>, may affect the confidentiality of your submission.</w:t>
      </w:r>
    </w:p>
    <w:p w14:paraId="4218DA0D" w14:textId="77777777" w:rsidR="00A476A5" w:rsidRDefault="00A476A5" w:rsidP="00A476A5">
      <w:pPr>
        <w:pStyle w:val="Heading3noTOC"/>
      </w:pPr>
      <w:r>
        <w:t xml:space="preserve">Closing date for submissions: </w:t>
      </w:r>
    </w:p>
    <w:p w14:paraId="4E72017C" w14:textId="7D615F3E" w:rsidR="00A476A5" w:rsidRDefault="00A476A5" w:rsidP="00A476A5">
      <w:r>
        <w:t xml:space="preserve">Consultation on the price cap (including the draft price cap instrument at Appendix </w:t>
      </w:r>
      <w:r w:rsidR="00316DA7">
        <w:t>B</w:t>
      </w:r>
      <w:r>
        <w:t xml:space="preserve">) closes on </w:t>
      </w:r>
      <w:r>
        <w:rPr>
          <w:b/>
          <w:bCs/>
        </w:rPr>
        <w:t>1</w:t>
      </w:r>
      <w:r w:rsidR="00154DB3">
        <w:rPr>
          <w:b/>
          <w:bCs/>
        </w:rPr>
        <w:t>5</w:t>
      </w:r>
      <w:r>
        <w:rPr>
          <w:b/>
          <w:bCs/>
        </w:rPr>
        <w:t> December 2022</w:t>
      </w:r>
      <w:r>
        <w:t xml:space="preserve">. Consultation on the remainder of the paper closes on </w:t>
      </w:r>
      <w:r>
        <w:rPr>
          <w:b/>
          <w:bCs/>
        </w:rPr>
        <w:t>7 February 2023</w:t>
      </w:r>
      <w:r>
        <w:t xml:space="preserve">.  </w:t>
      </w:r>
    </w:p>
    <w:tbl>
      <w:tblPr>
        <w:tblStyle w:val="TableGrid"/>
        <w:tblW w:w="0" w:type="auto"/>
        <w:tblLook w:val="04A0" w:firstRow="1" w:lastRow="0" w:firstColumn="1" w:lastColumn="0" w:noHBand="0" w:noVBand="1"/>
      </w:tblPr>
      <w:tblGrid>
        <w:gridCol w:w="1517"/>
        <w:gridCol w:w="7553"/>
      </w:tblGrid>
      <w:tr w:rsidR="00A476A5" w14:paraId="7E97EC51" w14:textId="77777777" w:rsidTr="00A476A5">
        <w:trPr>
          <w:cnfStyle w:val="100000000000" w:firstRow="1" w:lastRow="0" w:firstColumn="0" w:lastColumn="0" w:oddVBand="0" w:evenVBand="0" w:oddHBand="0" w:evenHBand="0" w:firstRowFirstColumn="0" w:firstRowLastColumn="0" w:lastRowFirstColumn="0" w:lastRowLastColumn="0"/>
        </w:trPr>
        <w:tc>
          <w:tcPr>
            <w:tcW w:w="1517" w:type="dxa"/>
            <w:hideMark/>
          </w:tcPr>
          <w:p w14:paraId="06AFC6F2" w14:textId="77777777" w:rsidR="00A476A5" w:rsidRDefault="00A476A5">
            <w:pPr>
              <w:spacing w:before="96" w:after="96"/>
              <w:rPr>
                <w:szCs w:val="22"/>
              </w:rPr>
            </w:pPr>
            <w:r>
              <w:rPr>
                <w:szCs w:val="22"/>
              </w:rPr>
              <w:t>Email</w:t>
            </w:r>
          </w:p>
        </w:tc>
        <w:tc>
          <w:tcPr>
            <w:tcW w:w="7553" w:type="dxa"/>
            <w:hideMark/>
          </w:tcPr>
          <w:p w14:paraId="206FDDAD" w14:textId="77777777" w:rsidR="00A476A5" w:rsidRDefault="00A476A5">
            <w:pPr>
              <w:spacing w:before="96" w:after="96"/>
              <w:rPr>
                <w:szCs w:val="22"/>
              </w:rPr>
            </w:pPr>
            <w:r>
              <w:rPr>
                <w:rFonts w:cs="Arial"/>
                <w:szCs w:val="22"/>
              </w:rPr>
              <w:t>GasMarketConsultation@treasury.gov.au</w:t>
            </w:r>
          </w:p>
        </w:tc>
      </w:tr>
      <w:tr w:rsidR="00A476A5" w14:paraId="5D2678F3" w14:textId="77777777" w:rsidTr="00A476A5">
        <w:tc>
          <w:tcPr>
            <w:tcW w:w="1517" w:type="dxa"/>
          </w:tcPr>
          <w:p w14:paraId="2551E1A7" w14:textId="77777777" w:rsidR="00A476A5" w:rsidRDefault="00A476A5">
            <w:pPr>
              <w:rPr>
                <w:szCs w:val="22"/>
              </w:rPr>
            </w:pPr>
            <w:r>
              <w:rPr>
                <w:szCs w:val="22"/>
              </w:rPr>
              <w:t>Mail</w:t>
            </w:r>
          </w:p>
          <w:p w14:paraId="514A91D1" w14:textId="77777777" w:rsidR="00A476A5" w:rsidRDefault="00A476A5">
            <w:pPr>
              <w:rPr>
                <w:szCs w:val="22"/>
              </w:rPr>
            </w:pPr>
          </w:p>
          <w:p w14:paraId="34C8EA13" w14:textId="77777777" w:rsidR="00A476A5" w:rsidRDefault="00A476A5">
            <w:pPr>
              <w:rPr>
                <w:szCs w:val="22"/>
              </w:rPr>
            </w:pPr>
          </w:p>
        </w:tc>
        <w:tc>
          <w:tcPr>
            <w:tcW w:w="7553" w:type="dxa"/>
            <w:hideMark/>
          </w:tcPr>
          <w:p w14:paraId="1AC8AB01" w14:textId="77777777" w:rsidR="00A476A5" w:rsidRDefault="00A476A5">
            <w:pPr>
              <w:pStyle w:val="SingleParagraph"/>
              <w:rPr>
                <w:rFonts w:cs="Arial"/>
                <w:szCs w:val="22"/>
              </w:rPr>
            </w:pPr>
            <w:r>
              <w:rPr>
                <w:rFonts w:cs="Arial"/>
                <w:szCs w:val="22"/>
              </w:rPr>
              <w:t>Gas Market Consultation</w:t>
            </w:r>
            <w:r>
              <w:rPr>
                <w:rFonts w:cs="Arial"/>
                <w:szCs w:val="22"/>
              </w:rPr>
              <w:br/>
              <w:t xml:space="preserve">Labour Market, Environment, </w:t>
            </w:r>
            <w:proofErr w:type="gramStart"/>
            <w:r>
              <w:rPr>
                <w:rFonts w:cs="Arial"/>
                <w:szCs w:val="22"/>
              </w:rPr>
              <w:t>Industry</w:t>
            </w:r>
            <w:proofErr w:type="gramEnd"/>
            <w:r>
              <w:rPr>
                <w:rFonts w:cs="Arial"/>
                <w:szCs w:val="22"/>
              </w:rPr>
              <w:t xml:space="preserve"> and Infrastructure Division</w:t>
            </w:r>
            <w:r>
              <w:rPr>
                <w:rFonts w:cs="Arial"/>
                <w:szCs w:val="22"/>
              </w:rPr>
              <w:br/>
              <w:t>The Treasury</w:t>
            </w:r>
          </w:p>
          <w:p w14:paraId="1F54FF83" w14:textId="77777777" w:rsidR="00A476A5" w:rsidRDefault="00A476A5">
            <w:pPr>
              <w:pStyle w:val="SingleParagraph"/>
              <w:rPr>
                <w:rFonts w:cs="Arial"/>
                <w:szCs w:val="22"/>
              </w:rPr>
            </w:pPr>
            <w:r>
              <w:rPr>
                <w:rFonts w:cs="Arial"/>
                <w:szCs w:val="22"/>
              </w:rPr>
              <w:t>Langton Crescent</w:t>
            </w:r>
          </w:p>
          <w:p w14:paraId="1ADAF645" w14:textId="77777777" w:rsidR="00A476A5" w:rsidRDefault="00A476A5">
            <w:pPr>
              <w:pStyle w:val="SingleParagraph"/>
              <w:rPr>
                <w:szCs w:val="22"/>
              </w:rPr>
            </w:pPr>
            <w:r>
              <w:rPr>
                <w:szCs w:val="22"/>
              </w:rPr>
              <w:t>PARKES ACT 2600</w:t>
            </w:r>
          </w:p>
        </w:tc>
      </w:tr>
      <w:tr w:rsidR="00A476A5" w14:paraId="2A737AB9" w14:textId="77777777" w:rsidTr="00A476A5">
        <w:tc>
          <w:tcPr>
            <w:tcW w:w="1517" w:type="dxa"/>
            <w:hideMark/>
          </w:tcPr>
          <w:p w14:paraId="27FAF1D9" w14:textId="77777777" w:rsidR="00A476A5" w:rsidRDefault="00A476A5">
            <w:pPr>
              <w:rPr>
                <w:szCs w:val="22"/>
              </w:rPr>
            </w:pPr>
            <w:r>
              <w:rPr>
                <w:szCs w:val="22"/>
              </w:rPr>
              <w:t>Enquiries</w:t>
            </w:r>
          </w:p>
        </w:tc>
        <w:tc>
          <w:tcPr>
            <w:tcW w:w="7553" w:type="dxa"/>
            <w:hideMark/>
          </w:tcPr>
          <w:p w14:paraId="611CD710" w14:textId="77777777" w:rsidR="00A476A5" w:rsidRDefault="00A476A5">
            <w:pPr>
              <w:rPr>
                <w:szCs w:val="22"/>
              </w:rPr>
            </w:pPr>
            <w:r>
              <w:rPr>
                <w:rFonts w:cs="Arial"/>
                <w:szCs w:val="22"/>
              </w:rPr>
              <w:t>Enquiries can be initially directed to GasMarketConsultation@treasury.gov.au</w:t>
            </w:r>
          </w:p>
        </w:tc>
      </w:tr>
    </w:tbl>
    <w:p w14:paraId="2B37D2FD" w14:textId="77777777" w:rsidR="00A476A5" w:rsidRDefault="00A476A5" w:rsidP="00A476A5"/>
    <w:p w14:paraId="17A60E34" w14:textId="77777777" w:rsidR="00A476A5" w:rsidRDefault="00A476A5" w:rsidP="00A476A5">
      <w:r>
        <w:t xml:space="preserve">The principles outlined in this paper have not received Government approval and are not yet law. </w:t>
      </w:r>
      <w:proofErr w:type="gramStart"/>
      <w:r>
        <w:t>As a consequence</w:t>
      </w:r>
      <w:proofErr w:type="gramEnd"/>
      <w:r>
        <w:t>, this paper is merely a guide as to how the principles might operate.</w:t>
      </w:r>
    </w:p>
    <w:p w14:paraId="4A9B5401" w14:textId="77777777" w:rsidR="008D7F38" w:rsidRPr="008D7F38" w:rsidRDefault="008D7F38" w:rsidP="008D7F38"/>
    <w:p w14:paraId="43F27BCF" w14:textId="2358111B" w:rsidR="00E10D39" w:rsidRDefault="00E10D39">
      <w:pPr>
        <w:spacing w:before="0" w:after="160" w:line="259" w:lineRule="auto"/>
        <w:rPr>
          <w:rFonts w:cs="Arial"/>
          <w:color w:val="004A7F"/>
          <w:kern w:val="32"/>
          <w:sz w:val="48"/>
          <w:szCs w:val="36"/>
        </w:rPr>
      </w:pPr>
      <w:r>
        <w:br w:type="page"/>
      </w:r>
    </w:p>
    <w:p w14:paraId="6B3B0DF3" w14:textId="77777777" w:rsidR="002F0166" w:rsidRPr="002F0166" w:rsidRDefault="002F0166" w:rsidP="002F0166">
      <w:pPr>
        <w:pStyle w:val="Heading1"/>
      </w:pPr>
      <w:bookmarkStart w:id="4" w:name="_Toc121341738"/>
      <w:r w:rsidRPr="002F0166">
        <w:lastRenderedPageBreak/>
        <w:t>Options to ensure the domestic wholesale gas market delivers for Australians</w:t>
      </w:r>
      <w:bookmarkEnd w:id="4"/>
    </w:p>
    <w:p w14:paraId="22D669F3" w14:textId="59A82F19" w:rsidR="000E0B74" w:rsidRDefault="000E0B74" w:rsidP="008043EA">
      <w:pPr>
        <w:pStyle w:val="Heading2"/>
      </w:pPr>
      <w:bookmarkStart w:id="5" w:name="_Toc306887371"/>
      <w:bookmarkStart w:id="6" w:name="_Toc432064635"/>
      <w:bookmarkStart w:id="7" w:name="_Toc121341739"/>
      <w:r>
        <w:t>Introduction</w:t>
      </w:r>
      <w:bookmarkEnd w:id="5"/>
      <w:bookmarkEnd w:id="6"/>
      <w:bookmarkEnd w:id="7"/>
    </w:p>
    <w:p w14:paraId="3837861B" w14:textId="31A4A7E1" w:rsidR="00C65B3E" w:rsidRDefault="00C65B3E" w:rsidP="00C65B3E">
      <w:pPr>
        <w:pStyle w:val="Heading3"/>
      </w:pPr>
      <w:bookmarkStart w:id="8" w:name="_Toc121341740"/>
      <w:r>
        <w:t>The need for intervention</w:t>
      </w:r>
      <w:bookmarkEnd w:id="8"/>
      <w:r>
        <w:t xml:space="preserve"> </w:t>
      </w:r>
    </w:p>
    <w:p w14:paraId="409F4072" w14:textId="7E730BE0" w:rsidR="00735128" w:rsidRDefault="005A2079" w:rsidP="00735128">
      <w:pPr>
        <w:pStyle w:val="Bullet"/>
        <w:numPr>
          <w:ilvl w:val="0"/>
          <w:numId w:val="0"/>
        </w:numPr>
      </w:pPr>
      <w:r>
        <w:t>Russia’s</w:t>
      </w:r>
      <w:r w:rsidRPr="004701A9">
        <w:t xml:space="preserve"> </w:t>
      </w:r>
      <w:r w:rsidR="00735128" w:rsidRPr="004701A9">
        <w:t xml:space="preserve">war in Ukraine has </w:t>
      </w:r>
      <w:r w:rsidR="00422E45">
        <w:t xml:space="preserve">disrupted global energy markets and </w:t>
      </w:r>
      <w:r w:rsidR="0090605C">
        <w:rPr>
          <w:rStyle w:val="normaltextrun"/>
        </w:rPr>
        <w:t xml:space="preserve">contributed to </w:t>
      </w:r>
      <w:r w:rsidR="001F0351">
        <w:rPr>
          <w:rStyle w:val="normaltextrun"/>
        </w:rPr>
        <w:t xml:space="preserve">sharp </w:t>
      </w:r>
      <w:r w:rsidR="0090605C">
        <w:rPr>
          <w:rStyle w:val="normaltextrun"/>
        </w:rPr>
        <w:t xml:space="preserve">increases </w:t>
      </w:r>
      <w:r w:rsidR="001F0351">
        <w:rPr>
          <w:rStyle w:val="normaltextrun"/>
        </w:rPr>
        <w:t>in</w:t>
      </w:r>
      <w:r w:rsidR="0090605C">
        <w:rPr>
          <w:rStyle w:val="normaltextrun"/>
        </w:rPr>
        <w:t xml:space="preserve"> gas and electricity prices</w:t>
      </w:r>
      <w:r w:rsidR="0090605C" w:rsidRPr="004701A9">
        <w:t xml:space="preserve">. </w:t>
      </w:r>
      <w:r w:rsidR="0090605C" w:rsidRPr="00D108AA">
        <w:t xml:space="preserve">This has compounded a decade of energy </w:t>
      </w:r>
      <w:r w:rsidR="00422E45">
        <w:t>policy failures</w:t>
      </w:r>
      <w:r w:rsidR="00422E45" w:rsidRPr="00D108AA">
        <w:t xml:space="preserve"> </w:t>
      </w:r>
      <w:r w:rsidR="0090605C" w:rsidRPr="00D108AA">
        <w:t xml:space="preserve">that </w:t>
      </w:r>
      <w:r w:rsidR="007D1380">
        <w:t xml:space="preserve">have left </w:t>
      </w:r>
      <w:r w:rsidR="0090605C" w:rsidRPr="00D108AA">
        <w:t>Australia</w:t>
      </w:r>
      <w:r w:rsidR="007D1380">
        <w:t xml:space="preserve">ns </w:t>
      </w:r>
      <w:r w:rsidR="00422E45">
        <w:t>more vulnerable</w:t>
      </w:r>
      <w:r w:rsidR="00422E45" w:rsidRPr="00D108AA">
        <w:t xml:space="preserve"> </w:t>
      </w:r>
      <w:r w:rsidR="0090605C" w:rsidRPr="00D108AA">
        <w:t xml:space="preserve">to global energy shocks. </w:t>
      </w:r>
      <w:r w:rsidR="0090605C">
        <w:t xml:space="preserve">The result </w:t>
      </w:r>
      <w:r w:rsidR="00C747E7">
        <w:t xml:space="preserve">has been </w:t>
      </w:r>
      <w:r w:rsidR="0090605C" w:rsidRPr="004701A9">
        <w:t>significant</w:t>
      </w:r>
      <w:r w:rsidR="00C747E7">
        <w:t xml:space="preserve"> increases in</w:t>
      </w:r>
      <w:r w:rsidR="0090605C" w:rsidRPr="004701A9">
        <w:t xml:space="preserve"> domestic</w:t>
      </w:r>
      <w:r w:rsidR="00C747E7">
        <w:t xml:space="preserve"> gas and electricity </w:t>
      </w:r>
      <w:r w:rsidR="0090605C" w:rsidRPr="004701A9">
        <w:t>price</w:t>
      </w:r>
      <w:r w:rsidR="007674BF">
        <w:t>s</w:t>
      </w:r>
      <w:r w:rsidR="0090605C" w:rsidRPr="004701A9">
        <w:t xml:space="preserve"> </w:t>
      </w:r>
      <w:r w:rsidR="00EC7A9D">
        <w:t>for households and businesses</w:t>
      </w:r>
      <w:r w:rsidR="37A8D44D">
        <w:t xml:space="preserve"> which are expected to continue</w:t>
      </w:r>
      <w:r w:rsidR="4AF40ED9">
        <w:t>.</w:t>
      </w:r>
      <w:r w:rsidR="0090605C" w:rsidRPr="004463B9">
        <w:t xml:space="preserve"> </w:t>
      </w:r>
      <w:r w:rsidR="0090605C">
        <w:t xml:space="preserve">There are also broader issues in the </w:t>
      </w:r>
      <w:r w:rsidR="0086686C">
        <w:t xml:space="preserve">wholesale </w:t>
      </w:r>
      <w:r w:rsidR="0090605C">
        <w:t xml:space="preserve">gas market which mean that offers for supply contracts are not always being made on reasonable terms. </w:t>
      </w:r>
    </w:p>
    <w:p w14:paraId="0D7E0CBA" w14:textId="122D11C9" w:rsidR="002551F3" w:rsidRDefault="0090605C" w:rsidP="002551F3">
      <w:pPr>
        <w:pStyle w:val="Bullet"/>
        <w:numPr>
          <w:ilvl w:val="0"/>
          <w:numId w:val="0"/>
        </w:numPr>
      </w:pPr>
      <w:r>
        <w:t>Without intervention, retail gas prices are</w:t>
      </w:r>
      <w:r w:rsidR="009C09F5">
        <w:t xml:space="preserve"> </w:t>
      </w:r>
      <w:r>
        <w:t xml:space="preserve">expected </w:t>
      </w:r>
      <w:r w:rsidR="009C09F5">
        <w:t xml:space="preserve">to </w:t>
      </w:r>
      <w:r>
        <w:t xml:space="preserve">increase by </w:t>
      </w:r>
      <w:r w:rsidR="009C09F5">
        <w:t xml:space="preserve">20 </w:t>
      </w:r>
      <w:r w:rsidR="00690A72">
        <w:t xml:space="preserve">per cent </w:t>
      </w:r>
      <w:r w:rsidR="00FC2049">
        <w:t xml:space="preserve">in </w:t>
      </w:r>
      <w:r w:rsidR="00D26447">
        <w:t>2023-24</w:t>
      </w:r>
      <w:r w:rsidR="00FF6020">
        <w:t xml:space="preserve"> and </w:t>
      </w:r>
      <w:r w:rsidR="00611A4A">
        <w:t xml:space="preserve">retail electricity prices </w:t>
      </w:r>
      <w:r w:rsidR="007C29EA">
        <w:t>are expected to increase by 36 per cent in 2023-24</w:t>
      </w:r>
      <w:r>
        <w:t>.</w:t>
      </w:r>
      <w:r w:rsidR="4AF40ED9">
        <w:t xml:space="preserve"> </w:t>
      </w:r>
      <w:r w:rsidR="048A997E">
        <w:t xml:space="preserve"> </w:t>
      </w:r>
      <w:r w:rsidR="00735128">
        <w:t xml:space="preserve">High wholesale gas prices </w:t>
      </w:r>
      <w:r w:rsidR="002551F3">
        <w:t xml:space="preserve">impact on </w:t>
      </w:r>
      <w:r w:rsidR="00735128">
        <w:t>industrial customers’ viability</w:t>
      </w:r>
      <w:r w:rsidR="00CE55B3">
        <w:t xml:space="preserve"> where production is reliant on gas</w:t>
      </w:r>
      <w:r w:rsidR="00735128">
        <w:t xml:space="preserve">, </w:t>
      </w:r>
      <w:r w:rsidR="00377F2D">
        <w:t xml:space="preserve">and result in </w:t>
      </w:r>
      <w:r w:rsidR="00735128">
        <w:t xml:space="preserve">households </w:t>
      </w:r>
      <w:r w:rsidR="00CE55B3">
        <w:t xml:space="preserve">and commercial users </w:t>
      </w:r>
      <w:r w:rsidR="00735128">
        <w:t xml:space="preserve">ultimately paying more for </w:t>
      </w:r>
      <w:r w:rsidR="002551F3">
        <w:t xml:space="preserve">electricity, gas, and </w:t>
      </w:r>
      <w:r w:rsidR="00735128">
        <w:t xml:space="preserve">goods. </w:t>
      </w:r>
      <w:r w:rsidR="00505724">
        <w:t xml:space="preserve"> </w:t>
      </w:r>
    </w:p>
    <w:p w14:paraId="1776D599" w14:textId="0333B4A8" w:rsidR="006D1470" w:rsidRDefault="006D1470" w:rsidP="006D1470">
      <w:pPr>
        <w:pStyle w:val="Bullet"/>
        <w:numPr>
          <w:ilvl w:val="0"/>
          <w:numId w:val="0"/>
        </w:numPr>
      </w:pPr>
      <w:r>
        <w:t xml:space="preserve">This consultation paper seeks input on the design of the </w:t>
      </w:r>
      <w:r w:rsidR="001F1849">
        <w:t xml:space="preserve">east coast </w:t>
      </w:r>
      <w:r>
        <w:t xml:space="preserve">gas </w:t>
      </w:r>
      <w:r w:rsidR="001F1849">
        <w:t xml:space="preserve">market </w:t>
      </w:r>
      <w:r>
        <w:t xml:space="preserve">elements of the </w:t>
      </w:r>
      <w:r w:rsidR="009502EA">
        <w:t>G</w:t>
      </w:r>
      <w:r>
        <w:t>overnment</w:t>
      </w:r>
      <w:r w:rsidR="009502EA">
        <w:t>’</w:t>
      </w:r>
      <w:r>
        <w:t xml:space="preserve">s plan to address high energy prices. </w:t>
      </w:r>
    </w:p>
    <w:p w14:paraId="44ED03EE" w14:textId="27927287" w:rsidR="006D1470" w:rsidRDefault="006D1470" w:rsidP="006D1470">
      <w:pPr>
        <w:pStyle w:val="Bullet"/>
        <w:numPr>
          <w:ilvl w:val="0"/>
          <w:numId w:val="0"/>
        </w:numPr>
      </w:pPr>
      <w:r>
        <w:t xml:space="preserve">The Government </w:t>
      </w:r>
      <w:r w:rsidR="001B323D">
        <w:t xml:space="preserve">is taking </w:t>
      </w:r>
      <w:r w:rsidR="0043414D">
        <w:t xml:space="preserve">responsible and meaningful action </w:t>
      </w:r>
      <w:r w:rsidR="0009567B">
        <w:t>to</w:t>
      </w:r>
      <w:r>
        <w:t xml:space="preserve"> ensure that </w:t>
      </w:r>
      <w:r w:rsidR="004F5F43">
        <w:t xml:space="preserve">our </w:t>
      </w:r>
      <w:r>
        <w:t xml:space="preserve">gas markets </w:t>
      </w:r>
      <w:r w:rsidR="00B235D4">
        <w:t xml:space="preserve">enable domestic users to access </w:t>
      </w:r>
      <w:r>
        <w:t xml:space="preserve">deliver adequate supply at reasonable prices and on reasonable terms. This will consist of </w:t>
      </w:r>
      <w:r w:rsidR="008975D6">
        <w:t xml:space="preserve">two </w:t>
      </w:r>
      <w:r>
        <w:t>complementary measures:</w:t>
      </w:r>
    </w:p>
    <w:p w14:paraId="53BCA7E3" w14:textId="349F2E7A" w:rsidR="006D1470" w:rsidRDefault="006D1470" w:rsidP="006D1470">
      <w:pPr>
        <w:pStyle w:val="Bullet"/>
      </w:pPr>
      <w:r>
        <w:t>a</w:t>
      </w:r>
      <w:r w:rsidRPr="00CA1B50">
        <w:t xml:space="preserve"> mandatory code </w:t>
      </w:r>
      <w:r w:rsidR="007A02BA">
        <w:t xml:space="preserve">of conduct </w:t>
      </w:r>
      <w:r w:rsidRPr="00CA1B50">
        <w:t xml:space="preserve">to </w:t>
      </w:r>
      <w:r>
        <w:t xml:space="preserve">address </w:t>
      </w:r>
      <w:r w:rsidRPr="00CA1B50">
        <w:t>systemic issues within the market</w:t>
      </w:r>
      <w:r>
        <w:t xml:space="preserve"> and guide behaviour, which includes </w:t>
      </w:r>
      <w:r w:rsidR="00446605">
        <w:t xml:space="preserve">a </w:t>
      </w:r>
      <w:r>
        <w:t xml:space="preserve">reasonable price </w:t>
      </w:r>
      <w:r w:rsidR="00446605">
        <w:t>provision</w:t>
      </w:r>
      <w:r w:rsidR="008975D6">
        <w:t>; and</w:t>
      </w:r>
      <w:r>
        <w:t xml:space="preserve"> </w:t>
      </w:r>
    </w:p>
    <w:p w14:paraId="078194EC" w14:textId="6F86570F" w:rsidR="006D1470" w:rsidDel="00816C98" w:rsidRDefault="006D1470" w:rsidP="006D1470">
      <w:pPr>
        <w:pStyle w:val="Bullet"/>
      </w:pPr>
      <w:r>
        <w:t xml:space="preserve">an emergency, temporary cap </w:t>
      </w:r>
      <w:r w:rsidR="008A648C">
        <w:t xml:space="preserve">on wholesale gas prices for 12 months. </w:t>
      </w:r>
    </w:p>
    <w:p w14:paraId="4F9C8FC0" w14:textId="2E66C81F" w:rsidR="008F151E" w:rsidRDefault="006D1470" w:rsidP="006D1470">
      <w:pPr>
        <w:pStyle w:val="Bullet"/>
        <w:numPr>
          <w:ilvl w:val="0"/>
          <w:numId w:val="0"/>
        </w:numPr>
      </w:pPr>
      <w:r>
        <w:t xml:space="preserve">The mandatory code </w:t>
      </w:r>
      <w:r w:rsidR="007E364F">
        <w:t xml:space="preserve">will </w:t>
      </w:r>
      <w:r>
        <w:t xml:space="preserve">be an ongoing addition to Australia’s </w:t>
      </w:r>
      <w:r w:rsidRPr="00AA3454">
        <w:t>east coast gas market</w:t>
      </w:r>
      <w:r>
        <w:t xml:space="preserve"> regulation, </w:t>
      </w:r>
      <w:r w:rsidR="0054390B">
        <w:t xml:space="preserve">with </w:t>
      </w:r>
      <w:r w:rsidR="00B746FA">
        <w:t>key elements</w:t>
      </w:r>
      <w:r>
        <w:t xml:space="preserve"> subject to review </w:t>
      </w:r>
      <w:proofErr w:type="gramStart"/>
      <w:r>
        <w:t>on the basis of</w:t>
      </w:r>
      <w:proofErr w:type="gramEnd"/>
      <w:r>
        <w:t xml:space="preserve"> changes to the market’s structure and conduct. </w:t>
      </w:r>
      <w:r w:rsidR="008F151E">
        <w:t>It will be subject to consultation</w:t>
      </w:r>
      <w:r w:rsidR="00081B45">
        <w:t xml:space="preserve"> until </w:t>
      </w:r>
      <w:proofErr w:type="gramStart"/>
      <w:r w:rsidR="00081B45">
        <w:t>February 2023, and</w:t>
      </w:r>
      <w:proofErr w:type="gramEnd"/>
      <w:r w:rsidR="00081B45">
        <w:t xml:space="preserve"> is expected to come into effect shortly thereafter. </w:t>
      </w:r>
    </w:p>
    <w:p w14:paraId="3FBD958F" w14:textId="6E5E9C06" w:rsidR="006D1470" w:rsidRDefault="006D1470" w:rsidP="006D1470">
      <w:pPr>
        <w:pStyle w:val="Bullet"/>
        <w:numPr>
          <w:ilvl w:val="0"/>
          <w:numId w:val="0"/>
        </w:numPr>
      </w:pPr>
      <w:r>
        <w:t>Current low levels of competition between producers</w:t>
      </w:r>
      <w:r w:rsidR="00D974F1">
        <w:t>, high prices</w:t>
      </w:r>
      <w:r>
        <w:t xml:space="preserve"> and risks of supply shortages warrant the inclusion of a reasonable pricing </w:t>
      </w:r>
      <w:r w:rsidR="00DB031F">
        <w:t xml:space="preserve">provision </w:t>
      </w:r>
      <w:r w:rsidR="00482318">
        <w:t>within the code</w:t>
      </w:r>
      <w:r w:rsidR="00B61672">
        <w:t>.</w:t>
      </w:r>
      <w:r w:rsidR="00081B45">
        <w:t xml:space="preserve"> A</w:t>
      </w:r>
      <w:r w:rsidR="00E43765">
        <w:t xml:space="preserve"> reasonable pricing </w:t>
      </w:r>
      <w:r w:rsidR="00DC318E">
        <w:t xml:space="preserve">provision </w:t>
      </w:r>
      <w:r w:rsidR="00081B45">
        <w:t xml:space="preserve">would </w:t>
      </w:r>
      <w:r w:rsidR="00E43765">
        <w:t>provide a b</w:t>
      </w:r>
      <w:r w:rsidR="00E43765" w:rsidRPr="00C3489D">
        <w:t>asis for</w:t>
      </w:r>
      <w:r w:rsidRPr="00C3489D" w:rsidDel="00482318">
        <w:t xml:space="preserve"> </w:t>
      </w:r>
      <w:r w:rsidRPr="00C3489D">
        <w:t>producers</w:t>
      </w:r>
      <w:r w:rsidR="00F07D96" w:rsidRPr="00C3489D">
        <w:t xml:space="preserve"> </w:t>
      </w:r>
      <w:r w:rsidR="00E43765" w:rsidRPr="00C3489D">
        <w:t xml:space="preserve">and buyers to negotiate </w:t>
      </w:r>
      <w:r w:rsidRPr="00C3489D">
        <w:t>domestic wholesale gas contracts at ‘reasonable prices’, which reflect the cost of domestic gas production</w:t>
      </w:r>
      <w:r w:rsidR="00511B12" w:rsidRPr="00C3489D">
        <w:t>, allowing for</w:t>
      </w:r>
      <w:r w:rsidRPr="00C3489D">
        <w:t xml:space="preserve"> a reasonable return</w:t>
      </w:r>
      <w:r w:rsidR="00664D69" w:rsidRPr="00C3489D">
        <w:t xml:space="preserve"> on capital</w:t>
      </w:r>
      <w:r w:rsidRPr="00C3489D">
        <w:t xml:space="preserve">. </w:t>
      </w:r>
      <w:r w:rsidR="5A909D58" w:rsidRPr="00C3489D">
        <w:t xml:space="preserve"> </w:t>
      </w:r>
      <w:r w:rsidRPr="00C3489D">
        <w:t>Th</w:t>
      </w:r>
      <w:r w:rsidR="00597BE3" w:rsidRPr="00C3489D">
        <w:t>is provision</w:t>
      </w:r>
      <w:r w:rsidRPr="00C3489D">
        <w:t xml:space="preserve"> </w:t>
      </w:r>
      <w:r w:rsidR="00EE55BB" w:rsidRPr="00C3489D">
        <w:t xml:space="preserve">is expected to </w:t>
      </w:r>
      <w:r w:rsidRPr="00C3489D">
        <w:t xml:space="preserve">remain as </w:t>
      </w:r>
      <w:r w:rsidR="002F3E9B" w:rsidRPr="00C3489D">
        <w:t xml:space="preserve">long </w:t>
      </w:r>
      <w:r w:rsidRPr="00C3489D">
        <w:t>required</w:t>
      </w:r>
      <w:r w:rsidR="00482318" w:rsidRPr="00C3489D">
        <w:t>,</w:t>
      </w:r>
      <w:r w:rsidRPr="00C3489D">
        <w:t xml:space="preserve"> and until the ACCC advises the </w:t>
      </w:r>
      <w:r w:rsidR="00574FD1" w:rsidRPr="00C3489D">
        <w:t xml:space="preserve">Government </w:t>
      </w:r>
      <w:r w:rsidRPr="00C3489D">
        <w:t xml:space="preserve">that domestic gas prices are reflective of </w:t>
      </w:r>
      <w:r w:rsidR="00482318" w:rsidRPr="00C3489D">
        <w:t xml:space="preserve">the </w:t>
      </w:r>
      <w:r w:rsidRPr="00C3489D">
        <w:t xml:space="preserve">underlying costs of production and </w:t>
      </w:r>
      <w:r w:rsidR="00482318" w:rsidRPr="00C3489D">
        <w:t xml:space="preserve">that </w:t>
      </w:r>
      <w:r w:rsidRPr="00C3489D">
        <w:t xml:space="preserve">there is sufficient supply at these prices. </w:t>
      </w:r>
      <w:r w:rsidR="00BD406B" w:rsidRPr="00C3489D">
        <w:t>The operation of this provision will be considered as part of a review of the broader code, once it has been in</w:t>
      </w:r>
      <w:r w:rsidR="00BD406B">
        <w:t xml:space="preserve"> place for a year. </w:t>
      </w:r>
    </w:p>
    <w:p w14:paraId="671F53A8" w14:textId="14CDF5E7" w:rsidR="006D1470" w:rsidRDefault="006D1470" w:rsidP="006D1470">
      <w:pPr>
        <w:pStyle w:val="Bullet"/>
        <w:numPr>
          <w:ilvl w:val="0"/>
          <w:numId w:val="0"/>
        </w:numPr>
      </w:pPr>
      <w:r>
        <w:t xml:space="preserve">For a 12-month period, </w:t>
      </w:r>
      <w:r w:rsidR="0042271C">
        <w:t>a</w:t>
      </w:r>
      <w:r w:rsidR="00BC349E">
        <w:t xml:space="preserve"> </w:t>
      </w:r>
      <w:r>
        <w:t>temporary</w:t>
      </w:r>
      <w:r w:rsidR="00482318">
        <w:t>,</w:t>
      </w:r>
      <w:r>
        <w:t xml:space="preserve"> emergency price cap will </w:t>
      </w:r>
      <w:r w:rsidR="00C13846">
        <w:t xml:space="preserve">also </w:t>
      </w:r>
      <w:r w:rsidR="0042271C">
        <w:t xml:space="preserve">be put in place </w:t>
      </w:r>
      <w:r w:rsidR="00BC349E">
        <w:t xml:space="preserve">to ensure domestic industry remains viable, and </w:t>
      </w:r>
      <w:r w:rsidR="00812405">
        <w:t>to limit e</w:t>
      </w:r>
      <w:r w:rsidR="00881963">
        <w:t>nergy price rises for</w:t>
      </w:r>
      <w:r w:rsidR="00BC349E">
        <w:t xml:space="preserve"> households and businesses</w:t>
      </w:r>
      <w:r>
        <w:t xml:space="preserve">. The </w:t>
      </w:r>
      <w:r w:rsidR="0042271C">
        <w:t>temporary</w:t>
      </w:r>
      <w:r w:rsidDel="00722BF2">
        <w:t xml:space="preserve"> </w:t>
      </w:r>
      <w:r>
        <w:t xml:space="preserve">price cap </w:t>
      </w:r>
      <w:r w:rsidR="000F6CB8">
        <w:t xml:space="preserve">is intended to commence in December 2022 </w:t>
      </w:r>
      <w:r w:rsidR="006F7C3A">
        <w:t xml:space="preserve">– </w:t>
      </w:r>
      <w:r w:rsidR="000F6CB8">
        <w:t>following a focused consu</w:t>
      </w:r>
      <w:r w:rsidR="002B57C9">
        <w:t xml:space="preserve">ltation period, and </w:t>
      </w:r>
      <w:r w:rsidR="002B57C9">
        <w:lastRenderedPageBreak/>
        <w:t xml:space="preserve">to </w:t>
      </w:r>
      <w:r>
        <w:t xml:space="preserve">be subject to review </w:t>
      </w:r>
      <w:r w:rsidR="0042271C">
        <w:t>in mid-2023</w:t>
      </w:r>
      <w:r w:rsidR="006F7C3A">
        <w:t xml:space="preserve"> </w:t>
      </w:r>
      <w:r w:rsidR="00915BF3">
        <w:t>–</w:t>
      </w:r>
      <w:r w:rsidR="006F7C3A">
        <w:t xml:space="preserve"> </w:t>
      </w:r>
      <w:r>
        <w:t xml:space="preserve">to assess whether it is </w:t>
      </w:r>
      <w:r w:rsidR="000F7832">
        <w:t xml:space="preserve">having the </w:t>
      </w:r>
      <w:r>
        <w:t xml:space="preserve">intended </w:t>
      </w:r>
      <w:r w:rsidR="000F7832">
        <w:t>impact on contracting behaviour</w:t>
      </w:r>
      <w:r>
        <w:t xml:space="preserve">. </w:t>
      </w:r>
    </w:p>
    <w:p w14:paraId="3F8AFB2D" w14:textId="53806899" w:rsidR="003D6F3F" w:rsidRDefault="006D1470" w:rsidP="00F50C5E">
      <w:pPr>
        <w:pStyle w:val="Bullet"/>
        <w:numPr>
          <w:ilvl w:val="0"/>
          <w:numId w:val="0"/>
        </w:numPr>
      </w:pPr>
      <w:r w:rsidRPr="00A24FB9">
        <w:t>These interventions will be enforced by the ACCC, with a range of tools including significant civil penalties under the Competition and Consumer Act 2010</w:t>
      </w:r>
      <w:r w:rsidR="00722BF2" w:rsidRPr="00A24FB9">
        <w:t xml:space="preserve"> (CCA)</w:t>
      </w:r>
      <w:r w:rsidRPr="00A24FB9">
        <w:t xml:space="preserve">. The Government is also considering the role of existing regulatory levers and other complementary actions to support the operation of these interventions. </w:t>
      </w:r>
      <w:r w:rsidR="003D6F3F" w:rsidRPr="00A24FB9">
        <w:t xml:space="preserve"> </w:t>
      </w:r>
    </w:p>
    <w:p w14:paraId="1E066E59" w14:textId="3C1D51CE" w:rsidR="009911FA" w:rsidRDefault="00C65B3E" w:rsidP="00B4097F">
      <w:pPr>
        <w:pStyle w:val="Heading3"/>
      </w:pPr>
      <w:bookmarkStart w:id="9" w:name="_Toc121341741"/>
      <w:r>
        <w:t>Criteria for intervention</w:t>
      </w:r>
      <w:bookmarkEnd w:id="9"/>
      <w:r>
        <w:t xml:space="preserve"> </w:t>
      </w:r>
    </w:p>
    <w:p w14:paraId="65FE6983" w14:textId="69225810" w:rsidR="00B4097F" w:rsidRDefault="00B4097F" w:rsidP="00B4097F">
      <w:pPr>
        <w:pStyle w:val="Bullet"/>
        <w:numPr>
          <w:ilvl w:val="0"/>
          <w:numId w:val="0"/>
        </w:numPr>
      </w:pPr>
      <w:r>
        <w:t>The final design of these interventions will be informed by responses to this consultation</w:t>
      </w:r>
      <w:r w:rsidR="005E655B">
        <w:t xml:space="preserve"> </w:t>
      </w:r>
      <w:r w:rsidR="00DC0E34">
        <w:t xml:space="preserve">paper </w:t>
      </w:r>
      <w:r>
        <w:t xml:space="preserve">and assessed against the </w:t>
      </w:r>
      <w:r w:rsidR="00505724">
        <w:t xml:space="preserve">following </w:t>
      </w:r>
      <w:r>
        <w:t xml:space="preserve">criteria. </w:t>
      </w:r>
      <w:r w:rsidR="00077A59">
        <w:t>I</w:t>
      </w:r>
      <w:r w:rsidR="00505724">
        <w:t>nterventions should:</w:t>
      </w:r>
    </w:p>
    <w:p w14:paraId="03908FD9" w14:textId="39EA2315" w:rsidR="00C65B3E" w:rsidRDefault="00505724" w:rsidP="00C65B3E">
      <w:pPr>
        <w:pStyle w:val="Bullet"/>
      </w:pPr>
      <w:r>
        <w:t>Be e</w:t>
      </w:r>
      <w:r w:rsidR="00C65B3E">
        <w:t xml:space="preserve">ffective </w:t>
      </w:r>
      <w:r w:rsidR="007962C6">
        <w:t xml:space="preserve">at </w:t>
      </w:r>
      <w:r w:rsidR="00FE6B3E">
        <w:t xml:space="preserve">limiting </w:t>
      </w:r>
      <w:r w:rsidR="007962C6">
        <w:t xml:space="preserve">increases in </w:t>
      </w:r>
      <w:r>
        <w:t xml:space="preserve">domestic </w:t>
      </w:r>
      <w:r w:rsidR="00C65B3E">
        <w:t>wholesale gas prices.</w:t>
      </w:r>
    </w:p>
    <w:p w14:paraId="5BEB1859" w14:textId="7C458C03" w:rsidR="00C65B3E" w:rsidRDefault="00505724" w:rsidP="00C65B3E">
      <w:pPr>
        <w:pStyle w:val="Bullet"/>
      </w:pPr>
      <w:r>
        <w:t>Be targeted and fit-for purpose</w:t>
      </w:r>
      <w:r w:rsidR="001C20B9">
        <w:t>,</w:t>
      </w:r>
      <w:r>
        <w:t xml:space="preserve"> to minimise any distortionary impacts in energy markets and related markets. </w:t>
      </w:r>
    </w:p>
    <w:p w14:paraId="735A9AF3" w14:textId="136C90DA" w:rsidR="00505724" w:rsidRDefault="00505724" w:rsidP="00C65B3E">
      <w:pPr>
        <w:pStyle w:val="Bullet"/>
      </w:pPr>
      <w:r>
        <w:t>Allow producers to make a reasonable return on investments</w:t>
      </w:r>
      <w:r w:rsidR="0073351B">
        <w:t>,</w:t>
      </w:r>
      <w:r>
        <w:t xml:space="preserve"> to ensure sufficient domestic supply and diversity of suppliers.</w:t>
      </w:r>
    </w:p>
    <w:p w14:paraId="7FCD3A8F" w14:textId="2590627F" w:rsidR="00C65B3E" w:rsidRDefault="00505724" w:rsidP="00C65B3E">
      <w:pPr>
        <w:pStyle w:val="Bullet"/>
      </w:pPr>
      <w:r>
        <w:t xml:space="preserve">Retain incentives for future investments to develop and bring gas to market. </w:t>
      </w:r>
    </w:p>
    <w:p w14:paraId="7F4C88D7" w14:textId="46D44AE4" w:rsidR="00C65B3E" w:rsidRDefault="00505724" w:rsidP="00C65B3E">
      <w:pPr>
        <w:pStyle w:val="Bullet"/>
      </w:pPr>
      <w:r>
        <w:t xml:space="preserve">Be capable of being </w:t>
      </w:r>
      <w:r w:rsidR="00C65B3E">
        <w:t xml:space="preserve">implemented in a clear, workable way which does not create excessive uncertainty or undermine the functioning of the gas market. </w:t>
      </w:r>
    </w:p>
    <w:p w14:paraId="097E816E" w14:textId="6F53C189" w:rsidR="0047659C" w:rsidRDefault="00505724" w:rsidP="000C5968">
      <w:pPr>
        <w:pStyle w:val="Bullet"/>
      </w:pPr>
      <w:r>
        <w:t xml:space="preserve">Allow producers to continue to meet their existing contractual obligations, including </w:t>
      </w:r>
      <w:r w:rsidR="002A73F7">
        <w:t>long</w:t>
      </w:r>
      <w:r w:rsidR="00875BE2">
        <w:t>-</w:t>
      </w:r>
      <w:r w:rsidR="002A73F7">
        <w:t xml:space="preserve">term </w:t>
      </w:r>
      <w:r w:rsidR="00875BE2">
        <w:t xml:space="preserve">foundational contracts </w:t>
      </w:r>
      <w:r>
        <w:t xml:space="preserve">with international partners. </w:t>
      </w:r>
    </w:p>
    <w:p w14:paraId="6345E3A6" w14:textId="17F29A8A" w:rsidR="00505724" w:rsidRDefault="0047659C" w:rsidP="000C5968">
      <w:pPr>
        <w:pStyle w:val="Bullet"/>
      </w:pPr>
      <w:r>
        <w:t xml:space="preserve">Support Australia’s emissions reduction target and the transition of our domestic energy markets.  </w:t>
      </w:r>
    </w:p>
    <w:p w14:paraId="3E2DBCCF" w14:textId="77777777" w:rsidR="00B515FD" w:rsidRDefault="00B515FD">
      <w:pPr>
        <w:spacing w:before="0" w:after="160" w:line="259" w:lineRule="auto"/>
        <w:rPr>
          <w:rFonts w:ascii="Calibri" w:hAnsi="Calibri" w:cs="Arial"/>
          <w:iCs/>
          <w:color w:val="2C384A"/>
          <w:kern w:val="32"/>
          <w:sz w:val="36"/>
          <w:szCs w:val="28"/>
        </w:rPr>
      </w:pPr>
      <w:r>
        <w:br w:type="page"/>
      </w:r>
    </w:p>
    <w:p w14:paraId="3D1109F3" w14:textId="5F35888B" w:rsidR="004A5B87" w:rsidRDefault="00206C4F" w:rsidP="00804496">
      <w:pPr>
        <w:pStyle w:val="Heading2"/>
      </w:pPr>
      <w:bookmarkStart w:id="10" w:name="_Toc121341742"/>
      <w:r>
        <w:lastRenderedPageBreak/>
        <w:t>Consultation questions</w:t>
      </w:r>
      <w:bookmarkEnd w:id="10"/>
    </w:p>
    <w:p w14:paraId="1FCBB861" w14:textId="54A23319" w:rsidR="006D1470" w:rsidRDefault="006D1470" w:rsidP="006D1470">
      <w:pPr>
        <w:pStyle w:val="Heading3"/>
      </w:pPr>
      <w:bookmarkStart w:id="11" w:name="_Toc121341743"/>
      <w:r>
        <w:t xml:space="preserve">An emergency, temporary price cap </w:t>
      </w:r>
      <w:r w:rsidR="006910C2">
        <w:t>on wholesale gas prices</w:t>
      </w:r>
      <w:bookmarkEnd w:id="11"/>
    </w:p>
    <w:p w14:paraId="656D1948" w14:textId="77777777" w:rsidR="006D1470" w:rsidRDefault="006D1470" w:rsidP="006D1470">
      <w:pPr>
        <w:pStyle w:val="Heading4"/>
      </w:pPr>
      <w:r>
        <w:t>Objectives</w:t>
      </w:r>
    </w:p>
    <w:p w14:paraId="256FDA44" w14:textId="77777777" w:rsidR="006D1470" w:rsidRDefault="006D1470" w:rsidP="006D1470">
      <w:pPr>
        <w:pStyle w:val="Bullet"/>
        <w:numPr>
          <w:ilvl w:val="0"/>
          <w:numId w:val="0"/>
        </w:numPr>
        <w:ind w:left="520" w:hanging="520"/>
      </w:pPr>
      <w:r>
        <w:t>The key design objectives of the emergency price cap are that it should:</w:t>
      </w:r>
    </w:p>
    <w:p w14:paraId="4F1526E3" w14:textId="78F45276" w:rsidR="006D1470" w:rsidRDefault="006D1470" w:rsidP="006D1470">
      <w:pPr>
        <w:pStyle w:val="Bullet"/>
        <w:numPr>
          <w:ilvl w:val="0"/>
          <w:numId w:val="7"/>
        </w:numPr>
      </w:pPr>
      <w:r>
        <w:t xml:space="preserve">Be in place no longer than necessary, and be no broader than necessary, to ensure domestic industry remains viable, </w:t>
      </w:r>
      <w:r w:rsidR="003A1A3A">
        <w:t xml:space="preserve">and to </w:t>
      </w:r>
      <w:r>
        <w:t xml:space="preserve">ensure households </w:t>
      </w:r>
      <w:r w:rsidR="00F2686B">
        <w:t xml:space="preserve">and businesses </w:t>
      </w:r>
      <w:r>
        <w:t>have access to affordable energy.</w:t>
      </w:r>
    </w:p>
    <w:p w14:paraId="7981B78A" w14:textId="1601AA75" w:rsidR="006D1470" w:rsidRDefault="006D1470" w:rsidP="006D1470">
      <w:pPr>
        <w:pStyle w:val="Bullet"/>
        <w:numPr>
          <w:ilvl w:val="0"/>
          <w:numId w:val="7"/>
        </w:numPr>
      </w:pPr>
      <w:r>
        <w:t xml:space="preserve">Ensure domestic prices are reasonable and reflect the costs of supply to the domestic market during the period, </w:t>
      </w:r>
      <w:r w:rsidR="00E421DD">
        <w:t xml:space="preserve">allowing for </w:t>
      </w:r>
      <w:r>
        <w:t xml:space="preserve">a reasonable </w:t>
      </w:r>
      <w:r w:rsidR="00E02B7B">
        <w:t>return on capital</w:t>
      </w:r>
      <w:r>
        <w:t>.</w:t>
      </w:r>
    </w:p>
    <w:p w14:paraId="006B2A9D" w14:textId="6E8563BF" w:rsidR="006D1470" w:rsidRDefault="006D1470" w:rsidP="006D1470">
      <w:pPr>
        <w:pStyle w:val="Bullet"/>
      </w:pPr>
      <w:r>
        <w:t xml:space="preserve">Minimise </w:t>
      </w:r>
      <w:r w:rsidR="00CA162B">
        <w:t xml:space="preserve">and mitigate </w:t>
      </w:r>
      <w:r>
        <w:t>any distortio</w:t>
      </w:r>
      <w:r w:rsidR="00A600A6">
        <w:t>ns</w:t>
      </w:r>
      <w:r>
        <w:t xml:space="preserve"> </w:t>
      </w:r>
      <w:r w:rsidR="00A600A6">
        <w:t xml:space="preserve">to </w:t>
      </w:r>
      <w:r>
        <w:t>wholesale gas markets and related markets</w:t>
      </w:r>
      <w:r w:rsidR="009462B9">
        <w:t>,</w:t>
      </w:r>
      <w:r w:rsidR="403321F0">
        <w:t xml:space="preserve"> </w:t>
      </w:r>
      <w:r w:rsidR="009462B9">
        <w:t>including</w:t>
      </w:r>
      <w:r>
        <w:t xml:space="preserve"> electricity generation, </w:t>
      </w:r>
      <w:r w:rsidR="00722BF2">
        <w:t xml:space="preserve">and retail </w:t>
      </w:r>
      <w:r>
        <w:t xml:space="preserve">gas and electricity markets. </w:t>
      </w:r>
    </w:p>
    <w:p w14:paraId="2A4E77B8" w14:textId="0FDD1F36" w:rsidR="006D1470" w:rsidRDefault="00E421DD" w:rsidP="006D1470">
      <w:pPr>
        <w:pStyle w:val="Bullet"/>
      </w:pPr>
      <w:r>
        <w:t>Preserve incentives and certainty for investors</w:t>
      </w:r>
      <w:r w:rsidR="006D1470">
        <w:t xml:space="preserve">.  </w:t>
      </w:r>
    </w:p>
    <w:p w14:paraId="1F53878B" w14:textId="77777777" w:rsidR="006D1470" w:rsidRDefault="006D1470" w:rsidP="006D1470">
      <w:pPr>
        <w:pStyle w:val="Heading4"/>
      </w:pPr>
      <w:r>
        <w:t>Proposal</w:t>
      </w:r>
    </w:p>
    <w:p w14:paraId="6283993A" w14:textId="23689897" w:rsidR="006D1470" w:rsidRDefault="006D1470" w:rsidP="006D1470">
      <w:r>
        <w:t xml:space="preserve">The Government intends to put in place a temporary, emergency price cap on </w:t>
      </w:r>
      <w:r w:rsidR="007D6178">
        <w:t>east coast</w:t>
      </w:r>
      <w:r w:rsidR="00472711">
        <w:t xml:space="preserve"> </w:t>
      </w:r>
      <w:r>
        <w:t xml:space="preserve">wholesale gas sales, where: </w:t>
      </w:r>
    </w:p>
    <w:p w14:paraId="6D9A3154" w14:textId="256BF267" w:rsidR="006D1470" w:rsidRDefault="00616E68" w:rsidP="006D1470">
      <w:pPr>
        <w:pStyle w:val="Bullet"/>
      </w:pPr>
      <w:r>
        <w:t>t</w:t>
      </w:r>
      <w:r w:rsidR="006D1470">
        <w:t>he seller is a gas producer (including sales made on behalf of gas producers by a related entity</w:t>
      </w:r>
      <w:proofErr w:type="gramStart"/>
      <w:r w:rsidR="006D1470">
        <w:t>);</w:t>
      </w:r>
      <w:proofErr w:type="gramEnd"/>
    </w:p>
    <w:p w14:paraId="4F635136" w14:textId="008E9F71" w:rsidR="006D1470" w:rsidRDefault="00616E68" w:rsidP="006D1470">
      <w:pPr>
        <w:pStyle w:val="Bullet"/>
      </w:pPr>
      <w:r>
        <w:t>t</w:t>
      </w:r>
      <w:r w:rsidR="006D1470">
        <w:t>he gas is sold via contract</w:t>
      </w:r>
      <w:r w:rsidR="003C72E2">
        <w:t>s</w:t>
      </w:r>
      <w:r w:rsidR="006D1470">
        <w:t xml:space="preserve"> </w:t>
      </w:r>
      <w:r w:rsidR="00FD082F">
        <w:t xml:space="preserve">that are </w:t>
      </w:r>
      <w:r w:rsidR="006D1470">
        <w:t xml:space="preserve">directly negotiated between the parties, </w:t>
      </w:r>
      <w:r>
        <w:t xml:space="preserve">or </w:t>
      </w:r>
      <w:r w:rsidR="00FD082F">
        <w:t xml:space="preserve">agreed </w:t>
      </w:r>
      <w:r w:rsidR="006D1470">
        <w:t xml:space="preserve">through the Gas Supply </w:t>
      </w:r>
      <w:proofErr w:type="gramStart"/>
      <w:r w:rsidR="006D1470">
        <w:t>Hub;</w:t>
      </w:r>
      <w:proofErr w:type="gramEnd"/>
    </w:p>
    <w:p w14:paraId="302F5B76" w14:textId="3931A533" w:rsidR="006D1470" w:rsidRDefault="00616E68" w:rsidP="006D1470">
      <w:pPr>
        <w:pStyle w:val="Bullet"/>
      </w:pPr>
      <w:r>
        <w:t>t</w:t>
      </w:r>
      <w:r w:rsidR="006D1470">
        <w:t xml:space="preserve">he </w:t>
      </w:r>
      <w:r w:rsidR="00E43765">
        <w:t xml:space="preserve">price </w:t>
      </w:r>
      <w:r w:rsidR="006D1470">
        <w:t>is agreed, and the gas is to be supplied, while the price cap is in effect (that is, the price cap will not impact prices set through existing contracts</w:t>
      </w:r>
      <w:r w:rsidR="00B515FD">
        <w:t>, or gas to be delivered after the cap ends</w:t>
      </w:r>
      <w:r w:rsidR="006D1470">
        <w:t>); and</w:t>
      </w:r>
    </w:p>
    <w:p w14:paraId="01628F68" w14:textId="1C178551" w:rsidR="006208A7" w:rsidRDefault="00616E68" w:rsidP="00A60CFA">
      <w:pPr>
        <w:pStyle w:val="Bullet"/>
      </w:pPr>
      <w:r>
        <w:t>t</w:t>
      </w:r>
      <w:r w:rsidR="006D1470">
        <w:t xml:space="preserve">he gas to be supplied is sourced for supply from </w:t>
      </w:r>
      <w:r w:rsidR="00C13846">
        <w:t>developed</w:t>
      </w:r>
      <w:r w:rsidR="006D1470">
        <w:t xml:space="preserve"> gas fields</w:t>
      </w:r>
      <w:r w:rsidR="00DC55FD">
        <w:t xml:space="preserve"> (noting g</w:t>
      </w:r>
      <w:r w:rsidR="006D1470">
        <w:t>as</w:t>
      </w:r>
      <w:r w:rsidR="00DC55FD">
        <w:t xml:space="preserve"> to be supplie</w:t>
      </w:r>
      <w:r w:rsidR="00D06895">
        <w:t>d</w:t>
      </w:r>
      <w:r w:rsidR="006D1470">
        <w:t xml:space="preserve"> from currently undeveloped fields will instead be subject to the reasonable pricing </w:t>
      </w:r>
      <w:r w:rsidR="2984B173">
        <w:t>provision</w:t>
      </w:r>
      <w:r w:rsidR="00DC55FD">
        <w:t>)</w:t>
      </w:r>
      <w:r w:rsidR="006D1470">
        <w:t xml:space="preserve">.   </w:t>
      </w:r>
    </w:p>
    <w:p w14:paraId="34DBEEFD" w14:textId="5EB67911" w:rsidR="002D3DDC" w:rsidRDefault="006D1470" w:rsidP="002D3DDC">
      <w:pPr>
        <w:pStyle w:val="Bullet"/>
        <w:numPr>
          <w:ilvl w:val="0"/>
          <w:numId w:val="0"/>
        </w:numPr>
      </w:pPr>
      <w:r>
        <w:t xml:space="preserve">The cap </w:t>
      </w:r>
      <w:r w:rsidR="00D076CF">
        <w:t>will</w:t>
      </w:r>
      <w:r>
        <w:t xml:space="preserve"> be set </w:t>
      </w:r>
      <w:r w:rsidR="006208A7">
        <w:t xml:space="preserve">at a level that </w:t>
      </w:r>
      <w:r w:rsidRPr="00867689">
        <w:t>reflect</w:t>
      </w:r>
      <w:r w:rsidR="006208A7">
        <w:t>s</w:t>
      </w:r>
      <w:r w:rsidRPr="00867689">
        <w:t xml:space="preserve"> </w:t>
      </w:r>
      <w:r>
        <w:t xml:space="preserve">reasonable </w:t>
      </w:r>
      <w:r w:rsidR="006208A7">
        <w:t xml:space="preserve">costs of production at currently developed gas fields </w:t>
      </w:r>
      <w:r>
        <w:t>including</w:t>
      </w:r>
      <w:r w:rsidRPr="00867689">
        <w:t xml:space="preserve"> a </w:t>
      </w:r>
      <w:r w:rsidR="00387DC7">
        <w:t xml:space="preserve">reasonable </w:t>
      </w:r>
      <w:r>
        <w:t>return on capital</w:t>
      </w:r>
      <w:r w:rsidRPr="00867689">
        <w:t xml:space="preserve">, </w:t>
      </w:r>
      <w:proofErr w:type="gramStart"/>
      <w:r w:rsidR="00802BE0">
        <w:t>on the basis of</w:t>
      </w:r>
      <w:proofErr w:type="gramEnd"/>
      <w:r w:rsidR="00802BE0">
        <w:t xml:space="preserve"> advice from the </w:t>
      </w:r>
      <w:r w:rsidR="006208A7">
        <w:t xml:space="preserve">ACCC and </w:t>
      </w:r>
      <w:r w:rsidR="00334425">
        <w:t xml:space="preserve">any </w:t>
      </w:r>
      <w:r w:rsidR="00802BE0">
        <w:t xml:space="preserve">additional considerations raised </w:t>
      </w:r>
      <w:r w:rsidR="00334425">
        <w:t>in</w:t>
      </w:r>
      <w:r w:rsidR="00802BE0">
        <w:t xml:space="preserve"> </w:t>
      </w:r>
      <w:r w:rsidR="006208A7">
        <w:t>response</w:t>
      </w:r>
      <w:r w:rsidR="00FE6118">
        <w:t xml:space="preserve"> </w:t>
      </w:r>
      <w:r w:rsidR="006208A7">
        <w:t>to this consultation paper</w:t>
      </w:r>
      <w:r w:rsidRPr="00867689">
        <w:t>.</w:t>
      </w:r>
    </w:p>
    <w:p w14:paraId="4498FE34" w14:textId="359C4929" w:rsidR="2E742FB0" w:rsidRDefault="2E742FB0" w:rsidP="002D3DDC">
      <w:pPr>
        <w:pStyle w:val="Bullet"/>
        <w:numPr>
          <w:ilvl w:val="0"/>
          <w:numId w:val="0"/>
        </w:numPr>
      </w:pPr>
      <w:r>
        <w:t xml:space="preserve">The ACCC </w:t>
      </w:r>
      <w:r w:rsidR="3007B612">
        <w:t>advise</w:t>
      </w:r>
      <w:r w:rsidR="118AC1A4">
        <w:t>d</w:t>
      </w:r>
      <w:r w:rsidR="3007B612">
        <w:t xml:space="preserve"> </w:t>
      </w:r>
      <w:r>
        <w:t xml:space="preserve">that a $12 per gigajoule price cap would </w:t>
      </w:r>
      <w:r w:rsidR="02803048">
        <w:t xml:space="preserve">be </w:t>
      </w:r>
      <w:r w:rsidR="3007B612">
        <w:t xml:space="preserve">an </w:t>
      </w:r>
      <w:r>
        <w:t xml:space="preserve">appropriate </w:t>
      </w:r>
      <w:r w:rsidR="3007B612">
        <w:t xml:space="preserve">level </w:t>
      </w:r>
      <w:r w:rsidR="01A4BFC2">
        <w:t>to set a temporary, emergency price cap</w:t>
      </w:r>
      <w:r w:rsidR="1C7FDF29">
        <w:t xml:space="preserve"> on the wholesale gas contracts described above</w:t>
      </w:r>
      <w:r w:rsidR="1DD1D465">
        <w:t xml:space="preserve">. This recommendation is supported by analysis of </w:t>
      </w:r>
      <w:r>
        <w:t>offers made in 2021 for supply in 2023</w:t>
      </w:r>
      <w:r w:rsidR="364D6571">
        <w:t>, prior to international prices increas</w:t>
      </w:r>
      <w:r w:rsidR="00C237B7">
        <w:t>es</w:t>
      </w:r>
      <w:r w:rsidR="364D6571">
        <w:t>,</w:t>
      </w:r>
      <w:r w:rsidR="15E3C6FE">
        <w:t xml:space="preserve"> and </w:t>
      </w:r>
      <w:r w:rsidR="63F250A4">
        <w:t xml:space="preserve">of the estimated costs of gas production </w:t>
      </w:r>
      <w:r w:rsidR="3A2AAFF3">
        <w:t>of the east coast’s proven reserves</w:t>
      </w:r>
      <w:r w:rsidR="585E37EC">
        <w:t>.</w:t>
      </w:r>
      <w:r>
        <w:t xml:space="preserve"> Of the 289 domestic offers made over this period, 96 per cent were below $12 per gigajoule, and the average offer was $9.20 per gigajoule.</w:t>
      </w:r>
      <w:r w:rsidR="6D3EEB88">
        <w:t xml:space="preserve"> </w:t>
      </w:r>
      <w:r w:rsidR="5060D7C5">
        <w:t>Based on this, the ACCC considers a price cap of $12</w:t>
      </w:r>
      <w:r w:rsidR="0E11C93C">
        <w:t xml:space="preserve"> per gigajoule</w:t>
      </w:r>
      <w:r w:rsidR="5060D7C5">
        <w:t xml:space="preserve"> is a reasonable price allowing for the key costs of domestic supply, including a reasonable </w:t>
      </w:r>
      <w:r w:rsidR="47F90B01">
        <w:t>return on capital</w:t>
      </w:r>
      <w:r w:rsidR="5060D7C5">
        <w:t xml:space="preserve"> for gas sourced from currently operational fields.</w:t>
      </w:r>
    </w:p>
    <w:p w14:paraId="35441288" w14:textId="06387AEA" w:rsidR="00D15E8A" w:rsidRDefault="006D1470" w:rsidP="006D1470">
      <w:r>
        <w:lastRenderedPageBreak/>
        <w:t xml:space="preserve">The intended </w:t>
      </w:r>
      <w:r w:rsidR="004F7B44">
        <w:t xml:space="preserve">coverage </w:t>
      </w:r>
      <w:r>
        <w:t xml:space="preserve">of the </w:t>
      </w:r>
      <w:r w:rsidR="00E40EAC">
        <w:t>temporary</w:t>
      </w:r>
      <w:r w:rsidR="00614107">
        <w:t>,</w:t>
      </w:r>
      <w:r w:rsidR="00E40EAC">
        <w:t xml:space="preserve"> emergency </w:t>
      </w:r>
      <w:r>
        <w:t xml:space="preserve">price cap is detailed below, and a draft price cap instrument is at </w:t>
      </w:r>
      <w:r w:rsidRPr="0060487C">
        <w:rPr>
          <w:u w:val="single"/>
        </w:rPr>
        <w:t>Appendix B</w:t>
      </w:r>
      <w:r>
        <w:t xml:space="preserve"> to this paper</w:t>
      </w:r>
      <w:r w:rsidR="00750F5B">
        <w:t>,</w:t>
      </w:r>
      <w:r>
        <w:t xml:space="preserve"> to enable feedback on whether the draft instrument reflects the policy intent.   </w:t>
      </w:r>
    </w:p>
    <w:p w14:paraId="63AE1A10" w14:textId="03FBFE73" w:rsidR="00493F36" w:rsidRDefault="00D15E8A" w:rsidP="006D1470">
      <w:r>
        <w:t xml:space="preserve">New sources of supply </w:t>
      </w:r>
      <w:r w:rsidR="00C21BE9">
        <w:t xml:space="preserve">would </w:t>
      </w:r>
      <w:r>
        <w:t xml:space="preserve">be exempt from the cap, and instead </w:t>
      </w:r>
      <w:r w:rsidR="00C72A3C">
        <w:t xml:space="preserve">be </w:t>
      </w:r>
      <w:r>
        <w:t>covered by the reasonable pricing provision, as the pricing observed prior to the increases in prices this year may not provide a reliable indication of the price necessary to recover the costs of new entrants.</w:t>
      </w:r>
    </w:p>
    <w:p w14:paraId="765230E4" w14:textId="06CBECBE" w:rsidR="00693EF5" w:rsidRPr="00A24FB9" w:rsidRDefault="00693EF5" w:rsidP="006D1470">
      <w:r>
        <w:t xml:space="preserve">The price cap </w:t>
      </w:r>
      <w:r w:rsidR="00591D5D">
        <w:t>would</w:t>
      </w:r>
      <w:r>
        <w:t xml:space="preserve"> not apply to prices set through contracts in place at the commencement of the relevant legislation. </w:t>
      </w:r>
      <w:r w:rsidR="00591D5D">
        <w:t xml:space="preserve">It would </w:t>
      </w:r>
      <w:r>
        <w:t xml:space="preserve">apply to new contracts signed while the price cap is in operation, for supply during the period </w:t>
      </w:r>
      <w:r w:rsidR="005948F2">
        <w:t xml:space="preserve">when </w:t>
      </w:r>
      <w:r>
        <w:t xml:space="preserve">the cap is in operation. </w:t>
      </w:r>
      <w:r w:rsidRPr="008C0E76">
        <w:t xml:space="preserve">In the case of a multi-year contract, the price cap will apply to gas to be supplied while the cap is in effect, and the reasonable pricing provision will apply </w:t>
      </w:r>
      <w:r w:rsidR="005B39BB">
        <w:t>to</w:t>
      </w:r>
      <w:r w:rsidRPr="008C0E76">
        <w:t xml:space="preserve"> suppl</w:t>
      </w:r>
      <w:r w:rsidR="005B39BB">
        <w:t>y</w:t>
      </w:r>
      <w:r w:rsidRPr="008C0E76">
        <w:t xml:space="preserve"> </w:t>
      </w:r>
      <w:r w:rsidR="005B39BB">
        <w:t xml:space="preserve">delivered </w:t>
      </w:r>
      <w:r w:rsidRPr="008C0E76">
        <w:t xml:space="preserve">during the remainder of the </w:t>
      </w:r>
      <w:r w:rsidR="005B39BB">
        <w:t>contract</w:t>
      </w:r>
      <w:r w:rsidRPr="008C0E76">
        <w:t>.</w:t>
      </w:r>
      <w:r>
        <w:t xml:space="preserve"> </w:t>
      </w:r>
    </w:p>
    <w:p w14:paraId="356258F0" w14:textId="6570711D" w:rsidR="006D1470" w:rsidRPr="00A24FB9" w:rsidRDefault="006D1470" w:rsidP="006D1470">
      <w:r>
        <w:t xml:space="preserve">The price cap </w:t>
      </w:r>
      <w:r w:rsidR="00163BBE">
        <w:t xml:space="preserve">applies to producers </w:t>
      </w:r>
      <w:proofErr w:type="gramStart"/>
      <w:r w:rsidR="00163BBE">
        <w:t>in order to</w:t>
      </w:r>
      <w:proofErr w:type="gramEnd"/>
      <w:r w:rsidR="00163BBE">
        <w:t xml:space="preserve"> capture </w:t>
      </w:r>
      <w:r w:rsidR="000471BE">
        <w:t>the first sale of gas</w:t>
      </w:r>
      <w:r w:rsidR="00A03A0C">
        <w:t xml:space="preserve">, so </w:t>
      </w:r>
      <w:r w:rsidR="00591D5D">
        <w:t>would</w:t>
      </w:r>
      <w:r w:rsidR="00B10CFA">
        <w:t xml:space="preserve"> </w:t>
      </w:r>
      <w:r>
        <w:t xml:space="preserve">not apply to gas sold at the wholesale level by </w:t>
      </w:r>
      <w:r w:rsidR="00A03A0C">
        <w:t xml:space="preserve">other market participants like retailers, </w:t>
      </w:r>
      <w:r w:rsidR="000B5626">
        <w:t>which have</w:t>
      </w:r>
      <w:r>
        <w:t xml:space="preserve"> different cost structures. </w:t>
      </w:r>
      <w:r w:rsidR="00AA4438">
        <w:t>T</w:t>
      </w:r>
      <w:r>
        <w:t xml:space="preserve">he ACCC and AER will be closely monitoring the behaviour of all participants in the wholesale contract market and, if </w:t>
      </w:r>
      <w:r w:rsidR="00E402C2">
        <w:t>other wholesale gas sellers’</w:t>
      </w:r>
      <w:r>
        <w:t xml:space="preserve"> prices are identified as being excessive relative to their costs, the scope of the price cap could be expanded.</w:t>
      </w:r>
    </w:p>
    <w:p w14:paraId="648F4AC9" w14:textId="15569B4D" w:rsidR="006D1470" w:rsidRPr="00A24FB9" w:rsidRDefault="006D1470" w:rsidP="006D1470">
      <w:r w:rsidRPr="00A24FB9">
        <w:t xml:space="preserve">The price cap </w:t>
      </w:r>
      <w:r w:rsidR="001C6A70" w:rsidRPr="00A24FB9">
        <w:t>is</w:t>
      </w:r>
      <w:r w:rsidR="00693EF5" w:rsidRPr="00A24FB9">
        <w:t xml:space="preserve"> </w:t>
      </w:r>
      <w:r w:rsidR="00591D5D" w:rsidRPr="00A24FB9">
        <w:t xml:space="preserve">also </w:t>
      </w:r>
      <w:r w:rsidR="00693EF5" w:rsidRPr="00A24FB9">
        <w:t>not</w:t>
      </w:r>
      <w:r w:rsidR="00717C84" w:rsidRPr="00A24FB9">
        <w:t xml:space="preserve"> </w:t>
      </w:r>
      <w:r w:rsidR="00921963" w:rsidRPr="00A24FB9">
        <w:t xml:space="preserve">proposed </w:t>
      </w:r>
      <w:r w:rsidR="00717C84" w:rsidRPr="00A24FB9">
        <w:t xml:space="preserve">to </w:t>
      </w:r>
      <w:r w:rsidRPr="00A24FB9">
        <w:t>apply to the Victorian Declared Wholesale Gas Market</w:t>
      </w:r>
      <w:r w:rsidR="00722BF2" w:rsidRPr="00A24FB9">
        <w:t xml:space="preserve"> (DWGM)</w:t>
      </w:r>
      <w:r w:rsidRPr="00A24FB9">
        <w:t>, or to Short Term Trading Markets (</w:t>
      </w:r>
      <w:r w:rsidR="00722BF2" w:rsidRPr="00A24FB9">
        <w:t>STTM) (</w:t>
      </w:r>
      <w:r w:rsidRPr="00A24FB9">
        <w:t xml:space="preserve">Sydney, </w:t>
      </w:r>
      <w:proofErr w:type="gramStart"/>
      <w:r w:rsidRPr="00A24FB9">
        <w:t>Adelaide</w:t>
      </w:r>
      <w:proofErr w:type="gramEnd"/>
      <w:r w:rsidRPr="00A24FB9">
        <w:t xml:space="preserve"> and Brisbane)</w:t>
      </w:r>
      <w:r w:rsidR="00F33722" w:rsidRPr="00A24FB9">
        <w:t>, as t</w:t>
      </w:r>
      <w:r w:rsidRPr="00A24FB9">
        <w:t xml:space="preserve">hese spot markets operate under different pricing and supply structures. Dampening price-based signals in these balancing markets </w:t>
      </w:r>
      <w:r w:rsidR="00D60FA7" w:rsidRPr="00A24FB9">
        <w:t xml:space="preserve">could </w:t>
      </w:r>
      <w:r w:rsidRPr="00A24FB9">
        <w:t>limit the responsiveness of supply during periods of unexpectedly high demand.</w:t>
      </w:r>
      <w:r w:rsidR="00B84C33" w:rsidRPr="00A24FB9">
        <w:t xml:space="preserve"> The </w:t>
      </w:r>
      <w:r w:rsidR="00B8394D" w:rsidRPr="00A24FB9">
        <w:t xml:space="preserve">Gas Supply Hub </w:t>
      </w:r>
      <w:r w:rsidR="001C6A70" w:rsidRPr="00A24FB9">
        <w:t xml:space="preserve">(Wallumbilla and Moomba) </w:t>
      </w:r>
      <w:r w:rsidR="00B8394D" w:rsidRPr="00A24FB9">
        <w:t xml:space="preserve">will be within </w:t>
      </w:r>
      <w:r w:rsidR="00DF564C">
        <w:t xml:space="preserve">the </w:t>
      </w:r>
      <w:r w:rsidR="00B8394D" w:rsidRPr="00A24FB9">
        <w:t>scope of the price cap</w:t>
      </w:r>
      <w:r w:rsidR="00DF564C">
        <w:t>,</w:t>
      </w:r>
      <w:r w:rsidR="00B8394D" w:rsidRPr="00A24FB9">
        <w:t xml:space="preserve"> as </w:t>
      </w:r>
      <w:r w:rsidR="00334D71" w:rsidRPr="00A24FB9">
        <w:t xml:space="preserve">trades completed through the hub are </w:t>
      </w:r>
      <w:r w:rsidR="002E142B">
        <w:t xml:space="preserve">bilateral transactions and can be used to source supply for </w:t>
      </w:r>
      <w:r w:rsidR="00334D71">
        <w:t>durations of weeks or months</w:t>
      </w:r>
      <w:r w:rsidR="00334D71" w:rsidRPr="00A24FB9">
        <w:t>.</w:t>
      </w:r>
      <w:r w:rsidR="00B8394D" w:rsidRPr="00A24FB9">
        <w:t xml:space="preserve"> </w:t>
      </w:r>
    </w:p>
    <w:p w14:paraId="65ECE441" w14:textId="604EA457" w:rsidR="00281D1D" w:rsidRPr="00A24FB9" w:rsidRDefault="00591D5D" w:rsidP="00924D69">
      <w:r w:rsidRPr="00A24FB9">
        <w:t>Finally, t</w:t>
      </w:r>
      <w:r w:rsidR="00D75E54" w:rsidRPr="00A24FB9">
        <w:t xml:space="preserve">he price cap </w:t>
      </w:r>
      <w:r w:rsidR="00AB2451" w:rsidRPr="00A24FB9">
        <w:t xml:space="preserve">is not proposed to </w:t>
      </w:r>
      <w:r w:rsidR="00D75E54" w:rsidRPr="00A24FB9">
        <w:t xml:space="preserve">apply in markets which are </w:t>
      </w:r>
      <w:r w:rsidR="00712C7E" w:rsidRPr="00A24FB9">
        <w:rPr>
          <w:i/>
          <w:iCs/>
        </w:rPr>
        <w:t>functionally</w:t>
      </w:r>
      <w:r w:rsidR="00712C7E" w:rsidRPr="00A24FB9">
        <w:t xml:space="preserve"> </w:t>
      </w:r>
      <w:r w:rsidR="00D75E54" w:rsidRPr="00A24FB9">
        <w:rPr>
          <w:i/>
          <w:iCs/>
        </w:rPr>
        <w:t>separate</w:t>
      </w:r>
      <w:r w:rsidR="00D75E54" w:rsidRPr="00A24FB9">
        <w:t xml:space="preserve"> from the eastern gas region. This reflects that the eastern gas region is the primary gas market in Australia, and other markets are physically or functionally separate, subject to different regulatory frameworks, and are not experiencing the same supply and pricing issues.</w:t>
      </w:r>
      <w:r w:rsidR="00281D1D" w:rsidRPr="00A24FB9">
        <w:t xml:space="preserve"> </w:t>
      </w:r>
      <w:r w:rsidR="00D400D3" w:rsidRPr="00A24FB9">
        <w:t xml:space="preserve">In practice, this means the </w:t>
      </w:r>
      <w:r w:rsidR="7B078DEC" w:rsidRPr="00A24FB9">
        <w:t xml:space="preserve">price cap and mandatory code </w:t>
      </w:r>
      <w:r w:rsidR="00D400D3" w:rsidRPr="00A24FB9">
        <w:t>would</w:t>
      </w:r>
      <w:r w:rsidR="7B078DEC" w:rsidRPr="00A24FB9">
        <w:t xml:space="preserve"> not apply </w:t>
      </w:r>
      <w:r w:rsidR="00D400D3" w:rsidRPr="00A24FB9">
        <w:t>to</w:t>
      </w:r>
      <w:r w:rsidR="7B078DEC" w:rsidRPr="00A24FB9">
        <w:t xml:space="preserve"> Western Australia</w:t>
      </w:r>
      <w:r w:rsidR="00123C58">
        <w:t xml:space="preserve">, or to Northern </w:t>
      </w:r>
      <w:r w:rsidR="00364061">
        <w:t>Terri</w:t>
      </w:r>
      <w:r w:rsidR="00325CCF">
        <w:t>tory</w:t>
      </w:r>
      <w:r w:rsidR="00364061">
        <w:t xml:space="preserve"> </w:t>
      </w:r>
      <w:r w:rsidR="001530B2">
        <w:t>for the period that the Northern Gas Pipeline is not operational</w:t>
      </w:r>
      <w:r w:rsidR="7B078DEC" w:rsidRPr="00A24FB9">
        <w:t>.</w:t>
      </w:r>
    </w:p>
    <w:p w14:paraId="457BAAAA" w14:textId="22346C87" w:rsidR="006D1470" w:rsidRPr="00A24FB9" w:rsidRDefault="006D1470" w:rsidP="006D1470">
      <w:pPr>
        <w:spacing w:before="0" w:after="160" w:line="259" w:lineRule="auto"/>
      </w:pPr>
      <w:r w:rsidRPr="00A24FB9">
        <w:t>The price cap will be enforced by the ACCC, supported by the broader market monitoring activities of the AER. While the price cap is in place, prices above the cap</w:t>
      </w:r>
      <w:r w:rsidR="00785B9C" w:rsidRPr="00A24FB9">
        <w:t xml:space="preserve"> for </w:t>
      </w:r>
      <w:r w:rsidR="00283525" w:rsidRPr="00A24FB9">
        <w:t>relevant contracts</w:t>
      </w:r>
      <w:r w:rsidRPr="00A24FB9">
        <w:t xml:space="preserve"> will </w:t>
      </w:r>
      <w:r w:rsidR="00111E0F" w:rsidRPr="00A24FB9">
        <w:t xml:space="preserve">contravene the legislation </w:t>
      </w:r>
      <w:r w:rsidRPr="00A24FB9">
        <w:t xml:space="preserve">and </w:t>
      </w:r>
      <w:r w:rsidR="0000299D">
        <w:t xml:space="preserve">may </w:t>
      </w:r>
      <w:r w:rsidR="00111E0F" w:rsidRPr="00A24FB9">
        <w:t xml:space="preserve">be </w:t>
      </w:r>
      <w:r w:rsidRPr="00A24FB9">
        <w:t>subject to ACCC enforcement action, including potential significant civil penalties under the</w:t>
      </w:r>
      <w:r w:rsidR="00722BF2" w:rsidRPr="00A24FB9">
        <w:t xml:space="preserve"> C</w:t>
      </w:r>
      <w:r w:rsidR="00E83828" w:rsidRPr="00A24FB9">
        <w:t xml:space="preserve">ompetition and </w:t>
      </w:r>
      <w:r w:rsidR="00722BF2" w:rsidRPr="00A24FB9">
        <w:t>C</w:t>
      </w:r>
      <w:r w:rsidR="00E83828" w:rsidRPr="00A24FB9">
        <w:t xml:space="preserve">onsumer </w:t>
      </w:r>
      <w:r w:rsidR="00722BF2" w:rsidRPr="00A24FB9">
        <w:t>A</w:t>
      </w:r>
      <w:r w:rsidR="00E83828" w:rsidRPr="00A24FB9">
        <w:t>ct 2010</w:t>
      </w:r>
      <w:r w:rsidR="00722BF2" w:rsidRPr="00A24FB9">
        <w:t xml:space="preserve">. </w:t>
      </w:r>
    </w:p>
    <w:tbl>
      <w:tblPr>
        <w:tblW w:w="5000" w:type="pct"/>
        <w:shd w:val="clear" w:color="auto" w:fill="EEEEEE" w:themeFill="background2"/>
        <w:tblCellMar>
          <w:top w:w="227" w:type="dxa"/>
          <w:left w:w="227" w:type="dxa"/>
          <w:bottom w:w="227" w:type="dxa"/>
          <w:right w:w="227" w:type="dxa"/>
        </w:tblCellMar>
        <w:tblLook w:val="04A0" w:firstRow="1" w:lastRow="0" w:firstColumn="1" w:lastColumn="0" w:noHBand="0" w:noVBand="1"/>
      </w:tblPr>
      <w:tblGrid>
        <w:gridCol w:w="9070"/>
      </w:tblGrid>
      <w:tr w:rsidR="006D1470" w14:paraId="6069B586" w14:textId="77777777" w:rsidTr="006B287B">
        <w:tc>
          <w:tcPr>
            <w:tcW w:w="5000" w:type="pct"/>
            <w:shd w:val="clear" w:color="auto" w:fill="EEEEEE" w:themeFill="background2"/>
          </w:tcPr>
          <w:p w14:paraId="344F2183" w14:textId="71E0B36E" w:rsidR="006D1470" w:rsidRPr="00F27FD7" w:rsidRDefault="006D1470" w:rsidP="006B287B">
            <w:pPr>
              <w:pStyle w:val="BoxHeading"/>
            </w:pPr>
            <w:r w:rsidRPr="00F27FD7">
              <w:lastRenderedPageBreak/>
              <w:t>Questions</w:t>
            </w:r>
          </w:p>
          <w:p w14:paraId="5AC56BB1" w14:textId="77777777" w:rsidR="006D1470" w:rsidRDefault="006D1470" w:rsidP="002343C8">
            <w:pPr>
              <w:pStyle w:val="Boxbullet"/>
            </w:pPr>
            <w:r>
              <w:t xml:space="preserve">Is $12 per gigajoule the appropriate level for a cap on wholesale contracts offered by producers, for supply from existing fields? </w:t>
            </w:r>
          </w:p>
          <w:p w14:paraId="62C13B9E" w14:textId="77777777" w:rsidR="006D1470" w:rsidRDefault="006D1470" w:rsidP="002343C8">
            <w:pPr>
              <w:pStyle w:val="Boxdash"/>
            </w:pPr>
            <w:r>
              <w:t>Does this need to be expressed as an average to ensure producers are able to offer flexibility over the course of the contract?</w:t>
            </w:r>
          </w:p>
          <w:p w14:paraId="2A18FFD4" w14:textId="77777777" w:rsidR="006D1470" w:rsidRDefault="006D1470" w:rsidP="002343C8">
            <w:pPr>
              <w:pStyle w:val="Boxbullet"/>
            </w:pPr>
            <w:r>
              <w:t xml:space="preserve">In relation to the scope of the price cap: </w:t>
            </w:r>
          </w:p>
          <w:p w14:paraId="1C1B4348" w14:textId="77777777" w:rsidR="006D1470" w:rsidRDefault="006D1470" w:rsidP="002343C8">
            <w:pPr>
              <w:pStyle w:val="Boxdash"/>
            </w:pPr>
            <w:r>
              <w:t>What gas sales need to be covered to make the price cap effective?</w:t>
            </w:r>
          </w:p>
          <w:p w14:paraId="5CF0DDC6" w14:textId="77777777" w:rsidR="006D1470" w:rsidRDefault="006D1470" w:rsidP="002343C8">
            <w:pPr>
              <w:pStyle w:val="Boxdash"/>
            </w:pPr>
            <w:r>
              <w:t>Does the draft instrument</w:t>
            </w:r>
            <w:r w:rsidRPr="00F27FD7">
              <w:t xml:space="preserve"> </w:t>
            </w:r>
            <w:r>
              <w:t xml:space="preserve">(at </w:t>
            </w:r>
            <w:r w:rsidRPr="008E7D69">
              <w:t>Appendix B</w:t>
            </w:r>
            <w:r>
              <w:t xml:space="preserve">) </w:t>
            </w:r>
            <w:r w:rsidRPr="00F27FD7">
              <w:t>clearly and appropriately define the wholesale contracts which are subject to the price cap?</w:t>
            </w:r>
          </w:p>
          <w:p w14:paraId="7C609E40" w14:textId="040DEAFD" w:rsidR="00C13449" w:rsidRPr="00C13449" w:rsidRDefault="00C13449" w:rsidP="002343C8">
            <w:pPr>
              <w:pStyle w:val="Boxdash"/>
            </w:pPr>
            <w:r w:rsidRPr="00C13449">
              <w:t>Is the draft ‘application to gas’ provision the most appropriate way to exclude undeveloped fields, which may have higher costs of production, from the scope of the price cap?</w:t>
            </w:r>
          </w:p>
          <w:p w14:paraId="785390BA" w14:textId="040DEAFD" w:rsidR="006D1470" w:rsidRDefault="006D1470" w:rsidP="002343C8">
            <w:pPr>
              <w:pStyle w:val="Boxbullet"/>
            </w:pPr>
            <w:r>
              <w:t xml:space="preserve">How </w:t>
            </w:r>
            <w:r w:rsidR="00591D5D">
              <w:t xml:space="preserve">might </w:t>
            </w:r>
            <w:r>
              <w:t>the impacts of this policy differ across key segments of the gas market?</w:t>
            </w:r>
          </w:p>
          <w:p w14:paraId="38E42B81" w14:textId="23829600" w:rsidR="006D1470" w:rsidRPr="00F27FD7" w:rsidRDefault="008059D9" w:rsidP="002343C8">
            <w:pPr>
              <w:pStyle w:val="Boxbullet"/>
            </w:pPr>
            <w:r>
              <w:t xml:space="preserve">Does the proposed model appropriately mitigate the risks associated with market intervention? </w:t>
            </w:r>
          </w:p>
        </w:tc>
      </w:tr>
    </w:tbl>
    <w:p w14:paraId="6D55694E" w14:textId="77777777" w:rsidR="006D1470" w:rsidRDefault="006D1470" w:rsidP="006D1470">
      <w:pPr>
        <w:spacing w:before="0" w:after="160" w:line="259" w:lineRule="auto"/>
        <w:rPr>
          <w:rFonts w:ascii="Calibri" w:hAnsi="Calibri" w:cs="Arial"/>
          <w:b/>
          <w:color w:val="4D7861" w:themeColor="accent2"/>
          <w:kern w:val="32"/>
          <w:sz w:val="28"/>
          <w:szCs w:val="26"/>
        </w:rPr>
      </w:pPr>
      <w:r>
        <w:br w:type="page"/>
      </w:r>
    </w:p>
    <w:p w14:paraId="7C31A1D1" w14:textId="5A8DB2C0" w:rsidR="00EE78FE" w:rsidRDefault="00EE78FE" w:rsidP="00EE78FE">
      <w:pPr>
        <w:pStyle w:val="Heading3"/>
      </w:pPr>
      <w:bookmarkStart w:id="12" w:name="_Toc121341744"/>
      <w:r>
        <w:lastRenderedPageBreak/>
        <w:t>A mandatory code of conduct to guide behaviour in the market</w:t>
      </w:r>
      <w:bookmarkEnd w:id="12"/>
      <w:r>
        <w:t xml:space="preserve"> </w:t>
      </w:r>
    </w:p>
    <w:p w14:paraId="1719D20E" w14:textId="77777777" w:rsidR="00EE78FE" w:rsidRDefault="00EE78FE" w:rsidP="00EE78FE">
      <w:pPr>
        <w:pStyle w:val="Heading4"/>
      </w:pPr>
      <w:r>
        <w:t>Objectives</w:t>
      </w:r>
    </w:p>
    <w:p w14:paraId="549C11C4" w14:textId="77777777" w:rsidR="00EE78FE" w:rsidRDefault="00EE78FE" w:rsidP="00EE78FE">
      <w:pPr>
        <w:pStyle w:val="Bullet"/>
        <w:numPr>
          <w:ilvl w:val="0"/>
          <w:numId w:val="0"/>
        </w:numPr>
        <w:ind w:left="520" w:hanging="520"/>
      </w:pPr>
      <w:r>
        <w:t>The key design objectives of the mandatory code are that it should:</w:t>
      </w:r>
    </w:p>
    <w:p w14:paraId="02626C44" w14:textId="77777777" w:rsidR="00EE78FE" w:rsidRDefault="00EE78FE" w:rsidP="00EE78FE">
      <w:pPr>
        <w:pStyle w:val="Bullet"/>
      </w:pPr>
      <w:r>
        <w:t>Address b</w:t>
      </w:r>
      <w:r w:rsidRPr="00A97629">
        <w:t xml:space="preserve">argaining power imbalances </w:t>
      </w:r>
      <w:r>
        <w:t xml:space="preserve">between producers and buyers in the domestic wholesale gas market. </w:t>
      </w:r>
    </w:p>
    <w:p w14:paraId="14E01AF0" w14:textId="77777777" w:rsidR="00EE78FE" w:rsidRDefault="00EE78FE" w:rsidP="00EE78FE">
      <w:pPr>
        <w:pStyle w:val="Bullet"/>
      </w:pPr>
      <w:r>
        <w:t>Set minimum standards for dealings between producers and buyers, ensuring a clear and certain commercial negotiation framework.</w:t>
      </w:r>
    </w:p>
    <w:p w14:paraId="74761F6F" w14:textId="6555F668" w:rsidR="00EE78FE" w:rsidRDefault="00EE78FE" w:rsidP="00EE78FE">
      <w:pPr>
        <w:pStyle w:val="Bullet"/>
      </w:pPr>
      <w:r>
        <w:t>Support</w:t>
      </w:r>
      <w:r w:rsidRPr="00A97629">
        <w:t xml:space="preserve"> </w:t>
      </w:r>
      <w:r>
        <w:t>producers and buyers</w:t>
      </w:r>
      <w:r w:rsidRPr="00A97629">
        <w:t xml:space="preserve"> to arrive at agreements on</w:t>
      </w:r>
      <w:r>
        <w:t xml:space="preserve"> reasonable terms.  </w:t>
      </w:r>
    </w:p>
    <w:p w14:paraId="0F348E9B" w14:textId="63C148B4" w:rsidR="006D1470" w:rsidRDefault="006D1470" w:rsidP="006D1470">
      <w:pPr>
        <w:pStyle w:val="Bullet"/>
      </w:pPr>
      <w:r>
        <w:t xml:space="preserve">Provide a reasonable pricing </w:t>
      </w:r>
      <w:r w:rsidR="00931D47">
        <w:t xml:space="preserve">provision </w:t>
      </w:r>
      <w:r>
        <w:t xml:space="preserve">to ensure that domestic prices are set at reasonable levels given the underlying costs.  </w:t>
      </w:r>
    </w:p>
    <w:p w14:paraId="72A0E9A5" w14:textId="77777777" w:rsidR="00EE78FE" w:rsidRDefault="00EE78FE" w:rsidP="00EE78FE">
      <w:pPr>
        <w:pStyle w:val="Heading4"/>
      </w:pPr>
      <w:r>
        <w:t>Proposal</w:t>
      </w:r>
    </w:p>
    <w:p w14:paraId="223056C1" w14:textId="5A2BC7A0" w:rsidR="00EE78FE" w:rsidRDefault="005C29F8" w:rsidP="00EE78FE">
      <w:r>
        <w:t xml:space="preserve">The government intends to </w:t>
      </w:r>
      <w:r w:rsidR="00D65604">
        <w:t xml:space="preserve">introduce </w:t>
      </w:r>
      <w:r w:rsidR="00EE78FE">
        <w:t>a mandatory code under the</w:t>
      </w:r>
      <w:r w:rsidR="00722BF2">
        <w:t xml:space="preserve"> </w:t>
      </w:r>
      <w:r w:rsidR="00C738E1">
        <w:t>Competition and Consumer Act 2010</w:t>
      </w:r>
      <w:r w:rsidR="00BB3088">
        <w:t xml:space="preserve">. All </w:t>
      </w:r>
      <w:r w:rsidR="00EE78FE">
        <w:t xml:space="preserve">domestic gas producers will be subject to the requirements of the code in their negotiation of wholesale gas supply contracts, </w:t>
      </w:r>
      <w:r w:rsidR="008E464F">
        <w:t xml:space="preserve">except for those in markets which are </w:t>
      </w:r>
      <w:r w:rsidR="008E464F" w:rsidRPr="00111E0F">
        <w:rPr>
          <w:i/>
          <w:iCs/>
        </w:rPr>
        <w:t>functionally separate</w:t>
      </w:r>
      <w:r w:rsidR="008E464F">
        <w:t xml:space="preserve"> from the eastern gas region.</w:t>
      </w:r>
      <w:r w:rsidR="008E464F" w:rsidDel="00BB3088">
        <w:t xml:space="preserve"> </w:t>
      </w:r>
      <w:r w:rsidR="008E464F">
        <w:t>B</w:t>
      </w:r>
      <w:r w:rsidR="009B3623">
        <w:t>roader application of the code to wholesale contracts sold by other market participants will be considered</w:t>
      </w:r>
      <w:r w:rsidR="000E01BD">
        <w:t>, informed by the ACCC’s advice and responses to this consultation paper</w:t>
      </w:r>
      <w:r w:rsidR="00EE78FE">
        <w:t xml:space="preserve">. </w:t>
      </w:r>
    </w:p>
    <w:p w14:paraId="337CEEAC" w14:textId="06347B26" w:rsidR="00EE78FE" w:rsidRDefault="00EE78FE" w:rsidP="00EE78FE">
      <w:r>
        <w:t xml:space="preserve">The mandatory code will </w:t>
      </w:r>
      <w:r w:rsidR="00CC301F">
        <w:t>build</w:t>
      </w:r>
      <w:r>
        <w:t xml:space="preserve"> on the existing voluntary code</w:t>
      </w:r>
      <w:r w:rsidR="00722BF2">
        <w:t xml:space="preserve"> (see summary at </w:t>
      </w:r>
      <w:r w:rsidR="00722BF2" w:rsidRPr="00DE27FF">
        <w:rPr>
          <w:u w:val="single"/>
        </w:rPr>
        <w:t>Appendix C</w:t>
      </w:r>
      <w:proofErr w:type="gramStart"/>
      <w:r w:rsidR="00722BF2">
        <w:t>)</w:t>
      </w:r>
      <w:r>
        <w:t>, and</w:t>
      </w:r>
      <w:proofErr w:type="gramEnd"/>
      <w:r>
        <w:t xml:space="preserve"> will place obligations on </w:t>
      </w:r>
      <w:r w:rsidR="00BE0E0F">
        <w:t xml:space="preserve">both </w:t>
      </w:r>
      <w:r>
        <w:t xml:space="preserve">producers </w:t>
      </w:r>
      <w:r w:rsidR="00BE0E0F">
        <w:t xml:space="preserve">and buyers </w:t>
      </w:r>
      <w:r>
        <w:t xml:space="preserve">of gas in the domestic wholesale market. </w:t>
      </w:r>
    </w:p>
    <w:p w14:paraId="5ADD1E0A" w14:textId="77777777" w:rsidR="00EE78FE" w:rsidRDefault="00EE78FE" w:rsidP="00EE78FE">
      <w:r>
        <w:t>At a high level, the mandatory code will contain:</w:t>
      </w:r>
    </w:p>
    <w:p w14:paraId="6FD65280" w14:textId="77777777" w:rsidR="00EE78FE" w:rsidRDefault="00EE78FE" w:rsidP="00EE78FE">
      <w:pPr>
        <w:pStyle w:val="Bullet"/>
      </w:pPr>
      <w:r>
        <w:t xml:space="preserve">obligations on both producers and purchasers to act in good </w:t>
      </w:r>
      <w:proofErr w:type="gramStart"/>
      <w:r>
        <w:t>faith;</w:t>
      </w:r>
      <w:proofErr w:type="gramEnd"/>
    </w:p>
    <w:p w14:paraId="35336767" w14:textId="1DCC872E" w:rsidR="00111E0F" w:rsidRDefault="00111E0F" w:rsidP="00EE78FE">
      <w:pPr>
        <w:pStyle w:val="Bullet"/>
      </w:pPr>
      <w:r>
        <w:t xml:space="preserve">requirements for gas producers to publish or otherwise make offers broadly available to the domestic </w:t>
      </w:r>
      <w:proofErr w:type="gramStart"/>
      <w:r>
        <w:t>market;</w:t>
      </w:r>
      <w:proofErr w:type="gramEnd"/>
    </w:p>
    <w:p w14:paraId="0C27F5C9" w14:textId="160E1474" w:rsidR="00EE78FE" w:rsidRDefault="00EE78FE" w:rsidP="00EE78FE">
      <w:pPr>
        <w:pStyle w:val="Bullet"/>
      </w:pPr>
      <w:r>
        <w:t xml:space="preserve">requirements for gas </w:t>
      </w:r>
      <w:r w:rsidR="00805CA9">
        <w:t>producers</w:t>
      </w:r>
      <w:r>
        <w:t xml:space="preserve"> to disclose certain information when issuing expressions of interest (EOIs) or making offers to enter into a gas contract, such as the factors considered in determining the </w:t>
      </w:r>
      <w:proofErr w:type="gramStart"/>
      <w:r>
        <w:t>price;</w:t>
      </w:r>
      <w:proofErr w:type="gramEnd"/>
      <w:r>
        <w:t xml:space="preserve"> </w:t>
      </w:r>
    </w:p>
    <w:p w14:paraId="740CC81A" w14:textId="77777777" w:rsidR="00EE78FE" w:rsidRDefault="00EE78FE" w:rsidP="00EE78FE">
      <w:pPr>
        <w:pStyle w:val="Bullet"/>
      </w:pPr>
      <w:r>
        <w:t>obligations around the timing for issuing EOIs and making offers (for example, specifying minimum periods for EOIs and offers to remain open</w:t>
      </w:r>
      <w:proofErr w:type="gramStart"/>
      <w:r>
        <w:t>);</w:t>
      </w:r>
      <w:proofErr w:type="gramEnd"/>
    </w:p>
    <w:p w14:paraId="29659478" w14:textId="77777777" w:rsidR="00EE78FE" w:rsidRDefault="00EE78FE" w:rsidP="00EE78FE">
      <w:pPr>
        <w:pStyle w:val="Bullet"/>
      </w:pPr>
      <w:r>
        <w:t xml:space="preserve">minimum standards for some terms and conditions of gas supply </w:t>
      </w:r>
      <w:proofErr w:type="gramStart"/>
      <w:r>
        <w:t>contracts;</w:t>
      </w:r>
      <w:proofErr w:type="gramEnd"/>
    </w:p>
    <w:p w14:paraId="38FD7F5C" w14:textId="0D7A6ED5" w:rsidR="00EE78FE" w:rsidRDefault="00EE78FE" w:rsidP="00EE78FE">
      <w:pPr>
        <w:pStyle w:val="Bullet"/>
      </w:pPr>
      <w:r>
        <w:t>a reasonable pricing</w:t>
      </w:r>
      <w:r w:rsidR="00A7071B">
        <w:t xml:space="preserve"> provision</w:t>
      </w:r>
      <w:r>
        <w:t>.</w:t>
      </w:r>
    </w:p>
    <w:p w14:paraId="700BB600" w14:textId="4DD49FA8" w:rsidR="00EE78FE" w:rsidRDefault="00EE78FE" w:rsidP="00EE78FE">
      <w:r>
        <w:t xml:space="preserve">The mandatory code will also include a formal process for the resolution of pre-contractual disputes, ranging from mediation to binding arbitration. </w:t>
      </w:r>
      <w:r w:rsidR="005A2079">
        <w:t xml:space="preserve">Arbitration will generally be available on all terms of gas supply contract negotiations. However, </w:t>
      </w:r>
      <w:bookmarkStart w:id="13" w:name="_Hlk121343579"/>
      <w:r w:rsidR="005A2079" w:rsidRPr="00270DBB">
        <w:t>w</w:t>
      </w:r>
      <w:r w:rsidRPr="00270DBB">
        <w:t xml:space="preserve">hile the price cap is in effect, </w:t>
      </w:r>
      <w:r w:rsidR="005A2079" w:rsidRPr="00270DBB">
        <w:t xml:space="preserve">any price </w:t>
      </w:r>
      <w:r w:rsidR="004F5F43" w:rsidRPr="00270DBB">
        <w:t>below</w:t>
      </w:r>
      <w:r w:rsidR="005A2079" w:rsidRPr="00270DBB">
        <w:t xml:space="preserve"> the cap will be </w:t>
      </w:r>
      <w:r w:rsidR="004F5F43" w:rsidRPr="00270DBB">
        <w:t xml:space="preserve">deemed compliant and ‘reasonable’ </w:t>
      </w:r>
      <w:r w:rsidR="005A2079" w:rsidRPr="00270DBB">
        <w:t>for contracts within the scope of the cap</w:t>
      </w:r>
      <w:bookmarkEnd w:id="13"/>
      <w:r w:rsidR="004F5F43">
        <w:t>. Binding</w:t>
      </w:r>
      <w:r>
        <w:t xml:space="preserve"> arbitration will </w:t>
      </w:r>
      <w:r w:rsidR="004F5F43">
        <w:t xml:space="preserve">therefore </w:t>
      </w:r>
      <w:r w:rsidR="00F07D96">
        <w:t>be limited to the non-</w:t>
      </w:r>
      <w:r>
        <w:t xml:space="preserve">price terms of gas supply contract negotiations </w:t>
      </w:r>
      <w:r w:rsidR="005A2079">
        <w:t xml:space="preserve">for </w:t>
      </w:r>
      <w:r w:rsidR="009B4954">
        <w:t xml:space="preserve">these </w:t>
      </w:r>
      <w:r w:rsidR="005A2079">
        <w:t xml:space="preserve">contracts. </w:t>
      </w:r>
    </w:p>
    <w:p w14:paraId="68EC7BE3" w14:textId="08E4D2CB" w:rsidR="00FF37F5" w:rsidRDefault="00EE78FE" w:rsidP="00924D69">
      <w:r>
        <w:t xml:space="preserve">Once gas supply contracts are </w:t>
      </w:r>
      <w:r w:rsidR="009920BF">
        <w:t>agreed</w:t>
      </w:r>
      <w:r>
        <w:t>, any disputes will be governed by the dispute resolution provisions within the relevant contract.</w:t>
      </w:r>
      <w:r w:rsidR="00FE4517">
        <w:t xml:space="preserve"> </w:t>
      </w:r>
      <w:r>
        <w:t xml:space="preserve">The code will be administered and enforced by the ACCC, and </w:t>
      </w:r>
      <w:r>
        <w:lastRenderedPageBreak/>
        <w:t>the significant penalties within the C</w:t>
      </w:r>
      <w:r w:rsidR="005879C9">
        <w:t xml:space="preserve">ompetition and </w:t>
      </w:r>
      <w:r>
        <w:t>C</w:t>
      </w:r>
      <w:r w:rsidR="005879C9">
        <w:t xml:space="preserve">onsumer </w:t>
      </w:r>
      <w:r>
        <w:t>A</w:t>
      </w:r>
      <w:r w:rsidR="005879C9">
        <w:t>ct</w:t>
      </w:r>
      <w:r>
        <w:t xml:space="preserve"> will be available for non-compliance. </w:t>
      </w:r>
    </w:p>
    <w:p w14:paraId="7F04DEBD" w14:textId="63CB0703" w:rsidR="00824434" w:rsidRPr="00AF63D3" w:rsidRDefault="00824434" w:rsidP="00AF63D3">
      <w:pPr>
        <w:pStyle w:val="Heading4"/>
        <w:rPr>
          <w:i/>
          <w:iCs/>
        </w:rPr>
      </w:pPr>
      <w:bookmarkStart w:id="14" w:name="_Hlk121300835"/>
      <w:r w:rsidRPr="00AF63D3">
        <w:rPr>
          <w:i/>
          <w:iCs/>
        </w:rPr>
        <w:t>Reasonable pricing</w:t>
      </w:r>
      <w:r w:rsidR="00DA18B4">
        <w:rPr>
          <w:i/>
          <w:iCs/>
        </w:rPr>
        <w:t xml:space="preserve"> provision</w:t>
      </w:r>
    </w:p>
    <w:p w14:paraId="14993077" w14:textId="4FB4B0A3" w:rsidR="00824434" w:rsidRDefault="00BF38C6" w:rsidP="00824434">
      <w:pPr>
        <w:pStyle w:val="Bullet"/>
        <w:numPr>
          <w:ilvl w:val="0"/>
          <w:numId w:val="0"/>
        </w:numPr>
        <w:ind w:left="520" w:hanging="520"/>
      </w:pPr>
      <w:r>
        <w:t xml:space="preserve">The Government intends to include a ‘reasonable pricing’ provision in the </w:t>
      </w:r>
      <w:r w:rsidR="008E464F">
        <w:t>mandatory Code of Conduct</w:t>
      </w:r>
      <w:r>
        <w:t xml:space="preserve">, which would have the objectives </w:t>
      </w:r>
      <w:r w:rsidR="00824434">
        <w:t xml:space="preserve">to: </w:t>
      </w:r>
    </w:p>
    <w:p w14:paraId="53E4FBC7" w14:textId="19896AC5" w:rsidR="00824434" w:rsidRDefault="00824434" w:rsidP="00824434">
      <w:pPr>
        <w:pStyle w:val="Bullet"/>
      </w:pPr>
      <w:r>
        <w:t>Ensure domestic prices reflect costs of production</w:t>
      </w:r>
      <w:r w:rsidR="00A417DD">
        <w:t>,</w:t>
      </w:r>
      <w:r w:rsidR="00F80426">
        <w:t xml:space="preserve"> </w:t>
      </w:r>
      <w:r w:rsidR="00B70CC8">
        <w:t xml:space="preserve">allowing for </w:t>
      </w:r>
      <w:r>
        <w:t>a reasonable return</w:t>
      </w:r>
      <w:r w:rsidR="00387DC7">
        <w:t xml:space="preserve"> on capital</w:t>
      </w:r>
      <w:r>
        <w:t>.</w:t>
      </w:r>
    </w:p>
    <w:p w14:paraId="129BE420" w14:textId="6C790406" w:rsidR="00824434" w:rsidRDefault="00824434" w:rsidP="00824434">
      <w:pPr>
        <w:pStyle w:val="Bullet"/>
      </w:pPr>
      <w:r>
        <w:t xml:space="preserve">Be flexible to accommodate </w:t>
      </w:r>
      <w:r w:rsidR="00240837">
        <w:t xml:space="preserve">changes to the </w:t>
      </w:r>
      <w:proofErr w:type="gramStart"/>
      <w:r w:rsidR="00240837">
        <w:t>cost</w:t>
      </w:r>
      <w:r w:rsidR="00AB1BD4">
        <w:t>s</w:t>
      </w:r>
      <w:proofErr w:type="gramEnd"/>
      <w:r w:rsidR="00240837">
        <w:t xml:space="preserve"> drivers of production</w:t>
      </w:r>
      <w:r>
        <w:t xml:space="preserve">. </w:t>
      </w:r>
    </w:p>
    <w:p w14:paraId="018B6982" w14:textId="7B3C1643" w:rsidR="00824434" w:rsidRDefault="00824434" w:rsidP="00824434">
      <w:pPr>
        <w:pStyle w:val="Bullet"/>
      </w:pPr>
      <w:r>
        <w:t xml:space="preserve">Allow for competition on price and price variation reflecting differences </w:t>
      </w:r>
      <w:r w:rsidR="00757827">
        <w:t xml:space="preserve">in </w:t>
      </w:r>
      <w:r>
        <w:t xml:space="preserve">suppliers’ costs. </w:t>
      </w:r>
    </w:p>
    <w:p w14:paraId="5C5B5773" w14:textId="77777777" w:rsidR="00824434" w:rsidRDefault="00824434" w:rsidP="00824434">
      <w:pPr>
        <w:pStyle w:val="Bullet"/>
      </w:pPr>
      <w:r>
        <w:t>Maintain incentives for investment in new sources of supply.</w:t>
      </w:r>
    </w:p>
    <w:p w14:paraId="6B9D2295" w14:textId="72F51937" w:rsidR="00914FAB" w:rsidRDefault="004F5F43" w:rsidP="78D84E63">
      <w:pPr>
        <w:shd w:val="clear" w:color="auto" w:fill="FFFFFF" w:themeFill="background1"/>
      </w:pPr>
      <w:r>
        <w:t xml:space="preserve">The reasonable pricing </w:t>
      </w:r>
      <w:r w:rsidR="0064608F">
        <w:t>provision</w:t>
      </w:r>
      <w:r w:rsidR="69E38A32">
        <w:t xml:space="preserve"> will</w:t>
      </w:r>
      <w:r w:rsidR="32726F5A">
        <w:t xml:space="preserve"> provid</w:t>
      </w:r>
      <w:r w:rsidR="483C6D8E">
        <w:t>e</w:t>
      </w:r>
      <w:r>
        <w:t xml:space="preserve"> a basis for </w:t>
      </w:r>
      <w:r w:rsidR="00F87A8B" w:rsidRPr="000542C7">
        <w:t xml:space="preserve">producers </w:t>
      </w:r>
      <w:r w:rsidR="00F07D96">
        <w:t xml:space="preserve">and buyers to negotiate </w:t>
      </w:r>
      <w:r w:rsidR="00F87A8B" w:rsidRPr="000542C7">
        <w:t xml:space="preserve">domestic </w:t>
      </w:r>
      <w:r w:rsidR="00F87A8B" w:rsidRPr="0042017F">
        <w:t xml:space="preserve">wholesale gas contracts at ‘reasonable prices’, </w:t>
      </w:r>
      <w:r w:rsidR="00154945" w:rsidRPr="0042017F">
        <w:t xml:space="preserve">defined as </w:t>
      </w:r>
      <w:r w:rsidR="00A24D33" w:rsidRPr="0042017F">
        <w:t xml:space="preserve">efficient </w:t>
      </w:r>
      <w:r w:rsidR="0014717F" w:rsidRPr="0042017F">
        <w:t xml:space="preserve">long </w:t>
      </w:r>
      <w:r w:rsidR="004E5C60">
        <w:t>run</w:t>
      </w:r>
      <w:r w:rsidR="0014717F" w:rsidRPr="0042017F">
        <w:t xml:space="preserve"> marginal costs of domestic supply, </w:t>
      </w:r>
      <w:r w:rsidR="000C7471">
        <w:t>allowing for a</w:t>
      </w:r>
      <w:r w:rsidR="0014717F" w:rsidRPr="0042017F">
        <w:t xml:space="preserve"> commercial return on capital reflective of the industry’s risk profile.</w:t>
      </w:r>
      <w:r w:rsidR="00914FAB" w:rsidRPr="78D84E63">
        <w:rPr>
          <w:color w:val="000000" w:themeColor="text1"/>
        </w:rPr>
        <w:t xml:space="preserve"> This would be assessed with reference to the </w:t>
      </w:r>
      <w:r w:rsidR="005B45EA">
        <w:rPr>
          <w:color w:val="000000" w:themeColor="text1"/>
        </w:rPr>
        <w:t xml:space="preserve">cost of the </w:t>
      </w:r>
      <w:r w:rsidR="00914FAB" w:rsidRPr="78D84E63">
        <w:rPr>
          <w:color w:val="000000" w:themeColor="text1"/>
        </w:rPr>
        <w:t xml:space="preserve">most likely new domestic gas production to meet forecast domestic demand, </w:t>
      </w:r>
      <w:r w:rsidR="005B45EA">
        <w:rPr>
          <w:color w:val="000000" w:themeColor="text1"/>
        </w:rPr>
        <w:t>including</w:t>
      </w:r>
      <w:r w:rsidR="00914FAB" w:rsidRPr="78D84E63">
        <w:rPr>
          <w:color w:val="000000" w:themeColor="text1"/>
        </w:rPr>
        <w:t>:</w:t>
      </w:r>
    </w:p>
    <w:p w14:paraId="0644A74B" w14:textId="77777777" w:rsidR="00914FAB" w:rsidRDefault="00914FAB" w:rsidP="00914FAB">
      <w:pPr>
        <w:pStyle w:val="Bullet"/>
        <w:numPr>
          <w:ilvl w:val="0"/>
          <w:numId w:val="16"/>
        </w:numPr>
        <w:tabs>
          <w:tab w:val="clear" w:pos="720"/>
        </w:tabs>
      </w:pPr>
      <w:r>
        <w:t>operating expenditure reflecting efficient new development(s</w:t>
      </w:r>
      <w:proofErr w:type="gramStart"/>
      <w:r>
        <w:t>);</w:t>
      </w:r>
      <w:proofErr w:type="gramEnd"/>
    </w:p>
    <w:p w14:paraId="12D290C9" w14:textId="77777777" w:rsidR="00914FAB" w:rsidRDefault="00914FAB" w:rsidP="00914FAB">
      <w:pPr>
        <w:pStyle w:val="Bullet"/>
        <w:numPr>
          <w:ilvl w:val="0"/>
          <w:numId w:val="16"/>
        </w:numPr>
        <w:tabs>
          <w:tab w:val="clear" w:pos="720"/>
        </w:tabs>
      </w:pPr>
      <w:r>
        <w:t>depreciation based on the economic life of the new development(s</w:t>
      </w:r>
      <w:proofErr w:type="gramStart"/>
      <w:r>
        <w:t>);</w:t>
      </w:r>
      <w:proofErr w:type="gramEnd"/>
    </w:p>
    <w:p w14:paraId="33092CC3" w14:textId="77777777" w:rsidR="00914FAB" w:rsidRDefault="00914FAB" w:rsidP="00914FAB">
      <w:pPr>
        <w:pStyle w:val="Bullet"/>
        <w:numPr>
          <w:ilvl w:val="0"/>
          <w:numId w:val="16"/>
        </w:numPr>
        <w:tabs>
          <w:tab w:val="clear" w:pos="720"/>
        </w:tabs>
      </w:pPr>
      <w:r>
        <w:t>return on capital (set as a benchmark return reflecting the financing costs of an efficient business facing similar risks); and</w:t>
      </w:r>
    </w:p>
    <w:p w14:paraId="02070218" w14:textId="77777777" w:rsidR="00914FAB" w:rsidRDefault="00914FAB" w:rsidP="00914FAB">
      <w:pPr>
        <w:pStyle w:val="Bullet"/>
        <w:numPr>
          <w:ilvl w:val="0"/>
          <w:numId w:val="16"/>
        </w:numPr>
        <w:tabs>
          <w:tab w:val="clear" w:pos="720"/>
        </w:tabs>
      </w:pPr>
      <w:r>
        <w:t>an allowance for taxation and royalties.</w:t>
      </w:r>
    </w:p>
    <w:p w14:paraId="7037256F" w14:textId="7D1208D7" w:rsidR="0014717F" w:rsidRDefault="00914FAB" w:rsidP="0014717F">
      <w:r>
        <w:t xml:space="preserve">The depreciation and return on capital would reflect the capital costs of identifying and bringing new developments to market, including capitalised exploration and development costs. </w:t>
      </w:r>
      <w:r w:rsidR="00A22505">
        <w:t>This will maintain incentives for exploration and supply of gas to the domestic market. </w:t>
      </w:r>
      <w:r>
        <w:t xml:space="preserve">The ACCC will provide guidance in relation to </w:t>
      </w:r>
      <w:r w:rsidR="00A22505">
        <w:t xml:space="preserve">each of </w:t>
      </w:r>
      <w:r>
        <w:t>these factors.</w:t>
      </w:r>
    </w:p>
    <w:p w14:paraId="71D8D87A" w14:textId="084502EF" w:rsidR="004628AA" w:rsidRPr="002A2D01" w:rsidRDefault="003D65D0" w:rsidP="00DC376D">
      <w:r w:rsidRPr="002A2D01">
        <w:t xml:space="preserve">Like the temporary price cap, the reasonable pricing provision </w:t>
      </w:r>
      <w:r w:rsidR="008A7005">
        <w:t xml:space="preserve">applies to producers </w:t>
      </w:r>
      <w:proofErr w:type="gramStart"/>
      <w:r w:rsidR="008A7005">
        <w:t>in order to</w:t>
      </w:r>
      <w:proofErr w:type="gramEnd"/>
      <w:r w:rsidR="008A7005">
        <w:t xml:space="preserve"> capture </w:t>
      </w:r>
      <w:r w:rsidR="00407DBE" w:rsidRPr="002A2D01">
        <w:t>the first sale of gas, so would not apply to gas sold at the wholesale level by other market participants like retailers, which have different cost structures</w:t>
      </w:r>
      <w:r w:rsidR="004628AA" w:rsidRPr="002A2D01">
        <w:t xml:space="preserve">. </w:t>
      </w:r>
    </w:p>
    <w:p w14:paraId="64F97395" w14:textId="2FCF4AB8" w:rsidR="004628AA" w:rsidRDefault="178E0D62" w:rsidP="00DC376D">
      <w:r w:rsidRPr="78D84E63">
        <w:t>For</w:t>
      </w:r>
      <w:r w:rsidR="69025301" w:rsidRPr="78D84E63">
        <w:t xml:space="preserve"> currently</w:t>
      </w:r>
      <w:r w:rsidRPr="78D84E63">
        <w:t xml:space="preserve"> unde</w:t>
      </w:r>
      <w:r w:rsidRPr="78D84E63">
        <w:rPr>
          <w:color w:val="000000" w:themeColor="text1"/>
        </w:rPr>
        <w:t xml:space="preserve">veloped fields, gas will be subject to the reasonable pricing framework </w:t>
      </w:r>
      <w:r w:rsidR="643054B2" w:rsidRPr="78D84E63">
        <w:rPr>
          <w:color w:val="000000" w:themeColor="text1"/>
        </w:rPr>
        <w:t xml:space="preserve">as soon as it is introduced as part of the code in early 2023, </w:t>
      </w:r>
      <w:r w:rsidRPr="78D84E63">
        <w:rPr>
          <w:color w:val="000000" w:themeColor="text1"/>
        </w:rPr>
        <w:t xml:space="preserve">and would not be subject to the </w:t>
      </w:r>
      <w:r w:rsidR="00B222FA" w:rsidRPr="78D84E63">
        <w:rPr>
          <w:color w:val="000000" w:themeColor="text1"/>
        </w:rPr>
        <w:t xml:space="preserve">temporary price </w:t>
      </w:r>
      <w:r w:rsidRPr="78D84E63">
        <w:rPr>
          <w:color w:val="000000" w:themeColor="text1"/>
        </w:rPr>
        <w:t>cap.</w:t>
      </w:r>
      <w:r w:rsidR="2A2E0018" w:rsidRPr="78D84E63">
        <w:rPr>
          <w:color w:val="000000" w:themeColor="text1"/>
        </w:rPr>
        <w:t xml:space="preserve"> </w:t>
      </w:r>
      <w:r w:rsidR="00440332">
        <w:rPr>
          <w:color w:val="000000" w:themeColor="text1"/>
        </w:rPr>
        <w:t>For developed gas fields, t</w:t>
      </w:r>
      <w:r w:rsidR="2A2E0018" w:rsidRPr="78D84E63">
        <w:rPr>
          <w:color w:val="000000" w:themeColor="text1"/>
        </w:rPr>
        <w:t xml:space="preserve">he reasonable pricing provision would apply at the conclusion of the price cap period for </w:t>
      </w:r>
      <w:r w:rsidR="13160A96" w:rsidRPr="78D84E63">
        <w:rPr>
          <w:color w:val="000000" w:themeColor="text1"/>
        </w:rPr>
        <w:t xml:space="preserve">relevant contracts </w:t>
      </w:r>
      <w:r w:rsidR="7C0A1EDC" w:rsidRPr="78D84E63">
        <w:rPr>
          <w:color w:val="000000" w:themeColor="text1"/>
        </w:rPr>
        <w:t xml:space="preserve">that </w:t>
      </w:r>
      <w:r w:rsidR="003301CE">
        <w:rPr>
          <w:color w:val="000000" w:themeColor="text1"/>
        </w:rPr>
        <w:t>are within the scope of the reasonable pricing provision</w:t>
      </w:r>
      <w:r w:rsidR="13160A96" w:rsidRPr="78D84E63">
        <w:rPr>
          <w:color w:val="000000" w:themeColor="text1"/>
        </w:rPr>
        <w:t xml:space="preserve">. </w:t>
      </w:r>
    </w:p>
    <w:p w14:paraId="538A95F0" w14:textId="3B592DAF" w:rsidR="00CF7F07" w:rsidRDefault="00DC376D" w:rsidP="00DC376D">
      <w:r>
        <w:t xml:space="preserve">As with the price cap, </w:t>
      </w:r>
      <w:r w:rsidR="00940558">
        <w:t xml:space="preserve">the </w:t>
      </w:r>
      <w:r>
        <w:t xml:space="preserve">pricing behaviour </w:t>
      </w:r>
      <w:r w:rsidR="00940558">
        <w:t>of other wholesale gas market se</w:t>
      </w:r>
      <w:r w:rsidR="00F50565">
        <w:t xml:space="preserve">llers </w:t>
      </w:r>
      <w:r>
        <w:t xml:space="preserve">will be </w:t>
      </w:r>
      <w:r w:rsidR="00236465">
        <w:t xml:space="preserve">closely </w:t>
      </w:r>
      <w:r>
        <w:t>monitored</w:t>
      </w:r>
      <w:r w:rsidR="00E0140E">
        <w:t xml:space="preserve"> by the ACCC</w:t>
      </w:r>
      <w:r w:rsidR="00AC22EB">
        <w:t>, with the possibility of</w:t>
      </w:r>
      <w:r>
        <w:t xml:space="preserve"> extend</w:t>
      </w:r>
      <w:r w:rsidR="00AC22EB">
        <w:t>ing</w:t>
      </w:r>
      <w:r>
        <w:t xml:space="preserve"> </w:t>
      </w:r>
      <w:r w:rsidR="00AC22EB">
        <w:t xml:space="preserve">the </w:t>
      </w:r>
      <w:r w:rsidR="7D9546B7">
        <w:t xml:space="preserve">code and </w:t>
      </w:r>
      <w:r w:rsidR="00AC22EB">
        <w:t xml:space="preserve">reasonable pricing provision </w:t>
      </w:r>
      <w:r>
        <w:t xml:space="preserve">to </w:t>
      </w:r>
      <w:r w:rsidR="00B41B5A">
        <w:t xml:space="preserve">other </w:t>
      </w:r>
      <w:r w:rsidR="00940558">
        <w:t>market participants</w:t>
      </w:r>
      <w:r>
        <w:t xml:space="preserve"> in future if </w:t>
      </w:r>
      <w:r w:rsidR="0014717F">
        <w:t>warranted by the structure and conduct of the market</w:t>
      </w:r>
      <w:r>
        <w:t xml:space="preserve">. </w:t>
      </w:r>
    </w:p>
    <w:p w14:paraId="16ABD3BF" w14:textId="352C0E9E" w:rsidR="00DC376D" w:rsidRDefault="00DC376D" w:rsidP="00DC376D">
      <w:r>
        <w:t xml:space="preserve">The reasonable pricing </w:t>
      </w:r>
      <w:r w:rsidR="002C17DE">
        <w:t xml:space="preserve">provision </w:t>
      </w:r>
      <w:r>
        <w:t>will be administered by the ACCC</w:t>
      </w:r>
      <w:r w:rsidR="00A227C6">
        <w:t xml:space="preserve"> as part of the code</w:t>
      </w:r>
      <w:r>
        <w:t xml:space="preserve">. </w:t>
      </w:r>
      <w:r w:rsidR="00CC5275">
        <w:t>T</w:t>
      </w:r>
      <w:r>
        <w:t xml:space="preserve">he ACCC </w:t>
      </w:r>
      <w:r w:rsidR="00CC5275">
        <w:t>will</w:t>
      </w:r>
      <w:r>
        <w:t xml:space="preserve"> </w:t>
      </w:r>
      <w:r w:rsidR="00594308">
        <w:t xml:space="preserve">consult </w:t>
      </w:r>
      <w:r>
        <w:t xml:space="preserve">with industry to develop guidelines setting out how it intends to approach compliance and enforcement. </w:t>
      </w:r>
    </w:p>
    <w:bookmarkEnd w:id="14"/>
    <w:p w14:paraId="611D559C" w14:textId="3EFEDB57" w:rsidR="00824434" w:rsidRPr="00824434" w:rsidRDefault="00824434" w:rsidP="00AF63D3">
      <w:pPr>
        <w:tabs>
          <w:tab w:val="left" w:pos="3456"/>
        </w:tabs>
      </w:pPr>
    </w:p>
    <w:tbl>
      <w:tblPr>
        <w:tblW w:w="5000" w:type="pct"/>
        <w:shd w:val="clear" w:color="auto" w:fill="EEEEEE" w:themeFill="background2"/>
        <w:tblCellMar>
          <w:top w:w="227" w:type="dxa"/>
          <w:left w:w="227" w:type="dxa"/>
          <w:bottom w:w="227" w:type="dxa"/>
          <w:right w:w="227" w:type="dxa"/>
        </w:tblCellMar>
        <w:tblLook w:val="04A0" w:firstRow="1" w:lastRow="0" w:firstColumn="1" w:lastColumn="0" w:noHBand="0" w:noVBand="1"/>
      </w:tblPr>
      <w:tblGrid>
        <w:gridCol w:w="9070"/>
      </w:tblGrid>
      <w:tr w:rsidR="00EE78FE" w14:paraId="4837A2F7" w14:textId="77777777" w:rsidTr="006B287B">
        <w:tc>
          <w:tcPr>
            <w:tcW w:w="5000" w:type="pct"/>
            <w:shd w:val="clear" w:color="auto" w:fill="EEEEEE" w:themeFill="background2"/>
          </w:tcPr>
          <w:p w14:paraId="5885FB37" w14:textId="77777777" w:rsidR="00EE78FE" w:rsidRPr="00335564" w:rsidRDefault="00EE78FE" w:rsidP="006B287B">
            <w:pPr>
              <w:pStyle w:val="BoxHeading"/>
            </w:pPr>
            <w:r>
              <w:lastRenderedPageBreak/>
              <w:t xml:space="preserve">Questions </w:t>
            </w:r>
          </w:p>
          <w:p w14:paraId="27034E9D" w14:textId="1BC3F6C6" w:rsidR="00EE78FE" w:rsidRDefault="00EE78FE" w:rsidP="002343C8">
            <w:pPr>
              <w:pStyle w:val="Boxbullet"/>
            </w:pPr>
            <w:r>
              <w:t xml:space="preserve">Are the obligations </w:t>
            </w:r>
            <w:r w:rsidR="001B0A96">
              <w:t xml:space="preserve">outlined </w:t>
            </w:r>
            <w:r w:rsidR="00705834">
              <w:t xml:space="preserve">in the voluntary code (summarised at </w:t>
            </w:r>
            <w:r w:rsidR="001B0A96" w:rsidRPr="00705834">
              <w:t>Appendix C</w:t>
            </w:r>
            <w:r w:rsidR="00705834">
              <w:t>)</w:t>
            </w:r>
            <w:r w:rsidR="003E2693">
              <w:t>, if made mandatory,</w:t>
            </w:r>
            <w:r w:rsidR="001B0A96">
              <w:t xml:space="preserve"> </w:t>
            </w:r>
            <w:r>
              <w:t xml:space="preserve">adequate to address bargaining power imbalances between gas </w:t>
            </w:r>
            <w:r w:rsidR="008B0D77">
              <w:t xml:space="preserve">suppliers </w:t>
            </w:r>
            <w:r>
              <w:t xml:space="preserve">and purchasers in the negotiation of gas supply contracts? </w:t>
            </w:r>
          </w:p>
          <w:p w14:paraId="721ACB19" w14:textId="50EFE158" w:rsidR="008B0D77" w:rsidRDefault="008B0D77" w:rsidP="002343C8">
            <w:pPr>
              <w:pStyle w:val="Boxbullet"/>
            </w:pPr>
            <w:r>
              <w:t xml:space="preserve">Should the Code of Conduct </w:t>
            </w:r>
            <w:r w:rsidR="00BB5B4B">
              <w:t xml:space="preserve">be limited to </w:t>
            </w:r>
            <w:r>
              <w:t>wholesale contracts</w:t>
            </w:r>
            <w:r w:rsidR="00BB5B4B">
              <w:t xml:space="preserve"> where the supplier is a gas producer, or be expanded to include </w:t>
            </w:r>
            <w:r w:rsidR="00A84F07">
              <w:t>contracts offered by other market participants, such as retailers? This need not broaden the application of the reasonable pricing provision.</w:t>
            </w:r>
          </w:p>
          <w:p w14:paraId="44EBAA83" w14:textId="016A9969" w:rsidR="00EE78FE" w:rsidRDefault="00EE78FE" w:rsidP="002343C8">
            <w:pPr>
              <w:pStyle w:val="Boxbullet"/>
            </w:pPr>
            <w:r>
              <w:t xml:space="preserve">How </w:t>
            </w:r>
            <w:r w:rsidR="009D02E4">
              <w:t xml:space="preserve">could </w:t>
            </w:r>
            <w:r>
              <w:t xml:space="preserve">the binding arbitration process be designed to ensure resolution in an efficient and </w:t>
            </w:r>
            <w:r w:rsidR="65CCEA8B">
              <w:t>cost-</w:t>
            </w:r>
            <w:r>
              <w:t>effective manner</w:t>
            </w:r>
            <w:r w:rsidR="00D9576A">
              <w:t xml:space="preserve">, particularly </w:t>
            </w:r>
            <w:proofErr w:type="gramStart"/>
            <w:r w:rsidR="00D9576A">
              <w:t>with regard to</w:t>
            </w:r>
            <w:proofErr w:type="gramEnd"/>
            <w:r w:rsidR="00D9576A">
              <w:t xml:space="preserve"> reasonable pricing</w:t>
            </w:r>
            <w:r>
              <w:t>?</w:t>
            </w:r>
          </w:p>
          <w:p w14:paraId="1FF93663" w14:textId="77777777" w:rsidR="00EE78FE" w:rsidRDefault="00EE78FE" w:rsidP="002343C8">
            <w:pPr>
              <w:pStyle w:val="Boxbullet"/>
            </w:pPr>
            <w:r>
              <w:t>On what grounds should a party to a gas supply agreement negotiation be permitted to refer a dispute to a binding arbitration process? Should mediation be a pre-condition to accessing arbitration?</w:t>
            </w:r>
          </w:p>
          <w:p w14:paraId="36A842CA" w14:textId="5A71105D" w:rsidR="00EE78FE" w:rsidRDefault="00EE78FE" w:rsidP="002343C8">
            <w:pPr>
              <w:pStyle w:val="Boxbullet"/>
            </w:pPr>
            <w:r>
              <w:t xml:space="preserve">On what basis should an arbitrator </w:t>
            </w:r>
            <w:r w:rsidR="009D02E4">
              <w:t xml:space="preserve">be able to </w:t>
            </w:r>
            <w:proofErr w:type="gramStart"/>
            <w:r>
              <w:t>make a determination</w:t>
            </w:r>
            <w:proofErr w:type="gramEnd"/>
            <w:r>
              <w:t xml:space="preserve"> on price? </w:t>
            </w:r>
          </w:p>
          <w:p w14:paraId="3FE3ADC3" w14:textId="77777777" w:rsidR="00E3347B" w:rsidRDefault="00E3347B" w:rsidP="002343C8">
            <w:pPr>
              <w:pStyle w:val="Boxdash"/>
            </w:pPr>
            <w:r>
              <w:t>What factors should be considered for the reasonable pricing provision?</w:t>
            </w:r>
          </w:p>
          <w:p w14:paraId="6FFDBBB8" w14:textId="783D441F" w:rsidR="00EE78FE" w:rsidRDefault="006C3537" w:rsidP="002343C8">
            <w:pPr>
              <w:pStyle w:val="Boxdash"/>
            </w:pPr>
            <w:r>
              <w:t>What type of guid</w:t>
            </w:r>
            <w:r w:rsidR="00664E78">
              <w:t>ance</w:t>
            </w:r>
            <w:r>
              <w:t xml:space="preserve"> </w:t>
            </w:r>
            <w:r w:rsidR="00664E78">
              <w:t xml:space="preserve">on reasonable pricing </w:t>
            </w:r>
            <w:r>
              <w:t xml:space="preserve">should be provided to </w:t>
            </w:r>
            <w:r w:rsidR="00664E78">
              <w:t xml:space="preserve">support negotiations, and if necessary, </w:t>
            </w:r>
            <w:r w:rsidR="00EE78FE">
              <w:t>arbitrat</w:t>
            </w:r>
            <w:r w:rsidR="00664E78">
              <w:t>ion</w:t>
            </w:r>
            <w:r w:rsidR="00EE78FE">
              <w:t>?</w:t>
            </w:r>
          </w:p>
          <w:p w14:paraId="11E4C454" w14:textId="3BE40D86" w:rsidR="006D1470" w:rsidRDefault="006D1470" w:rsidP="002343C8">
            <w:pPr>
              <w:pStyle w:val="Boxbullet"/>
            </w:pPr>
            <w:r>
              <w:t xml:space="preserve">What design features will ensure the reasonable pricing </w:t>
            </w:r>
            <w:r w:rsidR="00AE5609">
              <w:t>provi</w:t>
            </w:r>
            <w:r w:rsidR="0C8AF7E6">
              <w:t xml:space="preserve">sion </w:t>
            </w:r>
            <w:r>
              <w:t xml:space="preserve">provides a sufficiently clear basis for producers and buyers to negotiate a price? </w:t>
            </w:r>
          </w:p>
          <w:p w14:paraId="104C8C15" w14:textId="0EBCD831" w:rsidR="006D1470" w:rsidRDefault="006D1470" w:rsidP="002343C8">
            <w:pPr>
              <w:pStyle w:val="Boxbullet"/>
            </w:pPr>
            <w:r>
              <w:t xml:space="preserve">What model of arbitration should be used to resolve disputes </w:t>
            </w:r>
            <w:r w:rsidR="00F07D96">
              <w:t xml:space="preserve">about </w:t>
            </w:r>
            <w:r>
              <w:t>reasonable pricing?</w:t>
            </w:r>
          </w:p>
          <w:p w14:paraId="41ADEBB0" w14:textId="219D16CC" w:rsidR="006D1470" w:rsidRPr="000D1284" w:rsidRDefault="008059D9" w:rsidP="002343C8">
            <w:pPr>
              <w:pStyle w:val="Boxbullet"/>
            </w:pPr>
            <w:r>
              <w:t>Does the proposed model appropriately mitigate the risks associated with market intervention?</w:t>
            </w:r>
          </w:p>
        </w:tc>
      </w:tr>
    </w:tbl>
    <w:p w14:paraId="1973CA61" w14:textId="77777777" w:rsidR="00EE78FE" w:rsidRDefault="00EE78FE" w:rsidP="00EE78FE"/>
    <w:p w14:paraId="0A27AD41" w14:textId="77777777" w:rsidR="00EE78FE" w:rsidRDefault="00EE78FE" w:rsidP="00EE78FE"/>
    <w:p w14:paraId="2F2E4B10" w14:textId="77777777" w:rsidR="00EE78FE" w:rsidRDefault="00EE78FE" w:rsidP="00EE78FE">
      <w:pPr>
        <w:spacing w:before="0" w:after="160" w:line="259" w:lineRule="auto"/>
      </w:pPr>
      <w:r>
        <w:br w:type="page"/>
      </w:r>
    </w:p>
    <w:p w14:paraId="1E1D80F4" w14:textId="77777777" w:rsidR="002C1197" w:rsidRDefault="002C1197" w:rsidP="002C1197">
      <w:pPr>
        <w:pStyle w:val="Heading2"/>
      </w:pPr>
      <w:bookmarkStart w:id="15" w:name="_Toc121470176"/>
      <w:bookmarkStart w:id="16" w:name="_Toc121341745"/>
      <w:r>
        <w:lastRenderedPageBreak/>
        <w:t>Legislative process and instruments</w:t>
      </w:r>
      <w:bookmarkEnd w:id="15"/>
      <w:r>
        <w:t xml:space="preserve"> </w:t>
      </w:r>
    </w:p>
    <w:p w14:paraId="6CE8D0DA" w14:textId="77777777" w:rsidR="002C1197" w:rsidRDefault="002C1197" w:rsidP="002C1197">
      <w:pPr>
        <w:rPr>
          <w:rFonts w:asciiTheme="minorHAnsi" w:eastAsiaTheme="minorHAnsi" w:hAnsiTheme="minorHAnsi" w:cstheme="minorBidi"/>
          <w:bCs/>
          <w:lang w:eastAsia="en-US"/>
        </w:rPr>
      </w:pPr>
      <w:bookmarkStart w:id="17" w:name="_Hlk119677764"/>
      <w:r>
        <w:rPr>
          <w:rFonts w:asciiTheme="minorHAnsi" w:eastAsiaTheme="minorHAnsi" w:hAnsiTheme="minorHAnsi" w:cstheme="minorBidi"/>
          <w:bCs/>
          <w:lang w:eastAsia="en-US"/>
        </w:rPr>
        <w:br/>
      </w:r>
      <w:r w:rsidRPr="007440BD">
        <w:rPr>
          <w:rFonts w:asciiTheme="minorHAnsi" w:eastAsiaTheme="minorHAnsi" w:hAnsiTheme="minorHAnsi" w:cstheme="minorBidi"/>
          <w:bCs/>
          <w:lang w:eastAsia="en-US"/>
        </w:rPr>
        <w:t xml:space="preserve">As part of this </w:t>
      </w:r>
      <w:r>
        <w:rPr>
          <w:rFonts w:asciiTheme="minorHAnsi" w:eastAsiaTheme="minorHAnsi" w:hAnsiTheme="minorHAnsi" w:cstheme="minorBidi"/>
          <w:bCs/>
          <w:lang w:eastAsia="en-US"/>
        </w:rPr>
        <w:t xml:space="preserve">consultation </w:t>
      </w:r>
      <w:r w:rsidRPr="007440BD">
        <w:rPr>
          <w:rFonts w:asciiTheme="minorHAnsi" w:eastAsiaTheme="minorHAnsi" w:hAnsiTheme="minorHAnsi" w:cstheme="minorBidi"/>
          <w:bCs/>
          <w:lang w:eastAsia="en-US"/>
        </w:rPr>
        <w:t>process, feedback is sought on the Competition and Consumer Amendment (Gas Market)</w:t>
      </w:r>
      <w:bookmarkEnd w:id="17"/>
      <w:r w:rsidRPr="007440BD">
        <w:rPr>
          <w:rFonts w:asciiTheme="minorHAnsi" w:eastAsiaTheme="minorHAnsi" w:hAnsiTheme="minorHAnsi" w:cstheme="minorBidi"/>
          <w:bCs/>
          <w:lang w:eastAsia="en-US"/>
        </w:rPr>
        <w:t xml:space="preserve"> Bill 2022</w:t>
      </w:r>
      <w:r>
        <w:rPr>
          <w:rFonts w:asciiTheme="minorHAnsi" w:eastAsiaTheme="minorHAnsi" w:hAnsiTheme="minorHAnsi" w:cstheme="minorBidi"/>
          <w:bCs/>
          <w:lang w:eastAsia="en-US"/>
        </w:rPr>
        <w:t xml:space="preserve"> and explanatory memorandum. </w:t>
      </w:r>
      <w:r w:rsidRPr="007440BD">
        <w:rPr>
          <w:rFonts w:asciiTheme="minorHAnsi" w:eastAsiaTheme="minorHAnsi" w:hAnsiTheme="minorHAnsi" w:cstheme="minorBidi"/>
          <w:bCs/>
          <w:lang w:eastAsia="en-US"/>
        </w:rPr>
        <w:t xml:space="preserve">If passed, the Bill will establish a new Part IVBB within the </w:t>
      </w:r>
      <w:r w:rsidRPr="007440BD">
        <w:rPr>
          <w:rFonts w:asciiTheme="minorHAnsi" w:eastAsiaTheme="minorHAnsi" w:hAnsiTheme="minorHAnsi" w:cstheme="minorBidi"/>
          <w:bCs/>
          <w:i/>
          <w:iCs/>
          <w:lang w:eastAsia="en-US"/>
        </w:rPr>
        <w:t>Competition and Consumer Act 2010</w:t>
      </w:r>
      <w:r w:rsidRPr="007440BD">
        <w:rPr>
          <w:rFonts w:asciiTheme="minorHAnsi" w:eastAsiaTheme="minorHAnsi" w:hAnsiTheme="minorHAnsi" w:cstheme="minorBidi"/>
          <w:bCs/>
          <w:lang w:eastAsia="en-US"/>
        </w:rPr>
        <w:t>, creating a</w:t>
      </w:r>
      <w:r>
        <w:rPr>
          <w:rFonts w:asciiTheme="minorHAnsi" w:eastAsiaTheme="minorHAnsi" w:hAnsiTheme="minorHAnsi" w:cstheme="minorBidi"/>
          <w:bCs/>
          <w:lang w:eastAsia="en-US"/>
        </w:rPr>
        <w:t xml:space="preserve"> tailored</w:t>
      </w:r>
      <w:r w:rsidRPr="007440BD">
        <w:rPr>
          <w:rFonts w:asciiTheme="minorHAnsi" w:eastAsiaTheme="minorHAnsi" w:hAnsiTheme="minorHAnsi" w:cstheme="minorBidi"/>
          <w:bCs/>
          <w:lang w:eastAsia="en-US"/>
        </w:rPr>
        <w:t xml:space="preserve"> enabling framework for </w:t>
      </w:r>
      <w:r>
        <w:rPr>
          <w:rFonts w:asciiTheme="minorHAnsi" w:eastAsiaTheme="minorHAnsi" w:hAnsiTheme="minorHAnsi" w:cstheme="minorBidi"/>
          <w:bCs/>
          <w:lang w:eastAsia="en-US"/>
        </w:rPr>
        <w:t>the making of gas market regulation instruments.</w:t>
      </w:r>
    </w:p>
    <w:p w14:paraId="3AA12E96" w14:textId="39D536E3" w:rsidR="002C1197" w:rsidRDefault="002C1197" w:rsidP="002C1197">
      <w:pPr>
        <w:rPr>
          <w:rFonts w:asciiTheme="minorHAnsi" w:eastAsiaTheme="minorHAnsi" w:hAnsiTheme="minorHAnsi" w:cstheme="minorBidi"/>
          <w:bCs/>
          <w:lang w:eastAsia="en-US"/>
        </w:rPr>
      </w:pPr>
      <w:r w:rsidRPr="007440BD">
        <w:rPr>
          <w:rFonts w:asciiTheme="minorHAnsi" w:eastAsiaTheme="minorHAnsi" w:hAnsiTheme="minorHAnsi" w:cstheme="minorBidi"/>
          <w:bCs/>
          <w:lang w:eastAsia="en-US"/>
        </w:rPr>
        <w:t>Once the enabling framework is in place, the price cap would be implemented by the making of a</w:t>
      </w:r>
      <w:r>
        <w:rPr>
          <w:rFonts w:asciiTheme="minorHAnsi" w:eastAsiaTheme="minorHAnsi" w:hAnsiTheme="minorHAnsi" w:cstheme="minorBidi"/>
          <w:bCs/>
          <w:lang w:eastAsia="en-US"/>
        </w:rPr>
        <w:t xml:space="preserve"> gas market emergency price order under </w:t>
      </w:r>
      <w:r w:rsidRPr="007440BD">
        <w:rPr>
          <w:rFonts w:asciiTheme="minorHAnsi" w:eastAsiaTheme="minorHAnsi" w:hAnsiTheme="minorHAnsi" w:cstheme="minorBidi"/>
          <w:bCs/>
          <w:lang w:eastAsia="en-US"/>
        </w:rPr>
        <w:t xml:space="preserve">Part IVBB of the CCA. A draft of this order is available </w:t>
      </w:r>
      <w:r>
        <w:rPr>
          <w:rFonts w:asciiTheme="minorHAnsi" w:eastAsiaTheme="minorHAnsi" w:hAnsiTheme="minorHAnsi" w:cstheme="minorBidi"/>
          <w:bCs/>
          <w:lang w:eastAsia="en-US"/>
        </w:rPr>
        <w:t xml:space="preserve">for comment </w:t>
      </w:r>
      <w:r w:rsidRPr="007440BD">
        <w:rPr>
          <w:rFonts w:asciiTheme="minorHAnsi" w:eastAsiaTheme="minorHAnsi" w:hAnsiTheme="minorHAnsi" w:cstheme="minorBidi"/>
          <w:bCs/>
          <w:lang w:eastAsia="en-US"/>
        </w:rPr>
        <w:t xml:space="preserve">at Appendix </w:t>
      </w:r>
      <w:r w:rsidR="00316DA7">
        <w:rPr>
          <w:rFonts w:asciiTheme="minorHAnsi" w:eastAsiaTheme="minorHAnsi" w:hAnsiTheme="minorHAnsi" w:cstheme="minorBidi"/>
          <w:bCs/>
          <w:lang w:eastAsia="en-US"/>
        </w:rPr>
        <w:t>B</w:t>
      </w:r>
      <w:r w:rsidRPr="007440BD">
        <w:rPr>
          <w:rFonts w:asciiTheme="minorHAnsi" w:eastAsiaTheme="minorHAnsi" w:hAnsiTheme="minorHAnsi" w:cstheme="minorBidi"/>
          <w:bCs/>
          <w:lang w:eastAsia="en-US"/>
        </w:rPr>
        <w:t xml:space="preserve"> to the consultation paper.</w:t>
      </w:r>
    </w:p>
    <w:p w14:paraId="5484FFD7" w14:textId="77777777" w:rsidR="002C1197" w:rsidRDefault="002C1197" w:rsidP="002C1197">
      <w:pPr>
        <w:rPr>
          <w:rFonts w:asciiTheme="minorHAnsi" w:eastAsiaTheme="minorHAnsi" w:hAnsiTheme="minorHAnsi" w:cstheme="minorBidi"/>
          <w:bCs/>
          <w:lang w:eastAsia="en-US"/>
        </w:rPr>
      </w:pPr>
      <w:r>
        <w:rPr>
          <w:rFonts w:asciiTheme="minorHAnsi" w:eastAsiaTheme="minorHAnsi" w:hAnsiTheme="minorHAnsi" w:cstheme="minorBidi"/>
          <w:bCs/>
          <w:lang w:eastAsia="en-US"/>
        </w:rPr>
        <w:t xml:space="preserve">The mandatory code would also be made via regulations under Part IVBB of the CCA. The feedback provided through this consultation process will inform the drafting of the regulations.  </w:t>
      </w:r>
    </w:p>
    <w:p w14:paraId="59B365D5" w14:textId="3D067ED7" w:rsidR="00391084" w:rsidRPr="002A1A67" w:rsidRDefault="00391084">
      <w:pPr>
        <w:spacing w:before="0" w:after="160" w:line="259" w:lineRule="auto"/>
      </w:pPr>
      <w:r>
        <w:br w:type="page"/>
      </w:r>
    </w:p>
    <w:p w14:paraId="0A18A2F7" w14:textId="12336B98" w:rsidR="002E75D4" w:rsidRDefault="002E75D4" w:rsidP="002E75D4">
      <w:pPr>
        <w:pStyle w:val="Heading2"/>
      </w:pPr>
      <w:r>
        <w:lastRenderedPageBreak/>
        <w:t>Appendix</w:t>
      </w:r>
      <w:r w:rsidR="00E85030">
        <w:t xml:space="preserve"> A</w:t>
      </w:r>
      <w:r>
        <w:t xml:space="preserve">: </w:t>
      </w:r>
      <w:r w:rsidR="00EE74DC">
        <w:t xml:space="preserve">Price cap and reasonable pricing </w:t>
      </w:r>
      <w:r w:rsidR="001D7965">
        <w:t>framework</w:t>
      </w:r>
      <w:bookmarkEnd w:id="16"/>
      <w:r w:rsidR="00EE74DC">
        <w:br/>
      </w:r>
    </w:p>
    <w:tbl>
      <w:tblPr>
        <w:tblStyle w:val="TableGrid"/>
        <w:tblW w:w="0" w:type="auto"/>
        <w:tblLook w:val="04A0" w:firstRow="1" w:lastRow="0" w:firstColumn="1" w:lastColumn="0" w:noHBand="0" w:noVBand="1"/>
      </w:tblPr>
      <w:tblGrid>
        <w:gridCol w:w="2977"/>
        <w:gridCol w:w="3032"/>
        <w:gridCol w:w="3020"/>
        <w:gridCol w:w="41"/>
      </w:tblGrid>
      <w:tr w:rsidR="003B043D" w:rsidRPr="004E008A" w14:paraId="22ADE7CF" w14:textId="77777777" w:rsidTr="003B043D">
        <w:trPr>
          <w:cnfStyle w:val="100000000000" w:firstRow="1" w:lastRow="0" w:firstColumn="0" w:lastColumn="0" w:oddVBand="0" w:evenVBand="0" w:oddHBand="0" w:evenHBand="0" w:firstRowFirstColumn="0" w:firstRowLastColumn="0" w:lastRowFirstColumn="0" w:lastRowLastColumn="0"/>
        </w:trPr>
        <w:tc>
          <w:tcPr>
            <w:tcW w:w="2977" w:type="dxa"/>
          </w:tcPr>
          <w:p w14:paraId="5ED3848C" w14:textId="77777777" w:rsidR="00EE74DC" w:rsidRPr="00E5260D" w:rsidRDefault="00EE74DC" w:rsidP="006B287B">
            <w:pPr>
              <w:spacing w:before="96" w:after="96"/>
              <w:rPr>
                <w:b w:val="0"/>
                <w:bCs/>
              </w:rPr>
            </w:pPr>
          </w:p>
        </w:tc>
        <w:tc>
          <w:tcPr>
            <w:tcW w:w="3032" w:type="dxa"/>
          </w:tcPr>
          <w:p w14:paraId="7390E8B1" w14:textId="228048D5" w:rsidR="00EE74DC" w:rsidRPr="004E008A" w:rsidRDefault="00EE74DC" w:rsidP="006B287B">
            <w:pPr>
              <w:spacing w:before="96" w:after="96"/>
              <w:rPr>
                <w:b w:val="0"/>
                <w:bCs/>
              </w:rPr>
            </w:pPr>
            <w:r w:rsidRPr="004E008A">
              <w:rPr>
                <w:bCs/>
              </w:rPr>
              <w:t>Price cap</w:t>
            </w:r>
            <w:r>
              <w:rPr>
                <w:bCs/>
              </w:rPr>
              <w:t xml:space="preserve"> </w:t>
            </w:r>
          </w:p>
        </w:tc>
        <w:tc>
          <w:tcPr>
            <w:tcW w:w="3061" w:type="dxa"/>
            <w:gridSpan w:val="2"/>
          </w:tcPr>
          <w:p w14:paraId="193BB57B" w14:textId="0DDE0CB6" w:rsidR="00EE74DC" w:rsidRPr="004E008A" w:rsidRDefault="00EE74DC" w:rsidP="006B287B">
            <w:pPr>
              <w:spacing w:before="96" w:after="96"/>
              <w:rPr>
                <w:b w:val="0"/>
                <w:bCs/>
              </w:rPr>
            </w:pPr>
            <w:r w:rsidRPr="004E008A">
              <w:rPr>
                <w:bCs/>
              </w:rPr>
              <w:t xml:space="preserve">Reasonable pricing </w:t>
            </w:r>
            <w:r w:rsidR="00DA0032">
              <w:rPr>
                <w:bCs/>
              </w:rPr>
              <w:t>provision</w:t>
            </w:r>
            <w:r w:rsidR="00DA0032" w:rsidRPr="004E008A">
              <w:rPr>
                <w:bCs/>
              </w:rPr>
              <w:t xml:space="preserve"> </w:t>
            </w:r>
          </w:p>
        </w:tc>
      </w:tr>
      <w:tr w:rsidR="003B043D" w14:paraId="1E8849F7" w14:textId="77777777" w:rsidTr="003B043D">
        <w:tc>
          <w:tcPr>
            <w:tcW w:w="2977" w:type="dxa"/>
          </w:tcPr>
          <w:p w14:paraId="4DCBBA5B" w14:textId="74350E1C" w:rsidR="003B043D" w:rsidRDefault="003B043D" w:rsidP="003B043D">
            <w:pPr>
              <w:rPr>
                <w:b/>
                <w:bCs/>
              </w:rPr>
            </w:pPr>
            <w:r>
              <w:rPr>
                <w:b/>
                <w:bCs/>
              </w:rPr>
              <w:t>Market coverage</w:t>
            </w:r>
          </w:p>
        </w:tc>
        <w:tc>
          <w:tcPr>
            <w:tcW w:w="3032" w:type="dxa"/>
          </w:tcPr>
          <w:p w14:paraId="326B3844" w14:textId="2C48AB9C" w:rsidR="003B043D" w:rsidRDefault="003B043D" w:rsidP="003B043D">
            <w:pPr>
              <w:spacing w:before="96" w:after="96"/>
            </w:pPr>
            <w:r>
              <w:t xml:space="preserve">Applicable to </w:t>
            </w:r>
            <w:r w:rsidR="00A460E2">
              <w:t xml:space="preserve">east coast market wholesale </w:t>
            </w:r>
            <w:r>
              <w:t xml:space="preserve">contracts </w:t>
            </w:r>
            <w:r w:rsidR="00A460E2">
              <w:t xml:space="preserve">with producers, </w:t>
            </w:r>
            <w:r>
              <w:t>directly negotiated between the parties, or reached following a trade through the Gas Supply Hub.</w:t>
            </w:r>
          </w:p>
          <w:p w14:paraId="52652EE5" w14:textId="77777777" w:rsidR="003B043D" w:rsidRDefault="003B043D" w:rsidP="003B043D">
            <w:r>
              <w:t xml:space="preserve">Not applicable to Victorian Declared Wholesale Gas Market or the </w:t>
            </w:r>
            <w:proofErr w:type="gramStart"/>
            <w:r>
              <w:t>Short Term</w:t>
            </w:r>
            <w:proofErr w:type="gramEnd"/>
            <w:r>
              <w:t xml:space="preserve"> Trading Markets in Brisbane, Sydney and Adelaide. </w:t>
            </w:r>
          </w:p>
          <w:p w14:paraId="1BB9114C" w14:textId="3726B003" w:rsidR="00F64639" w:rsidRDefault="00F64639" w:rsidP="003B043D">
            <w:r>
              <w:t>Not applicable to gas supplied from undeveloped fields.</w:t>
            </w:r>
          </w:p>
        </w:tc>
        <w:tc>
          <w:tcPr>
            <w:tcW w:w="3061" w:type="dxa"/>
            <w:gridSpan w:val="2"/>
          </w:tcPr>
          <w:p w14:paraId="62FC51C1" w14:textId="4009CC7E" w:rsidR="003B043D" w:rsidRDefault="003B043D" w:rsidP="003B043D">
            <w:pPr>
              <w:spacing w:before="96" w:after="96"/>
            </w:pPr>
            <w:r>
              <w:t xml:space="preserve">Applicable to </w:t>
            </w:r>
            <w:r w:rsidR="00F64639">
              <w:t xml:space="preserve">east coast market wholesale </w:t>
            </w:r>
            <w:r>
              <w:t xml:space="preserve">contracts </w:t>
            </w:r>
            <w:r w:rsidR="00F64639">
              <w:t>with producers</w:t>
            </w:r>
            <w:r w:rsidR="0004258F">
              <w:t xml:space="preserve">, </w:t>
            </w:r>
            <w:r>
              <w:t>directly negotiated between the parties, or reached following a trade through the Gas Supply Hub.</w:t>
            </w:r>
          </w:p>
          <w:p w14:paraId="25D95B17" w14:textId="52F6E2C7" w:rsidR="003B043D" w:rsidRDefault="003B043D" w:rsidP="003B043D">
            <w:r>
              <w:t xml:space="preserve">Not applicable to Victorian Declared Wholesale Gas Market or the </w:t>
            </w:r>
            <w:proofErr w:type="gramStart"/>
            <w:r>
              <w:t>Short Term</w:t>
            </w:r>
            <w:proofErr w:type="gramEnd"/>
            <w:r>
              <w:t xml:space="preserve"> Trading Markets in Brisbane, Sydney and Adelaide.</w:t>
            </w:r>
          </w:p>
        </w:tc>
      </w:tr>
      <w:tr w:rsidR="003B043D" w14:paraId="06F76CC8" w14:textId="77777777" w:rsidTr="003B043D">
        <w:tc>
          <w:tcPr>
            <w:tcW w:w="2977" w:type="dxa"/>
          </w:tcPr>
          <w:p w14:paraId="50511FF9" w14:textId="6466C06F" w:rsidR="003B043D" w:rsidRPr="00E5260D" w:rsidRDefault="003B043D" w:rsidP="003B043D">
            <w:pPr>
              <w:rPr>
                <w:b/>
                <w:bCs/>
              </w:rPr>
            </w:pPr>
            <w:r>
              <w:rPr>
                <w:b/>
                <w:bCs/>
              </w:rPr>
              <w:t>Which pricing mechanism applies for the first 12 months from the introduction of the price cap?</w:t>
            </w:r>
          </w:p>
        </w:tc>
        <w:tc>
          <w:tcPr>
            <w:tcW w:w="3032" w:type="dxa"/>
          </w:tcPr>
          <w:p w14:paraId="53446B32" w14:textId="3B770D99" w:rsidR="003B043D" w:rsidRDefault="003B043D" w:rsidP="003B043D">
            <w:r>
              <w:t xml:space="preserve">Producers’ contract prices will be regulated by the price cap if the gas is to be supplied from developed </w:t>
            </w:r>
            <w:proofErr w:type="gramStart"/>
            <w:r>
              <w:t>fields, and</w:t>
            </w:r>
            <w:proofErr w:type="gramEnd"/>
            <w:r>
              <w:t xml:space="preserve"> meets the market coverage criteria. </w:t>
            </w:r>
          </w:p>
          <w:p w14:paraId="622CA9EC" w14:textId="70564356" w:rsidR="003B043D" w:rsidRDefault="003B043D" w:rsidP="003B043D">
            <w:r>
              <w:t>Not applicable to sales by non-producers.</w:t>
            </w:r>
          </w:p>
          <w:p w14:paraId="02D151E8" w14:textId="77777777" w:rsidR="003B043D" w:rsidRDefault="003B043D" w:rsidP="003B043D"/>
          <w:p w14:paraId="333FE49C" w14:textId="77777777" w:rsidR="003B043D" w:rsidRDefault="003B043D" w:rsidP="003B043D"/>
        </w:tc>
        <w:tc>
          <w:tcPr>
            <w:tcW w:w="3061" w:type="dxa"/>
            <w:gridSpan w:val="2"/>
          </w:tcPr>
          <w:p w14:paraId="2AA90A79" w14:textId="78BCBB17" w:rsidR="003B043D" w:rsidRDefault="003B043D" w:rsidP="003B043D">
            <w:r>
              <w:t>Once the Code of Conduct is enacted, producers’ contract prices will be regulated by the reasonable pricing framework if it meets the market coverage criteria and is:</w:t>
            </w:r>
          </w:p>
          <w:p w14:paraId="6220CE8C" w14:textId="07AA43AF" w:rsidR="003B043D" w:rsidRDefault="003B043D" w:rsidP="003B043D">
            <w:pPr>
              <w:pStyle w:val="Bullet"/>
            </w:pPr>
            <w:r>
              <w:t>gas to be supplied from currently undeveloped gas fields; and</w:t>
            </w:r>
          </w:p>
          <w:p w14:paraId="16FD8A34" w14:textId="59ADA656" w:rsidR="003B043D" w:rsidRDefault="003B043D" w:rsidP="003B043D">
            <w:pPr>
              <w:pStyle w:val="Bullet"/>
            </w:pPr>
            <w:r>
              <w:t>gas to be supplied beyond the period of the price cap.</w:t>
            </w:r>
          </w:p>
          <w:p w14:paraId="61E41B47" w14:textId="16438AC9" w:rsidR="003B043D" w:rsidRDefault="003B043D" w:rsidP="003B043D">
            <w:r>
              <w:t>Not applicable to sales by non</w:t>
            </w:r>
            <w:r>
              <w:noBreakHyphen/>
              <w:t xml:space="preserve">producers. </w:t>
            </w:r>
          </w:p>
        </w:tc>
      </w:tr>
      <w:tr w:rsidR="003B043D" w14:paraId="4919ABA0" w14:textId="77777777" w:rsidTr="003B043D">
        <w:trPr>
          <w:gridAfter w:val="1"/>
          <w:wAfter w:w="41" w:type="dxa"/>
        </w:trPr>
        <w:tc>
          <w:tcPr>
            <w:tcW w:w="2977" w:type="dxa"/>
          </w:tcPr>
          <w:p w14:paraId="7898E564" w14:textId="29F34301" w:rsidR="003B043D" w:rsidRDefault="003B043D" w:rsidP="003B043D">
            <w:pPr>
              <w:spacing w:before="96" w:after="96"/>
              <w:rPr>
                <w:b/>
                <w:bCs/>
              </w:rPr>
            </w:pPr>
            <w:r>
              <w:rPr>
                <w:b/>
                <w:bCs/>
              </w:rPr>
              <w:t>Which pricing mechanism applies after the expiry of the temporary price cap?</w:t>
            </w:r>
          </w:p>
        </w:tc>
        <w:tc>
          <w:tcPr>
            <w:tcW w:w="3032" w:type="dxa"/>
          </w:tcPr>
          <w:p w14:paraId="1CA51A93" w14:textId="745E3A34" w:rsidR="003B043D" w:rsidRDefault="003B043D" w:rsidP="003B043D">
            <w:pPr>
              <w:spacing w:before="96" w:after="96"/>
            </w:pPr>
            <w:r>
              <w:t xml:space="preserve">Not applicable, will expire after 12 months. </w:t>
            </w:r>
          </w:p>
        </w:tc>
        <w:tc>
          <w:tcPr>
            <w:tcW w:w="3020" w:type="dxa"/>
          </w:tcPr>
          <w:p w14:paraId="04F94CF4" w14:textId="5DEBC99C" w:rsidR="003B043D" w:rsidRDefault="003B043D" w:rsidP="003B043D">
            <w:pPr>
              <w:spacing w:before="96" w:after="96"/>
            </w:pPr>
            <w:r>
              <w:t xml:space="preserve">Producers’ contract prices </w:t>
            </w:r>
            <w:r w:rsidR="0004258F">
              <w:t xml:space="preserve">will be </w:t>
            </w:r>
            <w:r>
              <w:t>subject to this framework.</w:t>
            </w:r>
          </w:p>
        </w:tc>
      </w:tr>
      <w:tr w:rsidR="003B043D" w14:paraId="06D82237" w14:textId="77777777" w:rsidTr="003B043D">
        <w:trPr>
          <w:gridAfter w:val="1"/>
          <w:wAfter w:w="41" w:type="dxa"/>
        </w:trPr>
        <w:tc>
          <w:tcPr>
            <w:tcW w:w="2977" w:type="dxa"/>
          </w:tcPr>
          <w:p w14:paraId="09465D17" w14:textId="017CC09A" w:rsidR="003B043D" w:rsidRDefault="003B043D" w:rsidP="003B043D">
            <w:pPr>
              <w:spacing w:before="96" w:after="96"/>
              <w:rPr>
                <w:b/>
                <w:bCs/>
              </w:rPr>
            </w:pPr>
          </w:p>
        </w:tc>
        <w:tc>
          <w:tcPr>
            <w:tcW w:w="3032" w:type="dxa"/>
          </w:tcPr>
          <w:p w14:paraId="6B6DF7AC" w14:textId="4CE17CC7" w:rsidR="003B043D" w:rsidRDefault="003B043D" w:rsidP="003B043D">
            <w:pPr>
              <w:spacing w:before="96" w:after="96"/>
            </w:pPr>
          </w:p>
        </w:tc>
        <w:tc>
          <w:tcPr>
            <w:tcW w:w="3020" w:type="dxa"/>
          </w:tcPr>
          <w:p w14:paraId="74C363CA" w14:textId="59A84F3B" w:rsidR="003B043D" w:rsidRDefault="003B043D" w:rsidP="003B043D">
            <w:pPr>
              <w:spacing w:before="96" w:after="96"/>
            </w:pPr>
          </w:p>
        </w:tc>
      </w:tr>
      <w:tr w:rsidR="003B043D" w14:paraId="0FF469BD" w14:textId="77777777" w:rsidTr="003B043D">
        <w:tc>
          <w:tcPr>
            <w:tcW w:w="2977" w:type="dxa"/>
          </w:tcPr>
          <w:p w14:paraId="5D14DD0B" w14:textId="77777777" w:rsidR="003B043D" w:rsidRPr="00E5260D" w:rsidRDefault="003B043D" w:rsidP="003B043D">
            <w:pPr>
              <w:rPr>
                <w:b/>
                <w:bCs/>
              </w:rPr>
            </w:pPr>
            <w:r>
              <w:rPr>
                <w:b/>
                <w:bCs/>
              </w:rPr>
              <w:t>Pricing requirement</w:t>
            </w:r>
          </w:p>
        </w:tc>
        <w:tc>
          <w:tcPr>
            <w:tcW w:w="3032" w:type="dxa"/>
          </w:tcPr>
          <w:p w14:paraId="00D7F642" w14:textId="723D15C8" w:rsidR="003B043D" w:rsidRDefault="003B043D" w:rsidP="003B043D">
            <w:r w:rsidRPr="00EE78FE">
              <w:t xml:space="preserve">Prices </w:t>
            </w:r>
            <w:r>
              <w:t xml:space="preserve">are </w:t>
            </w:r>
            <w:r w:rsidRPr="00EE78FE">
              <w:t xml:space="preserve">required to be below the </w:t>
            </w:r>
            <w:r>
              <w:t xml:space="preserve">price </w:t>
            </w:r>
            <w:r w:rsidRPr="00EE78FE">
              <w:t>cap</w:t>
            </w:r>
            <w:r>
              <w:t>.</w:t>
            </w:r>
          </w:p>
        </w:tc>
        <w:tc>
          <w:tcPr>
            <w:tcW w:w="3061" w:type="dxa"/>
            <w:gridSpan w:val="2"/>
          </w:tcPr>
          <w:p w14:paraId="4924483F" w14:textId="629F9F8A" w:rsidR="003B043D" w:rsidRDefault="003B043D" w:rsidP="003B043D">
            <w:r w:rsidRPr="00EE78FE">
              <w:t>Prices</w:t>
            </w:r>
            <w:r>
              <w:t xml:space="preserve"> are negotiated or, determined via arbitration in the event of a dispute, with reference to the reasonable pricing provision and relevant ACCC guidance.</w:t>
            </w:r>
          </w:p>
        </w:tc>
      </w:tr>
      <w:tr w:rsidR="003B043D" w14:paraId="43D8BC19" w14:textId="77777777" w:rsidTr="003B043D">
        <w:tc>
          <w:tcPr>
            <w:tcW w:w="2977" w:type="dxa"/>
          </w:tcPr>
          <w:p w14:paraId="6B67666D" w14:textId="77777777" w:rsidR="003B043D" w:rsidRPr="00E5260D" w:rsidRDefault="003B043D" w:rsidP="003B043D">
            <w:pPr>
              <w:rPr>
                <w:b/>
                <w:bCs/>
              </w:rPr>
            </w:pPr>
            <w:r>
              <w:rPr>
                <w:b/>
                <w:bCs/>
              </w:rPr>
              <w:t>Compliance and enforcement</w:t>
            </w:r>
          </w:p>
        </w:tc>
        <w:tc>
          <w:tcPr>
            <w:tcW w:w="3032" w:type="dxa"/>
          </w:tcPr>
          <w:p w14:paraId="100BEDF8" w14:textId="7BF8E18A" w:rsidR="003B043D" w:rsidRDefault="003B043D" w:rsidP="003B043D">
            <w:r>
              <w:t xml:space="preserve">Prices above the cap are non-compliant and </w:t>
            </w:r>
            <w:r w:rsidR="0001205C">
              <w:t xml:space="preserve">would be </w:t>
            </w:r>
            <w:r>
              <w:t>subject to ACCC enforcement action.</w:t>
            </w:r>
          </w:p>
          <w:p w14:paraId="34B5039C" w14:textId="3C152503" w:rsidR="003B043D" w:rsidRDefault="003B043D" w:rsidP="003B043D"/>
        </w:tc>
        <w:tc>
          <w:tcPr>
            <w:tcW w:w="3061" w:type="dxa"/>
            <w:gridSpan w:val="2"/>
          </w:tcPr>
          <w:p w14:paraId="16BDE87C" w14:textId="7A64ADB3" w:rsidR="003B043D" w:rsidRDefault="003B043D" w:rsidP="003B043D">
            <w:r>
              <w:t xml:space="preserve">Where producers and buyers are unable to agree a ‘reasonable price’, they may seek a binding arbitration determination. </w:t>
            </w:r>
          </w:p>
          <w:p w14:paraId="0E8C9FBD" w14:textId="0368B872" w:rsidR="003B043D" w:rsidRDefault="003B043D" w:rsidP="003B043D"/>
        </w:tc>
      </w:tr>
    </w:tbl>
    <w:p w14:paraId="22F75D0F" w14:textId="3FB185ED" w:rsidR="00E85030" w:rsidRDefault="00E85030" w:rsidP="00EE74DC"/>
    <w:p w14:paraId="186BA952" w14:textId="77777777" w:rsidR="00E85030" w:rsidRDefault="00E85030">
      <w:pPr>
        <w:spacing w:before="0" w:after="160" w:line="259" w:lineRule="auto"/>
      </w:pPr>
      <w:r>
        <w:br w:type="page"/>
      </w:r>
    </w:p>
    <w:p w14:paraId="470FAECB" w14:textId="0A101E25" w:rsidR="001B0A96" w:rsidRDefault="00E85030" w:rsidP="00E85030">
      <w:pPr>
        <w:pStyle w:val="Heading2"/>
      </w:pPr>
      <w:bookmarkStart w:id="18" w:name="_Toc121341746"/>
      <w:r>
        <w:lastRenderedPageBreak/>
        <w:t>Appendix B: Draft price cap instrument</w:t>
      </w:r>
      <w:bookmarkEnd w:id="18"/>
      <w:r>
        <w:t xml:space="preserve"> </w:t>
      </w:r>
      <w:r w:rsidR="001B0A96">
        <w:br w:type="page"/>
      </w:r>
    </w:p>
    <w:p w14:paraId="27611EDA" w14:textId="58A08923" w:rsidR="00EE74DC" w:rsidRDefault="001B0A96" w:rsidP="00E85030">
      <w:pPr>
        <w:pStyle w:val="Heading2"/>
      </w:pPr>
      <w:bookmarkStart w:id="19" w:name="_Toc121341747"/>
      <w:r>
        <w:lastRenderedPageBreak/>
        <w:t>Appendix C: Summary of voluntary code</w:t>
      </w:r>
      <w:bookmarkEnd w:id="19"/>
    </w:p>
    <w:p w14:paraId="554A118D" w14:textId="493D87D3" w:rsidR="00FF2441" w:rsidRDefault="00FF2441" w:rsidP="001B0A96">
      <w:r>
        <w:br/>
        <w:t xml:space="preserve">The existing </w:t>
      </w:r>
      <w:r w:rsidRPr="00AF63D3">
        <w:rPr>
          <w:i/>
          <w:iCs/>
        </w:rPr>
        <w:t>Voluntary Code of Conduct for the Negotiation and Development of Gas Supply Agreements between Gas Suppliers and Gas Customers in Australia</w:t>
      </w:r>
      <w:r>
        <w:t xml:space="preserve"> (voluntary code) is contained at Annex C to the </w:t>
      </w:r>
      <w:r w:rsidRPr="00AF63D3">
        <w:rPr>
          <w:i/>
          <w:iCs/>
        </w:rPr>
        <w:t>Heads of Agreement: The Australian East Cost Domestic Gas Supply Commitment</w:t>
      </w:r>
      <w:r>
        <w:t xml:space="preserve"> between the Australian Government and East Coast Liquefied Natural Gas Exporters.</w:t>
      </w:r>
    </w:p>
    <w:p w14:paraId="1C40DFA7" w14:textId="70493468" w:rsidR="00FF2441" w:rsidRDefault="00FF2441" w:rsidP="00FF2441">
      <w:pPr>
        <w:pStyle w:val="NormalWeb"/>
        <w:rPr>
          <w:rFonts w:ascii="Calibri Light" w:hAnsi="Calibri Light"/>
          <w:sz w:val="22"/>
          <w:szCs w:val="20"/>
        </w:rPr>
      </w:pPr>
      <w:r w:rsidRPr="00AF63D3">
        <w:rPr>
          <w:rFonts w:ascii="Calibri Light" w:hAnsi="Calibri Light"/>
          <w:sz w:val="22"/>
          <w:szCs w:val="20"/>
        </w:rPr>
        <w:t>Broadly, the voluntary code is split into three key parts</w:t>
      </w:r>
      <w:r>
        <w:rPr>
          <w:rFonts w:ascii="Calibri Light" w:hAnsi="Calibri Light"/>
          <w:sz w:val="22"/>
          <w:szCs w:val="20"/>
        </w:rPr>
        <w:t>.</w:t>
      </w:r>
    </w:p>
    <w:p w14:paraId="7FD0CD66" w14:textId="7B276116" w:rsidR="00FF2441" w:rsidRDefault="00FF2441" w:rsidP="00FF2441">
      <w:pPr>
        <w:pStyle w:val="NormalWeb"/>
        <w:rPr>
          <w:rFonts w:ascii="Calibri Light" w:hAnsi="Calibri Light"/>
          <w:sz w:val="22"/>
          <w:szCs w:val="20"/>
        </w:rPr>
      </w:pPr>
      <w:r>
        <w:rPr>
          <w:rFonts w:ascii="Calibri Light" w:hAnsi="Calibri Light"/>
          <w:sz w:val="22"/>
          <w:szCs w:val="20"/>
        </w:rPr>
        <w:t xml:space="preserve">The </w:t>
      </w:r>
      <w:r w:rsidRPr="00AF63D3">
        <w:rPr>
          <w:rFonts w:ascii="Calibri Light" w:hAnsi="Calibri Light"/>
          <w:b/>
          <w:bCs/>
          <w:sz w:val="22"/>
          <w:szCs w:val="20"/>
        </w:rPr>
        <w:t>operative provisions</w:t>
      </w:r>
      <w:r>
        <w:rPr>
          <w:rFonts w:ascii="Calibri Light" w:hAnsi="Calibri Light"/>
          <w:sz w:val="22"/>
          <w:szCs w:val="20"/>
        </w:rPr>
        <w:t xml:space="preserve"> outline </w:t>
      </w:r>
      <w:r w:rsidRPr="00AF63D3">
        <w:rPr>
          <w:rFonts w:ascii="Calibri Light" w:hAnsi="Calibri Light"/>
          <w:sz w:val="22"/>
          <w:szCs w:val="20"/>
        </w:rPr>
        <w:t>the obligations on gas suppliers</w:t>
      </w:r>
      <w:r>
        <w:rPr>
          <w:rFonts w:ascii="Calibri Light" w:hAnsi="Calibri Light"/>
          <w:sz w:val="22"/>
          <w:szCs w:val="20"/>
        </w:rPr>
        <w:t>,</w:t>
      </w:r>
      <w:r w:rsidRPr="00AF63D3">
        <w:rPr>
          <w:rFonts w:ascii="Calibri Light" w:hAnsi="Calibri Light"/>
          <w:sz w:val="22"/>
          <w:szCs w:val="20"/>
        </w:rPr>
        <w:t xml:space="preserve"> such as the obligation to act in good faith in negotiations with gas customers, disclose </w:t>
      </w:r>
      <w:proofErr w:type="gramStart"/>
      <w:r w:rsidRPr="00AF63D3">
        <w:rPr>
          <w:rFonts w:ascii="Calibri Light" w:hAnsi="Calibri Light"/>
          <w:sz w:val="22"/>
          <w:szCs w:val="20"/>
        </w:rPr>
        <w:t>particular information</w:t>
      </w:r>
      <w:proofErr w:type="gramEnd"/>
      <w:r w:rsidRPr="00AF63D3">
        <w:rPr>
          <w:rFonts w:ascii="Calibri Light" w:hAnsi="Calibri Light"/>
          <w:sz w:val="22"/>
          <w:szCs w:val="20"/>
        </w:rPr>
        <w:t xml:space="preserve"> to gas customers when issuing expressions of interest or offers to enter into a gas supply agreement (GSA), and apply minimum standards to all GSAs agreed under the </w:t>
      </w:r>
      <w:r>
        <w:rPr>
          <w:rFonts w:ascii="Calibri Light" w:hAnsi="Calibri Light"/>
          <w:sz w:val="22"/>
          <w:szCs w:val="20"/>
        </w:rPr>
        <w:t>c</w:t>
      </w:r>
      <w:r w:rsidRPr="00AF63D3">
        <w:rPr>
          <w:rFonts w:ascii="Calibri Light" w:hAnsi="Calibri Light"/>
          <w:sz w:val="22"/>
          <w:szCs w:val="20"/>
        </w:rPr>
        <w:t>ode.</w:t>
      </w:r>
    </w:p>
    <w:p w14:paraId="0864CA0E" w14:textId="297E39BF" w:rsidR="00FF2441" w:rsidRPr="00AF63D3" w:rsidRDefault="00FF2441" w:rsidP="00FF2441">
      <w:pPr>
        <w:pStyle w:val="NormalWeb"/>
        <w:rPr>
          <w:rFonts w:ascii="Calibri Light" w:hAnsi="Calibri Light"/>
          <w:sz w:val="22"/>
          <w:szCs w:val="20"/>
        </w:rPr>
      </w:pPr>
      <w:r w:rsidRPr="00AF63D3">
        <w:rPr>
          <w:rFonts w:ascii="Calibri Light" w:hAnsi="Calibri Light"/>
          <w:b/>
          <w:bCs/>
          <w:sz w:val="22"/>
          <w:szCs w:val="20"/>
        </w:rPr>
        <w:t>Pricing principles</w:t>
      </w:r>
      <w:r>
        <w:rPr>
          <w:rFonts w:ascii="Calibri Light" w:hAnsi="Calibri Light"/>
          <w:sz w:val="22"/>
          <w:szCs w:val="20"/>
        </w:rPr>
        <w:t xml:space="preserve"> set out the </w:t>
      </w:r>
      <w:r w:rsidRPr="00AF63D3">
        <w:rPr>
          <w:rFonts w:ascii="Calibri Light" w:hAnsi="Calibri Light"/>
          <w:sz w:val="22"/>
          <w:szCs w:val="20"/>
        </w:rPr>
        <w:t>factors that a gas supplier must consider when determining the price of gas in an offer, including obligations requiring gas suppliers to disclose what factors were considered in determining the price of an offer.</w:t>
      </w:r>
    </w:p>
    <w:p w14:paraId="1DA82247" w14:textId="3801A055" w:rsidR="00FF2441" w:rsidRPr="00AF63D3" w:rsidRDefault="00FF2441" w:rsidP="00FF2441">
      <w:pPr>
        <w:pStyle w:val="NormalWeb"/>
        <w:rPr>
          <w:rFonts w:ascii="Calibri Light" w:hAnsi="Calibri Light"/>
          <w:sz w:val="22"/>
          <w:szCs w:val="20"/>
        </w:rPr>
      </w:pPr>
      <w:r w:rsidRPr="00AF63D3">
        <w:rPr>
          <w:rFonts w:ascii="Calibri Light" w:hAnsi="Calibri Light"/>
          <w:b/>
          <w:bCs/>
          <w:sz w:val="22"/>
          <w:szCs w:val="20"/>
        </w:rPr>
        <w:t>Dispute resolution provisions</w:t>
      </w:r>
      <w:r>
        <w:rPr>
          <w:rFonts w:ascii="Calibri Light" w:hAnsi="Calibri Light"/>
          <w:sz w:val="22"/>
          <w:szCs w:val="20"/>
        </w:rPr>
        <w:t xml:space="preserve"> outline </w:t>
      </w:r>
      <w:r w:rsidRPr="00AF63D3">
        <w:rPr>
          <w:rFonts w:ascii="Calibri Light" w:hAnsi="Calibri Light"/>
          <w:sz w:val="22"/>
          <w:szCs w:val="20"/>
        </w:rPr>
        <w:t xml:space="preserve">the appointment process and function of a Code Arbiter to manage disputes relating to the Code, including the investigation, determination and reporting of complaints </w:t>
      </w:r>
      <w:r>
        <w:rPr>
          <w:rFonts w:ascii="Calibri Light" w:hAnsi="Calibri Light"/>
          <w:sz w:val="22"/>
          <w:szCs w:val="20"/>
        </w:rPr>
        <w:t>made</w:t>
      </w:r>
      <w:r w:rsidRPr="00AF63D3">
        <w:rPr>
          <w:rFonts w:ascii="Calibri Light" w:hAnsi="Calibri Light"/>
          <w:sz w:val="22"/>
          <w:szCs w:val="20"/>
        </w:rPr>
        <w:t xml:space="preserve"> by gas customers.</w:t>
      </w:r>
    </w:p>
    <w:p w14:paraId="5637B131" w14:textId="3B0B50E6" w:rsidR="00FF2441" w:rsidRPr="00AF63D3" w:rsidRDefault="00FF2441" w:rsidP="00FF2441">
      <w:pPr>
        <w:pStyle w:val="NormalWeb"/>
        <w:rPr>
          <w:rFonts w:ascii="Calibri Light" w:hAnsi="Calibri Light"/>
          <w:sz w:val="22"/>
          <w:szCs w:val="20"/>
        </w:rPr>
      </w:pPr>
      <w:r w:rsidRPr="00AF63D3">
        <w:rPr>
          <w:rFonts w:ascii="Calibri Light" w:hAnsi="Calibri Light"/>
          <w:sz w:val="22"/>
          <w:szCs w:val="20"/>
        </w:rPr>
        <w:t>The code also contains administrative provisions dealing with</w:t>
      </w:r>
      <w:r>
        <w:rPr>
          <w:rFonts w:ascii="Calibri Light" w:hAnsi="Calibri Light"/>
          <w:sz w:val="22"/>
          <w:szCs w:val="20"/>
        </w:rPr>
        <w:t xml:space="preserve"> matters such as</w:t>
      </w:r>
      <w:r w:rsidRPr="00AF63D3">
        <w:rPr>
          <w:rFonts w:ascii="Calibri Light" w:hAnsi="Calibri Light"/>
          <w:sz w:val="22"/>
          <w:szCs w:val="20"/>
        </w:rPr>
        <w:t xml:space="preserve"> signing up to (or withdrawing from) the code, processes for review and amendment to the code,</w:t>
      </w:r>
      <w:r>
        <w:rPr>
          <w:rFonts w:ascii="Calibri Light" w:hAnsi="Calibri Light"/>
          <w:sz w:val="22"/>
          <w:szCs w:val="20"/>
        </w:rPr>
        <w:t xml:space="preserve"> and</w:t>
      </w:r>
      <w:r w:rsidRPr="00AF63D3">
        <w:rPr>
          <w:rFonts w:ascii="Calibri Light" w:hAnsi="Calibri Light"/>
          <w:sz w:val="22"/>
          <w:szCs w:val="20"/>
        </w:rPr>
        <w:t xml:space="preserve"> transitional arrangements.</w:t>
      </w:r>
    </w:p>
    <w:p w14:paraId="218328B7" w14:textId="1E27474E" w:rsidR="00FF2441" w:rsidRDefault="00ED4558" w:rsidP="001B0A96">
      <w:r>
        <w:t xml:space="preserve">The full text of the voluntary code is available at: </w:t>
      </w:r>
      <w:r w:rsidRPr="00DE27FF">
        <w:t>https://www.industry.gov.au/mining-oil-and-gas/oil-and-gas/securing-australian-domestic-gas-supply</w:t>
      </w:r>
      <w:r>
        <w:t xml:space="preserve"> </w:t>
      </w:r>
    </w:p>
    <w:p w14:paraId="7BD7C5B8" w14:textId="4B12C0B4" w:rsidR="001B0A96" w:rsidRPr="001B0A96" w:rsidRDefault="001B0A96" w:rsidP="001B0A96"/>
    <w:sectPr w:rsidR="001B0A96" w:rsidRPr="001B0A96" w:rsidSect="009927E5">
      <w:headerReference w:type="even" r:id="rId22"/>
      <w:headerReference w:type="default" r:id="rId23"/>
      <w:footerReference w:type="even" r:id="rId24"/>
      <w:footerReference w:type="default" r:id="rId25"/>
      <w:headerReference w:type="first" r:id="rId26"/>
      <w:footerReference w:type="first" r:id="rId27"/>
      <w:pgSz w:w="11906" w:h="16838" w:code="9"/>
      <w:pgMar w:top="184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B4EE7" w14:textId="77777777" w:rsidR="00D968B3" w:rsidRDefault="00D968B3">
      <w:pPr>
        <w:spacing w:before="0" w:after="0"/>
      </w:pPr>
      <w:r>
        <w:separator/>
      </w:r>
    </w:p>
  </w:endnote>
  <w:endnote w:type="continuationSeparator" w:id="0">
    <w:p w14:paraId="6BB06FD3" w14:textId="77777777" w:rsidR="00D968B3" w:rsidRDefault="00D968B3">
      <w:pPr>
        <w:spacing w:before="0" w:after="0"/>
      </w:pPr>
      <w:r>
        <w:continuationSeparator/>
      </w:r>
    </w:p>
  </w:endnote>
  <w:endnote w:type="continuationNotice" w:id="1">
    <w:p w14:paraId="39E11546" w14:textId="77777777" w:rsidR="00D968B3" w:rsidRDefault="00D968B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0221A" w14:textId="2D4E52AE" w:rsidR="002314D2" w:rsidRDefault="002314D2" w:rsidP="0017089D">
    <w:r>
      <w:fldChar w:fldCharType="begin"/>
    </w:r>
    <w:r>
      <w:instrText xml:space="preserve"> PAGE  \* Arabic  \* MERGEFORMAT </w:instrText>
    </w:r>
    <w:r>
      <w:fldChar w:fldCharType="separate"/>
    </w:r>
    <w: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A5181" w14:textId="245F6356" w:rsidR="009927E5" w:rsidRPr="008043EA" w:rsidRDefault="009927E5" w:rsidP="0009151A">
    <w:r w:rsidRPr="00742366">
      <w:rPr>
        <w:noProof/>
      </w:rPr>
      <w:drawing>
        <wp:anchor distT="0" distB="0" distL="114300" distR="114300" simplePos="0" relativeHeight="251658752" behindDoc="1" locked="1" layoutInCell="1" allowOverlap="1" wp14:anchorId="6F4C3B87" wp14:editId="5A94A66C">
          <wp:simplePos x="0" y="0"/>
          <wp:positionH relativeFrom="margin">
            <wp:posOffset>5459095</wp:posOffset>
          </wp:positionH>
          <wp:positionV relativeFrom="page">
            <wp:posOffset>3280410</wp:posOffset>
          </wp:positionV>
          <wp:extent cx="7574280" cy="1043940"/>
          <wp:effectExtent l="762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5680" behindDoc="1" locked="0" layoutInCell="1" allowOverlap="0" wp14:anchorId="13C16B28" wp14:editId="7E38A2E9">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fldSimple w:instr="STYLEREF  &quot;Heading 1&quot;  \* MERGEFORMAT">
      <w:r w:rsidR="009C7137">
        <w:rPr>
          <w:noProof/>
        </w:rPr>
        <w:t>Contents</w:t>
      </w:r>
    </w:fldSimple>
    <w:r>
      <w:t xml:space="preserve"> | </w:t>
    </w: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E12A4" w14:textId="695A832B" w:rsidR="00E81A40" w:rsidRDefault="00E81A40" w:rsidP="0017089D">
    <w:r>
      <w:fldChar w:fldCharType="begin"/>
    </w:r>
    <w:r>
      <w:instrText xml:space="preserve"> PAGE  \* Arabic  \* MERGEFORMAT </w:instrText>
    </w:r>
    <w:r>
      <w:fldChar w:fldCharType="separate"/>
    </w:r>
    <w:r>
      <w:t>6</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083F5" w14:textId="083DE8C6" w:rsidR="00E81A40" w:rsidRDefault="00E81A40" w:rsidP="00E13E90">
    <w:pPr>
      <w:pStyle w:val="Footer"/>
    </w:pPr>
    <w:r w:rsidRPr="00742366">
      <w:drawing>
        <wp:anchor distT="0" distB="0" distL="114300" distR="114300" simplePos="0" relativeHeight="251657728" behindDoc="1" locked="1" layoutInCell="1" allowOverlap="1" wp14:anchorId="2F7960F9" wp14:editId="5E89FA69">
          <wp:simplePos x="0" y="0"/>
          <wp:positionH relativeFrom="margin">
            <wp:posOffset>5459095</wp:posOffset>
          </wp:positionH>
          <wp:positionV relativeFrom="page">
            <wp:posOffset>3280410</wp:posOffset>
          </wp:positionV>
          <wp:extent cx="7574280" cy="1043940"/>
          <wp:effectExtent l="762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tab/>
    </w:r>
    <w:fldSimple w:instr="STYLEREF  &quot;Heading 1&quot;  \* MERGEFORMAT">
      <w:r w:rsidR="00B37682">
        <w:t>Options to ensure the domestic wholesale gas market delivers for Australians</w:t>
      </w:r>
    </w:fldSimple>
    <w:r>
      <w:t xml:space="preserve"> | </w:t>
    </w:r>
    <w:r>
      <w:rPr>
        <w:noProof w:val="0"/>
      </w:rPr>
      <w:fldChar w:fldCharType="begin"/>
    </w:r>
    <w:r>
      <w:instrText xml:space="preserve"> PAGE   \* MERGEFORMAT </w:instrText>
    </w:r>
    <w:r>
      <w:rPr>
        <w:noProof w:val="0"/>
      </w:rPr>
      <w:fldChar w:fldCharType="separate"/>
    </w:r>
    <w:r>
      <w:rPr>
        <w:noProof w:val="0"/>
      </w:rPr>
      <w:t>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950D2" w14:textId="1633C93B" w:rsidR="00412FC1" w:rsidRPr="00BC225E" w:rsidRDefault="00412FC1" w:rsidP="00BC22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E7AAB" w14:textId="77777777" w:rsidR="00D968B3" w:rsidRDefault="00D968B3">
      <w:pPr>
        <w:spacing w:before="0" w:after="0"/>
      </w:pPr>
      <w:r>
        <w:separator/>
      </w:r>
    </w:p>
  </w:footnote>
  <w:footnote w:type="continuationSeparator" w:id="0">
    <w:p w14:paraId="4E455B9F" w14:textId="77777777" w:rsidR="00D968B3" w:rsidRDefault="00D968B3">
      <w:pPr>
        <w:spacing w:before="0" w:after="0"/>
      </w:pPr>
      <w:r>
        <w:continuationSeparator/>
      </w:r>
    </w:p>
  </w:footnote>
  <w:footnote w:type="continuationNotice" w:id="1">
    <w:p w14:paraId="78CABA77" w14:textId="77777777" w:rsidR="00D968B3" w:rsidRDefault="00D968B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00988" w14:textId="1FD352B7" w:rsidR="002314D2" w:rsidRPr="001F3912" w:rsidRDefault="002314D2" w:rsidP="0017089D">
    <w:r>
      <w:fldChar w:fldCharType="begin"/>
    </w:r>
    <w:r>
      <w:instrText xml:space="preserve"> macrobutton nomacro [Click and add Publication Title]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A1125" w14:textId="09A0A299" w:rsidR="00412FC1" w:rsidRPr="00BC225E" w:rsidRDefault="00412FC1" w:rsidP="00BC22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35689" w14:textId="02132795" w:rsidR="00E81A40" w:rsidRPr="001F3912" w:rsidRDefault="00E81A40" w:rsidP="0017089D">
    <w:r>
      <w:fldChar w:fldCharType="begin"/>
    </w:r>
    <w:r>
      <w:instrText xml:space="preserve"> macrobutton nomacro [Click and add Publication Title] </w:instrTex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2B70B" w14:textId="750F7270" w:rsidR="00E81A40" w:rsidRPr="00BC225E" w:rsidRDefault="00BC225E" w:rsidP="00BC225E">
    <w:pPr>
      <w:pStyle w:val="Header"/>
    </w:pPr>
    <w:r>
      <w:rPr>
        <w:noProof/>
      </w:rPr>
      <w:drawing>
        <wp:anchor distT="0" distB="0" distL="114300" distR="114300" simplePos="0" relativeHeight="251659776" behindDoc="0" locked="0" layoutInCell="1" allowOverlap="1" wp14:anchorId="27CC33A7" wp14:editId="5EB07028">
          <wp:simplePos x="904672" y="447472"/>
          <wp:positionH relativeFrom="page">
            <wp:align>center</wp:align>
          </wp:positionH>
          <wp:positionV relativeFrom="page">
            <wp:align>top</wp:align>
          </wp:positionV>
          <wp:extent cx="7570800" cy="1044000"/>
          <wp:effectExtent l="0" t="0" r="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0800" cy="1044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56AD3" w14:textId="6BD897B2" w:rsidR="00412FC1" w:rsidRPr="00BC225E" w:rsidRDefault="00412FC1" w:rsidP="00BC22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77C01"/>
    <w:multiLevelType w:val="hybridMultilevel"/>
    <w:tmpl w:val="FAB0FB5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7DF7717"/>
    <w:multiLevelType w:val="multilevel"/>
    <w:tmpl w:val="32BA81B0"/>
    <w:lvl w:ilvl="0">
      <w:start w:val="1"/>
      <w:numFmt w:val="decimal"/>
      <w:pStyle w:val="Heading1Numbered"/>
      <w:lvlText w:val="%1."/>
      <w:lvlJc w:val="left"/>
      <w:pPr>
        <w:ind w:left="454" w:hanging="454"/>
      </w:pPr>
      <w:rPr>
        <w:rFonts w:hint="default"/>
      </w:rPr>
    </w:lvl>
    <w:lvl w:ilvl="1">
      <w:start w:val="1"/>
      <w:numFmt w:val="decimal"/>
      <w:pStyle w:val="Heading2Numbered"/>
      <w:lvlText w:val="%1.%2"/>
      <w:lvlJc w:val="left"/>
      <w:pPr>
        <w:ind w:left="454" w:hanging="454"/>
      </w:pPr>
      <w:rPr>
        <w:rFonts w:hint="default"/>
      </w:rPr>
    </w:lvl>
    <w:lvl w:ilvl="2">
      <w:start w:val="1"/>
      <w:numFmt w:val="decimal"/>
      <w:pStyle w:val="Heading3Numbered"/>
      <w:lvlText w:val="%1.%2.%3"/>
      <w:lvlJc w:val="left"/>
      <w:pPr>
        <w:ind w:left="454" w:hanging="454"/>
      </w:pPr>
      <w:rPr>
        <w:rFonts w:hint="default"/>
      </w:rPr>
    </w:lvl>
    <w:lvl w:ilvl="3">
      <w:start w:val="1"/>
      <w:numFmt w:val="decimal"/>
      <w:lvlText w:val="(%4)"/>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lef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left"/>
      <w:pPr>
        <w:ind w:left="454" w:hanging="454"/>
      </w:pPr>
      <w:rPr>
        <w:rFonts w:hint="default"/>
      </w:rPr>
    </w:lvl>
  </w:abstractNum>
  <w:abstractNum w:abstractNumId="4" w15:restartNumberingAfterBreak="0">
    <w:nsid w:val="1F176E2C"/>
    <w:multiLevelType w:val="multilevel"/>
    <w:tmpl w:val="9594C72A"/>
    <w:name w:val="StandardBulletedList"/>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72F5F51"/>
    <w:multiLevelType w:val="multilevel"/>
    <w:tmpl w:val="57000EF8"/>
    <w:lvl w:ilvl="0">
      <w:numFmt w:val="decimal"/>
      <w:lvlText w:val="•"/>
      <w:lvlJc w:val="left"/>
      <w:pPr>
        <w:tabs>
          <w:tab w:val="num" w:pos="520"/>
        </w:tabs>
        <w:ind w:left="520" w:hanging="520"/>
      </w:pPr>
      <w:rPr>
        <w:rFonts w:ascii="Times New Roman" w:hAnsi="Times New Roman" w:cs="Times New Roman"/>
        <w:color w:val="auto"/>
      </w:rPr>
    </w:lvl>
    <w:lvl w:ilvl="1">
      <w:numFmt w:val="decimal"/>
      <w:lvlText w:val="–"/>
      <w:lvlJc w:val="left"/>
      <w:pPr>
        <w:tabs>
          <w:tab w:val="num" w:pos="1040"/>
        </w:tabs>
        <w:ind w:left="1040" w:hanging="520"/>
      </w:pPr>
      <w:rPr>
        <w:rFonts w:ascii="Times New Roman" w:hAnsi="Times New Roman" w:cs="Times New Roman"/>
      </w:rPr>
    </w:lvl>
    <w:lvl w:ilvl="2">
      <w:numFmt w:val="decimal"/>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7"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7585E25"/>
    <w:multiLevelType w:val="hybridMultilevel"/>
    <w:tmpl w:val="E22A048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0" w15:restartNumberingAfterBreak="0">
    <w:nsid w:val="45C8E8D4"/>
    <w:multiLevelType w:val="multilevel"/>
    <w:tmpl w:val="FFFFFFFF"/>
    <w:lvl w:ilvl="0">
      <w:start w:val="1"/>
      <w:numFmt w:val="bullet"/>
      <w:lvlText w:val="•"/>
      <w:lvlJc w:val="left"/>
      <w:pPr>
        <w:ind w:left="520" w:hanging="52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D6B5224"/>
    <w:multiLevelType w:val="multilevel"/>
    <w:tmpl w:val="57000EF8"/>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
  </w:num>
  <w:num w:numId="2">
    <w:abstractNumId w:val="1"/>
  </w:num>
  <w:num w:numId="3">
    <w:abstractNumId w:val="8"/>
  </w:num>
  <w:num w:numId="4">
    <w:abstractNumId w:val="2"/>
  </w:num>
  <w:num w:numId="5">
    <w:abstractNumId w:val="7"/>
  </w:num>
  <w:num w:numId="6">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7"/>
  </w:num>
  <w:num w:numId="10">
    <w:abstractNumId w:val="3"/>
  </w:num>
  <w:num w:numId="11">
    <w:abstractNumId w:val="8"/>
  </w:num>
  <w:num w:numId="12">
    <w:abstractNumId w:val="2"/>
  </w:num>
  <w:num w:numId="13">
    <w:abstractNumId w:val="9"/>
  </w:num>
  <w:num w:numId="14">
    <w:abstractNumId w:val="0"/>
  </w:num>
  <w:num w:numId="15">
    <w:abstractNumId w:val="0"/>
  </w:num>
  <w:num w:numId="16">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A75F48"/>
    <w:rsid w:val="0000053C"/>
    <w:rsid w:val="0000299D"/>
    <w:rsid w:val="0000673D"/>
    <w:rsid w:val="00006B52"/>
    <w:rsid w:val="00011111"/>
    <w:rsid w:val="00011725"/>
    <w:rsid w:val="0001205C"/>
    <w:rsid w:val="00012C62"/>
    <w:rsid w:val="00014D3A"/>
    <w:rsid w:val="0001542E"/>
    <w:rsid w:val="00016474"/>
    <w:rsid w:val="00024281"/>
    <w:rsid w:val="0002544D"/>
    <w:rsid w:val="00033C21"/>
    <w:rsid w:val="0003688F"/>
    <w:rsid w:val="00040E71"/>
    <w:rsid w:val="00041A8B"/>
    <w:rsid w:val="0004258F"/>
    <w:rsid w:val="0004274D"/>
    <w:rsid w:val="00043EBF"/>
    <w:rsid w:val="00044C0A"/>
    <w:rsid w:val="00045C4E"/>
    <w:rsid w:val="000467B3"/>
    <w:rsid w:val="000471BE"/>
    <w:rsid w:val="00051D60"/>
    <w:rsid w:val="00056572"/>
    <w:rsid w:val="00056880"/>
    <w:rsid w:val="00060509"/>
    <w:rsid w:val="00061E48"/>
    <w:rsid w:val="00062CB1"/>
    <w:rsid w:val="000675C3"/>
    <w:rsid w:val="000675D1"/>
    <w:rsid w:val="0007102C"/>
    <w:rsid w:val="0007181E"/>
    <w:rsid w:val="00072352"/>
    <w:rsid w:val="00073521"/>
    <w:rsid w:val="000741B4"/>
    <w:rsid w:val="0007527A"/>
    <w:rsid w:val="000775DE"/>
    <w:rsid w:val="00077A59"/>
    <w:rsid w:val="00081B45"/>
    <w:rsid w:val="00082FC2"/>
    <w:rsid w:val="000838DD"/>
    <w:rsid w:val="000844E9"/>
    <w:rsid w:val="000858F2"/>
    <w:rsid w:val="00087FAF"/>
    <w:rsid w:val="00090833"/>
    <w:rsid w:val="0009151A"/>
    <w:rsid w:val="000951DF"/>
    <w:rsid w:val="0009567B"/>
    <w:rsid w:val="00097C72"/>
    <w:rsid w:val="000A0EC4"/>
    <w:rsid w:val="000A1DE6"/>
    <w:rsid w:val="000A5821"/>
    <w:rsid w:val="000A7027"/>
    <w:rsid w:val="000B3D71"/>
    <w:rsid w:val="000B5626"/>
    <w:rsid w:val="000C03B4"/>
    <w:rsid w:val="000C0FDD"/>
    <w:rsid w:val="000C5968"/>
    <w:rsid w:val="000C5B01"/>
    <w:rsid w:val="000C5F40"/>
    <w:rsid w:val="000C7471"/>
    <w:rsid w:val="000D031A"/>
    <w:rsid w:val="000D1284"/>
    <w:rsid w:val="000D247D"/>
    <w:rsid w:val="000D5586"/>
    <w:rsid w:val="000E01BD"/>
    <w:rsid w:val="000E0B74"/>
    <w:rsid w:val="000E1F49"/>
    <w:rsid w:val="000E2308"/>
    <w:rsid w:val="000E6425"/>
    <w:rsid w:val="000F09F1"/>
    <w:rsid w:val="000F0BF8"/>
    <w:rsid w:val="000F237F"/>
    <w:rsid w:val="000F4754"/>
    <w:rsid w:val="000F6362"/>
    <w:rsid w:val="000F66A7"/>
    <w:rsid w:val="000F6CB8"/>
    <w:rsid w:val="000F7517"/>
    <w:rsid w:val="000F7640"/>
    <w:rsid w:val="000F7832"/>
    <w:rsid w:val="00111E0F"/>
    <w:rsid w:val="001132AD"/>
    <w:rsid w:val="00123C58"/>
    <w:rsid w:val="00123DA1"/>
    <w:rsid w:val="0013775D"/>
    <w:rsid w:val="0014091C"/>
    <w:rsid w:val="00142D77"/>
    <w:rsid w:val="001447D4"/>
    <w:rsid w:val="0014515D"/>
    <w:rsid w:val="001462A5"/>
    <w:rsid w:val="0014685C"/>
    <w:rsid w:val="0014717F"/>
    <w:rsid w:val="001530B2"/>
    <w:rsid w:val="00153BE2"/>
    <w:rsid w:val="00153DCB"/>
    <w:rsid w:val="00154945"/>
    <w:rsid w:val="00154DB3"/>
    <w:rsid w:val="00156390"/>
    <w:rsid w:val="001576E5"/>
    <w:rsid w:val="001606CF"/>
    <w:rsid w:val="0016128D"/>
    <w:rsid w:val="00161575"/>
    <w:rsid w:val="00163BBE"/>
    <w:rsid w:val="001641ED"/>
    <w:rsid w:val="0016525E"/>
    <w:rsid w:val="001656C9"/>
    <w:rsid w:val="00166E34"/>
    <w:rsid w:val="00167694"/>
    <w:rsid w:val="001706EC"/>
    <w:rsid w:val="0017089D"/>
    <w:rsid w:val="001771A3"/>
    <w:rsid w:val="0018326D"/>
    <w:rsid w:val="0018425E"/>
    <w:rsid w:val="001866FB"/>
    <w:rsid w:val="0019101A"/>
    <w:rsid w:val="00191D8D"/>
    <w:rsid w:val="001924B9"/>
    <w:rsid w:val="00195E50"/>
    <w:rsid w:val="001A6C49"/>
    <w:rsid w:val="001B0A96"/>
    <w:rsid w:val="001B323D"/>
    <w:rsid w:val="001B363B"/>
    <w:rsid w:val="001B5D10"/>
    <w:rsid w:val="001B69F1"/>
    <w:rsid w:val="001C0282"/>
    <w:rsid w:val="001C12C6"/>
    <w:rsid w:val="001C20B9"/>
    <w:rsid w:val="001C358D"/>
    <w:rsid w:val="001C4276"/>
    <w:rsid w:val="001C6A70"/>
    <w:rsid w:val="001D040C"/>
    <w:rsid w:val="001D3B8B"/>
    <w:rsid w:val="001D4EAA"/>
    <w:rsid w:val="001D5C00"/>
    <w:rsid w:val="001D68E1"/>
    <w:rsid w:val="001D7965"/>
    <w:rsid w:val="001E0F52"/>
    <w:rsid w:val="001F0351"/>
    <w:rsid w:val="001F1849"/>
    <w:rsid w:val="001F3A9E"/>
    <w:rsid w:val="002001CD"/>
    <w:rsid w:val="00200703"/>
    <w:rsid w:val="00201284"/>
    <w:rsid w:val="0020484B"/>
    <w:rsid w:val="00206C4F"/>
    <w:rsid w:val="00212633"/>
    <w:rsid w:val="00213F07"/>
    <w:rsid w:val="0022190E"/>
    <w:rsid w:val="00224AF0"/>
    <w:rsid w:val="00227E3D"/>
    <w:rsid w:val="00230ADD"/>
    <w:rsid w:val="00230FD4"/>
    <w:rsid w:val="00231049"/>
    <w:rsid w:val="002314D2"/>
    <w:rsid w:val="0023386A"/>
    <w:rsid w:val="002340F9"/>
    <w:rsid w:val="002343C8"/>
    <w:rsid w:val="002348D7"/>
    <w:rsid w:val="00236465"/>
    <w:rsid w:val="00236EC1"/>
    <w:rsid w:val="002372A6"/>
    <w:rsid w:val="002401DB"/>
    <w:rsid w:val="00240837"/>
    <w:rsid w:val="00240C50"/>
    <w:rsid w:val="0024320E"/>
    <w:rsid w:val="00253F51"/>
    <w:rsid w:val="0025470A"/>
    <w:rsid w:val="002551F3"/>
    <w:rsid w:val="00257AEE"/>
    <w:rsid w:val="00261650"/>
    <w:rsid w:val="00263B6C"/>
    <w:rsid w:val="00270DBB"/>
    <w:rsid w:val="0027192D"/>
    <w:rsid w:val="0027259D"/>
    <w:rsid w:val="0027263D"/>
    <w:rsid w:val="0027589B"/>
    <w:rsid w:val="0027590B"/>
    <w:rsid w:val="00281D1D"/>
    <w:rsid w:val="002823F8"/>
    <w:rsid w:val="00283525"/>
    <w:rsid w:val="00285969"/>
    <w:rsid w:val="00286200"/>
    <w:rsid w:val="002921B6"/>
    <w:rsid w:val="002940EC"/>
    <w:rsid w:val="00294BBB"/>
    <w:rsid w:val="002A0C29"/>
    <w:rsid w:val="002A1A67"/>
    <w:rsid w:val="002A2D01"/>
    <w:rsid w:val="002A394B"/>
    <w:rsid w:val="002A6426"/>
    <w:rsid w:val="002A73F7"/>
    <w:rsid w:val="002B3829"/>
    <w:rsid w:val="002B3B7E"/>
    <w:rsid w:val="002B4D4D"/>
    <w:rsid w:val="002B57C9"/>
    <w:rsid w:val="002B5BBA"/>
    <w:rsid w:val="002B5C39"/>
    <w:rsid w:val="002B6095"/>
    <w:rsid w:val="002C10BF"/>
    <w:rsid w:val="002C1197"/>
    <w:rsid w:val="002C17DE"/>
    <w:rsid w:val="002C3686"/>
    <w:rsid w:val="002C6E94"/>
    <w:rsid w:val="002D1F90"/>
    <w:rsid w:val="002D3DDC"/>
    <w:rsid w:val="002D488F"/>
    <w:rsid w:val="002E142B"/>
    <w:rsid w:val="002E2C70"/>
    <w:rsid w:val="002E507D"/>
    <w:rsid w:val="002E6BA5"/>
    <w:rsid w:val="002E75D4"/>
    <w:rsid w:val="002F0166"/>
    <w:rsid w:val="002F3E9B"/>
    <w:rsid w:val="002F5BD6"/>
    <w:rsid w:val="002F617F"/>
    <w:rsid w:val="002F64A7"/>
    <w:rsid w:val="002F76CE"/>
    <w:rsid w:val="003049A5"/>
    <w:rsid w:val="00306228"/>
    <w:rsid w:val="00306A1F"/>
    <w:rsid w:val="003109FC"/>
    <w:rsid w:val="003122F4"/>
    <w:rsid w:val="0031276E"/>
    <w:rsid w:val="00313D74"/>
    <w:rsid w:val="0031414A"/>
    <w:rsid w:val="00316DA7"/>
    <w:rsid w:val="00323372"/>
    <w:rsid w:val="00323DBF"/>
    <w:rsid w:val="00325CCF"/>
    <w:rsid w:val="003268D5"/>
    <w:rsid w:val="00327A88"/>
    <w:rsid w:val="003301CE"/>
    <w:rsid w:val="00330789"/>
    <w:rsid w:val="0033154C"/>
    <w:rsid w:val="00333C24"/>
    <w:rsid w:val="00334368"/>
    <w:rsid w:val="00334425"/>
    <w:rsid w:val="00334D71"/>
    <w:rsid w:val="003354BD"/>
    <w:rsid w:val="00335564"/>
    <w:rsid w:val="00342C2C"/>
    <w:rsid w:val="00344779"/>
    <w:rsid w:val="0034628A"/>
    <w:rsid w:val="00346412"/>
    <w:rsid w:val="00353D37"/>
    <w:rsid w:val="00354915"/>
    <w:rsid w:val="00354D27"/>
    <w:rsid w:val="00354FBB"/>
    <w:rsid w:val="003561B8"/>
    <w:rsid w:val="003563A2"/>
    <w:rsid w:val="003622AC"/>
    <w:rsid w:val="00364061"/>
    <w:rsid w:val="0036572A"/>
    <w:rsid w:val="003673BF"/>
    <w:rsid w:val="00370488"/>
    <w:rsid w:val="00377F2D"/>
    <w:rsid w:val="00381E15"/>
    <w:rsid w:val="00383211"/>
    <w:rsid w:val="003839F0"/>
    <w:rsid w:val="00383ED0"/>
    <w:rsid w:val="003858A6"/>
    <w:rsid w:val="00387DC7"/>
    <w:rsid w:val="00391084"/>
    <w:rsid w:val="00391C4A"/>
    <w:rsid w:val="00392DCC"/>
    <w:rsid w:val="0039410C"/>
    <w:rsid w:val="00397107"/>
    <w:rsid w:val="003A022E"/>
    <w:rsid w:val="003A1953"/>
    <w:rsid w:val="003A199F"/>
    <w:rsid w:val="003A1A11"/>
    <w:rsid w:val="003A1A3A"/>
    <w:rsid w:val="003A2D9F"/>
    <w:rsid w:val="003B008F"/>
    <w:rsid w:val="003B043D"/>
    <w:rsid w:val="003B4862"/>
    <w:rsid w:val="003B79B3"/>
    <w:rsid w:val="003C1205"/>
    <w:rsid w:val="003C1C23"/>
    <w:rsid w:val="003C435F"/>
    <w:rsid w:val="003C445F"/>
    <w:rsid w:val="003C6ED2"/>
    <w:rsid w:val="003C72E2"/>
    <w:rsid w:val="003C7ECF"/>
    <w:rsid w:val="003C7F9F"/>
    <w:rsid w:val="003D2A10"/>
    <w:rsid w:val="003D5BF4"/>
    <w:rsid w:val="003D65D0"/>
    <w:rsid w:val="003D675E"/>
    <w:rsid w:val="003D6F3F"/>
    <w:rsid w:val="003E0190"/>
    <w:rsid w:val="003E1B28"/>
    <w:rsid w:val="003E2693"/>
    <w:rsid w:val="003E274D"/>
    <w:rsid w:val="003E2F9D"/>
    <w:rsid w:val="003E38B0"/>
    <w:rsid w:val="003E4D87"/>
    <w:rsid w:val="003E61FD"/>
    <w:rsid w:val="003F71F2"/>
    <w:rsid w:val="003F724B"/>
    <w:rsid w:val="0040469D"/>
    <w:rsid w:val="00407DBE"/>
    <w:rsid w:val="00412FC1"/>
    <w:rsid w:val="00413CBC"/>
    <w:rsid w:val="00415497"/>
    <w:rsid w:val="00415FD7"/>
    <w:rsid w:val="00416762"/>
    <w:rsid w:val="00416EBA"/>
    <w:rsid w:val="0042017F"/>
    <w:rsid w:val="00421351"/>
    <w:rsid w:val="004214F3"/>
    <w:rsid w:val="0042271C"/>
    <w:rsid w:val="00422E45"/>
    <w:rsid w:val="00427042"/>
    <w:rsid w:val="0043414D"/>
    <w:rsid w:val="00434241"/>
    <w:rsid w:val="00440332"/>
    <w:rsid w:val="00441D8B"/>
    <w:rsid w:val="004421A2"/>
    <w:rsid w:val="00443F2E"/>
    <w:rsid w:val="00445265"/>
    <w:rsid w:val="00446605"/>
    <w:rsid w:val="00450B7C"/>
    <w:rsid w:val="004530F9"/>
    <w:rsid w:val="0045375F"/>
    <w:rsid w:val="004559CE"/>
    <w:rsid w:val="00455C83"/>
    <w:rsid w:val="004563F0"/>
    <w:rsid w:val="0045687C"/>
    <w:rsid w:val="004601B6"/>
    <w:rsid w:val="00461E2E"/>
    <w:rsid w:val="004628AA"/>
    <w:rsid w:val="00465436"/>
    <w:rsid w:val="0047121F"/>
    <w:rsid w:val="00472711"/>
    <w:rsid w:val="00472F78"/>
    <w:rsid w:val="004739DD"/>
    <w:rsid w:val="00474693"/>
    <w:rsid w:val="00475B7B"/>
    <w:rsid w:val="00475F4D"/>
    <w:rsid w:val="0047659C"/>
    <w:rsid w:val="004776FE"/>
    <w:rsid w:val="00482318"/>
    <w:rsid w:val="00482960"/>
    <w:rsid w:val="00482AD1"/>
    <w:rsid w:val="00483049"/>
    <w:rsid w:val="004905A0"/>
    <w:rsid w:val="004916F7"/>
    <w:rsid w:val="00492FCB"/>
    <w:rsid w:val="004938D1"/>
    <w:rsid w:val="00493F36"/>
    <w:rsid w:val="004951A8"/>
    <w:rsid w:val="0049586C"/>
    <w:rsid w:val="00495F47"/>
    <w:rsid w:val="0049731A"/>
    <w:rsid w:val="004A077D"/>
    <w:rsid w:val="004A1AE8"/>
    <w:rsid w:val="004A33D6"/>
    <w:rsid w:val="004A572B"/>
    <w:rsid w:val="004A5B87"/>
    <w:rsid w:val="004A7BC2"/>
    <w:rsid w:val="004B26B0"/>
    <w:rsid w:val="004B446E"/>
    <w:rsid w:val="004B4805"/>
    <w:rsid w:val="004C27B6"/>
    <w:rsid w:val="004C3969"/>
    <w:rsid w:val="004C6249"/>
    <w:rsid w:val="004C7FBD"/>
    <w:rsid w:val="004D15B7"/>
    <w:rsid w:val="004D2792"/>
    <w:rsid w:val="004D5279"/>
    <w:rsid w:val="004E2A5A"/>
    <w:rsid w:val="004E577B"/>
    <w:rsid w:val="004E5C60"/>
    <w:rsid w:val="004F00FC"/>
    <w:rsid w:val="004F1164"/>
    <w:rsid w:val="004F12DF"/>
    <w:rsid w:val="004F1771"/>
    <w:rsid w:val="004F4EA7"/>
    <w:rsid w:val="004F5F43"/>
    <w:rsid w:val="004F632B"/>
    <w:rsid w:val="004F7B44"/>
    <w:rsid w:val="00503AB5"/>
    <w:rsid w:val="00504290"/>
    <w:rsid w:val="0050550B"/>
    <w:rsid w:val="00505724"/>
    <w:rsid w:val="00506F80"/>
    <w:rsid w:val="005119C3"/>
    <w:rsid w:val="00511B12"/>
    <w:rsid w:val="00516785"/>
    <w:rsid w:val="00517EDD"/>
    <w:rsid w:val="005239DE"/>
    <w:rsid w:val="0052419D"/>
    <w:rsid w:val="00530135"/>
    <w:rsid w:val="005301F8"/>
    <w:rsid w:val="005312FC"/>
    <w:rsid w:val="00533625"/>
    <w:rsid w:val="0053603D"/>
    <w:rsid w:val="005418D1"/>
    <w:rsid w:val="0054390B"/>
    <w:rsid w:val="00544BB6"/>
    <w:rsid w:val="00553029"/>
    <w:rsid w:val="00555D14"/>
    <w:rsid w:val="00561C70"/>
    <w:rsid w:val="00567BE6"/>
    <w:rsid w:val="00574461"/>
    <w:rsid w:val="00574FD1"/>
    <w:rsid w:val="005849B1"/>
    <w:rsid w:val="005868DE"/>
    <w:rsid w:val="005879C9"/>
    <w:rsid w:val="00591D5D"/>
    <w:rsid w:val="005931D7"/>
    <w:rsid w:val="00594308"/>
    <w:rsid w:val="005948F2"/>
    <w:rsid w:val="00596551"/>
    <w:rsid w:val="00597BE3"/>
    <w:rsid w:val="005A1EA3"/>
    <w:rsid w:val="005A2079"/>
    <w:rsid w:val="005A3034"/>
    <w:rsid w:val="005A4C98"/>
    <w:rsid w:val="005A5286"/>
    <w:rsid w:val="005B1DD1"/>
    <w:rsid w:val="005B39BB"/>
    <w:rsid w:val="005B45EA"/>
    <w:rsid w:val="005B5936"/>
    <w:rsid w:val="005B6108"/>
    <w:rsid w:val="005B7BC6"/>
    <w:rsid w:val="005C29F8"/>
    <w:rsid w:val="005C5AE7"/>
    <w:rsid w:val="005C7342"/>
    <w:rsid w:val="005D25FC"/>
    <w:rsid w:val="005D321F"/>
    <w:rsid w:val="005D5D5D"/>
    <w:rsid w:val="005D76E2"/>
    <w:rsid w:val="005E251C"/>
    <w:rsid w:val="005E366D"/>
    <w:rsid w:val="005E655B"/>
    <w:rsid w:val="005E7090"/>
    <w:rsid w:val="005F4090"/>
    <w:rsid w:val="005F514A"/>
    <w:rsid w:val="006016A6"/>
    <w:rsid w:val="0060487C"/>
    <w:rsid w:val="0060595B"/>
    <w:rsid w:val="00605AFD"/>
    <w:rsid w:val="00605F7B"/>
    <w:rsid w:val="00606428"/>
    <w:rsid w:val="00607C7C"/>
    <w:rsid w:val="00611537"/>
    <w:rsid w:val="00611A4A"/>
    <w:rsid w:val="006123D4"/>
    <w:rsid w:val="00613162"/>
    <w:rsid w:val="00614107"/>
    <w:rsid w:val="0061542C"/>
    <w:rsid w:val="00616E68"/>
    <w:rsid w:val="006208A7"/>
    <w:rsid w:val="006232B4"/>
    <w:rsid w:val="006249B2"/>
    <w:rsid w:val="00624CED"/>
    <w:rsid w:val="006254E1"/>
    <w:rsid w:val="006308EE"/>
    <w:rsid w:val="00630BF6"/>
    <w:rsid w:val="00633C07"/>
    <w:rsid w:val="00635943"/>
    <w:rsid w:val="00635C7D"/>
    <w:rsid w:val="00636933"/>
    <w:rsid w:val="006378CD"/>
    <w:rsid w:val="00637BAB"/>
    <w:rsid w:val="00637C14"/>
    <w:rsid w:val="0064327C"/>
    <w:rsid w:val="00643AAD"/>
    <w:rsid w:val="0064409D"/>
    <w:rsid w:val="0064608F"/>
    <w:rsid w:val="00647B46"/>
    <w:rsid w:val="006541BB"/>
    <w:rsid w:val="00656356"/>
    <w:rsid w:val="00660C56"/>
    <w:rsid w:val="00663D3E"/>
    <w:rsid w:val="00664D69"/>
    <w:rsid w:val="00664E78"/>
    <w:rsid w:val="006734B5"/>
    <w:rsid w:val="006755BF"/>
    <w:rsid w:val="006772A9"/>
    <w:rsid w:val="00680813"/>
    <w:rsid w:val="00686165"/>
    <w:rsid w:val="00690134"/>
    <w:rsid w:val="006907C8"/>
    <w:rsid w:val="00690A72"/>
    <w:rsid w:val="006910C2"/>
    <w:rsid w:val="0069114C"/>
    <w:rsid w:val="006916EF"/>
    <w:rsid w:val="00691CB5"/>
    <w:rsid w:val="006922A1"/>
    <w:rsid w:val="00693EF5"/>
    <w:rsid w:val="00697D2D"/>
    <w:rsid w:val="006A1C0C"/>
    <w:rsid w:val="006A55CE"/>
    <w:rsid w:val="006A6EE1"/>
    <w:rsid w:val="006A7DC4"/>
    <w:rsid w:val="006B0B95"/>
    <w:rsid w:val="006B139D"/>
    <w:rsid w:val="006B287B"/>
    <w:rsid w:val="006B3A46"/>
    <w:rsid w:val="006B5E7C"/>
    <w:rsid w:val="006B66E4"/>
    <w:rsid w:val="006B7911"/>
    <w:rsid w:val="006C01AC"/>
    <w:rsid w:val="006C01D8"/>
    <w:rsid w:val="006C20FF"/>
    <w:rsid w:val="006C3537"/>
    <w:rsid w:val="006C645D"/>
    <w:rsid w:val="006C653E"/>
    <w:rsid w:val="006D13C8"/>
    <w:rsid w:val="006D1470"/>
    <w:rsid w:val="006D42C7"/>
    <w:rsid w:val="006D54C8"/>
    <w:rsid w:val="006D575D"/>
    <w:rsid w:val="006D62B2"/>
    <w:rsid w:val="006E0E3C"/>
    <w:rsid w:val="006E1463"/>
    <w:rsid w:val="006E26D0"/>
    <w:rsid w:val="006E2CD7"/>
    <w:rsid w:val="006E36AE"/>
    <w:rsid w:val="006E3CC3"/>
    <w:rsid w:val="006E4024"/>
    <w:rsid w:val="006F656C"/>
    <w:rsid w:val="006F667B"/>
    <w:rsid w:val="006F7C3A"/>
    <w:rsid w:val="00705644"/>
    <w:rsid w:val="00705834"/>
    <w:rsid w:val="00707014"/>
    <w:rsid w:val="00710E13"/>
    <w:rsid w:val="007118A3"/>
    <w:rsid w:val="00712C7E"/>
    <w:rsid w:val="00717C84"/>
    <w:rsid w:val="00717DAC"/>
    <w:rsid w:val="00720BF2"/>
    <w:rsid w:val="00722658"/>
    <w:rsid w:val="00722BF2"/>
    <w:rsid w:val="00727B63"/>
    <w:rsid w:val="0073023D"/>
    <w:rsid w:val="00731155"/>
    <w:rsid w:val="0073351B"/>
    <w:rsid w:val="00733F00"/>
    <w:rsid w:val="0073402F"/>
    <w:rsid w:val="0073510B"/>
    <w:rsid w:val="00735128"/>
    <w:rsid w:val="00737B4A"/>
    <w:rsid w:val="00740AFA"/>
    <w:rsid w:val="00745A87"/>
    <w:rsid w:val="00745B5A"/>
    <w:rsid w:val="00746EF8"/>
    <w:rsid w:val="00750F5B"/>
    <w:rsid w:val="00753E18"/>
    <w:rsid w:val="00757816"/>
    <w:rsid w:val="00757827"/>
    <w:rsid w:val="007649EF"/>
    <w:rsid w:val="007674BF"/>
    <w:rsid w:val="00771483"/>
    <w:rsid w:val="007739DC"/>
    <w:rsid w:val="00775702"/>
    <w:rsid w:val="00775765"/>
    <w:rsid w:val="00782B93"/>
    <w:rsid w:val="0078509F"/>
    <w:rsid w:val="00785B9C"/>
    <w:rsid w:val="007907B8"/>
    <w:rsid w:val="0079199D"/>
    <w:rsid w:val="00791F02"/>
    <w:rsid w:val="00794499"/>
    <w:rsid w:val="00795251"/>
    <w:rsid w:val="007962C6"/>
    <w:rsid w:val="0079716A"/>
    <w:rsid w:val="007A02BA"/>
    <w:rsid w:val="007A0B58"/>
    <w:rsid w:val="007A40B7"/>
    <w:rsid w:val="007B7AE0"/>
    <w:rsid w:val="007C29EA"/>
    <w:rsid w:val="007C737F"/>
    <w:rsid w:val="007D0FAB"/>
    <w:rsid w:val="007D1380"/>
    <w:rsid w:val="007D25DF"/>
    <w:rsid w:val="007D5AA6"/>
    <w:rsid w:val="007D6178"/>
    <w:rsid w:val="007E21E7"/>
    <w:rsid w:val="007E2AB9"/>
    <w:rsid w:val="007E364F"/>
    <w:rsid w:val="007E3F64"/>
    <w:rsid w:val="007E6456"/>
    <w:rsid w:val="007F04D1"/>
    <w:rsid w:val="007F1CFC"/>
    <w:rsid w:val="007F41D1"/>
    <w:rsid w:val="007F4A9D"/>
    <w:rsid w:val="007F4D2B"/>
    <w:rsid w:val="007F5B1E"/>
    <w:rsid w:val="00801D07"/>
    <w:rsid w:val="00802713"/>
    <w:rsid w:val="00802BE0"/>
    <w:rsid w:val="008033EE"/>
    <w:rsid w:val="008043EA"/>
    <w:rsid w:val="00804496"/>
    <w:rsid w:val="00804851"/>
    <w:rsid w:val="008059D9"/>
    <w:rsid w:val="00805CA9"/>
    <w:rsid w:val="00807CE7"/>
    <w:rsid w:val="00812405"/>
    <w:rsid w:val="00823A66"/>
    <w:rsid w:val="00824434"/>
    <w:rsid w:val="008265E0"/>
    <w:rsid w:val="00831D26"/>
    <w:rsid w:val="008336DA"/>
    <w:rsid w:val="00834243"/>
    <w:rsid w:val="008361B4"/>
    <w:rsid w:val="008428AD"/>
    <w:rsid w:val="008500B5"/>
    <w:rsid w:val="00852715"/>
    <w:rsid w:val="008542CF"/>
    <w:rsid w:val="00855618"/>
    <w:rsid w:val="00857969"/>
    <w:rsid w:val="00863237"/>
    <w:rsid w:val="00863E5F"/>
    <w:rsid w:val="00864AD8"/>
    <w:rsid w:val="0086686C"/>
    <w:rsid w:val="008672C9"/>
    <w:rsid w:val="00871F82"/>
    <w:rsid w:val="008730C0"/>
    <w:rsid w:val="00875BE2"/>
    <w:rsid w:val="00880FD7"/>
    <w:rsid w:val="008817F2"/>
    <w:rsid w:val="00881963"/>
    <w:rsid w:val="008842E9"/>
    <w:rsid w:val="00885B15"/>
    <w:rsid w:val="008860E1"/>
    <w:rsid w:val="00886EA3"/>
    <w:rsid w:val="008879AE"/>
    <w:rsid w:val="00890531"/>
    <w:rsid w:val="008928AD"/>
    <w:rsid w:val="008975D6"/>
    <w:rsid w:val="008A0744"/>
    <w:rsid w:val="008A0906"/>
    <w:rsid w:val="008A1187"/>
    <w:rsid w:val="008A31CB"/>
    <w:rsid w:val="008A648C"/>
    <w:rsid w:val="008A7005"/>
    <w:rsid w:val="008A7267"/>
    <w:rsid w:val="008B0D77"/>
    <w:rsid w:val="008B1499"/>
    <w:rsid w:val="008B274B"/>
    <w:rsid w:val="008C0E76"/>
    <w:rsid w:val="008C3BD8"/>
    <w:rsid w:val="008C5237"/>
    <w:rsid w:val="008C5B20"/>
    <w:rsid w:val="008C5E81"/>
    <w:rsid w:val="008C6BC1"/>
    <w:rsid w:val="008D1705"/>
    <w:rsid w:val="008D2BAB"/>
    <w:rsid w:val="008D339F"/>
    <w:rsid w:val="008D7F38"/>
    <w:rsid w:val="008E464F"/>
    <w:rsid w:val="008E6292"/>
    <w:rsid w:val="008F151E"/>
    <w:rsid w:val="008F173F"/>
    <w:rsid w:val="008F2BFB"/>
    <w:rsid w:val="008F5228"/>
    <w:rsid w:val="008F5F84"/>
    <w:rsid w:val="008F796E"/>
    <w:rsid w:val="0090605C"/>
    <w:rsid w:val="00910632"/>
    <w:rsid w:val="00911722"/>
    <w:rsid w:val="009117A4"/>
    <w:rsid w:val="009131A3"/>
    <w:rsid w:val="00914FAB"/>
    <w:rsid w:val="00915BF3"/>
    <w:rsid w:val="00921963"/>
    <w:rsid w:val="00921C3A"/>
    <w:rsid w:val="009249EF"/>
    <w:rsid w:val="00924D69"/>
    <w:rsid w:val="00925AA5"/>
    <w:rsid w:val="0092684D"/>
    <w:rsid w:val="00927371"/>
    <w:rsid w:val="009312E8"/>
    <w:rsid w:val="00931D47"/>
    <w:rsid w:val="0093454E"/>
    <w:rsid w:val="0094019D"/>
    <w:rsid w:val="00940558"/>
    <w:rsid w:val="009428FB"/>
    <w:rsid w:val="00942C11"/>
    <w:rsid w:val="009448B6"/>
    <w:rsid w:val="009462B9"/>
    <w:rsid w:val="009502EA"/>
    <w:rsid w:val="00951965"/>
    <w:rsid w:val="00953DF2"/>
    <w:rsid w:val="00954AC4"/>
    <w:rsid w:val="00957ED1"/>
    <w:rsid w:val="00963E8D"/>
    <w:rsid w:val="009732EC"/>
    <w:rsid w:val="00976096"/>
    <w:rsid w:val="009821CE"/>
    <w:rsid w:val="0098383D"/>
    <w:rsid w:val="009852CF"/>
    <w:rsid w:val="00986D31"/>
    <w:rsid w:val="00987127"/>
    <w:rsid w:val="009911FA"/>
    <w:rsid w:val="009920BF"/>
    <w:rsid w:val="009927E5"/>
    <w:rsid w:val="009940D6"/>
    <w:rsid w:val="009959A9"/>
    <w:rsid w:val="009A1BD4"/>
    <w:rsid w:val="009A2732"/>
    <w:rsid w:val="009A4B0E"/>
    <w:rsid w:val="009A658F"/>
    <w:rsid w:val="009A668A"/>
    <w:rsid w:val="009A70C3"/>
    <w:rsid w:val="009B15F8"/>
    <w:rsid w:val="009B1A65"/>
    <w:rsid w:val="009B3434"/>
    <w:rsid w:val="009B3623"/>
    <w:rsid w:val="009B3DBA"/>
    <w:rsid w:val="009B4191"/>
    <w:rsid w:val="009B4954"/>
    <w:rsid w:val="009C09F5"/>
    <w:rsid w:val="009C0DB4"/>
    <w:rsid w:val="009C385D"/>
    <w:rsid w:val="009C4959"/>
    <w:rsid w:val="009C7137"/>
    <w:rsid w:val="009D02E4"/>
    <w:rsid w:val="009D1714"/>
    <w:rsid w:val="009D368B"/>
    <w:rsid w:val="009D6C65"/>
    <w:rsid w:val="009E344F"/>
    <w:rsid w:val="009F4A74"/>
    <w:rsid w:val="009F6643"/>
    <w:rsid w:val="00A03A0C"/>
    <w:rsid w:val="00A05B1D"/>
    <w:rsid w:val="00A06BCE"/>
    <w:rsid w:val="00A10EF7"/>
    <w:rsid w:val="00A15171"/>
    <w:rsid w:val="00A16D57"/>
    <w:rsid w:val="00A16E03"/>
    <w:rsid w:val="00A1724D"/>
    <w:rsid w:val="00A22505"/>
    <w:rsid w:val="00A227C6"/>
    <w:rsid w:val="00A24D33"/>
    <w:rsid w:val="00A24FB9"/>
    <w:rsid w:val="00A260CD"/>
    <w:rsid w:val="00A272B1"/>
    <w:rsid w:val="00A27E03"/>
    <w:rsid w:val="00A33CE4"/>
    <w:rsid w:val="00A36900"/>
    <w:rsid w:val="00A3749B"/>
    <w:rsid w:val="00A417DD"/>
    <w:rsid w:val="00A41CB4"/>
    <w:rsid w:val="00A460E2"/>
    <w:rsid w:val="00A476A5"/>
    <w:rsid w:val="00A513E0"/>
    <w:rsid w:val="00A51502"/>
    <w:rsid w:val="00A534DD"/>
    <w:rsid w:val="00A54FF6"/>
    <w:rsid w:val="00A56D5D"/>
    <w:rsid w:val="00A600A6"/>
    <w:rsid w:val="00A602B3"/>
    <w:rsid w:val="00A60CFA"/>
    <w:rsid w:val="00A623D6"/>
    <w:rsid w:val="00A62E42"/>
    <w:rsid w:val="00A64A71"/>
    <w:rsid w:val="00A652B8"/>
    <w:rsid w:val="00A66A0E"/>
    <w:rsid w:val="00A7071B"/>
    <w:rsid w:val="00A720E8"/>
    <w:rsid w:val="00A75F48"/>
    <w:rsid w:val="00A84D48"/>
    <w:rsid w:val="00A84F07"/>
    <w:rsid w:val="00A9276D"/>
    <w:rsid w:val="00A929C1"/>
    <w:rsid w:val="00A9468B"/>
    <w:rsid w:val="00A96153"/>
    <w:rsid w:val="00A97629"/>
    <w:rsid w:val="00AA3454"/>
    <w:rsid w:val="00AA4438"/>
    <w:rsid w:val="00AA4669"/>
    <w:rsid w:val="00AB03E7"/>
    <w:rsid w:val="00AB1BD4"/>
    <w:rsid w:val="00AB2451"/>
    <w:rsid w:val="00AB4162"/>
    <w:rsid w:val="00AB6791"/>
    <w:rsid w:val="00AC1B2E"/>
    <w:rsid w:val="00AC22EB"/>
    <w:rsid w:val="00AC248C"/>
    <w:rsid w:val="00AC33EB"/>
    <w:rsid w:val="00AC5931"/>
    <w:rsid w:val="00AC5FA7"/>
    <w:rsid w:val="00AC72D3"/>
    <w:rsid w:val="00AE00EF"/>
    <w:rsid w:val="00AE1523"/>
    <w:rsid w:val="00AE2F90"/>
    <w:rsid w:val="00AE5609"/>
    <w:rsid w:val="00AE5A3B"/>
    <w:rsid w:val="00AF265C"/>
    <w:rsid w:val="00AF51EB"/>
    <w:rsid w:val="00AF63D3"/>
    <w:rsid w:val="00B10CFA"/>
    <w:rsid w:val="00B12578"/>
    <w:rsid w:val="00B13505"/>
    <w:rsid w:val="00B13E07"/>
    <w:rsid w:val="00B20397"/>
    <w:rsid w:val="00B22053"/>
    <w:rsid w:val="00B222FA"/>
    <w:rsid w:val="00B235D4"/>
    <w:rsid w:val="00B25C67"/>
    <w:rsid w:val="00B3149D"/>
    <w:rsid w:val="00B329DA"/>
    <w:rsid w:val="00B35D31"/>
    <w:rsid w:val="00B3665F"/>
    <w:rsid w:val="00B36DC0"/>
    <w:rsid w:val="00B37682"/>
    <w:rsid w:val="00B40379"/>
    <w:rsid w:val="00B4097F"/>
    <w:rsid w:val="00B41B5A"/>
    <w:rsid w:val="00B41FBF"/>
    <w:rsid w:val="00B4296B"/>
    <w:rsid w:val="00B4354F"/>
    <w:rsid w:val="00B47692"/>
    <w:rsid w:val="00B50B6F"/>
    <w:rsid w:val="00B515FD"/>
    <w:rsid w:val="00B54A67"/>
    <w:rsid w:val="00B57C0C"/>
    <w:rsid w:val="00B61672"/>
    <w:rsid w:val="00B67898"/>
    <w:rsid w:val="00B70CC8"/>
    <w:rsid w:val="00B7338E"/>
    <w:rsid w:val="00B746FA"/>
    <w:rsid w:val="00B77032"/>
    <w:rsid w:val="00B770FF"/>
    <w:rsid w:val="00B82EF9"/>
    <w:rsid w:val="00B8394D"/>
    <w:rsid w:val="00B84C33"/>
    <w:rsid w:val="00B85F47"/>
    <w:rsid w:val="00B87927"/>
    <w:rsid w:val="00B9009D"/>
    <w:rsid w:val="00B92619"/>
    <w:rsid w:val="00B92CE3"/>
    <w:rsid w:val="00B935EC"/>
    <w:rsid w:val="00B95C78"/>
    <w:rsid w:val="00B971E3"/>
    <w:rsid w:val="00B977A0"/>
    <w:rsid w:val="00BA1A7D"/>
    <w:rsid w:val="00BA2398"/>
    <w:rsid w:val="00BA4191"/>
    <w:rsid w:val="00BB2E76"/>
    <w:rsid w:val="00BB3088"/>
    <w:rsid w:val="00BB5B4B"/>
    <w:rsid w:val="00BC042D"/>
    <w:rsid w:val="00BC225E"/>
    <w:rsid w:val="00BC26DB"/>
    <w:rsid w:val="00BC349E"/>
    <w:rsid w:val="00BC3FE6"/>
    <w:rsid w:val="00BC4185"/>
    <w:rsid w:val="00BC5420"/>
    <w:rsid w:val="00BC7D75"/>
    <w:rsid w:val="00BD1895"/>
    <w:rsid w:val="00BD406B"/>
    <w:rsid w:val="00BD5650"/>
    <w:rsid w:val="00BD6B5A"/>
    <w:rsid w:val="00BE0E0F"/>
    <w:rsid w:val="00BE293A"/>
    <w:rsid w:val="00BE335F"/>
    <w:rsid w:val="00BE470D"/>
    <w:rsid w:val="00BE55EE"/>
    <w:rsid w:val="00BF38C6"/>
    <w:rsid w:val="00C012CB"/>
    <w:rsid w:val="00C013D7"/>
    <w:rsid w:val="00C122FA"/>
    <w:rsid w:val="00C12A42"/>
    <w:rsid w:val="00C13449"/>
    <w:rsid w:val="00C13846"/>
    <w:rsid w:val="00C13DFF"/>
    <w:rsid w:val="00C1557F"/>
    <w:rsid w:val="00C1644B"/>
    <w:rsid w:val="00C176E8"/>
    <w:rsid w:val="00C2169F"/>
    <w:rsid w:val="00C21BE9"/>
    <w:rsid w:val="00C22048"/>
    <w:rsid w:val="00C237B7"/>
    <w:rsid w:val="00C27A7A"/>
    <w:rsid w:val="00C30297"/>
    <w:rsid w:val="00C3489D"/>
    <w:rsid w:val="00C3539F"/>
    <w:rsid w:val="00C3552C"/>
    <w:rsid w:val="00C3608A"/>
    <w:rsid w:val="00C40267"/>
    <w:rsid w:val="00C41071"/>
    <w:rsid w:val="00C41626"/>
    <w:rsid w:val="00C4255E"/>
    <w:rsid w:val="00C426D1"/>
    <w:rsid w:val="00C43D84"/>
    <w:rsid w:val="00C503F4"/>
    <w:rsid w:val="00C5189A"/>
    <w:rsid w:val="00C518BB"/>
    <w:rsid w:val="00C54E4E"/>
    <w:rsid w:val="00C553E5"/>
    <w:rsid w:val="00C5634C"/>
    <w:rsid w:val="00C56C7A"/>
    <w:rsid w:val="00C57012"/>
    <w:rsid w:val="00C60AC3"/>
    <w:rsid w:val="00C63216"/>
    <w:rsid w:val="00C64D1F"/>
    <w:rsid w:val="00C65B3E"/>
    <w:rsid w:val="00C663AB"/>
    <w:rsid w:val="00C6683F"/>
    <w:rsid w:val="00C70938"/>
    <w:rsid w:val="00C72A3C"/>
    <w:rsid w:val="00C738E1"/>
    <w:rsid w:val="00C747E7"/>
    <w:rsid w:val="00C76E8F"/>
    <w:rsid w:val="00C77BE3"/>
    <w:rsid w:val="00C848A8"/>
    <w:rsid w:val="00C84AB8"/>
    <w:rsid w:val="00C85314"/>
    <w:rsid w:val="00C9161A"/>
    <w:rsid w:val="00C97500"/>
    <w:rsid w:val="00CA162B"/>
    <w:rsid w:val="00CA1B50"/>
    <w:rsid w:val="00CA2D90"/>
    <w:rsid w:val="00CA46D6"/>
    <w:rsid w:val="00CA4BC0"/>
    <w:rsid w:val="00CA5757"/>
    <w:rsid w:val="00CB0D09"/>
    <w:rsid w:val="00CC020B"/>
    <w:rsid w:val="00CC2041"/>
    <w:rsid w:val="00CC298B"/>
    <w:rsid w:val="00CC301F"/>
    <w:rsid w:val="00CC5275"/>
    <w:rsid w:val="00CC559D"/>
    <w:rsid w:val="00CC7F95"/>
    <w:rsid w:val="00CD654B"/>
    <w:rsid w:val="00CD6BD4"/>
    <w:rsid w:val="00CD7CC1"/>
    <w:rsid w:val="00CE223E"/>
    <w:rsid w:val="00CE55B3"/>
    <w:rsid w:val="00CE5B0C"/>
    <w:rsid w:val="00CF2242"/>
    <w:rsid w:val="00CF7B3F"/>
    <w:rsid w:val="00CF7F07"/>
    <w:rsid w:val="00D0382B"/>
    <w:rsid w:val="00D03EAD"/>
    <w:rsid w:val="00D043B0"/>
    <w:rsid w:val="00D04B21"/>
    <w:rsid w:val="00D05C72"/>
    <w:rsid w:val="00D06895"/>
    <w:rsid w:val="00D07561"/>
    <w:rsid w:val="00D076CF"/>
    <w:rsid w:val="00D07E8D"/>
    <w:rsid w:val="00D11E5C"/>
    <w:rsid w:val="00D145F5"/>
    <w:rsid w:val="00D15B3F"/>
    <w:rsid w:val="00D15E8A"/>
    <w:rsid w:val="00D26447"/>
    <w:rsid w:val="00D274F5"/>
    <w:rsid w:val="00D27BE1"/>
    <w:rsid w:val="00D355F0"/>
    <w:rsid w:val="00D361CA"/>
    <w:rsid w:val="00D367EC"/>
    <w:rsid w:val="00D40085"/>
    <w:rsid w:val="00D400D3"/>
    <w:rsid w:val="00D44800"/>
    <w:rsid w:val="00D45AF8"/>
    <w:rsid w:val="00D470B9"/>
    <w:rsid w:val="00D51BF9"/>
    <w:rsid w:val="00D51C05"/>
    <w:rsid w:val="00D5227D"/>
    <w:rsid w:val="00D60FA7"/>
    <w:rsid w:val="00D62F23"/>
    <w:rsid w:val="00D64341"/>
    <w:rsid w:val="00D65604"/>
    <w:rsid w:val="00D65FF9"/>
    <w:rsid w:val="00D678D9"/>
    <w:rsid w:val="00D67A43"/>
    <w:rsid w:val="00D75E54"/>
    <w:rsid w:val="00D76206"/>
    <w:rsid w:val="00D7675E"/>
    <w:rsid w:val="00D77556"/>
    <w:rsid w:val="00D819B4"/>
    <w:rsid w:val="00D83BD9"/>
    <w:rsid w:val="00D867DA"/>
    <w:rsid w:val="00D86CB4"/>
    <w:rsid w:val="00D915DB"/>
    <w:rsid w:val="00D93879"/>
    <w:rsid w:val="00D93ADC"/>
    <w:rsid w:val="00D95074"/>
    <w:rsid w:val="00D9576A"/>
    <w:rsid w:val="00D95FB9"/>
    <w:rsid w:val="00D96761"/>
    <w:rsid w:val="00D968B3"/>
    <w:rsid w:val="00D97012"/>
    <w:rsid w:val="00D974F1"/>
    <w:rsid w:val="00DA0032"/>
    <w:rsid w:val="00DA00A0"/>
    <w:rsid w:val="00DA18B4"/>
    <w:rsid w:val="00DA2592"/>
    <w:rsid w:val="00DA686B"/>
    <w:rsid w:val="00DB031F"/>
    <w:rsid w:val="00DB13D1"/>
    <w:rsid w:val="00DB27C3"/>
    <w:rsid w:val="00DB2983"/>
    <w:rsid w:val="00DB40F9"/>
    <w:rsid w:val="00DB55A9"/>
    <w:rsid w:val="00DB5BC3"/>
    <w:rsid w:val="00DB71E1"/>
    <w:rsid w:val="00DB740E"/>
    <w:rsid w:val="00DB7F09"/>
    <w:rsid w:val="00DC00E8"/>
    <w:rsid w:val="00DC0E34"/>
    <w:rsid w:val="00DC1A90"/>
    <w:rsid w:val="00DC318E"/>
    <w:rsid w:val="00DC376D"/>
    <w:rsid w:val="00DC39C8"/>
    <w:rsid w:val="00DC55FD"/>
    <w:rsid w:val="00DC6003"/>
    <w:rsid w:val="00DC67C3"/>
    <w:rsid w:val="00DC73D8"/>
    <w:rsid w:val="00DD0AC7"/>
    <w:rsid w:val="00DD3A23"/>
    <w:rsid w:val="00DD74E7"/>
    <w:rsid w:val="00DE02C4"/>
    <w:rsid w:val="00DE233A"/>
    <w:rsid w:val="00DE27FF"/>
    <w:rsid w:val="00DE49F8"/>
    <w:rsid w:val="00DE7385"/>
    <w:rsid w:val="00DE79CA"/>
    <w:rsid w:val="00DF061B"/>
    <w:rsid w:val="00DF3303"/>
    <w:rsid w:val="00DF4DBB"/>
    <w:rsid w:val="00DF564C"/>
    <w:rsid w:val="00E0140E"/>
    <w:rsid w:val="00E02B7B"/>
    <w:rsid w:val="00E03620"/>
    <w:rsid w:val="00E05787"/>
    <w:rsid w:val="00E05BFF"/>
    <w:rsid w:val="00E074B3"/>
    <w:rsid w:val="00E10D39"/>
    <w:rsid w:val="00E1136B"/>
    <w:rsid w:val="00E113DC"/>
    <w:rsid w:val="00E11619"/>
    <w:rsid w:val="00E11F6F"/>
    <w:rsid w:val="00E13515"/>
    <w:rsid w:val="00E13E90"/>
    <w:rsid w:val="00E14026"/>
    <w:rsid w:val="00E1476F"/>
    <w:rsid w:val="00E226FA"/>
    <w:rsid w:val="00E22D51"/>
    <w:rsid w:val="00E25293"/>
    <w:rsid w:val="00E3074E"/>
    <w:rsid w:val="00E30E8F"/>
    <w:rsid w:val="00E32C24"/>
    <w:rsid w:val="00E3347B"/>
    <w:rsid w:val="00E35FA1"/>
    <w:rsid w:val="00E402C2"/>
    <w:rsid w:val="00E40EAC"/>
    <w:rsid w:val="00E421DD"/>
    <w:rsid w:val="00E42F74"/>
    <w:rsid w:val="00E43765"/>
    <w:rsid w:val="00E4604A"/>
    <w:rsid w:val="00E46341"/>
    <w:rsid w:val="00E50E7C"/>
    <w:rsid w:val="00E51545"/>
    <w:rsid w:val="00E5222A"/>
    <w:rsid w:val="00E55326"/>
    <w:rsid w:val="00E616A9"/>
    <w:rsid w:val="00E6326E"/>
    <w:rsid w:val="00E67FC9"/>
    <w:rsid w:val="00E711D7"/>
    <w:rsid w:val="00E71724"/>
    <w:rsid w:val="00E74B6B"/>
    <w:rsid w:val="00E80D12"/>
    <w:rsid w:val="00E81A40"/>
    <w:rsid w:val="00E83160"/>
    <w:rsid w:val="00E83828"/>
    <w:rsid w:val="00E84D19"/>
    <w:rsid w:val="00E85030"/>
    <w:rsid w:val="00E86A53"/>
    <w:rsid w:val="00E902B0"/>
    <w:rsid w:val="00E902E8"/>
    <w:rsid w:val="00E9410E"/>
    <w:rsid w:val="00E973E1"/>
    <w:rsid w:val="00E97DBD"/>
    <w:rsid w:val="00EA0F3B"/>
    <w:rsid w:val="00EA15C0"/>
    <w:rsid w:val="00EA6969"/>
    <w:rsid w:val="00EA79D6"/>
    <w:rsid w:val="00EB030F"/>
    <w:rsid w:val="00EB201F"/>
    <w:rsid w:val="00EB3B59"/>
    <w:rsid w:val="00EC09F8"/>
    <w:rsid w:val="00EC6B16"/>
    <w:rsid w:val="00EC7A9D"/>
    <w:rsid w:val="00ED0F68"/>
    <w:rsid w:val="00ED14FB"/>
    <w:rsid w:val="00ED2677"/>
    <w:rsid w:val="00ED2FEF"/>
    <w:rsid w:val="00ED4558"/>
    <w:rsid w:val="00EE0EDA"/>
    <w:rsid w:val="00EE323D"/>
    <w:rsid w:val="00EE55BB"/>
    <w:rsid w:val="00EE5FF9"/>
    <w:rsid w:val="00EE677F"/>
    <w:rsid w:val="00EE74DC"/>
    <w:rsid w:val="00EE78FE"/>
    <w:rsid w:val="00EF2FBF"/>
    <w:rsid w:val="00EF3E47"/>
    <w:rsid w:val="00EF4AA5"/>
    <w:rsid w:val="00F00115"/>
    <w:rsid w:val="00F0082D"/>
    <w:rsid w:val="00F0153A"/>
    <w:rsid w:val="00F030E7"/>
    <w:rsid w:val="00F07C90"/>
    <w:rsid w:val="00F07D96"/>
    <w:rsid w:val="00F13241"/>
    <w:rsid w:val="00F13CBE"/>
    <w:rsid w:val="00F15FA3"/>
    <w:rsid w:val="00F169F5"/>
    <w:rsid w:val="00F17BA8"/>
    <w:rsid w:val="00F20469"/>
    <w:rsid w:val="00F2063A"/>
    <w:rsid w:val="00F242DA"/>
    <w:rsid w:val="00F24968"/>
    <w:rsid w:val="00F2686B"/>
    <w:rsid w:val="00F271CE"/>
    <w:rsid w:val="00F272A9"/>
    <w:rsid w:val="00F27FD7"/>
    <w:rsid w:val="00F30CDE"/>
    <w:rsid w:val="00F3168D"/>
    <w:rsid w:val="00F33722"/>
    <w:rsid w:val="00F341B9"/>
    <w:rsid w:val="00F347A4"/>
    <w:rsid w:val="00F355D6"/>
    <w:rsid w:val="00F3727B"/>
    <w:rsid w:val="00F37309"/>
    <w:rsid w:val="00F42048"/>
    <w:rsid w:val="00F42336"/>
    <w:rsid w:val="00F42BC8"/>
    <w:rsid w:val="00F44589"/>
    <w:rsid w:val="00F45A6F"/>
    <w:rsid w:val="00F50565"/>
    <w:rsid w:val="00F50C5E"/>
    <w:rsid w:val="00F52F09"/>
    <w:rsid w:val="00F63CD1"/>
    <w:rsid w:val="00F64639"/>
    <w:rsid w:val="00F66B9F"/>
    <w:rsid w:val="00F70FA3"/>
    <w:rsid w:val="00F71A0E"/>
    <w:rsid w:val="00F7564B"/>
    <w:rsid w:val="00F77545"/>
    <w:rsid w:val="00F80266"/>
    <w:rsid w:val="00F80426"/>
    <w:rsid w:val="00F83172"/>
    <w:rsid w:val="00F877E1"/>
    <w:rsid w:val="00F87A8B"/>
    <w:rsid w:val="00F92279"/>
    <w:rsid w:val="00F9359E"/>
    <w:rsid w:val="00F93C89"/>
    <w:rsid w:val="00F947FB"/>
    <w:rsid w:val="00F96B3C"/>
    <w:rsid w:val="00F96B9B"/>
    <w:rsid w:val="00F97573"/>
    <w:rsid w:val="00FA0000"/>
    <w:rsid w:val="00FB0868"/>
    <w:rsid w:val="00FB64AA"/>
    <w:rsid w:val="00FB7017"/>
    <w:rsid w:val="00FC2049"/>
    <w:rsid w:val="00FC6351"/>
    <w:rsid w:val="00FC6ADA"/>
    <w:rsid w:val="00FC7A6F"/>
    <w:rsid w:val="00FD082F"/>
    <w:rsid w:val="00FD0951"/>
    <w:rsid w:val="00FD201D"/>
    <w:rsid w:val="00FE0A35"/>
    <w:rsid w:val="00FE4517"/>
    <w:rsid w:val="00FE6118"/>
    <w:rsid w:val="00FE6B3E"/>
    <w:rsid w:val="00FF2441"/>
    <w:rsid w:val="00FF37F5"/>
    <w:rsid w:val="00FF6020"/>
    <w:rsid w:val="00FF7C36"/>
    <w:rsid w:val="015C89BD"/>
    <w:rsid w:val="016CB5B4"/>
    <w:rsid w:val="01A4BFC2"/>
    <w:rsid w:val="025BBA27"/>
    <w:rsid w:val="02803048"/>
    <w:rsid w:val="030FDC23"/>
    <w:rsid w:val="04413FF7"/>
    <w:rsid w:val="04439FEC"/>
    <w:rsid w:val="048A997E"/>
    <w:rsid w:val="0518A8C7"/>
    <w:rsid w:val="0545A771"/>
    <w:rsid w:val="05E46666"/>
    <w:rsid w:val="0601EE7E"/>
    <w:rsid w:val="0666998F"/>
    <w:rsid w:val="06B73BAF"/>
    <w:rsid w:val="0739DE17"/>
    <w:rsid w:val="0848F37B"/>
    <w:rsid w:val="084E141F"/>
    <w:rsid w:val="089A38A6"/>
    <w:rsid w:val="08C6ED37"/>
    <w:rsid w:val="093040F4"/>
    <w:rsid w:val="0956DAEA"/>
    <w:rsid w:val="0A2AF453"/>
    <w:rsid w:val="0C1F55D6"/>
    <w:rsid w:val="0C80C73A"/>
    <w:rsid w:val="0C8AF7E6"/>
    <w:rsid w:val="0D28E5AB"/>
    <w:rsid w:val="0D4571A4"/>
    <w:rsid w:val="0E11C93C"/>
    <w:rsid w:val="0E189D8A"/>
    <w:rsid w:val="0E1BDE55"/>
    <w:rsid w:val="0F00F782"/>
    <w:rsid w:val="0F2CFB6B"/>
    <w:rsid w:val="0F911FA6"/>
    <w:rsid w:val="0F99B664"/>
    <w:rsid w:val="0FA17BB1"/>
    <w:rsid w:val="1005F2F6"/>
    <w:rsid w:val="101AF806"/>
    <w:rsid w:val="101D2315"/>
    <w:rsid w:val="11459D44"/>
    <w:rsid w:val="118AC1A4"/>
    <w:rsid w:val="13160A96"/>
    <w:rsid w:val="13F020D9"/>
    <w:rsid w:val="141B23A6"/>
    <w:rsid w:val="14BF6A6F"/>
    <w:rsid w:val="14C72D23"/>
    <w:rsid w:val="1517D1BA"/>
    <w:rsid w:val="15980A2E"/>
    <w:rsid w:val="15E3C6FE"/>
    <w:rsid w:val="164856E0"/>
    <w:rsid w:val="16FACC3A"/>
    <w:rsid w:val="178E0D62"/>
    <w:rsid w:val="179BB766"/>
    <w:rsid w:val="17B93F7E"/>
    <w:rsid w:val="18CA1F03"/>
    <w:rsid w:val="190B5393"/>
    <w:rsid w:val="19504A82"/>
    <w:rsid w:val="19CF567D"/>
    <w:rsid w:val="19EB4045"/>
    <w:rsid w:val="19F40449"/>
    <w:rsid w:val="19F6323E"/>
    <w:rsid w:val="1AA22BC6"/>
    <w:rsid w:val="1AA9E9E3"/>
    <w:rsid w:val="1B23A1B5"/>
    <w:rsid w:val="1BB01335"/>
    <w:rsid w:val="1BF70E76"/>
    <w:rsid w:val="1C7FDF29"/>
    <w:rsid w:val="1D7C8FB1"/>
    <w:rsid w:val="1DD1D465"/>
    <w:rsid w:val="1E456805"/>
    <w:rsid w:val="1E7B8B9A"/>
    <w:rsid w:val="1E9B3FBC"/>
    <w:rsid w:val="1EBE1B11"/>
    <w:rsid w:val="1FB01797"/>
    <w:rsid w:val="220E8921"/>
    <w:rsid w:val="230A389F"/>
    <w:rsid w:val="236FDFCF"/>
    <w:rsid w:val="2386DEA1"/>
    <w:rsid w:val="238E90F2"/>
    <w:rsid w:val="2395229C"/>
    <w:rsid w:val="24B21B4F"/>
    <w:rsid w:val="24BECBBB"/>
    <w:rsid w:val="25290672"/>
    <w:rsid w:val="25926B4D"/>
    <w:rsid w:val="25BE39DF"/>
    <w:rsid w:val="2661F22A"/>
    <w:rsid w:val="26F2C5DC"/>
    <w:rsid w:val="2770FABB"/>
    <w:rsid w:val="27D31884"/>
    <w:rsid w:val="27E987C4"/>
    <w:rsid w:val="27FA7CF8"/>
    <w:rsid w:val="28A602CA"/>
    <w:rsid w:val="28D9F32F"/>
    <w:rsid w:val="29367C6D"/>
    <w:rsid w:val="2984B173"/>
    <w:rsid w:val="29F4EFB1"/>
    <w:rsid w:val="2A2E0018"/>
    <w:rsid w:val="2B9B0982"/>
    <w:rsid w:val="2C67F611"/>
    <w:rsid w:val="2C8256FB"/>
    <w:rsid w:val="2C89BA3F"/>
    <w:rsid w:val="2CDBE3C7"/>
    <w:rsid w:val="2E10AB2B"/>
    <w:rsid w:val="2E742FB0"/>
    <w:rsid w:val="2E940E6C"/>
    <w:rsid w:val="2EB38E95"/>
    <w:rsid w:val="2F6F34BA"/>
    <w:rsid w:val="2FD91467"/>
    <w:rsid w:val="3007B612"/>
    <w:rsid w:val="307AFBB2"/>
    <w:rsid w:val="31643FCF"/>
    <w:rsid w:val="31A5A0F0"/>
    <w:rsid w:val="31B2EB4B"/>
    <w:rsid w:val="31D07363"/>
    <w:rsid w:val="320CB37E"/>
    <w:rsid w:val="32726F5A"/>
    <w:rsid w:val="32F391B8"/>
    <w:rsid w:val="334D59EB"/>
    <w:rsid w:val="33899A06"/>
    <w:rsid w:val="33E4726B"/>
    <w:rsid w:val="3497B34B"/>
    <w:rsid w:val="34A4FDA6"/>
    <w:rsid w:val="34D7CE5E"/>
    <w:rsid w:val="34D9830C"/>
    <w:rsid w:val="3647F318"/>
    <w:rsid w:val="364D6571"/>
    <w:rsid w:val="3706965E"/>
    <w:rsid w:val="376536C0"/>
    <w:rsid w:val="37A8D44D"/>
    <w:rsid w:val="38F9BBE1"/>
    <w:rsid w:val="3970E6E5"/>
    <w:rsid w:val="397257F0"/>
    <w:rsid w:val="3973FA46"/>
    <w:rsid w:val="39CAAF18"/>
    <w:rsid w:val="3A2AAFF3"/>
    <w:rsid w:val="3A4CE241"/>
    <w:rsid w:val="3AE202DC"/>
    <w:rsid w:val="3B0B5585"/>
    <w:rsid w:val="3B4E6416"/>
    <w:rsid w:val="3BC9C8C9"/>
    <w:rsid w:val="3BCB7CFB"/>
    <w:rsid w:val="3C31412D"/>
    <w:rsid w:val="3D142229"/>
    <w:rsid w:val="3E6212F1"/>
    <w:rsid w:val="3EDB8F46"/>
    <w:rsid w:val="3F0988E7"/>
    <w:rsid w:val="3FD3A00B"/>
    <w:rsid w:val="403321F0"/>
    <w:rsid w:val="40DEE8DF"/>
    <w:rsid w:val="41906567"/>
    <w:rsid w:val="41A0DF30"/>
    <w:rsid w:val="41A4C76C"/>
    <w:rsid w:val="41CDA1A1"/>
    <w:rsid w:val="42FA52D3"/>
    <w:rsid w:val="437E9E50"/>
    <w:rsid w:val="443C1575"/>
    <w:rsid w:val="4465EBC9"/>
    <w:rsid w:val="44BDBB6E"/>
    <w:rsid w:val="45F3FADD"/>
    <w:rsid w:val="4670B0AB"/>
    <w:rsid w:val="46854A88"/>
    <w:rsid w:val="47F90B01"/>
    <w:rsid w:val="483C6D8E"/>
    <w:rsid w:val="49060676"/>
    <w:rsid w:val="49867466"/>
    <w:rsid w:val="49F627B4"/>
    <w:rsid w:val="4A203A2B"/>
    <w:rsid w:val="4ABC9DD6"/>
    <w:rsid w:val="4AE7CB61"/>
    <w:rsid w:val="4AF40ED9"/>
    <w:rsid w:val="4B18418D"/>
    <w:rsid w:val="4C5F76B1"/>
    <w:rsid w:val="4C6FAF65"/>
    <w:rsid w:val="4CA51E6D"/>
    <w:rsid w:val="4CE25AA7"/>
    <w:rsid w:val="4D4705B8"/>
    <w:rsid w:val="4D5629CB"/>
    <w:rsid w:val="4E2EAC45"/>
    <w:rsid w:val="4E59B189"/>
    <w:rsid w:val="4E75A831"/>
    <w:rsid w:val="4EEA1A62"/>
    <w:rsid w:val="4FBA0C18"/>
    <w:rsid w:val="4FD46D02"/>
    <w:rsid w:val="50155406"/>
    <w:rsid w:val="5060D7C5"/>
    <w:rsid w:val="50CF2061"/>
    <w:rsid w:val="5131FED6"/>
    <w:rsid w:val="51E1923B"/>
    <w:rsid w:val="52252CBE"/>
    <w:rsid w:val="5230770F"/>
    <w:rsid w:val="532B2A6E"/>
    <w:rsid w:val="537D629C"/>
    <w:rsid w:val="538667FC"/>
    <w:rsid w:val="53E99DB2"/>
    <w:rsid w:val="54F7B6F7"/>
    <w:rsid w:val="555EC985"/>
    <w:rsid w:val="5645A7BF"/>
    <w:rsid w:val="57669A0A"/>
    <w:rsid w:val="58129A44"/>
    <w:rsid w:val="585E37EC"/>
    <w:rsid w:val="585E8676"/>
    <w:rsid w:val="59B75A06"/>
    <w:rsid w:val="5A909D58"/>
    <w:rsid w:val="5B6A5D12"/>
    <w:rsid w:val="5BA34B58"/>
    <w:rsid w:val="5C13142D"/>
    <w:rsid w:val="5CD40761"/>
    <w:rsid w:val="5D1CC51F"/>
    <w:rsid w:val="5D986C83"/>
    <w:rsid w:val="5D9EF848"/>
    <w:rsid w:val="5DBE602C"/>
    <w:rsid w:val="5E1A9FAC"/>
    <w:rsid w:val="5E2FCBFA"/>
    <w:rsid w:val="5E5D6B8C"/>
    <w:rsid w:val="5EC2169D"/>
    <w:rsid w:val="5ED797B7"/>
    <w:rsid w:val="5EFE56B8"/>
    <w:rsid w:val="5F4A9C60"/>
    <w:rsid w:val="5F85B9FB"/>
    <w:rsid w:val="60663830"/>
    <w:rsid w:val="60F3D4B2"/>
    <w:rsid w:val="61455BB5"/>
    <w:rsid w:val="6153A280"/>
    <w:rsid w:val="61F06913"/>
    <w:rsid w:val="62EE17B6"/>
    <w:rsid w:val="63161846"/>
    <w:rsid w:val="636594E6"/>
    <w:rsid w:val="63AFEE62"/>
    <w:rsid w:val="63D2F6CB"/>
    <w:rsid w:val="63F250A4"/>
    <w:rsid w:val="643054B2"/>
    <w:rsid w:val="644E9E2F"/>
    <w:rsid w:val="653F6BCA"/>
    <w:rsid w:val="65CCEA8B"/>
    <w:rsid w:val="65DD4339"/>
    <w:rsid w:val="670693BA"/>
    <w:rsid w:val="679D5AAF"/>
    <w:rsid w:val="67C0B8A4"/>
    <w:rsid w:val="67EEE527"/>
    <w:rsid w:val="69025301"/>
    <w:rsid w:val="69E38A32"/>
    <w:rsid w:val="6A9C1AE6"/>
    <w:rsid w:val="6AAA142B"/>
    <w:rsid w:val="6AF5875A"/>
    <w:rsid w:val="6B0EBF3C"/>
    <w:rsid w:val="6B121AB7"/>
    <w:rsid w:val="6B517BEC"/>
    <w:rsid w:val="6B90F265"/>
    <w:rsid w:val="6D22AA31"/>
    <w:rsid w:val="6D3EEB88"/>
    <w:rsid w:val="6D5EEA4C"/>
    <w:rsid w:val="6ED4FBE1"/>
    <w:rsid w:val="6F951BD8"/>
    <w:rsid w:val="705CDBA4"/>
    <w:rsid w:val="70B5A7B8"/>
    <w:rsid w:val="70D88308"/>
    <w:rsid w:val="715B2705"/>
    <w:rsid w:val="723F3590"/>
    <w:rsid w:val="727EA69E"/>
    <w:rsid w:val="73268309"/>
    <w:rsid w:val="734DF1E0"/>
    <w:rsid w:val="74BB5EB5"/>
    <w:rsid w:val="751AE062"/>
    <w:rsid w:val="758E8B9D"/>
    <w:rsid w:val="75FE347A"/>
    <w:rsid w:val="767D4075"/>
    <w:rsid w:val="769E4CB3"/>
    <w:rsid w:val="77948F65"/>
    <w:rsid w:val="779ACF24"/>
    <w:rsid w:val="78B0DF8C"/>
    <w:rsid w:val="78D2BEBD"/>
    <w:rsid w:val="78D84E63"/>
    <w:rsid w:val="78D94A82"/>
    <w:rsid w:val="796F52D0"/>
    <w:rsid w:val="7A422819"/>
    <w:rsid w:val="7AC523BA"/>
    <w:rsid w:val="7B078DEC"/>
    <w:rsid w:val="7B375D06"/>
    <w:rsid w:val="7BE56517"/>
    <w:rsid w:val="7BE98000"/>
    <w:rsid w:val="7BFE9EEB"/>
    <w:rsid w:val="7C0A1EDC"/>
    <w:rsid w:val="7C7C800A"/>
    <w:rsid w:val="7D8A24D9"/>
    <w:rsid w:val="7D9546B7"/>
    <w:rsid w:val="7DB4A958"/>
    <w:rsid w:val="7F5E5A6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BD063"/>
  <w15:docId w15:val="{F6852B8B-867B-4D97-986D-9589D5CC9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3EA"/>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8043EA"/>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8043EA"/>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8043EA"/>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8043EA"/>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8043EA"/>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8043EA"/>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43EA"/>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8043EA"/>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8043EA"/>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8043EA"/>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8043EA"/>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8043EA"/>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8043EA"/>
    <w:pPr>
      <w:keepNext/>
      <w:spacing w:before="0" w:after="0"/>
      <w:jc w:val="center"/>
    </w:pPr>
    <w:rPr>
      <w:color w:val="004A7F"/>
      <w:sz w:val="20"/>
    </w:rPr>
  </w:style>
  <w:style w:type="paragraph" w:customStyle="1" w:styleId="AlphaParagraph">
    <w:name w:val="Alpha Paragraph"/>
    <w:basedOn w:val="Normal"/>
    <w:rsid w:val="008043EA"/>
    <w:pPr>
      <w:spacing w:before="0"/>
      <w:ind w:left="720" w:hanging="360"/>
    </w:pPr>
  </w:style>
  <w:style w:type="table" w:styleId="TableGridLight">
    <w:name w:val="Grid Table Light"/>
    <w:basedOn w:val="TableNormal"/>
    <w:uiPriority w:val="40"/>
    <w:rsid w:val="00313D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xHeading">
    <w:name w:val="Box Heading"/>
    <w:basedOn w:val="Normal"/>
    <w:next w:val="Normal"/>
    <w:qFormat/>
    <w:rsid w:val="006016A6"/>
    <w:pPr>
      <w:keepNext/>
      <w:spacing w:before="240"/>
    </w:pPr>
    <w:rPr>
      <w:b/>
      <w:color w:val="2C384A" w:themeColor="accent1"/>
      <w:sz w:val="28"/>
      <w:szCs w:val="26"/>
    </w:rPr>
  </w:style>
  <w:style w:type="paragraph" w:customStyle="1" w:styleId="BoxText">
    <w:name w:val="Box Text"/>
    <w:basedOn w:val="Normal"/>
    <w:link w:val="BoxTextChar"/>
    <w:rsid w:val="008043EA"/>
  </w:style>
  <w:style w:type="paragraph" w:customStyle="1" w:styleId="Bullet">
    <w:name w:val="Bullet"/>
    <w:basedOn w:val="Normal"/>
    <w:link w:val="BulletChar"/>
    <w:qFormat/>
    <w:rsid w:val="008043EA"/>
    <w:pPr>
      <w:numPr>
        <w:numId w:val="6"/>
      </w:numPr>
      <w:tabs>
        <w:tab w:val="left" w:pos="720"/>
      </w:tabs>
      <w:spacing w:after="0" w:line="276" w:lineRule="auto"/>
    </w:pPr>
  </w:style>
  <w:style w:type="paragraph" w:customStyle="1" w:styleId="ChartandTableFootnoteAlpha">
    <w:name w:val="Chart and Table Footnote Alpha"/>
    <w:rsid w:val="008043EA"/>
    <w:pPr>
      <w:numPr>
        <w:numId w:val="5"/>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qFormat/>
    <w:rsid w:val="008043EA"/>
    <w:pPr>
      <w:jc w:val="center"/>
    </w:pPr>
  </w:style>
  <w:style w:type="paragraph" w:customStyle="1" w:styleId="ChartorTableNote">
    <w:name w:val="Chart or Table Note"/>
    <w:next w:val="Normal"/>
    <w:qFormat/>
    <w:rsid w:val="008043EA"/>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8043EA"/>
    <w:pPr>
      <w:jc w:val="center"/>
    </w:pPr>
    <w:rPr>
      <w:b w:val="0"/>
      <w:bCs/>
    </w:rPr>
  </w:style>
  <w:style w:type="paragraph" w:customStyle="1" w:styleId="ReportDate">
    <w:name w:val="Report Date"/>
    <w:basedOn w:val="Normal"/>
    <w:link w:val="ReportDateChar"/>
    <w:rsid w:val="00082FC2"/>
    <w:pPr>
      <w:keepNext/>
      <w:spacing w:before="0" w:after="360"/>
    </w:pPr>
    <w:rPr>
      <w:color w:val="2C384A" w:themeColor="accent1"/>
      <w:sz w:val="32"/>
    </w:rPr>
  </w:style>
  <w:style w:type="paragraph" w:customStyle="1" w:styleId="Dash">
    <w:name w:val="Dash"/>
    <w:basedOn w:val="Normal"/>
    <w:link w:val="DashChar"/>
    <w:qFormat/>
    <w:rsid w:val="008043EA"/>
    <w:pPr>
      <w:numPr>
        <w:ilvl w:val="1"/>
        <w:numId w:val="8"/>
      </w:numPr>
      <w:spacing w:before="0"/>
    </w:pPr>
  </w:style>
  <w:style w:type="paragraph" w:customStyle="1" w:styleId="DoubleDot">
    <w:name w:val="Double Dot"/>
    <w:basedOn w:val="Normal"/>
    <w:link w:val="DoubleDotChar"/>
    <w:qFormat/>
    <w:rsid w:val="008043EA"/>
    <w:pPr>
      <w:numPr>
        <w:ilvl w:val="2"/>
        <w:numId w:val="8"/>
      </w:numPr>
      <w:spacing w:before="0"/>
    </w:pPr>
  </w:style>
  <w:style w:type="paragraph" w:customStyle="1" w:styleId="TableMainHeading">
    <w:name w:val="Table Main Heading"/>
    <w:basedOn w:val="Heading3"/>
    <w:next w:val="Normal"/>
    <w:qFormat/>
    <w:rsid w:val="008043EA"/>
    <w:pPr>
      <w:spacing w:before="120"/>
    </w:pPr>
    <w:rPr>
      <w:b w:val="0"/>
      <w:sz w:val="26"/>
    </w:rPr>
  </w:style>
  <w:style w:type="paragraph" w:customStyle="1" w:styleId="FooterEven">
    <w:name w:val="Footer Even"/>
    <w:basedOn w:val="Footer"/>
    <w:rsid w:val="00E81A40"/>
    <w:pPr>
      <w:tabs>
        <w:tab w:val="clear" w:pos="9072"/>
      </w:tabs>
      <w:jc w:val="left"/>
    </w:pPr>
  </w:style>
  <w:style w:type="paragraph" w:customStyle="1" w:styleId="FooterOdd">
    <w:name w:val="Footer Odd"/>
    <w:basedOn w:val="Footer"/>
    <w:rsid w:val="00E81A40"/>
    <w:pPr>
      <w:tabs>
        <w:tab w:val="clear" w:pos="9072"/>
      </w:tabs>
    </w:pPr>
    <w:rPr>
      <w:noProof w:val="0"/>
    </w:rPr>
  </w:style>
  <w:style w:type="character" w:styleId="Hyperlink">
    <w:name w:val="Hyperlink"/>
    <w:basedOn w:val="DefaultParagraphFont"/>
    <w:uiPriority w:val="99"/>
    <w:rsid w:val="00823A66"/>
    <w:rPr>
      <w:color w:val="3A6FAF"/>
      <w:u w:val="single"/>
    </w:rPr>
  </w:style>
  <w:style w:type="paragraph" w:customStyle="1" w:styleId="OutlineNumbered1">
    <w:name w:val="Outline Numbered 1"/>
    <w:basedOn w:val="Normal"/>
    <w:rsid w:val="008043EA"/>
    <w:pPr>
      <w:numPr>
        <w:numId w:val="4"/>
      </w:numPr>
      <w:spacing w:before="0"/>
    </w:pPr>
  </w:style>
  <w:style w:type="paragraph" w:customStyle="1" w:styleId="OneLevelNumberedParagraph">
    <w:name w:val="One Level Numbered Paragraph"/>
    <w:basedOn w:val="Normal"/>
    <w:rsid w:val="008043EA"/>
    <w:pPr>
      <w:numPr>
        <w:numId w:val="3"/>
      </w:numPr>
      <w:tabs>
        <w:tab w:val="num" w:pos="360"/>
      </w:tabs>
      <w:spacing w:before="0"/>
      <w:ind w:left="0" w:firstLine="0"/>
    </w:pPr>
  </w:style>
  <w:style w:type="paragraph" w:customStyle="1" w:styleId="OutlineNumbered2">
    <w:name w:val="Outline Numbered 2"/>
    <w:basedOn w:val="Normal"/>
    <w:rsid w:val="008043EA"/>
    <w:pPr>
      <w:numPr>
        <w:ilvl w:val="1"/>
        <w:numId w:val="4"/>
      </w:numPr>
      <w:spacing w:before="0"/>
    </w:pPr>
  </w:style>
  <w:style w:type="paragraph" w:customStyle="1" w:styleId="OutlineNumbered3">
    <w:name w:val="Outline Numbered 3"/>
    <w:basedOn w:val="Normal"/>
    <w:rsid w:val="008043EA"/>
    <w:pPr>
      <w:numPr>
        <w:ilvl w:val="2"/>
        <w:numId w:val="4"/>
      </w:numPr>
      <w:spacing w:before="0"/>
    </w:pPr>
  </w:style>
  <w:style w:type="paragraph" w:customStyle="1" w:styleId="SingleParagraph">
    <w:name w:val="Single Paragraph"/>
    <w:basedOn w:val="Normal"/>
    <w:link w:val="SingleParagraphChar"/>
    <w:rsid w:val="008043EA"/>
    <w:pPr>
      <w:spacing w:before="0" w:after="0"/>
    </w:pPr>
  </w:style>
  <w:style w:type="paragraph" w:customStyle="1" w:styleId="TableSecondHeading">
    <w:name w:val="Table Second Heading"/>
    <w:basedOn w:val="Normal"/>
    <w:next w:val="Normal"/>
    <w:rsid w:val="008043EA"/>
    <w:pPr>
      <w:keepNext/>
      <w:spacing w:before="0" w:after="20"/>
    </w:pPr>
    <w:rPr>
      <w:b/>
      <w:color w:val="004A7F"/>
    </w:rPr>
  </w:style>
  <w:style w:type="paragraph" w:customStyle="1" w:styleId="TableColumnHeadingCentred">
    <w:name w:val="Table Column Heading Centred"/>
    <w:basedOn w:val="TableTextLeft"/>
    <w:rsid w:val="00AB6791"/>
    <w:pPr>
      <w:jc w:val="center"/>
    </w:pPr>
    <w:rPr>
      <w:b/>
      <w:color w:val="2C384A" w:themeColor="accent1"/>
      <w:sz w:val="20"/>
    </w:rPr>
  </w:style>
  <w:style w:type="paragraph" w:customStyle="1" w:styleId="TableColumnHeadingLeft">
    <w:name w:val="Table Column Heading Left"/>
    <w:basedOn w:val="TableTextLeft"/>
    <w:rsid w:val="00AB6791"/>
    <w:rPr>
      <w:b/>
      <w:color w:val="2C384A" w:themeColor="accent1"/>
      <w:sz w:val="20"/>
    </w:rPr>
  </w:style>
  <w:style w:type="paragraph" w:customStyle="1" w:styleId="TableColumnHeadingRight">
    <w:name w:val="Table Column Heading Right"/>
    <w:basedOn w:val="TableTextLeft"/>
    <w:rsid w:val="00AB6791"/>
    <w:pPr>
      <w:jc w:val="right"/>
    </w:pPr>
    <w:rPr>
      <w:b/>
      <w:color w:val="2C384A" w:themeColor="accent1"/>
      <w:sz w:val="20"/>
    </w:rPr>
  </w:style>
  <w:style w:type="table" w:styleId="TableGrid">
    <w:name w:val="Table Grid"/>
    <w:basedOn w:val="TableNormal"/>
    <w:uiPriority w:val="39"/>
    <w:rsid w:val="00AB6791"/>
    <w:pPr>
      <w:spacing w:before="40" w:after="40" w:line="240" w:lineRule="auto"/>
    </w:pPr>
    <w:rPr>
      <w:rFonts w:ascii="Calibri Light" w:eastAsia="Times New Roman" w:hAnsi="Calibri Light" w:cs="Times New Roman"/>
      <w:sz w:val="20"/>
      <w:szCs w:val="20"/>
      <w:lang w:eastAsia="en-AU"/>
    </w:rPr>
    <w:tblPr/>
    <w:tcPr>
      <w:shd w:val="clear" w:color="auto" w:fill="auto"/>
    </w:tcPr>
    <w:tblStylePr w:type="firstRow">
      <w:pPr>
        <w:wordWrap/>
        <w:spacing w:beforeLines="40" w:before="40" w:beforeAutospacing="0" w:afterLines="40" w:after="40" w:afterAutospacing="0" w:line="240" w:lineRule="auto"/>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8043EA"/>
    <w:pPr>
      <w:jc w:val="center"/>
    </w:pPr>
  </w:style>
  <w:style w:type="paragraph" w:customStyle="1" w:styleId="TableTextLeft">
    <w:name w:val="Table Text Left"/>
    <w:basedOn w:val="TableTextRight"/>
    <w:rsid w:val="008043EA"/>
    <w:pPr>
      <w:jc w:val="left"/>
    </w:pPr>
  </w:style>
  <w:style w:type="paragraph" w:customStyle="1" w:styleId="TableTextRight">
    <w:name w:val="Table Text Right"/>
    <w:basedOn w:val="Normal"/>
    <w:rsid w:val="008043EA"/>
    <w:pPr>
      <w:spacing w:before="40" w:after="40"/>
      <w:jc w:val="right"/>
    </w:pPr>
    <w:rPr>
      <w:color w:val="000000"/>
      <w:sz w:val="18"/>
    </w:rPr>
  </w:style>
  <w:style w:type="paragraph" w:styleId="TOC1">
    <w:name w:val="toc 1"/>
    <w:basedOn w:val="Normal"/>
    <w:next w:val="Normal"/>
    <w:uiPriority w:val="39"/>
    <w:rsid w:val="008043EA"/>
    <w:pPr>
      <w:keepNext/>
      <w:tabs>
        <w:tab w:val="right" w:leader="dot" w:pos="9072"/>
      </w:tabs>
      <w:spacing w:before="180" w:after="0"/>
      <w:ind w:right="-2"/>
    </w:pPr>
    <w:rPr>
      <w:b/>
      <w:noProof/>
      <w:color w:val="002C4A"/>
      <w:szCs w:val="22"/>
    </w:rPr>
  </w:style>
  <w:style w:type="paragraph" w:styleId="TOC2">
    <w:name w:val="toc 2"/>
    <w:basedOn w:val="Normal"/>
    <w:next w:val="Normal"/>
    <w:uiPriority w:val="39"/>
    <w:rsid w:val="008043EA"/>
    <w:pPr>
      <w:keepNext/>
      <w:tabs>
        <w:tab w:val="right" w:leader="dot" w:pos="9072"/>
      </w:tabs>
      <w:spacing w:before="40" w:after="20"/>
      <w:ind w:right="-2"/>
    </w:pPr>
    <w:rPr>
      <w:noProof/>
      <w:color w:val="004A7F"/>
    </w:rPr>
  </w:style>
  <w:style w:type="paragraph" w:styleId="TOC3">
    <w:name w:val="toc 3"/>
    <w:basedOn w:val="Normal"/>
    <w:next w:val="Normal"/>
    <w:uiPriority w:val="39"/>
    <w:rsid w:val="008043EA"/>
    <w:pPr>
      <w:tabs>
        <w:tab w:val="right" w:leader="dot" w:pos="9072"/>
      </w:tabs>
      <w:spacing w:before="20" w:after="0"/>
      <w:ind w:left="284" w:right="-2"/>
    </w:pPr>
    <w:rPr>
      <w:rFonts w:cs="Calibri"/>
      <w:noProof/>
    </w:rPr>
  </w:style>
  <w:style w:type="numbering" w:customStyle="1" w:styleId="OutlineList">
    <w:name w:val="OutlineList"/>
    <w:uiPriority w:val="99"/>
    <w:rsid w:val="008043EA"/>
    <w:pPr>
      <w:numPr>
        <w:numId w:val="4"/>
      </w:numPr>
    </w:pPr>
  </w:style>
  <w:style w:type="numbering" w:customStyle="1" w:styleId="BulletedList">
    <w:name w:val="Bulleted List"/>
    <w:uiPriority w:val="99"/>
    <w:rsid w:val="008043EA"/>
    <w:pPr>
      <w:numPr>
        <w:numId w:val="1"/>
      </w:numPr>
    </w:pPr>
  </w:style>
  <w:style w:type="numbering" w:customStyle="1" w:styleId="BoxBulletedList">
    <w:name w:val="Box Bulleted List"/>
    <w:uiPriority w:val="99"/>
    <w:rsid w:val="008043EA"/>
    <w:pPr>
      <w:numPr>
        <w:numId w:val="2"/>
      </w:numPr>
    </w:pPr>
  </w:style>
  <w:style w:type="numbering" w:customStyle="1" w:styleId="OneLevelList">
    <w:name w:val="OneLevelList"/>
    <w:uiPriority w:val="99"/>
    <w:rsid w:val="008043EA"/>
    <w:pPr>
      <w:numPr>
        <w:numId w:val="3"/>
      </w:numPr>
    </w:pPr>
  </w:style>
  <w:style w:type="numbering" w:customStyle="1" w:styleId="ChartandTableFootnoteAlphaList">
    <w:name w:val="ChartandTableFootnoteAlphaList"/>
    <w:uiPriority w:val="99"/>
    <w:rsid w:val="008043EA"/>
    <w:pPr>
      <w:numPr>
        <w:numId w:val="5"/>
      </w:numPr>
    </w:pPr>
  </w:style>
  <w:style w:type="paragraph" w:customStyle="1" w:styleId="Heading1Numbered">
    <w:name w:val="Heading 1 Numbered"/>
    <w:basedOn w:val="Heading1"/>
    <w:next w:val="Normal"/>
    <w:rsid w:val="008043EA"/>
    <w:pPr>
      <w:numPr>
        <w:numId w:val="10"/>
      </w:numPr>
    </w:pPr>
  </w:style>
  <w:style w:type="character" w:customStyle="1" w:styleId="SingleParagraphChar">
    <w:name w:val="Single Paragraph Char"/>
    <w:basedOn w:val="DefaultParagraphFont"/>
    <w:link w:val="SingleParagraph"/>
    <w:rsid w:val="008043EA"/>
    <w:rPr>
      <w:rFonts w:ascii="Calibri Light" w:eastAsia="Times New Roman" w:hAnsi="Calibri Light" w:cs="Times New Roman"/>
      <w:szCs w:val="20"/>
      <w:lang w:eastAsia="en-AU"/>
    </w:rPr>
  </w:style>
  <w:style w:type="paragraph" w:customStyle="1" w:styleId="Heading2Numbered">
    <w:name w:val="Heading 2 Numbered"/>
    <w:basedOn w:val="Heading2"/>
    <w:next w:val="Normal"/>
    <w:rsid w:val="008043EA"/>
    <w:pPr>
      <w:numPr>
        <w:ilvl w:val="1"/>
        <w:numId w:val="10"/>
      </w:numPr>
    </w:pPr>
  </w:style>
  <w:style w:type="paragraph" w:customStyle="1" w:styleId="Heading3Numbered">
    <w:name w:val="Heading 3 Numbered"/>
    <w:basedOn w:val="Heading3"/>
    <w:rsid w:val="008043EA"/>
    <w:pPr>
      <w:numPr>
        <w:ilvl w:val="2"/>
        <w:numId w:val="10"/>
      </w:numPr>
    </w:pPr>
  </w:style>
  <w:style w:type="paragraph" w:styleId="Title">
    <w:name w:val="Title"/>
    <w:basedOn w:val="Normal"/>
    <w:next w:val="Normal"/>
    <w:link w:val="TitleChar"/>
    <w:uiPriority w:val="10"/>
    <w:rsid w:val="00082FC2"/>
    <w:pPr>
      <w:spacing w:before="0"/>
      <w:contextualSpacing/>
    </w:pPr>
    <w:rPr>
      <w:rFonts w:eastAsiaTheme="majorEastAsia" w:cstheme="majorBidi"/>
      <w:b/>
      <w:color w:val="2C384A" w:themeColor="accent1"/>
      <w:spacing w:val="5"/>
      <w:kern w:val="28"/>
      <w:sz w:val="72"/>
      <w:szCs w:val="52"/>
    </w:rPr>
  </w:style>
  <w:style w:type="character" w:customStyle="1" w:styleId="TitleChar">
    <w:name w:val="Title Char"/>
    <w:basedOn w:val="DefaultParagraphFont"/>
    <w:link w:val="Title"/>
    <w:uiPriority w:val="10"/>
    <w:rsid w:val="00082FC2"/>
    <w:rPr>
      <w:rFonts w:ascii="Calibri Light" w:eastAsiaTheme="majorEastAsia" w:hAnsi="Calibri Light" w:cstheme="majorBidi"/>
      <w:b/>
      <w:color w:val="2C384A" w:themeColor="accent1"/>
      <w:spacing w:val="5"/>
      <w:kern w:val="28"/>
      <w:sz w:val="72"/>
      <w:szCs w:val="52"/>
      <w:lang w:eastAsia="en-AU"/>
    </w:rPr>
  </w:style>
  <w:style w:type="paragraph" w:styleId="Subtitle">
    <w:name w:val="Subtitle"/>
    <w:basedOn w:val="Normal"/>
    <w:next w:val="Normal"/>
    <w:link w:val="SubtitleChar"/>
    <w:uiPriority w:val="11"/>
    <w:rsid w:val="00082FC2"/>
    <w:pPr>
      <w:numPr>
        <w:ilvl w:val="1"/>
      </w:numPr>
      <w:spacing w:after="360"/>
    </w:pPr>
    <w:rPr>
      <w:rFonts w:eastAsiaTheme="majorEastAsia" w:cstheme="majorBidi"/>
      <w:iCs/>
      <w:color w:val="5D779D" w:themeColor="accent3"/>
      <w:sz w:val="44"/>
      <w:szCs w:val="44"/>
    </w:rPr>
  </w:style>
  <w:style w:type="character" w:customStyle="1" w:styleId="SubtitleChar">
    <w:name w:val="Subtitle Char"/>
    <w:basedOn w:val="DefaultParagraphFont"/>
    <w:link w:val="Subtitle"/>
    <w:uiPriority w:val="11"/>
    <w:rsid w:val="00082FC2"/>
    <w:rPr>
      <w:rFonts w:ascii="Calibri Light" w:eastAsiaTheme="majorEastAsia" w:hAnsi="Calibri Light" w:cstheme="majorBidi"/>
      <w:iCs/>
      <w:color w:val="5D779D" w:themeColor="accent3"/>
      <w:sz w:val="44"/>
      <w:szCs w:val="44"/>
      <w:lang w:eastAsia="en-AU"/>
    </w:rPr>
  </w:style>
  <w:style w:type="character" w:styleId="SubtleEmphasis">
    <w:name w:val="Subtle Emphasis"/>
    <w:basedOn w:val="DefaultParagraphFont"/>
    <w:uiPriority w:val="19"/>
    <w:rsid w:val="008043EA"/>
    <w:rPr>
      <w:i/>
      <w:iCs/>
      <w:color w:val="808080" w:themeColor="text1" w:themeTint="7F"/>
    </w:rPr>
  </w:style>
  <w:style w:type="paragraph" w:styleId="Header">
    <w:name w:val="header"/>
    <w:basedOn w:val="Normal"/>
    <w:link w:val="HeaderChar"/>
    <w:uiPriority w:val="99"/>
    <w:unhideWhenUsed/>
    <w:rsid w:val="008043EA"/>
    <w:pPr>
      <w:keepNext/>
      <w:spacing w:before="0" w:after="0"/>
      <w:jc w:val="right"/>
    </w:pPr>
    <w:rPr>
      <w:color w:val="004A7F"/>
      <w:sz w:val="20"/>
    </w:rPr>
  </w:style>
  <w:style w:type="character" w:customStyle="1" w:styleId="HeaderChar">
    <w:name w:val="Header Char"/>
    <w:basedOn w:val="DefaultParagraphFont"/>
    <w:link w:val="Header"/>
    <w:uiPriority w:val="99"/>
    <w:rsid w:val="008043EA"/>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8043EA"/>
    <w:rPr>
      <w:color w:val="808080"/>
    </w:rPr>
  </w:style>
  <w:style w:type="paragraph" w:customStyle="1" w:styleId="HeadingBase">
    <w:name w:val="Heading Base"/>
    <w:rsid w:val="008043EA"/>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082FC2"/>
    <w:rPr>
      <w:rFonts w:ascii="Calibri Light" w:eastAsia="Times New Roman" w:hAnsi="Calibri Light" w:cs="Times New Roman"/>
      <w:color w:val="2C384A" w:themeColor="accent1"/>
      <w:sz w:val="32"/>
      <w:szCs w:val="20"/>
      <w:lang w:eastAsia="en-AU"/>
    </w:rPr>
  </w:style>
  <w:style w:type="paragraph" w:customStyle="1" w:styleId="TableTextIndented">
    <w:name w:val="Table Text Indented"/>
    <w:basedOn w:val="TableTextLeft"/>
    <w:rsid w:val="008043EA"/>
    <w:pPr>
      <w:ind w:left="284"/>
    </w:pPr>
  </w:style>
  <w:style w:type="paragraph" w:customStyle="1" w:styleId="TableHeadingContinued">
    <w:name w:val="Table Heading Continued"/>
    <w:basedOn w:val="TableMainHeading"/>
    <w:next w:val="TableGraphic"/>
    <w:rsid w:val="008043EA"/>
  </w:style>
  <w:style w:type="paragraph" w:customStyle="1" w:styleId="TableGraphic">
    <w:name w:val="Table Graphic"/>
    <w:basedOn w:val="HeadingBase"/>
    <w:next w:val="Normal"/>
    <w:rsid w:val="008043EA"/>
    <w:pPr>
      <w:spacing w:after="0"/>
    </w:pPr>
  </w:style>
  <w:style w:type="character" w:styleId="FootnoteReference">
    <w:name w:val="footnote reference"/>
    <w:basedOn w:val="DefaultParagraphFont"/>
    <w:uiPriority w:val="99"/>
    <w:rsid w:val="00EE323D"/>
    <w:rPr>
      <w:sz w:val="18"/>
      <w:vertAlign w:val="superscript"/>
    </w:rPr>
  </w:style>
  <w:style w:type="paragraph" w:styleId="FootnoteText">
    <w:name w:val="footnote text"/>
    <w:basedOn w:val="Normal"/>
    <w:link w:val="FootnoteTextChar"/>
    <w:uiPriority w:val="99"/>
    <w:rsid w:val="008043EA"/>
    <w:pPr>
      <w:spacing w:before="0" w:after="0"/>
      <w:ind w:left="397" w:hanging="397"/>
    </w:pPr>
    <w:rPr>
      <w:sz w:val="20"/>
    </w:rPr>
  </w:style>
  <w:style w:type="character" w:customStyle="1" w:styleId="FootnoteTextChar">
    <w:name w:val="Footnote Text Char"/>
    <w:basedOn w:val="DefaultParagraphFont"/>
    <w:link w:val="FootnoteText"/>
    <w:uiPriority w:val="99"/>
    <w:rsid w:val="008043EA"/>
    <w:rPr>
      <w:rFonts w:ascii="Calibri Light" w:eastAsia="Times New Roman" w:hAnsi="Calibri Light" w:cs="Times New Roman"/>
      <w:sz w:val="20"/>
      <w:szCs w:val="20"/>
      <w:lang w:eastAsia="en-AU"/>
    </w:rPr>
  </w:style>
  <w:style w:type="paragraph" w:customStyle="1" w:styleId="Heading3noTOC">
    <w:name w:val="Heading 3 no TOC"/>
    <w:basedOn w:val="Heading3"/>
    <w:rsid w:val="00257AEE"/>
    <w:rPr>
      <w:rFonts w:cs="Calibri"/>
    </w:rPr>
  </w:style>
  <w:style w:type="paragraph" w:styleId="BalloonText">
    <w:name w:val="Balloon Text"/>
    <w:basedOn w:val="Normal"/>
    <w:link w:val="BalloonTextChar"/>
    <w:uiPriority w:val="99"/>
    <w:semiHidden/>
    <w:unhideWhenUsed/>
    <w:rsid w:val="008043E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3EA"/>
    <w:rPr>
      <w:rFonts w:ascii="Tahoma" w:eastAsia="Times New Roman" w:hAnsi="Tahoma" w:cs="Tahoma"/>
      <w:sz w:val="16"/>
      <w:szCs w:val="16"/>
      <w:lang w:eastAsia="en-AU"/>
    </w:rPr>
  </w:style>
  <w:style w:type="character" w:customStyle="1" w:styleId="BulletChar">
    <w:name w:val="Bullet Char"/>
    <w:basedOn w:val="DefaultParagraphFont"/>
    <w:link w:val="Bullet"/>
    <w:locked/>
    <w:rsid w:val="008043EA"/>
    <w:rPr>
      <w:rFonts w:ascii="Calibri Light" w:eastAsia="Times New Roman" w:hAnsi="Calibri Light" w:cs="Times New Roman"/>
      <w:szCs w:val="20"/>
      <w:lang w:eastAsia="en-AU"/>
    </w:rPr>
  </w:style>
  <w:style w:type="paragraph" w:customStyle="1" w:styleId="Boxbullet">
    <w:name w:val="Box bullet"/>
    <w:basedOn w:val="Bullet"/>
    <w:rsid w:val="008043EA"/>
    <w:pPr>
      <w:tabs>
        <w:tab w:val="num" w:pos="284"/>
      </w:tabs>
      <w:spacing w:before="60"/>
      <w:ind w:left="170" w:hanging="170"/>
    </w:pPr>
    <w:rPr>
      <w:color w:val="0D0D0D" w:themeColor="text1" w:themeTint="F2"/>
    </w:rPr>
  </w:style>
  <w:style w:type="character" w:customStyle="1" w:styleId="DashChar">
    <w:name w:val="Dash Char"/>
    <w:basedOn w:val="DefaultParagraphFont"/>
    <w:link w:val="Dash"/>
    <w:locked/>
    <w:rsid w:val="008043EA"/>
    <w:rPr>
      <w:rFonts w:ascii="Calibri Light" w:eastAsia="Times New Roman" w:hAnsi="Calibri Light" w:cs="Times New Roman"/>
      <w:szCs w:val="20"/>
      <w:lang w:eastAsia="en-AU"/>
    </w:rPr>
  </w:style>
  <w:style w:type="paragraph" w:customStyle="1" w:styleId="Boxdash">
    <w:name w:val="Box dash"/>
    <w:basedOn w:val="Dash"/>
    <w:rsid w:val="002343C8"/>
    <w:pPr>
      <w:tabs>
        <w:tab w:val="clear" w:pos="567"/>
        <w:tab w:val="num" w:pos="1040"/>
      </w:tabs>
      <w:spacing w:before="60" w:after="0" w:line="276" w:lineRule="auto"/>
      <w:ind w:left="340" w:hanging="170"/>
    </w:pPr>
    <w:rPr>
      <w:rFonts w:eastAsiaTheme="minorHAnsi"/>
      <w:color w:val="0D0D0D" w:themeColor="text1" w:themeTint="F2"/>
      <w:lang w:eastAsia="en-US"/>
    </w:rPr>
  </w:style>
  <w:style w:type="character" w:customStyle="1" w:styleId="DoubleDotChar">
    <w:name w:val="Double Dot Char"/>
    <w:basedOn w:val="DefaultParagraphFont"/>
    <w:link w:val="DoubleDot"/>
    <w:locked/>
    <w:rsid w:val="008043EA"/>
    <w:rPr>
      <w:rFonts w:ascii="Calibri Light" w:eastAsia="Times New Roman" w:hAnsi="Calibri Light" w:cs="Times New Roman"/>
      <w:szCs w:val="20"/>
      <w:lang w:eastAsia="en-AU"/>
    </w:rPr>
  </w:style>
  <w:style w:type="paragraph" w:customStyle="1" w:styleId="Boxdoubledot">
    <w:name w:val="Box double dot"/>
    <w:basedOn w:val="DoubleDot"/>
    <w:rsid w:val="008043EA"/>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8043EA"/>
    <w:rPr>
      <w:rFonts w:ascii="Calibri Light" w:eastAsia="Times New Roman" w:hAnsi="Calibri Light" w:cs="Times New Roman"/>
      <w:szCs w:val="20"/>
      <w:lang w:eastAsia="en-AU"/>
    </w:rPr>
  </w:style>
  <w:style w:type="character" w:styleId="Strong">
    <w:name w:val="Strong"/>
    <w:basedOn w:val="DefaultParagraphFont"/>
    <w:rsid w:val="00555D14"/>
    <w:rPr>
      <w:b/>
      <w:bCs/>
    </w:rPr>
  </w:style>
  <w:style w:type="paragraph" w:customStyle="1" w:styleId="Instructions">
    <w:name w:val="Instructions"/>
    <w:basedOn w:val="Normal"/>
    <w:uiPriority w:val="1"/>
    <w:rsid w:val="00555D14"/>
    <w:pPr>
      <w:shd w:val="clear" w:color="auto" w:fill="FFFF00"/>
      <w:ind w:left="170" w:hanging="170"/>
    </w:pPr>
    <w:rPr>
      <w:rFonts w:asciiTheme="minorHAnsi" w:hAnsiTheme="minorHAnsi"/>
      <w:sz w:val="20"/>
      <w:szCs w:val="24"/>
    </w:rPr>
  </w:style>
  <w:style w:type="character" w:styleId="UnresolvedMention">
    <w:name w:val="Unresolved Mention"/>
    <w:basedOn w:val="DefaultParagraphFont"/>
    <w:uiPriority w:val="99"/>
    <w:semiHidden/>
    <w:unhideWhenUsed/>
    <w:rsid w:val="00F347A4"/>
    <w:rPr>
      <w:color w:val="605E5C"/>
      <w:shd w:val="clear" w:color="auto" w:fill="E1DFDD"/>
    </w:rPr>
  </w:style>
  <w:style w:type="paragraph" w:styleId="Footer">
    <w:name w:val="footer"/>
    <w:basedOn w:val="Normal"/>
    <w:link w:val="FooterChar"/>
    <w:unhideWhenUsed/>
    <w:rsid w:val="00E13E90"/>
    <w:pPr>
      <w:keepNext/>
      <w:tabs>
        <w:tab w:val="center" w:pos="9072"/>
      </w:tabs>
      <w:spacing w:before="0" w:after="0"/>
      <w:jc w:val="right"/>
    </w:pPr>
    <w:rPr>
      <w:noProof/>
      <w:color w:val="2C384A" w:themeColor="accent1"/>
      <w:sz w:val="20"/>
    </w:rPr>
  </w:style>
  <w:style w:type="character" w:customStyle="1" w:styleId="FooterChar">
    <w:name w:val="Footer Char"/>
    <w:basedOn w:val="DefaultParagraphFont"/>
    <w:link w:val="Footer"/>
    <w:rsid w:val="00E13E90"/>
    <w:rPr>
      <w:rFonts w:ascii="Calibri Light" w:eastAsia="Times New Roman" w:hAnsi="Calibri Light" w:cs="Times New Roman"/>
      <w:noProof/>
      <w:color w:val="2C384A" w:themeColor="accent1"/>
      <w:sz w:val="20"/>
      <w:szCs w:val="20"/>
      <w:lang w:eastAsia="en-AU"/>
    </w:rPr>
  </w:style>
  <w:style w:type="paragraph" w:styleId="ListParagraph">
    <w:name w:val="List Paragraph"/>
    <w:aliases w:val="L,List Paragraph - bullets,List Paragraph1,List Paragraph11,NFP GP Bulleted List,Recommendation,bullet point list,AR bullet 1,Bullet Point,Bullet Points,Bullet points,Bulletr List Paragraph,CV text,Content descriptions,Dot pt,Bullet List"/>
    <w:basedOn w:val="Normal"/>
    <w:link w:val="ListParagraphChar"/>
    <w:uiPriority w:val="34"/>
    <w:qFormat/>
    <w:rsid w:val="00206C4F"/>
    <w:pPr>
      <w:ind w:left="720"/>
      <w:contextualSpacing/>
    </w:pPr>
  </w:style>
  <w:style w:type="character" w:styleId="CommentReference">
    <w:name w:val="annotation reference"/>
    <w:basedOn w:val="DefaultParagraphFont"/>
    <w:uiPriority w:val="99"/>
    <w:semiHidden/>
    <w:unhideWhenUsed/>
    <w:rsid w:val="0025470A"/>
    <w:rPr>
      <w:sz w:val="16"/>
      <w:szCs w:val="16"/>
    </w:rPr>
  </w:style>
  <w:style w:type="paragraph" w:styleId="CommentText">
    <w:name w:val="annotation text"/>
    <w:basedOn w:val="Normal"/>
    <w:link w:val="CommentTextChar"/>
    <w:uiPriority w:val="99"/>
    <w:unhideWhenUsed/>
    <w:rsid w:val="0025470A"/>
    <w:rPr>
      <w:sz w:val="20"/>
    </w:rPr>
  </w:style>
  <w:style w:type="character" w:customStyle="1" w:styleId="CommentTextChar">
    <w:name w:val="Comment Text Char"/>
    <w:basedOn w:val="DefaultParagraphFont"/>
    <w:link w:val="CommentText"/>
    <w:uiPriority w:val="99"/>
    <w:rsid w:val="0025470A"/>
    <w:rPr>
      <w:rFonts w:ascii="Calibri Light" w:eastAsia="Times New Roman" w:hAnsi="Calibri Light"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25470A"/>
    <w:rPr>
      <w:b/>
      <w:bCs/>
    </w:rPr>
  </w:style>
  <w:style w:type="character" w:customStyle="1" w:styleId="CommentSubjectChar">
    <w:name w:val="Comment Subject Char"/>
    <w:basedOn w:val="CommentTextChar"/>
    <w:link w:val="CommentSubject"/>
    <w:uiPriority w:val="99"/>
    <w:semiHidden/>
    <w:rsid w:val="0025470A"/>
    <w:rPr>
      <w:rFonts w:ascii="Calibri Light" w:eastAsia="Times New Roman" w:hAnsi="Calibri Light" w:cs="Times New Roman"/>
      <w:b/>
      <w:bCs/>
      <w:sz w:val="20"/>
      <w:szCs w:val="20"/>
      <w:lang w:eastAsia="en-AU"/>
    </w:rPr>
  </w:style>
  <w:style w:type="paragraph" w:customStyle="1" w:styleId="SecurityClassificationHeader">
    <w:name w:val="Security Classification Header"/>
    <w:link w:val="SecurityClassificationHeaderChar"/>
    <w:rsid w:val="00412FC1"/>
    <w:pPr>
      <w:spacing w:before="360" w:after="60"/>
      <w:jc w:val="center"/>
    </w:pPr>
    <w:rPr>
      <w:rFonts w:ascii="Calibri" w:eastAsia="Times New Roman" w:hAnsi="Calibri" w:cs="Calibri"/>
      <w:b/>
      <w:color w:val="FF0000"/>
      <w:sz w:val="24"/>
      <w:szCs w:val="20"/>
      <w:lang w:eastAsia="en-AU"/>
    </w:rPr>
  </w:style>
  <w:style w:type="character" w:customStyle="1" w:styleId="SecurityClassificationHeaderChar">
    <w:name w:val="Security Classification Header Char"/>
    <w:basedOn w:val="HeaderChar"/>
    <w:link w:val="SecurityClassificationHeader"/>
    <w:rsid w:val="00412FC1"/>
    <w:rPr>
      <w:rFonts w:ascii="Calibri" w:eastAsia="Times New Roman" w:hAnsi="Calibri" w:cs="Calibri"/>
      <w:b/>
      <w:color w:val="FF0000"/>
      <w:sz w:val="24"/>
      <w:szCs w:val="20"/>
      <w:lang w:eastAsia="en-AU"/>
    </w:rPr>
  </w:style>
  <w:style w:type="paragraph" w:customStyle="1" w:styleId="SecurityClassificationFooter">
    <w:name w:val="Security Classification Footer"/>
    <w:link w:val="SecurityClassificationFooterChar"/>
    <w:rsid w:val="00412FC1"/>
    <w:pPr>
      <w:spacing w:before="240" w:after="60"/>
      <w:jc w:val="center"/>
    </w:pPr>
    <w:rPr>
      <w:rFonts w:ascii="Calibri" w:eastAsia="Times New Roman" w:hAnsi="Calibri" w:cs="Calibri"/>
      <w:b/>
      <w:color w:val="FF0000"/>
      <w:sz w:val="24"/>
      <w:szCs w:val="20"/>
      <w:lang w:eastAsia="en-AU"/>
    </w:rPr>
  </w:style>
  <w:style w:type="character" w:customStyle="1" w:styleId="SecurityClassificationFooterChar">
    <w:name w:val="Security Classification Footer Char"/>
    <w:basedOn w:val="HeaderChar"/>
    <w:link w:val="SecurityClassificationFooter"/>
    <w:rsid w:val="00412FC1"/>
    <w:rPr>
      <w:rFonts w:ascii="Calibri" w:eastAsia="Times New Roman" w:hAnsi="Calibri" w:cs="Calibri"/>
      <w:b/>
      <w:color w:val="FF0000"/>
      <w:sz w:val="24"/>
      <w:szCs w:val="20"/>
      <w:lang w:eastAsia="en-AU"/>
    </w:rPr>
  </w:style>
  <w:style w:type="paragraph" w:customStyle="1" w:styleId="DLMSecurityHeader">
    <w:name w:val="DLM Security Header"/>
    <w:link w:val="DLMSecurityHeaderChar"/>
    <w:rsid w:val="00412FC1"/>
    <w:pPr>
      <w:spacing w:before="360" w:after="60"/>
      <w:jc w:val="center"/>
    </w:pPr>
    <w:rPr>
      <w:rFonts w:ascii="Calibri" w:eastAsia="Times New Roman" w:hAnsi="Calibri" w:cs="Calibri"/>
      <w:b/>
      <w:color w:val="FF0000"/>
      <w:sz w:val="24"/>
      <w:szCs w:val="20"/>
      <w:lang w:eastAsia="en-AU"/>
    </w:rPr>
  </w:style>
  <w:style w:type="character" w:customStyle="1" w:styleId="DLMSecurityHeaderChar">
    <w:name w:val="DLM Security Header Char"/>
    <w:basedOn w:val="HeaderChar"/>
    <w:link w:val="DLMSecurityHeader"/>
    <w:rsid w:val="00412FC1"/>
    <w:rPr>
      <w:rFonts w:ascii="Calibri" w:eastAsia="Times New Roman" w:hAnsi="Calibri" w:cs="Calibri"/>
      <w:b/>
      <w:color w:val="FF0000"/>
      <w:sz w:val="24"/>
      <w:szCs w:val="20"/>
      <w:lang w:eastAsia="en-AU"/>
    </w:rPr>
  </w:style>
  <w:style w:type="paragraph" w:customStyle="1" w:styleId="DLMSecurityFooter">
    <w:name w:val="DLM Security Footer"/>
    <w:link w:val="DLMSecurityFooterChar"/>
    <w:rsid w:val="00412FC1"/>
    <w:pPr>
      <w:spacing w:before="360" w:after="60"/>
      <w:jc w:val="center"/>
    </w:pPr>
    <w:rPr>
      <w:rFonts w:ascii="Calibri" w:eastAsia="Times New Roman" w:hAnsi="Calibri" w:cs="Calibri"/>
      <w:b/>
      <w:color w:val="FF0000"/>
      <w:sz w:val="24"/>
      <w:szCs w:val="20"/>
      <w:lang w:eastAsia="en-AU"/>
    </w:rPr>
  </w:style>
  <w:style w:type="character" w:customStyle="1" w:styleId="DLMSecurityFooterChar">
    <w:name w:val="DLM Security Footer Char"/>
    <w:basedOn w:val="HeaderChar"/>
    <w:link w:val="DLMSecurityFooter"/>
    <w:rsid w:val="00412FC1"/>
    <w:rPr>
      <w:rFonts w:ascii="Calibri" w:eastAsia="Times New Roman" w:hAnsi="Calibri" w:cs="Calibri"/>
      <w:b/>
      <w:color w:val="FF0000"/>
      <w:sz w:val="24"/>
      <w:szCs w:val="20"/>
      <w:lang w:eastAsia="en-AU"/>
    </w:rPr>
  </w:style>
  <w:style w:type="paragraph" w:styleId="BodyText">
    <w:name w:val="Body Text"/>
    <w:aliases w:val="Body Text Cab,CAB - Body Text,CAB Body Text"/>
    <w:link w:val="BodyTextChar"/>
    <w:qFormat/>
    <w:rsid w:val="00735128"/>
    <w:pPr>
      <w:spacing w:before="120" w:after="0" w:line="240" w:lineRule="auto"/>
    </w:pPr>
    <w:rPr>
      <w:rFonts w:ascii="Arial" w:hAnsi="Arial"/>
    </w:rPr>
  </w:style>
  <w:style w:type="character" w:customStyle="1" w:styleId="BodyTextChar">
    <w:name w:val="Body Text Char"/>
    <w:aliases w:val="Body Text Cab Char,CAB - Body Text Char,CAB Body Text Char"/>
    <w:basedOn w:val="DefaultParagraphFont"/>
    <w:link w:val="BodyText"/>
    <w:rsid w:val="00735128"/>
    <w:rPr>
      <w:rFonts w:ascii="Arial" w:hAnsi="Arial"/>
    </w:rPr>
  </w:style>
  <w:style w:type="paragraph" w:styleId="Revision">
    <w:name w:val="Revision"/>
    <w:hidden/>
    <w:uiPriority w:val="99"/>
    <w:semiHidden/>
    <w:rsid w:val="00F93C89"/>
    <w:pPr>
      <w:spacing w:after="0" w:line="240" w:lineRule="auto"/>
    </w:pPr>
    <w:rPr>
      <w:rFonts w:ascii="Calibri Light" w:eastAsia="Times New Roman" w:hAnsi="Calibri Light" w:cs="Times New Roman"/>
      <w:szCs w:val="20"/>
      <w:lang w:eastAsia="en-AU"/>
    </w:rPr>
  </w:style>
  <w:style w:type="character" w:customStyle="1" w:styleId="ListParagraphChar">
    <w:name w:val="List Paragraph Char"/>
    <w:aliases w:val="L Char,List Paragraph - bullets Char,List Paragraph1 Char,List Paragraph11 Char,NFP GP Bulleted List Char,Recommendation Char,bullet point list Char,AR bullet 1 Char,Bullet Point Char,Bullet Points Char,Bullet points Char,Dot pt Char"/>
    <w:basedOn w:val="DefaultParagraphFont"/>
    <w:link w:val="ListParagraph"/>
    <w:uiPriority w:val="34"/>
    <w:qFormat/>
    <w:locked/>
    <w:rsid w:val="00F93C89"/>
    <w:rPr>
      <w:rFonts w:ascii="Calibri Light" w:eastAsia="Times New Roman" w:hAnsi="Calibri Light" w:cs="Times New Roman"/>
      <w:szCs w:val="20"/>
      <w:lang w:eastAsia="en-AU"/>
    </w:rPr>
  </w:style>
  <w:style w:type="paragraph" w:styleId="NormalWeb">
    <w:name w:val="Normal (Web)"/>
    <w:basedOn w:val="Normal"/>
    <w:uiPriority w:val="99"/>
    <w:unhideWhenUsed/>
    <w:rsid w:val="00FF2441"/>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906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95745">
      <w:bodyDiv w:val="1"/>
      <w:marLeft w:val="0"/>
      <w:marRight w:val="0"/>
      <w:marTop w:val="0"/>
      <w:marBottom w:val="0"/>
      <w:divBdr>
        <w:top w:val="none" w:sz="0" w:space="0" w:color="auto"/>
        <w:left w:val="none" w:sz="0" w:space="0" w:color="auto"/>
        <w:bottom w:val="none" w:sz="0" w:space="0" w:color="auto"/>
        <w:right w:val="none" w:sz="0" w:space="0" w:color="auto"/>
      </w:divBdr>
    </w:div>
    <w:div w:id="787966499">
      <w:bodyDiv w:val="1"/>
      <w:marLeft w:val="0"/>
      <w:marRight w:val="0"/>
      <w:marTop w:val="0"/>
      <w:marBottom w:val="0"/>
      <w:divBdr>
        <w:top w:val="none" w:sz="0" w:space="0" w:color="auto"/>
        <w:left w:val="none" w:sz="0" w:space="0" w:color="auto"/>
        <w:bottom w:val="none" w:sz="0" w:space="0" w:color="auto"/>
        <w:right w:val="none" w:sz="0" w:space="0" w:color="auto"/>
      </w:divBdr>
    </w:div>
    <w:div w:id="903830130">
      <w:bodyDiv w:val="1"/>
      <w:marLeft w:val="0"/>
      <w:marRight w:val="0"/>
      <w:marTop w:val="0"/>
      <w:marBottom w:val="0"/>
      <w:divBdr>
        <w:top w:val="none" w:sz="0" w:space="0" w:color="auto"/>
        <w:left w:val="none" w:sz="0" w:space="0" w:color="auto"/>
        <w:bottom w:val="none" w:sz="0" w:space="0" w:color="auto"/>
        <w:right w:val="none" w:sz="0" w:space="0" w:color="auto"/>
      </w:divBdr>
    </w:div>
    <w:div w:id="1060862912">
      <w:bodyDiv w:val="1"/>
      <w:marLeft w:val="0"/>
      <w:marRight w:val="0"/>
      <w:marTop w:val="0"/>
      <w:marBottom w:val="0"/>
      <w:divBdr>
        <w:top w:val="none" w:sz="0" w:space="0" w:color="auto"/>
        <w:left w:val="none" w:sz="0" w:space="0" w:color="auto"/>
        <w:bottom w:val="none" w:sz="0" w:space="0" w:color="auto"/>
        <w:right w:val="none" w:sz="0" w:space="0" w:color="auto"/>
      </w:divBdr>
    </w:div>
    <w:div w:id="1122650852">
      <w:bodyDiv w:val="1"/>
      <w:marLeft w:val="0"/>
      <w:marRight w:val="0"/>
      <w:marTop w:val="0"/>
      <w:marBottom w:val="0"/>
      <w:divBdr>
        <w:top w:val="none" w:sz="0" w:space="0" w:color="auto"/>
        <w:left w:val="none" w:sz="0" w:space="0" w:color="auto"/>
        <w:bottom w:val="none" w:sz="0" w:space="0" w:color="auto"/>
        <w:right w:val="none" w:sz="0" w:space="0" w:color="auto"/>
      </w:divBdr>
    </w:div>
    <w:div w:id="1522281507">
      <w:bodyDiv w:val="1"/>
      <w:marLeft w:val="0"/>
      <w:marRight w:val="0"/>
      <w:marTop w:val="0"/>
      <w:marBottom w:val="0"/>
      <w:divBdr>
        <w:top w:val="none" w:sz="0" w:space="0" w:color="auto"/>
        <w:left w:val="none" w:sz="0" w:space="0" w:color="auto"/>
        <w:bottom w:val="none" w:sz="0" w:space="0" w:color="auto"/>
        <w:right w:val="none" w:sz="0" w:space="0" w:color="auto"/>
      </w:divBdr>
    </w:div>
    <w:div w:id="1548444907">
      <w:bodyDiv w:val="1"/>
      <w:marLeft w:val="0"/>
      <w:marRight w:val="0"/>
      <w:marTop w:val="0"/>
      <w:marBottom w:val="0"/>
      <w:divBdr>
        <w:top w:val="none" w:sz="0" w:space="0" w:color="auto"/>
        <w:left w:val="none" w:sz="0" w:space="0" w:color="auto"/>
        <w:bottom w:val="none" w:sz="0" w:space="0" w:color="auto"/>
        <w:right w:val="none" w:sz="0" w:space="0" w:color="auto"/>
      </w:divBdr>
    </w:div>
    <w:div w:id="1693460190">
      <w:bodyDiv w:val="1"/>
      <w:marLeft w:val="0"/>
      <w:marRight w:val="0"/>
      <w:marTop w:val="0"/>
      <w:marBottom w:val="0"/>
      <w:divBdr>
        <w:top w:val="none" w:sz="0" w:space="0" w:color="auto"/>
        <w:left w:val="none" w:sz="0" w:space="0" w:color="auto"/>
        <w:bottom w:val="none" w:sz="0" w:space="0" w:color="auto"/>
        <w:right w:val="none" w:sz="0" w:space="0" w:color="auto"/>
      </w:divBdr>
    </w:div>
    <w:div w:id="1904824874">
      <w:bodyDiv w:val="1"/>
      <w:marLeft w:val="0"/>
      <w:marRight w:val="0"/>
      <w:marTop w:val="0"/>
      <w:marBottom w:val="0"/>
      <w:divBdr>
        <w:top w:val="none" w:sz="0" w:space="0" w:color="auto"/>
        <w:left w:val="none" w:sz="0" w:space="0" w:color="auto"/>
        <w:bottom w:val="none" w:sz="0" w:space="0" w:color="auto"/>
        <w:right w:val="none" w:sz="0" w:space="0" w:color="auto"/>
      </w:divBdr>
    </w:div>
    <w:div w:id="197035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reativecommons.org/licenses/by/3.0/au/legalcode" TargetMode="External"/><Relationship Id="rId18" Type="http://schemas.openxmlformats.org/officeDocument/2006/relationships/header" Target="header1.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creativecommons.org/licenses/by/3.0/au/deed.en" TargetMode="External"/><Relationship Id="rId17" Type="http://schemas.openxmlformats.org/officeDocument/2006/relationships/hyperlink" Target="mailto:media@treasury.gov.au"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pmc.gov.au/government/commonwealth-coat-arms" TargetMode="Externa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creativecommons.org/licenses/by/3.0/au/deed.en" TargetMode="Externa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openxmlformats.org/officeDocument/2006/relationships/header" Target="header3.xml"/><Relationship Id="rId27" Type="http://schemas.openxmlformats.org/officeDocument/2006/relationships/footer" Target="footer5.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er4.xml.rels><?xml version="1.0" encoding="UTF-8" standalone="yes"?>
<Relationships xmlns="http://schemas.openxmlformats.org/package/2006/relationships"><Relationship Id="rId1" Type="http://schemas.openxmlformats.org/officeDocument/2006/relationships/image" Target="media/image3.jpg"/></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Treasury\TSY%20Consultation%20Paper.dotm" TargetMode="External"/></Relationships>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A252C8398744349983362908620E807" ma:contentTypeVersion="14" ma:contentTypeDescription="Create a new document." ma:contentTypeScope="" ma:versionID="649cc901adb32e1e36597f557846de10">
  <xsd:schema xmlns:xsd="http://www.w3.org/2001/XMLSchema" xmlns:xs="http://www.w3.org/2001/XMLSchema" xmlns:p="http://schemas.microsoft.com/office/2006/metadata/properties" xmlns:ns2="743a74be-9c2d-4239-bcb2-f8eb9641b914" xmlns:ns3="b4ec7fcb-f902-4cf6-9f33-c7161f377272" targetNamespace="http://schemas.microsoft.com/office/2006/metadata/properties" ma:root="true" ma:fieldsID="7d97c6073c35ad5b29faf508097bdb9e" ns2:_="" ns3:_="">
    <xsd:import namespace="743a74be-9c2d-4239-bcb2-f8eb9641b914"/>
    <xsd:import namespace="b4ec7fcb-f902-4cf6-9f33-c7161f3772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3a74be-9c2d-4239-bcb2-f8eb9641b9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ec7fcb-f902-4cf6-9f33-c7161f37727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9481df4e-1d39-446d-bf98-301b6c981151}" ma:internalName="TaxCatchAll" ma:showField="CatchAllData" ma:web="b4ec7fcb-f902-4cf6-9f33-c7161f3772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4ec7fcb-f902-4cf6-9f33-c7161f377272" xsi:nil="true"/>
    <lcf76f155ced4ddcb4097134ff3c332f xmlns="743a74be-9c2d-4239-bcb2-f8eb9641b9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93787D-BD45-4766-BA68-7645EF0DAA86}">
  <ds:schemaRefs>
    <ds:schemaRef ds:uri="http://schemas.microsoft.com/sharepoint/v3/contenttype/forms"/>
  </ds:schemaRefs>
</ds:datastoreItem>
</file>

<file path=customXml/itemProps2.xml><?xml version="1.0" encoding="utf-8"?>
<ds:datastoreItem xmlns:ds="http://schemas.openxmlformats.org/officeDocument/2006/customXml" ds:itemID="{16ABC14A-321F-4C8A-82B8-B4D997F73160}">
  <ds:schemaRefs>
    <ds:schemaRef ds:uri="http://schemas.openxmlformats.org/officeDocument/2006/bibliography"/>
  </ds:schemaRefs>
</ds:datastoreItem>
</file>

<file path=customXml/itemProps3.xml><?xml version="1.0" encoding="utf-8"?>
<ds:datastoreItem xmlns:ds="http://schemas.openxmlformats.org/officeDocument/2006/customXml" ds:itemID="{C2539257-EEBC-459E-A285-2BE6E2B64F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3a74be-9c2d-4239-bcb2-f8eb9641b914"/>
    <ds:schemaRef ds:uri="b4ec7fcb-f902-4cf6-9f33-c7161f3772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9AA08A-0D1D-4F7E-B65B-E4861C0C3145}">
  <ds:schemaRefs>
    <ds:schemaRef ds:uri="http://www.w3.org/XML/1998/namespace"/>
    <ds:schemaRef ds:uri="http://purl.org/dc/terms/"/>
    <ds:schemaRef ds:uri="b4ec7fcb-f902-4cf6-9f33-c7161f377272"/>
    <ds:schemaRef ds:uri="743a74be-9c2d-4239-bcb2-f8eb9641b914"/>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TSY Consultation Paper.dotm</Template>
  <TotalTime>51</TotalTime>
  <Pages>17</Pages>
  <Words>4114</Words>
  <Characters>23451</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Options to ensure the domestic wholesale gas market delivers for Australians</vt:lpstr>
    </vt:vector>
  </TitlesOfParts>
  <Company>Australian Government - The Treasury</Company>
  <LinksUpToDate>false</LinksUpToDate>
  <CharactersWithSpaces>27510</CharactersWithSpaces>
  <SharedDoc>false</SharedDoc>
  <HLinks>
    <vt:vector size="72" baseType="variant">
      <vt:variant>
        <vt:i4>1245235</vt:i4>
      </vt:variant>
      <vt:variant>
        <vt:i4>68</vt:i4>
      </vt:variant>
      <vt:variant>
        <vt:i4>0</vt:i4>
      </vt:variant>
      <vt:variant>
        <vt:i4>5</vt:i4>
      </vt:variant>
      <vt:variant>
        <vt:lpwstr/>
      </vt:variant>
      <vt:variant>
        <vt:lpwstr>_Toc121341747</vt:lpwstr>
      </vt:variant>
      <vt:variant>
        <vt:i4>1245235</vt:i4>
      </vt:variant>
      <vt:variant>
        <vt:i4>62</vt:i4>
      </vt:variant>
      <vt:variant>
        <vt:i4>0</vt:i4>
      </vt:variant>
      <vt:variant>
        <vt:i4>5</vt:i4>
      </vt:variant>
      <vt:variant>
        <vt:lpwstr/>
      </vt:variant>
      <vt:variant>
        <vt:lpwstr>_Toc121341746</vt:lpwstr>
      </vt:variant>
      <vt:variant>
        <vt:i4>1245235</vt:i4>
      </vt:variant>
      <vt:variant>
        <vt:i4>56</vt:i4>
      </vt:variant>
      <vt:variant>
        <vt:i4>0</vt:i4>
      </vt:variant>
      <vt:variant>
        <vt:i4>5</vt:i4>
      </vt:variant>
      <vt:variant>
        <vt:lpwstr/>
      </vt:variant>
      <vt:variant>
        <vt:lpwstr>_Toc121341745</vt:lpwstr>
      </vt:variant>
      <vt:variant>
        <vt:i4>1245235</vt:i4>
      </vt:variant>
      <vt:variant>
        <vt:i4>50</vt:i4>
      </vt:variant>
      <vt:variant>
        <vt:i4>0</vt:i4>
      </vt:variant>
      <vt:variant>
        <vt:i4>5</vt:i4>
      </vt:variant>
      <vt:variant>
        <vt:lpwstr/>
      </vt:variant>
      <vt:variant>
        <vt:lpwstr>_Toc121341744</vt:lpwstr>
      </vt:variant>
      <vt:variant>
        <vt:i4>1245235</vt:i4>
      </vt:variant>
      <vt:variant>
        <vt:i4>44</vt:i4>
      </vt:variant>
      <vt:variant>
        <vt:i4>0</vt:i4>
      </vt:variant>
      <vt:variant>
        <vt:i4>5</vt:i4>
      </vt:variant>
      <vt:variant>
        <vt:lpwstr/>
      </vt:variant>
      <vt:variant>
        <vt:lpwstr>_Toc121341743</vt:lpwstr>
      </vt:variant>
      <vt:variant>
        <vt:i4>1245235</vt:i4>
      </vt:variant>
      <vt:variant>
        <vt:i4>38</vt:i4>
      </vt:variant>
      <vt:variant>
        <vt:i4>0</vt:i4>
      </vt:variant>
      <vt:variant>
        <vt:i4>5</vt:i4>
      </vt:variant>
      <vt:variant>
        <vt:lpwstr/>
      </vt:variant>
      <vt:variant>
        <vt:lpwstr>_Toc121341742</vt:lpwstr>
      </vt:variant>
      <vt:variant>
        <vt:i4>1245235</vt:i4>
      </vt:variant>
      <vt:variant>
        <vt:i4>32</vt:i4>
      </vt:variant>
      <vt:variant>
        <vt:i4>0</vt:i4>
      </vt:variant>
      <vt:variant>
        <vt:i4>5</vt:i4>
      </vt:variant>
      <vt:variant>
        <vt:lpwstr/>
      </vt:variant>
      <vt:variant>
        <vt:lpwstr>_Toc121341741</vt:lpwstr>
      </vt:variant>
      <vt:variant>
        <vt:i4>1245235</vt:i4>
      </vt:variant>
      <vt:variant>
        <vt:i4>26</vt:i4>
      </vt:variant>
      <vt:variant>
        <vt:i4>0</vt:i4>
      </vt:variant>
      <vt:variant>
        <vt:i4>5</vt:i4>
      </vt:variant>
      <vt:variant>
        <vt:lpwstr/>
      </vt:variant>
      <vt:variant>
        <vt:lpwstr>_Toc121341740</vt:lpwstr>
      </vt:variant>
      <vt:variant>
        <vt:i4>1310771</vt:i4>
      </vt:variant>
      <vt:variant>
        <vt:i4>20</vt:i4>
      </vt:variant>
      <vt:variant>
        <vt:i4>0</vt:i4>
      </vt:variant>
      <vt:variant>
        <vt:i4>5</vt:i4>
      </vt:variant>
      <vt:variant>
        <vt:lpwstr/>
      </vt:variant>
      <vt:variant>
        <vt:lpwstr>_Toc121341739</vt:lpwstr>
      </vt:variant>
      <vt:variant>
        <vt:i4>1310771</vt:i4>
      </vt:variant>
      <vt:variant>
        <vt:i4>14</vt:i4>
      </vt:variant>
      <vt:variant>
        <vt:i4>0</vt:i4>
      </vt:variant>
      <vt:variant>
        <vt:i4>5</vt:i4>
      </vt:variant>
      <vt:variant>
        <vt:lpwstr/>
      </vt:variant>
      <vt:variant>
        <vt:lpwstr>_Toc121341738</vt:lpwstr>
      </vt:variant>
      <vt:variant>
        <vt:i4>1310771</vt:i4>
      </vt:variant>
      <vt:variant>
        <vt:i4>8</vt:i4>
      </vt:variant>
      <vt:variant>
        <vt:i4>0</vt:i4>
      </vt:variant>
      <vt:variant>
        <vt:i4>5</vt:i4>
      </vt:variant>
      <vt:variant>
        <vt:lpwstr/>
      </vt:variant>
      <vt:variant>
        <vt:lpwstr>_Toc121341737</vt:lpwstr>
      </vt:variant>
      <vt:variant>
        <vt:i4>1310771</vt:i4>
      </vt:variant>
      <vt:variant>
        <vt:i4>2</vt:i4>
      </vt:variant>
      <vt:variant>
        <vt:i4>0</vt:i4>
      </vt:variant>
      <vt:variant>
        <vt:i4>5</vt:i4>
      </vt:variant>
      <vt:variant>
        <vt:lpwstr/>
      </vt:variant>
      <vt:variant>
        <vt:lpwstr>_Toc121341736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Options to ensure the domestic wholesale gas market delivers for Australians</dc:title>
  <dc:subject/>
  <dc:creator>Australian Government</dc:creator>
  <cp:keywords/>
  <dc:description/>
  <cp:lastModifiedBy>Smith, Matthew</cp:lastModifiedBy>
  <cp:revision>32</cp:revision>
  <cp:lastPrinted>2022-01-24T06:38:00Z</cp:lastPrinted>
  <dcterms:created xsi:type="dcterms:W3CDTF">2022-12-09T03:25:00Z</dcterms:created>
  <dcterms:modified xsi:type="dcterms:W3CDTF">2022-12-09T07:20:00Z</dcterms:modified>
  <cp:category/>
</cp:coreProperties>
</file>