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EC2C" w14:textId="384A6E23"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75A20702" w14:textId="77777777" w:rsidR="00E24AA1" w:rsidRDefault="00E24AA1" w:rsidP="00E24AA1">
      <w:pPr>
        <w:pStyle w:val="Baseparagraphcentred"/>
      </w:pPr>
    </w:p>
    <w:p w14:paraId="63F3CC50" w14:textId="77777777" w:rsidR="00E24AA1" w:rsidRDefault="00E24AA1" w:rsidP="00E24AA1">
      <w:pPr>
        <w:pStyle w:val="Baseparagraphcentred"/>
      </w:pPr>
      <w:r>
        <w:t>THE PARLIAMENT OF THE COMMONWEALTH OF AUSTRALIA</w:t>
      </w:r>
    </w:p>
    <w:p w14:paraId="1AF20B2E" w14:textId="77777777" w:rsidR="00E24AA1" w:rsidRDefault="00E24AA1" w:rsidP="00E24AA1">
      <w:pPr>
        <w:pStyle w:val="Baseparagraphcentred"/>
      </w:pPr>
    </w:p>
    <w:p w14:paraId="52A3AFB0" w14:textId="77777777" w:rsidR="00E24AA1" w:rsidRDefault="00E24AA1" w:rsidP="00E24AA1">
      <w:pPr>
        <w:pStyle w:val="Baseparagraphcentred"/>
      </w:pPr>
    </w:p>
    <w:p w14:paraId="6C97D3D1" w14:textId="77777777" w:rsidR="00E24AA1" w:rsidRDefault="00E24AA1" w:rsidP="00E24AA1">
      <w:pPr>
        <w:pStyle w:val="Baseparagraphcentred"/>
      </w:pPr>
    </w:p>
    <w:p w14:paraId="17A5F3D0" w14:textId="4CFDE1E4" w:rsidR="00E24AA1" w:rsidRDefault="006A0402" w:rsidP="00E24AA1">
      <w:pPr>
        <w:pStyle w:val="Baseparagraphcentred"/>
      </w:pPr>
      <w:r>
        <w:t>HOUSE OF REPRESENTATIVES</w:t>
      </w:r>
    </w:p>
    <w:p w14:paraId="548721D7" w14:textId="77777777" w:rsidR="00E24AA1" w:rsidRDefault="00E24AA1" w:rsidP="00E24AA1">
      <w:pPr>
        <w:pStyle w:val="Baseparagraphcentred"/>
      </w:pPr>
    </w:p>
    <w:p w14:paraId="5F2A268C" w14:textId="77777777" w:rsidR="00E24AA1" w:rsidRDefault="00E24AA1" w:rsidP="00E24AA1">
      <w:pPr>
        <w:pStyle w:val="Baseparagraphcentred"/>
      </w:pPr>
    </w:p>
    <w:p w14:paraId="6F15A2D9" w14:textId="77777777" w:rsidR="00E24AA1" w:rsidRDefault="00E24AA1" w:rsidP="00E24AA1">
      <w:pPr>
        <w:pStyle w:val="Baseparagraphcentred"/>
        <w:pBdr>
          <w:bottom w:val="single" w:sz="4" w:space="1" w:color="auto"/>
        </w:pBdr>
      </w:pPr>
    </w:p>
    <w:p w14:paraId="2C153E71" w14:textId="54B7D535" w:rsidR="00E24AA1" w:rsidRPr="00E24AA1" w:rsidRDefault="00BE7CA6" w:rsidP="00E24AA1">
      <w:pPr>
        <w:pStyle w:val="BillName"/>
      </w:pPr>
      <w:bookmarkStart w:id="6" w:name="BillName"/>
      <w:bookmarkEnd w:id="6"/>
      <w:r>
        <w:t>Treasury Laws Amendment (Measures for Consultation) Bill 2022: sustainability standards</w:t>
      </w:r>
    </w:p>
    <w:p w14:paraId="46094633" w14:textId="77777777" w:rsidR="00E24AA1" w:rsidRDefault="00E24AA1" w:rsidP="00E24AA1">
      <w:pPr>
        <w:pStyle w:val="Baseparagraphcentred"/>
        <w:pBdr>
          <w:top w:val="single" w:sz="4" w:space="1" w:color="auto"/>
        </w:pBdr>
      </w:pPr>
    </w:p>
    <w:p w14:paraId="6CD6E180" w14:textId="77777777" w:rsidR="00E24AA1" w:rsidRDefault="00E24AA1" w:rsidP="00E24AA1">
      <w:pPr>
        <w:pStyle w:val="Baseparagraphcentred"/>
      </w:pPr>
    </w:p>
    <w:p w14:paraId="0A95D693" w14:textId="77777777" w:rsidR="00E24AA1" w:rsidRDefault="00E24AA1" w:rsidP="00E24AA1">
      <w:pPr>
        <w:pStyle w:val="Baseparagraphcentred"/>
      </w:pPr>
    </w:p>
    <w:p w14:paraId="31558E9C" w14:textId="77777777" w:rsidR="00E24AA1" w:rsidRDefault="00E24AA1" w:rsidP="00E24AA1">
      <w:pPr>
        <w:pStyle w:val="Baseparagraphcentred"/>
      </w:pPr>
    </w:p>
    <w:p w14:paraId="73D9BE85" w14:textId="77777777" w:rsidR="002950B8" w:rsidRDefault="002950B8" w:rsidP="00E24AA1">
      <w:pPr>
        <w:pStyle w:val="Baseparagraphcentred"/>
      </w:pPr>
      <w:r>
        <w:t>EXPOSURE DRAFT EXPLANATORY MATERIALS</w:t>
      </w:r>
    </w:p>
    <w:p w14:paraId="2CD186D4" w14:textId="77777777" w:rsidR="00E24AA1" w:rsidRDefault="00E24AA1" w:rsidP="00E24AA1">
      <w:pPr>
        <w:pStyle w:val="Baseparagraphcentred"/>
      </w:pPr>
    </w:p>
    <w:p w14:paraId="7D2E3ACB" w14:textId="77777777" w:rsidR="00E24AA1" w:rsidRDefault="00E24AA1" w:rsidP="00E24AA1">
      <w:pPr>
        <w:pStyle w:val="Baseparagraphcentred"/>
      </w:pPr>
    </w:p>
    <w:p w14:paraId="71927E65" w14:textId="77777777" w:rsidR="00E24AA1" w:rsidRDefault="00E24AA1" w:rsidP="00E24AA1">
      <w:pPr>
        <w:pStyle w:val="ParaCentredNoSpacing"/>
      </w:pPr>
    </w:p>
    <w:p w14:paraId="1C07E440" w14:textId="77777777" w:rsidR="00E24AA1" w:rsidRPr="00967273" w:rsidRDefault="00E24AA1" w:rsidP="00E24AA1">
      <w:pPr>
        <w:pStyle w:val="Normalparatextnonumbers"/>
        <w:jc w:val="center"/>
        <w:rPr>
          <w:rFonts w:cs="Calibri"/>
          <w:color w:val="000000" w:themeColor="text1"/>
        </w:rPr>
      </w:pPr>
    </w:p>
    <w:p w14:paraId="35CBB453" w14:textId="77777777" w:rsidR="00873094" w:rsidRDefault="00873094" w:rsidP="00873094">
      <w:pPr>
        <w:pStyle w:val="Normalparatextnonumbers"/>
      </w:pPr>
    </w:p>
    <w:p w14:paraId="62D1AD64" w14:textId="77777777" w:rsidR="00E24AA1" w:rsidRPr="00020288" w:rsidRDefault="00E24AA1" w:rsidP="00873094">
      <w:pPr>
        <w:pStyle w:val="Normalparatextnonumbers"/>
      </w:pPr>
    </w:p>
    <w:p w14:paraId="20F5BBFB" w14:textId="77777777" w:rsidR="00873094" w:rsidRPr="00020288" w:rsidRDefault="00873094" w:rsidP="00873094">
      <w:pPr>
        <w:pStyle w:val="TOC1"/>
        <w:sectPr w:rsidR="00873094" w:rsidRPr="00020288" w:rsidSect="00000BFC">
          <w:footerReference w:type="even" r:id="rId13"/>
          <w:footerReference w:type="default" r:id="rId14"/>
          <w:headerReference w:type="first" r:id="rId15"/>
          <w:footerReference w:type="first" r:id="rId16"/>
          <w:type w:val="oddPage"/>
          <w:pgSz w:w="9979" w:h="14175" w:code="138"/>
          <w:pgMar w:top="567" w:right="1134" w:bottom="567" w:left="1134" w:header="709" w:footer="709" w:gutter="0"/>
          <w:cols w:space="708"/>
          <w:titlePg/>
          <w:docGrid w:linePitch="360"/>
        </w:sectPr>
      </w:pPr>
    </w:p>
    <w:p w14:paraId="0E39602E"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38620E6A" w14:textId="38CDFC33" w:rsidR="002950B8" w:rsidRDefault="00873094" w:rsidP="002950B8">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2950B8">
        <w:rPr>
          <w:noProof/>
        </w:rPr>
        <w:t>Glossary</w:t>
      </w:r>
      <w:r w:rsidR="002950B8">
        <w:rPr>
          <w:noProof/>
        </w:rPr>
        <w:tab/>
      </w:r>
      <w:r w:rsidR="002950B8">
        <w:rPr>
          <w:noProof/>
        </w:rPr>
        <w:fldChar w:fldCharType="begin"/>
      </w:r>
      <w:r w:rsidR="002950B8">
        <w:rPr>
          <w:noProof/>
        </w:rPr>
        <w:instrText xml:space="preserve"> PAGEREF _Toc119583931 \h </w:instrText>
      </w:r>
      <w:r w:rsidR="002950B8">
        <w:rPr>
          <w:noProof/>
        </w:rPr>
      </w:r>
      <w:r w:rsidR="002950B8">
        <w:rPr>
          <w:noProof/>
        </w:rPr>
        <w:fldChar w:fldCharType="separate"/>
      </w:r>
      <w:r w:rsidR="002950B8">
        <w:rPr>
          <w:noProof/>
        </w:rPr>
        <w:t>iii</w:t>
      </w:r>
      <w:r w:rsidR="002950B8">
        <w:rPr>
          <w:noProof/>
        </w:rPr>
        <w:fldChar w:fldCharType="end"/>
      </w:r>
    </w:p>
    <w:p w14:paraId="24CFCD1B" w14:textId="742F42F3" w:rsidR="002950B8" w:rsidRDefault="002950B8" w:rsidP="002950B8">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27216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Function to develop sustainability standards</w:t>
      </w:r>
      <w:r>
        <w:rPr>
          <w:noProof/>
        </w:rPr>
        <w:tab/>
      </w:r>
      <w:r>
        <w:rPr>
          <w:noProof/>
        </w:rPr>
        <w:fldChar w:fldCharType="begin"/>
      </w:r>
      <w:r>
        <w:rPr>
          <w:noProof/>
        </w:rPr>
        <w:instrText xml:space="preserve"> PAGEREF _Toc119583932 \h </w:instrText>
      </w:r>
      <w:r>
        <w:rPr>
          <w:noProof/>
        </w:rPr>
      </w:r>
      <w:r>
        <w:rPr>
          <w:noProof/>
        </w:rPr>
        <w:fldChar w:fldCharType="separate"/>
      </w:r>
      <w:r>
        <w:rPr>
          <w:noProof/>
        </w:rPr>
        <w:t>5</w:t>
      </w:r>
      <w:r>
        <w:rPr>
          <w:noProof/>
        </w:rPr>
        <w:fldChar w:fldCharType="end"/>
      </w:r>
    </w:p>
    <w:p w14:paraId="555AB5F8" w14:textId="77777777" w:rsidR="00873094" w:rsidRPr="00020288" w:rsidRDefault="00873094" w:rsidP="00BC2E4A">
      <w:pPr>
        <w:pStyle w:val="TOC1"/>
      </w:pPr>
      <w:r w:rsidRPr="00BC2E4A">
        <w:fldChar w:fldCharType="end"/>
      </w:r>
    </w:p>
    <w:p w14:paraId="183EF482" w14:textId="77777777" w:rsidR="00873094" w:rsidRPr="00020288" w:rsidRDefault="00873094" w:rsidP="00873094"/>
    <w:p w14:paraId="4236ED87" w14:textId="77777777" w:rsidR="00873094" w:rsidRPr="00020288" w:rsidRDefault="00873094" w:rsidP="00873094"/>
    <w:p w14:paraId="504326C3" w14:textId="77777777" w:rsidR="00873094" w:rsidRPr="00020288" w:rsidRDefault="00873094" w:rsidP="00873094">
      <w:p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start="1"/>
          <w:cols w:space="708"/>
          <w:titlePg/>
          <w:docGrid w:linePitch="360"/>
        </w:sectPr>
      </w:pPr>
    </w:p>
    <w:p w14:paraId="3B32F50F"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9583931"/>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CF021B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4E8931F" w14:textId="77777777" w:rsidTr="002425D9">
        <w:tc>
          <w:tcPr>
            <w:tcW w:w="3776" w:type="dxa"/>
            <w:shd w:val="clear" w:color="auto" w:fill="auto"/>
          </w:tcPr>
          <w:p w14:paraId="1349EDC1"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1632C627" w14:textId="77777777" w:rsidR="00873094" w:rsidRPr="002E7A73" w:rsidRDefault="00873094" w:rsidP="00B7393A">
            <w:pPr>
              <w:pStyle w:val="Tableheaderrowtext"/>
            </w:pPr>
            <w:r w:rsidRPr="002E7A73">
              <w:t>Definition</w:t>
            </w:r>
          </w:p>
        </w:tc>
      </w:tr>
      <w:tr w:rsidR="00873094" w:rsidRPr="00020288" w14:paraId="5E1A08C3" w14:textId="77777777" w:rsidTr="002425D9">
        <w:tc>
          <w:tcPr>
            <w:tcW w:w="3776" w:type="dxa"/>
          </w:tcPr>
          <w:p w14:paraId="5960D4A4" w14:textId="2EA80746" w:rsidR="00873094" w:rsidRPr="00020288" w:rsidRDefault="00B80E25" w:rsidP="002425D9">
            <w:pPr>
              <w:pStyle w:val="Normalparatextnonumbers"/>
            </w:pPr>
            <w:r>
              <w:t>AASB</w:t>
            </w:r>
          </w:p>
        </w:tc>
        <w:tc>
          <w:tcPr>
            <w:tcW w:w="3874" w:type="dxa"/>
          </w:tcPr>
          <w:p w14:paraId="72CA833F" w14:textId="5C033144" w:rsidR="00873094" w:rsidRPr="00020288" w:rsidRDefault="00B80E25" w:rsidP="002425D9">
            <w:pPr>
              <w:pStyle w:val="Normalparatextnonumbers"/>
            </w:pPr>
            <w:r>
              <w:t>The Australian Accounting Standards Board</w:t>
            </w:r>
          </w:p>
        </w:tc>
      </w:tr>
      <w:tr w:rsidR="00B02C72" w:rsidRPr="00020288" w14:paraId="5CCE7F9C" w14:textId="77777777" w:rsidTr="002425D9">
        <w:tc>
          <w:tcPr>
            <w:tcW w:w="3776" w:type="dxa"/>
          </w:tcPr>
          <w:p w14:paraId="5B71A7E8" w14:textId="7EDAF030" w:rsidR="00B02C72" w:rsidRDefault="00B02C72" w:rsidP="00B02C72">
            <w:pPr>
              <w:pStyle w:val="Normalparatextnonumbers"/>
            </w:pPr>
            <w:r>
              <w:t>ASIC Act</w:t>
            </w:r>
          </w:p>
        </w:tc>
        <w:tc>
          <w:tcPr>
            <w:tcW w:w="3874" w:type="dxa"/>
          </w:tcPr>
          <w:p w14:paraId="32435988" w14:textId="79A12761" w:rsidR="00B02C72" w:rsidRDefault="00B02C72" w:rsidP="00B02C72">
            <w:pPr>
              <w:pStyle w:val="Normalparatextnonumbers"/>
            </w:pPr>
            <w:r w:rsidRPr="008839D0">
              <w:rPr>
                <w:i/>
                <w:iCs/>
              </w:rPr>
              <w:t>Australian Securities and Investment</w:t>
            </w:r>
            <w:r w:rsidR="00E044CF">
              <w:rPr>
                <w:i/>
                <w:iCs/>
              </w:rPr>
              <w:t>s</w:t>
            </w:r>
            <w:r w:rsidRPr="008839D0">
              <w:rPr>
                <w:i/>
                <w:iCs/>
              </w:rPr>
              <w:t xml:space="preserve"> Commission Act 2001</w:t>
            </w:r>
          </w:p>
        </w:tc>
      </w:tr>
      <w:tr w:rsidR="00873094" w:rsidRPr="00020288" w14:paraId="5FA52DDF" w14:textId="77777777" w:rsidTr="002425D9">
        <w:tc>
          <w:tcPr>
            <w:tcW w:w="3776" w:type="dxa"/>
          </w:tcPr>
          <w:p w14:paraId="27CF0ADD" w14:textId="24039154" w:rsidR="00873094" w:rsidRPr="00020288" w:rsidRDefault="00B80E25" w:rsidP="002425D9">
            <w:pPr>
              <w:pStyle w:val="Normalparatextnonumbers"/>
            </w:pPr>
            <w:r>
              <w:t>AUASB</w:t>
            </w:r>
          </w:p>
        </w:tc>
        <w:tc>
          <w:tcPr>
            <w:tcW w:w="3874" w:type="dxa"/>
          </w:tcPr>
          <w:p w14:paraId="4CE09AF3" w14:textId="4397EC77" w:rsidR="00873094" w:rsidRPr="00020288" w:rsidRDefault="00B80E25" w:rsidP="002425D9">
            <w:pPr>
              <w:pStyle w:val="Normalparatextnonumbers"/>
            </w:pPr>
            <w:r>
              <w:t>The Auditing and Assurance Standards Board</w:t>
            </w:r>
          </w:p>
        </w:tc>
      </w:tr>
      <w:tr w:rsidR="00873094" w:rsidRPr="00020288" w14:paraId="5E9E43E1" w14:textId="77777777" w:rsidTr="002425D9">
        <w:tc>
          <w:tcPr>
            <w:tcW w:w="3776" w:type="dxa"/>
          </w:tcPr>
          <w:p w14:paraId="5EDDBCCB" w14:textId="19B89FAB" w:rsidR="00873094" w:rsidRPr="00020288" w:rsidRDefault="00B80E25" w:rsidP="002425D9">
            <w:pPr>
              <w:pStyle w:val="Normalparatextnonumbers"/>
            </w:pPr>
            <w:r>
              <w:t>FRC</w:t>
            </w:r>
          </w:p>
        </w:tc>
        <w:tc>
          <w:tcPr>
            <w:tcW w:w="3874" w:type="dxa"/>
          </w:tcPr>
          <w:p w14:paraId="7BA0B074" w14:textId="1A69EDE9" w:rsidR="00873094" w:rsidRPr="00020288" w:rsidRDefault="00B80E25" w:rsidP="002425D9">
            <w:pPr>
              <w:pStyle w:val="Normalparatextnonumbers"/>
            </w:pPr>
            <w:r>
              <w:t>The Financial Reporting Council</w:t>
            </w:r>
          </w:p>
        </w:tc>
      </w:tr>
      <w:tr w:rsidR="00873094" w:rsidRPr="00020288" w14:paraId="3E25F41E" w14:textId="77777777" w:rsidTr="002425D9">
        <w:tc>
          <w:tcPr>
            <w:tcW w:w="3776" w:type="dxa"/>
          </w:tcPr>
          <w:p w14:paraId="789F04BF" w14:textId="61FA4887" w:rsidR="00873094" w:rsidRPr="00020288" w:rsidRDefault="009F66E0" w:rsidP="002425D9">
            <w:pPr>
              <w:pStyle w:val="Normalparatextnonumbers"/>
            </w:pPr>
            <w:r>
              <w:t>ISSB</w:t>
            </w:r>
          </w:p>
        </w:tc>
        <w:tc>
          <w:tcPr>
            <w:tcW w:w="3874" w:type="dxa"/>
          </w:tcPr>
          <w:p w14:paraId="078616D1" w14:textId="6E80C957" w:rsidR="00873094" w:rsidRPr="00020288" w:rsidRDefault="00E003C6" w:rsidP="002425D9">
            <w:pPr>
              <w:pStyle w:val="Normalparatextnonumbers"/>
            </w:pPr>
            <w:r>
              <w:t xml:space="preserve">The </w:t>
            </w:r>
            <w:r w:rsidR="009F66E0" w:rsidRPr="00752339">
              <w:t>International Sustainability Standards Board</w:t>
            </w:r>
          </w:p>
        </w:tc>
      </w:tr>
      <w:tr w:rsidR="00873094" w:rsidRPr="00020288" w14:paraId="40A8DB3F" w14:textId="77777777" w:rsidTr="002425D9">
        <w:tc>
          <w:tcPr>
            <w:tcW w:w="3776" w:type="dxa"/>
          </w:tcPr>
          <w:p w14:paraId="5112F279" w14:textId="692D221E" w:rsidR="00873094" w:rsidRPr="00020288" w:rsidRDefault="009F66E0" w:rsidP="002425D9">
            <w:pPr>
              <w:pStyle w:val="Normalparatextnonumbers"/>
            </w:pPr>
            <w:r>
              <w:t>IFR</w:t>
            </w:r>
            <w:r w:rsidR="001465C6">
              <w:t xml:space="preserve">S </w:t>
            </w:r>
            <w:r w:rsidR="00E809B2">
              <w:t>Foundation</w:t>
            </w:r>
          </w:p>
        </w:tc>
        <w:tc>
          <w:tcPr>
            <w:tcW w:w="3874" w:type="dxa"/>
          </w:tcPr>
          <w:p w14:paraId="5EECE20C" w14:textId="55EDF111" w:rsidR="00873094" w:rsidRPr="00020288" w:rsidRDefault="00E003C6" w:rsidP="002425D9">
            <w:pPr>
              <w:pStyle w:val="Normalparatextnonumbers"/>
            </w:pPr>
            <w:r>
              <w:t xml:space="preserve">The </w:t>
            </w:r>
            <w:r w:rsidR="009F66E0" w:rsidRPr="009F66E0">
              <w:t>International Financial Reporting Standards Foundation</w:t>
            </w:r>
          </w:p>
        </w:tc>
      </w:tr>
    </w:tbl>
    <w:p w14:paraId="101D718C" w14:textId="77777777" w:rsidR="00873094" w:rsidRPr="00020288" w:rsidRDefault="00873094" w:rsidP="00873094"/>
    <w:p w14:paraId="53CC8811" w14:textId="77777777" w:rsidR="00873094" w:rsidRPr="00020288" w:rsidRDefault="00873094" w:rsidP="00873094"/>
    <w:p w14:paraId="688CD8CD" w14:textId="77777777" w:rsidR="00873094" w:rsidRPr="00020288" w:rsidRDefault="00873094" w:rsidP="00873094">
      <w:pPr>
        <w:pStyle w:val="Heading1"/>
        <w:sectPr w:rsidR="00873094" w:rsidRPr="00020288" w:rsidSect="00000BFC">
          <w:headerReference w:type="even" r:id="rId21"/>
          <w:headerReference w:type="default" r:id="rId22"/>
          <w:headerReference w:type="first" r:id="rId23"/>
          <w:footerReference w:type="first" r:id="rId24"/>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009EDBDA" w14:textId="74DB8AA1" w:rsidR="00873094" w:rsidRPr="0073326A" w:rsidRDefault="00105FAA" w:rsidP="00777A92">
      <w:pPr>
        <w:pStyle w:val="Chapterheading"/>
      </w:pPr>
      <w:bookmarkStart w:id="40" w:name="GeneralOutline"/>
      <w:bookmarkStart w:id="41" w:name="_Toc119583932"/>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Function to develop sustainability standards</w:t>
      </w:r>
      <w:bookmarkEnd w:id="41"/>
      <w:r>
        <w:t xml:space="preserve"> </w:t>
      </w:r>
    </w:p>
    <w:p w14:paraId="6015B01F" w14:textId="6E03F887" w:rsidR="00873094" w:rsidRDefault="0093528D" w:rsidP="00561EE2">
      <w:pPr>
        <w:pStyle w:val="Heading2"/>
      </w:pPr>
      <w:bookmarkStart w:id="42" w:name="Chapter1"/>
      <w:r>
        <w:t xml:space="preserve">Table of Contents: </w:t>
      </w:r>
    </w:p>
    <w:p w14:paraId="1F6768CF" w14:textId="1A9061DA" w:rsidR="002950B8" w:rsidRDefault="0093528D">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2950B8">
        <w:t>Outline of chapter</w:t>
      </w:r>
      <w:r w:rsidR="002950B8">
        <w:rPr>
          <w:webHidden/>
        </w:rPr>
        <w:tab/>
      </w:r>
      <w:r w:rsidR="002950B8">
        <w:rPr>
          <w:webHidden/>
        </w:rPr>
        <w:fldChar w:fldCharType="begin"/>
      </w:r>
      <w:r w:rsidR="002950B8">
        <w:rPr>
          <w:webHidden/>
        </w:rPr>
        <w:instrText xml:space="preserve"> PAGEREF _Toc119583936 \h </w:instrText>
      </w:r>
      <w:r w:rsidR="002950B8">
        <w:rPr>
          <w:webHidden/>
        </w:rPr>
      </w:r>
      <w:r w:rsidR="002950B8">
        <w:rPr>
          <w:webHidden/>
        </w:rPr>
        <w:fldChar w:fldCharType="separate"/>
      </w:r>
      <w:r w:rsidR="00D54F7F">
        <w:rPr>
          <w:webHidden/>
        </w:rPr>
        <w:t>5</w:t>
      </w:r>
      <w:r w:rsidR="002950B8">
        <w:rPr>
          <w:webHidden/>
        </w:rPr>
        <w:fldChar w:fldCharType="end"/>
      </w:r>
    </w:p>
    <w:p w14:paraId="5D2C9A99" w14:textId="0CEFF4B9" w:rsidR="002950B8" w:rsidRDefault="002950B8">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_Toc119583937 \h </w:instrText>
      </w:r>
      <w:r>
        <w:rPr>
          <w:webHidden/>
        </w:rPr>
      </w:r>
      <w:r>
        <w:rPr>
          <w:webHidden/>
        </w:rPr>
        <w:fldChar w:fldCharType="separate"/>
      </w:r>
      <w:r w:rsidR="00D54F7F">
        <w:rPr>
          <w:webHidden/>
        </w:rPr>
        <w:t>5</w:t>
      </w:r>
      <w:r>
        <w:rPr>
          <w:webHidden/>
        </w:rPr>
        <w:fldChar w:fldCharType="end"/>
      </w:r>
    </w:p>
    <w:p w14:paraId="1333D1C7" w14:textId="54F2D50A" w:rsidR="002950B8" w:rsidRDefault="002950B8">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_Toc119583938 \h </w:instrText>
      </w:r>
      <w:r>
        <w:rPr>
          <w:webHidden/>
        </w:rPr>
      </w:r>
      <w:r>
        <w:rPr>
          <w:webHidden/>
        </w:rPr>
        <w:fldChar w:fldCharType="separate"/>
      </w:r>
      <w:r w:rsidR="00D54F7F">
        <w:rPr>
          <w:webHidden/>
        </w:rPr>
        <w:t>6</w:t>
      </w:r>
      <w:r>
        <w:rPr>
          <w:webHidden/>
        </w:rPr>
        <w:fldChar w:fldCharType="end"/>
      </w:r>
    </w:p>
    <w:p w14:paraId="46036BE0" w14:textId="7484107D" w:rsidR="002950B8" w:rsidRDefault="002950B8">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_Toc119583939 \h </w:instrText>
      </w:r>
      <w:r>
        <w:rPr>
          <w:webHidden/>
        </w:rPr>
      </w:r>
      <w:r>
        <w:rPr>
          <w:webHidden/>
        </w:rPr>
        <w:fldChar w:fldCharType="separate"/>
      </w:r>
      <w:r w:rsidR="00D54F7F">
        <w:rPr>
          <w:webHidden/>
        </w:rPr>
        <w:t>7</w:t>
      </w:r>
      <w:r>
        <w:rPr>
          <w:webHidden/>
        </w:rPr>
        <w:fldChar w:fldCharType="end"/>
      </w:r>
    </w:p>
    <w:p w14:paraId="0C4E4D24" w14:textId="16FF2DF0" w:rsidR="002950B8" w:rsidRDefault="002950B8">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_Toc119583940 \h </w:instrText>
      </w:r>
      <w:r>
        <w:rPr>
          <w:webHidden/>
        </w:rPr>
      </w:r>
      <w:r>
        <w:rPr>
          <w:webHidden/>
        </w:rPr>
        <w:fldChar w:fldCharType="separate"/>
      </w:r>
      <w:r w:rsidR="00D54F7F">
        <w:rPr>
          <w:webHidden/>
        </w:rPr>
        <w:t>7</w:t>
      </w:r>
      <w:r>
        <w:rPr>
          <w:webHidden/>
        </w:rPr>
        <w:fldChar w:fldCharType="end"/>
      </w:r>
    </w:p>
    <w:p w14:paraId="32F20C9C" w14:textId="3B417B51" w:rsidR="002950B8" w:rsidRDefault="002950B8">
      <w:pPr>
        <w:pStyle w:val="TOC3"/>
        <w:rPr>
          <w:rFonts w:asciiTheme="minorHAnsi" w:eastAsiaTheme="minorEastAsia" w:hAnsiTheme="minorHAnsi" w:cstheme="minorBidi"/>
          <w:iCs w:val="0"/>
          <w:noProof/>
          <w:sz w:val="22"/>
          <w:szCs w:val="22"/>
          <w:lang w:eastAsia="en-AU"/>
        </w:rPr>
      </w:pPr>
      <w:r>
        <w:rPr>
          <w:noProof/>
        </w:rPr>
        <w:t>Objects of the financial reporting system</w:t>
      </w:r>
      <w:r>
        <w:rPr>
          <w:noProof/>
          <w:webHidden/>
        </w:rPr>
        <w:tab/>
      </w:r>
      <w:r>
        <w:rPr>
          <w:noProof/>
          <w:webHidden/>
        </w:rPr>
        <w:fldChar w:fldCharType="begin"/>
      </w:r>
      <w:r>
        <w:rPr>
          <w:noProof/>
          <w:webHidden/>
        </w:rPr>
        <w:instrText xml:space="preserve"> PAGEREF _Toc119583941 \h </w:instrText>
      </w:r>
      <w:r>
        <w:rPr>
          <w:noProof/>
          <w:webHidden/>
        </w:rPr>
      </w:r>
      <w:r>
        <w:rPr>
          <w:noProof/>
          <w:webHidden/>
        </w:rPr>
        <w:fldChar w:fldCharType="separate"/>
      </w:r>
      <w:r w:rsidR="00D54F7F">
        <w:rPr>
          <w:noProof/>
          <w:webHidden/>
        </w:rPr>
        <w:t>7</w:t>
      </w:r>
      <w:r>
        <w:rPr>
          <w:noProof/>
          <w:webHidden/>
        </w:rPr>
        <w:fldChar w:fldCharType="end"/>
      </w:r>
    </w:p>
    <w:p w14:paraId="0ADA8ECC" w14:textId="4C675912" w:rsidR="002950B8" w:rsidRDefault="002950B8">
      <w:pPr>
        <w:pStyle w:val="TOC3"/>
        <w:rPr>
          <w:rFonts w:asciiTheme="minorHAnsi" w:eastAsiaTheme="minorEastAsia" w:hAnsiTheme="minorHAnsi" w:cstheme="minorBidi"/>
          <w:iCs w:val="0"/>
          <w:noProof/>
          <w:sz w:val="22"/>
          <w:szCs w:val="22"/>
          <w:lang w:eastAsia="en-AU"/>
        </w:rPr>
      </w:pPr>
      <w:r>
        <w:rPr>
          <w:noProof/>
        </w:rPr>
        <w:t>The role of the AASB</w:t>
      </w:r>
      <w:r>
        <w:rPr>
          <w:noProof/>
          <w:webHidden/>
        </w:rPr>
        <w:tab/>
      </w:r>
      <w:r>
        <w:rPr>
          <w:noProof/>
          <w:webHidden/>
        </w:rPr>
        <w:fldChar w:fldCharType="begin"/>
      </w:r>
      <w:r>
        <w:rPr>
          <w:noProof/>
          <w:webHidden/>
        </w:rPr>
        <w:instrText xml:space="preserve"> PAGEREF _Toc119583942 \h </w:instrText>
      </w:r>
      <w:r>
        <w:rPr>
          <w:noProof/>
          <w:webHidden/>
        </w:rPr>
      </w:r>
      <w:r>
        <w:rPr>
          <w:noProof/>
          <w:webHidden/>
        </w:rPr>
        <w:fldChar w:fldCharType="separate"/>
      </w:r>
      <w:r w:rsidR="00D54F7F">
        <w:rPr>
          <w:noProof/>
          <w:webHidden/>
        </w:rPr>
        <w:t>8</w:t>
      </w:r>
      <w:r>
        <w:rPr>
          <w:noProof/>
          <w:webHidden/>
        </w:rPr>
        <w:fldChar w:fldCharType="end"/>
      </w:r>
    </w:p>
    <w:p w14:paraId="7DA4DE94" w14:textId="72BE913D" w:rsidR="002950B8" w:rsidRDefault="002950B8">
      <w:pPr>
        <w:pStyle w:val="TOC3"/>
        <w:rPr>
          <w:rFonts w:asciiTheme="minorHAnsi" w:eastAsiaTheme="minorEastAsia" w:hAnsiTheme="minorHAnsi" w:cstheme="minorBidi"/>
          <w:iCs w:val="0"/>
          <w:noProof/>
          <w:sz w:val="22"/>
          <w:szCs w:val="22"/>
          <w:lang w:eastAsia="en-AU"/>
        </w:rPr>
      </w:pPr>
      <w:r>
        <w:rPr>
          <w:noProof/>
        </w:rPr>
        <w:t>The role of the AUASB</w:t>
      </w:r>
      <w:r>
        <w:rPr>
          <w:noProof/>
          <w:webHidden/>
        </w:rPr>
        <w:tab/>
      </w:r>
      <w:r>
        <w:rPr>
          <w:noProof/>
          <w:webHidden/>
        </w:rPr>
        <w:fldChar w:fldCharType="begin"/>
      </w:r>
      <w:r>
        <w:rPr>
          <w:noProof/>
          <w:webHidden/>
        </w:rPr>
        <w:instrText xml:space="preserve"> PAGEREF _Toc119583943 \h </w:instrText>
      </w:r>
      <w:r>
        <w:rPr>
          <w:noProof/>
          <w:webHidden/>
        </w:rPr>
      </w:r>
      <w:r>
        <w:rPr>
          <w:noProof/>
          <w:webHidden/>
        </w:rPr>
        <w:fldChar w:fldCharType="separate"/>
      </w:r>
      <w:r w:rsidR="00D54F7F">
        <w:rPr>
          <w:noProof/>
          <w:webHidden/>
        </w:rPr>
        <w:t>10</w:t>
      </w:r>
      <w:r>
        <w:rPr>
          <w:noProof/>
          <w:webHidden/>
        </w:rPr>
        <w:fldChar w:fldCharType="end"/>
      </w:r>
    </w:p>
    <w:p w14:paraId="38FBD5FE" w14:textId="326A171F" w:rsidR="002950B8" w:rsidRDefault="002950B8">
      <w:pPr>
        <w:pStyle w:val="TOC3"/>
        <w:rPr>
          <w:rFonts w:asciiTheme="minorHAnsi" w:eastAsiaTheme="minorEastAsia" w:hAnsiTheme="minorHAnsi" w:cstheme="minorBidi"/>
          <w:iCs w:val="0"/>
          <w:noProof/>
          <w:sz w:val="22"/>
          <w:szCs w:val="22"/>
          <w:lang w:eastAsia="en-AU"/>
        </w:rPr>
      </w:pPr>
      <w:r>
        <w:rPr>
          <w:noProof/>
        </w:rPr>
        <w:t>The role of the FRC</w:t>
      </w:r>
      <w:r>
        <w:rPr>
          <w:noProof/>
          <w:webHidden/>
        </w:rPr>
        <w:tab/>
      </w:r>
      <w:r>
        <w:rPr>
          <w:noProof/>
          <w:webHidden/>
        </w:rPr>
        <w:fldChar w:fldCharType="begin"/>
      </w:r>
      <w:r>
        <w:rPr>
          <w:noProof/>
          <w:webHidden/>
        </w:rPr>
        <w:instrText xml:space="preserve"> PAGEREF _Toc119583944 \h </w:instrText>
      </w:r>
      <w:r>
        <w:rPr>
          <w:noProof/>
          <w:webHidden/>
        </w:rPr>
      </w:r>
      <w:r>
        <w:rPr>
          <w:noProof/>
          <w:webHidden/>
        </w:rPr>
        <w:fldChar w:fldCharType="separate"/>
      </w:r>
      <w:r w:rsidR="00D54F7F">
        <w:rPr>
          <w:noProof/>
          <w:webHidden/>
        </w:rPr>
        <w:t>10</w:t>
      </w:r>
      <w:r>
        <w:rPr>
          <w:noProof/>
          <w:webHidden/>
        </w:rPr>
        <w:fldChar w:fldCharType="end"/>
      </w:r>
    </w:p>
    <w:p w14:paraId="304D3F6D" w14:textId="1B9DFCD5" w:rsidR="002950B8" w:rsidRDefault="002950B8">
      <w:pPr>
        <w:pStyle w:val="TOC3"/>
        <w:rPr>
          <w:rFonts w:asciiTheme="minorHAnsi" w:eastAsiaTheme="minorEastAsia" w:hAnsiTheme="minorHAnsi" w:cstheme="minorBidi"/>
          <w:iCs w:val="0"/>
          <w:noProof/>
          <w:sz w:val="22"/>
          <w:szCs w:val="22"/>
          <w:lang w:eastAsia="en-AU"/>
        </w:rPr>
      </w:pPr>
      <w:r>
        <w:rPr>
          <w:noProof/>
        </w:rPr>
        <w:t>Confidentiality</w:t>
      </w:r>
      <w:r>
        <w:rPr>
          <w:noProof/>
          <w:webHidden/>
        </w:rPr>
        <w:tab/>
      </w:r>
      <w:r>
        <w:rPr>
          <w:noProof/>
          <w:webHidden/>
        </w:rPr>
        <w:fldChar w:fldCharType="begin"/>
      </w:r>
      <w:r>
        <w:rPr>
          <w:noProof/>
          <w:webHidden/>
        </w:rPr>
        <w:instrText xml:space="preserve"> PAGEREF _Toc119583945 \h </w:instrText>
      </w:r>
      <w:r>
        <w:rPr>
          <w:noProof/>
          <w:webHidden/>
        </w:rPr>
      </w:r>
      <w:r>
        <w:rPr>
          <w:noProof/>
          <w:webHidden/>
        </w:rPr>
        <w:fldChar w:fldCharType="separate"/>
      </w:r>
      <w:r w:rsidR="00D54F7F">
        <w:rPr>
          <w:noProof/>
          <w:webHidden/>
        </w:rPr>
        <w:t>10</w:t>
      </w:r>
      <w:r>
        <w:rPr>
          <w:noProof/>
          <w:webHidden/>
        </w:rPr>
        <w:fldChar w:fldCharType="end"/>
      </w:r>
    </w:p>
    <w:p w14:paraId="1E86FD62" w14:textId="746E915E" w:rsidR="002950B8" w:rsidRDefault="002950B8">
      <w:pPr>
        <w:pStyle w:val="TOC2"/>
        <w:rPr>
          <w:rFonts w:asciiTheme="minorHAnsi" w:eastAsiaTheme="minorEastAsia" w:hAnsiTheme="minorHAnsi"/>
          <w:sz w:val="22"/>
          <w:lang w:eastAsia="en-AU"/>
        </w:rPr>
      </w:pPr>
      <w:r>
        <w:t>Commencement provisions</w:t>
      </w:r>
      <w:r>
        <w:rPr>
          <w:webHidden/>
        </w:rPr>
        <w:tab/>
      </w:r>
      <w:r>
        <w:rPr>
          <w:webHidden/>
        </w:rPr>
        <w:fldChar w:fldCharType="begin"/>
      </w:r>
      <w:r>
        <w:rPr>
          <w:webHidden/>
        </w:rPr>
        <w:instrText xml:space="preserve"> PAGEREF _Toc119583946 \h </w:instrText>
      </w:r>
      <w:r>
        <w:rPr>
          <w:webHidden/>
        </w:rPr>
      </w:r>
      <w:r>
        <w:rPr>
          <w:webHidden/>
        </w:rPr>
        <w:fldChar w:fldCharType="separate"/>
      </w:r>
      <w:r w:rsidR="00D54F7F">
        <w:rPr>
          <w:webHidden/>
        </w:rPr>
        <w:t>11</w:t>
      </w:r>
      <w:r>
        <w:rPr>
          <w:webHidden/>
        </w:rPr>
        <w:fldChar w:fldCharType="end"/>
      </w:r>
    </w:p>
    <w:p w14:paraId="5EC31003" w14:textId="6985FF42" w:rsidR="0093528D" w:rsidRPr="00020288" w:rsidRDefault="0093528D" w:rsidP="0093528D">
      <w:r>
        <w:fldChar w:fldCharType="end"/>
      </w:r>
    </w:p>
    <w:p w14:paraId="26276F14" w14:textId="77777777" w:rsidR="00873094" w:rsidRPr="00020288" w:rsidRDefault="00873094" w:rsidP="005D0844">
      <w:pPr>
        <w:pStyle w:val="Heading2"/>
      </w:pPr>
      <w:bookmarkStart w:id="43" w:name="_Toc119583936"/>
      <w:r w:rsidRPr="00020288">
        <w:t xml:space="preserve">Outline </w:t>
      </w:r>
      <w:r w:rsidRPr="005D0844">
        <w:t>of</w:t>
      </w:r>
      <w:r w:rsidRPr="00020288">
        <w:t xml:space="preserve"> chapter</w:t>
      </w:r>
      <w:bookmarkEnd w:id="43"/>
    </w:p>
    <w:p w14:paraId="43FEFC96" w14:textId="45BACA8B" w:rsidR="006D0BBD" w:rsidRDefault="00EC3FA9" w:rsidP="000E521B">
      <w:pPr>
        <w:pStyle w:val="Normalparatextwithnumbers"/>
      </w:pPr>
      <w:r>
        <w:t xml:space="preserve">Schedule </w:t>
      </w:r>
      <w:r w:rsidR="00606875">
        <w:t>XX</w:t>
      </w:r>
      <w:r>
        <w:t xml:space="preserve"> to the Bill</w:t>
      </w:r>
      <w:r w:rsidR="006D0BBD" w:rsidRPr="006D0BBD">
        <w:t xml:space="preserve"> provide</w:t>
      </w:r>
      <w:r>
        <w:t>s</w:t>
      </w:r>
      <w:r w:rsidR="006D0BBD" w:rsidRPr="006D0BBD">
        <w:t xml:space="preserve"> the AASB with function</w:t>
      </w:r>
      <w:r w:rsidR="00990546">
        <w:t>s</w:t>
      </w:r>
      <w:r w:rsidR="006D0BBD" w:rsidRPr="006D0BBD">
        <w:t xml:space="preserve"> to develop </w:t>
      </w:r>
      <w:r w:rsidR="00990546">
        <w:t xml:space="preserve">and formulate </w:t>
      </w:r>
      <w:r w:rsidR="006D0BBD" w:rsidRPr="006D0BBD">
        <w:t xml:space="preserve">sustainability standards. It clarifies the AUASB’s function to develop and maintain relevant assurance standards for sustainability purposes. </w:t>
      </w:r>
      <w:r>
        <w:t>It also</w:t>
      </w:r>
      <w:r w:rsidR="006D0BBD" w:rsidRPr="006D0BBD">
        <w:t xml:space="preserve"> empower</w:t>
      </w:r>
      <w:r>
        <w:t>s</w:t>
      </w:r>
      <w:r w:rsidR="006D0BBD" w:rsidRPr="006D0BBD">
        <w:t xml:space="preserve"> the FRC to provide strategic oversight and governance functions in relation to the AASB’s and AUASB’s sustainability </w:t>
      </w:r>
      <w:r w:rsidR="00990546">
        <w:t>standards</w:t>
      </w:r>
      <w:r w:rsidR="00990546" w:rsidRPr="006D0BBD">
        <w:t xml:space="preserve"> </w:t>
      </w:r>
      <w:r w:rsidR="006D0BBD" w:rsidRPr="006D0BBD">
        <w:t>functions.</w:t>
      </w:r>
    </w:p>
    <w:p w14:paraId="6D4961E6" w14:textId="77777777" w:rsidR="00873094" w:rsidRPr="00020288" w:rsidRDefault="00873094" w:rsidP="005D0844">
      <w:pPr>
        <w:pStyle w:val="Heading2"/>
      </w:pPr>
      <w:bookmarkStart w:id="44" w:name="_Toc119583937"/>
      <w:r w:rsidRPr="00020288">
        <w:t xml:space="preserve">Context of </w:t>
      </w:r>
      <w:r w:rsidRPr="005D0844">
        <w:t>amendments</w:t>
      </w:r>
      <w:bookmarkEnd w:id="44"/>
    </w:p>
    <w:p w14:paraId="7E4BA681" w14:textId="5E8530A4" w:rsidR="000F229B" w:rsidRDefault="000F229B" w:rsidP="000F229B">
      <w:pPr>
        <w:pStyle w:val="Normalparatextwithnumbers"/>
      </w:pPr>
      <w:r>
        <w:t xml:space="preserve">Growing awareness of the financial risks and opportunities of climate change and broader sustainability issues has prompted a range of international financial system responses. Many key markets for Australian companies are </w:t>
      </w:r>
      <w:r>
        <w:lastRenderedPageBreak/>
        <w:t xml:space="preserve">introducing measures to improve transparency, manage systemic risks and align capital flows towards climate and sustainability goals. </w:t>
      </w:r>
    </w:p>
    <w:p w14:paraId="49A59714" w14:textId="7FE64546" w:rsidR="00597FC3" w:rsidRDefault="000F229B" w:rsidP="000F229B">
      <w:pPr>
        <w:pStyle w:val="Normalparatextwithnumbers"/>
      </w:pPr>
      <w:r>
        <w:t xml:space="preserve">To help meet the market demand for consistent international climate disclosure, </w:t>
      </w:r>
      <w:r w:rsidR="00E809B2">
        <w:t xml:space="preserve">the </w:t>
      </w:r>
      <w:r>
        <w:t>IFRS</w:t>
      </w:r>
      <w:r w:rsidR="00E809B2">
        <w:t xml:space="preserve"> Foundation</w:t>
      </w:r>
      <w:r>
        <w:t xml:space="preserve"> has set up the ISSB to develop a comprehensive and consistent global baseline for sustainability reporting</w:t>
      </w:r>
      <w:r w:rsidR="001465C6">
        <w:t xml:space="preserve">, </w:t>
      </w:r>
      <w:r w:rsidR="00CB379B">
        <w:t>including</w:t>
      </w:r>
      <w:r w:rsidR="001465C6">
        <w:t xml:space="preserve"> climate-related disclosures</w:t>
      </w:r>
      <w:r>
        <w:t xml:space="preserve">. The ISSB concluded consultation on </w:t>
      </w:r>
      <w:r w:rsidR="00EB44F4">
        <w:t xml:space="preserve">two </w:t>
      </w:r>
      <w:r>
        <w:t xml:space="preserve">draft standards </w:t>
      </w:r>
      <w:r w:rsidR="00E809B2">
        <w:t>in July 2022</w:t>
      </w:r>
      <w:r w:rsidR="00597FC3">
        <w:t>:</w:t>
      </w:r>
    </w:p>
    <w:p w14:paraId="10C0FAA0" w14:textId="77777777" w:rsidR="00597FC3" w:rsidRDefault="000F229B" w:rsidP="00597FC3">
      <w:pPr>
        <w:pStyle w:val="Dotpoint1"/>
      </w:pPr>
      <w:r w:rsidRPr="00597FC3">
        <w:rPr>
          <w:i/>
        </w:rPr>
        <w:t>IFRS S1 General Requirements for Disclosure of Sustainability-related Financial Information</w:t>
      </w:r>
      <w:r w:rsidR="00597FC3">
        <w:t>;</w:t>
      </w:r>
      <w:r w:rsidRPr="006D575C">
        <w:t xml:space="preserve"> </w:t>
      </w:r>
      <w:r>
        <w:t xml:space="preserve">and </w:t>
      </w:r>
    </w:p>
    <w:p w14:paraId="7232B095" w14:textId="58C4CB88" w:rsidR="00E809B2" w:rsidRDefault="000F229B" w:rsidP="00597FC3">
      <w:pPr>
        <w:pStyle w:val="Dotpoint1"/>
      </w:pPr>
      <w:r w:rsidRPr="00597FC3">
        <w:rPr>
          <w:i/>
          <w:iCs/>
        </w:rPr>
        <w:t>IFRS S2 Climate-related Disclosures</w:t>
      </w:r>
      <w:r w:rsidR="00E809B2">
        <w:t>.</w:t>
      </w:r>
    </w:p>
    <w:p w14:paraId="73499344" w14:textId="56F9FE38" w:rsidR="00E35E01" w:rsidRDefault="00676D1B" w:rsidP="000F229B">
      <w:pPr>
        <w:pStyle w:val="Normalparatextwithnumbers"/>
      </w:pPr>
      <w:r>
        <w:t>The AASB consulted on the ISSB exposure drafts to gather feedback to provide input into the ongoing work of the ISSB and inform the AASB as to its proposed approach to sustainability reporting in Australia. The feedback expressed a</w:t>
      </w:r>
      <w:r w:rsidR="00E35E01">
        <w:t xml:space="preserve"> strong demand from Australian businesses, investors, financial institutions, and users and preparers of financial information, for Australian sustainability standards to align with the ISSB baseline.</w:t>
      </w:r>
    </w:p>
    <w:p w14:paraId="740B4091" w14:textId="7C259E67" w:rsidR="006E3521" w:rsidRPr="005E4AD6" w:rsidRDefault="00C00E98" w:rsidP="00960D9D">
      <w:pPr>
        <w:pStyle w:val="Normalparatextwithnumbers"/>
      </w:pPr>
      <w:r w:rsidRPr="005E4AD6">
        <w:t>The ASIC Act currently does not explicitly grant</w:t>
      </w:r>
      <w:r>
        <w:t xml:space="preserve"> the AASB the </w:t>
      </w:r>
      <w:r w:rsidR="00CB379B">
        <w:t>function</w:t>
      </w:r>
      <w:r>
        <w:t xml:space="preserve"> to develop</w:t>
      </w:r>
      <w:r w:rsidR="00990546">
        <w:t xml:space="preserve"> and formulate</w:t>
      </w:r>
      <w:r>
        <w:t xml:space="preserve"> sustainability standards</w:t>
      </w:r>
      <w:r w:rsidR="00A75B31">
        <w:t xml:space="preserve"> which is necessary to support the Government’s commitment</w:t>
      </w:r>
      <w:r w:rsidR="000F229B" w:rsidRPr="006E3521">
        <w:t xml:space="preserve"> to </w:t>
      </w:r>
      <w:r w:rsidR="00A75B31">
        <w:t>ensure</w:t>
      </w:r>
      <w:r w:rsidR="000F229B" w:rsidRPr="006E3521">
        <w:t xml:space="preserve"> </w:t>
      </w:r>
      <w:r w:rsidR="00892CAC">
        <w:t>entities</w:t>
      </w:r>
      <w:r w:rsidR="000F229B" w:rsidRPr="006E3521">
        <w:t xml:space="preserve"> provide Australians and investors with greater transparency and accountability </w:t>
      </w:r>
      <w:r w:rsidR="00A75B31">
        <w:t>in relation</w:t>
      </w:r>
      <w:r w:rsidR="000F229B" w:rsidRPr="006E3521">
        <w:t xml:space="preserve"> to their climate-related plans, financial risks, and opportunities. </w:t>
      </w:r>
      <w:r w:rsidR="00960D9D">
        <w:t>T</w:t>
      </w:r>
      <w:r w:rsidR="00960D9D" w:rsidRPr="006E3521">
        <w:t xml:space="preserve">he proposed </w:t>
      </w:r>
      <w:r w:rsidR="00960D9D">
        <w:t xml:space="preserve">sustainability </w:t>
      </w:r>
      <w:r w:rsidR="00960D9D" w:rsidRPr="006E3521">
        <w:t>standards would provide general guidance, assisting relevant industry to prepare systems and processes for eventual transition to mandatory climate</w:t>
      </w:r>
      <w:r w:rsidR="00960D9D">
        <w:t>-related</w:t>
      </w:r>
      <w:r w:rsidR="00960D9D" w:rsidRPr="006E3521">
        <w:t xml:space="preserve"> </w:t>
      </w:r>
      <w:r w:rsidR="00AB2FDC">
        <w:t xml:space="preserve">financial </w:t>
      </w:r>
      <w:r w:rsidR="00960D9D" w:rsidRPr="006E3521">
        <w:t>disclosure</w:t>
      </w:r>
      <w:r w:rsidR="00AB2FDC">
        <w:t>s</w:t>
      </w:r>
      <w:r w:rsidR="00960D9D">
        <w:t>.</w:t>
      </w:r>
    </w:p>
    <w:p w14:paraId="1CF4CAB0" w14:textId="77777777" w:rsidR="00873094" w:rsidRPr="00020288" w:rsidRDefault="00873094" w:rsidP="005D0844">
      <w:pPr>
        <w:pStyle w:val="Heading2"/>
      </w:pPr>
      <w:bookmarkStart w:id="45" w:name="_Toc119583938"/>
      <w:r w:rsidRPr="00020288">
        <w:t xml:space="preserve">Summary of </w:t>
      </w:r>
      <w:r w:rsidRPr="005D0844">
        <w:t>new</w:t>
      </w:r>
      <w:r w:rsidRPr="00020288">
        <w:t xml:space="preserve"> law</w:t>
      </w:r>
      <w:bookmarkEnd w:id="45"/>
    </w:p>
    <w:p w14:paraId="11B4FCCB" w14:textId="77777777" w:rsidR="00AA2532" w:rsidRDefault="00C340AB" w:rsidP="00873094">
      <w:pPr>
        <w:pStyle w:val="Normalparatextwithnumbers"/>
        <w:numPr>
          <w:ilvl w:val="1"/>
          <w:numId w:val="3"/>
        </w:numPr>
      </w:pPr>
      <w:r w:rsidRPr="00C340AB">
        <w:t>The amendments confirm the AASB, AUASB and FRC as the entities responsible for</w:t>
      </w:r>
      <w:r w:rsidR="00AA2532">
        <w:t>:</w:t>
      </w:r>
    </w:p>
    <w:p w14:paraId="1493A6EF" w14:textId="77777777" w:rsidR="00AA2532" w:rsidRDefault="00C340AB" w:rsidP="00AA2532">
      <w:pPr>
        <w:pStyle w:val="Dotpoint1"/>
      </w:pPr>
      <w:r w:rsidRPr="00C340AB">
        <w:t xml:space="preserve">developing sustainability </w:t>
      </w:r>
      <w:proofErr w:type="gramStart"/>
      <w:r w:rsidRPr="00C340AB">
        <w:t>standards</w:t>
      </w:r>
      <w:r w:rsidR="00AA2532">
        <w:t>;</w:t>
      </w:r>
      <w:proofErr w:type="gramEnd"/>
    </w:p>
    <w:p w14:paraId="528D03A3" w14:textId="77777777" w:rsidR="00AA2532" w:rsidRDefault="00AA2532" w:rsidP="00AA2532">
      <w:pPr>
        <w:pStyle w:val="Dotpoint1"/>
      </w:pPr>
      <w:r>
        <w:t>developing auditing and</w:t>
      </w:r>
      <w:r w:rsidR="00C340AB" w:rsidRPr="00C340AB">
        <w:t xml:space="preserve"> assurance standards</w:t>
      </w:r>
      <w:r>
        <w:t xml:space="preserve"> for sustainability purposes; </w:t>
      </w:r>
      <w:r w:rsidR="00C340AB" w:rsidRPr="00C340AB">
        <w:t>and</w:t>
      </w:r>
      <w:r>
        <w:t>,</w:t>
      </w:r>
      <w:r w:rsidR="00C340AB" w:rsidRPr="00C340AB">
        <w:t xml:space="preserve"> </w:t>
      </w:r>
    </w:p>
    <w:p w14:paraId="5714239F" w14:textId="77777777" w:rsidR="00AA2532" w:rsidRDefault="00C340AB" w:rsidP="00AA2532">
      <w:pPr>
        <w:pStyle w:val="Dotpoint1"/>
      </w:pPr>
      <w:r w:rsidRPr="00C340AB">
        <w:t xml:space="preserve">providing strategic oversight, respectively. </w:t>
      </w:r>
    </w:p>
    <w:p w14:paraId="76108765" w14:textId="31AE85E1" w:rsidR="00873094" w:rsidRPr="00020288" w:rsidRDefault="00C340AB" w:rsidP="00AA2532">
      <w:pPr>
        <w:pStyle w:val="Normalparatextwithnumbers"/>
      </w:pPr>
      <w:r w:rsidRPr="00C340AB">
        <w:t>This</w:t>
      </w:r>
      <w:r w:rsidR="006F361A">
        <w:t xml:space="preserve"> measure</w:t>
      </w:r>
      <w:r w:rsidRPr="00C340AB">
        <w:t xml:space="preserve"> leverage</w:t>
      </w:r>
      <w:r w:rsidR="006F361A">
        <w:t>s</w:t>
      </w:r>
      <w:r w:rsidRPr="00C340AB">
        <w:t xml:space="preserve"> the existing bodies’ experience to facilitate the development of </w:t>
      </w:r>
      <w:r w:rsidR="00C81C43">
        <w:t>sustainability</w:t>
      </w:r>
      <w:r w:rsidRPr="00C340AB">
        <w:t xml:space="preserve"> standards while longer-term governance arrangements</w:t>
      </w:r>
      <w:r w:rsidR="00496759">
        <w:t xml:space="preserve"> for sustainability</w:t>
      </w:r>
      <w:r w:rsidR="009272F9">
        <w:t>-related financial</w:t>
      </w:r>
      <w:r w:rsidR="00496759">
        <w:t xml:space="preserve"> reporting, including climate disclosure,</w:t>
      </w:r>
      <w:r w:rsidRPr="00C340AB">
        <w:t xml:space="preserve"> are </w:t>
      </w:r>
      <w:proofErr w:type="gramStart"/>
      <w:r w:rsidRPr="00C340AB">
        <w:t>developed</w:t>
      </w:r>
      <w:proofErr w:type="gramEnd"/>
      <w:r w:rsidRPr="00C340AB">
        <w:t xml:space="preserve"> and implemented.</w:t>
      </w:r>
    </w:p>
    <w:p w14:paraId="7EE8C39B" w14:textId="77777777" w:rsidR="00873094" w:rsidRPr="00020288" w:rsidRDefault="00873094" w:rsidP="00AF50CE">
      <w:pPr>
        <w:pStyle w:val="Heading2"/>
      </w:pPr>
      <w:bookmarkStart w:id="46" w:name="_Toc119583939"/>
      <w:r w:rsidRPr="00AF50CE">
        <w:lastRenderedPageBreak/>
        <w:t>Comparison</w:t>
      </w:r>
      <w:r w:rsidRPr="00020288">
        <w:t xml:space="preserve"> of key features of new law and current law</w:t>
      </w:r>
      <w:bookmarkEnd w:id="46"/>
    </w:p>
    <w:p w14:paraId="140914D8"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4A4FB0A8"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3B71689A"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08C6B663"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685951BF" w14:textId="77777777" w:rsidTr="002425D9">
        <w:tc>
          <w:tcPr>
            <w:tcW w:w="3776" w:type="dxa"/>
          </w:tcPr>
          <w:p w14:paraId="6E38FBD0" w14:textId="0794A34C" w:rsidR="00873094" w:rsidRPr="00020288" w:rsidRDefault="00E430F0" w:rsidP="002425D9">
            <w:pPr>
              <w:pStyle w:val="Tabletext"/>
            </w:pPr>
            <w:r>
              <w:t>The AASB may make sustainability standards.</w:t>
            </w:r>
          </w:p>
        </w:tc>
        <w:tc>
          <w:tcPr>
            <w:tcW w:w="3874" w:type="dxa"/>
          </w:tcPr>
          <w:p w14:paraId="1B215227" w14:textId="5880F33A" w:rsidR="00873094" w:rsidRPr="00020288" w:rsidRDefault="00E430F0" w:rsidP="002425D9">
            <w:pPr>
              <w:pStyle w:val="Tabletext"/>
            </w:pPr>
            <w:r>
              <w:t xml:space="preserve">The AASB </w:t>
            </w:r>
            <w:r w:rsidR="00132A98">
              <w:t xml:space="preserve">does not have a specific function to make sustainability standards. </w:t>
            </w:r>
          </w:p>
        </w:tc>
      </w:tr>
      <w:tr w:rsidR="00873094" w:rsidRPr="00020288" w14:paraId="52538547" w14:textId="77777777" w:rsidTr="002425D9">
        <w:tc>
          <w:tcPr>
            <w:tcW w:w="3776" w:type="dxa"/>
          </w:tcPr>
          <w:p w14:paraId="45A1F357" w14:textId="702E6739" w:rsidR="00873094" w:rsidRPr="00020288" w:rsidRDefault="00E430F0" w:rsidP="002425D9">
            <w:pPr>
              <w:pStyle w:val="Tabletext"/>
            </w:pPr>
            <w:r>
              <w:t>The AUASB may make auditing and assurance standards for sustainability purposes.</w:t>
            </w:r>
          </w:p>
        </w:tc>
        <w:tc>
          <w:tcPr>
            <w:tcW w:w="3874" w:type="dxa"/>
          </w:tcPr>
          <w:p w14:paraId="71011A1C" w14:textId="768178CF" w:rsidR="00873094" w:rsidRPr="00020288" w:rsidRDefault="00132A98" w:rsidP="002425D9">
            <w:pPr>
              <w:pStyle w:val="Tabletext"/>
            </w:pPr>
            <w:r>
              <w:t>The AUASB does not have a specific and express function in relation to sustainability.</w:t>
            </w:r>
          </w:p>
        </w:tc>
      </w:tr>
      <w:tr w:rsidR="00873094" w:rsidRPr="00020288" w14:paraId="6CA46D53" w14:textId="77777777" w:rsidTr="002425D9">
        <w:tc>
          <w:tcPr>
            <w:tcW w:w="3776" w:type="dxa"/>
          </w:tcPr>
          <w:p w14:paraId="692CDE37" w14:textId="2FFF081F" w:rsidR="00873094" w:rsidRPr="00020288" w:rsidRDefault="00132A98" w:rsidP="002425D9">
            <w:pPr>
              <w:pStyle w:val="Tabletext"/>
            </w:pPr>
            <w:r>
              <w:t>The FRC has oversight of the process of developing sustainability standards</w:t>
            </w:r>
            <w:r w:rsidR="00940C52">
              <w:t>,</w:t>
            </w:r>
            <w:r>
              <w:t xml:space="preserve"> in addition to accounting standards and auditing standards. </w:t>
            </w:r>
          </w:p>
        </w:tc>
        <w:tc>
          <w:tcPr>
            <w:tcW w:w="3874" w:type="dxa"/>
          </w:tcPr>
          <w:p w14:paraId="7955D39F" w14:textId="0ECBA5A3" w:rsidR="00873094" w:rsidRPr="00020288" w:rsidRDefault="00132A98" w:rsidP="002425D9">
            <w:pPr>
              <w:pStyle w:val="Tabletext"/>
            </w:pPr>
            <w:r>
              <w:t xml:space="preserve">The FRC does not have a specific function in relation to </w:t>
            </w:r>
            <w:r w:rsidR="00940C52">
              <w:t xml:space="preserve">oversight of </w:t>
            </w:r>
            <w:r>
              <w:t>sustainability standards.</w:t>
            </w:r>
          </w:p>
        </w:tc>
      </w:tr>
    </w:tbl>
    <w:p w14:paraId="7CD76717" w14:textId="15C2C117" w:rsidR="00873094" w:rsidRDefault="00873094" w:rsidP="00821A66">
      <w:pPr>
        <w:pStyle w:val="Heading2"/>
      </w:pPr>
      <w:bookmarkStart w:id="47" w:name="_Toc119583940"/>
      <w:r w:rsidRPr="00020288">
        <w:t>Detailed explanation of new law</w:t>
      </w:r>
      <w:bookmarkEnd w:id="47"/>
    </w:p>
    <w:p w14:paraId="5974340E" w14:textId="620A4304" w:rsidR="00524734" w:rsidRDefault="00D66D4E" w:rsidP="008C5B36">
      <w:pPr>
        <w:pStyle w:val="Normalparatextwithnumbers"/>
      </w:pPr>
      <w:r>
        <w:t xml:space="preserve">The Australian financial reporting system will be extended to include </w:t>
      </w:r>
      <w:r w:rsidR="005800AA">
        <w:t xml:space="preserve">the development and assurance of </w:t>
      </w:r>
      <w:r>
        <w:t xml:space="preserve">sustainability standards. </w:t>
      </w:r>
    </w:p>
    <w:p w14:paraId="5BD148A3" w14:textId="1E75EB85" w:rsidR="00D66D4E" w:rsidRDefault="002C2DDF" w:rsidP="008C5B36">
      <w:pPr>
        <w:pStyle w:val="Normalparatextwithnumbers"/>
      </w:pPr>
      <w:r>
        <w:t>This allows the AASB</w:t>
      </w:r>
      <w:r w:rsidDel="00892CAC">
        <w:t xml:space="preserve"> </w:t>
      </w:r>
      <w:r>
        <w:t>to establish</w:t>
      </w:r>
      <w:r w:rsidR="00940C52">
        <w:t>,</w:t>
      </w:r>
      <w:r>
        <w:t xml:space="preserve"> </w:t>
      </w:r>
      <w:r w:rsidR="00892CAC">
        <w:t xml:space="preserve">in the first instance, non-binding </w:t>
      </w:r>
      <w:r>
        <w:t>reporting requirements for sustainability that will, as far as is practicable, align with significant international developments</w:t>
      </w:r>
      <w:r w:rsidR="00F65660">
        <w:t xml:space="preserve">, specifically the </w:t>
      </w:r>
      <w:r w:rsidR="00970FCC">
        <w:t>standards</w:t>
      </w:r>
      <w:r w:rsidR="00F65660">
        <w:t xml:space="preserve"> under development by the ISSB</w:t>
      </w:r>
      <w:r>
        <w:t xml:space="preserve">. </w:t>
      </w:r>
      <w:r w:rsidR="00BF3482">
        <w:t xml:space="preserve">The FRC </w:t>
      </w:r>
      <w:r w:rsidR="00E34C8C">
        <w:t>will have</w:t>
      </w:r>
      <w:r w:rsidR="00BF3482">
        <w:t xml:space="preserve"> oversight of sustainability standard</w:t>
      </w:r>
      <w:r w:rsidR="00B4399B">
        <w:t>-</w:t>
      </w:r>
      <w:r w:rsidR="00BF3482">
        <w:t>setting processes and governance of the standard-setting bodies.</w:t>
      </w:r>
    </w:p>
    <w:p w14:paraId="6E9AD29E" w14:textId="4074C91E" w:rsidR="00873094" w:rsidRDefault="009C1BF6" w:rsidP="00354B62">
      <w:pPr>
        <w:pStyle w:val="Heading3"/>
      </w:pPr>
      <w:bookmarkStart w:id="48" w:name="_Toc119583941"/>
      <w:r>
        <w:t>Objects of the financial reporting system</w:t>
      </w:r>
      <w:bookmarkEnd w:id="48"/>
    </w:p>
    <w:p w14:paraId="5B5458CA" w14:textId="4C9FE6C6" w:rsidR="001D7A93" w:rsidRDefault="001D7A93" w:rsidP="00873094">
      <w:pPr>
        <w:pStyle w:val="Normalparatextwithnumbers"/>
        <w:numPr>
          <w:ilvl w:val="1"/>
          <w:numId w:val="3"/>
        </w:numPr>
      </w:pPr>
      <w:r>
        <w:t xml:space="preserve">The </w:t>
      </w:r>
      <w:r w:rsidR="00EC4CC2">
        <w:t xml:space="preserve">amendments extend the </w:t>
      </w:r>
      <w:r>
        <w:t>main objects of Part 12 of the ASIC Act to</w:t>
      </w:r>
      <w:r w:rsidR="00207FD7">
        <w:t xml:space="preserve"> facilitate the</w:t>
      </w:r>
      <w:r w:rsidR="00666853">
        <w:t>:</w:t>
      </w:r>
    </w:p>
    <w:p w14:paraId="6522CF8F" w14:textId="30903DEE" w:rsidR="00B00205" w:rsidRDefault="00885D04" w:rsidP="00885D04">
      <w:pPr>
        <w:pStyle w:val="Dotpoint1"/>
      </w:pPr>
      <w:r>
        <w:t>development of sustainability standards that require the provision of financial information</w:t>
      </w:r>
      <w:r w:rsidR="00666853">
        <w:t xml:space="preserve"> tha</w:t>
      </w:r>
      <w:r w:rsidR="00B00205">
        <w:t>t:</w:t>
      </w:r>
    </w:p>
    <w:p w14:paraId="09D6C1D9" w14:textId="77777777" w:rsidR="001E0557" w:rsidRDefault="001E0557" w:rsidP="001E0557">
      <w:pPr>
        <w:pStyle w:val="Dotpoint2"/>
      </w:pPr>
      <w:r>
        <w:tab/>
        <w:t>allows users to make and evaluate decisions about allocating scarce resources; and</w:t>
      </w:r>
    </w:p>
    <w:p w14:paraId="0ED75490" w14:textId="000C2C7D" w:rsidR="001E0557" w:rsidRDefault="001E0557" w:rsidP="001E0557">
      <w:pPr>
        <w:pStyle w:val="Dotpoint2"/>
      </w:pPr>
      <w:r>
        <w:t>assists directors to discharge their obligations in relation to financial reporting; and</w:t>
      </w:r>
    </w:p>
    <w:p w14:paraId="75D3CAA9" w14:textId="5A1281AF" w:rsidR="001E0557" w:rsidRDefault="001E0557" w:rsidP="001E0557">
      <w:pPr>
        <w:pStyle w:val="Dotpoint2"/>
      </w:pPr>
      <w:r>
        <w:t xml:space="preserve">is relevant to assessing performance, financial position, </w:t>
      </w:r>
      <w:proofErr w:type="gramStart"/>
      <w:r>
        <w:t>financing</w:t>
      </w:r>
      <w:proofErr w:type="gramEnd"/>
      <w:r>
        <w:t xml:space="preserve"> and investment; and</w:t>
      </w:r>
    </w:p>
    <w:p w14:paraId="5912B7FE" w14:textId="19548F58" w:rsidR="001E0557" w:rsidRDefault="001E0557" w:rsidP="001E0557">
      <w:pPr>
        <w:pStyle w:val="Dotpoint2"/>
      </w:pPr>
      <w:r>
        <w:lastRenderedPageBreak/>
        <w:t>is relevant and reliable; and</w:t>
      </w:r>
    </w:p>
    <w:p w14:paraId="3E297C31" w14:textId="3EB48697" w:rsidR="001E0557" w:rsidRDefault="001E0557" w:rsidP="001E0557">
      <w:pPr>
        <w:pStyle w:val="Dotpoint2"/>
      </w:pPr>
      <w:r>
        <w:t>facilitates comparability; and</w:t>
      </w:r>
    </w:p>
    <w:p w14:paraId="625A7CFA" w14:textId="65B7B20A" w:rsidR="001E0557" w:rsidRDefault="001E0557" w:rsidP="001E0557">
      <w:pPr>
        <w:pStyle w:val="Dotpoint2"/>
      </w:pPr>
      <w:r>
        <w:t>is readily understandable; and,</w:t>
      </w:r>
    </w:p>
    <w:p w14:paraId="237B62E4" w14:textId="621BE858" w:rsidR="001E0557" w:rsidRDefault="00066621" w:rsidP="00885D04">
      <w:pPr>
        <w:pStyle w:val="Dotpoint1"/>
      </w:pPr>
      <w:r>
        <w:t xml:space="preserve">Australian economy by having sustainability standards that are clearly stated and easy to understand. </w:t>
      </w:r>
    </w:p>
    <w:p w14:paraId="2E48B851" w14:textId="07194E19" w:rsidR="003927E2" w:rsidRDefault="001E0557" w:rsidP="001E0557">
      <w:pPr>
        <w:pStyle w:val="Referenceafterdotpoint"/>
      </w:pPr>
      <w:r>
        <w:t xml:space="preserve">[Schedule xx, </w:t>
      </w:r>
      <w:r w:rsidR="00190939">
        <w:t>item 2 and</w:t>
      </w:r>
      <w:r>
        <w:t xml:space="preserve"> 3, paragraph 224(a) and subparagraph 224(b)(iii) of the ASIC Act] </w:t>
      </w:r>
    </w:p>
    <w:p w14:paraId="0E099CEB" w14:textId="333C9234" w:rsidR="001D7A93" w:rsidRDefault="00E24000" w:rsidP="00214F49">
      <w:pPr>
        <w:pStyle w:val="Normalparatextwithnumbers"/>
      </w:pPr>
      <w:r>
        <w:t xml:space="preserve">Sustainability standards can relate to climate. </w:t>
      </w:r>
      <w:r w:rsidR="00214F49">
        <w:t xml:space="preserve">For example, the ISSB is developing </w:t>
      </w:r>
      <w:r w:rsidR="00D8254E">
        <w:t xml:space="preserve">a standard for climate-related disclosures as well as </w:t>
      </w:r>
      <w:r w:rsidR="00C0411B">
        <w:t>g</w:t>
      </w:r>
      <w:r w:rsidR="001009B9">
        <w:t>eneral requirements for</w:t>
      </w:r>
      <w:r w:rsidR="00214F49">
        <w:t xml:space="preserve"> disclosure of sustainability-related financial information.</w:t>
      </w:r>
      <w:r w:rsidR="00190939">
        <w:br/>
      </w:r>
      <w:r w:rsidR="00190939" w:rsidRPr="00190939">
        <w:rPr>
          <w:rStyle w:val="References"/>
        </w:rPr>
        <w:t>[Schedule xx, item</w:t>
      </w:r>
      <w:r w:rsidR="00190939">
        <w:rPr>
          <w:rStyle w:val="References"/>
        </w:rPr>
        <w:t xml:space="preserve"> 4</w:t>
      </w:r>
      <w:r w:rsidR="00190939" w:rsidRPr="00190939">
        <w:rPr>
          <w:rStyle w:val="References"/>
        </w:rPr>
        <w:t xml:space="preserve">, </w:t>
      </w:r>
      <w:r w:rsidR="00190939">
        <w:rPr>
          <w:rStyle w:val="References"/>
        </w:rPr>
        <w:t>section 224</w:t>
      </w:r>
      <w:r w:rsidR="006245CC">
        <w:rPr>
          <w:rStyle w:val="References"/>
        </w:rPr>
        <w:t xml:space="preserve"> (</w:t>
      </w:r>
      <w:r w:rsidR="00953A17">
        <w:rPr>
          <w:rStyle w:val="References"/>
        </w:rPr>
        <w:t>N</w:t>
      </w:r>
      <w:r w:rsidR="006245CC">
        <w:rPr>
          <w:rStyle w:val="References"/>
        </w:rPr>
        <w:t>ote)</w:t>
      </w:r>
      <w:r w:rsidR="00190939">
        <w:rPr>
          <w:rStyle w:val="References"/>
        </w:rPr>
        <w:t xml:space="preserve"> of the ASIC Act</w:t>
      </w:r>
      <w:r w:rsidR="00190939" w:rsidRPr="00190939">
        <w:rPr>
          <w:rStyle w:val="References"/>
        </w:rPr>
        <w:t xml:space="preserve">] </w:t>
      </w:r>
    </w:p>
    <w:p w14:paraId="3DDACBF0" w14:textId="7C3A0751" w:rsidR="009C1BF6" w:rsidRDefault="003927E2" w:rsidP="00354B62">
      <w:pPr>
        <w:pStyle w:val="Heading3"/>
      </w:pPr>
      <w:bookmarkStart w:id="49" w:name="_Toc119583942"/>
      <w:r>
        <w:t>The role</w:t>
      </w:r>
      <w:r w:rsidR="001D7A93">
        <w:t xml:space="preserve"> </w:t>
      </w:r>
      <w:r w:rsidR="009C1BF6">
        <w:t>of the AASB</w:t>
      </w:r>
      <w:bookmarkEnd w:id="49"/>
    </w:p>
    <w:p w14:paraId="08CD6B0B" w14:textId="25825C78" w:rsidR="007D4A54" w:rsidRDefault="007D4A54" w:rsidP="00873094">
      <w:pPr>
        <w:pStyle w:val="Normalparatextwithnumbers"/>
        <w:numPr>
          <w:ilvl w:val="1"/>
          <w:numId w:val="3"/>
        </w:numPr>
      </w:pPr>
      <w:r>
        <w:t>The AASB will have additiona</w:t>
      </w:r>
      <w:r w:rsidR="00637C42">
        <w:t>l functions in relation to sustainability standards.</w:t>
      </w:r>
    </w:p>
    <w:p w14:paraId="67AE6F75" w14:textId="73F2690C" w:rsidR="004166E0" w:rsidRDefault="004166E0" w:rsidP="00873094">
      <w:pPr>
        <w:pStyle w:val="Normalparatextwithnumbers"/>
        <w:numPr>
          <w:ilvl w:val="1"/>
          <w:numId w:val="3"/>
        </w:numPr>
      </w:pPr>
      <w:r>
        <w:t xml:space="preserve">The AASB can develop conceptual frameworks for the purpose of evaluating proposed </w:t>
      </w:r>
      <w:r w:rsidR="00182621">
        <w:t>sustainability standards and international sustainability standards. These conceptual frameworks do not have the force of standards.</w:t>
      </w:r>
      <w:r w:rsidR="00FA5E29">
        <w:br/>
      </w:r>
      <w:r w:rsidR="00FA5E29" w:rsidRPr="00FA5E29">
        <w:rPr>
          <w:rStyle w:val="References"/>
        </w:rPr>
        <w:t>[Schedule xx, item</w:t>
      </w:r>
      <w:r w:rsidR="00FA5E29">
        <w:rPr>
          <w:rStyle w:val="References"/>
        </w:rPr>
        <w:t xml:space="preserve"> 15</w:t>
      </w:r>
      <w:r w:rsidR="00FA5E29" w:rsidRPr="00FA5E29">
        <w:rPr>
          <w:rStyle w:val="References"/>
        </w:rPr>
        <w:t xml:space="preserve">, </w:t>
      </w:r>
      <w:r w:rsidR="00FA5E29">
        <w:rPr>
          <w:rStyle w:val="References"/>
        </w:rPr>
        <w:t>paragraph 227(1)(a) of the ASIC Act</w:t>
      </w:r>
      <w:r w:rsidR="00FA5E29" w:rsidRPr="00FA5E29">
        <w:rPr>
          <w:rStyle w:val="References"/>
        </w:rPr>
        <w:t xml:space="preserve">] </w:t>
      </w:r>
    </w:p>
    <w:p w14:paraId="6FD7F1E8" w14:textId="565687D2" w:rsidR="00FA5E29" w:rsidRDefault="00182621" w:rsidP="00182621">
      <w:pPr>
        <w:pStyle w:val="Normalparatextwithnumbers"/>
        <w:numPr>
          <w:ilvl w:val="1"/>
          <w:numId w:val="3"/>
        </w:numPr>
      </w:pPr>
      <w:r>
        <w:t xml:space="preserve">The AASB can </w:t>
      </w:r>
      <w:r w:rsidR="00334C0B">
        <w:t>formulate</w:t>
      </w:r>
      <w:r>
        <w:t xml:space="preserve"> sustainability standards. </w:t>
      </w:r>
      <w:r w:rsidR="00FA5E29">
        <w:br/>
      </w:r>
      <w:r w:rsidR="00FA5E29" w:rsidRPr="00FA5E29">
        <w:rPr>
          <w:rStyle w:val="References"/>
        </w:rPr>
        <w:t>[Schedule xx, item</w:t>
      </w:r>
      <w:r w:rsidR="00FA5E29">
        <w:rPr>
          <w:rStyle w:val="References"/>
        </w:rPr>
        <w:t xml:space="preserve"> 16</w:t>
      </w:r>
      <w:r w:rsidR="00FA5E29" w:rsidRPr="00FA5E29">
        <w:rPr>
          <w:rStyle w:val="References"/>
        </w:rPr>
        <w:t xml:space="preserve">, </w:t>
      </w:r>
      <w:r w:rsidR="00FA5E29">
        <w:rPr>
          <w:rStyle w:val="References"/>
        </w:rPr>
        <w:t>paragraph 227(</w:t>
      </w:r>
      <w:proofErr w:type="gramStart"/>
      <w:r w:rsidR="00FA5E29">
        <w:rPr>
          <w:rStyle w:val="References"/>
        </w:rPr>
        <w:t>1)(</w:t>
      </w:r>
      <w:proofErr w:type="gramEnd"/>
      <w:r w:rsidR="00FA5E29">
        <w:rPr>
          <w:rStyle w:val="References"/>
        </w:rPr>
        <w:t>ca) of the ASIC Act</w:t>
      </w:r>
      <w:r w:rsidR="00FA5E29" w:rsidRPr="00FA5E29">
        <w:rPr>
          <w:rStyle w:val="References"/>
        </w:rPr>
        <w:t xml:space="preserve">] </w:t>
      </w:r>
    </w:p>
    <w:p w14:paraId="18694EBC" w14:textId="64204C18" w:rsidR="00182621" w:rsidRDefault="00182621" w:rsidP="00182621">
      <w:pPr>
        <w:pStyle w:val="Normalparatextwithnumbers"/>
        <w:numPr>
          <w:ilvl w:val="1"/>
          <w:numId w:val="3"/>
        </w:numPr>
      </w:pPr>
      <w:r>
        <w:t>The standards made do not have legal effect but may be applied or adopted by some other authority. This means that the standards developed and issued by the AASB are not enforceable until further legislative changes are made</w:t>
      </w:r>
      <w:r w:rsidR="00A72497">
        <w:t xml:space="preserve"> to apply the standards. </w:t>
      </w:r>
      <w:r w:rsidR="00FA5E29">
        <w:br/>
      </w:r>
      <w:r w:rsidR="00FA5E29" w:rsidRPr="00FA5E29">
        <w:rPr>
          <w:rStyle w:val="References"/>
        </w:rPr>
        <w:t>[Schedule xx, item</w:t>
      </w:r>
      <w:r w:rsidR="00FA5E29">
        <w:rPr>
          <w:rStyle w:val="References"/>
        </w:rPr>
        <w:t xml:space="preserve"> 18</w:t>
      </w:r>
      <w:r w:rsidR="00FA5E29" w:rsidRPr="00FA5E29">
        <w:rPr>
          <w:rStyle w:val="References"/>
        </w:rPr>
        <w:t xml:space="preserve">, </w:t>
      </w:r>
      <w:r w:rsidR="00FA5E29">
        <w:rPr>
          <w:rStyle w:val="References"/>
        </w:rPr>
        <w:t>section 227</w:t>
      </w:r>
      <w:r w:rsidR="00953A17">
        <w:rPr>
          <w:rStyle w:val="References"/>
        </w:rPr>
        <w:t xml:space="preserve"> (Note 3)</w:t>
      </w:r>
      <w:r w:rsidR="00FA5E29">
        <w:rPr>
          <w:rStyle w:val="References"/>
        </w:rPr>
        <w:t xml:space="preserve"> of the ASIC Act</w:t>
      </w:r>
      <w:r w:rsidR="00FA5E29" w:rsidRPr="00FA5E29">
        <w:rPr>
          <w:rStyle w:val="References"/>
        </w:rPr>
        <w:t xml:space="preserve">] </w:t>
      </w:r>
      <w:r>
        <w:t xml:space="preserve"> </w:t>
      </w:r>
    </w:p>
    <w:p w14:paraId="690C6C89" w14:textId="2283BF96" w:rsidR="00182621" w:rsidRDefault="00182621" w:rsidP="00182621">
      <w:pPr>
        <w:pStyle w:val="Normalparatextwithnumbers"/>
        <w:numPr>
          <w:ilvl w:val="1"/>
          <w:numId w:val="3"/>
        </w:numPr>
      </w:pPr>
      <w:r>
        <w:t xml:space="preserve">The legislative note clarifies that the framework within which the AASB is to make accounting standards and sustainability standards is set out in section 224 and Division 2 of Part 12 of the ASIC Act. </w:t>
      </w:r>
      <w:r w:rsidR="00953A17">
        <w:br/>
      </w:r>
      <w:r w:rsidR="00953A17" w:rsidRPr="00953A17">
        <w:rPr>
          <w:rStyle w:val="References"/>
        </w:rPr>
        <w:t>[Schedule xx, item</w:t>
      </w:r>
      <w:r w:rsidR="00953A17">
        <w:rPr>
          <w:rStyle w:val="References"/>
        </w:rPr>
        <w:t xml:space="preserve"> 18</w:t>
      </w:r>
      <w:r w:rsidR="00953A17" w:rsidRPr="00953A17">
        <w:rPr>
          <w:rStyle w:val="References"/>
        </w:rPr>
        <w:t xml:space="preserve">, </w:t>
      </w:r>
      <w:r w:rsidR="00953A17">
        <w:rPr>
          <w:rStyle w:val="References"/>
        </w:rPr>
        <w:t>section 227 (Note 4) of the ASIC Act</w:t>
      </w:r>
      <w:r w:rsidR="00953A17" w:rsidRPr="00953A17">
        <w:rPr>
          <w:rStyle w:val="References"/>
        </w:rPr>
        <w:t xml:space="preserve">] </w:t>
      </w:r>
    </w:p>
    <w:p w14:paraId="1DC2C11D" w14:textId="53762EDD" w:rsidR="00182621" w:rsidRDefault="00182621" w:rsidP="00873094">
      <w:pPr>
        <w:pStyle w:val="Normalparatextwithnumbers"/>
        <w:numPr>
          <w:ilvl w:val="1"/>
          <w:numId w:val="3"/>
        </w:numPr>
      </w:pPr>
      <w:r>
        <w:t>The AASB can participate in and contribute to the development of a single set of sustainability standards for world-wide use.</w:t>
      </w:r>
      <w:r w:rsidR="00953A17">
        <w:br/>
      </w:r>
      <w:r w:rsidR="00953A17" w:rsidRPr="00953A17">
        <w:rPr>
          <w:rStyle w:val="References"/>
        </w:rPr>
        <w:t>[Schedule xx, item</w:t>
      </w:r>
      <w:r w:rsidR="00953A17">
        <w:rPr>
          <w:rStyle w:val="References"/>
        </w:rPr>
        <w:t xml:space="preserve"> 17</w:t>
      </w:r>
      <w:r w:rsidR="00953A17" w:rsidRPr="00953A17">
        <w:rPr>
          <w:rStyle w:val="References"/>
        </w:rPr>
        <w:t xml:space="preserve">, </w:t>
      </w:r>
      <w:r w:rsidR="00953A17">
        <w:rPr>
          <w:rStyle w:val="References"/>
        </w:rPr>
        <w:t>paragraph 227(1)(d) of the ASIC Act</w:t>
      </w:r>
      <w:r w:rsidR="00953A17" w:rsidRPr="00953A17">
        <w:rPr>
          <w:rStyle w:val="References"/>
        </w:rPr>
        <w:t xml:space="preserve">] </w:t>
      </w:r>
      <w:r>
        <w:t xml:space="preserve"> </w:t>
      </w:r>
    </w:p>
    <w:p w14:paraId="42DAEF7E" w14:textId="743F1CEA" w:rsidR="006A0AF7" w:rsidRDefault="00334C0B" w:rsidP="006A0AF7">
      <w:pPr>
        <w:pStyle w:val="Normalparatextwithnumbers"/>
        <w:numPr>
          <w:ilvl w:val="1"/>
          <w:numId w:val="3"/>
        </w:numPr>
      </w:pPr>
      <w:r>
        <w:t xml:space="preserve">The AASB may formulate </w:t>
      </w:r>
      <w:r w:rsidR="00DB090F">
        <w:t xml:space="preserve">a sustainability standard by issuing the text of an international sustainability standard. </w:t>
      </w:r>
      <w:r w:rsidR="0049617A">
        <w:t>International sustainability standards are made by the ISSB, or another body specified by the regulations. Standards made in Australia can therefore align with the climate-related disclosure and sustainability standards developed by the ISSB.</w:t>
      </w:r>
    </w:p>
    <w:p w14:paraId="488532D6" w14:textId="24E91A9E" w:rsidR="006A0AF7" w:rsidRDefault="006A0AF7" w:rsidP="006A0AF7">
      <w:pPr>
        <w:pStyle w:val="Normalparatextwithnumbers"/>
        <w:numPr>
          <w:ilvl w:val="0"/>
          <w:numId w:val="0"/>
        </w:numPr>
        <w:ind w:left="709"/>
      </w:pPr>
      <w:r w:rsidRPr="00634F1D">
        <w:rPr>
          <w:rStyle w:val="References"/>
        </w:rPr>
        <w:t>[Schedule xx, item</w:t>
      </w:r>
      <w:r>
        <w:rPr>
          <w:rStyle w:val="References"/>
        </w:rPr>
        <w:t xml:space="preserve"> </w:t>
      </w:r>
      <w:r w:rsidR="0049617A">
        <w:rPr>
          <w:rStyle w:val="References"/>
        </w:rPr>
        <w:t xml:space="preserve">1 and </w:t>
      </w:r>
      <w:r>
        <w:rPr>
          <w:rStyle w:val="References"/>
        </w:rPr>
        <w:t>19</w:t>
      </w:r>
      <w:r w:rsidRPr="00634F1D">
        <w:rPr>
          <w:rStyle w:val="References"/>
        </w:rPr>
        <w:t xml:space="preserve">, </w:t>
      </w:r>
      <w:r w:rsidR="0049617A">
        <w:rPr>
          <w:rStyle w:val="References"/>
        </w:rPr>
        <w:t>subsections 5(1) and</w:t>
      </w:r>
      <w:r>
        <w:rPr>
          <w:rStyle w:val="References"/>
        </w:rPr>
        <w:t xml:space="preserve"> 227(4) of the ASIC Act</w:t>
      </w:r>
      <w:r w:rsidRPr="00634F1D">
        <w:rPr>
          <w:rStyle w:val="References"/>
        </w:rPr>
        <w:t xml:space="preserve">] </w:t>
      </w:r>
    </w:p>
    <w:p w14:paraId="197106CF" w14:textId="09DFB3D0" w:rsidR="00334C0B" w:rsidRDefault="00DF0E5C" w:rsidP="00873094">
      <w:pPr>
        <w:pStyle w:val="Normalparatextwithnumbers"/>
        <w:numPr>
          <w:ilvl w:val="1"/>
          <w:numId w:val="3"/>
        </w:numPr>
      </w:pPr>
      <w:r>
        <w:lastRenderedPageBreak/>
        <w:t xml:space="preserve">However, text of an international sustainability standard may be modified if necessary to </w:t>
      </w:r>
      <w:r w:rsidR="00606875">
        <w:t>consider</w:t>
      </w:r>
      <w:r>
        <w:t xml:space="preserve"> the Australian legal or institutional environment</w:t>
      </w:r>
      <w:r w:rsidR="00DB090F">
        <w:t xml:space="preserve"> </w:t>
      </w:r>
      <w:r>
        <w:t xml:space="preserve">and to ensure that any disclosure and transparency provisions in the </w:t>
      </w:r>
      <w:r w:rsidR="00BB5D6A">
        <w:t xml:space="preserve">international </w:t>
      </w:r>
      <w:r>
        <w:t>standard are appropriate</w:t>
      </w:r>
      <w:r w:rsidR="00BB5D6A">
        <w:t xml:space="preserve"> to that environment</w:t>
      </w:r>
      <w:r>
        <w:t>.</w:t>
      </w:r>
      <w:r w:rsidR="00634F1D">
        <w:br/>
      </w:r>
      <w:r w:rsidR="00634F1D" w:rsidRPr="00634F1D">
        <w:rPr>
          <w:rStyle w:val="References"/>
        </w:rPr>
        <w:t>[Schedule xx, item</w:t>
      </w:r>
      <w:r w:rsidR="00634F1D">
        <w:rPr>
          <w:rStyle w:val="References"/>
        </w:rPr>
        <w:t xml:space="preserve"> 19</w:t>
      </w:r>
      <w:r w:rsidR="00634F1D" w:rsidRPr="00634F1D">
        <w:rPr>
          <w:rStyle w:val="References"/>
        </w:rPr>
        <w:t xml:space="preserve">, </w:t>
      </w:r>
      <w:r w:rsidR="00634F1D">
        <w:rPr>
          <w:rStyle w:val="References"/>
        </w:rPr>
        <w:t>subsections 227(5) of the ASIC Act</w:t>
      </w:r>
      <w:r w:rsidR="00634F1D" w:rsidRPr="00634F1D">
        <w:rPr>
          <w:rStyle w:val="References"/>
        </w:rPr>
        <w:t xml:space="preserve">] </w:t>
      </w:r>
    </w:p>
    <w:p w14:paraId="71506216" w14:textId="38124A4A" w:rsidR="00694D0E" w:rsidRDefault="00694D0E" w:rsidP="00873094">
      <w:pPr>
        <w:pStyle w:val="Normalparatextwithnumbers"/>
        <w:numPr>
          <w:ilvl w:val="1"/>
          <w:numId w:val="3"/>
        </w:numPr>
      </w:pPr>
      <w:r>
        <w:t xml:space="preserve">The AASB may distribute a draft international sustainability standard for consultation, </w:t>
      </w:r>
      <w:proofErr w:type="gramStart"/>
      <w:r>
        <w:t>whether or not</w:t>
      </w:r>
      <w:proofErr w:type="gramEnd"/>
      <w:r>
        <w:t xml:space="preserve"> modified. </w:t>
      </w:r>
      <w:r w:rsidR="00634F1D">
        <w:br/>
      </w:r>
      <w:r w:rsidR="00634F1D" w:rsidRPr="00634F1D">
        <w:rPr>
          <w:rStyle w:val="References"/>
        </w:rPr>
        <w:t>[Schedule xx, item</w:t>
      </w:r>
      <w:r w:rsidR="00634F1D">
        <w:rPr>
          <w:rStyle w:val="References"/>
        </w:rPr>
        <w:t xml:space="preserve"> 19</w:t>
      </w:r>
      <w:r w:rsidR="00634F1D" w:rsidRPr="00634F1D">
        <w:rPr>
          <w:rStyle w:val="References"/>
        </w:rPr>
        <w:t xml:space="preserve">, </w:t>
      </w:r>
      <w:r w:rsidR="00634F1D">
        <w:rPr>
          <w:rStyle w:val="References"/>
        </w:rPr>
        <w:t>subsection 227(6) of the ASIC Act</w:t>
      </w:r>
      <w:r w:rsidR="00634F1D" w:rsidRPr="00634F1D">
        <w:rPr>
          <w:rStyle w:val="References"/>
        </w:rPr>
        <w:t xml:space="preserve">] </w:t>
      </w:r>
    </w:p>
    <w:p w14:paraId="193C001B" w14:textId="6D4A74D3" w:rsidR="001D7A93" w:rsidRDefault="0081078B" w:rsidP="00821A66">
      <w:pPr>
        <w:pStyle w:val="Heading5"/>
      </w:pPr>
      <w:r>
        <w:t>The framework for making s</w:t>
      </w:r>
      <w:r w:rsidR="001D7A93">
        <w:t>ustainability standards</w:t>
      </w:r>
    </w:p>
    <w:p w14:paraId="52436AB3" w14:textId="27B21181" w:rsidR="009574A8" w:rsidRDefault="009574A8" w:rsidP="009574A8">
      <w:pPr>
        <w:pStyle w:val="Normalparatextwithnumbers"/>
      </w:pPr>
      <w:r>
        <w:t>Division 2 of Part 12 of the ASIC Act has been extended to set out the framework within which AASB is to make sustainability standards. The same framework applies to accounting standards.</w:t>
      </w:r>
      <w:r w:rsidR="005877C5">
        <w:br/>
      </w:r>
      <w:r w:rsidR="005877C5" w:rsidRPr="005877C5">
        <w:rPr>
          <w:rStyle w:val="References"/>
        </w:rPr>
        <w:t>[Schedule xx, item</w:t>
      </w:r>
      <w:r w:rsidR="005877C5">
        <w:rPr>
          <w:rStyle w:val="References"/>
        </w:rPr>
        <w:t xml:space="preserve"> 22</w:t>
      </w:r>
      <w:r w:rsidR="005877C5" w:rsidRPr="005877C5">
        <w:rPr>
          <w:rStyle w:val="References"/>
        </w:rPr>
        <w:t xml:space="preserve">, </w:t>
      </w:r>
      <w:r w:rsidR="005877C5">
        <w:rPr>
          <w:rStyle w:val="References"/>
        </w:rPr>
        <w:t>section 227C of the ASIC Act</w:t>
      </w:r>
      <w:r w:rsidR="005877C5" w:rsidRPr="005877C5">
        <w:rPr>
          <w:rStyle w:val="References"/>
        </w:rPr>
        <w:t xml:space="preserve">] </w:t>
      </w:r>
      <w:r>
        <w:t xml:space="preserve">  </w:t>
      </w:r>
    </w:p>
    <w:p w14:paraId="701EBBAC" w14:textId="57B3EE9B" w:rsidR="00B847A2" w:rsidRDefault="00B847A2" w:rsidP="009574A8">
      <w:pPr>
        <w:pStyle w:val="Normalparatextwithnumbers"/>
      </w:pPr>
      <w:r>
        <w:t>In formulating sustainability standards, the AASB must have regard to the suitability of a proposed standard for different types of entities. The AASB may apply different sustainability requirements to different types of entities.</w:t>
      </w:r>
      <w:r w:rsidR="002366F0">
        <w:br/>
      </w:r>
      <w:r w:rsidR="002366F0" w:rsidRPr="002366F0">
        <w:rPr>
          <w:rStyle w:val="References"/>
        </w:rPr>
        <w:t>[Schedule xx, item</w:t>
      </w:r>
      <w:r w:rsidR="002366F0">
        <w:rPr>
          <w:rStyle w:val="References"/>
        </w:rPr>
        <w:t xml:space="preserve"> 25</w:t>
      </w:r>
      <w:r w:rsidR="002366F0" w:rsidRPr="002366F0">
        <w:rPr>
          <w:rStyle w:val="References"/>
        </w:rPr>
        <w:t xml:space="preserve">, </w:t>
      </w:r>
      <w:r w:rsidR="00F52D00">
        <w:rPr>
          <w:rStyle w:val="References"/>
        </w:rPr>
        <w:t>subsection 229(3) of the ASIC Act]</w:t>
      </w:r>
      <w:r w:rsidR="002366F0" w:rsidRPr="002366F0">
        <w:rPr>
          <w:rStyle w:val="References"/>
        </w:rPr>
        <w:t xml:space="preserve"> </w:t>
      </w:r>
    </w:p>
    <w:p w14:paraId="0DF2B5C1" w14:textId="2E1DA4E9" w:rsidR="00B847A2" w:rsidRDefault="00C8052B" w:rsidP="009574A8">
      <w:pPr>
        <w:pStyle w:val="Normalparatextwithnumbers"/>
      </w:pPr>
      <w:r>
        <w:t xml:space="preserve">A failure to comply with the framework for </w:t>
      </w:r>
      <w:r w:rsidR="00D4079A">
        <w:t>making or formulating</w:t>
      </w:r>
      <w:r>
        <w:t xml:space="preserve"> standards does not affect the validity of the standard. This applies to both sustainability standards and accounting standards. </w:t>
      </w:r>
      <w:r w:rsidR="00F52D00">
        <w:br/>
      </w:r>
      <w:r w:rsidR="00F52D00" w:rsidRPr="00F52D00">
        <w:rPr>
          <w:rStyle w:val="References"/>
        </w:rPr>
        <w:t xml:space="preserve">[Schedule xx, </w:t>
      </w:r>
      <w:r w:rsidR="00F52D00">
        <w:rPr>
          <w:rStyle w:val="References"/>
        </w:rPr>
        <w:t>item 28</w:t>
      </w:r>
      <w:r w:rsidR="00F52D00" w:rsidRPr="00F52D00">
        <w:rPr>
          <w:rStyle w:val="References"/>
        </w:rPr>
        <w:t xml:space="preserve">, </w:t>
      </w:r>
      <w:r w:rsidR="00F52D00">
        <w:rPr>
          <w:rStyle w:val="References"/>
        </w:rPr>
        <w:t>section 234 of the ASIC Act</w:t>
      </w:r>
      <w:r w:rsidR="00F52D00" w:rsidRPr="00F52D00">
        <w:rPr>
          <w:rStyle w:val="References"/>
        </w:rPr>
        <w:t xml:space="preserve">] </w:t>
      </w:r>
    </w:p>
    <w:p w14:paraId="338C9A2A" w14:textId="7D364F9F" w:rsidR="005877C5" w:rsidRDefault="005877C5" w:rsidP="005877C5">
      <w:pPr>
        <w:pStyle w:val="Normalparatextwithnumbers"/>
      </w:pPr>
      <w:r>
        <w:t xml:space="preserve">Provisions relating to the framework for making accounting standards and sustainability standards have been amended and restructured to improve readability. </w:t>
      </w:r>
      <w:r>
        <w:br/>
      </w:r>
      <w:r w:rsidRPr="00634F1D">
        <w:rPr>
          <w:rStyle w:val="References"/>
        </w:rPr>
        <w:t>[Schedule xx, item</w:t>
      </w:r>
      <w:r>
        <w:rPr>
          <w:rStyle w:val="References"/>
        </w:rPr>
        <w:t xml:space="preserve"> 21, 23, 24, 26 and 27, </w:t>
      </w:r>
      <w:r w:rsidR="002366F0">
        <w:rPr>
          <w:rStyle w:val="References"/>
        </w:rPr>
        <w:t>Division 2 of Part 12 (heading), subsections 228(1) and (2), subsection 229(1), subsection 231(1) and subsection 231(2) of the ASIC Act</w:t>
      </w:r>
      <w:r w:rsidRPr="00634F1D">
        <w:rPr>
          <w:rStyle w:val="References"/>
        </w:rPr>
        <w:t xml:space="preserve">] </w:t>
      </w:r>
    </w:p>
    <w:p w14:paraId="3196C8C1" w14:textId="158F4579" w:rsidR="00D61361" w:rsidRDefault="00D61361" w:rsidP="00821A66">
      <w:pPr>
        <w:pStyle w:val="Heading5"/>
      </w:pPr>
      <w:r>
        <w:t>Administration of the AASB</w:t>
      </w:r>
    </w:p>
    <w:p w14:paraId="77FEBFEB" w14:textId="7FA3BCB3" w:rsidR="00D61361" w:rsidRDefault="00D61361" w:rsidP="00D61361">
      <w:pPr>
        <w:pStyle w:val="Normalparatextwithnumbers"/>
      </w:pPr>
      <w:r>
        <w:t>The procedures of the AASB are amended to account for sustainability standards. A meeting of the AASB (or part of</w:t>
      </w:r>
      <w:r w:rsidR="00AD51F6">
        <w:t xml:space="preserve"> a meeting</w:t>
      </w:r>
      <w:r>
        <w:t xml:space="preserve">) that concerns the contents of a sustainability standard </w:t>
      </w:r>
      <w:r w:rsidR="00D4079A">
        <w:t xml:space="preserve">or an international sustainability standard </w:t>
      </w:r>
      <w:r>
        <w:t>must be held in public.</w:t>
      </w:r>
      <w:r w:rsidR="006F2001">
        <w:br/>
      </w:r>
      <w:r w:rsidR="006F2001" w:rsidRPr="006F2001">
        <w:rPr>
          <w:rStyle w:val="References"/>
        </w:rPr>
        <w:t>[Schedule xx, item</w:t>
      </w:r>
      <w:r w:rsidR="006F2001">
        <w:rPr>
          <w:rStyle w:val="References"/>
        </w:rPr>
        <w:t xml:space="preserve"> 29, subsection </w:t>
      </w:r>
      <w:r w:rsidR="0083197B">
        <w:rPr>
          <w:rStyle w:val="References"/>
        </w:rPr>
        <w:t>236</w:t>
      </w:r>
      <w:proofErr w:type="gramStart"/>
      <w:r w:rsidR="0083197B">
        <w:rPr>
          <w:rStyle w:val="References"/>
        </w:rPr>
        <w:t>A(</w:t>
      </w:r>
      <w:proofErr w:type="gramEnd"/>
      <w:r w:rsidR="0083197B">
        <w:rPr>
          <w:rStyle w:val="References"/>
        </w:rPr>
        <w:t>2) of the ASIC Act</w:t>
      </w:r>
      <w:r w:rsidR="006F2001" w:rsidRPr="006F2001">
        <w:rPr>
          <w:rStyle w:val="References"/>
        </w:rPr>
        <w:t xml:space="preserve">] </w:t>
      </w:r>
    </w:p>
    <w:p w14:paraId="0D4E573E" w14:textId="31C76CAA" w:rsidR="00D61361" w:rsidRDefault="00D61361" w:rsidP="00D61361">
      <w:pPr>
        <w:pStyle w:val="Normalparatextwithnumbers"/>
      </w:pPr>
      <w:r>
        <w:t xml:space="preserve">The </w:t>
      </w:r>
      <w:r w:rsidR="00D4079A">
        <w:t xml:space="preserve">qualification requirements for the </w:t>
      </w:r>
      <w:r>
        <w:t xml:space="preserve">appointment of members of the AASB </w:t>
      </w:r>
      <w:r w:rsidR="00AD51F6">
        <w:t xml:space="preserve">has </w:t>
      </w:r>
      <w:r>
        <w:t xml:space="preserve">also been amended to account for sustainability standards. A person must not be appointed unless they have knowledge of, or experience in, business, accounting, law, government, science, </w:t>
      </w:r>
      <w:proofErr w:type="gramStart"/>
      <w:r>
        <w:t>sustainability</w:t>
      </w:r>
      <w:proofErr w:type="gramEnd"/>
      <w:r>
        <w:t xml:space="preserve"> or climate change. </w:t>
      </w:r>
      <w:r w:rsidR="0083197B">
        <w:br/>
      </w:r>
      <w:r w:rsidR="0083197B" w:rsidRPr="0083197B">
        <w:rPr>
          <w:rStyle w:val="References"/>
        </w:rPr>
        <w:t>[Schedule xx, item</w:t>
      </w:r>
      <w:r w:rsidR="0083197B">
        <w:rPr>
          <w:rStyle w:val="References"/>
        </w:rPr>
        <w:t xml:space="preserve"> 30</w:t>
      </w:r>
      <w:r w:rsidR="0083197B" w:rsidRPr="0083197B">
        <w:rPr>
          <w:rStyle w:val="References"/>
        </w:rPr>
        <w:t xml:space="preserve">, </w:t>
      </w:r>
      <w:r w:rsidR="0083197B">
        <w:rPr>
          <w:rStyle w:val="References"/>
        </w:rPr>
        <w:t>subsection 236</w:t>
      </w:r>
      <w:proofErr w:type="gramStart"/>
      <w:r w:rsidR="0083197B">
        <w:rPr>
          <w:rStyle w:val="References"/>
        </w:rPr>
        <w:t>B(</w:t>
      </w:r>
      <w:proofErr w:type="gramEnd"/>
      <w:r w:rsidR="0083197B">
        <w:rPr>
          <w:rStyle w:val="References"/>
        </w:rPr>
        <w:t>3)</w:t>
      </w:r>
      <w:r w:rsidR="0083197B" w:rsidRPr="0083197B">
        <w:rPr>
          <w:rStyle w:val="References"/>
        </w:rPr>
        <w:t xml:space="preserve">] </w:t>
      </w:r>
    </w:p>
    <w:p w14:paraId="52E4D0D9" w14:textId="1B93DB77" w:rsidR="009574A8" w:rsidRDefault="009574A8" w:rsidP="009574A8">
      <w:pPr>
        <w:pStyle w:val="Heading3"/>
      </w:pPr>
      <w:bookmarkStart w:id="50" w:name="_Toc119583943"/>
      <w:r>
        <w:lastRenderedPageBreak/>
        <w:t>The role of the AUASB</w:t>
      </w:r>
      <w:bookmarkEnd w:id="50"/>
    </w:p>
    <w:p w14:paraId="12572040" w14:textId="0700B7BB" w:rsidR="009574A8" w:rsidRDefault="009574A8" w:rsidP="009574A8">
      <w:pPr>
        <w:pStyle w:val="Normalparatextwithnumbers"/>
      </w:pPr>
      <w:r>
        <w:t xml:space="preserve">The AUASB functions are expanded to include formulating auditing and assurance standards for sustainability purposes. </w:t>
      </w:r>
      <w:r w:rsidR="0083197B">
        <w:br/>
      </w:r>
      <w:r w:rsidR="0083197B" w:rsidRPr="0083197B">
        <w:rPr>
          <w:rStyle w:val="References"/>
        </w:rPr>
        <w:t>[Schedule xx, item</w:t>
      </w:r>
      <w:r w:rsidR="007E7755">
        <w:rPr>
          <w:rStyle w:val="References"/>
        </w:rPr>
        <w:t xml:space="preserve"> 20</w:t>
      </w:r>
      <w:r w:rsidR="0083197B" w:rsidRPr="0083197B">
        <w:rPr>
          <w:rStyle w:val="References"/>
        </w:rPr>
        <w:t xml:space="preserve">, </w:t>
      </w:r>
      <w:r w:rsidR="007E7755">
        <w:rPr>
          <w:rStyle w:val="References"/>
        </w:rPr>
        <w:t>paragraph 227B(1)(b) of the ASIC Act</w:t>
      </w:r>
      <w:r w:rsidR="0083197B" w:rsidRPr="0083197B">
        <w:rPr>
          <w:rStyle w:val="References"/>
        </w:rPr>
        <w:t xml:space="preserve">] </w:t>
      </w:r>
    </w:p>
    <w:p w14:paraId="160BAB30" w14:textId="509AC5A6" w:rsidR="00D61361" w:rsidRDefault="00D61361" w:rsidP="00821A66">
      <w:pPr>
        <w:pStyle w:val="Heading5"/>
      </w:pPr>
      <w:r>
        <w:t>Administration of the A</w:t>
      </w:r>
      <w:r w:rsidR="00AD51F6">
        <w:t>U</w:t>
      </w:r>
      <w:r>
        <w:t>ASB</w:t>
      </w:r>
    </w:p>
    <w:p w14:paraId="672E3F3B" w14:textId="771A59B6" w:rsidR="00D61361" w:rsidRDefault="00D61361" w:rsidP="00D61361">
      <w:pPr>
        <w:pStyle w:val="Normalparatextwithnumbers"/>
      </w:pPr>
      <w:r>
        <w:t xml:space="preserve">The </w:t>
      </w:r>
      <w:r w:rsidR="00D4079A">
        <w:t xml:space="preserve">qualification requirements for the </w:t>
      </w:r>
      <w:r>
        <w:t>appointment of members of the AUASB ha</w:t>
      </w:r>
      <w:r w:rsidR="00E13903">
        <w:t>s</w:t>
      </w:r>
      <w:r>
        <w:t xml:space="preserve"> </w:t>
      </w:r>
      <w:r w:rsidR="00D4079A">
        <w:t xml:space="preserve">similarly </w:t>
      </w:r>
      <w:r>
        <w:t xml:space="preserve">been amended to account for sustainability standards. A person must not be appointed unless they have knowledge of, or experience in, business, accounting, law, government, science, </w:t>
      </w:r>
      <w:proofErr w:type="gramStart"/>
      <w:r>
        <w:t>sustainability</w:t>
      </w:r>
      <w:proofErr w:type="gramEnd"/>
      <w:r>
        <w:t xml:space="preserve"> or climate change. </w:t>
      </w:r>
      <w:r w:rsidR="00B7694E">
        <w:br/>
      </w:r>
      <w:r w:rsidR="00B7694E" w:rsidRPr="00B7694E">
        <w:rPr>
          <w:rStyle w:val="References"/>
        </w:rPr>
        <w:t>[Schedule xx, item</w:t>
      </w:r>
      <w:r w:rsidR="007E7755">
        <w:rPr>
          <w:rStyle w:val="References"/>
        </w:rPr>
        <w:t xml:space="preserve"> 31</w:t>
      </w:r>
      <w:r w:rsidR="00B7694E" w:rsidRPr="00B7694E">
        <w:rPr>
          <w:rStyle w:val="References"/>
        </w:rPr>
        <w:t xml:space="preserve">, </w:t>
      </w:r>
      <w:r w:rsidR="007E7755">
        <w:rPr>
          <w:rStyle w:val="References"/>
        </w:rPr>
        <w:t>subsection 236</w:t>
      </w:r>
      <w:proofErr w:type="gramStart"/>
      <w:r w:rsidR="007E7755">
        <w:rPr>
          <w:rStyle w:val="References"/>
        </w:rPr>
        <w:t>F(</w:t>
      </w:r>
      <w:proofErr w:type="gramEnd"/>
      <w:r w:rsidR="007E7755">
        <w:rPr>
          <w:rStyle w:val="References"/>
        </w:rPr>
        <w:t>4) of the ASIC Act</w:t>
      </w:r>
      <w:r w:rsidR="00B7694E" w:rsidRPr="00B7694E">
        <w:rPr>
          <w:rStyle w:val="References"/>
        </w:rPr>
        <w:t xml:space="preserve">] </w:t>
      </w:r>
    </w:p>
    <w:p w14:paraId="50ECEB48" w14:textId="77777777" w:rsidR="004166E0" w:rsidRDefault="004166E0" w:rsidP="004166E0">
      <w:pPr>
        <w:pStyle w:val="Heading3"/>
      </w:pPr>
      <w:bookmarkStart w:id="51" w:name="_Toc119583944"/>
      <w:r>
        <w:t>The role of the FRC</w:t>
      </w:r>
      <w:bookmarkEnd w:id="51"/>
    </w:p>
    <w:p w14:paraId="2C0AFEE0" w14:textId="4E0B6D00" w:rsidR="004166E0" w:rsidRDefault="004166E0" w:rsidP="004166E0">
      <w:pPr>
        <w:pStyle w:val="Normalparatextwithnumbers"/>
        <w:numPr>
          <w:ilvl w:val="1"/>
          <w:numId w:val="3"/>
        </w:numPr>
      </w:pPr>
      <w:r>
        <w:t>The law expands FRC’s oversight and governance powers</w:t>
      </w:r>
      <w:r w:rsidR="007223B8">
        <w:t xml:space="preserve"> to account for the development of sustainability standards.</w:t>
      </w:r>
    </w:p>
    <w:p w14:paraId="20B8AC3C" w14:textId="13EA87B2" w:rsidR="007223B8" w:rsidRDefault="007223B8" w:rsidP="004166E0">
      <w:pPr>
        <w:pStyle w:val="Normalparatextwithnumbers"/>
        <w:numPr>
          <w:ilvl w:val="1"/>
          <w:numId w:val="3"/>
        </w:numPr>
      </w:pPr>
      <w:r>
        <w:t xml:space="preserve">The FRC has broad oversight of the processes for </w:t>
      </w:r>
      <w:r w:rsidR="00852F23">
        <w:t xml:space="preserve">developing </w:t>
      </w:r>
      <w:r>
        <w:t xml:space="preserve">sustainability standards in Australia. These standards replicate FRC’s existing standards functions in relation to accounting standards and auditing standards. </w:t>
      </w:r>
      <w:r w:rsidR="004B0D1C">
        <w:br/>
      </w:r>
      <w:r w:rsidR="004B0D1C" w:rsidRPr="004B0D1C">
        <w:rPr>
          <w:rStyle w:val="References"/>
        </w:rPr>
        <w:t>[Schedule xx, item</w:t>
      </w:r>
      <w:r w:rsidR="004B0D1C">
        <w:rPr>
          <w:rStyle w:val="References"/>
        </w:rPr>
        <w:t xml:space="preserve"> 5 and 8</w:t>
      </w:r>
      <w:r w:rsidR="004B0D1C" w:rsidRPr="004B0D1C">
        <w:rPr>
          <w:rStyle w:val="References"/>
        </w:rPr>
        <w:t xml:space="preserve">, </w:t>
      </w:r>
      <w:r w:rsidR="004B0D1C">
        <w:rPr>
          <w:rStyle w:val="References"/>
        </w:rPr>
        <w:t>paragraph 225(1)(a) and subsection 225(1A) of the ASIC Act</w:t>
      </w:r>
      <w:r w:rsidR="004B0D1C" w:rsidRPr="004B0D1C">
        <w:rPr>
          <w:rStyle w:val="References"/>
        </w:rPr>
        <w:t xml:space="preserve">] </w:t>
      </w:r>
    </w:p>
    <w:p w14:paraId="3978B621" w14:textId="31454327" w:rsidR="007223B8" w:rsidRDefault="004B0D1C" w:rsidP="007223B8">
      <w:pPr>
        <w:pStyle w:val="Normalparatextwithnumbers"/>
        <w:numPr>
          <w:ilvl w:val="1"/>
          <w:numId w:val="3"/>
        </w:numPr>
      </w:pPr>
      <w:r>
        <w:t xml:space="preserve">Provisions relating to the role of the FRC have </w:t>
      </w:r>
      <w:r w:rsidR="007223B8">
        <w:t xml:space="preserve">been </w:t>
      </w:r>
      <w:r>
        <w:t xml:space="preserve">amended and </w:t>
      </w:r>
      <w:r w:rsidR="007223B8">
        <w:t>restructured for readability.</w:t>
      </w:r>
      <w:r>
        <w:br/>
      </w:r>
      <w:r w:rsidRPr="004B0D1C">
        <w:rPr>
          <w:rStyle w:val="References"/>
        </w:rPr>
        <w:t>[Schedule xx, item</w:t>
      </w:r>
      <w:r w:rsidR="00280D44">
        <w:rPr>
          <w:rStyle w:val="References"/>
        </w:rPr>
        <w:t xml:space="preserve"> 6, 7, 9 to 14, paragraph 225(1)(a), (d and (e), subsection 225(2)(c), (e) to (h)</w:t>
      </w:r>
      <w:r w:rsidR="008B56B3">
        <w:rPr>
          <w:rStyle w:val="References"/>
        </w:rPr>
        <w:t>, subsection 225(2A) (heading), paragraph 225(2</w:t>
      </w:r>
      <w:proofErr w:type="gramStart"/>
      <w:r w:rsidR="008B56B3">
        <w:rPr>
          <w:rStyle w:val="References"/>
        </w:rPr>
        <w:t>A)(</w:t>
      </w:r>
      <w:proofErr w:type="gramEnd"/>
      <w:r w:rsidR="008B56B3">
        <w:rPr>
          <w:rStyle w:val="References"/>
        </w:rPr>
        <w:t>c), (e) to (h) of the ASIC Act</w:t>
      </w:r>
      <w:r w:rsidR="00280D44">
        <w:rPr>
          <w:rStyle w:val="References"/>
        </w:rPr>
        <w:t xml:space="preserve"> </w:t>
      </w:r>
      <w:r w:rsidRPr="004B0D1C">
        <w:rPr>
          <w:rStyle w:val="References"/>
        </w:rPr>
        <w:t xml:space="preserve">] </w:t>
      </w:r>
    </w:p>
    <w:p w14:paraId="6D324BB7" w14:textId="5F8BCBDB" w:rsidR="000305D4" w:rsidRDefault="000305D4" w:rsidP="000305D4">
      <w:pPr>
        <w:pStyle w:val="Heading3"/>
      </w:pPr>
      <w:bookmarkStart w:id="52" w:name="_Toc119583945"/>
      <w:r>
        <w:t>Confidentiality</w:t>
      </w:r>
      <w:bookmarkEnd w:id="52"/>
    </w:p>
    <w:p w14:paraId="78CF3834" w14:textId="2BD0728F" w:rsidR="000305D4" w:rsidRDefault="000305D4" w:rsidP="007223B8">
      <w:pPr>
        <w:pStyle w:val="Normalparatextwithnumbers"/>
        <w:numPr>
          <w:ilvl w:val="1"/>
          <w:numId w:val="3"/>
        </w:numPr>
      </w:pPr>
      <w:r w:rsidRPr="000305D4">
        <w:t>The FRC, the AASB, the Office of the AASB, the AUASB and the Office of the AUASB must take all reasonable measures to protect from unauthorised use or disclosure information given to it in confidence.</w:t>
      </w:r>
      <w:r>
        <w:t xml:space="preserve"> Disclosure of information to bodies that set international sustainability standards is taken to be authorised.</w:t>
      </w:r>
      <w:r>
        <w:br/>
      </w:r>
      <w:r w:rsidRPr="000305D4">
        <w:rPr>
          <w:rStyle w:val="References"/>
        </w:rPr>
        <w:t>[Schedule xx, item</w:t>
      </w:r>
      <w:r>
        <w:rPr>
          <w:rStyle w:val="References"/>
        </w:rPr>
        <w:t xml:space="preserve"> 32</w:t>
      </w:r>
      <w:r w:rsidRPr="000305D4">
        <w:rPr>
          <w:rStyle w:val="References"/>
        </w:rPr>
        <w:t xml:space="preserve">, </w:t>
      </w:r>
      <w:r>
        <w:rPr>
          <w:rStyle w:val="References"/>
        </w:rPr>
        <w:t>paragraph 237(2)(c) of the ASIC Act</w:t>
      </w:r>
      <w:r w:rsidRPr="000305D4">
        <w:rPr>
          <w:rStyle w:val="References"/>
        </w:rPr>
        <w:t xml:space="preserve">] </w:t>
      </w:r>
    </w:p>
    <w:p w14:paraId="42FAFD55" w14:textId="78132FA7" w:rsidR="00873094" w:rsidRPr="00020288" w:rsidRDefault="00873094" w:rsidP="00AF50CE">
      <w:pPr>
        <w:pStyle w:val="Heading2"/>
      </w:pPr>
      <w:bookmarkStart w:id="53" w:name="_Toc119583946"/>
      <w:bookmarkStart w:id="54" w:name="_Toc78193246"/>
      <w:bookmarkStart w:id="55" w:name="_Toc78193403"/>
      <w:bookmarkStart w:id="56" w:name="_Toc78548476"/>
      <w:bookmarkStart w:id="57" w:name="_Toc78549747"/>
      <w:bookmarkStart w:id="58" w:name="_Toc78549791"/>
      <w:r w:rsidRPr="00020288">
        <w:lastRenderedPageBreak/>
        <w:t>Commencement</w:t>
      </w:r>
      <w:r w:rsidRPr="00020288" w:rsidDel="00F9457D">
        <w:t xml:space="preserve"> </w:t>
      </w:r>
      <w:r w:rsidRPr="00020288">
        <w:t>provisions</w:t>
      </w:r>
      <w:bookmarkEnd w:id="53"/>
    </w:p>
    <w:p w14:paraId="35B5F191" w14:textId="57315525" w:rsidR="00B77D03" w:rsidRDefault="005D7B0E" w:rsidP="002A1A3C">
      <w:pPr>
        <w:pStyle w:val="Normalparatextwithnumbers"/>
        <w:numPr>
          <w:ilvl w:val="1"/>
          <w:numId w:val="3"/>
        </w:numPr>
        <w:spacing w:after="0" w:line="360" w:lineRule="auto"/>
        <w:contextualSpacing/>
      </w:pPr>
      <w:r>
        <w:t xml:space="preserve">Schedule </w:t>
      </w:r>
      <w:r w:rsidR="00DE4FB0">
        <w:t>XX</w:t>
      </w:r>
      <w:r>
        <w:t xml:space="preserve"> will commence t</w:t>
      </w:r>
      <w:r w:rsidR="001B59D9">
        <w:t xml:space="preserve">he day after Royal Assent. </w:t>
      </w:r>
      <w:bookmarkStart w:id="59" w:name="_Hlk83390738"/>
      <w:bookmarkEnd w:id="42"/>
      <w:r w:rsidR="00D14A26">
        <w:t xml:space="preserve"> </w:t>
      </w:r>
      <w:bookmarkStart w:id="60" w:name="RISGoesHere"/>
      <w:bookmarkEnd w:id="5"/>
      <w:bookmarkEnd w:id="54"/>
      <w:bookmarkEnd w:id="55"/>
      <w:bookmarkEnd w:id="56"/>
      <w:bookmarkEnd w:id="57"/>
      <w:bookmarkEnd w:id="58"/>
      <w:bookmarkEnd w:id="59"/>
      <w:bookmarkEnd w:id="60"/>
    </w:p>
    <w:sectPr w:rsidR="00B77D03" w:rsidSect="00000BFC">
      <w:headerReference w:type="even" r:id="rId25"/>
      <w:headerReference w:type="default" r:id="rId26"/>
      <w:head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B357" w14:textId="77777777" w:rsidR="00F82BC0" w:rsidRDefault="00F82BC0">
      <w:pPr>
        <w:spacing w:before="0" w:after="0"/>
      </w:pPr>
      <w:r>
        <w:separator/>
      </w:r>
    </w:p>
  </w:endnote>
  <w:endnote w:type="continuationSeparator" w:id="0">
    <w:p w14:paraId="40EFAAC9" w14:textId="77777777" w:rsidR="00F82BC0" w:rsidRDefault="00F82BC0">
      <w:pPr>
        <w:spacing w:before="0" w:after="0"/>
      </w:pPr>
      <w:r>
        <w:continuationSeparator/>
      </w:r>
    </w:p>
  </w:endnote>
  <w:endnote w:type="continuationNotice" w:id="1">
    <w:p w14:paraId="1ABEB8D3" w14:textId="77777777" w:rsidR="00F82BC0" w:rsidRDefault="00F82B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D7B9" w14:textId="048C0F27" w:rsidR="00BB0277" w:rsidRDefault="00BB0277" w:rsidP="00BB0277">
    <w:pPr>
      <w:pStyle w:val="rightfooter"/>
    </w:pP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FF6E" w14:textId="48464C37" w:rsidR="00BB0277" w:rsidRDefault="00BB0277" w:rsidP="00BB0277">
    <w:pPr>
      <w:pStyle w:val="rightfooter"/>
    </w:pPr>
    <w:r>
      <w:fldChar w:fldCharType="begin"/>
    </w:r>
    <w:r>
      <w:instrText xml:space="preserve"> PAGE   \* MERGEFORMAT </w:instrText>
    </w:r>
    <w:r>
      <w:fldChar w:fldCharType="separate"/>
    </w:r>
    <w: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610"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A9C2"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EA84"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8BE0" w14:textId="77777777" w:rsidR="00F82BC0" w:rsidRDefault="00F82BC0">
      <w:pPr>
        <w:spacing w:before="0" w:after="0"/>
      </w:pPr>
      <w:r>
        <w:separator/>
      </w:r>
    </w:p>
  </w:footnote>
  <w:footnote w:type="continuationSeparator" w:id="0">
    <w:p w14:paraId="01864DB8" w14:textId="77777777" w:rsidR="00F82BC0" w:rsidRDefault="00F82BC0">
      <w:pPr>
        <w:spacing w:before="0" w:after="0"/>
      </w:pPr>
      <w:r>
        <w:continuationSeparator/>
      </w:r>
    </w:p>
  </w:footnote>
  <w:footnote w:type="continuationNotice" w:id="1">
    <w:p w14:paraId="4121CAAD" w14:textId="77777777" w:rsidR="00F82BC0" w:rsidRDefault="00F82B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5867C9A" w14:textId="77777777" w:rsidR="007A2DBD" w:rsidRDefault="00F82BC0">
        <w:pPr>
          <w:pStyle w:val="Header"/>
        </w:pPr>
        <w:r>
          <w:rPr>
            <w:noProof/>
          </w:rPr>
          <w:pict w14:anchorId="28ABD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1199"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F8B1"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1115" w14:textId="020E6A14"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F736C4">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10A7"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9C26" w14:textId="360F89F9" w:rsidR="007A2DBD" w:rsidRPr="00816825" w:rsidRDefault="00F82BC0" w:rsidP="002425D9">
    <w:pPr>
      <w:pStyle w:val="leftheader"/>
    </w:pPr>
    <w:r>
      <w:fldChar w:fldCharType="begin"/>
    </w:r>
    <w:r>
      <w:instrText xml:space="preserve"> STYLEREF  "Heading 1"  \* MERGEFORMAT </w:instrText>
    </w:r>
    <w:r>
      <w:fldChar w:fldCharType="separate"/>
    </w:r>
    <w:r w:rsidR="009D4B9E" w:rsidRPr="009D4B9E">
      <w:rPr>
        <w:noProof/>
        <w:lang w:val="en-US"/>
      </w:rPr>
      <w:t>Glossary</w: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8383"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BEB1"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5EDE" w14:textId="50054F05" w:rsidR="007A2DBD" w:rsidRPr="002950B8" w:rsidRDefault="00F82BC0" w:rsidP="002950B8">
    <w:pPr>
      <w:pStyle w:val="leftheader"/>
    </w:pPr>
    <w:r>
      <w:fldChar w:fldCharType="begin"/>
    </w:r>
    <w:r>
      <w:instrText xml:space="preserve"> STYLEREF  "Chapter heading"  \* MERGEFORMAT </w:instrText>
    </w:r>
    <w:r>
      <w:fldChar w:fldCharType="separate"/>
    </w:r>
    <w:r w:rsidR="009D4B9E">
      <w:rPr>
        <w:noProof/>
      </w:rPr>
      <w:t>Function to develop sustainability standards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8683" w14:textId="26BA5EA4" w:rsidR="007A2DBD" w:rsidRPr="002950B8" w:rsidRDefault="00F82BC0" w:rsidP="002950B8">
    <w:pPr>
      <w:pStyle w:val="rightheader"/>
    </w:pPr>
    <w:r>
      <w:fldChar w:fldCharType="begin"/>
    </w:r>
    <w:r>
      <w:instrText xml:space="preserve"> STYLEREF "Bill Name" \* MERGEFORMAT </w:instrText>
    </w:r>
    <w:r>
      <w:fldChar w:fldCharType="separate"/>
    </w:r>
    <w:r w:rsidR="009D4B9E" w:rsidRPr="009D4B9E">
      <w:rPr>
        <w:b/>
        <w:bCs/>
        <w:noProof/>
        <w:lang w:val="en-US"/>
      </w:rPr>
      <w:t>Treasury</w:t>
    </w:r>
    <w:r w:rsidR="009D4B9E">
      <w:rPr>
        <w:noProof/>
      </w:rPr>
      <w:t xml:space="preserve"> Laws Amendment (Measures for Consultation) Bill 2022: sustainability standards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2"/>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0"/>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1"/>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AA"/>
    <w:rsid w:val="00000BFC"/>
    <w:rsid w:val="00002CA5"/>
    <w:rsid w:val="00017B8A"/>
    <w:rsid w:val="00021DAA"/>
    <w:rsid w:val="000305D4"/>
    <w:rsid w:val="00040058"/>
    <w:rsid w:val="00047FF2"/>
    <w:rsid w:val="00066621"/>
    <w:rsid w:val="00085879"/>
    <w:rsid w:val="00087F47"/>
    <w:rsid w:val="00087FE9"/>
    <w:rsid w:val="00090A2C"/>
    <w:rsid w:val="000A3230"/>
    <w:rsid w:val="000A5082"/>
    <w:rsid w:val="000B6B3E"/>
    <w:rsid w:val="000B7D6E"/>
    <w:rsid w:val="000D3800"/>
    <w:rsid w:val="000D4CC3"/>
    <w:rsid w:val="000E4D39"/>
    <w:rsid w:val="000E521B"/>
    <w:rsid w:val="000F229B"/>
    <w:rsid w:val="001009B9"/>
    <w:rsid w:val="00105E85"/>
    <w:rsid w:val="00105FAA"/>
    <w:rsid w:val="00106FDC"/>
    <w:rsid w:val="00115509"/>
    <w:rsid w:val="001227A2"/>
    <w:rsid w:val="00125800"/>
    <w:rsid w:val="00132A98"/>
    <w:rsid w:val="00141701"/>
    <w:rsid w:val="001465C6"/>
    <w:rsid w:val="00157FCF"/>
    <w:rsid w:val="00163457"/>
    <w:rsid w:val="00166B5F"/>
    <w:rsid w:val="00170C78"/>
    <w:rsid w:val="001741A2"/>
    <w:rsid w:val="00182621"/>
    <w:rsid w:val="00190939"/>
    <w:rsid w:val="00195D1C"/>
    <w:rsid w:val="001A36E0"/>
    <w:rsid w:val="001A6C09"/>
    <w:rsid w:val="001B07FA"/>
    <w:rsid w:val="001B1306"/>
    <w:rsid w:val="001B59D9"/>
    <w:rsid w:val="001C5CBF"/>
    <w:rsid w:val="001D198A"/>
    <w:rsid w:val="001D7A93"/>
    <w:rsid w:val="001E01BF"/>
    <w:rsid w:val="001E0557"/>
    <w:rsid w:val="00207FD7"/>
    <w:rsid w:val="00214F49"/>
    <w:rsid w:val="00215EB6"/>
    <w:rsid w:val="00230C17"/>
    <w:rsid w:val="0023409D"/>
    <w:rsid w:val="0023663D"/>
    <w:rsid w:val="00236699"/>
    <w:rsid w:val="002366F0"/>
    <w:rsid w:val="002425D9"/>
    <w:rsid w:val="00242B2A"/>
    <w:rsid w:val="0024784F"/>
    <w:rsid w:val="00250715"/>
    <w:rsid w:val="00250844"/>
    <w:rsid w:val="00260A52"/>
    <w:rsid w:val="00260B8B"/>
    <w:rsid w:val="002704BC"/>
    <w:rsid w:val="00274D5C"/>
    <w:rsid w:val="00276753"/>
    <w:rsid w:val="00280D44"/>
    <w:rsid w:val="00280FA9"/>
    <w:rsid w:val="002872AB"/>
    <w:rsid w:val="002935AC"/>
    <w:rsid w:val="002950B8"/>
    <w:rsid w:val="00297081"/>
    <w:rsid w:val="002A2137"/>
    <w:rsid w:val="002A52E5"/>
    <w:rsid w:val="002B0B67"/>
    <w:rsid w:val="002B13DC"/>
    <w:rsid w:val="002B1D9E"/>
    <w:rsid w:val="002B623C"/>
    <w:rsid w:val="002B6F60"/>
    <w:rsid w:val="002B737A"/>
    <w:rsid w:val="002C2DDF"/>
    <w:rsid w:val="002C78D6"/>
    <w:rsid w:val="002D080A"/>
    <w:rsid w:val="002F1CB0"/>
    <w:rsid w:val="002F4B60"/>
    <w:rsid w:val="002F5302"/>
    <w:rsid w:val="0031198F"/>
    <w:rsid w:val="003151C4"/>
    <w:rsid w:val="00315D81"/>
    <w:rsid w:val="0032758C"/>
    <w:rsid w:val="00334C0B"/>
    <w:rsid w:val="003510A8"/>
    <w:rsid w:val="00351274"/>
    <w:rsid w:val="00351D4D"/>
    <w:rsid w:val="0035340F"/>
    <w:rsid w:val="00354B62"/>
    <w:rsid w:val="003556BF"/>
    <w:rsid w:val="0036790F"/>
    <w:rsid w:val="00374FF0"/>
    <w:rsid w:val="00386DB3"/>
    <w:rsid w:val="00387402"/>
    <w:rsid w:val="003927E2"/>
    <w:rsid w:val="0039391C"/>
    <w:rsid w:val="003971ED"/>
    <w:rsid w:val="003A0372"/>
    <w:rsid w:val="003A36FA"/>
    <w:rsid w:val="003B578E"/>
    <w:rsid w:val="003C1427"/>
    <w:rsid w:val="003D38C4"/>
    <w:rsid w:val="003F1AD7"/>
    <w:rsid w:val="00414017"/>
    <w:rsid w:val="004166E0"/>
    <w:rsid w:val="00427EDF"/>
    <w:rsid w:val="00430A32"/>
    <w:rsid w:val="004603EF"/>
    <w:rsid w:val="00461FD4"/>
    <w:rsid w:val="0047593B"/>
    <w:rsid w:val="00477C04"/>
    <w:rsid w:val="00485FD0"/>
    <w:rsid w:val="004900A8"/>
    <w:rsid w:val="00492729"/>
    <w:rsid w:val="0049617A"/>
    <w:rsid w:val="00496642"/>
    <w:rsid w:val="00496759"/>
    <w:rsid w:val="00496C21"/>
    <w:rsid w:val="004971E2"/>
    <w:rsid w:val="004A671D"/>
    <w:rsid w:val="004B0D1C"/>
    <w:rsid w:val="004B1C70"/>
    <w:rsid w:val="004B1F33"/>
    <w:rsid w:val="004F23C3"/>
    <w:rsid w:val="004F7C15"/>
    <w:rsid w:val="00505347"/>
    <w:rsid w:val="005066F5"/>
    <w:rsid w:val="00517D6E"/>
    <w:rsid w:val="00524734"/>
    <w:rsid w:val="00531C67"/>
    <w:rsid w:val="005356CB"/>
    <w:rsid w:val="00546D4F"/>
    <w:rsid w:val="005515C0"/>
    <w:rsid w:val="0056046E"/>
    <w:rsid w:val="00561EE2"/>
    <w:rsid w:val="0056675C"/>
    <w:rsid w:val="0057163B"/>
    <w:rsid w:val="005800AA"/>
    <w:rsid w:val="00584010"/>
    <w:rsid w:val="005877C5"/>
    <w:rsid w:val="0059200B"/>
    <w:rsid w:val="00593822"/>
    <w:rsid w:val="00595B25"/>
    <w:rsid w:val="00597FC3"/>
    <w:rsid w:val="005A3AA3"/>
    <w:rsid w:val="005A6E21"/>
    <w:rsid w:val="005B1E70"/>
    <w:rsid w:val="005C2BD1"/>
    <w:rsid w:val="005C4D2D"/>
    <w:rsid w:val="005D0844"/>
    <w:rsid w:val="005D169F"/>
    <w:rsid w:val="005D5F12"/>
    <w:rsid w:val="005D7B0E"/>
    <w:rsid w:val="005E1542"/>
    <w:rsid w:val="005E4AD6"/>
    <w:rsid w:val="006042C2"/>
    <w:rsid w:val="00606875"/>
    <w:rsid w:val="00617042"/>
    <w:rsid w:val="00622763"/>
    <w:rsid w:val="006235C8"/>
    <w:rsid w:val="006245CC"/>
    <w:rsid w:val="00624905"/>
    <w:rsid w:val="00624D3F"/>
    <w:rsid w:val="00630725"/>
    <w:rsid w:val="00634F1D"/>
    <w:rsid w:val="00637C42"/>
    <w:rsid w:val="00642420"/>
    <w:rsid w:val="006444FB"/>
    <w:rsid w:val="006479AC"/>
    <w:rsid w:val="00665CA2"/>
    <w:rsid w:val="00666853"/>
    <w:rsid w:val="00676D1B"/>
    <w:rsid w:val="00683847"/>
    <w:rsid w:val="0069159A"/>
    <w:rsid w:val="00694D0E"/>
    <w:rsid w:val="006A0402"/>
    <w:rsid w:val="006A0AF7"/>
    <w:rsid w:val="006A2BC6"/>
    <w:rsid w:val="006C192F"/>
    <w:rsid w:val="006C40A4"/>
    <w:rsid w:val="006C67F6"/>
    <w:rsid w:val="006D0BBD"/>
    <w:rsid w:val="006D575C"/>
    <w:rsid w:val="006E0237"/>
    <w:rsid w:val="006E3521"/>
    <w:rsid w:val="006E699E"/>
    <w:rsid w:val="006F2001"/>
    <w:rsid w:val="006F20D6"/>
    <w:rsid w:val="006F361A"/>
    <w:rsid w:val="00703398"/>
    <w:rsid w:val="007145E8"/>
    <w:rsid w:val="007159BC"/>
    <w:rsid w:val="007223B8"/>
    <w:rsid w:val="007253FF"/>
    <w:rsid w:val="007316F6"/>
    <w:rsid w:val="00731BE4"/>
    <w:rsid w:val="0073326A"/>
    <w:rsid w:val="00734238"/>
    <w:rsid w:val="007426A8"/>
    <w:rsid w:val="007479A1"/>
    <w:rsid w:val="00752137"/>
    <w:rsid w:val="00752190"/>
    <w:rsid w:val="00763484"/>
    <w:rsid w:val="00766AE2"/>
    <w:rsid w:val="00766B37"/>
    <w:rsid w:val="00777A92"/>
    <w:rsid w:val="007850A3"/>
    <w:rsid w:val="007A2DBD"/>
    <w:rsid w:val="007A308E"/>
    <w:rsid w:val="007B1509"/>
    <w:rsid w:val="007B6304"/>
    <w:rsid w:val="007C1F94"/>
    <w:rsid w:val="007C6371"/>
    <w:rsid w:val="007D0737"/>
    <w:rsid w:val="007D4A54"/>
    <w:rsid w:val="007E1ED8"/>
    <w:rsid w:val="007E62B0"/>
    <w:rsid w:val="007E7755"/>
    <w:rsid w:val="007F3B53"/>
    <w:rsid w:val="00806DC6"/>
    <w:rsid w:val="0081078B"/>
    <w:rsid w:val="008111C7"/>
    <w:rsid w:val="008132B7"/>
    <w:rsid w:val="00821A66"/>
    <w:rsid w:val="0082284C"/>
    <w:rsid w:val="0083197B"/>
    <w:rsid w:val="00840882"/>
    <w:rsid w:val="0085108A"/>
    <w:rsid w:val="00852F23"/>
    <w:rsid w:val="00855E66"/>
    <w:rsid w:val="00861774"/>
    <w:rsid w:val="00870071"/>
    <w:rsid w:val="00873094"/>
    <w:rsid w:val="00883A1C"/>
    <w:rsid w:val="00885D04"/>
    <w:rsid w:val="00891A9C"/>
    <w:rsid w:val="00892CAC"/>
    <w:rsid w:val="00895AEA"/>
    <w:rsid w:val="008A5A27"/>
    <w:rsid w:val="008B56B3"/>
    <w:rsid w:val="008B603F"/>
    <w:rsid w:val="008C0416"/>
    <w:rsid w:val="008C3C69"/>
    <w:rsid w:val="008C5717"/>
    <w:rsid w:val="008C66E0"/>
    <w:rsid w:val="008E3DC9"/>
    <w:rsid w:val="00907EB9"/>
    <w:rsid w:val="009272F9"/>
    <w:rsid w:val="009275EE"/>
    <w:rsid w:val="0093528D"/>
    <w:rsid w:val="00940C52"/>
    <w:rsid w:val="00942F33"/>
    <w:rsid w:val="00945DEC"/>
    <w:rsid w:val="00951013"/>
    <w:rsid w:val="00953A17"/>
    <w:rsid w:val="009574A8"/>
    <w:rsid w:val="00960D9D"/>
    <w:rsid w:val="00966650"/>
    <w:rsid w:val="009673E0"/>
    <w:rsid w:val="00970FCC"/>
    <w:rsid w:val="009732E4"/>
    <w:rsid w:val="009747C3"/>
    <w:rsid w:val="00990546"/>
    <w:rsid w:val="009A1994"/>
    <w:rsid w:val="009A5174"/>
    <w:rsid w:val="009C1BF6"/>
    <w:rsid w:val="009D095E"/>
    <w:rsid w:val="009D4B9E"/>
    <w:rsid w:val="009F3FA5"/>
    <w:rsid w:val="009F66E0"/>
    <w:rsid w:val="00A04BF2"/>
    <w:rsid w:val="00A07C8D"/>
    <w:rsid w:val="00A13BEA"/>
    <w:rsid w:val="00A14B48"/>
    <w:rsid w:val="00A26C75"/>
    <w:rsid w:val="00A27D5D"/>
    <w:rsid w:val="00A444AF"/>
    <w:rsid w:val="00A50270"/>
    <w:rsid w:val="00A63A51"/>
    <w:rsid w:val="00A70F09"/>
    <w:rsid w:val="00A7111A"/>
    <w:rsid w:val="00A72497"/>
    <w:rsid w:val="00A74B1A"/>
    <w:rsid w:val="00A75B31"/>
    <w:rsid w:val="00A81A05"/>
    <w:rsid w:val="00A855B9"/>
    <w:rsid w:val="00A85CDE"/>
    <w:rsid w:val="00A9588A"/>
    <w:rsid w:val="00AA2532"/>
    <w:rsid w:val="00AA2654"/>
    <w:rsid w:val="00AB2FDC"/>
    <w:rsid w:val="00AC1DD3"/>
    <w:rsid w:val="00AC3AD8"/>
    <w:rsid w:val="00AD51F6"/>
    <w:rsid w:val="00AD6A98"/>
    <w:rsid w:val="00AE4CA7"/>
    <w:rsid w:val="00AE66AC"/>
    <w:rsid w:val="00AF50CE"/>
    <w:rsid w:val="00AF7CC4"/>
    <w:rsid w:val="00B00205"/>
    <w:rsid w:val="00B0021E"/>
    <w:rsid w:val="00B02C72"/>
    <w:rsid w:val="00B04006"/>
    <w:rsid w:val="00B06C7A"/>
    <w:rsid w:val="00B07271"/>
    <w:rsid w:val="00B255C5"/>
    <w:rsid w:val="00B32C59"/>
    <w:rsid w:val="00B36649"/>
    <w:rsid w:val="00B4399B"/>
    <w:rsid w:val="00B455C9"/>
    <w:rsid w:val="00B51606"/>
    <w:rsid w:val="00B61EF2"/>
    <w:rsid w:val="00B65CF9"/>
    <w:rsid w:val="00B7393A"/>
    <w:rsid w:val="00B7562A"/>
    <w:rsid w:val="00B7694E"/>
    <w:rsid w:val="00B77D03"/>
    <w:rsid w:val="00B80E25"/>
    <w:rsid w:val="00B8187E"/>
    <w:rsid w:val="00B81C19"/>
    <w:rsid w:val="00B847A2"/>
    <w:rsid w:val="00B96479"/>
    <w:rsid w:val="00BA54C2"/>
    <w:rsid w:val="00BB0277"/>
    <w:rsid w:val="00BB5D6A"/>
    <w:rsid w:val="00BC2E4A"/>
    <w:rsid w:val="00BC3F1E"/>
    <w:rsid w:val="00BD0751"/>
    <w:rsid w:val="00BD38FF"/>
    <w:rsid w:val="00BD5D1D"/>
    <w:rsid w:val="00BE5A5D"/>
    <w:rsid w:val="00BE5BC9"/>
    <w:rsid w:val="00BE7CA6"/>
    <w:rsid w:val="00BF3482"/>
    <w:rsid w:val="00C00E98"/>
    <w:rsid w:val="00C0411B"/>
    <w:rsid w:val="00C2064A"/>
    <w:rsid w:val="00C2087B"/>
    <w:rsid w:val="00C22A73"/>
    <w:rsid w:val="00C2649F"/>
    <w:rsid w:val="00C264A9"/>
    <w:rsid w:val="00C310F0"/>
    <w:rsid w:val="00C340AB"/>
    <w:rsid w:val="00C57052"/>
    <w:rsid w:val="00C8052B"/>
    <w:rsid w:val="00C81C43"/>
    <w:rsid w:val="00C93E28"/>
    <w:rsid w:val="00CA0172"/>
    <w:rsid w:val="00CB379B"/>
    <w:rsid w:val="00CB3CB6"/>
    <w:rsid w:val="00CB4F57"/>
    <w:rsid w:val="00CC0025"/>
    <w:rsid w:val="00CC479B"/>
    <w:rsid w:val="00CC7FD9"/>
    <w:rsid w:val="00CD1621"/>
    <w:rsid w:val="00CE0660"/>
    <w:rsid w:val="00CE2639"/>
    <w:rsid w:val="00CE5B6B"/>
    <w:rsid w:val="00CE5FFE"/>
    <w:rsid w:val="00CF04CD"/>
    <w:rsid w:val="00CF16E1"/>
    <w:rsid w:val="00CF4734"/>
    <w:rsid w:val="00CF6524"/>
    <w:rsid w:val="00D02601"/>
    <w:rsid w:val="00D04320"/>
    <w:rsid w:val="00D04933"/>
    <w:rsid w:val="00D1386D"/>
    <w:rsid w:val="00D14A26"/>
    <w:rsid w:val="00D21B7A"/>
    <w:rsid w:val="00D21E0F"/>
    <w:rsid w:val="00D326C8"/>
    <w:rsid w:val="00D33AF3"/>
    <w:rsid w:val="00D34E72"/>
    <w:rsid w:val="00D366DF"/>
    <w:rsid w:val="00D4079A"/>
    <w:rsid w:val="00D4083B"/>
    <w:rsid w:val="00D54F7F"/>
    <w:rsid w:val="00D60FBF"/>
    <w:rsid w:val="00D61361"/>
    <w:rsid w:val="00D618FC"/>
    <w:rsid w:val="00D62D5A"/>
    <w:rsid w:val="00D66D4E"/>
    <w:rsid w:val="00D7166A"/>
    <w:rsid w:val="00D71A86"/>
    <w:rsid w:val="00D750C3"/>
    <w:rsid w:val="00D8254E"/>
    <w:rsid w:val="00D85918"/>
    <w:rsid w:val="00D85956"/>
    <w:rsid w:val="00D85D04"/>
    <w:rsid w:val="00D92D54"/>
    <w:rsid w:val="00DA3496"/>
    <w:rsid w:val="00DB090F"/>
    <w:rsid w:val="00DB0A95"/>
    <w:rsid w:val="00DC7464"/>
    <w:rsid w:val="00DD6655"/>
    <w:rsid w:val="00DD6CB7"/>
    <w:rsid w:val="00DE4F8D"/>
    <w:rsid w:val="00DE4FB0"/>
    <w:rsid w:val="00DE6EBD"/>
    <w:rsid w:val="00DF0E5C"/>
    <w:rsid w:val="00DF5D0C"/>
    <w:rsid w:val="00DF647C"/>
    <w:rsid w:val="00E003C6"/>
    <w:rsid w:val="00E020D6"/>
    <w:rsid w:val="00E044CF"/>
    <w:rsid w:val="00E0477D"/>
    <w:rsid w:val="00E0758D"/>
    <w:rsid w:val="00E1142A"/>
    <w:rsid w:val="00E13903"/>
    <w:rsid w:val="00E17D90"/>
    <w:rsid w:val="00E2336E"/>
    <w:rsid w:val="00E24000"/>
    <w:rsid w:val="00E24AA1"/>
    <w:rsid w:val="00E26B56"/>
    <w:rsid w:val="00E27D54"/>
    <w:rsid w:val="00E326A8"/>
    <w:rsid w:val="00E34C8C"/>
    <w:rsid w:val="00E35E01"/>
    <w:rsid w:val="00E430F0"/>
    <w:rsid w:val="00E50554"/>
    <w:rsid w:val="00E57971"/>
    <w:rsid w:val="00E6746B"/>
    <w:rsid w:val="00E72862"/>
    <w:rsid w:val="00E7751B"/>
    <w:rsid w:val="00E77E15"/>
    <w:rsid w:val="00E809B2"/>
    <w:rsid w:val="00E8391C"/>
    <w:rsid w:val="00E92E7C"/>
    <w:rsid w:val="00E93DEB"/>
    <w:rsid w:val="00E95EB2"/>
    <w:rsid w:val="00E970E7"/>
    <w:rsid w:val="00EB2F94"/>
    <w:rsid w:val="00EB44F4"/>
    <w:rsid w:val="00EC3FA9"/>
    <w:rsid w:val="00EC4CC2"/>
    <w:rsid w:val="00ED2FE6"/>
    <w:rsid w:val="00ED5E39"/>
    <w:rsid w:val="00ED7DE1"/>
    <w:rsid w:val="00EF0E5B"/>
    <w:rsid w:val="00EF2C51"/>
    <w:rsid w:val="00EF6DB8"/>
    <w:rsid w:val="00F04C67"/>
    <w:rsid w:val="00F16C15"/>
    <w:rsid w:val="00F209F8"/>
    <w:rsid w:val="00F22F58"/>
    <w:rsid w:val="00F254C2"/>
    <w:rsid w:val="00F27CE0"/>
    <w:rsid w:val="00F426D8"/>
    <w:rsid w:val="00F52D00"/>
    <w:rsid w:val="00F554CF"/>
    <w:rsid w:val="00F62519"/>
    <w:rsid w:val="00F65660"/>
    <w:rsid w:val="00F71310"/>
    <w:rsid w:val="00F72AEE"/>
    <w:rsid w:val="00F736C4"/>
    <w:rsid w:val="00F76029"/>
    <w:rsid w:val="00F82BC0"/>
    <w:rsid w:val="00F87661"/>
    <w:rsid w:val="00F9457D"/>
    <w:rsid w:val="00FA4F10"/>
    <w:rsid w:val="00FA5E29"/>
    <w:rsid w:val="00FE2322"/>
    <w:rsid w:val="00FE7F3F"/>
    <w:rsid w:val="00FF5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7ED7"/>
  <w15:chartTrackingRefBased/>
  <w15:docId w15:val="{EB81CA38-28EE-43F4-9D92-8F64E731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C00E98"/>
    <w:rPr>
      <w:sz w:val="16"/>
      <w:szCs w:val="16"/>
    </w:rPr>
  </w:style>
  <w:style w:type="paragraph" w:styleId="CommentText">
    <w:name w:val="annotation text"/>
    <w:basedOn w:val="Normal"/>
    <w:link w:val="CommentTextChar"/>
    <w:uiPriority w:val="99"/>
    <w:semiHidden/>
    <w:unhideWhenUsed/>
    <w:rsid w:val="00C00E98"/>
    <w:rPr>
      <w:sz w:val="20"/>
      <w:szCs w:val="20"/>
    </w:rPr>
  </w:style>
  <w:style w:type="character" w:customStyle="1" w:styleId="CommentTextChar">
    <w:name w:val="Comment Text Char"/>
    <w:basedOn w:val="DefaultParagraphFont"/>
    <w:link w:val="CommentText"/>
    <w:uiPriority w:val="99"/>
    <w:semiHidden/>
    <w:rsid w:val="00C00E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0E98"/>
    <w:rPr>
      <w:b/>
      <w:bCs/>
    </w:rPr>
  </w:style>
  <w:style w:type="character" w:customStyle="1" w:styleId="CommentSubjectChar">
    <w:name w:val="Comment Subject Char"/>
    <w:basedOn w:val="CommentTextChar"/>
    <w:link w:val="CommentSubject"/>
    <w:uiPriority w:val="99"/>
    <w:semiHidden/>
    <w:rsid w:val="00C00E98"/>
    <w:rPr>
      <w:rFonts w:ascii="Times New Roman" w:hAnsi="Times New Roman"/>
      <w:b/>
      <w:bCs/>
      <w:sz w:val="20"/>
      <w:szCs w:val="20"/>
    </w:rPr>
  </w:style>
  <w:style w:type="paragraph" w:styleId="TOC4">
    <w:name w:val="toc 4"/>
    <w:basedOn w:val="Normal"/>
    <w:next w:val="Normal"/>
    <w:autoRedefine/>
    <w:uiPriority w:val="39"/>
    <w:semiHidden/>
    <w:unhideWhenUsed/>
    <w:rsid w:val="0093528D"/>
    <w:pPr>
      <w:spacing w:after="100"/>
      <w:ind w:left="660"/>
    </w:pPr>
  </w:style>
  <w:style w:type="paragraph" w:styleId="TOC5">
    <w:name w:val="toc 5"/>
    <w:basedOn w:val="Normal"/>
    <w:next w:val="Normal"/>
    <w:autoRedefine/>
    <w:uiPriority w:val="39"/>
    <w:semiHidden/>
    <w:unhideWhenUsed/>
    <w:rsid w:val="0093528D"/>
    <w:pPr>
      <w:spacing w:after="100"/>
      <w:ind w:left="880"/>
    </w:pPr>
  </w:style>
  <w:style w:type="paragraph" w:styleId="TOC6">
    <w:name w:val="toc 6"/>
    <w:basedOn w:val="Normal"/>
    <w:next w:val="Normal"/>
    <w:autoRedefine/>
    <w:uiPriority w:val="39"/>
    <w:semiHidden/>
    <w:unhideWhenUsed/>
    <w:rsid w:val="0093528D"/>
    <w:pPr>
      <w:spacing w:after="100"/>
      <w:ind w:left="1100"/>
    </w:pPr>
  </w:style>
  <w:style w:type="paragraph" w:styleId="TOC7">
    <w:name w:val="toc 7"/>
    <w:basedOn w:val="Normal"/>
    <w:next w:val="Normal"/>
    <w:autoRedefine/>
    <w:uiPriority w:val="39"/>
    <w:semiHidden/>
    <w:unhideWhenUsed/>
    <w:rsid w:val="0093528D"/>
    <w:pPr>
      <w:spacing w:after="100"/>
      <w:ind w:left="1320"/>
    </w:pPr>
  </w:style>
  <w:style w:type="paragraph" w:styleId="TOC8">
    <w:name w:val="toc 8"/>
    <w:basedOn w:val="Normal"/>
    <w:next w:val="Normal"/>
    <w:autoRedefine/>
    <w:uiPriority w:val="39"/>
    <w:semiHidden/>
    <w:unhideWhenUsed/>
    <w:rsid w:val="0093528D"/>
    <w:pPr>
      <w:spacing w:after="100"/>
      <w:ind w:left="1540"/>
    </w:pPr>
  </w:style>
  <w:style w:type="paragraph" w:styleId="TOC9">
    <w:name w:val="toc 9"/>
    <w:basedOn w:val="Normal"/>
    <w:next w:val="Normal"/>
    <w:autoRedefine/>
    <w:uiPriority w:val="39"/>
    <w:semiHidden/>
    <w:unhideWhenUsed/>
    <w:rsid w:val="0093528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57488846">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1303" ma:contentTypeDescription="" ma:contentTypeScope="" ma:versionID="c3e21ed2f8c37d801b6925b2e1fa585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2022RG-136-82849</_dlc_DocId>
    <TaxCatchAll xmlns="0f563589-9cf9-4143-b1eb-fb0534803d38">
      <Value>1</Value>
    </TaxCatchAll>
    <_dlc_DocIdUrl xmlns="0f563589-9cf9-4143-b1eb-fb0534803d38">
      <Url>http://tweb/sites/rg/ldp/_layouts/15/DocIdRedir.aspx?ID=2022RG-136-82849</Url>
      <Description>2022RG-136-82849</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6ADC1AB5-7861-4F0E-99B3-356A38BC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687b78b0-2ddd-4441-8a8b-c9638c2a1939"/>
    <ds:schemaRef ds:uri="http://schemas.microsoft.com/sharepoint/v4"/>
  </ds:schemaRefs>
</ds:datastoreItem>
</file>

<file path=customXml/itemProps5.xml><?xml version="1.0" encoding="utf-8"?>
<ds:datastoreItem xmlns:ds="http://schemas.openxmlformats.org/officeDocument/2006/customXml" ds:itemID="{B3B8AA09-0911-4670-BEBB-A8F6A8D0D038}">
  <ds:schemaRefs>
    <ds:schemaRef ds:uri="http://schemas.microsoft.com/sharepoint/events"/>
  </ds:schemaRefs>
</ds:datastoreItem>
</file>

<file path=customXml/itemProps6.xml><?xml version="1.0" encoding="utf-8"?>
<ds:datastoreItem xmlns:ds="http://schemas.openxmlformats.org/officeDocument/2006/customXml" ds:itemID="{053F917A-5910-49D6-ACB2-C89ED82D310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Pri-EM.dotx</Template>
  <TotalTime>251</TotalTime>
  <Pages>13</Pages>
  <Words>1824</Words>
  <Characters>10584</Characters>
  <Application>Microsoft Office Word</Application>
  <DocSecurity>0</DocSecurity>
  <Lines>278</Lines>
  <Paragraphs>129</Paragraphs>
  <ScaleCrop>false</ScaleCrop>
  <HeadingPairs>
    <vt:vector size="2" baseType="variant">
      <vt:variant>
        <vt:lpstr>Title</vt:lpstr>
      </vt:variant>
      <vt:variant>
        <vt:i4>1</vt:i4>
      </vt:variant>
    </vt:vector>
  </HeadingPairs>
  <TitlesOfParts>
    <vt:vector size="1" baseType="lpstr">
      <vt:lpstr>Explanatory material: Treasury Laws Amendment (Measures for Consultation) Bill 2022: sustainability standards</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Treasury Laws Amendment (Measures for Consultation) Bill 2022: sustainability standards</dc:title>
  <dc:subject/>
  <dc:creator>Australian Government</dc:creator>
  <cp:keywords/>
  <dc:description/>
  <cp:lastModifiedBy>Smith, Matthew</cp:lastModifiedBy>
  <cp:revision>27</cp:revision>
  <dcterms:created xsi:type="dcterms:W3CDTF">2022-11-17T02:25:00Z</dcterms:created>
  <dcterms:modified xsi:type="dcterms:W3CDTF">2022-11-24T01:20:00Z</dcterms:modified>
</cp:coreProperties>
</file>