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0D4F0" w14:textId="7E204633" w:rsidR="001D133E" w:rsidRPr="007052EA" w:rsidRDefault="001D133E" w:rsidP="001D133E">
      <w:pPr>
        <w:pStyle w:val="Heading1"/>
      </w:pPr>
      <w:r>
        <w:br/>
      </w:r>
      <w:r w:rsidR="003672A1">
        <w:t>tREASURY laws amendment (</w:t>
      </w:r>
      <w:r w:rsidR="00C27BEC">
        <w:t>2022 Measures No. 4</w:t>
      </w:r>
      <w:r w:rsidR="003672A1">
        <w:t>) bill 2022: taxation of military superannuation benefits</w:t>
      </w:r>
    </w:p>
    <w:p w14:paraId="38F5B63B" w14:textId="77777777" w:rsidR="001D133E" w:rsidRPr="008F3A7B" w:rsidRDefault="001D133E" w:rsidP="001D133E">
      <w:pPr>
        <w:pStyle w:val="Heading2"/>
        <w:spacing w:after="480"/>
      </w:pPr>
      <w:r w:rsidRPr="002F4AEF">
        <w:t>SUMMARY OF CONSULTATION PROCESS</w:t>
      </w:r>
    </w:p>
    <w:p w14:paraId="455CD45E" w14:textId="42EA2D16" w:rsidR="001D133E" w:rsidRPr="003D087A" w:rsidRDefault="001D133E" w:rsidP="001D133E">
      <w:r>
        <w:t xml:space="preserve">The Government announced on </w:t>
      </w:r>
      <w:r w:rsidR="00F445C5">
        <w:t>25 July 2022</w:t>
      </w:r>
      <w:r>
        <w:t xml:space="preserve"> that it would </w:t>
      </w:r>
      <w:r w:rsidR="00D016B2">
        <w:t xml:space="preserve">retrospectively and prospectively reverse the impact of the </w:t>
      </w:r>
      <w:r w:rsidR="00855377" w:rsidRPr="00457202">
        <w:rPr>
          <w:i/>
          <w:iCs/>
        </w:rPr>
        <w:t>Commissioner of Taxation v Douglas</w:t>
      </w:r>
      <w:r w:rsidR="001D789B">
        <w:t xml:space="preserve"> (the </w:t>
      </w:r>
      <w:r w:rsidR="00D016B2" w:rsidRPr="00457202">
        <w:rPr>
          <w:i/>
          <w:iCs/>
        </w:rPr>
        <w:t>Douglas</w:t>
      </w:r>
      <w:r w:rsidR="00D016B2">
        <w:t xml:space="preserve"> decision</w:t>
      </w:r>
      <w:r w:rsidR="001D789B">
        <w:t>)</w:t>
      </w:r>
      <w:r w:rsidR="00D016B2">
        <w:t xml:space="preserve"> in relation to all schemes other than the invalidity benefits and death benefits for beneficiaries of invalidity pensioners paid from the </w:t>
      </w:r>
      <w:r w:rsidR="008C5C3A">
        <w:t>Defence Force Retirement and Death Benefits (</w:t>
      </w:r>
      <w:r w:rsidR="00D016B2">
        <w:t>DFRDB</w:t>
      </w:r>
      <w:r w:rsidR="008C5C3A">
        <w:t>)</w:t>
      </w:r>
      <w:r w:rsidR="00D016B2">
        <w:t xml:space="preserve"> and</w:t>
      </w:r>
      <w:r w:rsidR="008C5C3A">
        <w:t xml:space="preserve"> Military Superannuation Benefits</w:t>
      </w:r>
      <w:r w:rsidR="00D016B2">
        <w:t xml:space="preserve"> </w:t>
      </w:r>
      <w:r w:rsidR="008C5C3A">
        <w:t>(</w:t>
      </w:r>
      <w:r w:rsidR="00D016B2">
        <w:t>MSB</w:t>
      </w:r>
      <w:r w:rsidR="008C5C3A">
        <w:t>)</w:t>
      </w:r>
      <w:r w:rsidR="00D016B2">
        <w:t xml:space="preserve"> schemes that commence on or after 20 September 2007. The measure also </w:t>
      </w:r>
      <w:r w:rsidR="00E176EA">
        <w:t>introduce</w:t>
      </w:r>
      <w:r w:rsidR="00D016B2">
        <w:t>s</w:t>
      </w:r>
      <w:r w:rsidR="00E176EA">
        <w:t xml:space="preserve"> a non-refundable tax offset</w:t>
      </w:r>
      <w:r w:rsidR="00383E09">
        <w:t xml:space="preserve"> to prevent any adverse income tax outcomes for affected </w:t>
      </w:r>
      <w:r w:rsidR="00383E09" w:rsidRPr="003D087A">
        <w:t xml:space="preserve">veterans in the DFRDB and MSB schemes. </w:t>
      </w:r>
      <w:r w:rsidR="001E3275" w:rsidRPr="003D087A">
        <w:t>These changes will also apply to the Spouse and Children’s pensions following the death of a member of a DFRDB or MSB scheme affected by the Douglas decision.</w:t>
      </w:r>
    </w:p>
    <w:p w14:paraId="154BF94F" w14:textId="103CEBCF" w:rsidR="001D133E" w:rsidRPr="003D087A" w:rsidRDefault="001D133E" w:rsidP="001D133E">
      <w:r w:rsidRPr="003D087A">
        <w:t xml:space="preserve">This measure was included in </w:t>
      </w:r>
      <w:r w:rsidR="004C6456" w:rsidRPr="003D087A">
        <w:rPr>
          <w:i/>
          <w:iCs/>
        </w:rPr>
        <w:t>Treasury Laws Amendment (</w:t>
      </w:r>
      <w:r w:rsidR="00051BCE" w:rsidRPr="003D087A">
        <w:rPr>
          <w:i/>
          <w:iCs/>
        </w:rPr>
        <w:t>2022 Measures No. 4</w:t>
      </w:r>
      <w:r w:rsidR="004C6456" w:rsidRPr="003D087A">
        <w:rPr>
          <w:i/>
          <w:iCs/>
        </w:rPr>
        <w:t>) Bill 2022: Taxation of military superannuation benefits</w:t>
      </w:r>
      <w:r w:rsidRPr="003D087A">
        <w:t xml:space="preserve">, which was introduced into Parliament on </w:t>
      </w:r>
      <w:r w:rsidR="00CB1604">
        <w:t>23 November</w:t>
      </w:r>
      <w:r w:rsidR="004C6456" w:rsidRPr="003D087A">
        <w:t xml:space="preserve"> 2022</w:t>
      </w:r>
      <w:r w:rsidRPr="003D087A">
        <w:t xml:space="preserve">. </w:t>
      </w:r>
    </w:p>
    <w:p w14:paraId="1EA81967" w14:textId="77777777" w:rsidR="001D133E" w:rsidRPr="003D087A" w:rsidRDefault="001D133E" w:rsidP="001D133E">
      <w:pPr>
        <w:pStyle w:val="Heading3"/>
      </w:pPr>
      <w:r w:rsidRPr="003D087A">
        <w:t>Consultation process</w:t>
      </w:r>
    </w:p>
    <w:p w14:paraId="069FAFEA" w14:textId="2C7B1DA7" w:rsidR="00E7753F" w:rsidRPr="003D087A" w:rsidRDefault="00996FAF" w:rsidP="001D133E">
      <w:r w:rsidRPr="003D087A">
        <w:t>The public c</w:t>
      </w:r>
      <w:r w:rsidR="001D133E" w:rsidRPr="003D087A">
        <w:t xml:space="preserve">onsultation </w:t>
      </w:r>
      <w:r w:rsidRPr="003D087A">
        <w:t>period for</w:t>
      </w:r>
      <w:r w:rsidR="001D133E" w:rsidRPr="003D087A">
        <w:t xml:space="preserve"> the draft legislation was between </w:t>
      </w:r>
      <w:r w:rsidR="00662354" w:rsidRPr="003D087A">
        <w:t>25 July 2022</w:t>
      </w:r>
      <w:r w:rsidR="001D133E" w:rsidRPr="003D087A">
        <w:t xml:space="preserve"> and </w:t>
      </w:r>
      <w:r w:rsidR="00662354" w:rsidRPr="003D087A">
        <w:t>5 August 2022</w:t>
      </w:r>
      <w:r w:rsidR="001D133E" w:rsidRPr="003D087A">
        <w:t xml:space="preserve">. </w:t>
      </w:r>
      <w:r w:rsidR="00453E00" w:rsidRPr="003D087A">
        <w:t>17</w:t>
      </w:r>
      <w:r w:rsidR="001D133E" w:rsidRPr="003D087A">
        <w:t xml:space="preserve"> submissions were received</w:t>
      </w:r>
      <w:r w:rsidR="00453E00" w:rsidRPr="003D087A">
        <w:t xml:space="preserve">, </w:t>
      </w:r>
      <w:r w:rsidR="00A56BD4" w:rsidRPr="003D087A">
        <w:t>nine</w:t>
      </w:r>
      <w:r w:rsidR="00453E00" w:rsidRPr="003D087A">
        <w:t xml:space="preserve"> of which are</w:t>
      </w:r>
      <w:r w:rsidR="00A56BD4" w:rsidRPr="003D087A">
        <w:t xml:space="preserve"> not</w:t>
      </w:r>
      <w:r w:rsidR="00453E00" w:rsidRPr="003D087A">
        <w:t xml:space="preserve"> confidential</w:t>
      </w:r>
      <w:r w:rsidR="001D133E" w:rsidRPr="003D087A">
        <w:t>.</w:t>
      </w:r>
      <w:r w:rsidR="00E7753F" w:rsidRPr="003D087A">
        <w:t xml:space="preserve"> </w:t>
      </w:r>
    </w:p>
    <w:p w14:paraId="1F3D0673" w14:textId="3BF14468" w:rsidR="001D133E" w:rsidRPr="003D087A" w:rsidRDefault="00265E24" w:rsidP="001D133E">
      <w:r w:rsidRPr="003D087A">
        <w:t>S</w:t>
      </w:r>
      <w:r w:rsidR="001D133E" w:rsidRPr="003D087A">
        <w:t xml:space="preserve">ubmissions </w:t>
      </w:r>
      <w:r w:rsidRPr="003D087A">
        <w:t xml:space="preserve">that are not confidential </w:t>
      </w:r>
      <w:r w:rsidR="001D133E" w:rsidRPr="003D087A">
        <w:t xml:space="preserve">can be viewed on the Treasury website </w:t>
      </w:r>
      <w:hyperlink r:id="rId13" w:history="1">
        <w:r w:rsidR="001D133E" w:rsidRPr="003D087A">
          <w:rPr>
            <w:rStyle w:val="Hyperlink"/>
          </w:rPr>
          <w:t>www.treasury.gov.au</w:t>
        </w:r>
      </w:hyperlink>
      <w:r w:rsidR="001D133E" w:rsidRPr="003D087A">
        <w:t>.</w:t>
      </w:r>
      <w:hyperlink r:id="rId14" w:history="1"/>
      <w:r w:rsidR="001D133E" w:rsidRPr="003D087A">
        <w:t xml:space="preserve"> </w:t>
      </w:r>
    </w:p>
    <w:p w14:paraId="032D30BD" w14:textId="77777777" w:rsidR="001D133E" w:rsidRPr="003D087A" w:rsidRDefault="001D133E" w:rsidP="001D133E">
      <w:pPr>
        <w:pStyle w:val="Heading3"/>
      </w:pPr>
      <w:r w:rsidRPr="003D087A">
        <w:t xml:space="preserve">Summary of key issues </w:t>
      </w:r>
    </w:p>
    <w:p w14:paraId="2CA776D1" w14:textId="590654C5" w:rsidR="00C83D0D" w:rsidRPr="003D087A" w:rsidRDefault="0006464E" w:rsidP="001D133E">
      <w:r w:rsidRPr="003D087A">
        <w:t>A key issue raised during the consultation process was</w:t>
      </w:r>
      <w:r w:rsidR="00522B82" w:rsidRPr="003D087A">
        <w:t xml:space="preserve"> that </w:t>
      </w:r>
      <w:r w:rsidR="004E333E" w:rsidRPr="003D087A">
        <w:t>lump sum tax treatment</w:t>
      </w:r>
      <w:r w:rsidR="00522B82" w:rsidRPr="003D087A">
        <w:t xml:space="preserve"> should be extended to contemporary veterans in receipt of Invalidity Benefits under </w:t>
      </w:r>
      <w:r w:rsidR="00C10B63" w:rsidRPr="003D087A">
        <w:t>Australian Defence Force (</w:t>
      </w:r>
      <w:r w:rsidR="00522B82" w:rsidRPr="003D087A">
        <w:t>ADF</w:t>
      </w:r>
      <w:r w:rsidR="00C10B63" w:rsidRPr="003D087A">
        <w:t>)</w:t>
      </w:r>
      <w:r w:rsidR="00522B82" w:rsidRPr="003D087A">
        <w:t xml:space="preserve"> Cover</w:t>
      </w:r>
      <w:r w:rsidR="00C10B63" w:rsidRPr="003D087A">
        <w:t xml:space="preserve"> and members in receipt of invalidity benefits paid from DFRDB and MSB schemes that commenced before 20 September 2007</w:t>
      </w:r>
      <w:r w:rsidR="00686DF6" w:rsidRPr="003D087A">
        <w:t xml:space="preserve">. </w:t>
      </w:r>
      <w:r w:rsidR="004E333E" w:rsidRPr="003D087A">
        <w:t xml:space="preserve">The Government </w:t>
      </w:r>
      <w:r w:rsidR="00247577" w:rsidRPr="003D087A">
        <w:t>has responded</w:t>
      </w:r>
      <w:r w:rsidR="002C2852" w:rsidRPr="003D087A">
        <w:t xml:space="preserve"> to the </w:t>
      </w:r>
      <w:r w:rsidR="00C33CB3" w:rsidRPr="003D087A">
        <w:t xml:space="preserve">veterans directly affected by the </w:t>
      </w:r>
      <w:r w:rsidR="002C2852" w:rsidRPr="003D087A">
        <w:rPr>
          <w:i/>
          <w:iCs/>
        </w:rPr>
        <w:t>Douglas</w:t>
      </w:r>
      <w:r w:rsidR="002C2852" w:rsidRPr="003D087A">
        <w:t xml:space="preserve"> decision and </w:t>
      </w:r>
      <w:r w:rsidR="00522B82" w:rsidRPr="003D087A">
        <w:t xml:space="preserve">considers that </w:t>
      </w:r>
      <w:r w:rsidR="00DC26D0" w:rsidRPr="003D087A">
        <w:t>it is appropriate for</w:t>
      </w:r>
      <w:r w:rsidR="007C1F41" w:rsidRPr="003D087A">
        <w:t xml:space="preserve"> other </w:t>
      </w:r>
      <w:r w:rsidR="00DC26D0" w:rsidRPr="003D087A">
        <w:t>superannuation</w:t>
      </w:r>
      <w:r w:rsidR="00522B82" w:rsidRPr="003D087A">
        <w:t xml:space="preserve"> income streams</w:t>
      </w:r>
      <w:r w:rsidR="00DC26D0" w:rsidRPr="003D087A">
        <w:t xml:space="preserve"> to retain </w:t>
      </w:r>
      <w:r w:rsidR="004E333E" w:rsidRPr="003D087A">
        <w:t>income stream</w:t>
      </w:r>
      <w:r w:rsidR="00DC26D0" w:rsidRPr="003D087A">
        <w:t xml:space="preserve"> tax treatment, </w:t>
      </w:r>
      <w:r w:rsidR="00522B82" w:rsidRPr="003D087A">
        <w:t>consistent with longstanding policy setting</w:t>
      </w:r>
      <w:r w:rsidR="00686DF6" w:rsidRPr="003D087A">
        <w:t xml:space="preserve">s </w:t>
      </w:r>
      <w:r w:rsidR="004E333E" w:rsidRPr="003D087A">
        <w:t xml:space="preserve">around common law pensions </w:t>
      </w:r>
      <w:r w:rsidR="00686DF6" w:rsidRPr="003D087A">
        <w:t>and the intent of th</w:t>
      </w:r>
      <w:r w:rsidR="00C33CB3" w:rsidRPr="003D087A">
        <w:t>o</w:t>
      </w:r>
      <w:r w:rsidR="00686DF6" w:rsidRPr="003D087A">
        <w:t>se defined benefit schemes.</w:t>
      </w:r>
      <w:r w:rsidR="00C33CB3" w:rsidRPr="003D087A">
        <w:t xml:space="preserve">  </w:t>
      </w:r>
    </w:p>
    <w:p w14:paraId="0258477F" w14:textId="697A24E1" w:rsidR="007D0EC7" w:rsidRPr="003D087A" w:rsidRDefault="007D0EC7" w:rsidP="001D133E">
      <w:r w:rsidRPr="003D087A">
        <w:t xml:space="preserve">Another key issue raised was in relation to the non-tax flow-on impacts of the </w:t>
      </w:r>
      <w:r w:rsidRPr="003D087A">
        <w:rPr>
          <w:i/>
          <w:iCs/>
        </w:rPr>
        <w:t>Douglas</w:t>
      </w:r>
      <w:r w:rsidRPr="003D087A">
        <w:t xml:space="preserve"> decision (</w:t>
      </w:r>
      <w:r w:rsidR="00247577" w:rsidRPr="003D087A">
        <w:t>e.g.,</w:t>
      </w:r>
      <w:r w:rsidRPr="003D087A">
        <w:t xml:space="preserve"> social security obligations and entitlements), and whether Government would allow these to occur. The Government</w:t>
      </w:r>
      <w:r w:rsidR="00704FB6" w:rsidRPr="003D087A">
        <w:t xml:space="preserve"> </w:t>
      </w:r>
      <w:r w:rsidR="009E3B43" w:rsidRPr="003D087A">
        <w:t>will ensure, where relevant, that Douglas</w:t>
      </w:r>
      <w:r w:rsidR="009E3B43" w:rsidRPr="003D087A">
        <w:noBreakHyphen/>
        <w:t>affected veterans retain any non</w:t>
      </w:r>
      <w:r w:rsidR="009E3B43" w:rsidRPr="003D087A">
        <w:noBreakHyphen/>
        <w:t xml:space="preserve">tax benefits that flow to them </w:t>
      </w:r>
      <w:proofErr w:type="gramStart"/>
      <w:r w:rsidR="009E3B43" w:rsidRPr="003D087A">
        <w:t>as a result of</w:t>
      </w:r>
      <w:proofErr w:type="gramEnd"/>
      <w:r w:rsidR="009E3B43" w:rsidRPr="003D087A">
        <w:t xml:space="preserve"> the Court's decision.</w:t>
      </w:r>
    </w:p>
    <w:p w14:paraId="68C9F7CC" w14:textId="46D02F57" w:rsidR="001D789B" w:rsidRPr="003D087A" w:rsidRDefault="00B021AB" w:rsidP="00457202">
      <w:pPr>
        <w:pStyle w:val="Dash"/>
        <w:numPr>
          <w:ilvl w:val="0"/>
          <w:numId w:val="0"/>
        </w:numPr>
        <w:spacing w:after="200"/>
      </w:pPr>
      <w:r w:rsidRPr="003D087A">
        <w:t>It was identified during consultation</w:t>
      </w:r>
      <w:r w:rsidR="008274EF" w:rsidRPr="003D087A">
        <w:t xml:space="preserve"> that </w:t>
      </w:r>
      <w:proofErr w:type="gramStart"/>
      <w:r w:rsidR="008274EF" w:rsidRPr="003D087A">
        <w:t>a</w:t>
      </w:r>
      <w:r w:rsidR="002B7DCD" w:rsidRPr="003D087A">
        <w:t xml:space="preserve"> </w:t>
      </w:r>
      <w:r w:rsidR="008274EF" w:rsidRPr="003D087A">
        <w:t>number of</w:t>
      </w:r>
      <w:proofErr w:type="gramEnd"/>
      <w:r w:rsidR="008274EF" w:rsidRPr="003D087A">
        <w:t xml:space="preserve"> schemes have payments </w:t>
      </w:r>
      <w:r w:rsidR="00C86368" w:rsidRPr="003D087A">
        <w:t xml:space="preserve">that have historically been taxed </w:t>
      </w:r>
      <w:r w:rsidR="008274EF" w:rsidRPr="003D087A">
        <w:t xml:space="preserve">as lump sums rather than income streams prior to the </w:t>
      </w:r>
      <w:r w:rsidR="008274EF" w:rsidRPr="003D087A">
        <w:rPr>
          <w:i/>
          <w:iCs/>
        </w:rPr>
        <w:t>Douglas</w:t>
      </w:r>
      <w:r w:rsidR="008274EF" w:rsidRPr="003D087A">
        <w:t xml:space="preserve"> decision because they d</w:t>
      </w:r>
      <w:r w:rsidR="00803034" w:rsidRPr="003D087A">
        <w:t>o</w:t>
      </w:r>
      <w:r w:rsidR="008274EF" w:rsidRPr="003D087A">
        <w:t xml:space="preserve"> not satisfy the superannuation pension requirements at regulation 1.06 of</w:t>
      </w:r>
      <w:r w:rsidR="008274EF" w:rsidRPr="003D087A">
        <w:rPr>
          <w:i/>
          <w:iCs/>
        </w:rPr>
        <w:t xml:space="preserve"> Superannuation Industry </w:t>
      </w:r>
      <w:r w:rsidR="008274EF" w:rsidRPr="003D087A">
        <w:rPr>
          <w:i/>
          <w:iCs/>
        </w:rPr>
        <w:lastRenderedPageBreak/>
        <w:t>(Supervision) Regulations 1994</w:t>
      </w:r>
      <w:r w:rsidR="008274EF" w:rsidRPr="003D087A">
        <w:t xml:space="preserve"> (SISR). To avoid </w:t>
      </w:r>
      <w:r w:rsidR="0035376C" w:rsidRPr="003D087A">
        <w:t>retrospectively imposing income stream tax treatment on permanent incapacity disability pensioners’ payments that were historically assessed as lump sums</w:t>
      </w:r>
      <w:r w:rsidR="008274EF" w:rsidRPr="003D087A">
        <w:t xml:space="preserve">, </w:t>
      </w:r>
      <w:r w:rsidR="00307528" w:rsidRPr="003D087A">
        <w:t xml:space="preserve">the Commissioner of Taxation </w:t>
      </w:r>
      <w:r w:rsidR="00A614AB" w:rsidRPr="003D087A">
        <w:t xml:space="preserve">will be prevented </w:t>
      </w:r>
      <w:r w:rsidR="00307528" w:rsidRPr="003D087A">
        <w:t xml:space="preserve">from amending any past tax assessments </w:t>
      </w:r>
      <w:r w:rsidR="00A614AB" w:rsidRPr="003D087A">
        <w:t xml:space="preserve">for this group of schemes that would </w:t>
      </w:r>
      <w:r w:rsidR="00307528" w:rsidRPr="003D087A">
        <w:t>convert these pensions from lump sums to income streams.</w:t>
      </w:r>
      <w:r w:rsidR="004F7313" w:rsidRPr="003D087A">
        <w:t xml:space="preserve"> </w:t>
      </w:r>
      <w:r w:rsidR="00740AC4" w:rsidRPr="003D087A">
        <w:t>The Commissioner will not be prevented from amending assessments for other lawful reasons such as fraud or evasion.</w:t>
      </w:r>
      <w:r w:rsidR="004F7313" w:rsidRPr="003D087A">
        <w:t xml:space="preserve"> </w:t>
      </w:r>
      <w:r w:rsidRPr="003D087A">
        <w:t>Also, t</w:t>
      </w:r>
      <w:r w:rsidR="00A614AB" w:rsidRPr="003D087A">
        <w:t xml:space="preserve">he </w:t>
      </w:r>
      <w:r w:rsidR="00740AC4" w:rsidRPr="003D087A">
        <w:t>Assistant Treasurer and Minister for Financial Services</w:t>
      </w:r>
      <w:r w:rsidR="00ED5AC0" w:rsidRPr="003D087A">
        <w:t xml:space="preserve"> </w:t>
      </w:r>
      <w:r w:rsidR="00A614AB" w:rsidRPr="003D087A">
        <w:t xml:space="preserve">will </w:t>
      </w:r>
      <w:r w:rsidR="00332162" w:rsidRPr="003D087A">
        <w:t xml:space="preserve">be </w:t>
      </w:r>
      <w:r w:rsidR="00A614AB" w:rsidRPr="003D087A">
        <w:t xml:space="preserve">provided with </w:t>
      </w:r>
      <w:r w:rsidR="00332162" w:rsidRPr="003D087A">
        <w:t xml:space="preserve">a legislative instrument power to make transitional arrangements for the </w:t>
      </w:r>
      <w:proofErr w:type="gramStart"/>
      <w:r w:rsidR="00332162" w:rsidRPr="003D087A">
        <w:t>2022-23 and 2023-24 income</w:t>
      </w:r>
      <w:proofErr w:type="gramEnd"/>
      <w:r w:rsidR="00332162" w:rsidRPr="003D087A">
        <w:t xml:space="preserve"> years</w:t>
      </w:r>
      <w:r w:rsidR="00A614AB" w:rsidRPr="003D087A">
        <w:t>, including</w:t>
      </w:r>
      <w:r w:rsidR="00332162" w:rsidRPr="003D087A">
        <w:t xml:space="preserve"> </w:t>
      </w:r>
      <w:r w:rsidR="00A614AB" w:rsidRPr="003D087A">
        <w:t>the tax treatment</w:t>
      </w:r>
      <w:r w:rsidR="00332162" w:rsidRPr="003D087A">
        <w:t xml:space="preserve"> of these pensions</w:t>
      </w:r>
      <w:r w:rsidR="004F7313" w:rsidRPr="003D087A">
        <w:t xml:space="preserve">. </w:t>
      </w:r>
    </w:p>
    <w:p w14:paraId="7E96F11F" w14:textId="3AE813D6" w:rsidR="001D789B" w:rsidRDefault="004F7313" w:rsidP="001D789B">
      <w:r w:rsidRPr="003D087A">
        <w:t xml:space="preserve">The exposure draft legislation was intended to ensure that the relevant schemes that had more than </w:t>
      </w:r>
      <w:r w:rsidR="006C166B" w:rsidRPr="003D087A">
        <w:t>six</w:t>
      </w:r>
      <w:r w:rsidRPr="003D087A">
        <w:t xml:space="preserve"> members were only captured by the new superannuation income stream definition in the income tax regulations. Consultation revealed that the intention of the amendments could be defeated by changes in numbers of members in the schemes after the pension commences. The final legislation will ensure that the number of members </w:t>
      </w:r>
      <w:r w:rsidR="001D789B" w:rsidRPr="003D087A">
        <w:t>is only referenced to the period on or before the pension is commenced for the individual</w:t>
      </w:r>
      <w:r w:rsidR="005E7C6B" w:rsidRPr="003D087A">
        <w:t>.</w:t>
      </w:r>
    </w:p>
    <w:p w14:paraId="7FAD2832" w14:textId="01EC284A" w:rsidR="001D789B" w:rsidRDefault="00B931A1" w:rsidP="001D789B">
      <w:r>
        <w:t>Finally, o</w:t>
      </w:r>
      <w:r w:rsidR="001D789B">
        <w:t xml:space="preserve">ther feedback received </w:t>
      </w:r>
      <w:r>
        <w:t xml:space="preserve">during consultation made it clear that there was some confusion about how the proposed amendments would affect the tax outcomes of individuals. In response the Government has included additional material, including examples, in the </w:t>
      </w:r>
      <w:r w:rsidR="001D789B">
        <w:t>explanatory m</w:t>
      </w:r>
      <w:r>
        <w:t>emorandum for the Bill</w:t>
      </w:r>
      <w:r w:rsidR="001D789B">
        <w:t>.</w:t>
      </w:r>
    </w:p>
    <w:p w14:paraId="7E5B8BFF" w14:textId="77777777" w:rsidR="001D133E" w:rsidRPr="00435AEF" w:rsidRDefault="001D133E" w:rsidP="001D133E">
      <w:pPr>
        <w:pStyle w:val="Heading3"/>
      </w:pPr>
      <w:r w:rsidRPr="00435AEF">
        <w:t>Feedback</w:t>
      </w:r>
    </w:p>
    <w:p w14:paraId="1916B64B" w14:textId="27784FB2" w:rsidR="001D133E" w:rsidRDefault="001D133E" w:rsidP="001D133E">
      <w:r>
        <w:t xml:space="preserve">Feedback on the consultation process for this measure can be forwarded to </w:t>
      </w:r>
      <w:hyperlink r:id="rId15" w:history="1">
        <w:r w:rsidRPr="005523B7">
          <w:rPr>
            <w:rStyle w:val="Hyperlink"/>
          </w:rPr>
          <w:t>consultation@treasury.gov.au</w:t>
        </w:r>
      </w:hyperlink>
      <w:r>
        <w:t xml:space="preserve"> </w:t>
      </w:r>
    </w:p>
    <w:p w14:paraId="175C0A14" w14:textId="77777777" w:rsidR="001D133E" w:rsidRDefault="001D133E" w:rsidP="001D133E">
      <w:r>
        <w:t xml:space="preserve">Thank you to all participants in the consultation process. </w:t>
      </w:r>
    </w:p>
    <w:p w14:paraId="40FB68E6" w14:textId="77777777" w:rsidR="001D133E" w:rsidRPr="00067E1D" w:rsidRDefault="001D133E" w:rsidP="001D133E"/>
    <w:sectPr w:rsidR="001D133E" w:rsidRPr="00067E1D" w:rsidSect="001D133E">
      <w:headerReference w:type="default" r:id="rId16"/>
      <w:footerReference w:type="default" r:id="rId17"/>
      <w:headerReference w:type="first" r:id="rId18"/>
      <w:footerReference w:type="firs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3EBD" w14:textId="77777777" w:rsidR="00F445C5" w:rsidRDefault="00F445C5" w:rsidP="001D133E">
      <w:pPr>
        <w:spacing w:after="0"/>
      </w:pPr>
      <w:r>
        <w:separator/>
      </w:r>
    </w:p>
  </w:endnote>
  <w:endnote w:type="continuationSeparator" w:id="0">
    <w:p w14:paraId="6A2D774F" w14:textId="77777777" w:rsidR="00F445C5" w:rsidRDefault="00F445C5" w:rsidP="001D1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9AE7" w14:textId="77777777" w:rsidR="001D133E" w:rsidRDefault="001D133E" w:rsidP="001D133E">
    <w:pPr>
      <w:pStyle w:val="Footer"/>
      <w:tabs>
        <w:tab w:val="clear" w:pos="4153"/>
        <w:tab w:val="clear" w:pos="8306"/>
        <w:tab w:val="left" w:pos="268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BB7E" w14:textId="77777777" w:rsidR="001D133E" w:rsidRDefault="001D133E" w:rsidP="001D133E">
    <w:pPr>
      <w:pStyle w:val="Footer"/>
    </w:pPr>
  </w:p>
  <w:p w14:paraId="2004B28F" w14:textId="77777777" w:rsidR="001D133E" w:rsidRPr="001D133E" w:rsidRDefault="001D133E" w:rsidP="001D1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0BE9" w14:textId="77777777" w:rsidR="00F445C5" w:rsidRDefault="00F445C5" w:rsidP="001D133E">
      <w:pPr>
        <w:spacing w:after="0"/>
      </w:pPr>
      <w:r>
        <w:separator/>
      </w:r>
    </w:p>
  </w:footnote>
  <w:footnote w:type="continuationSeparator" w:id="0">
    <w:p w14:paraId="2D1499DB" w14:textId="77777777" w:rsidR="00F445C5" w:rsidRDefault="00F445C5" w:rsidP="001D13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D9A1" w14:textId="77777777" w:rsidR="001D133E" w:rsidRDefault="001D133E" w:rsidP="001D133E">
    <w:pPr>
      <w:pStyle w:val="FooterAddress"/>
    </w:pPr>
    <w:bookmarkStart w:id="0" w:name="_Hlk26334942"/>
    <w:bookmarkStart w:id="1" w:name="_Hlk26334943"/>
  </w:p>
  <w:p w14:paraId="275EEA01" w14:textId="77777777" w:rsidR="001D133E" w:rsidRDefault="001D133E" w:rsidP="001D133E">
    <w:pPr>
      <w:jc w:val="center"/>
    </w:pPr>
    <w:r>
      <w:rPr>
        <w:noProof/>
      </w:rPr>
      <w:drawing>
        <wp:inline distT="0" distB="0" distL="0" distR="0" wp14:anchorId="748F6E3B" wp14:editId="3D84D0EF">
          <wp:extent cx="1924050" cy="1193800"/>
          <wp:effectExtent l="19050" t="0" r="0" b="0"/>
          <wp:docPr id="1"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1"/>
                  <a:srcRect/>
                  <a:stretch>
                    <a:fillRect/>
                  </a:stretch>
                </pic:blipFill>
                <pic:spPr bwMode="auto">
                  <a:xfrm>
                    <a:off x="0" y="0"/>
                    <a:ext cx="1924050" cy="1193800"/>
                  </a:xfrm>
                  <a:prstGeom prst="rect">
                    <a:avLst/>
                  </a:prstGeom>
                  <a:noFill/>
                  <a:ln w="9525">
                    <a:noFill/>
                    <a:miter lim="800000"/>
                    <a:headEnd/>
                    <a:tailEnd/>
                  </a:ln>
                </pic:spPr>
              </pic:pic>
            </a:graphicData>
          </a:graphic>
        </wp:inline>
      </w:drawing>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BD96" w14:textId="77777777" w:rsidR="001D133E" w:rsidRDefault="00A35746" w:rsidP="001D133E">
    <w:pPr>
      <w:pStyle w:val="Header"/>
    </w:pPr>
    <w:r>
      <w:rPr>
        <w:noProof/>
      </w:rPr>
      <w:pict w14:anchorId="2B503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85.3pt;height:194.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4BF9EA39" w14:textId="77777777" w:rsidR="001D133E" w:rsidRPr="001D133E" w:rsidRDefault="001D133E" w:rsidP="001D1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E44C77E"/>
    <w:lvl w:ilvl="0">
      <w:start w:val="1"/>
      <w:numFmt w:val="bullet"/>
      <w:lvlText w:val="•"/>
      <w:lvlJc w:val="left"/>
      <w:pPr>
        <w:tabs>
          <w:tab w:val="num" w:pos="4259"/>
        </w:tabs>
        <w:ind w:left="4259" w:hanging="567"/>
      </w:pPr>
      <w:rPr>
        <w:rFonts w:ascii="Times New Roman" w:hAnsi="Times New Roman" w:cs="Times New Roman"/>
      </w:rPr>
    </w:lvl>
    <w:lvl w:ilvl="1">
      <w:start w:val="1"/>
      <w:numFmt w:val="bullet"/>
      <w:lvlText w:val="–"/>
      <w:lvlJc w:val="left"/>
      <w:pPr>
        <w:tabs>
          <w:tab w:val="num" w:pos="4826"/>
        </w:tabs>
        <w:ind w:left="4826" w:hanging="567"/>
      </w:pPr>
      <w:rPr>
        <w:rFonts w:ascii="Times New Roman" w:hAnsi="Times New Roman" w:cs="Times New Roman"/>
      </w:rPr>
    </w:lvl>
    <w:lvl w:ilvl="2">
      <w:start w:val="1"/>
      <w:numFmt w:val="bullet"/>
      <w:lvlText w:val=":"/>
      <w:lvlJc w:val="left"/>
      <w:pPr>
        <w:tabs>
          <w:tab w:val="num" w:pos="5393"/>
        </w:tabs>
        <w:ind w:left="5393" w:hanging="567"/>
      </w:pPr>
      <w:rPr>
        <w:rFonts w:ascii="Times New Roman" w:hAnsi="Times New Roman" w:cs="Times New Roman"/>
      </w:rPr>
    </w:lvl>
    <w:lvl w:ilvl="3">
      <w:start w:val="1"/>
      <w:numFmt w:val="decimal"/>
      <w:lvlText w:val="(%4)"/>
      <w:lvlJc w:val="left"/>
      <w:pPr>
        <w:tabs>
          <w:tab w:val="num" w:pos="5132"/>
        </w:tabs>
        <w:ind w:left="5132" w:hanging="360"/>
      </w:pPr>
    </w:lvl>
    <w:lvl w:ilvl="4">
      <w:start w:val="1"/>
      <w:numFmt w:val="lowerLetter"/>
      <w:lvlText w:val="(%5)"/>
      <w:lvlJc w:val="left"/>
      <w:pPr>
        <w:tabs>
          <w:tab w:val="num" w:pos="5492"/>
        </w:tabs>
        <w:ind w:left="5492" w:hanging="360"/>
      </w:pPr>
    </w:lvl>
    <w:lvl w:ilvl="5">
      <w:start w:val="1"/>
      <w:numFmt w:val="lowerRoman"/>
      <w:lvlText w:val="(%6)"/>
      <w:lvlJc w:val="left"/>
      <w:pPr>
        <w:tabs>
          <w:tab w:val="num" w:pos="5852"/>
        </w:tabs>
        <w:ind w:left="5852" w:hanging="360"/>
      </w:pPr>
    </w:lvl>
    <w:lvl w:ilvl="6">
      <w:start w:val="1"/>
      <w:numFmt w:val="decimal"/>
      <w:lvlText w:val="%7."/>
      <w:lvlJc w:val="left"/>
      <w:pPr>
        <w:tabs>
          <w:tab w:val="num" w:pos="6212"/>
        </w:tabs>
        <w:ind w:left="6212" w:hanging="360"/>
      </w:pPr>
    </w:lvl>
    <w:lvl w:ilvl="7">
      <w:start w:val="1"/>
      <w:numFmt w:val="lowerLetter"/>
      <w:lvlText w:val="%8."/>
      <w:lvlJc w:val="left"/>
      <w:pPr>
        <w:tabs>
          <w:tab w:val="num" w:pos="6572"/>
        </w:tabs>
        <w:ind w:left="6572" w:hanging="360"/>
      </w:pPr>
    </w:lvl>
    <w:lvl w:ilvl="8">
      <w:start w:val="1"/>
      <w:numFmt w:val="lowerRoman"/>
      <w:lvlText w:val="%9."/>
      <w:lvlJc w:val="left"/>
      <w:pPr>
        <w:tabs>
          <w:tab w:val="num" w:pos="6932"/>
        </w:tabs>
        <w:ind w:left="6932" w:hanging="360"/>
      </w:pPr>
    </w:lvl>
  </w:abstractNum>
  <w:abstractNum w:abstractNumId="1" w15:restartNumberingAfterBreak="0">
    <w:nsid w:val="729F1D87"/>
    <w:multiLevelType w:val="multilevel"/>
    <w:tmpl w:val="46F45C4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C5"/>
    <w:rsid w:val="000207B1"/>
    <w:rsid w:val="00051BCE"/>
    <w:rsid w:val="0006464E"/>
    <w:rsid w:val="00081C27"/>
    <w:rsid w:val="000C0999"/>
    <w:rsid w:val="0013240B"/>
    <w:rsid w:val="00171FC5"/>
    <w:rsid w:val="001B20BA"/>
    <w:rsid w:val="001C26C4"/>
    <w:rsid w:val="001D133E"/>
    <w:rsid w:val="001D789B"/>
    <w:rsid w:val="001E3275"/>
    <w:rsid w:val="001F055E"/>
    <w:rsid w:val="002244AA"/>
    <w:rsid w:val="00247577"/>
    <w:rsid w:val="00265E24"/>
    <w:rsid w:val="002B7DCD"/>
    <w:rsid w:val="002C2852"/>
    <w:rsid w:val="00307528"/>
    <w:rsid w:val="00310D38"/>
    <w:rsid w:val="00332162"/>
    <w:rsid w:val="00335A95"/>
    <w:rsid w:val="0035376C"/>
    <w:rsid w:val="003672A1"/>
    <w:rsid w:val="00383E09"/>
    <w:rsid w:val="003D087A"/>
    <w:rsid w:val="00401DF2"/>
    <w:rsid w:val="00421934"/>
    <w:rsid w:val="00453E00"/>
    <w:rsid w:val="00457202"/>
    <w:rsid w:val="004B72A5"/>
    <w:rsid w:val="004C6456"/>
    <w:rsid w:val="004E333E"/>
    <w:rsid w:val="004F7313"/>
    <w:rsid w:val="00522B82"/>
    <w:rsid w:val="005279A1"/>
    <w:rsid w:val="0056138A"/>
    <w:rsid w:val="00584B74"/>
    <w:rsid w:val="005B73EC"/>
    <w:rsid w:val="005E7C6B"/>
    <w:rsid w:val="00662354"/>
    <w:rsid w:val="00686DF6"/>
    <w:rsid w:val="006C166B"/>
    <w:rsid w:val="006F0C55"/>
    <w:rsid w:val="006F4696"/>
    <w:rsid w:val="00704FB6"/>
    <w:rsid w:val="00740AC4"/>
    <w:rsid w:val="00795492"/>
    <w:rsid w:val="007A5FD8"/>
    <w:rsid w:val="007C1F41"/>
    <w:rsid w:val="007D0EC7"/>
    <w:rsid w:val="00803034"/>
    <w:rsid w:val="008274EF"/>
    <w:rsid w:val="00835D30"/>
    <w:rsid w:val="0085152C"/>
    <w:rsid w:val="00855377"/>
    <w:rsid w:val="00882B8C"/>
    <w:rsid w:val="00884B96"/>
    <w:rsid w:val="008A51DC"/>
    <w:rsid w:val="008B5DCC"/>
    <w:rsid w:val="008C5C3A"/>
    <w:rsid w:val="008F1643"/>
    <w:rsid w:val="008F1CE8"/>
    <w:rsid w:val="00946BAD"/>
    <w:rsid w:val="00953AF7"/>
    <w:rsid w:val="00973D28"/>
    <w:rsid w:val="00996FAF"/>
    <w:rsid w:val="009B6204"/>
    <w:rsid w:val="009E0D0A"/>
    <w:rsid w:val="009E3B43"/>
    <w:rsid w:val="00A139F7"/>
    <w:rsid w:val="00A35746"/>
    <w:rsid w:val="00A51BAE"/>
    <w:rsid w:val="00A56BD4"/>
    <w:rsid w:val="00A614AB"/>
    <w:rsid w:val="00AA0799"/>
    <w:rsid w:val="00AF5C56"/>
    <w:rsid w:val="00B021AB"/>
    <w:rsid w:val="00B34F6E"/>
    <w:rsid w:val="00B54DEA"/>
    <w:rsid w:val="00B87267"/>
    <w:rsid w:val="00B931A1"/>
    <w:rsid w:val="00BC5755"/>
    <w:rsid w:val="00C04AC0"/>
    <w:rsid w:val="00C10B63"/>
    <w:rsid w:val="00C27BEC"/>
    <w:rsid w:val="00C33CB3"/>
    <w:rsid w:val="00C36D37"/>
    <w:rsid w:val="00C41833"/>
    <w:rsid w:val="00C51C99"/>
    <w:rsid w:val="00C83D0D"/>
    <w:rsid w:val="00C86368"/>
    <w:rsid w:val="00C9209D"/>
    <w:rsid w:val="00C9500F"/>
    <w:rsid w:val="00CB1604"/>
    <w:rsid w:val="00D00A76"/>
    <w:rsid w:val="00D016B2"/>
    <w:rsid w:val="00D27D8F"/>
    <w:rsid w:val="00D53805"/>
    <w:rsid w:val="00D74E06"/>
    <w:rsid w:val="00DC26D0"/>
    <w:rsid w:val="00DE4323"/>
    <w:rsid w:val="00DE7F4C"/>
    <w:rsid w:val="00E176EA"/>
    <w:rsid w:val="00E51BE0"/>
    <w:rsid w:val="00E7753F"/>
    <w:rsid w:val="00ED5AC0"/>
    <w:rsid w:val="00EE7728"/>
    <w:rsid w:val="00F36CDB"/>
    <w:rsid w:val="00F445C5"/>
    <w:rsid w:val="00F740AE"/>
    <w:rsid w:val="00FE4533"/>
    <w:rsid w:val="00FF4D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CA98"/>
  <w15:chartTrackingRefBased/>
  <w15:docId w15:val="{1B8DAD90-31FB-4928-BC2A-3DC09577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3E"/>
    <w:pPr>
      <w:spacing w:after="240" w:line="240" w:lineRule="auto"/>
    </w:pPr>
    <w:rPr>
      <w:rFonts w:ascii="Times New Roman" w:eastAsia="Times New Roman" w:hAnsi="Times New Roman" w:cs="Times New Roman"/>
      <w:sz w:val="24"/>
      <w:szCs w:val="20"/>
      <w:lang w:eastAsia="en-AU"/>
    </w:rPr>
  </w:style>
  <w:style w:type="paragraph" w:styleId="Heading1">
    <w:name w:val="heading 1"/>
    <w:basedOn w:val="Heading2"/>
    <w:next w:val="Normal"/>
    <w:link w:val="Heading1Char"/>
    <w:qFormat/>
    <w:rsid w:val="001D133E"/>
    <w:pPr>
      <w:outlineLvl w:val="0"/>
    </w:pPr>
    <w:rPr>
      <w:i/>
    </w:rPr>
  </w:style>
  <w:style w:type="paragraph" w:styleId="Heading2">
    <w:name w:val="heading 2"/>
    <w:basedOn w:val="Normal"/>
    <w:next w:val="Normal"/>
    <w:link w:val="Heading2Char"/>
    <w:qFormat/>
    <w:rsid w:val="001D133E"/>
    <w:pPr>
      <w:keepNext/>
      <w:spacing w:before="120"/>
      <w:jc w:val="center"/>
      <w:outlineLvl w:val="1"/>
    </w:pPr>
    <w:rPr>
      <w:b/>
      <w:caps/>
    </w:rPr>
  </w:style>
  <w:style w:type="paragraph" w:styleId="Heading3">
    <w:name w:val="heading 3"/>
    <w:basedOn w:val="Normal"/>
    <w:next w:val="Normal"/>
    <w:link w:val="Heading3Char"/>
    <w:qFormat/>
    <w:rsid w:val="001D133E"/>
    <w:pPr>
      <w:keepNext/>
      <w:spacing w:before="60"/>
      <w:outlineLvl w:val="2"/>
    </w:pPr>
    <w:rPr>
      <w:b/>
    </w:rPr>
  </w:style>
  <w:style w:type="paragraph" w:styleId="Heading4">
    <w:name w:val="heading 4"/>
    <w:basedOn w:val="Normal"/>
    <w:next w:val="Normal"/>
    <w:link w:val="Heading4Char"/>
    <w:qFormat/>
    <w:rsid w:val="001D133E"/>
    <w:pPr>
      <w:keepNext/>
      <w:outlineLvl w:val="3"/>
    </w:pPr>
    <w:rPr>
      <w:b/>
      <w:i/>
    </w:rPr>
  </w:style>
  <w:style w:type="paragraph" w:styleId="Heading5">
    <w:name w:val="heading 5"/>
    <w:basedOn w:val="Normal"/>
    <w:next w:val="Normal"/>
    <w:link w:val="Heading5Char"/>
    <w:qFormat/>
    <w:rsid w:val="001D133E"/>
    <w:pPr>
      <w:spacing w:before="240" w:after="60"/>
      <w:outlineLvl w:val="4"/>
    </w:pPr>
    <w:rPr>
      <w:bCs/>
      <w:i/>
      <w:iCs/>
      <w:szCs w:val="26"/>
    </w:rPr>
  </w:style>
  <w:style w:type="paragraph" w:styleId="Heading6">
    <w:name w:val="heading 6"/>
    <w:basedOn w:val="Normal"/>
    <w:next w:val="Normal"/>
    <w:link w:val="Heading6Char"/>
    <w:qFormat/>
    <w:rsid w:val="001D133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133E"/>
    <w:rPr>
      <w:rFonts w:ascii="Times New Roman" w:eastAsia="Times New Roman" w:hAnsi="Times New Roman" w:cs="Times New Roman"/>
      <w:b/>
      <w:i/>
      <w:caps/>
      <w:sz w:val="24"/>
      <w:szCs w:val="20"/>
      <w:lang w:eastAsia="en-AU"/>
    </w:rPr>
  </w:style>
  <w:style w:type="character" w:customStyle="1" w:styleId="Heading2Char">
    <w:name w:val="Heading 2 Char"/>
    <w:basedOn w:val="DefaultParagraphFont"/>
    <w:link w:val="Heading2"/>
    <w:rsid w:val="001D133E"/>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1D133E"/>
    <w:rPr>
      <w:rFonts w:ascii="Times New Roman" w:eastAsia="Times New Roman" w:hAnsi="Times New Roman" w:cs="Times New Roman"/>
      <w:b/>
      <w:sz w:val="24"/>
      <w:szCs w:val="20"/>
      <w:lang w:eastAsia="en-AU"/>
    </w:rPr>
  </w:style>
  <w:style w:type="character" w:customStyle="1" w:styleId="Heading4Char">
    <w:name w:val="Heading 4 Char"/>
    <w:basedOn w:val="DefaultParagraphFont"/>
    <w:link w:val="Heading4"/>
    <w:rsid w:val="001D133E"/>
    <w:rPr>
      <w:rFonts w:ascii="Times New Roman" w:eastAsia="Times New Roman" w:hAnsi="Times New Roman" w:cs="Times New Roman"/>
      <w:b/>
      <w:i/>
      <w:sz w:val="24"/>
      <w:szCs w:val="20"/>
      <w:lang w:eastAsia="en-AU"/>
    </w:rPr>
  </w:style>
  <w:style w:type="character" w:customStyle="1" w:styleId="Heading5Char">
    <w:name w:val="Heading 5 Char"/>
    <w:basedOn w:val="DefaultParagraphFont"/>
    <w:link w:val="Heading5"/>
    <w:rsid w:val="001D133E"/>
    <w:rPr>
      <w:rFonts w:ascii="Times New Roman" w:eastAsia="Times New Roman" w:hAnsi="Times New Roman" w:cs="Times New Roman"/>
      <w:bCs/>
      <w:i/>
      <w:iCs/>
      <w:sz w:val="24"/>
      <w:szCs w:val="26"/>
      <w:lang w:eastAsia="en-AU"/>
    </w:rPr>
  </w:style>
  <w:style w:type="character" w:customStyle="1" w:styleId="Heading6Char">
    <w:name w:val="Heading 6 Char"/>
    <w:basedOn w:val="DefaultParagraphFont"/>
    <w:link w:val="Heading6"/>
    <w:rsid w:val="001D133E"/>
    <w:rPr>
      <w:rFonts w:ascii="Times New Roman" w:eastAsia="Times New Roman" w:hAnsi="Times New Roman" w:cs="Times New Roman"/>
      <w:b/>
      <w:bCs/>
      <w:lang w:eastAsia="en-AU"/>
    </w:rPr>
  </w:style>
  <w:style w:type="paragraph" w:customStyle="1" w:styleId="SingleParagraph">
    <w:name w:val="Single Paragraph"/>
    <w:basedOn w:val="Normal"/>
    <w:rsid w:val="001D133E"/>
    <w:pPr>
      <w:spacing w:after="0"/>
    </w:pPr>
  </w:style>
  <w:style w:type="paragraph" w:customStyle="1" w:styleId="ChartMainHeading">
    <w:name w:val="Chart Main Heading"/>
    <w:basedOn w:val="SingleParagraph"/>
    <w:next w:val="Normal"/>
    <w:rsid w:val="001D133E"/>
    <w:pPr>
      <w:jc w:val="center"/>
    </w:pPr>
    <w:rPr>
      <w:b/>
      <w:caps/>
    </w:rPr>
  </w:style>
  <w:style w:type="paragraph" w:customStyle="1" w:styleId="ChartSecondHeading">
    <w:name w:val="Chart Second Heading"/>
    <w:basedOn w:val="SingleParagraph"/>
    <w:next w:val="Normal"/>
    <w:rsid w:val="001D133E"/>
    <w:pPr>
      <w:jc w:val="center"/>
    </w:pPr>
    <w:rPr>
      <w:b/>
    </w:rPr>
  </w:style>
  <w:style w:type="paragraph" w:customStyle="1" w:styleId="TableMainHeading">
    <w:name w:val="Table Main Heading"/>
    <w:basedOn w:val="ChartMainHeading"/>
    <w:rsid w:val="001D133E"/>
  </w:style>
  <w:style w:type="paragraph" w:customStyle="1" w:styleId="Bullet">
    <w:name w:val="Bullet"/>
    <w:basedOn w:val="Normal"/>
    <w:qFormat/>
    <w:rsid w:val="001D133E"/>
    <w:pPr>
      <w:numPr>
        <w:numId w:val="1"/>
      </w:numPr>
    </w:pPr>
  </w:style>
  <w:style w:type="paragraph" w:customStyle="1" w:styleId="Dash">
    <w:name w:val="Dash"/>
    <w:basedOn w:val="Normal"/>
    <w:link w:val="DashChar"/>
    <w:rsid w:val="001D133E"/>
    <w:pPr>
      <w:numPr>
        <w:ilvl w:val="1"/>
        <w:numId w:val="1"/>
      </w:numPr>
    </w:pPr>
  </w:style>
  <w:style w:type="paragraph" w:customStyle="1" w:styleId="DoubleDot">
    <w:name w:val="Double Dot"/>
    <w:basedOn w:val="Normal"/>
    <w:rsid w:val="001D133E"/>
    <w:pPr>
      <w:numPr>
        <w:ilvl w:val="2"/>
        <w:numId w:val="1"/>
      </w:numPr>
    </w:pPr>
  </w:style>
  <w:style w:type="character" w:styleId="Hyperlink">
    <w:name w:val="Hyperlink"/>
    <w:basedOn w:val="DefaultParagraphFont"/>
    <w:rsid w:val="001D133E"/>
    <w:rPr>
      <w:color w:val="0000FF"/>
      <w:u w:val="single"/>
    </w:rPr>
  </w:style>
  <w:style w:type="paragraph" w:styleId="Header">
    <w:name w:val="header"/>
    <w:basedOn w:val="Normal"/>
    <w:link w:val="HeaderChar"/>
    <w:rsid w:val="001D133E"/>
    <w:pPr>
      <w:tabs>
        <w:tab w:val="center" w:pos="4153"/>
        <w:tab w:val="right" w:pos="8306"/>
      </w:tabs>
    </w:pPr>
  </w:style>
  <w:style w:type="character" w:customStyle="1" w:styleId="HeaderChar">
    <w:name w:val="Header Char"/>
    <w:basedOn w:val="DefaultParagraphFont"/>
    <w:link w:val="Header"/>
    <w:rsid w:val="001D133E"/>
    <w:rPr>
      <w:rFonts w:ascii="Times New Roman" w:eastAsia="Times New Roman" w:hAnsi="Times New Roman" w:cs="Times New Roman"/>
      <w:sz w:val="24"/>
      <w:szCs w:val="20"/>
      <w:lang w:eastAsia="en-AU"/>
    </w:rPr>
  </w:style>
  <w:style w:type="paragraph" w:styleId="Footer">
    <w:name w:val="footer"/>
    <w:basedOn w:val="Normal"/>
    <w:link w:val="FooterChar"/>
    <w:rsid w:val="001D133E"/>
    <w:pPr>
      <w:tabs>
        <w:tab w:val="center" w:pos="4153"/>
        <w:tab w:val="right" w:pos="8306"/>
      </w:tabs>
    </w:pPr>
  </w:style>
  <w:style w:type="character" w:customStyle="1" w:styleId="FooterChar">
    <w:name w:val="Footer Char"/>
    <w:basedOn w:val="DefaultParagraphFont"/>
    <w:link w:val="Footer"/>
    <w:rsid w:val="001D133E"/>
    <w:rPr>
      <w:rFonts w:ascii="Times New Roman" w:eastAsia="Times New Roman" w:hAnsi="Times New Roman" w:cs="Times New Roman"/>
      <w:sz w:val="24"/>
      <w:szCs w:val="20"/>
      <w:lang w:eastAsia="en-AU"/>
    </w:rPr>
  </w:style>
  <w:style w:type="paragraph" w:customStyle="1" w:styleId="FooterAddress">
    <w:name w:val="FooterAddress"/>
    <w:basedOn w:val="Normal"/>
    <w:next w:val="Normal"/>
    <w:rsid w:val="001D133E"/>
    <w:pPr>
      <w:tabs>
        <w:tab w:val="center" w:pos="4820"/>
      </w:tabs>
      <w:spacing w:after="0"/>
      <w:jc w:val="center"/>
    </w:pPr>
    <w:rPr>
      <w:rFonts w:ascii="Arial" w:hAnsi="Arial"/>
      <w:sz w:val="16"/>
    </w:rPr>
  </w:style>
  <w:style w:type="paragraph" w:styleId="BalloonText">
    <w:name w:val="Balloon Text"/>
    <w:basedOn w:val="Normal"/>
    <w:link w:val="BalloonTextChar"/>
    <w:semiHidden/>
    <w:rsid w:val="001D133E"/>
    <w:rPr>
      <w:rFonts w:ascii="Tahoma" w:hAnsi="Tahoma" w:cs="Tahoma"/>
      <w:sz w:val="16"/>
      <w:szCs w:val="16"/>
    </w:rPr>
  </w:style>
  <w:style w:type="character" w:customStyle="1" w:styleId="BalloonTextChar">
    <w:name w:val="Balloon Text Char"/>
    <w:basedOn w:val="DefaultParagraphFont"/>
    <w:link w:val="BalloonText"/>
    <w:semiHidden/>
    <w:rsid w:val="001D133E"/>
    <w:rPr>
      <w:rFonts w:ascii="Tahoma" w:eastAsia="Times New Roman" w:hAnsi="Tahoma" w:cs="Tahoma"/>
      <w:sz w:val="16"/>
      <w:szCs w:val="16"/>
      <w:lang w:eastAsia="en-AU"/>
    </w:rPr>
  </w:style>
  <w:style w:type="character" w:styleId="FollowedHyperlink">
    <w:name w:val="FollowedHyperlink"/>
    <w:basedOn w:val="DefaultParagraphFont"/>
    <w:rsid w:val="001D133E"/>
    <w:rPr>
      <w:color w:val="954F72" w:themeColor="followedHyperlink"/>
      <w:u w:val="single"/>
    </w:rPr>
  </w:style>
  <w:style w:type="character" w:styleId="CommentReference">
    <w:name w:val="annotation reference"/>
    <w:basedOn w:val="DefaultParagraphFont"/>
    <w:uiPriority w:val="99"/>
    <w:semiHidden/>
    <w:unhideWhenUsed/>
    <w:rsid w:val="008274EF"/>
    <w:rPr>
      <w:sz w:val="16"/>
      <w:szCs w:val="16"/>
    </w:rPr>
  </w:style>
  <w:style w:type="paragraph" w:styleId="CommentText">
    <w:name w:val="annotation text"/>
    <w:basedOn w:val="Normal"/>
    <w:link w:val="CommentTextChar"/>
    <w:uiPriority w:val="99"/>
    <w:unhideWhenUsed/>
    <w:rsid w:val="008274EF"/>
    <w:pPr>
      <w:spacing w:after="200"/>
    </w:pPr>
    <w:rPr>
      <w:rFonts w:asciiTheme="minorHAnsi" w:hAnsiTheme="minorHAnsi"/>
      <w:sz w:val="20"/>
    </w:rPr>
  </w:style>
  <w:style w:type="character" w:customStyle="1" w:styleId="CommentTextChar">
    <w:name w:val="Comment Text Char"/>
    <w:basedOn w:val="DefaultParagraphFont"/>
    <w:link w:val="CommentText"/>
    <w:uiPriority w:val="99"/>
    <w:rsid w:val="008274EF"/>
    <w:rPr>
      <w:rFonts w:eastAsia="Times New Roman" w:cs="Times New Roman"/>
      <w:sz w:val="20"/>
      <w:szCs w:val="20"/>
      <w:lang w:eastAsia="en-AU"/>
    </w:rPr>
  </w:style>
  <w:style w:type="character" w:customStyle="1" w:styleId="DashChar">
    <w:name w:val="Dash Char"/>
    <w:basedOn w:val="DefaultParagraphFont"/>
    <w:link w:val="Dash"/>
    <w:rsid w:val="00332162"/>
    <w:rPr>
      <w:rFonts w:ascii="Times New Roman" w:eastAsia="Times New Roman" w:hAnsi="Times New Roman"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96FAF"/>
    <w:pPr>
      <w:spacing w:after="240"/>
    </w:pPr>
    <w:rPr>
      <w:rFonts w:ascii="Times New Roman" w:hAnsi="Times New Roman"/>
      <w:b/>
      <w:bCs/>
    </w:rPr>
  </w:style>
  <w:style w:type="character" w:customStyle="1" w:styleId="CommentSubjectChar">
    <w:name w:val="Comment Subject Char"/>
    <w:basedOn w:val="CommentTextChar"/>
    <w:link w:val="CommentSubject"/>
    <w:uiPriority w:val="99"/>
    <w:semiHidden/>
    <w:rsid w:val="00996FAF"/>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easury.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nsultation@treasury.gov.au"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reasur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AD-CS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2F02B9E3047024F8ABC55A7EC5A33AD" ma:contentTypeVersion="47861" ma:contentTypeDescription="" ma:contentTypeScope="" ma:versionID="9b704b6f78765e308920bbc5fd241299">
  <xsd:schema xmlns:xsd="http://www.w3.org/2001/XMLSchema" xmlns:xs="http://www.w3.org/2001/XMLSchema" xmlns:p="http://schemas.microsoft.com/office/2006/metadata/properties" xmlns:ns1="http://schemas.microsoft.com/sharepoint/v3" xmlns:ns2="0f563589-9cf9-4143-b1eb-fb0534803d38" xmlns:ns3="http://schemas.microsoft.com/sharepoint/v4" targetNamespace="http://schemas.microsoft.com/office/2006/metadata/properties" ma:root="true" ma:fieldsID="c7d9ff16de52afc0073d7dbc742ded05" ns1:_="" ns2:_="" ns3:_="">
    <xsd:import namespace="http://schemas.microsoft.com/sharepoint/v3"/>
    <xsd:import namespace="0f563589-9cf9-4143-b1eb-fb0534803d3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1:_dlc_Exempt"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10</Value>
    </TaxCatchAll>
    <_dlc_DocId xmlns="0f563589-9cf9-4143-b1eb-fb0534803d38">2022FG-213-4463</_dlc_DocId>
    <_dlc_DocIdUrl xmlns="0f563589-9cf9-4143-b1eb-fb0534803d38">
      <Url>http://tweb/sites/fg/ripd/benefits/_layouts/15/DocIdRedir.aspx?ID=2022FG-213-4463</Url>
      <Description>2022FG-213-4463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741AA7F-A18F-4488-9F11-02E1201ABBC7}">
  <ds:schemaRefs>
    <ds:schemaRef ds:uri="office.server.policy"/>
  </ds:schemaRefs>
</ds:datastoreItem>
</file>

<file path=customXml/itemProps2.xml><?xml version="1.0" encoding="utf-8"?>
<ds:datastoreItem xmlns:ds="http://schemas.openxmlformats.org/officeDocument/2006/customXml" ds:itemID="{11A9DB89-C58E-4492-81C4-0F05A519C282}">
  <ds:schemaRefs>
    <ds:schemaRef ds:uri="http://schemas.openxmlformats.org/officeDocument/2006/bibliography"/>
  </ds:schemaRefs>
</ds:datastoreItem>
</file>

<file path=customXml/itemProps3.xml><?xml version="1.0" encoding="utf-8"?>
<ds:datastoreItem xmlns:ds="http://schemas.openxmlformats.org/officeDocument/2006/customXml" ds:itemID="{8222E8DB-5F64-487F-A1F6-AD7D0CFD44A6}">
  <ds:schemaRefs>
    <ds:schemaRef ds:uri="http://schemas.microsoft.com/sharepoint/v3/contenttype/forms"/>
  </ds:schemaRefs>
</ds:datastoreItem>
</file>

<file path=customXml/itemProps4.xml><?xml version="1.0" encoding="utf-8"?>
<ds:datastoreItem xmlns:ds="http://schemas.openxmlformats.org/officeDocument/2006/customXml" ds:itemID="{1172FF73-C05A-4AAB-A4A3-6A757E9D9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B70ADE-61E4-4492-A383-3DDD8CED5981}">
  <ds:schemaRefs>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schemas.microsoft.com/sharepoint/v4"/>
    <ds:schemaRef ds:uri="0f563589-9cf9-4143-b1eb-fb0534803d38"/>
    <ds:schemaRef ds:uri="http://schemas.microsoft.com/sharepoint/v3"/>
  </ds:schemaRefs>
</ds:datastoreItem>
</file>

<file path=customXml/itemProps6.xml><?xml version="1.0" encoding="utf-8"?>
<ds:datastoreItem xmlns:ds="http://schemas.openxmlformats.org/officeDocument/2006/customXml" ds:itemID="{20F1EEF3-5B19-46B0-95C9-F96F979229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Pri-AD-CSUM.dotx</Template>
  <TotalTime>2</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Treasury Laws Amendment (2022 Measures No. 4) Bill 2022: Taxation of military superannuation benefits: Summary of consultation process</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(2022 Measures No. 4) Bill 2022: Taxation of military superannuation benefits: Summary of consultation process</dc:title>
  <dc:subject>Treasury</dc:subject>
  <dc:creator/>
  <cp:keywords/>
  <dc:description/>
  <cp:lastModifiedBy>Smith, Matthew</cp:lastModifiedBy>
  <cp:revision>4</cp:revision>
  <dcterms:created xsi:type="dcterms:W3CDTF">2022-10-26T22:12:00Z</dcterms:created>
  <dcterms:modified xsi:type="dcterms:W3CDTF">2022-11-23T23:07:00Z</dcterms:modified>
</cp:coreProperties>
</file>