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E02FF" w14:textId="77777777" w:rsidR="00E24AA1" w:rsidRDefault="00E24AA1" w:rsidP="00E24AA1">
      <w:pPr>
        <w:pStyle w:val="Baseparagraphcentred"/>
      </w:pPr>
      <w:bookmarkStart w:id="0" w:name="_Toc78548463"/>
      <w:bookmarkStart w:id="1" w:name="_Toc78549734"/>
      <w:bookmarkStart w:id="2" w:name="_Toc78549779"/>
      <w:bookmarkStart w:id="3" w:name="_Toc80097481"/>
      <w:bookmarkStart w:id="4" w:name="_Toc80097775"/>
      <w:bookmarkStart w:id="5" w:name="_Hlk81640909"/>
    </w:p>
    <w:p w14:paraId="5875CBAC" w14:textId="77777777" w:rsidR="00E24AA1" w:rsidRDefault="00E24AA1" w:rsidP="00E24AA1">
      <w:pPr>
        <w:pStyle w:val="Baseparagraphcentred"/>
      </w:pPr>
    </w:p>
    <w:p w14:paraId="3A1379EC" w14:textId="77777777" w:rsidR="00E24AA1" w:rsidRDefault="00E24AA1" w:rsidP="00E24AA1">
      <w:pPr>
        <w:pStyle w:val="Baseparagraphcentred"/>
        <w:pBdr>
          <w:bottom w:val="single" w:sz="4" w:space="1" w:color="auto"/>
        </w:pBdr>
      </w:pPr>
    </w:p>
    <w:p w14:paraId="590A4B10" w14:textId="44FDAE91" w:rsidR="002E43A1" w:rsidRPr="0036085F" w:rsidRDefault="002E43A1" w:rsidP="002E43A1">
      <w:pPr>
        <w:pStyle w:val="BillName"/>
      </w:pPr>
      <w:bookmarkStart w:id="6" w:name="BillName"/>
      <w:bookmarkEnd w:id="6"/>
      <w:r w:rsidRPr="0036085F">
        <w:t>Treasury Laws Amendment (</w:t>
      </w:r>
      <w:r w:rsidR="00327BF0" w:rsidRPr="0036085F">
        <w:t xml:space="preserve">Measures for a </w:t>
      </w:r>
      <w:r w:rsidR="009771D1" w:rsidRPr="0036085F">
        <w:t>L</w:t>
      </w:r>
      <w:r w:rsidR="00327BF0" w:rsidRPr="0036085F">
        <w:t xml:space="preserve">ater </w:t>
      </w:r>
      <w:r w:rsidR="009771D1" w:rsidRPr="0036085F">
        <w:t>S</w:t>
      </w:r>
      <w:r w:rsidR="00327BF0" w:rsidRPr="0036085F">
        <w:t>itting</w:t>
      </w:r>
      <w:r w:rsidRPr="0036085F">
        <w:rPr>
          <w:rStyle w:val="CharPartText"/>
        </w:rPr>
        <w:t>) Bill 2022</w:t>
      </w:r>
      <w:r w:rsidR="00C96775" w:rsidRPr="0036085F">
        <w:rPr>
          <w:rStyle w:val="CharPartText"/>
        </w:rPr>
        <w:t xml:space="preserve">: </w:t>
      </w:r>
      <w:r w:rsidR="002F5E5B" w:rsidRPr="0036085F">
        <w:rPr>
          <w:rStyle w:val="CharPartText"/>
        </w:rPr>
        <w:t>Taxation of Military Superannuation Benefits</w:t>
      </w:r>
    </w:p>
    <w:p w14:paraId="65FC833A" w14:textId="77777777" w:rsidR="00E24AA1" w:rsidRDefault="00E24AA1" w:rsidP="00E24AA1">
      <w:pPr>
        <w:pStyle w:val="Baseparagraphcentred"/>
        <w:pBdr>
          <w:top w:val="single" w:sz="4" w:space="1" w:color="auto"/>
        </w:pBdr>
      </w:pPr>
    </w:p>
    <w:p w14:paraId="23432835" w14:textId="77777777" w:rsidR="00E24AA1" w:rsidRDefault="00E24AA1" w:rsidP="00E24AA1">
      <w:pPr>
        <w:pStyle w:val="Baseparagraphcentred"/>
      </w:pPr>
    </w:p>
    <w:p w14:paraId="626A2E74" w14:textId="77777777" w:rsidR="00E24AA1" w:rsidRDefault="00E24AA1" w:rsidP="00E24AA1">
      <w:pPr>
        <w:pStyle w:val="Baseparagraphcentred"/>
      </w:pPr>
    </w:p>
    <w:p w14:paraId="1E84F0A2" w14:textId="77777777" w:rsidR="00E24AA1" w:rsidRDefault="00E24AA1" w:rsidP="00E24AA1">
      <w:pPr>
        <w:pStyle w:val="Baseparagraphcentred"/>
      </w:pPr>
    </w:p>
    <w:p w14:paraId="518B2AC0" w14:textId="3606D215" w:rsidR="00873094" w:rsidRDefault="00C96775" w:rsidP="00C7724F">
      <w:pPr>
        <w:pStyle w:val="Baseparagraphcentred"/>
      </w:pPr>
      <w:r>
        <w:t>EXPOSURE DRAFT EXPLANATORY MATERIALS</w:t>
      </w:r>
    </w:p>
    <w:p w14:paraId="62F3D5D3" w14:textId="77777777" w:rsidR="00E24AA1" w:rsidRPr="00020288" w:rsidRDefault="00E24AA1" w:rsidP="00873094">
      <w:pPr>
        <w:pStyle w:val="Normalparatextnonumbers"/>
      </w:pPr>
    </w:p>
    <w:p w14:paraId="4CABA8D9" w14:textId="56A96DC2" w:rsidR="00873094" w:rsidRPr="00020288" w:rsidRDefault="00873094" w:rsidP="00873094">
      <w:pPr>
        <w:sectPr w:rsidR="00873094" w:rsidRPr="00020288" w:rsidSect="009333E8">
          <w:headerReference w:type="default" r:id="rId13"/>
          <w:pgSz w:w="9979" w:h="14175" w:code="34"/>
          <w:pgMar w:top="567" w:right="1134" w:bottom="567" w:left="1134" w:header="709" w:footer="709" w:gutter="0"/>
          <w:pgNumType w:start="1"/>
          <w:cols w:space="708"/>
          <w:titlePg/>
          <w:docGrid w:linePitch="360"/>
        </w:sectPr>
      </w:pPr>
      <w:bookmarkStart w:id="7" w:name="_Toc78549733"/>
      <w:bookmarkStart w:id="8" w:name="_Toc78549778"/>
      <w:bookmarkStart w:id="9" w:name="_Toc80097483"/>
      <w:bookmarkStart w:id="10" w:name="_Toc80097777"/>
      <w:bookmarkStart w:id="11" w:name="_Toc80115276"/>
      <w:bookmarkStart w:id="12" w:name="_Toc80172451"/>
      <w:bookmarkStart w:id="13" w:name="_Toc80197115"/>
      <w:bookmarkStart w:id="14" w:name="_Toc81852682"/>
      <w:bookmarkStart w:id="15" w:name="_Toc81852727"/>
      <w:bookmarkEnd w:id="0"/>
      <w:bookmarkEnd w:id="1"/>
      <w:bookmarkEnd w:id="2"/>
      <w:bookmarkEnd w:id="3"/>
      <w:bookmarkEnd w:id="4"/>
    </w:p>
    <w:p w14:paraId="70796E76" w14:textId="77777777" w:rsidR="00873094" w:rsidRPr="00020288" w:rsidRDefault="00873094" w:rsidP="00873094">
      <w:pPr>
        <w:pStyle w:val="Heading1"/>
      </w:pPr>
      <w:bookmarkStart w:id="16" w:name="_Toc82021619"/>
      <w:bookmarkStart w:id="17" w:name="_Toc82067318"/>
      <w:bookmarkStart w:id="18" w:name="_Toc82072959"/>
      <w:bookmarkStart w:id="19" w:name="_Toc82073275"/>
      <w:bookmarkStart w:id="20" w:name="_Toc82073912"/>
      <w:bookmarkStart w:id="21" w:name="_Toc82074016"/>
      <w:bookmarkStart w:id="22" w:name="_Toc106636380"/>
      <w:bookmarkStart w:id="23" w:name="_Toc106717243"/>
      <w:bookmarkStart w:id="24" w:name="_Toc106717806"/>
      <w:bookmarkStart w:id="25" w:name="_Toc106718120"/>
      <w:bookmarkStart w:id="26" w:name="_Toc106869383"/>
      <w:bookmarkStart w:id="27" w:name="_Toc106883922"/>
      <w:bookmarkStart w:id="28" w:name="_Toc108706678"/>
      <w:r w:rsidRPr="00020288">
        <w:lastRenderedPageBreak/>
        <w:t>Glossary</w:t>
      </w:r>
      <w:bookmarkStart w:id="29" w:name="_Toc485286223"/>
      <w:bookmarkStart w:id="30" w:name="_Toc78193244"/>
      <w:bookmarkStart w:id="31" w:name="_Toc7819340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D8F98B4"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25278726" w14:textId="77777777" w:rsidTr="002425D9">
        <w:tc>
          <w:tcPr>
            <w:tcW w:w="3776" w:type="dxa"/>
            <w:shd w:val="clear" w:color="auto" w:fill="auto"/>
          </w:tcPr>
          <w:p w14:paraId="08E22AB4" w14:textId="77777777" w:rsidR="00873094" w:rsidRPr="002E7A73" w:rsidRDefault="00873094" w:rsidP="00B7393A">
            <w:pPr>
              <w:pStyle w:val="Tableheaderrowtext"/>
            </w:pPr>
            <w:bookmarkStart w:id="32" w:name="GlossaryTableStart"/>
            <w:bookmarkEnd w:id="32"/>
            <w:r w:rsidRPr="002E7A73">
              <w:t>Abbreviation</w:t>
            </w:r>
          </w:p>
        </w:tc>
        <w:tc>
          <w:tcPr>
            <w:tcW w:w="3874" w:type="dxa"/>
            <w:shd w:val="clear" w:color="auto" w:fill="auto"/>
          </w:tcPr>
          <w:p w14:paraId="678CF1DD" w14:textId="77777777" w:rsidR="00873094" w:rsidRPr="002E7A73" w:rsidRDefault="00873094" w:rsidP="00B7393A">
            <w:pPr>
              <w:pStyle w:val="Tableheaderrowtext"/>
            </w:pPr>
            <w:r w:rsidRPr="002E7A73">
              <w:t>Definition</w:t>
            </w:r>
          </w:p>
        </w:tc>
      </w:tr>
      <w:tr w:rsidR="00873094" w:rsidRPr="00020288" w14:paraId="02604AB4" w14:textId="77777777" w:rsidTr="002425D9">
        <w:tc>
          <w:tcPr>
            <w:tcW w:w="3776" w:type="dxa"/>
          </w:tcPr>
          <w:p w14:paraId="78788ACD" w14:textId="5660B763" w:rsidR="00873094" w:rsidRPr="00020288" w:rsidRDefault="00F9052A" w:rsidP="002425D9">
            <w:pPr>
              <w:pStyle w:val="Normalparatextnonumbers"/>
            </w:pPr>
            <w:r>
              <w:rPr>
                <w:lang w:val="en-US"/>
              </w:rPr>
              <w:t>APRA</w:t>
            </w:r>
          </w:p>
        </w:tc>
        <w:tc>
          <w:tcPr>
            <w:tcW w:w="3874" w:type="dxa"/>
          </w:tcPr>
          <w:p w14:paraId="4371DE0C" w14:textId="47F919B5" w:rsidR="00873094" w:rsidRPr="00020288" w:rsidRDefault="00D02CBA" w:rsidP="002425D9">
            <w:pPr>
              <w:pStyle w:val="Normalparatextnonumbers"/>
            </w:pPr>
            <w:r w:rsidRPr="00795ACB">
              <w:rPr>
                <w:lang w:val="en-US"/>
              </w:rPr>
              <w:t>Australian Prudential Regulation Authority</w:t>
            </w:r>
          </w:p>
        </w:tc>
      </w:tr>
      <w:tr w:rsidR="00873094" w:rsidRPr="00020288" w14:paraId="0DA9638C" w14:textId="77777777" w:rsidTr="002425D9">
        <w:tc>
          <w:tcPr>
            <w:tcW w:w="3776" w:type="dxa"/>
          </w:tcPr>
          <w:p w14:paraId="431E94C9" w14:textId="6780090D" w:rsidR="00873094" w:rsidRPr="00020288" w:rsidRDefault="0028273C" w:rsidP="002425D9">
            <w:pPr>
              <w:pStyle w:val="Normalparatextnonumbers"/>
            </w:pPr>
            <w:r w:rsidRPr="00A57EE3">
              <w:t>ATO</w:t>
            </w:r>
          </w:p>
        </w:tc>
        <w:tc>
          <w:tcPr>
            <w:tcW w:w="3874" w:type="dxa"/>
          </w:tcPr>
          <w:p w14:paraId="073EC21C" w14:textId="4489E3A3" w:rsidR="00873094" w:rsidRPr="00020288" w:rsidRDefault="00F02289" w:rsidP="002425D9">
            <w:pPr>
              <w:pStyle w:val="Normalparatextnonumbers"/>
            </w:pPr>
            <w:r>
              <w:rPr>
                <w:lang w:val="en-US"/>
              </w:rPr>
              <w:t>Australian Taxation Office</w:t>
            </w:r>
          </w:p>
        </w:tc>
      </w:tr>
      <w:tr w:rsidR="00873094" w:rsidRPr="00020288" w14:paraId="36881463" w14:textId="77777777" w:rsidTr="002425D9">
        <w:tc>
          <w:tcPr>
            <w:tcW w:w="3776" w:type="dxa"/>
          </w:tcPr>
          <w:p w14:paraId="365CAE41" w14:textId="0D9C30F7" w:rsidR="00873094" w:rsidRPr="00020288" w:rsidRDefault="009751E5" w:rsidP="002425D9">
            <w:pPr>
              <w:pStyle w:val="Normalparatextnonumbers"/>
            </w:pPr>
            <w:r>
              <w:t>Bill</w:t>
            </w:r>
          </w:p>
        </w:tc>
        <w:tc>
          <w:tcPr>
            <w:tcW w:w="3874" w:type="dxa"/>
          </w:tcPr>
          <w:p w14:paraId="1C95B687" w14:textId="21FD2142" w:rsidR="00873094" w:rsidRPr="00020288" w:rsidRDefault="00956795" w:rsidP="002425D9">
            <w:pPr>
              <w:pStyle w:val="Normalparatextnonumbers"/>
            </w:pPr>
            <w:r w:rsidRPr="007972B6">
              <w:rPr>
                <w:lang w:val="en-US"/>
              </w:rPr>
              <w:t xml:space="preserve">Treasury Laws Amendment </w:t>
            </w:r>
            <w:r w:rsidR="001F3419">
              <w:rPr>
                <w:lang w:val="en-US"/>
              </w:rPr>
              <w:t>(</w:t>
            </w:r>
            <w:r w:rsidR="00A475B3" w:rsidRPr="00A475B3">
              <w:t>Measures for a later sitting</w:t>
            </w:r>
            <w:r w:rsidRPr="007972B6">
              <w:rPr>
                <w:rStyle w:val="CharPartText"/>
              </w:rPr>
              <w:t>)</w:t>
            </w:r>
            <w:r w:rsidRPr="007972B6">
              <w:rPr>
                <w:lang w:val="en-US"/>
              </w:rPr>
              <w:t xml:space="preserve"> Bill 202</w:t>
            </w:r>
            <w:r>
              <w:rPr>
                <w:lang w:val="en-US"/>
              </w:rPr>
              <w:t>2</w:t>
            </w:r>
            <w:r w:rsidR="006468FB">
              <w:rPr>
                <w:lang w:val="en-US"/>
              </w:rPr>
              <w:t>: Taxation of Military Superannuation</w:t>
            </w:r>
          </w:p>
        </w:tc>
      </w:tr>
      <w:tr w:rsidR="00F85CEB" w:rsidRPr="00020288" w14:paraId="45A6C9ED" w14:textId="77777777" w:rsidTr="002425D9">
        <w:tc>
          <w:tcPr>
            <w:tcW w:w="3776" w:type="dxa"/>
          </w:tcPr>
          <w:p w14:paraId="4E155E36" w14:textId="586B306E" w:rsidR="00F85CEB" w:rsidRPr="00F452B3" w:rsidRDefault="00F85CEB" w:rsidP="002425D9">
            <w:pPr>
              <w:pStyle w:val="Normalparatextnonumbers"/>
            </w:pPr>
            <w:r w:rsidRPr="00F452B3">
              <w:t>Commissioner</w:t>
            </w:r>
          </w:p>
        </w:tc>
        <w:tc>
          <w:tcPr>
            <w:tcW w:w="3874" w:type="dxa"/>
          </w:tcPr>
          <w:p w14:paraId="24CC1DFA" w14:textId="2F49C88B" w:rsidR="00F85CEB" w:rsidRPr="00313343" w:rsidRDefault="00F85CEB" w:rsidP="002425D9">
            <w:pPr>
              <w:pStyle w:val="Normalparatextnonumbers"/>
              <w:rPr>
                <w:i/>
                <w:iCs/>
              </w:rPr>
            </w:pPr>
            <w:r w:rsidRPr="006F5F69">
              <w:rPr>
                <w:lang w:val="en-US"/>
              </w:rPr>
              <w:t>Commissioner of Taxation</w:t>
            </w:r>
          </w:p>
        </w:tc>
      </w:tr>
      <w:tr w:rsidR="00873094" w:rsidRPr="00020288" w14:paraId="1889477E" w14:textId="77777777" w:rsidTr="002425D9">
        <w:tc>
          <w:tcPr>
            <w:tcW w:w="3776" w:type="dxa"/>
          </w:tcPr>
          <w:p w14:paraId="1D82EE69" w14:textId="1B2D3AE6" w:rsidR="00873094" w:rsidRPr="00020288" w:rsidRDefault="0091324B" w:rsidP="002425D9">
            <w:pPr>
              <w:pStyle w:val="Normalparatextnonumbers"/>
            </w:pPr>
            <w:r w:rsidRPr="00A42FB2">
              <w:rPr>
                <w:i/>
                <w:iCs/>
              </w:rPr>
              <w:t>Douglas</w:t>
            </w:r>
          </w:p>
        </w:tc>
        <w:tc>
          <w:tcPr>
            <w:tcW w:w="3874" w:type="dxa"/>
          </w:tcPr>
          <w:p w14:paraId="430100D2" w14:textId="06471D1F" w:rsidR="00873094" w:rsidRPr="00020288" w:rsidRDefault="001B5D8F" w:rsidP="002425D9">
            <w:pPr>
              <w:pStyle w:val="Normalparatextnonumbers"/>
            </w:pPr>
            <w:r w:rsidRPr="00313343">
              <w:rPr>
                <w:i/>
                <w:iCs/>
              </w:rPr>
              <w:t>Commissioner of Taxation v Douglas</w:t>
            </w:r>
            <w:r w:rsidRPr="003754DC">
              <w:t xml:space="preserve"> [2020] FCAFC 220</w:t>
            </w:r>
          </w:p>
        </w:tc>
      </w:tr>
      <w:tr w:rsidR="00873094" w:rsidRPr="00020288" w14:paraId="01E42175" w14:textId="77777777" w:rsidTr="002425D9">
        <w:tc>
          <w:tcPr>
            <w:tcW w:w="3776" w:type="dxa"/>
          </w:tcPr>
          <w:p w14:paraId="65886006" w14:textId="0CEED4BB" w:rsidR="00873094" w:rsidRPr="00020288" w:rsidRDefault="00596283" w:rsidP="002425D9">
            <w:pPr>
              <w:pStyle w:val="Normalparatextnonumbers"/>
            </w:pPr>
            <w:r w:rsidRPr="003754DC">
              <w:t>ITAA 1997</w:t>
            </w:r>
          </w:p>
        </w:tc>
        <w:tc>
          <w:tcPr>
            <w:tcW w:w="3874" w:type="dxa"/>
          </w:tcPr>
          <w:p w14:paraId="3BD8A94F" w14:textId="2299CD33" w:rsidR="00873094" w:rsidRPr="00020288" w:rsidRDefault="00172AB1" w:rsidP="002425D9">
            <w:pPr>
              <w:pStyle w:val="Normalparatextnonumbers"/>
            </w:pPr>
            <w:bookmarkStart w:id="33" w:name="_Hlk89865462"/>
            <w:r w:rsidRPr="00A42FB2">
              <w:rPr>
                <w:i/>
                <w:iCs/>
              </w:rPr>
              <w:t>Income Tax Assessment Act 1997</w:t>
            </w:r>
            <w:bookmarkEnd w:id="33"/>
          </w:p>
        </w:tc>
      </w:tr>
      <w:tr w:rsidR="00873094" w:rsidRPr="00020288" w14:paraId="55995E8A" w14:textId="77777777" w:rsidTr="002425D9">
        <w:tc>
          <w:tcPr>
            <w:tcW w:w="3776" w:type="dxa"/>
          </w:tcPr>
          <w:p w14:paraId="27E42C3E" w14:textId="209D5577" w:rsidR="00873094" w:rsidRPr="00020288" w:rsidRDefault="003F1FFF" w:rsidP="002425D9">
            <w:pPr>
              <w:pStyle w:val="Normalparatextnonumbers"/>
            </w:pPr>
            <w:r w:rsidRPr="003754DC">
              <w:t>ITAR</w:t>
            </w:r>
            <w:r>
              <w:t xml:space="preserve"> 20</w:t>
            </w:r>
            <w:r w:rsidRPr="003754DC">
              <w:t>21</w:t>
            </w:r>
          </w:p>
        </w:tc>
        <w:tc>
          <w:tcPr>
            <w:tcW w:w="3874" w:type="dxa"/>
          </w:tcPr>
          <w:p w14:paraId="77821CD7" w14:textId="366029BF" w:rsidR="00873094" w:rsidRPr="00020288" w:rsidRDefault="00FC3253" w:rsidP="002425D9">
            <w:pPr>
              <w:pStyle w:val="Normalparatextnonumbers"/>
            </w:pPr>
            <w:r w:rsidRPr="00A42FB2">
              <w:rPr>
                <w:i/>
                <w:iCs/>
              </w:rPr>
              <w:t>Income Tax Assessment (1997</w:t>
            </w:r>
            <w:r>
              <w:rPr>
                <w:i/>
                <w:iCs/>
              </w:rPr>
              <w:t xml:space="preserve"> Act)</w:t>
            </w:r>
            <w:r w:rsidRPr="00A42FB2">
              <w:rPr>
                <w:i/>
                <w:iCs/>
              </w:rPr>
              <w:t xml:space="preserve"> Regulations 2021</w:t>
            </w:r>
          </w:p>
        </w:tc>
      </w:tr>
      <w:tr w:rsidR="00FC3253" w:rsidRPr="00020288" w14:paraId="1EBA2D93" w14:textId="77777777" w:rsidTr="002425D9">
        <w:tc>
          <w:tcPr>
            <w:tcW w:w="3776" w:type="dxa"/>
          </w:tcPr>
          <w:p w14:paraId="3FDC2F5A" w14:textId="174BA422" w:rsidR="00FC3253" w:rsidRPr="003754DC" w:rsidRDefault="00685AA0" w:rsidP="002425D9">
            <w:pPr>
              <w:pStyle w:val="Normalparatextnonumbers"/>
            </w:pPr>
            <w:r w:rsidRPr="00872265">
              <w:t>SIS Act</w:t>
            </w:r>
          </w:p>
        </w:tc>
        <w:tc>
          <w:tcPr>
            <w:tcW w:w="3874" w:type="dxa"/>
          </w:tcPr>
          <w:p w14:paraId="7D1160C4" w14:textId="22394C45" w:rsidR="00FC3253" w:rsidRPr="00A42FB2" w:rsidRDefault="0001630D" w:rsidP="002425D9">
            <w:pPr>
              <w:pStyle w:val="Normalparatextnonumbers"/>
              <w:rPr>
                <w:i/>
                <w:iCs/>
              </w:rPr>
            </w:pPr>
            <w:r w:rsidRPr="00A42FB2">
              <w:rPr>
                <w:i/>
                <w:iCs/>
              </w:rPr>
              <w:t>Superannuation Industry (Supervision) Act 1993</w:t>
            </w:r>
          </w:p>
        </w:tc>
      </w:tr>
      <w:tr w:rsidR="00FC3253" w:rsidRPr="00020288" w14:paraId="4E97AC12" w14:textId="77777777" w:rsidTr="002425D9">
        <w:tc>
          <w:tcPr>
            <w:tcW w:w="3776" w:type="dxa"/>
          </w:tcPr>
          <w:p w14:paraId="71659243" w14:textId="178F07D2" w:rsidR="00FC3253" w:rsidRPr="003754DC" w:rsidRDefault="009907EC" w:rsidP="002425D9">
            <w:pPr>
              <w:pStyle w:val="Normalparatextnonumbers"/>
            </w:pPr>
            <w:r>
              <w:t>SIS Regulations</w:t>
            </w:r>
          </w:p>
        </w:tc>
        <w:tc>
          <w:tcPr>
            <w:tcW w:w="3874" w:type="dxa"/>
          </w:tcPr>
          <w:p w14:paraId="60A900FC" w14:textId="7D70266D" w:rsidR="00FC3253" w:rsidRPr="00A42FB2" w:rsidRDefault="003E3045" w:rsidP="002425D9">
            <w:pPr>
              <w:pStyle w:val="Normalparatextnonumbers"/>
              <w:rPr>
                <w:i/>
                <w:iCs/>
              </w:rPr>
            </w:pPr>
            <w:r w:rsidRPr="00B5487F">
              <w:rPr>
                <w:i/>
              </w:rPr>
              <w:t>Superannuation Industry (Supervision) Regulations 1993</w:t>
            </w:r>
          </w:p>
        </w:tc>
      </w:tr>
    </w:tbl>
    <w:p w14:paraId="77CCA67A" w14:textId="77777777" w:rsidR="00873094" w:rsidRPr="00020288" w:rsidRDefault="00873094" w:rsidP="00873094"/>
    <w:p w14:paraId="1AB32364" w14:textId="77777777" w:rsidR="00873094" w:rsidRPr="00020288" w:rsidRDefault="00873094" w:rsidP="00873094"/>
    <w:p w14:paraId="6561611B" w14:textId="77777777" w:rsidR="00873094" w:rsidRPr="00020288" w:rsidRDefault="00873094" w:rsidP="00873094">
      <w:pPr>
        <w:pStyle w:val="Heading1"/>
        <w:sectPr w:rsidR="00873094" w:rsidRPr="00020288" w:rsidSect="009333E8">
          <w:headerReference w:type="even" r:id="rId14"/>
          <w:headerReference w:type="default" r:id="rId15"/>
          <w:headerReference w:type="first" r:id="rId16"/>
          <w:footerReference w:type="first" r:id="rId17"/>
          <w:pgSz w:w="9979" w:h="14175" w:code="34"/>
          <w:pgMar w:top="567" w:right="1134" w:bottom="567" w:left="1134" w:header="709" w:footer="709" w:gutter="0"/>
          <w:pgNumType w:fmt="lowerRoman"/>
          <w:cols w:space="708"/>
          <w:docGrid w:linePitch="360"/>
        </w:sectPr>
      </w:pPr>
      <w:bookmarkStart w:id="34" w:name="_Toc78548464"/>
      <w:bookmarkStart w:id="35" w:name="_Toc78549735"/>
      <w:bookmarkStart w:id="36" w:name="_Toc78549780"/>
      <w:bookmarkStart w:id="37" w:name="_Toc80097484"/>
      <w:bookmarkStart w:id="38" w:name="_Toc80097778"/>
      <w:bookmarkStart w:id="39" w:name="_Toc80115277"/>
      <w:bookmarkStart w:id="40" w:name="_Toc80172452"/>
      <w:bookmarkStart w:id="41" w:name="_Toc80197116"/>
      <w:bookmarkStart w:id="42" w:name="_Toc81852683"/>
      <w:bookmarkStart w:id="43" w:name="_Toc81852728"/>
    </w:p>
    <w:p w14:paraId="64B72BC5" w14:textId="6F901113" w:rsidR="00873094" w:rsidRPr="0073326A" w:rsidRDefault="00C30A12" w:rsidP="00777A92">
      <w:pPr>
        <w:pStyle w:val="Chapterheading"/>
      </w:pPr>
      <w:bookmarkStart w:id="44" w:name="GeneralOutline"/>
      <w:bookmarkStart w:id="45" w:name="_Toc106636382"/>
      <w:bookmarkStart w:id="46" w:name="_Toc106717247"/>
      <w:bookmarkStart w:id="47" w:name="_Toc106717810"/>
      <w:bookmarkStart w:id="48" w:name="_Toc106718124"/>
      <w:bookmarkStart w:id="49" w:name="_Toc106869387"/>
      <w:bookmarkStart w:id="50" w:name="_Toc106869533"/>
      <w:bookmarkStart w:id="51" w:name="_Toc106883926"/>
      <w:bookmarkStart w:id="52" w:name="_Toc108706679"/>
      <w:bookmarkEnd w:id="29"/>
      <w:bookmarkEnd w:id="30"/>
      <w:bookmarkEnd w:id="31"/>
      <w:bookmarkEnd w:id="34"/>
      <w:bookmarkEnd w:id="35"/>
      <w:bookmarkEnd w:id="36"/>
      <w:bookmarkEnd w:id="37"/>
      <w:bookmarkEnd w:id="38"/>
      <w:bookmarkEnd w:id="39"/>
      <w:bookmarkEnd w:id="40"/>
      <w:bookmarkEnd w:id="41"/>
      <w:bookmarkEnd w:id="42"/>
      <w:bookmarkEnd w:id="43"/>
      <w:bookmarkEnd w:id="44"/>
      <w:r>
        <w:lastRenderedPageBreak/>
        <w:t>Taxa</w:t>
      </w:r>
      <w:r w:rsidR="00B40AEE">
        <w:t>tion of military superannuation</w:t>
      </w:r>
      <w:bookmarkEnd w:id="45"/>
      <w:bookmarkEnd w:id="46"/>
      <w:bookmarkEnd w:id="47"/>
      <w:bookmarkEnd w:id="48"/>
      <w:bookmarkEnd w:id="49"/>
      <w:bookmarkEnd w:id="50"/>
      <w:bookmarkEnd w:id="51"/>
      <w:bookmarkEnd w:id="52"/>
    </w:p>
    <w:p w14:paraId="2A8CD98F" w14:textId="77777777" w:rsidR="007872A6" w:rsidRDefault="007872A6" w:rsidP="00F00DA3">
      <w:pPr>
        <w:pStyle w:val="TOCHeading"/>
        <w:spacing w:after="120"/>
      </w:pPr>
      <w:bookmarkStart w:id="53" w:name="_Hlk106715586"/>
      <w:bookmarkStart w:id="54" w:name="Chapter1"/>
      <w:r>
        <w:t xml:space="preserve">Table of Contents: </w:t>
      </w:r>
    </w:p>
    <w:bookmarkStart w:id="55" w:name="_Toc106717811"/>
    <w:bookmarkStart w:id="56" w:name="_Toc106718125"/>
    <w:bookmarkEnd w:id="53"/>
    <w:p w14:paraId="121F6510" w14:textId="312DB450" w:rsidR="00B80292" w:rsidRDefault="00C96775">
      <w:pPr>
        <w:pStyle w:val="TOC2"/>
        <w:rPr>
          <w:rFonts w:asciiTheme="minorHAnsi" w:eastAsiaTheme="minorEastAsia" w:hAnsiTheme="minorHAnsi"/>
          <w:sz w:val="22"/>
          <w:lang w:eastAsia="en-AU"/>
        </w:rPr>
      </w:pPr>
      <w:r>
        <w:rPr>
          <w:rFonts w:asciiTheme="minorHAnsi" w:eastAsiaTheme="minorEastAsia" w:hAnsiTheme="minorHAnsi"/>
          <w:sz w:val="22"/>
          <w:lang w:eastAsia="en-AU"/>
        </w:rPr>
        <w:fldChar w:fldCharType="begin"/>
      </w:r>
      <w:r>
        <w:rPr>
          <w:rFonts w:asciiTheme="minorHAnsi" w:eastAsiaTheme="minorEastAsia" w:hAnsiTheme="minorHAnsi"/>
          <w:sz w:val="22"/>
          <w:lang w:eastAsia="en-AU"/>
        </w:rPr>
        <w:instrText xml:space="preserve"> TOC \o "1-3" \z  \B Chapter1</w:instrText>
      </w:r>
      <w:r>
        <w:rPr>
          <w:rFonts w:asciiTheme="minorHAnsi" w:eastAsiaTheme="minorEastAsia" w:hAnsiTheme="minorHAnsi"/>
          <w:sz w:val="22"/>
          <w:lang w:eastAsia="en-AU"/>
        </w:rPr>
        <w:fldChar w:fldCharType="separate"/>
      </w:r>
      <w:r w:rsidR="00B80292">
        <w:t>Outline of chapter</w:t>
      </w:r>
      <w:r w:rsidR="00B80292">
        <w:rPr>
          <w:webHidden/>
        </w:rPr>
        <w:tab/>
      </w:r>
      <w:r w:rsidR="00B80292">
        <w:rPr>
          <w:webHidden/>
        </w:rPr>
        <w:fldChar w:fldCharType="begin"/>
      </w:r>
      <w:r w:rsidR="00B80292">
        <w:rPr>
          <w:webHidden/>
        </w:rPr>
        <w:instrText xml:space="preserve"> PAGEREF _Toc108707861 \h </w:instrText>
      </w:r>
      <w:r w:rsidR="00B80292">
        <w:rPr>
          <w:webHidden/>
        </w:rPr>
      </w:r>
      <w:r w:rsidR="00B80292">
        <w:rPr>
          <w:webHidden/>
        </w:rPr>
        <w:fldChar w:fldCharType="separate"/>
      </w:r>
      <w:r w:rsidR="00E807E6">
        <w:rPr>
          <w:webHidden/>
        </w:rPr>
        <w:t>3</w:t>
      </w:r>
      <w:r w:rsidR="00B80292">
        <w:rPr>
          <w:webHidden/>
        </w:rPr>
        <w:fldChar w:fldCharType="end"/>
      </w:r>
    </w:p>
    <w:p w14:paraId="5974D108" w14:textId="491E88D5" w:rsidR="00B80292" w:rsidRDefault="00B80292">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_Toc108707862 \h </w:instrText>
      </w:r>
      <w:r>
        <w:rPr>
          <w:webHidden/>
        </w:rPr>
      </w:r>
      <w:r>
        <w:rPr>
          <w:webHidden/>
        </w:rPr>
        <w:fldChar w:fldCharType="separate"/>
      </w:r>
      <w:r w:rsidR="00E807E6">
        <w:rPr>
          <w:webHidden/>
        </w:rPr>
        <w:t>3</w:t>
      </w:r>
      <w:r>
        <w:rPr>
          <w:webHidden/>
        </w:rPr>
        <w:fldChar w:fldCharType="end"/>
      </w:r>
    </w:p>
    <w:p w14:paraId="7183FEEA" w14:textId="0AFD4EC3" w:rsidR="00B80292" w:rsidRDefault="00B80292">
      <w:pPr>
        <w:pStyle w:val="TOC2"/>
        <w:rPr>
          <w:rFonts w:asciiTheme="minorHAnsi" w:eastAsiaTheme="minorEastAsia" w:hAnsiTheme="minorHAnsi"/>
          <w:sz w:val="22"/>
          <w:lang w:eastAsia="en-AU"/>
        </w:rPr>
      </w:pPr>
      <w:r>
        <w:t>Comparison of key features of new law and current law</w:t>
      </w:r>
      <w:r>
        <w:rPr>
          <w:webHidden/>
        </w:rPr>
        <w:tab/>
      </w:r>
      <w:r>
        <w:rPr>
          <w:webHidden/>
        </w:rPr>
        <w:fldChar w:fldCharType="begin"/>
      </w:r>
      <w:r>
        <w:rPr>
          <w:webHidden/>
        </w:rPr>
        <w:instrText xml:space="preserve"> PAGEREF _Toc108707863 \h </w:instrText>
      </w:r>
      <w:r>
        <w:rPr>
          <w:webHidden/>
        </w:rPr>
      </w:r>
      <w:r>
        <w:rPr>
          <w:webHidden/>
        </w:rPr>
        <w:fldChar w:fldCharType="separate"/>
      </w:r>
      <w:r w:rsidR="00E807E6">
        <w:rPr>
          <w:webHidden/>
        </w:rPr>
        <w:t>5</w:t>
      </w:r>
      <w:r>
        <w:rPr>
          <w:webHidden/>
        </w:rPr>
        <w:fldChar w:fldCharType="end"/>
      </w:r>
    </w:p>
    <w:p w14:paraId="6FD73D22" w14:textId="06867E1A" w:rsidR="00B80292" w:rsidRDefault="00B80292">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_Toc108707864 \h </w:instrText>
      </w:r>
      <w:r>
        <w:rPr>
          <w:webHidden/>
        </w:rPr>
      </w:r>
      <w:r>
        <w:rPr>
          <w:webHidden/>
        </w:rPr>
        <w:fldChar w:fldCharType="separate"/>
      </w:r>
      <w:r w:rsidR="00E807E6">
        <w:rPr>
          <w:webHidden/>
        </w:rPr>
        <w:t>6</w:t>
      </w:r>
      <w:r>
        <w:rPr>
          <w:webHidden/>
        </w:rPr>
        <w:fldChar w:fldCharType="end"/>
      </w:r>
    </w:p>
    <w:p w14:paraId="2F51315F" w14:textId="55FB77A9" w:rsidR="00B80292" w:rsidRPr="00B80292" w:rsidRDefault="00B80292">
      <w:pPr>
        <w:pStyle w:val="TOC3"/>
        <w:rPr>
          <w:rFonts w:asciiTheme="minorHAnsi" w:eastAsiaTheme="minorEastAsia" w:hAnsiTheme="minorHAnsi" w:cstheme="minorBidi"/>
          <w:iCs w:val="0"/>
          <w:noProof/>
          <w:sz w:val="22"/>
          <w:szCs w:val="22"/>
          <w:lang w:eastAsia="en-AU"/>
        </w:rPr>
      </w:pPr>
      <w:r w:rsidRPr="00B80292">
        <w:rPr>
          <w:noProof/>
        </w:rPr>
        <w:t>Superannuation income stream benefits</w:t>
      </w:r>
      <w:r w:rsidRPr="00B80292">
        <w:rPr>
          <w:noProof/>
          <w:webHidden/>
        </w:rPr>
        <w:tab/>
      </w:r>
      <w:r w:rsidRPr="00B80292">
        <w:rPr>
          <w:noProof/>
          <w:webHidden/>
        </w:rPr>
        <w:fldChar w:fldCharType="begin"/>
      </w:r>
      <w:r w:rsidRPr="00B80292">
        <w:rPr>
          <w:noProof/>
          <w:webHidden/>
        </w:rPr>
        <w:instrText xml:space="preserve"> PAGEREF _Toc108707865 \h </w:instrText>
      </w:r>
      <w:r w:rsidRPr="00B80292">
        <w:rPr>
          <w:noProof/>
          <w:webHidden/>
        </w:rPr>
      </w:r>
      <w:r w:rsidRPr="00B80292">
        <w:rPr>
          <w:noProof/>
          <w:webHidden/>
        </w:rPr>
        <w:fldChar w:fldCharType="separate"/>
      </w:r>
      <w:r w:rsidR="00E807E6">
        <w:rPr>
          <w:noProof/>
          <w:webHidden/>
        </w:rPr>
        <w:t>6</w:t>
      </w:r>
      <w:r w:rsidRPr="00B80292">
        <w:rPr>
          <w:noProof/>
          <w:webHidden/>
        </w:rPr>
        <w:fldChar w:fldCharType="end"/>
      </w:r>
    </w:p>
    <w:p w14:paraId="58DFD244" w14:textId="168B84D9" w:rsidR="00B80292" w:rsidRDefault="00B80292">
      <w:pPr>
        <w:pStyle w:val="TOC3"/>
        <w:rPr>
          <w:rFonts w:asciiTheme="minorHAnsi" w:eastAsiaTheme="minorEastAsia" w:hAnsiTheme="minorHAnsi" w:cstheme="minorBidi"/>
          <w:iCs w:val="0"/>
          <w:noProof/>
          <w:sz w:val="22"/>
          <w:szCs w:val="22"/>
          <w:lang w:eastAsia="en-AU"/>
        </w:rPr>
      </w:pPr>
      <w:r w:rsidRPr="00B80292">
        <w:rPr>
          <w:noProof/>
        </w:rPr>
        <w:t>Veterans’ superannuation (invalidity pension) tax offset</w:t>
      </w:r>
      <w:r>
        <w:rPr>
          <w:noProof/>
          <w:webHidden/>
        </w:rPr>
        <w:tab/>
      </w:r>
      <w:r>
        <w:rPr>
          <w:noProof/>
          <w:webHidden/>
        </w:rPr>
        <w:fldChar w:fldCharType="begin"/>
      </w:r>
      <w:r>
        <w:rPr>
          <w:noProof/>
          <w:webHidden/>
        </w:rPr>
        <w:instrText xml:space="preserve"> PAGEREF _Toc108707866 \h </w:instrText>
      </w:r>
      <w:r>
        <w:rPr>
          <w:noProof/>
          <w:webHidden/>
        </w:rPr>
      </w:r>
      <w:r>
        <w:rPr>
          <w:noProof/>
          <w:webHidden/>
        </w:rPr>
        <w:fldChar w:fldCharType="separate"/>
      </w:r>
      <w:r w:rsidR="00E807E6">
        <w:rPr>
          <w:noProof/>
          <w:webHidden/>
        </w:rPr>
        <w:t>7</w:t>
      </w:r>
      <w:r>
        <w:rPr>
          <w:noProof/>
          <w:webHidden/>
        </w:rPr>
        <w:fldChar w:fldCharType="end"/>
      </w:r>
    </w:p>
    <w:p w14:paraId="1D9262DB" w14:textId="63D141F8" w:rsidR="00B80292" w:rsidRDefault="00B80292">
      <w:pPr>
        <w:pStyle w:val="TOC2"/>
        <w:rPr>
          <w:rFonts w:asciiTheme="minorHAnsi" w:eastAsiaTheme="minorEastAsia" w:hAnsiTheme="minorHAnsi"/>
          <w:sz w:val="22"/>
          <w:lang w:eastAsia="en-AU"/>
        </w:rPr>
      </w:pPr>
      <w:r>
        <w:t>Consequential amendments</w:t>
      </w:r>
      <w:r>
        <w:rPr>
          <w:webHidden/>
        </w:rPr>
        <w:tab/>
      </w:r>
      <w:r>
        <w:rPr>
          <w:webHidden/>
        </w:rPr>
        <w:fldChar w:fldCharType="begin"/>
      </w:r>
      <w:r>
        <w:rPr>
          <w:webHidden/>
        </w:rPr>
        <w:instrText xml:space="preserve"> PAGEREF _Toc108707867 \h </w:instrText>
      </w:r>
      <w:r>
        <w:rPr>
          <w:webHidden/>
        </w:rPr>
      </w:r>
      <w:r>
        <w:rPr>
          <w:webHidden/>
        </w:rPr>
        <w:fldChar w:fldCharType="separate"/>
      </w:r>
      <w:r w:rsidR="00E807E6">
        <w:rPr>
          <w:webHidden/>
        </w:rPr>
        <w:t>10</w:t>
      </w:r>
      <w:r>
        <w:rPr>
          <w:webHidden/>
        </w:rPr>
        <w:fldChar w:fldCharType="end"/>
      </w:r>
    </w:p>
    <w:p w14:paraId="13E73178" w14:textId="4678328B" w:rsidR="00B80292" w:rsidRDefault="00B80292">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_Toc108707868 \h </w:instrText>
      </w:r>
      <w:r>
        <w:rPr>
          <w:webHidden/>
        </w:rPr>
      </w:r>
      <w:r>
        <w:rPr>
          <w:webHidden/>
        </w:rPr>
        <w:fldChar w:fldCharType="separate"/>
      </w:r>
      <w:r w:rsidR="00E807E6">
        <w:rPr>
          <w:webHidden/>
        </w:rPr>
        <w:t>10</w:t>
      </w:r>
      <w:r>
        <w:rPr>
          <w:webHidden/>
        </w:rPr>
        <w:fldChar w:fldCharType="end"/>
      </w:r>
    </w:p>
    <w:p w14:paraId="50C0E55F" w14:textId="27618E21" w:rsidR="00B96927" w:rsidRPr="00745392" w:rsidRDefault="00C96775" w:rsidP="00C96775">
      <w:pPr>
        <w:rPr>
          <w:lang w:eastAsia="en-AU"/>
        </w:rPr>
      </w:pPr>
      <w:r>
        <w:rPr>
          <w:lang w:eastAsia="en-AU"/>
        </w:rPr>
        <w:fldChar w:fldCharType="end"/>
      </w:r>
    </w:p>
    <w:p w14:paraId="02331FDE" w14:textId="0272B4F7" w:rsidR="00B96927" w:rsidRPr="000A3C5D" w:rsidRDefault="00695267" w:rsidP="005F5F1C">
      <w:pPr>
        <w:pStyle w:val="Heading2"/>
      </w:pPr>
      <w:bookmarkStart w:id="57" w:name="_Hlk106718343"/>
      <w:bookmarkStart w:id="58" w:name="_Toc106717214"/>
      <w:bookmarkStart w:id="59" w:name="_Hlk106718393"/>
      <w:bookmarkStart w:id="60" w:name="_Toc106869388"/>
      <w:bookmarkStart w:id="61" w:name="_Toc106869534"/>
      <w:bookmarkStart w:id="62" w:name="_Toc106883927"/>
      <w:bookmarkStart w:id="63" w:name="_Toc106973572"/>
      <w:bookmarkStart w:id="64" w:name="_Toc106974773"/>
      <w:bookmarkStart w:id="65" w:name="_Toc108706680"/>
      <w:bookmarkStart w:id="66" w:name="_Toc108707861"/>
      <w:bookmarkEnd w:id="55"/>
      <w:bookmarkEnd w:id="56"/>
      <w:r w:rsidRPr="000A3C5D">
        <w:t>Outline</w:t>
      </w:r>
      <w:bookmarkEnd w:id="57"/>
      <w:r w:rsidRPr="000A3C5D">
        <w:t xml:space="preserve"> of chapter</w:t>
      </w:r>
      <w:bookmarkEnd w:id="58"/>
      <w:bookmarkEnd w:id="59"/>
      <w:bookmarkEnd w:id="60"/>
      <w:bookmarkEnd w:id="61"/>
      <w:bookmarkEnd w:id="62"/>
      <w:bookmarkEnd w:id="63"/>
      <w:bookmarkEnd w:id="64"/>
      <w:bookmarkEnd w:id="65"/>
      <w:bookmarkEnd w:id="66"/>
    </w:p>
    <w:p w14:paraId="40E86D61" w14:textId="313304EF" w:rsidR="00F540DB" w:rsidRDefault="00F540DB" w:rsidP="00F540DB">
      <w:pPr>
        <w:pStyle w:val="Normalparatextwithnumbers"/>
      </w:pPr>
      <w:r>
        <w:t xml:space="preserve">Schedule </w:t>
      </w:r>
      <w:r w:rsidR="00071F92">
        <w:t>#</w:t>
      </w:r>
      <w:r>
        <w:t xml:space="preserve"> to the Bill amends various taxation laws to confirm the tax treatment of certain defined benefit</w:t>
      </w:r>
      <w:r w:rsidR="00560EC9">
        <w:t xml:space="preserve"> pensions</w:t>
      </w:r>
      <w:r>
        <w:t xml:space="preserve"> following the Full Federal Court decision in </w:t>
      </w:r>
      <w:r w:rsidRPr="00B34C19">
        <w:rPr>
          <w:i/>
          <w:iCs/>
        </w:rPr>
        <w:t>Commissioner of Taxation v Douglas</w:t>
      </w:r>
      <w:r>
        <w:t xml:space="preserve"> [2020] FCAFC 220 (</w:t>
      </w:r>
      <w:r w:rsidRPr="001718FC">
        <w:rPr>
          <w:i/>
        </w:rPr>
        <w:t>Douglas</w:t>
      </w:r>
      <w:r>
        <w:t xml:space="preserve">). </w:t>
      </w:r>
    </w:p>
    <w:p w14:paraId="63593314" w14:textId="0D510664" w:rsidR="00F540DB" w:rsidRDefault="00F540DB" w:rsidP="00B34C19">
      <w:pPr>
        <w:pStyle w:val="Normalparatextwithnumbers"/>
      </w:pPr>
      <w:r>
        <w:t xml:space="preserve">Schedule </w:t>
      </w:r>
      <w:r w:rsidR="00071F92">
        <w:t>#</w:t>
      </w:r>
      <w:r>
        <w:t xml:space="preserve"> also provides a non-refundable tax offset for recipients of invalidity benefits paid in accordance with the Military Superannuation Benefits and Defence Force Retirement and Death Benefits schemes to ensure they do not pay additional income tax </w:t>
      </w:r>
      <w:r w:rsidR="00560EC9">
        <w:t xml:space="preserve">or Medicare levy </w:t>
      </w:r>
      <w:r>
        <w:t xml:space="preserve">because of the </w:t>
      </w:r>
      <w:r w:rsidRPr="001718FC">
        <w:rPr>
          <w:i/>
        </w:rPr>
        <w:t xml:space="preserve">Douglas </w:t>
      </w:r>
      <w:r>
        <w:t xml:space="preserve">decision. </w:t>
      </w:r>
    </w:p>
    <w:p w14:paraId="09DC419C" w14:textId="71C3DB08" w:rsidR="00873094" w:rsidRPr="000A3C5D" w:rsidRDefault="00873094" w:rsidP="005F5F1C">
      <w:pPr>
        <w:pStyle w:val="Heading2"/>
      </w:pPr>
      <w:bookmarkStart w:id="67" w:name="_Toc106973573"/>
      <w:bookmarkStart w:id="68" w:name="_Toc106974774"/>
      <w:bookmarkStart w:id="69" w:name="_Toc108706681"/>
      <w:bookmarkStart w:id="70" w:name="_Toc108707862"/>
      <w:r w:rsidRPr="000A3C5D">
        <w:t xml:space="preserve">Context of </w:t>
      </w:r>
      <w:bookmarkStart w:id="71" w:name="_Toc106717812"/>
      <w:bookmarkStart w:id="72" w:name="_Toc106718126"/>
      <w:r w:rsidRPr="000A3C5D">
        <w:t>amendments</w:t>
      </w:r>
      <w:bookmarkEnd w:id="67"/>
      <w:bookmarkEnd w:id="68"/>
      <w:bookmarkEnd w:id="69"/>
      <w:bookmarkEnd w:id="70"/>
      <w:bookmarkEnd w:id="71"/>
      <w:bookmarkEnd w:id="72"/>
    </w:p>
    <w:p w14:paraId="1DA2BFFD" w14:textId="00505A65" w:rsidR="00831C51" w:rsidRPr="00831C51" w:rsidRDefault="00831C51" w:rsidP="006670A2">
      <w:pPr>
        <w:pStyle w:val="Normalparatextwithnumbers"/>
        <w:numPr>
          <w:ilvl w:val="1"/>
          <w:numId w:val="51"/>
        </w:numPr>
      </w:pPr>
      <w:r w:rsidRPr="00831C51">
        <w:t>On 4 December 2020, the Full Federal Court found in</w:t>
      </w:r>
      <w:r w:rsidRPr="006670A2">
        <w:rPr>
          <w:i/>
          <w:iCs/>
        </w:rPr>
        <w:t xml:space="preserve"> </w:t>
      </w:r>
      <w:bookmarkStart w:id="73" w:name="_Hlk88730006"/>
      <w:r w:rsidRPr="006670A2">
        <w:rPr>
          <w:i/>
          <w:iCs/>
        </w:rPr>
        <w:t>Douglas</w:t>
      </w:r>
      <w:r w:rsidRPr="00831C51">
        <w:t xml:space="preserve"> </w:t>
      </w:r>
      <w:bookmarkEnd w:id="73"/>
      <w:r w:rsidRPr="00831C51">
        <w:t xml:space="preserve">that invalidity pensions paid under the Military Superannuation Benefits and Defence Force Retirement and Death Benefits schemes that commenced on or after 20 September 2007 were ‘superannuation lump sum payments’ rather than ‘superannuation income stream benefits’ within the meaning of the ITAA 1997. </w:t>
      </w:r>
    </w:p>
    <w:p w14:paraId="07AC0C3A" w14:textId="1FF3D061" w:rsidR="00831C51" w:rsidRPr="00831C51" w:rsidRDefault="00831C51" w:rsidP="00831C51">
      <w:pPr>
        <w:pStyle w:val="Normalparatextwithnumbers"/>
        <w:numPr>
          <w:ilvl w:val="1"/>
          <w:numId w:val="51"/>
        </w:numPr>
      </w:pPr>
      <w:r w:rsidRPr="00831C51">
        <w:lastRenderedPageBreak/>
        <w:t xml:space="preserve">This is contrary to the original policy intent. Defined benefit pensions of the type </w:t>
      </w:r>
      <w:r w:rsidR="00D74200">
        <w:t xml:space="preserve">considered in the </w:t>
      </w:r>
      <w:r w:rsidR="00D74200" w:rsidRPr="00922B00">
        <w:rPr>
          <w:i/>
          <w:iCs/>
        </w:rPr>
        <w:t>Douglas</w:t>
      </w:r>
      <w:r w:rsidR="00D74200">
        <w:t xml:space="preserve"> decision, including those </w:t>
      </w:r>
      <w:r w:rsidRPr="00831C51">
        <w:t>with similar characteristics paid from defined benefit schemes such as Military Superannuation Benefits and Defence Force Retirement and Death Benefits schemes were taxed as ‘superannuation pensions’ under the ITAA 1936. It was not the policy intent under the 2007 Simpler Super amendments that they would be taxed under the ITAA 1997 as anything but ‘superannuation income streams’ – the new terminology for ‘superannuation pensions’ introduced as part of the 2007 Simpler Super amendments.</w:t>
      </w:r>
    </w:p>
    <w:p w14:paraId="6E5DD333" w14:textId="77777777" w:rsidR="00831C51" w:rsidRPr="00831C51" w:rsidRDefault="00831C51" w:rsidP="00831C51">
      <w:pPr>
        <w:pStyle w:val="Normalparatextwithnumbers"/>
        <w:numPr>
          <w:ilvl w:val="1"/>
          <w:numId w:val="51"/>
        </w:numPr>
      </w:pPr>
      <w:r w:rsidRPr="00831C51">
        <w:t xml:space="preserve">The </w:t>
      </w:r>
      <w:r w:rsidRPr="00831C51">
        <w:rPr>
          <w:i/>
        </w:rPr>
        <w:t>Douglas</w:t>
      </w:r>
      <w:r w:rsidRPr="00831C51">
        <w:t xml:space="preserve"> decision identified a discrepancy in the statutory definition of a superannuation income stream that meant, contrary to the policy intent, these types of pensions do not meet the definition of a superannuation income stream, and thus defaulted to being taxed as superannuation lump sums.</w:t>
      </w:r>
    </w:p>
    <w:p w14:paraId="207C4C55" w14:textId="19385B9E" w:rsidR="00831C51" w:rsidRPr="00831C51" w:rsidRDefault="00D74200" w:rsidP="00831C51">
      <w:pPr>
        <w:pStyle w:val="Normalparatextwithnumbers"/>
        <w:numPr>
          <w:ilvl w:val="1"/>
          <w:numId w:val="51"/>
        </w:numPr>
      </w:pPr>
      <w:r w:rsidRPr="00E740A6">
        <w:t>With</w:t>
      </w:r>
      <w:r w:rsidRPr="00156E17">
        <w:t xml:space="preserve"> </w:t>
      </w:r>
      <w:r w:rsidRPr="00453CDC">
        <w:t>the e</w:t>
      </w:r>
      <w:r w:rsidR="00831C51" w:rsidRPr="00453CDC">
        <w:t>xcept</w:t>
      </w:r>
      <w:r w:rsidRPr="00453CDC">
        <w:t>ion</w:t>
      </w:r>
      <w:r w:rsidR="00831C51" w:rsidRPr="00453CDC">
        <w:t xml:space="preserve"> </w:t>
      </w:r>
      <w:r w:rsidRPr="00453CDC">
        <w:t xml:space="preserve">of </w:t>
      </w:r>
      <w:r w:rsidR="00831C51" w:rsidRPr="00453CDC">
        <w:t>the</w:t>
      </w:r>
      <w:r w:rsidRPr="00453CDC">
        <w:t xml:space="preserve"> </w:t>
      </w:r>
      <w:r w:rsidR="00831C51" w:rsidRPr="00453CDC">
        <w:t xml:space="preserve">invalidity pensions </w:t>
      </w:r>
      <w:r w:rsidR="00CC32A7" w:rsidRPr="001718FC">
        <w:t xml:space="preserve">and spouse and child pensions payable on the death of a member </w:t>
      </w:r>
      <w:r w:rsidR="00FF5B1A" w:rsidRPr="001718FC">
        <w:t xml:space="preserve">receiving an invalidity pension </w:t>
      </w:r>
      <w:r w:rsidRPr="00453CDC">
        <w:t xml:space="preserve">paid under the two schemes </w:t>
      </w:r>
      <w:r w:rsidR="00831C51" w:rsidRPr="00453CDC">
        <w:t>considered in</w:t>
      </w:r>
      <w:r w:rsidR="00A63846" w:rsidRPr="00453CDC">
        <w:t xml:space="preserve"> the</w:t>
      </w:r>
      <w:r w:rsidR="00831C51" w:rsidRPr="00453CDC">
        <w:t xml:space="preserve"> </w:t>
      </w:r>
      <w:r w:rsidR="00831C51" w:rsidRPr="00453CDC">
        <w:rPr>
          <w:i/>
          <w:iCs/>
        </w:rPr>
        <w:t>Douglas</w:t>
      </w:r>
      <w:r w:rsidR="00A63846" w:rsidRPr="00453CDC">
        <w:rPr>
          <w:i/>
          <w:iCs/>
        </w:rPr>
        <w:t xml:space="preserve"> </w:t>
      </w:r>
      <w:r w:rsidR="00A63846" w:rsidRPr="00453CDC">
        <w:t>decision</w:t>
      </w:r>
      <w:r w:rsidR="00831C51" w:rsidRPr="00453CDC">
        <w:t xml:space="preserve">, this Schedule amends the definition of a superannuation income stream applicable </w:t>
      </w:r>
      <w:r w:rsidRPr="00453CDC">
        <w:t xml:space="preserve">to </w:t>
      </w:r>
      <w:r w:rsidR="00831C51" w:rsidRPr="00453CDC">
        <w:t>defined benefits pensions that commenced on or after 20 September 2007.</w:t>
      </w:r>
      <w:r w:rsidR="00831C51" w:rsidRPr="00831C51">
        <w:t xml:space="preserve"> The amendment confirms the original policy intent to tax </w:t>
      </w:r>
      <w:r w:rsidR="00A63846">
        <w:t xml:space="preserve">all other similar </w:t>
      </w:r>
      <w:r w:rsidR="00831C51" w:rsidRPr="00831C51">
        <w:t>defined benefit pensions as superannuation income streams.</w:t>
      </w:r>
    </w:p>
    <w:p w14:paraId="2F42C0DC" w14:textId="008FBB39" w:rsidR="00F540DB" w:rsidRPr="00F540DB" w:rsidRDefault="00831C51" w:rsidP="00F540DB">
      <w:pPr>
        <w:pStyle w:val="Normalparatextwithnumbers"/>
        <w:numPr>
          <w:ilvl w:val="1"/>
          <w:numId w:val="51"/>
        </w:numPr>
      </w:pPr>
      <w:r w:rsidRPr="00831C51">
        <w:t xml:space="preserve">The </w:t>
      </w:r>
      <w:r w:rsidRPr="00F540DB">
        <w:rPr>
          <w:i/>
          <w:iCs/>
        </w:rPr>
        <w:t>Douglas</w:t>
      </w:r>
      <w:r w:rsidRPr="00831C51">
        <w:t xml:space="preserve"> decision has potentially adverse income tax outcomes for some veterans receiving an invalidity pension under the Military Superannuation Benefits and Defence Force Retirement and Death Benefits schemes. To counterbalance any adverse impact by the change in tax treatment of their superannuation benefit, this Schedule creates a non-refundable tax offset to ensure they pay no more income tax</w:t>
      </w:r>
      <w:r w:rsidR="00560EC9">
        <w:t xml:space="preserve"> or Medicare levy</w:t>
      </w:r>
      <w:r w:rsidRPr="00831C51">
        <w:t xml:space="preserve"> on their superannuation lump sum benefits than they would pay if those benefits were </w:t>
      </w:r>
      <w:r w:rsidR="00560EC9">
        <w:t xml:space="preserve">still </w:t>
      </w:r>
      <w:r w:rsidRPr="00831C51">
        <w:t>treated as superannuation income stream benefits</w:t>
      </w:r>
      <w:r w:rsidR="00560EC9">
        <w:t xml:space="preserve"> for income tax purposes</w:t>
      </w:r>
      <w:r w:rsidRPr="00831C51">
        <w:t>.</w:t>
      </w:r>
    </w:p>
    <w:p w14:paraId="048F5CC9" w14:textId="77777777" w:rsidR="001718FC" w:rsidRDefault="001718FC">
      <w:pPr>
        <w:spacing w:before="0" w:after="160" w:line="259" w:lineRule="auto"/>
        <w:rPr>
          <w:rFonts w:ascii="Helvitica" w:eastAsiaTheme="majorEastAsia" w:hAnsi="Helvitica" w:cstheme="majorBidi"/>
          <w:sz w:val="36"/>
          <w:szCs w:val="26"/>
        </w:rPr>
      </w:pPr>
      <w:bookmarkStart w:id="74" w:name="_Toc106717813"/>
      <w:bookmarkStart w:id="75" w:name="_Toc106718127"/>
      <w:bookmarkStart w:id="76" w:name="_Toc106869389"/>
      <w:bookmarkStart w:id="77" w:name="_Toc106869535"/>
      <w:bookmarkStart w:id="78" w:name="_Toc106883928"/>
      <w:bookmarkStart w:id="79" w:name="_Toc106973574"/>
      <w:bookmarkStart w:id="80" w:name="_Toc106974775"/>
      <w:r>
        <w:br w:type="page"/>
      </w:r>
    </w:p>
    <w:p w14:paraId="12D14DCA" w14:textId="2F6303A3" w:rsidR="00873094" w:rsidRPr="000A3C5D" w:rsidRDefault="00873094" w:rsidP="000A3C5D">
      <w:pPr>
        <w:pStyle w:val="Heading2"/>
      </w:pPr>
      <w:bookmarkStart w:id="81" w:name="_Toc108706682"/>
      <w:bookmarkStart w:id="82" w:name="_Toc108707863"/>
      <w:r w:rsidRPr="000A3C5D">
        <w:lastRenderedPageBreak/>
        <w:t>Comparison of key features of new law and current law</w:t>
      </w:r>
      <w:bookmarkEnd w:id="74"/>
      <w:bookmarkEnd w:id="75"/>
      <w:bookmarkEnd w:id="76"/>
      <w:bookmarkEnd w:id="77"/>
      <w:bookmarkEnd w:id="78"/>
      <w:bookmarkEnd w:id="79"/>
      <w:bookmarkEnd w:id="80"/>
      <w:bookmarkEnd w:id="81"/>
      <w:bookmarkEnd w:id="82"/>
    </w:p>
    <w:p w14:paraId="5C3352AA" w14:textId="77777777" w:rsidR="00873094" w:rsidRPr="002D3B91" w:rsidRDefault="00873094" w:rsidP="00873094">
      <w:pPr>
        <w:pStyle w:val="TableHeading"/>
        <w:numPr>
          <w:ilvl w:val="4"/>
          <w:numId w:val="51"/>
        </w:numPr>
      </w:pPr>
      <w:r w:rsidRPr="002D3B91">
        <w:t>Comparison of new law and current law</w:t>
      </w:r>
    </w:p>
    <w:tbl>
      <w:tblPr>
        <w:tblStyle w:val="Treasurytable"/>
        <w:tblW w:w="7792" w:type="dxa"/>
        <w:tblLook w:val="01E0" w:firstRow="1" w:lastRow="1" w:firstColumn="1" w:lastColumn="1" w:noHBand="0" w:noVBand="0"/>
      </w:tblPr>
      <w:tblGrid>
        <w:gridCol w:w="3964"/>
        <w:gridCol w:w="3828"/>
      </w:tblGrid>
      <w:tr w:rsidR="00873094" w:rsidRPr="00020288" w14:paraId="6AAD5884" w14:textId="77777777" w:rsidTr="00E31F29">
        <w:trPr>
          <w:cnfStyle w:val="100000000000" w:firstRow="1" w:lastRow="0" w:firstColumn="0" w:lastColumn="0" w:oddVBand="0" w:evenVBand="0" w:oddHBand="0" w:evenHBand="0" w:firstRowFirstColumn="0" w:firstRowLastColumn="0" w:lastRowFirstColumn="0" w:lastRowLastColumn="0"/>
        </w:trPr>
        <w:tc>
          <w:tcPr>
            <w:tcW w:w="3964" w:type="dxa"/>
          </w:tcPr>
          <w:p w14:paraId="37F737F9" w14:textId="77777777" w:rsidR="00873094" w:rsidRPr="00A61FE9" w:rsidRDefault="00873094" w:rsidP="00873094">
            <w:pPr>
              <w:pStyle w:val="Tableheaderrowtext"/>
              <w:numPr>
                <w:ilvl w:val="3"/>
                <w:numId w:val="2"/>
              </w:numPr>
              <w:ind w:left="1701" w:hanging="1701"/>
            </w:pPr>
            <w:r w:rsidRPr="00A61FE9">
              <w:t>New law</w:t>
            </w:r>
          </w:p>
        </w:tc>
        <w:tc>
          <w:tcPr>
            <w:tcW w:w="3828" w:type="dxa"/>
          </w:tcPr>
          <w:p w14:paraId="222B1ABC" w14:textId="77777777" w:rsidR="00873094" w:rsidRPr="00A61FE9" w:rsidRDefault="00873094" w:rsidP="00873094">
            <w:pPr>
              <w:pStyle w:val="Tableheaderrowtext"/>
              <w:numPr>
                <w:ilvl w:val="3"/>
                <w:numId w:val="2"/>
              </w:numPr>
              <w:ind w:left="1701" w:hanging="1701"/>
            </w:pPr>
            <w:r w:rsidRPr="00A61FE9">
              <w:t>Current law</w:t>
            </w:r>
          </w:p>
        </w:tc>
      </w:tr>
      <w:tr w:rsidR="00117538" w:rsidRPr="00020288" w14:paraId="2A78B6B8" w14:textId="77777777" w:rsidTr="001718FC">
        <w:tc>
          <w:tcPr>
            <w:tcW w:w="7792" w:type="dxa"/>
            <w:gridSpan w:val="2"/>
          </w:tcPr>
          <w:p w14:paraId="32C4297F" w14:textId="5472FCAB" w:rsidR="00117538" w:rsidRPr="00020288" w:rsidRDefault="00117538" w:rsidP="002425D9">
            <w:pPr>
              <w:pStyle w:val="Tabletext"/>
            </w:pPr>
            <w:r w:rsidRPr="00117538">
              <w:rPr>
                <w:b/>
                <w:lang w:val="en-US"/>
              </w:rPr>
              <w:t xml:space="preserve">Specifies income streams for </w:t>
            </w:r>
            <w:r w:rsidRPr="00117538">
              <w:rPr>
                <w:b/>
                <w:bCs/>
                <w:lang w:val="en-US"/>
              </w:rPr>
              <w:t>income tax purposes</w:t>
            </w:r>
          </w:p>
        </w:tc>
      </w:tr>
      <w:tr w:rsidR="00873094" w:rsidRPr="00020288" w14:paraId="725A727B" w14:textId="77777777" w:rsidTr="00E31F29">
        <w:tc>
          <w:tcPr>
            <w:tcW w:w="3964" w:type="dxa"/>
          </w:tcPr>
          <w:p w14:paraId="2A4992DF" w14:textId="77777777" w:rsidR="00BF65B1" w:rsidRPr="00BF65B1" w:rsidRDefault="00BF65B1" w:rsidP="00BF65B1">
            <w:pPr>
              <w:pStyle w:val="Tabletext"/>
              <w:rPr>
                <w:lang w:val="en-US"/>
              </w:rPr>
            </w:pPr>
            <w:r w:rsidRPr="00BF65B1">
              <w:rPr>
                <w:lang w:val="en-US"/>
              </w:rPr>
              <w:t>A ‘superannuation income stream’ for the purposes of subsection 307-70(2) of the ITAA 1997 includes pensions (within the meaning of the SIS Act) that commence on or after 20 September 2007 that are:</w:t>
            </w:r>
          </w:p>
          <w:p w14:paraId="63942F9B" w14:textId="77777777" w:rsidR="00BF65B1" w:rsidRPr="00BF65B1" w:rsidRDefault="00BF65B1" w:rsidP="001718FC">
            <w:pPr>
              <w:pStyle w:val="Tabletext"/>
              <w:numPr>
                <w:ilvl w:val="0"/>
                <w:numId w:val="41"/>
              </w:numPr>
              <w:rPr>
                <w:lang w:val="en-US"/>
              </w:rPr>
            </w:pPr>
            <w:r w:rsidRPr="00BF65B1">
              <w:rPr>
                <w:lang w:val="en-US"/>
              </w:rPr>
              <w:t xml:space="preserve">a </w:t>
            </w:r>
            <w:r w:rsidRPr="001718FC">
              <w:rPr>
                <w:color w:val="000000"/>
                <w:shd w:val="clear" w:color="auto" w:fill="FFFFFF"/>
              </w:rPr>
              <w:t>defined</w:t>
            </w:r>
            <w:r w:rsidRPr="00BF65B1">
              <w:rPr>
                <w:lang w:val="en-US"/>
              </w:rPr>
              <w:t xml:space="preserve"> benefit pension and;</w:t>
            </w:r>
          </w:p>
          <w:p w14:paraId="46F328CC" w14:textId="77777777" w:rsidR="00BF65B1" w:rsidRPr="00BF65B1" w:rsidRDefault="00BF65B1" w:rsidP="001718FC">
            <w:pPr>
              <w:pStyle w:val="Tabletext"/>
              <w:numPr>
                <w:ilvl w:val="0"/>
                <w:numId w:val="41"/>
              </w:numPr>
              <w:rPr>
                <w:lang w:val="en-US"/>
              </w:rPr>
            </w:pPr>
            <w:r w:rsidRPr="001718FC">
              <w:rPr>
                <w:lang w:val="en-US"/>
              </w:rPr>
              <w:t>provided</w:t>
            </w:r>
            <w:r w:rsidRPr="00BF65B1">
              <w:t xml:space="preserve"> by a defined benefit fund, or, </w:t>
            </w:r>
          </w:p>
          <w:p w14:paraId="7970EBA1" w14:textId="0A40234D" w:rsidR="00BF65B1" w:rsidRPr="00BF65B1" w:rsidRDefault="00BF65B1" w:rsidP="001718FC">
            <w:pPr>
              <w:pStyle w:val="Tabletext"/>
              <w:numPr>
                <w:ilvl w:val="0"/>
                <w:numId w:val="41"/>
              </w:numPr>
              <w:rPr>
                <w:lang w:val="en-US"/>
              </w:rPr>
            </w:pPr>
            <w:r w:rsidRPr="001718FC">
              <w:rPr>
                <w:lang w:val="en-US"/>
              </w:rPr>
              <w:t>provided</w:t>
            </w:r>
            <w:r w:rsidRPr="00BF65B1">
              <w:t xml:space="preserve"> by an exempt public sector </w:t>
            </w:r>
            <w:r w:rsidRPr="001718FC">
              <w:rPr>
                <w:color w:val="000000"/>
                <w:shd w:val="clear" w:color="auto" w:fill="FFFFFF"/>
              </w:rPr>
              <w:t>superannuation</w:t>
            </w:r>
            <w:r w:rsidRPr="00BF65B1">
              <w:t xml:space="preserve"> scheme , and</w:t>
            </w:r>
          </w:p>
          <w:p w14:paraId="448F00E8" w14:textId="27C4133B" w:rsidR="00D74200" w:rsidRPr="00BF65B1" w:rsidRDefault="00BF65B1" w:rsidP="001718FC">
            <w:pPr>
              <w:pStyle w:val="Tabletext"/>
              <w:numPr>
                <w:ilvl w:val="0"/>
                <w:numId w:val="41"/>
              </w:numPr>
              <w:rPr>
                <w:lang w:val="en-US"/>
              </w:rPr>
            </w:pPr>
            <w:r w:rsidRPr="00BF65B1">
              <w:t xml:space="preserve">is not invalidity pay within the meaning of the </w:t>
            </w:r>
            <w:r w:rsidRPr="00BF65B1">
              <w:rPr>
                <w:i/>
                <w:iCs/>
                <w:lang w:val="en-US"/>
              </w:rPr>
              <w:t>Defence Force Retirement and Death Benefits Act 1973</w:t>
            </w:r>
            <w:r w:rsidRPr="00BF65B1">
              <w:rPr>
                <w:lang w:val="en-US"/>
              </w:rPr>
              <w:t xml:space="preserve">, and </w:t>
            </w:r>
          </w:p>
          <w:p w14:paraId="4C574A1C" w14:textId="0167ACEF" w:rsidR="00EB2293" w:rsidRPr="00D74200" w:rsidRDefault="00BF65B1" w:rsidP="001718FC">
            <w:pPr>
              <w:pStyle w:val="Tabletext"/>
              <w:numPr>
                <w:ilvl w:val="0"/>
                <w:numId w:val="41"/>
              </w:numPr>
              <w:rPr>
                <w:color w:val="000000"/>
                <w:shd w:val="clear" w:color="auto" w:fill="FFFFFF"/>
              </w:rPr>
            </w:pPr>
            <w:r w:rsidRPr="00D74200">
              <w:t xml:space="preserve">is not a invalidity pension established under the </w:t>
            </w:r>
            <w:r w:rsidRPr="00D74200">
              <w:rPr>
                <w:i/>
              </w:rPr>
              <w:t>Military Superannuation and Benefits Act</w:t>
            </w:r>
            <w:r w:rsidR="00022A79">
              <w:rPr>
                <w:i/>
              </w:rPr>
              <w:t> </w:t>
            </w:r>
            <w:r w:rsidRPr="00D74200">
              <w:rPr>
                <w:i/>
              </w:rPr>
              <w:t>1991</w:t>
            </w:r>
            <w:r w:rsidR="00E82776" w:rsidRPr="00D74200">
              <w:rPr>
                <w:i/>
              </w:rPr>
              <w:t>.</w:t>
            </w:r>
          </w:p>
          <w:p w14:paraId="0D10B9AF" w14:textId="28228F5C" w:rsidR="00C972D1" w:rsidRDefault="009975B5" w:rsidP="000A3C5D">
            <w:pPr>
              <w:pStyle w:val="Tabletext"/>
              <w:ind w:left="0"/>
            </w:pPr>
            <w:r w:rsidRPr="00EB2293">
              <w:rPr>
                <w:color w:val="000000"/>
                <w:shd w:val="clear" w:color="auto" w:fill="FFFFFF"/>
              </w:rPr>
              <w:t>W</w:t>
            </w:r>
            <w:r w:rsidR="00E82776" w:rsidRPr="00EB2293">
              <w:rPr>
                <w:color w:val="000000"/>
                <w:shd w:val="clear" w:color="auto" w:fill="FFFFFF"/>
              </w:rPr>
              <w:t>here the defined benefit fund (within the meaning of regulation 1.03 of the SIS Regulations) is a regulated fund but not a public sector superannuation scheme, that fund or scheme must have more than six members</w:t>
            </w:r>
            <w:r w:rsidRPr="00EB2293">
              <w:rPr>
                <w:color w:val="000000"/>
                <w:shd w:val="clear" w:color="auto" w:fill="FFFFFF"/>
              </w:rPr>
              <w:t>. Therefore,</w:t>
            </w:r>
            <w:r w:rsidRPr="00EB2293">
              <w:t xml:space="preserve"> public sector superannuation schemes and exempt public sector superannuation schemes are not captured by the requirement to have more than </w:t>
            </w:r>
            <w:r w:rsidR="009C5526">
              <w:t>six</w:t>
            </w:r>
            <w:r w:rsidRPr="00EB2293">
              <w:t xml:space="preserve"> members.</w:t>
            </w:r>
          </w:p>
          <w:p w14:paraId="7406728E" w14:textId="5A579FF4" w:rsidR="00C972D1" w:rsidRPr="00020288" w:rsidRDefault="00420C45" w:rsidP="000A3C5D">
            <w:pPr>
              <w:pStyle w:val="Tabletext"/>
              <w:ind w:left="0"/>
            </w:pPr>
            <w:r w:rsidRPr="001630A3">
              <w:t>The</w:t>
            </w:r>
            <w:r>
              <w:t xml:space="preserve"> above</w:t>
            </w:r>
            <w:r w:rsidRPr="001630A3">
              <w:t xml:space="preserve"> amendments to Subdivision 307</w:t>
            </w:r>
            <w:r w:rsidR="00807B1F">
              <w:noBreakHyphen/>
            </w:r>
            <w:r w:rsidRPr="001630A3">
              <w:t>B of the ITAR 2021</w:t>
            </w:r>
            <w:r>
              <w:t xml:space="preserve"> do not apply to the pension a spouse or child receiving on the death of a recipient member where the </w:t>
            </w:r>
            <w:r w:rsidR="006501C1" w:rsidRPr="006501C1">
              <w:t xml:space="preserve">invalidity pay </w:t>
            </w:r>
            <w:r w:rsidR="006501C1" w:rsidRPr="006501C1">
              <w:rPr>
                <w:lang w:val="en-US"/>
              </w:rPr>
              <w:t xml:space="preserve">within the meaning of the </w:t>
            </w:r>
            <w:r w:rsidR="006501C1" w:rsidRPr="006501C1">
              <w:rPr>
                <w:i/>
                <w:iCs/>
                <w:lang w:val="en-US"/>
              </w:rPr>
              <w:t>Defence Force Retirement and Death Benefits Act 1973</w:t>
            </w:r>
            <w:r w:rsidR="006501C1">
              <w:rPr>
                <w:i/>
                <w:iCs/>
                <w:lang w:val="en-US"/>
              </w:rPr>
              <w:t xml:space="preserve"> </w:t>
            </w:r>
            <w:r w:rsidR="006501C1" w:rsidRPr="001718FC">
              <w:rPr>
                <w:lang w:val="en-US"/>
              </w:rPr>
              <w:t>or</w:t>
            </w:r>
            <w:r w:rsidR="006501C1">
              <w:rPr>
                <w:i/>
                <w:iCs/>
                <w:lang w:val="en-US"/>
              </w:rPr>
              <w:t xml:space="preserve"> </w:t>
            </w:r>
            <w:r>
              <w:t>the member’s invalidity pension</w:t>
            </w:r>
            <w:r w:rsidR="00C16C5F" w:rsidRPr="00C16C5F">
              <w:t xml:space="preserve"> </w:t>
            </w:r>
            <w:r w:rsidR="00C16C5F" w:rsidRPr="00C16C5F">
              <w:rPr>
                <w:lang w:val="en-US"/>
              </w:rPr>
              <w:t xml:space="preserve">established under the </w:t>
            </w:r>
            <w:r w:rsidR="00C16C5F" w:rsidRPr="00C16C5F">
              <w:rPr>
                <w:i/>
                <w:iCs/>
                <w:lang w:val="en-US"/>
              </w:rPr>
              <w:t xml:space="preserve">Military Superannuation and Benefits Act 1991 </w:t>
            </w:r>
            <w:r w:rsidRPr="00C57FA0">
              <w:t>commenced on or after 20 September 2007</w:t>
            </w:r>
            <w:r>
              <w:t>.</w:t>
            </w:r>
          </w:p>
        </w:tc>
        <w:tc>
          <w:tcPr>
            <w:tcW w:w="3828" w:type="dxa"/>
          </w:tcPr>
          <w:p w14:paraId="378C8E69" w14:textId="71DBE9BF" w:rsidR="003E72D5" w:rsidRPr="00875CAA" w:rsidRDefault="007B0841" w:rsidP="003E72D5">
            <w:pPr>
              <w:pStyle w:val="Tabletext"/>
              <w:keepNext/>
              <w:keepLines/>
              <w:rPr>
                <w:bCs/>
                <w:iCs/>
                <w:lang w:val="en-US"/>
              </w:rPr>
            </w:pPr>
            <w:r>
              <w:rPr>
                <w:bCs/>
                <w:iCs/>
                <w:lang w:val="en-US"/>
              </w:rPr>
              <w:t>As a result of the Douglas decision c</w:t>
            </w:r>
            <w:r w:rsidR="003E72D5" w:rsidRPr="00875CAA">
              <w:rPr>
                <w:bCs/>
                <w:iCs/>
                <w:lang w:val="en-US"/>
              </w:rPr>
              <w:t>ertain income streams that commenced on or after 20 September 2007 do not meet the requirements</w:t>
            </w:r>
            <w:r w:rsidR="003E72D5" w:rsidRPr="00875CAA" w:rsidDel="00380D7C">
              <w:rPr>
                <w:bCs/>
                <w:iCs/>
                <w:lang w:val="en-US"/>
              </w:rPr>
              <w:t xml:space="preserve"> of </w:t>
            </w:r>
            <w:r w:rsidR="003E72D5" w:rsidRPr="00875CAA">
              <w:rPr>
                <w:bCs/>
                <w:iCs/>
                <w:lang w:val="en-US"/>
              </w:rPr>
              <w:t>subregulation 1.06(1) of the SIS Regulations because they can be cancelled, suspended, or reduced to nil in certain circumstances and therefore do not</w:t>
            </w:r>
            <w:r w:rsidR="003E72D5" w:rsidRPr="00875CAA">
              <w:rPr>
                <w:b/>
                <w:bCs/>
                <w:iCs/>
                <w:lang w:val="en-US"/>
              </w:rPr>
              <w:t xml:space="preserve"> </w:t>
            </w:r>
            <w:r w:rsidR="003E72D5" w:rsidRPr="00875CAA">
              <w:rPr>
                <w:bCs/>
                <w:iCs/>
                <w:lang w:val="en-US"/>
              </w:rPr>
              <w:t xml:space="preserve">satisfy the definition of ‘superannuation income stream’ in regulation 307-70.01 of the ITAR 2021. </w:t>
            </w:r>
          </w:p>
          <w:p w14:paraId="366596E4" w14:textId="56ADE379" w:rsidR="00873094" w:rsidRPr="001718FC" w:rsidRDefault="003E72D5" w:rsidP="003E72D5">
            <w:pPr>
              <w:pStyle w:val="Tabletext"/>
              <w:rPr>
                <w:lang w:val="en-US" w:eastAsia="en-US"/>
              </w:rPr>
            </w:pPr>
            <w:r w:rsidRPr="00875CAA">
              <w:rPr>
                <w:bCs/>
                <w:iCs/>
                <w:lang w:val="en-US" w:eastAsia="en-US"/>
              </w:rPr>
              <w:t>A superannuation benefit that is not paid from a ‘superannuation income stream’ cannot be a ‘superannuation income stream benefit’ for the purposes of section 307</w:t>
            </w:r>
            <w:r w:rsidRPr="00875CAA" w:rsidDel="006B2385">
              <w:rPr>
                <w:bCs/>
                <w:iCs/>
                <w:lang w:val="en-US" w:eastAsia="en-US"/>
              </w:rPr>
              <w:t>-</w:t>
            </w:r>
            <w:r w:rsidRPr="00875CAA">
              <w:rPr>
                <w:bCs/>
                <w:iCs/>
                <w:lang w:val="en-US" w:eastAsia="en-US"/>
              </w:rPr>
              <w:t>70(1) of the ITAA 1997 and is instead a</w:t>
            </w:r>
            <w:r>
              <w:rPr>
                <w:bCs/>
                <w:iCs/>
                <w:lang w:val="en-US" w:eastAsia="en-US"/>
              </w:rPr>
              <w:t xml:space="preserve"> </w:t>
            </w:r>
            <w:r w:rsidRPr="00636DF3">
              <w:rPr>
                <w:bCs/>
                <w:iCs/>
                <w:lang w:val="en-US" w:eastAsia="en-US"/>
              </w:rPr>
              <w:t>‘superannuation lump sum’ for the purposes of section 307-65(1) of the ITAA 1997.</w:t>
            </w:r>
          </w:p>
        </w:tc>
      </w:tr>
      <w:tr w:rsidR="00B579D4" w:rsidRPr="00020288" w14:paraId="369A74E2" w14:textId="77777777" w:rsidTr="001718FC">
        <w:tc>
          <w:tcPr>
            <w:tcW w:w="7792" w:type="dxa"/>
            <w:gridSpan w:val="2"/>
          </w:tcPr>
          <w:p w14:paraId="3A890BE7" w14:textId="03108447" w:rsidR="00B579D4" w:rsidRPr="00020288" w:rsidRDefault="00E31F29" w:rsidP="002425D9">
            <w:pPr>
              <w:pStyle w:val="Tabletext"/>
            </w:pPr>
            <w:r>
              <w:rPr>
                <w:b/>
                <w:i/>
                <w:lang w:val="en-US"/>
              </w:rPr>
              <w:lastRenderedPageBreak/>
              <w:t>N</w:t>
            </w:r>
            <w:r w:rsidR="00B579D4" w:rsidRPr="00B579D4">
              <w:rPr>
                <w:b/>
                <w:i/>
                <w:lang w:val="en-US"/>
              </w:rPr>
              <w:t>on-refundable tax offset</w:t>
            </w:r>
          </w:p>
        </w:tc>
      </w:tr>
      <w:tr w:rsidR="00873094" w:rsidRPr="00020288" w14:paraId="3B6B4852" w14:textId="77777777" w:rsidTr="00E31F29">
        <w:tc>
          <w:tcPr>
            <w:tcW w:w="3964" w:type="dxa"/>
          </w:tcPr>
          <w:p w14:paraId="2DBE1E69" w14:textId="0801DFFC" w:rsidR="00002C14" w:rsidRDefault="00B65B31" w:rsidP="00B34C19">
            <w:pPr>
              <w:pStyle w:val="Tabletext"/>
              <w:rPr>
                <w:color w:val="000000"/>
                <w:shd w:val="clear" w:color="auto" w:fill="FFFFFF"/>
              </w:rPr>
            </w:pPr>
            <w:r w:rsidRPr="00B65B31">
              <w:rPr>
                <w:lang w:val="en-US"/>
              </w:rPr>
              <w:t xml:space="preserve">Provides for a </w:t>
            </w:r>
            <w:r w:rsidRPr="00B65B31" w:rsidDel="009856C4">
              <w:rPr>
                <w:lang w:val="en-US"/>
              </w:rPr>
              <w:t>new non-</w:t>
            </w:r>
            <w:r w:rsidRPr="00B65B31">
              <w:rPr>
                <w:lang w:val="en-US"/>
              </w:rPr>
              <w:t xml:space="preserve">refundable </w:t>
            </w:r>
            <w:r w:rsidR="00807B1F">
              <w:rPr>
                <w:lang w:val="en-US"/>
              </w:rPr>
              <w:t xml:space="preserve">tax </w:t>
            </w:r>
            <w:r w:rsidRPr="00B65B31">
              <w:rPr>
                <w:lang w:val="en-US"/>
              </w:rPr>
              <w:t xml:space="preserve">offset (the veterans’ superannuation (invalidity pension) tax offset) </w:t>
            </w:r>
            <w:r w:rsidRPr="00B65B31">
              <w:t>to</w:t>
            </w:r>
            <w:r w:rsidR="008F30D2">
              <w:t xml:space="preserve"> </w:t>
            </w:r>
            <w:r w:rsidR="008F30D2" w:rsidRPr="008B19C9">
              <w:rPr>
                <w:color w:val="000000"/>
                <w:shd w:val="clear" w:color="auto" w:fill="FFFFFF"/>
              </w:rPr>
              <w:t>individuals who</w:t>
            </w:r>
            <w:r w:rsidR="008F30D2">
              <w:rPr>
                <w:color w:val="000000"/>
                <w:shd w:val="clear" w:color="auto" w:fill="FFFFFF"/>
              </w:rPr>
              <w:t xml:space="preserve"> meet certain criteria, including</w:t>
            </w:r>
            <w:r w:rsidR="00512798">
              <w:rPr>
                <w:color w:val="000000"/>
                <w:shd w:val="clear" w:color="auto" w:fill="FFFFFF"/>
              </w:rPr>
              <w:t xml:space="preserve"> that t</w:t>
            </w:r>
            <w:r w:rsidR="008F30D2">
              <w:rPr>
                <w:color w:val="000000"/>
                <w:shd w:val="clear" w:color="auto" w:fill="FFFFFF"/>
              </w:rPr>
              <w:t>hey receive</w:t>
            </w:r>
            <w:r w:rsidR="00002C14">
              <w:rPr>
                <w:color w:val="000000"/>
                <w:shd w:val="clear" w:color="auto" w:fill="FFFFFF"/>
              </w:rPr>
              <w:t>:</w:t>
            </w:r>
          </w:p>
          <w:p w14:paraId="2AD268A6" w14:textId="1AE890D9" w:rsidR="00002C14" w:rsidRPr="00A55BF3" w:rsidRDefault="008F30D2" w:rsidP="00002C14">
            <w:pPr>
              <w:pStyle w:val="Tabletext"/>
              <w:numPr>
                <w:ilvl w:val="0"/>
                <w:numId w:val="41"/>
              </w:numPr>
              <w:rPr>
                <w:color w:val="000000"/>
                <w:shd w:val="clear" w:color="auto" w:fill="FFFFFF"/>
              </w:rPr>
            </w:pPr>
            <w:r w:rsidRPr="008B19C9">
              <w:rPr>
                <w:color w:val="000000"/>
                <w:shd w:val="clear" w:color="auto" w:fill="FFFFFF"/>
              </w:rPr>
              <w:t xml:space="preserve">invalidity pay within the meaning of the </w:t>
            </w:r>
            <w:r w:rsidRPr="008B19C9">
              <w:rPr>
                <w:i/>
                <w:iCs/>
                <w:color w:val="000000"/>
                <w:shd w:val="clear" w:color="auto" w:fill="FFFFFF"/>
              </w:rPr>
              <w:t>Defence Force Retirement and Death Benefits Act 1973</w:t>
            </w:r>
            <w:r w:rsidR="00002C14">
              <w:rPr>
                <w:i/>
                <w:iCs/>
                <w:color w:val="000000"/>
                <w:shd w:val="clear" w:color="auto" w:fill="FFFFFF"/>
              </w:rPr>
              <w:t>;</w:t>
            </w:r>
            <w:r w:rsidRPr="00630B5F">
              <w:rPr>
                <w:i/>
                <w:shd w:val="clear" w:color="auto" w:fill="FFFFFF"/>
              </w:rPr>
              <w:t xml:space="preserve"> </w:t>
            </w:r>
            <w:r w:rsidRPr="008B19C9">
              <w:rPr>
                <w:shd w:val="clear" w:color="auto" w:fill="FFFFFF"/>
              </w:rPr>
              <w:t xml:space="preserve">or </w:t>
            </w:r>
          </w:p>
          <w:p w14:paraId="5E6472F1" w14:textId="77777777" w:rsidR="00002C14" w:rsidRPr="00A55BF3" w:rsidRDefault="008F30D2" w:rsidP="00002C14">
            <w:pPr>
              <w:pStyle w:val="Tabletext"/>
              <w:numPr>
                <w:ilvl w:val="0"/>
                <w:numId w:val="41"/>
              </w:numPr>
              <w:rPr>
                <w:color w:val="000000"/>
                <w:shd w:val="clear" w:color="auto" w:fill="FFFFFF"/>
              </w:rPr>
            </w:pPr>
            <w:r w:rsidRPr="008B19C9">
              <w:rPr>
                <w:shd w:val="clear" w:color="auto" w:fill="FFFFFF"/>
              </w:rPr>
              <w:t xml:space="preserve">an invalidity pension within the meaning of the </w:t>
            </w:r>
            <w:r w:rsidRPr="008B19C9">
              <w:rPr>
                <w:i/>
                <w:iCs/>
              </w:rPr>
              <w:t>Military Superannuation and Benefits Act 1991</w:t>
            </w:r>
            <w:r w:rsidR="00002C14">
              <w:rPr>
                <w:i/>
                <w:iCs/>
              </w:rPr>
              <w:t xml:space="preserve">; </w:t>
            </w:r>
            <w:r w:rsidR="00002C14" w:rsidRPr="00A55BF3">
              <w:t>or</w:t>
            </w:r>
          </w:p>
          <w:p w14:paraId="45849C59" w14:textId="67099CD6" w:rsidR="008F30D2" w:rsidRPr="00B34C19" w:rsidRDefault="00002C14" w:rsidP="00A55BF3">
            <w:pPr>
              <w:pStyle w:val="Tabletext"/>
              <w:numPr>
                <w:ilvl w:val="0"/>
                <w:numId w:val="41"/>
              </w:numPr>
              <w:rPr>
                <w:color w:val="000000"/>
                <w:shd w:val="clear" w:color="auto" w:fill="FFFFFF"/>
              </w:rPr>
            </w:pPr>
            <w:r>
              <w:t xml:space="preserve">a pension mentioned in </w:t>
            </w:r>
            <w:r w:rsidR="00291A84">
              <w:t xml:space="preserve">a paragraph in </w:t>
            </w:r>
            <w:r>
              <w:t>subsection 307-70.02(1A) of the ITAR 2021</w:t>
            </w:r>
            <w:r w:rsidR="001940B0">
              <w:t>.</w:t>
            </w:r>
          </w:p>
          <w:p w14:paraId="2EDB23D7" w14:textId="1405E1F3" w:rsidR="008F30D2" w:rsidRDefault="00F85CEB" w:rsidP="00F85CEB">
            <w:pPr>
              <w:pStyle w:val="Tabletext"/>
            </w:pPr>
            <w:r>
              <w:t>Veterans who</w:t>
            </w:r>
            <w:r w:rsidR="00FF1A48">
              <w:t xml:space="preserve"> would</w:t>
            </w:r>
            <w:r>
              <w:t xml:space="preserve"> face a higher tax liability as a result of the </w:t>
            </w:r>
            <w:r w:rsidRPr="00B34C19">
              <w:rPr>
                <w:i/>
                <w:iCs/>
              </w:rPr>
              <w:t>Douglas</w:t>
            </w:r>
            <w:r w:rsidRPr="008617E5">
              <w:t xml:space="preserve"> </w:t>
            </w:r>
            <w:r>
              <w:t xml:space="preserve">decision will have their </w:t>
            </w:r>
            <w:r w:rsidR="00C972D1">
              <w:t xml:space="preserve">income </w:t>
            </w:r>
            <w:r>
              <w:t>tax liability reduced to the amount it would be if the benefits were treated as a superannuation income stream</w:t>
            </w:r>
            <w:r w:rsidR="00C16C5F">
              <w:t xml:space="preserve"> benefit</w:t>
            </w:r>
            <w:r>
              <w:t>.</w:t>
            </w:r>
            <w:r w:rsidR="006C7E45">
              <w:t xml:space="preserve"> This tax treatment </w:t>
            </w:r>
            <w:r w:rsidR="00C16C5F">
              <w:t xml:space="preserve">also applies </w:t>
            </w:r>
            <w:r w:rsidR="006C7E45">
              <w:t>available to a</w:t>
            </w:r>
            <w:r w:rsidR="009055DC">
              <w:t>n</w:t>
            </w:r>
            <w:r w:rsidR="006C7E45">
              <w:t xml:space="preserve"> </w:t>
            </w:r>
            <w:r w:rsidR="009055DC">
              <w:t xml:space="preserve">eligible </w:t>
            </w:r>
            <w:r w:rsidR="006C7E45">
              <w:t>spouse or child beneficiar</w:t>
            </w:r>
            <w:r w:rsidR="00291A84">
              <w:t>y receiving a pension mentioned in subsection 307</w:t>
            </w:r>
            <w:r w:rsidR="006B2385">
              <w:noBreakHyphen/>
            </w:r>
            <w:r w:rsidR="00291A84">
              <w:t>70.02(1A</w:t>
            </w:r>
            <w:r w:rsidR="00413F23">
              <w:t>) of the ITAR 2021</w:t>
            </w:r>
            <w:r w:rsidR="009055DC">
              <w:t xml:space="preserve">. </w:t>
            </w:r>
          </w:p>
          <w:p w14:paraId="49022EC0" w14:textId="4AA24C5D" w:rsidR="00873094" w:rsidRDefault="00F85CEB" w:rsidP="004C2276">
            <w:pPr>
              <w:pStyle w:val="Tabletext"/>
              <w:rPr>
                <w:color w:val="000000" w:themeColor="text1"/>
              </w:rPr>
            </w:pPr>
            <w:r>
              <w:rPr>
                <w:color w:val="000000" w:themeColor="text1"/>
              </w:rPr>
              <w:t xml:space="preserve">The </w:t>
            </w:r>
            <w:r w:rsidRPr="005A4051">
              <w:rPr>
                <w:color w:val="000000" w:themeColor="text1"/>
              </w:rPr>
              <w:t xml:space="preserve">offset applies retrospectively to income years starting on or after 1 July 2007, to prevent adverse </w:t>
            </w:r>
            <w:r w:rsidR="00C972D1">
              <w:rPr>
                <w:color w:val="000000" w:themeColor="text1"/>
              </w:rPr>
              <w:t xml:space="preserve">income </w:t>
            </w:r>
            <w:r w:rsidRPr="005A4051">
              <w:rPr>
                <w:color w:val="000000" w:themeColor="text1"/>
              </w:rPr>
              <w:t>tax outcomes arising as a result of the ATO’s remediation process to apply the court’s decision to previous years.</w:t>
            </w:r>
            <w:r>
              <w:rPr>
                <w:color w:val="000000" w:themeColor="text1"/>
              </w:rPr>
              <w:t xml:space="preserve"> </w:t>
            </w:r>
          </w:p>
          <w:p w14:paraId="5E82E561" w14:textId="544421C7" w:rsidR="00CF4DC3" w:rsidRPr="00B34C19" w:rsidRDefault="00CF4DC3" w:rsidP="004C2276">
            <w:pPr>
              <w:pStyle w:val="Tabletext"/>
              <w:rPr>
                <w:color w:val="000000" w:themeColor="text1"/>
              </w:rPr>
            </w:pPr>
            <w:r>
              <w:rPr>
                <w:color w:val="000000" w:themeColor="text1"/>
              </w:rPr>
              <w:t>The Commissioner retains the ability to amend assessments to give effect to the offset</w:t>
            </w:r>
            <w:r>
              <w:rPr>
                <w:i/>
                <w:iCs/>
                <w:color w:val="000000" w:themeColor="text1"/>
              </w:rPr>
              <w:t>.</w:t>
            </w:r>
          </w:p>
        </w:tc>
        <w:tc>
          <w:tcPr>
            <w:tcW w:w="3828" w:type="dxa"/>
          </w:tcPr>
          <w:p w14:paraId="5EA6ADED" w14:textId="1BCB80F2" w:rsidR="00873094" w:rsidRPr="00020288" w:rsidRDefault="00D4210B" w:rsidP="002425D9">
            <w:pPr>
              <w:pStyle w:val="Tabletext"/>
            </w:pPr>
            <w:r w:rsidRPr="00D4210B">
              <w:rPr>
                <w:bCs/>
                <w:iCs/>
                <w:lang w:val="en-US"/>
              </w:rPr>
              <w:t>No comparison.</w:t>
            </w:r>
          </w:p>
        </w:tc>
      </w:tr>
    </w:tbl>
    <w:p w14:paraId="1DB9E63F" w14:textId="6385F129" w:rsidR="00873094" w:rsidRPr="000A3C5D" w:rsidRDefault="00873094" w:rsidP="00167D13">
      <w:pPr>
        <w:pStyle w:val="Heading2"/>
      </w:pPr>
      <w:bookmarkStart w:id="83" w:name="_Toc106717814"/>
      <w:bookmarkStart w:id="84" w:name="_Toc106718128"/>
      <w:bookmarkStart w:id="85" w:name="_Toc106869390"/>
      <w:bookmarkStart w:id="86" w:name="_Toc106869536"/>
      <w:bookmarkStart w:id="87" w:name="_Toc106883929"/>
      <w:bookmarkStart w:id="88" w:name="_Toc106973575"/>
      <w:bookmarkStart w:id="89" w:name="_Toc106974776"/>
      <w:bookmarkStart w:id="90" w:name="_Toc108706683"/>
      <w:bookmarkStart w:id="91" w:name="_Toc108707864"/>
      <w:r w:rsidRPr="000A3C5D">
        <w:t>Detailed explanation of new law</w:t>
      </w:r>
      <w:bookmarkEnd w:id="83"/>
      <w:bookmarkEnd w:id="84"/>
      <w:bookmarkEnd w:id="85"/>
      <w:bookmarkEnd w:id="86"/>
      <w:bookmarkEnd w:id="87"/>
      <w:bookmarkEnd w:id="88"/>
      <w:bookmarkEnd w:id="89"/>
      <w:bookmarkEnd w:id="90"/>
      <w:bookmarkEnd w:id="91"/>
    </w:p>
    <w:p w14:paraId="33FF1502" w14:textId="6B2A235C" w:rsidR="00715B5E" w:rsidRPr="000061A6" w:rsidRDefault="00E31F00" w:rsidP="00E31F00">
      <w:pPr>
        <w:pStyle w:val="Heading3"/>
        <w:rPr>
          <w:b/>
          <w:bCs/>
          <w:sz w:val="24"/>
        </w:rPr>
      </w:pPr>
      <w:bookmarkStart w:id="92" w:name="_Toc93411073"/>
      <w:bookmarkStart w:id="93" w:name="_Toc106717815"/>
      <w:bookmarkStart w:id="94" w:name="_Toc106718129"/>
      <w:bookmarkStart w:id="95" w:name="_Toc106869391"/>
      <w:bookmarkStart w:id="96" w:name="_Toc106869537"/>
      <w:bookmarkStart w:id="97" w:name="_Toc106883930"/>
      <w:bookmarkStart w:id="98" w:name="_Toc106973576"/>
      <w:bookmarkStart w:id="99" w:name="_Toc106974777"/>
      <w:bookmarkStart w:id="100" w:name="_Toc108706684"/>
      <w:bookmarkStart w:id="101" w:name="_Toc108707865"/>
      <w:bookmarkStart w:id="102" w:name="_Hlk106869336"/>
      <w:r w:rsidRPr="000061A6">
        <w:rPr>
          <w:b/>
          <w:bCs/>
          <w:sz w:val="24"/>
        </w:rPr>
        <w:t>Superannuation income stream benefits</w:t>
      </w:r>
      <w:bookmarkEnd w:id="92"/>
      <w:bookmarkEnd w:id="93"/>
      <w:bookmarkEnd w:id="94"/>
      <w:bookmarkEnd w:id="95"/>
      <w:bookmarkEnd w:id="96"/>
      <w:bookmarkEnd w:id="97"/>
      <w:bookmarkEnd w:id="98"/>
      <w:bookmarkEnd w:id="99"/>
      <w:bookmarkEnd w:id="100"/>
      <w:bookmarkEnd w:id="101"/>
    </w:p>
    <w:bookmarkEnd w:id="102"/>
    <w:p w14:paraId="0DD7DB41" w14:textId="663BC7F6" w:rsidR="00A56825" w:rsidRPr="00B5487F" w:rsidRDefault="00A56825" w:rsidP="00A56825">
      <w:pPr>
        <w:pStyle w:val="Normalparatextwithnumbers"/>
      </w:pPr>
      <w:r>
        <w:rPr>
          <w:lang w:val="en-US"/>
        </w:rPr>
        <w:t xml:space="preserve">A </w:t>
      </w:r>
      <w:r w:rsidRPr="00AE56D3">
        <w:rPr>
          <w:lang w:val="en-US"/>
        </w:rPr>
        <w:t xml:space="preserve">superannuation benefit that is not paid from a ‘superannuation income stream’ cannot be a ‘superannuation income stream benefit’ for the purposes of section 307-70(1) of the ITAA 1997 and is instead a ‘superannuation lump sum’ for the purposes of section 307-65(1) of the ITAA 1997. </w:t>
      </w:r>
    </w:p>
    <w:p w14:paraId="7C5F70FA" w14:textId="5706D540" w:rsidR="00B715E4" w:rsidRDefault="006E33F9" w:rsidP="00A56825">
      <w:pPr>
        <w:pStyle w:val="Normalparatextwithnumbers"/>
      </w:pPr>
      <w:bookmarkStart w:id="103" w:name="_Hlk106881598"/>
      <w:r>
        <w:t>S</w:t>
      </w:r>
      <w:r w:rsidRPr="00200ACD">
        <w:t>ubdivision 307-B</w:t>
      </w:r>
      <w:r w:rsidR="00065B88">
        <w:t xml:space="preserve"> of the</w:t>
      </w:r>
      <w:r>
        <w:t xml:space="preserve"> </w:t>
      </w:r>
      <w:r w:rsidR="006C5E16">
        <w:t>ITAR 2</w:t>
      </w:r>
      <w:r w:rsidR="00062469">
        <w:t>02</w:t>
      </w:r>
      <w:r w:rsidR="006C5E16">
        <w:t xml:space="preserve">1 provides for the definition of </w:t>
      </w:r>
      <w:r w:rsidR="006C5E16" w:rsidRPr="006C5E16">
        <w:t>superannuation income stream benefit</w:t>
      </w:r>
      <w:r w:rsidR="007D5A24">
        <w:t>.</w:t>
      </w:r>
      <w:r w:rsidR="006C5E16" w:rsidRPr="006C5E16" w:rsidDel="00C2068C">
        <w:t xml:space="preserve"> </w:t>
      </w:r>
      <w:r w:rsidR="0000082C">
        <w:rPr>
          <w:lang w:val="en-US"/>
        </w:rPr>
        <w:t xml:space="preserve">This </w:t>
      </w:r>
      <w:r w:rsidR="002F0B23">
        <w:rPr>
          <w:lang w:val="en-US"/>
        </w:rPr>
        <w:t>s</w:t>
      </w:r>
      <w:r w:rsidR="0000082C">
        <w:rPr>
          <w:lang w:val="en-US"/>
        </w:rPr>
        <w:t>chedule</w:t>
      </w:r>
      <w:r w:rsidR="00A56825">
        <w:t xml:space="preserve"> </w:t>
      </w:r>
      <w:r w:rsidR="00A56825" w:rsidRPr="00A97A20">
        <w:t xml:space="preserve">amends </w:t>
      </w:r>
      <w:r w:rsidR="00F21287">
        <w:t xml:space="preserve">the superannuation income stream definition in regulation 307-70.02(1) </w:t>
      </w:r>
      <w:r w:rsidR="00A56825" w:rsidRPr="00A97A20">
        <w:t>to</w:t>
      </w:r>
      <w:r w:rsidR="00A56825">
        <w:t xml:space="preserve"> provide </w:t>
      </w:r>
      <w:r w:rsidR="00A56825">
        <w:lastRenderedPageBreak/>
        <w:t>that defined benefit pensions (within the meaning</w:t>
      </w:r>
      <w:r w:rsidR="00A56825" w:rsidDel="002D4D6A">
        <w:t xml:space="preserve"> </w:t>
      </w:r>
      <w:r w:rsidR="00A56825">
        <w:t>of</w:t>
      </w:r>
      <w:r w:rsidR="00A56825" w:rsidDel="002D4D6A">
        <w:t xml:space="preserve"> the </w:t>
      </w:r>
      <w:r w:rsidR="00A56825">
        <w:t xml:space="preserve">SIS Regulations) that commenced on or after 20 September 2007 are a superannuation income stream if, </w:t>
      </w:r>
      <w:r w:rsidR="00B715E4">
        <w:t>they are:</w:t>
      </w:r>
    </w:p>
    <w:p w14:paraId="18B4A39D" w14:textId="12606D07" w:rsidR="00B715E4" w:rsidRPr="00B34C19" w:rsidRDefault="00A56825" w:rsidP="00745392">
      <w:pPr>
        <w:pStyle w:val="Tabletext"/>
        <w:numPr>
          <w:ilvl w:val="0"/>
          <w:numId w:val="26"/>
        </w:numPr>
        <w:ind w:left="1418" w:hanging="709"/>
        <w:rPr>
          <w:color w:val="000000"/>
          <w:sz w:val="22"/>
          <w:szCs w:val="22"/>
          <w:shd w:val="clear" w:color="auto" w:fill="FFFFFF"/>
        </w:rPr>
      </w:pPr>
      <w:r w:rsidRPr="00B34C19">
        <w:rPr>
          <w:color w:val="000000"/>
          <w:sz w:val="22"/>
          <w:szCs w:val="22"/>
          <w:shd w:val="clear" w:color="auto" w:fill="FFFFFF"/>
        </w:rPr>
        <w:t>provided by a defined benefit fund (within the meaning of regulation 1.03 of the SIS Regulations)</w:t>
      </w:r>
      <w:r w:rsidR="001628DE">
        <w:rPr>
          <w:color w:val="000000"/>
          <w:sz w:val="22"/>
          <w:szCs w:val="22"/>
          <w:shd w:val="clear" w:color="auto" w:fill="FFFFFF"/>
        </w:rPr>
        <w:t xml:space="preserve"> – this </w:t>
      </w:r>
      <w:r w:rsidR="00625A3E">
        <w:rPr>
          <w:color w:val="000000"/>
          <w:sz w:val="22"/>
          <w:szCs w:val="22"/>
          <w:shd w:val="clear" w:color="auto" w:fill="FFFFFF"/>
        </w:rPr>
        <w:t>includes</w:t>
      </w:r>
      <w:r w:rsidR="001628DE">
        <w:rPr>
          <w:color w:val="000000"/>
          <w:sz w:val="22"/>
          <w:szCs w:val="22"/>
          <w:shd w:val="clear" w:color="auto" w:fill="FFFFFF"/>
        </w:rPr>
        <w:t xml:space="preserve"> a public sector superannuation scheme or a regulated fund that is not a public sector superannuation scheme</w:t>
      </w:r>
      <w:r w:rsidRPr="00B34C19">
        <w:rPr>
          <w:color w:val="000000"/>
          <w:sz w:val="22"/>
          <w:szCs w:val="22"/>
          <w:shd w:val="clear" w:color="auto" w:fill="FFFFFF"/>
        </w:rPr>
        <w:t>, or</w:t>
      </w:r>
    </w:p>
    <w:p w14:paraId="5E12C138" w14:textId="39E7C9EF" w:rsidR="00B715E4" w:rsidRPr="00B34C19" w:rsidRDefault="00A56825" w:rsidP="00167D13">
      <w:pPr>
        <w:pStyle w:val="Tabletext"/>
        <w:numPr>
          <w:ilvl w:val="0"/>
          <w:numId w:val="26"/>
        </w:numPr>
        <w:ind w:left="1418" w:hanging="709"/>
        <w:rPr>
          <w:color w:val="000000"/>
          <w:sz w:val="22"/>
          <w:szCs w:val="22"/>
          <w:shd w:val="clear" w:color="auto" w:fill="FFFFFF"/>
        </w:rPr>
      </w:pPr>
      <w:r w:rsidRPr="00B34C19">
        <w:rPr>
          <w:color w:val="000000"/>
          <w:sz w:val="22"/>
          <w:szCs w:val="22"/>
          <w:shd w:val="clear" w:color="auto" w:fill="FFFFFF"/>
        </w:rPr>
        <w:t xml:space="preserve">provided by an exempt public sector superannuation scheme (within the meaning of the SIS Act), </w:t>
      </w:r>
      <w:r w:rsidR="001628DE">
        <w:rPr>
          <w:color w:val="000000"/>
          <w:sz w:val="22"/>
          <w:szCs w:val="22"/>
          <w:shd w:val="clear" w:color="auto" w:fill="FFFFFF"/>
        </w:rPr>
        <w:t xml:space="preserve">and </w:t>
      </w:r>
    </w:p>
    <w:p w14:paraId="0F163313" w14:textId="40B9EFBC" w:rsidR="00C2068C" w:rsidRDefault="00745392" w:rsidP="00745392">
      <w:pPr>
        <w:pStyle w:val="Tabletext"/>
        <w:numPr>
          <w:ilvl w:val="0"/>
          <w:numId w:val="26"/>
        </w:numPr>
        <w:ind w:left="1418" w:hanging="709"/>
        <w:rPr>
          <w:color w:val="000000"/>
          <w:sz w:val="22"/>
          <w:szCs w:val="22"/>
          <w:shd w:val="clear" w:color="auto" w:fill="FFFFFF"/>
        </w:rPr>
      </w:pPr>
      <w:r>
        <w:rPr>
          <w:color w:val="000000"/>
          <w:sz w:val="22"/>
          <w:szCs w:val="22"/>
          <w:shd w:val="clear" w:color="auto" w:fill="FFFFFF"/>
        </w:rPr>
        <w:t>a</w:t>
      </w:r>
      <w:r w:rsidR="00065B88">
        <w:rPr>
          <w:color w:val="000000"/>
          <w:sz w:val="22"/>
          <w:szCs w:val="22"/>
          <w:shd w:val="clear" w:color="auto" w:fill="FFFFFF"/>
        </w:rPr>
        <w:t xml:space="preserve">re </w:t>
      </w:r>
      <w:r w:rsidR="00A56825" w:rsidRPr="00B34C19">
        <w:rPr>
          <w:color w:val="000000"/>
          <w:sz w:val="22"/>
          <w:szCs w:val="22"/>
          <w:shd w:val="clear" w:color="auto" w:fill="FFFFFF"/>
        </w:rPr>
        <w:t>not invalidity pensions paid from Military Superannuation Benefits scheme and Defence Force Retirement and Death Benefits scheme</w:t>
      </w:r>
      <w:bookmarkStart w:id="104" w:name="_Hlk106713710"/>
      <w:r w:rsidR="001702D8">
        <w:rPr>
          <w:color w:val="000000"/>
          <w:sz w:val="22"/>
          <w:szCs w:val="22"/>
          <w:shd w:val="clear" w:color="auto" w:fill="FFFFFF"/>
        </w:rPr>
        <w:t>, and</w:t>
      </w:r>
    </w:p>
    <w:p w14:paraId="19FF5BD9" w14:textId="3E47FB94" w:rsidR="00335668" w:rsidRPr="00335668" w:rsidRDefault="00335668" w:rsidP="005D538C">
      <w:pPr>
        <w:pStyle w:val="Tabletext"/>
        <w:numPr>
          <w:ilvl w:val="0"/>
          <w:numId w:val="26"/>
        </w:numPr>
        <w:ind w:left="1418" w:hanging="709"/>
        <w:rPr>
          <w:color w:val="000000"/>
          <w:shd w:val="clear" w:color="auto" w:fill="FFFFFF"/>
        </w:rPr>
      </w:pPr>
      <w:r>
        <w:rPr>
          <w:color w:val="000000"/>
          <w:sz w:val="22"/>
          <w:szCs w:val="22"/>
          <w:shd w:val="clear" w:color="auto" w:fill="FFFFFF"/>
        </w:rPr>
        <w:t>w</w:t>
      </w:r>
      <w:r w:rsidRPr="00335668">
        <w:rPr>
          <w:color w:val="000000"/>
          <w:sz w:val="22"/>
          <w:szCs w:val="22"/>
          <w:shd w:val="clear" w:color="auto" w:fill="FFFFFF"/>
        </w:rPr>
        <w:t xml:space="preserve">here the defined benefit fund </w:t>
      </w:r>
      <w:r w:rsidR="0009744F">
        <w:rPr>
          <w:color w:val="000000"/>
          <w:sz w:val="22"/>
          <w:szCs w:val="22"/>
          <w:shd w:val="clear" w:color="auto" w:fill="FFFFFF"/>
        </w:rPr>
        <w:t xml:space="preserve">(within the meaning of regulations 1.03 of the SIS Regulations) </w:t>
      </w:r>
      <w:r w:rsidRPr="00335668">
        <w:rPr>
          <w:color w:val="000000"/>
          <w:sz w:val="22"/>
          <w:szCs w:val="22"/>
          <w:shd w:val="clear" w:color="auto" w:fill="FFFFFF"/>
        </w:rPr>
        <w:t>is a regulated fund but not a public sector superannuation scheme</w:t>
      </w:r>
      <w:r w:rsidR="0009744F">
        <w:rPr>
          <w:color w:val="000000"/>
          <w:sz w:val="22"/>
          <w:szCs w:val="22"/>
          <w:shd w:val="clear" w:color="auto" w:fill="FFFFFF"/>
        </w:rPr>
        <w:t>,</w:t>
      </w:r>
      <w:r w:rsidRPr="00335668">
        <w:rPr>
          <w:color w:val="000000"/>
          <w:sz w:val="22"/>
          <w:szCs w:val="22"/>
          <w:shd w:val="clear" w:color="auto" w:fill="FFFFFF"/>
        </w:rPr>
        <w:t xml:space="preserve"> that fund or scheme must have more than six members to be affected by this provision. </w:t>
      </w:r>
    </w:p>
    <w:bookmarkEnd w:id="103"/>
    <w:p w14:paraId="39F8ECAD" w14:textId="0F208DB4" w:rsidR="00EF3805" w:rsidRDefault="00EF3805" w:rsidP="007C01C4">
      <w:pPr>
        <w:pStyle w:val="Normalparatextwithnumbers"/>
      </w:pPr>
      <w:r w:rsidRPr="00F21287">
        <w:rPr>
          <w:lang w:val="en-US"/>
        </w:rPr>
        <w:t>The</w:t>
      </w:r>
      <w:r>
        <w:t xml:space="preserve"> superannuation income stream definition in regulation 307-70.02(1) of the ITAR 2021 includes an income stream that is a pension for the purposes of the SIS Act. </w:t>
      </w:r>
      <w:r w:rsidRPr="00FE2911">
        <w:rPr>
          <w:color w:val="000000" w:themeColor="text1"/>
        </w:rPr>
        <w:t xml:space="preserve">Section 10 of the SIS Act provides </w:t>
      </w:r>
      <w:r>
        <w:rPr>
          <w:color w:val="000000" w:themeColor="text1"/>
        </w:rPr>
        <w:t xml:space="preserve">an inclusive </w:t>
      </w:r>
      <w:r w:rsidRPr="00FE2911">
        <w:rPr>
          <w:color w:val="000000" w:themeColor="text1"/>
        </w:rPr>
        <w:t xml:space="preserve">definition </w:t>
      </w:r>
      <w:r>
        <w:rPr>
          <w:color w:val="000000" w:themeColor="text1"/>
        </w:rPr>
        <w:t>for ‘</w:t>
      </w:r>
      <w:r w:rsidRPr="00FE2911">
        <w:rPr>
          <w:color w:val="000000" w:themeColor="text1"/>
        </w:rPr>
        <w:t>pension</w:t>
      </w:r>
      <w:r>
        <w:rPr>
          <w:color w:val="000000" w:themeColor="text1"/>
        </w:rPr>
        <w:t>’</w:t>
      </w:r>
      <w:r w:rsidRPr="00FE2911">
        <w:rPr>
          <w:color w:val="000000" w:themeColor="text1"/>
        </w:rPr>
        <w:t xml:space="preserve">. It is </w:t>
      </w:r>
      <w:r w:rsidRPr="00560B3F">
        <w:rPr>
          <w:color w:val="000000" w:themeColor="text1"/>
        </w:rPr>
        <w:t xml:space="preserve">inclusive </w:t>
      </w:r>
      <w:r w:rsidRPr="00FE2911">
        <w:rPr>
          <w:color w:val="000000" w:themeColor="text1"/>
        </w:rPr>
        <w:t xml:space="preserve">of pensions that meet the definitions in the SIS Regulations, </w:t>
      </w:r>
      <w:r w:rsidRPr="00560B3F">
        <w:rPr>
          <w:color w:val="000000" w:themeColor="text1"/>
        </w:rPr>
        <w:t>but not limited to</w:t>
      </w:r>
      <w:r w:rsidRPr="00FE2911">
        <w:rPr>
          <w:color w:val="000000" w:themeColor="text1"/>
        </w:rPr>
        <w:t xml:space="preserve"> those pensions, and is inclusive of common law pensions. This was confirmed in </w:t>
      </w:r>
      <w:r w:rsidRPr="00FE2911">
        <w:rPr>
          <w:i/>
          <w:iCs/>
          <w:color w:val="000000" w:themeColor="text1"/>
        </w:rPr>
        <w:t xml:space="preserve">Douglas </w:t>
      </w:r>
      <w:r w:rsidRPr="00FE2911">
        <w:rPr>
          <w:color w:val="000000" w:themeColor="text1"/>
        </w:rPr>
        <w:t xml:space="preserve">where the Full Federal Court also determined that </w:t>
      </w:r>
      <w:r w:rsidRPr="00893ACA">
        <w:t>the Military Superannuation Benefits and Defence Force Retirement</w:t>
      </w:r>
      <w:r>
        <w:t xml:space="preserve"> and</w:t>
      </w:r>
      <w:r w:rsidRPr="00893ACA">
        <w:t xml:space="preserve"> Death Benefits schemes</w:t>
      </w:r>
      <w:r>
        <w:t xml:space="preserve"> </w:t>
      </w:r>
      <w:r w:rsidRPr="00FE2911">
        <w:rPr>
          <w:color w:val="000000" w:themeColor="text1"/>
        </w:rPr>
        <w:t xml:space="preserve">invalidity benefits were pensions in </w:t>
      </w:r>
      <w:r w:rsidR="000A468F">
        <w:rPr>
          <w:color w:val="000000" w:themeColor="text1"/>
        </w:rPr>
        <w:t xml:space="preserve">accordance with </w:t>
      </w:r>
      <w:r w:rsidRPr="00FE2911">
        <w:rPr>
          <w:color w:val="000000" w:themeColor="text1"/>
        </w:rPr>
        <w:t xml:space="preserve">the ordinary meaning of the word, and so meet the section 10 definition of a pension in the SIS Act. </w:t>
      </w:r>
    </w:p>
    <w:p w14:paraId="1AF994B1" w14:textId="4F9F1C95" w:rsidR="008B5DD5" w:rsidRPr="00246BE8" w:rsidRDefault="00A56825" w:rsidP="008B5DD5">
      <w:pPr>
        <w:pStyle w:val="Normalparatextwithnumbers"/>
        <w:rPr>
          <w:rStyle w:val="References"/>
          <w:b w:val="0"/>
          <w:i w:val="0"/>
        </w:rPr>
      </w:pPr>
      <w:bookmarkStart w:id="105" w:name="_Hlk106881808"/>
      <w:r>
        <w:t>The amendment</w:t>
      </w:r>
      <w:r w:rsidR="005A5CA9">
        <w:t xml:space="preserve">s </w:t>
      </w:r>
      <w:r w:rsidR="00151578">
        <w:t>to</w:t>
      </w:r>
      <w:r w:rsidR="00CD5FA3">
        <w:t xml:space="preserve"> </w:t>
      </w:r>
      <w:r w:rsidR="005A5CA9">
        <w:t xml:space="preserve">Subdivision 307-B of </w:t>
      </w:r>
      <w:r>
        <w:t xml:space="preserve">the ITAR 2021 ensures that payments of defined benefits </w:t>
      </w:r>
      <w:r w:rsidR="0021655A">
        <w:t xml:space="preserve">from schemes not considered in </w:t>
      </w:r>
      <w:r w:rsidR="0021655A" w:rsidRPr="00B34C19">
        <w:rPr>
          <w:i/>
          <w:iCs/>
        </w:rPr>
        <w:t xml:space="preserve">Douglas </w:t>
      </w:r>
      <w:r>
        <w:t>continue to be taxed as superannuation income stream benefits</w:t>
      </w:r>
      <w:bookmarkEnd w:id="105"/>
      <w:r w:rsidR="00022A79">
        <w:t>.</w:t>
      </w:r>
      <w:r w:rsidRPr="00B4371A">
        <w:t xml:space="preserve">. </w:t>
      </w:r>
      <w:r w:rsidRPr="00B4371A">
        <w:br/>
      </w:r>
      <w:bookmarkEnd w:id="104"/>
      <w:r w:rsidRPr="00B4371A">
        <w:rPr>
          <w:rStyle w:val="References"/>
        </w:rPr>
        <w:t>[</w:t>
      </w:r>
      <w:r w:rsidR="00C32549">
        <w:rPr>
          <w:rStyle w:val="References"/>
        </w:rPr>
        <w:t>Schedule #</w:t>
      </w:r>
      <w:r w:rsidRPr="00B4371A">
        <w:rPr>
          <w:rStyle w:val="References"/>
        </w:rPr>
        <w:t>, item 1, section 307-70.02 of the ITAR 2</w:t>
      </w:r>
      <w:r w:rsidR="00062469">
        <w:rPr>
          <w:rStyle w:val="References"/>
        </w:rPr>
        <w:t>02</w:t>
      </w:r>
      <w:r w:rsidRPr="00B4371A">
        <w:rPr>
          <w:rStyle w:val="References"/>
        </w:rPr>
        <w:t>1]</w:t>
      </w:r>
    </w:p>
    <w:p w14:paraId="0FC0AB94" w14:textId="1A70A515" w:rsidR="00C1196F" w:rsidRPr="00246BE8" w:rsidRDefault="001630A3" w:rsidP="00246BE8">
      <w:pPr>
        <w:pStyle w:val="Normalparatextwithnumbers"/>
        <w:spacing w:after="0"/>
        <w:rPr>
          <w:rStyle w:val="References"/>
          <w:b w:val="0"/>
          <w:i w:val="0"/>
        </w:rPr>
      </w:pPr>
      <w:r w:rsidRPr="001630A3">
        <w:t>The amendments to Subdivision 307-B of the ITAR 2021</w:t>
      </w:r>
      <w:r w:rsidR="00AA10C5">
        <w:t xml:space="preserve"> do not apply to the pension a spouse</w:t>
      </w:r>
      <w:r w:rsidR="00346F77">
        <w:t xml:space="preserve"> or child</w:t>
      </w:r>
      <w:r w:rsidR="00AA10C5">
        <w:t xml:space="preserve"> receives on the death of a recipien</w:t>
      </w:r>
      <w:r w:rsidR="00C57FA0">
        <w:t>t member where the member’s</w:t>
      </w:r>
      <w:r w:rsidR="00FC0980">
        <w:t xml:space="preserve"> invalidity</w:t>
      </w:r>
      <w:r w:rsidR="00C57FA0">
        <w:t xml:space="preserve"> </w:t>
      </w:r>
      <w:r w:rsidR="00AE4DDF" w:rsidRPr="00C16C5F">
        <w:t xml:space="preserve">pay </w:t>
      </w:r>
      <w:r w:rsidR="00AE4DDF" w:rsidRPr="00C16C5F">
        <w:rPr>
          <w:lang w:val="en-US"/>
        </w:rPr>
        <w:t xml:space="preserve">within the meaning of the </w:t>
      </w:r>
      <w:r w:rsidR="00AE4DDF" w:rsidRPr="00C16C5F">
        <w:rPr>
          <w:i/>
          <w:iCs/>
          <w:lang w:val="en-US"/>
        </w:rPr>
        <w:t>Defence</w:t>
      </w:r>
      <w:r w:rsidR="00D5398A">
        <w:rPr>
          <w:i/>
          <w:iCs/>
          <w:lang w:val="en-US"/>
        </w:rPr>
        <w:t> </w:t>
      </w:r>
      <w:r w:rsidR="00AE4DDF" w:rsidRPr="00C16C5F">
        <w:rPr>
          <w:i/>
          <w:iCs/>
          <w:lang w:val="en-US"/>
        </w:rPr>
        <w:t>Force</w:t>
      </w:r>
      <w:r w:rsidR="00D5398A">
        <w:rPr>
          <w:i/>
          <w:iCs/>
          <w:lang w:val="en-US"/>
        </w:rPr>
        <w:t> </w:t>
      </w:r>
      <w:r w:rsidR="00AE4DDF" w:rsidRPr="00C16C5F">
        <w:rPr>
          <w:i/>
          <w:iCs/>
          <w:lang w:val="en-US"/>
        </w:rPr>
        <w:t>Retirement and Death Benefits Act 1973</w:t>
      </w:r>
      <w:r w:rsidR="00AE4DDF" w:rsidRPr="00C16C5F">
        <w:rPr>
          <w:i/>
          <w:lang w:val="en-US"/>
        </w:rPr>
        <w:t xml:space="preserve"> </w:t>
      </w:r>
      <w:r w:rsidR="00AE4DDF">
        <w:t xml:space="preserve">or </w:t>
      </w:r>
      <w:r w:rsidR="00FC0980">
        <w:t>invalidity</w:t>
      </w:r>
      <w:r w:rsidR="00C57FA0">
        <w:t xml:space="preserve"> </w:t>
      </w:r>
      <w:r w:rsidR="002016F4">
        <w:t>pension</w:t>
      </w:r>
      <w:r w:rsidR="00C16C5F" w:rsidRPr="00C16C5F">
        <w:t xml:space="preserve"> </w:t>
      </w:r>
      <w:r w:rsidR="00C16C5F" w:rsidRPr="00C16C5F">
        <w:rPr>
          <w:lang w:val="en-US"/>
        </w:rPr>
        <w:t xml:space="preserve">established under the </w:t>
      </w:r>
      <w:r w:rsidR="00C16C5F" w:rsidRPr="00C16C5F">
        <w:rPr>
          <w:i/>
          <w:iCs/>
          <w:lang w:val="en-US"/>
        </w:rPr>
        <w:t>Military Superannuation and Benefits Act 1991</w:t>
      </w:r>
      <w:r w:rsidR="00440758">
        <w:rPr>
          <w:i/>
          <w:iCs/>
          <w:lang w:val="en-US"/>
        </w:rPr>
        <w:t xml:space="preserve"> </w:t>
      </w:r>
      <w:r w:rsidR="00C57FA0" w:rsidRPr="00C57FA0">
        <w:t>commenced</w:t>
      </w:r>
      <w:r w:rsidR="00F62EC7">
        <w:t xml:space="preserve"> </w:t>
      </w:r>
      <w:r w:rsidR="00C57FA0" w:rsidRPr="00C57FA0">
        <w:t>on or after 20 September 2007</w:t>
      </w:r>
      <w:r w:rsidR="00C57FA0">
        <w:t xml:space="preserve">. </w:t>
      </w:r>
    </w:p>
    <w:p w14:paraId="222118A0" w14:textId="549299B7" w:rsidR="00346F77" w:rsidRPr="00246BE8" w:rsidRDefault="00C1196F" w:rsidP="00246BE8">
      <w:pPr>
        <w:pStyle w:val="Normalparatextwithnumbers"/>
        <w:numPr>
          <w:ilvl w:val="0"/>
          <w:numId w:val="0"/>
        </w:numPr>
        <w:spacing w:before="0"/>
        <w:ind w:left="709"/>
        <w:rPr>
          <w:rStyle w:val="References"/>
        </w:rPr>
      </w:pPr>
      <w:r>
        <w:rPr>
          <w:rStyle w:val="References"/>
        </w:rPr>
        <w:t>[Schedule #</w:t>
      </w:r>
      <w:r w:rsidRPr="00B4371A">
        <w:rPr>
          <w:rStyle w:val="References"/>
        </w:rPr>
        <w:t xml:space="preserve">, item </w:t>
      </w:r>
      <w:r w:rsidR="00780959">
        <w:rPr>
          <w:rStyle w:val="References"/>
        </w:rPr>
        <w:t>2</w:t>
      </w:r>
      <w:r w:rsidRPr="00B4371A">
        <w:rPr>
          <w:rStyle w:val="References"/>
        </w:rPr>
        <w:t>, section 307-70.02 of the ITAR 2</w:t>
      </w:r>
      <w:r w:rsidR="00780959">
        <w:rPr>
          <w:rStyle w:val="References"/>
        </w:rPr>
        <w:t>02</w:t>
      </w:r>
      <w:r w:rsidRPr="00B4371A">
        <w:rPr>
          <w:rStyle w:val="References"/>
        </w:rPr>
        <w:t>1]</w:t>
      </w:r>
    </w:p>
    <w:p w14:paraId="59C45220" w14:textId="171FF34D" w:rsidR="00BF2F9F" w:rsidRPr="00192137" w:rsidRDefault="00A56825" w:rsidP="000B749D">
      <w:pPr>
        <w:pStyle w:val="Normalparatextwithnumbers"/>
        <w:spacing w:after="0"/>
      </w:pPr>
      <w:r w:rsidRPr="008B5DD5">
        <w:t>The a</w:t>
      </w:r>
      <w:r w:rsidRPr="00277CBD">
        <w:t>mendment</w:t>
      </w:r>
      <w:r w:rsidR="005A5CA9">
        <w:t>s</w:t>
      </w:r>
      <w:r w:rsidRPr="00277CBD">
        <w:t xml:space="preserve"> </w:t>
      </w:r>
      <w:r w:rsidR="004C43AC">
        <w:t>of</w:t>
      </w:r>
      <w:r w:rsidRPr="00277CBD">
        <w:t xml:space="preserve"> </w:t>
      </w:r>
      <w:r w:rsidR="004C43AC">
        <w:t>section</w:t>
      </w:r>
      <w:r w:rsidRPr="00277CBD">
        <w:t xml:space="preserve"> 307-</w:t>
      </w:r>
      <w:r w:rsidR="004C43AC">
        <w:t>70.02</w:t>
      </w:r>
      <w:r w:rsidRPr="00277CBD">
        <w:t xml:space="preserve"> o</w:t>
      </w:r>
      <w:r>
        <w:t>f</w:t>
      </w:r>
      <w:r w:rsidRPr="00277CBD">
        <w:t xml:space="preserve"> the ITAR </w:t>
      </w:r>
      <w:r w:rsidR="00C16C5F">
        <w:t>2021</w:t>
      </w:r>
      <w:r w:rsidRPr="00277CBD">
        <w:t xml:space="preserve"> </w:t>
      </w:r>
      <w:r w:rsidR="00524A6F" w:rsidRPr="00F86B1C">
        <w:t xml:space="preserve">apply in relation to income years starting on or after 1 July </w:t>
      </w:r>
      <w:r w:rsidR="00524A6F" w:rsidRPr="00B61C45">
        <w:t>2007.</w:t>
      </w:r>
      <w:r w:rsidR="00524A6F" w:rsidRPr="00A4438B">
        <w:t xml:space="preserve"> </w:t>
      </w:r>
    </w:p>
    <w:p w14:paraId="0C8379CB" w14:textId="3FC58114" w:rsidR="00BF2F9F" w:rsidRPr="00B34C19" w:rsidRDefault="00524A6F" w:rsidP="00B34C19">
      <w:pPr>
        <w:pStyle w:val="Normalparatextwithnumbers"/>
        <w:numPr>
          <w:ilvl w:val="0"/>
          <w:numId w:val="0"/>
        </w:numPr>
        <w:spacing w:before="0" w:after="0"/>
        <w:ind w:left="709"/>
        <w:rPr>
          <w:rStyle w:val="References"/>
          <w:bCs w:val="0"/>
          <w:i w:val="0"/>
          <w:iCs w:val="0"/>
          <w:sz w:val="24"/>
        </w:rPr>
      </w:pPr>
      <w:r w:rsidRPr="00192137">
        <w:rPr>
          <w:rStyle w:val="References"/>
        </w:rPr>
        <w:t>[</w:t>
      </w:r>
      <w:r w:rsidR="00C32549">
        <w:rPr>
          <w:rStyle w:val="References"/>
        </w:rPr>
        <w:t>Schedule #</w:t>
      </w:r>
      <w:r w:rsidRPr="00192137">
        <w:rPr>
          <w:rStyle w:val="References"/>
        </w:rPr>
        <w:t>, item</w:t>
      </w:r>
      <w:r w:rsidRPr="00C936A2">
        <w:rPr>
          <w:rStyle w:val="References"/>
        </w:rPr>
        <w:t xml:space="preserve"> </w:t>
      </w:r>
      <w:r w:rsidR="00780959">
        <w:rPr>
          <w:rStyle w:val="References"/>
        </w:rPr>
        <w:t>3</w:t>
      </w:r>
      <w:r w:rsidRPr="00C936A2">
        <w:rPr>
          <w:rStyle w:val="References"/>
        </w:rPr>
        <w:t>, provision</w:t>
      </w:r>
      <w:r w:rsidRPr="000A3C5D">
        <w:rPr>
          <w:rStyle w:val="References"/>
        </w:rPr>
        <w:t xml:space="preserve"> 1000</w:t>
      </w:r>
      <w:r w:rsidR="00612C17" w:rsidRPr="000A3C5D">
        <w:rPr>
          <w:rStyle w:val="References"/>
        </w:rPr>
        <w:t>-</w:t>
      </w:r>
      <w:r w:rsidRPr="00B61C45">
        <w:rPr>
          <w:rStyle w:val="References"/>
        </w:rPr>
        <w:t>3.01</w:t>
      </w:r>
      <w:r w:rsidR="00612C17" w:rsidRPr="00B61C45">
        <w:rPr>
          <w:rStyle w:val="References"/>
        </w:rPr>
        <w:t xml:space="preserve"> of</w:t>
      </w:r>
      <w:r w:rsidR="002021FF" w:rsidRPr="00B61C45">
        <w:rPr>
          <w:rStyle w:val="References"/>
        </w:rPr>
        <w:t xml:space="preserve"> the </w:t>
      </w:r>
      <w:r w:rsidR="0013307E" w:rsidRPr="00B61C45">
        <w:rPr>
          <w:rStyle w:val="References"/>
        </w:rPr>
        <w:t>ITAR 2</w:t>
      </w:r>
      <w:r w:rsidR="00062469">
        <w:rPr>
          <w:rStyle w:val="References"/>
        </w:rPr>
        <w:t>02</w:t>
      </w:r>
      <w:r w:rsidR="0013307E" w:rsidRPr="00B61C45">
        <w:rPr>
          <w:rStyle w:val="References"/>
        </w:rPr>
        <w:t>1</w:t>
      </w:r>
      <w:r w:rsidR="00BF2F9F" w:rsidRPr="00B61C45">
        <w:rPr>
          <w:rStyle w:val="References"/>
        </w:rPr>
        <w:t>]</w:t>
      </w:r>
      <w:r w:rsidRPr="00BF2F9F">
        <w:rPr>
          <w:rStyle w:val="References"/>
        </w:rPr>
        <w:t xml:space="preserve"> </w:t>
      </w:r>
      <w:bookmarkStart w:id="106" w:name="_Toc93411074"/>
      <w:bookmarkStart w:id="107" w:name="_Toc106717816"/>
      <w:bookmarkStart w:id="108" w:name="_Toc106718130"/>
    </w:p>
    <w:p w14:paraId="3B8C915A" w14:textId="0752B215" w:rsidR="00781C38" w:rsidRPr="00BF2F9F" w:rsidRDefault="000B749D" w:rsidP="000B749D">
      <w:pPr>
        <w:pStyle w:val="Heading3"/>
        <w:rPr>
          <w:b/>
          <w:bCs/>
          <w:sz w:val="24"/>
        </w:rPr>
      </w:pPr>
      <w:bookmarkStart w:id="109" w:name="_Toc106869392"/>
      <w:bookmarkStart w:id="110" w:name="_Toc106869538"/>
      <w:bookmarkStart w:id="111" w:name="_Toc106883931"/>
      <w:bookmarkStart w:id="112" w:name="_Toc106973577"/>
      <w:bookmarkStart w:id="113" w:name="_Toc106974778"/>
      <w:bookmarkStart w:id="114" w:name="_Toc108706685"/>
      <w:bookmarkStart w:id="115" w:name="_Toc108707866"/>
      <w:r>
        <w:rPr>
          <w:b/>
          <w:bCs/>
          <w:sz w:val="24"/>
        </w:rPr>
        <w:t>Veterans’</w:t>
      </w:r>
      <w:r w:rsidR="00CF7E53" w:rsidRPr="00BF2F9F">
        <w:rPr>
          <w:b/>
          <w:bCs/>
          <w:sz w:val="24"/>
        </w:rPr>
        <w:t xml:space="preserve"> superannuation (invalidity pension) tax offset</w:t>
      </w:r>
      <w:bookmarkEnd w:id="106"/>
      <w:bookmarkEnd w:id="107"/>
      <w:bookmarkEnd w:id="108"/>
      <w:bookmarkEnd w:id="109"/>
      <w:bookmarkEnd w:id="110"/>
      <w:bookmarkEnd w:id="111"/>
      <w:bookmarkEnd w:id="112"/>
      <w:bookmarkEnd w:id="113"/>
      <w:bookmarkEnd w:id="114"/>
      <w:bookmarkEnd w:id="115"/>
    </w:p>
    <w:p w14:paraId="753135EC" w14:textId="0E79D9FC" w:rsidR="004A5969" w:rsidRPr="00E303EA" w:rsidRDefault="00E303EA" w:rsidP="005E3F57">
      <w:pPr>
        <w:pStyle w:val="Normalparatextwithnumbers"/>
        <w:spacing w:after="0"/>
      </w:pPr>
      <w:bookmarkStart w:id="116" w:name="_Hlk106716270"/>
      <w:r w:rsidRPr="00E303EA">
        <w:t>Tax offsets reduce the amount of income tax a person pays</w:t>
      </w:r>
      <w:r w:rsidR="00C16C5F" w:rsidRPr="00C16C5F">
        <w:t xml:space="preserve"> in an income year</w:t>
      </w:r>
      <w:r w:rsidRPr="00E303EA">
        <w:t xml:space="preserve">. They are subtracted from a person’s basic income tax liability for the </w:t>
      </w:r>
      <w:r w:rsidR="004759B8">
        <w:t xml:space="preserve">income </w:t>
      </w:r>
      <w:r w:rsidRPr="00E303EA">
        <w:lastRenderedPageBreak/>
        <w:t xml:space="preserve">year in accordance with the method statement in section 4-10 of the ITAA 1997. </w:t>
      </w:r>
    </w:p>
    <w:p w14:paraId="6635415B" w14:textId="1DF1792C" w:rsidR="00B4055D" w:rsidRPr="00B4055D" w:rsidRDefault="00DF3F19" w:rsidP="001718FC">
      <w:pPr>
        <w:pStyle w:val="Normalparatextwithnumbers"/>
        <w:spacing w:after="0"/>
        <w:rPr>
          <w:bCs/>
          <w:iCs/>
        </w:rPr>
      </w:pPr>
      <w:r>
        <w:t>This schedule</w:t>
      </w:r>
      <w:r w:rsidR="00562318">
        <w:t xml:space="preserve"> </w:t>
      </w:r>
      <w:r w:rsidR="00F373EB">
        <w:t xml:space="preserve">provides the eligibility criteria and framework for </w:t>
      </w:r>
      <w:r w:rsidR="00562318">
        <w:t xml:space="preserve">the </w:t>
      </w:r>
      <w:r w:rsidR="00562318" w:rsidRPr="00E303EA">
        <w:t>veterans’ superannuation (invalidity pension) tax offset</w:t>
      </w:r>
      <w:r w:rsidR="00562318">
        <w:t>.</w:t>
      </w:r>
      <w:r w:rsidR="00562318" w:rsidRPr="00E303EA">
        <w:br/>
      </w:r>
      <w:r w:rsidR="00562318" w:rsidRPr="00F710C3">
        <w:rPr>
          <w:b/>
          <w:bCs/>
          <w:i/>
          <w:iCs/>
        </w:rPr>
        <w:t>[</w:t>
      </w:r>
      <w:r w:rsidR="00C32549">
        <w:rPr>
          <w:b/>
          <w:bCs/>
          <w:i/>
          <w:iCs/>
        </w:rPr>
        <w:t>Schedule #</w:t>
      </w:r>
      <w:r w:rsidR="00562318" w:rsidRPr="00F710C3">
        <w:rPr>
          <w:b/>
          <w:bCs/>
          <w:i/>
          <w:iCs/>
        </w:rPr>
        <w:t xml:space="preserve">, item </w:t>
      </w:r>
      <w:r w:rsidR="00780959">
        <w:rPr>
          <w:b/>
          <w:bCs/>
          <w:i/>
          <w:iCs/>
        </w:rPr>
        <w:t>7</w:t>
      </w:r>
      <w:r w:rsidR="00562318" w:rsidRPr="00F710C3">
        <w:rPr>
          <w:b/>
          <w:bCs/>
          <w:i/>
          <w:iCs/>
        </w:rPr>
        <w:t>, Subdivision 301-F of the ITAA 1997]</w:t>
      </w:r>
      <w:r w:rsidR="00E97287" w:rsidRPr="002A3FFC">
        <w:t>An individual may only be entitled to the veterans’ superannuation (invalidity pension) tax offset</w:t>
      </w:r>
      <w:r w:rsidR="00E97287" w:rsidRPr="002A3FFC" w:rsidDel="00383AFD">
        <w:t xml:space="preserve"> </w:t>
      </w:r>
      <w:r w:rsidR="00E97287" w:rsidRPr="002A3FFC">
        <w:t xml:space="preserve">for an income year if they received invalidity pay within the meaning of the </w:t>
      </w:r>
      <w:r w:rsidR="00E97287" w:rsidRPr="006A63B8">
        <w:rPr>
          <w:i/>
          <w:iCs/>
        </w:rPr>
        <w:t>Defence Force Retirement and Death Benefits Act 1973</w:t>
      </w:r>
      <w:r w:rsidR="00E97287" w:rsidRPr="002A3FFC">
        <w:t xml:space="preserve"> or an invalidity pension within the meaning of the </w:t>
      </w:r>
      <w:r w:rsidR="00E97287" w:rsidRPr="006A63B8">
        <w:rPr>
          <w:i/>
          <w:iCs/>
        </w:rPr>
        <w:t>Military Superannuation and Benefits Act 1991</w:t>
      </w:r>
      <w:r w:rsidR="00E97287" w:rsidRPr="002A3FFC">
        <w:t xml:space="preserve"> that commenced on or after 20 September 2007</w:t>
      </w:r>
      <w:r w:rsidR="009312E7">
        <w:t>.</w:t>
      </w:r>
      <w:r w:rsidR="00263588">
        <w:br/>
      </w:r>
      <w:r w:rsidR="00263588" w:rsidRPr="001718FC">
        <w:rPr>
          <w:rStyle w:val="References"/>
        </w:rPr>
        <w:t xml:space="preserve">[Schedule </w:t>
      </w:r>
      <w:r w:rsidR="00263588">
        <w:rPr>
          <w:b/>
          <w:bCs/>
          <w:i/>
          <w:iCs/>
        </w:rPr>
        <w:t>#</w:t>
      </w:r>
      <w:r w:rsidR="00263588" w:rsidRPr="00F710C3">
        <w:rPr>
          <w:b/>
          <w:bCs/>
          <w:i/>
          <w:iCs/>
        </w:rPr>
        <w:t xml:space="preserve">, </w:t>
      </w:r>
      <w:r w:rsidR="00E97287" w:rsidRPr="006A63B8">
        <w:rPr>
          <w:b/>
          <w:bCs/>
          <w:i/>
          <w:iCs/>
        </w:rPr>
        <w:t xml:space="preserve">item </w:t>
      </w:r>
      <w:r w:rsidR="00780959">
        <w:rPr>
          <w:b/>
          <w:bCs/>
          <w:i/>
          <w:iCs/>
        </w:rPr>
        <w:t>7</w:t>
      </w:r>
      <w:r w:rsidR="00E97287" w:rsidRPr="006A63B8">
        <w:rPr>
          <w:b/>
          <w:bCs/>
          <w:i/>
          <w:iCs/>
        </w:rPr>
        <w:t>, subsection 301-275(1) of ITAA 1997]</w:t>
      </w:r>
    </w:p>
    <w:p w14:paraId="22EB6459" w14:textId="290D7108" w:rsidR="00B4055D" w:rsidRDefault="00944F5F" w:rsidP="00246BE8">
      <w:pPr>
        <w:pStyle w:val="Normalparatextwithnumbers"/>
        <w:spacing w:after="0"/>
      </w:pPr>
      <w:r>
        <w:t>S</w:t>
      </w:r>
      <w:r w:rsidR="00B4055D" w:rsidRPr="00B4055D">
        <w:t xml:space="preserve">pouse or child </w:t>
      </w:r>
      <w:r>
        <w:t>pension</w:t>
      </w:r>
      <w:r w:rsidR="00225E58">
        <w:t xml:space="preserve"> recipients where entitlement </w:t>
      </w:r>
      <w:r>
        <w:t>arise</w:t>
      </w:r>
      <w:r w:rsidR="00225E58">
        <w:t>s</w:t>
      </w:r>
      <w:r>
        <w:t xml:space="preserve"> </w:t>
      </w:r>
      <w:r w:rsidR="00225E58">
        <w:t>because of</w:t>
      </w:r>
      <w:r w:rsidR="00A27A56">
        <w:t xml:space="preserve"> </w:t>
      </w:r>
      <w:r w:rsidR="00B4055D" w:rsidRPr="00B4055D">
        <w:t xml:space="preserve">the death of a member in receipt of </w:t>
      </w:r>
      <w:r w:rsidR="00F10272">
        <w:t>an invalidity pension</w:t>
      </w:r>
      <w:r w:rsidR="00B4055D" w:rsidRPr="00B4055D">
        <w:t xml:space="preserve"> under the </w:t>
      </w:r>
      <w:r w:rsidR="00B4055D" w:rsidRPr="00B4055D">
        <w:rPr>
          <w:i/>
          <w:iCs/>
        </w:rPr>
        <w:t>Military Superannuation and Benefits Act 1991</w:t>
      </w:r>
      <w:r w:rsidR="00B4055D" w:rsidRPr="00B4055D">
        <w:t xml:space="preserve"> or</w:t>
      </w:r>
      <w:r w:rsidR="00F10272">
        <w:t xml:space="preserve"> invalidity pay under the</w:t>
      </w:r>
      <w:r w:rsidR="00B4055D" w:rsidRPr="00B4055D">
        <w:t xml:space="preserve"> </w:t>
      </w:r>
      <w:r w:rsidR="00B4055D" w:rsidRPr="00B4055D">
        <w:rPr>
          <w:i/>
          <w:iCs/>
        </w:rPr>
        <w:t>Defence Force Retirement and Death Benefits Act 1973</w:t>
      </w:r>
      <w:r w:rsidR="00B4055D">
        <w:t xml:space="preserve"> </w:t>
      </w:r>
      <w:r w:rsidR="00B4055D" w:rsidRPr="00B4055D">
        <w:t>scheme are eligible for the new non-refundable tax-offset</w:t>
      </w:r>
      <w:r w:rsidR="0081609F">
        <w:t>.</w:t>
      </w:r>
    </w:p>
    <w:p w14:paraId="0387E64A" w14:textId="53C24A5A" w:rsidR="00B4055D" w:rsidRDefault="00B4055D" w:rsidP="00246BE8">
      <w:pPr>
        <w:pStyle w:val="Normalparatextwithnumbers"/>
        <w:numPr>
          <w:ilvl w:val="0"/>
          <w:numId w:val="0"/>
        </w:numPr>
        <w:spacing w:before="0"/>
        <w:ind w:left="709"/>
      </w:pPr>
      <w:r>
        <w:rPr>
          <w:b/>
          <w:bCs/>
          <w:i/>
          <w:iCs/>
        </w:rPr>
        <w:t>[</w:t>
      </w:r>
      <w:r w:rsidRPr="00B4055D">
        <w:rPr>
          <w:b/>
          <w:bCs/>
          <w:i/>
          <w:iCs/>
        </w:rPr>
        <w:t xml:space="preserve">Schedule #, item </w:t>
      </w:r>
      <w:r w:rsidR="00780959">
        <w:rPr>
          <w:b/>
          <w:bCs/>
          <w:i/>
          <w:iCs/>
        </w:rPr>
        <w:t>7</w:t>
      </w:r>
      <w:r w:rsidRPr="00B4055D">
        <w:rPr>
          <w:b/>
          <w:bCs/>
          <w:i/>
          <w:iCs/>
        </w:rPr>
        <w:t>, subsection 301-275(1) of ITAA 1997]</w:t>
      </w:r>
    </w:p>
    <w:p w14:paraId="679E4D6D" w14:textId="7A121638" w:rsidR="00562318" w:rsidRDefault="00E97287" w:rsidP="008B5DD5">
      <w:pPr>
        <w:pStyle w:val="Normalparatextwithnumbers"/>
      </w:pPr>
      <w:r w:rsidRPr="002A3FFC">
        <w:t xml:space="preserve">Invalidity pay is an invalidity benefit where the contributing member is retired on the grounds of invalidity or of physical or mental incapacity to perform their duties (see sections 3 and 26 of the </w:t>
      </w:r>
      <w:r w:rsidRPr="002A3FFC">
        <w:rPr>
          <w:i/>
          <w:iCs/>
        </w:rPr>
        <w:t>Defence Force Retirement and Death Benefits Act 1973</w:t>
      </w:r>
      <w:r w:rsidRPr="002A3FFC">
        <w:t xml:space="preserve">). An invalidity pension means a pension benefit payable in accordance with rule 27(1) or rule 28(1) of the Military Superannuation and Benefits Rules set out in the Schedule to the Trust Deed as referred to in section 4 of the </w:t>
      </w:r>
      <w:r w:rsidRPr="002A3FFC">
        <w:rPr>
          <w:i/>
          <w:iCs/>
        </w:rPr>
        <w:t>Military Superannuation and Benefits Act 1991</w:t>
      </w:r>
      <w:r w:rsidRPr="002A3FFC">
        <w:t>.</w:t>
      </w:r>
    </w:p>
    <w:p w14:paraId="5E0261DA" w14:textId="2DDC3F8D" w:rsidR="00E303EA" w:rsidRPr="00E303EA" w:rsidRDefault="00E303EA" w:rsidP="008B5DD5">
      <w:pPr>
        <w:pStyle w:val="Normalparatextwithnumbers"/>
      </w:pPr>
      <w:r w:rsidRPr="00E303EA">
        <w:t xml:space="preserve">In circumstances where an individual is eligible for one or more tax offsets, the items tabled in subsection 63-10(1) </w:t>
      </w:r>
      <w:r w:rsidR="00E97287">
        <w:t xml:space="preserve">of the </w:t>
      </w:r>
      <w:r w:rsidR="00E97287" w:rsidRPr="00E303EA">
        <w:t>ITAA 1997</w:t>
      </w:r>
      <w:r w:rsidR="00E97287">
        <w:t xml:space="preserve"> </w:t>
      </w:r>
      <w:r w:rsidRPr="00E303EA">
        <w:t>prioritise the order an offset is applied, to the extent that a tax liability remains. The table also explains what happens to any excess offset amount.</w:t>
      </w:r>
    </w:p>
    <w:p w14:paraId="1C70E16F" w14:textId="5FAB3AF8" w:rsidR="00E303EA" w:rsidRPr="00E303EA" w:rsidRDefault="00DF3F19" w:rsidP="008B5DD5">
      <w:pPr>
        <w:pStyle w:val="Normalparatextwithnumbers"/>
      </w:pPr>
      <w:r>
        <w:t>This schedule</w:t>
      </w:r>
      <w:r w:rsidR="00562318">
        <w:t xml:space="preserve"> amends the table </w:t>
      </w:r>
      <w:r w:rsidR="00562318" w:rsidRPr="00E303EA">
        <w:t xml:space="preserve">in subsection 63-10(1) </w:t>
      </w:r>
      <w:r w:rsidR="00562318">
        <w:t xml:space="preserve">to insert item 21 </w:t>
      </w:r>
      <w:r w:rsidR="00E97287">
        <w:t xml:space="preserve">to </w:t>
      </w:r>
      <w:r w:rsidR="00562318">
        <w:t>add the</w:t>
      </w:r>
      <w:r w:rsidR="00E303EA" w:rsidRPr="00E303EA">
        <w:t xml:space="preserve"> new veterans’ superannuation (invalidity pension) tax offset</w:t>
      </w:r>
      <w:r w:rsidR="00562318">
        <w:t>.</w:t>
      </w:r>
      <w:r w:rsidR="00E303EA" w:rsidRPr="00E303EA">
        <w:t xml:space="preserve"> To the extent that any offset remains after applying it to the person’s income tax liability, any excess is first applied against the liability to pay Medicare levy, then to any liability to pay Medicare levy (fringe benefits) surcharge. In circumstances where any further excess remains, the excess is not available to be refunded or to be transferred or carried forward to later income years. </w:t>
      </w:r>
      <w:r w:rsidR="00E303EA" w:rsidRPr="00E303EA">
        <w:br/>
      </w:r>
      <w:r w:rsidR="00E303EA" w:rsidRPr="00E303EA">
        <w:rPr>
          <w:b/>
          <w:bCs/>
          <w:i/>
          <w:iCs/>
        </w:rPr>
        <w:t>[</w:t>
      </w:r>
      <w:r w:rsidR="00C32549">
        <w:rPr>
          <w:b/>
          <w:bCs/>
          <w:i/>
          <w:iCs/>
        </w:rPr>
        <w:t>Schedule #</w:t>
      </w:r>
      <w:r w:rsidR="00E303EA" w:rsidRPr="00E303EA">
        <w:rPr>
          <w:b/>
          <w:bCs/>
          <w:i/>
          <w:iCs/>
        </w:rPr>
        <w:t xml:space="preserve">, item </w:t>
      </w:r>
      <w:r w:rsidR="00780959">
        <w:rPr>
          <w:b/>
          <w:bCs/>
          <w:i/>
          <w:iCs/>
        </w:rPr>
        <w:t>6</w:t>
      </w:r>
      <w:r w:rsidR="00E303EA" w:rsidRPr="00E303EA">
        <w:rPr>
          <w:b/>
          <w:bCs/>
          <w:i/>
          <w:iCs/>
        </w:rPr>
        <w:t>, subsection 63-10(1) of ITAA 1997]</w:t>
      </w:r>
      <w:r w:rsidR="00E303EA" w:rsidRPr="00E303EA">
        <w:t xml:space="preserve"> </w:t>
      </w:r>
    </w:p>
    <w:bookmarkEnd w:id="116"/>
    <w:p w14:paraId="41F74490" w14:textId="06808C9C" w:rsidR="00E303EA" w:rsidRDefault="005B56DD" w:rsidP="005B56DD">
      <w:pPr>
        <w:pStyle w:val="Heading5"/>
      </w:pPr>
      <w:r w:rsidRPr="00937824">
        <w:t xml:space="preserve">Calculating the amount of the </w:t>
      </w:r>
      <w:r>
        <w:t>t</w:t>
      </w:r>
      <w:r w:rsidRPr="00937824">
        <w:t xml:space="preserve">ax </w:t>
      </w:r>
      <w:r>
        <w:t>o</w:t>
      </w:r>
      <w:r w:rsidRPr="00937824">
        <w:t>ffset</w:t>
      </w:r>
    </w:p>
    <w:p w14:paraId="66D01CD4" w14:textId="47021D33" w:rsidR="00DF3951" w:rsidRPr="009C2CD9" w:rsidRDefault="00DF3951" w:rsidP="00DF3951">
      <w:pPr>
        <w:pStyle w:val="Normalparatextwithnumbers"/>
        <w:numPr>
          <w:ilvl w:val="1"/>
          <w:numId w:val="23"/>
        </w:numPr>
        <w:rPr>
          <w:rStyle w:val="References"/>
          <w:b w:val="0"/>
          <w:bCs w:val="0"/>
          <w:i w:val="0"/>
          <w:iCs w:val="0"/>
          <w:sz w:val="18"/>
        </w:rPr>
      </w:pPr>
      <w:r>
        <w:t xml:space="preserve">To calculate the amount of the veterans’ superannuation (invalidity pension) tax offset, the first step is to work out the individual’s basic income liability and the amount by which it exceeds the total amount of the individual’s tax offsets (if any) for the income year as provided for under Division 301 (other than subdivision 301-F) </w:t>
      </w:r>
      <w:r w:rsidRPr="003073EC">
        <w:t>and subdivision AB of Division 17 of</w:t>
      </w:r>
      <w:r>
        <w:t xml:space="preserve"> Part</w:t>
      </w:r>
      <w:r w:rsidRPr="00B34C19">
        <w:rPr>
          <w:rFonts w:asciiTheme="minorHAnsi" w:eastAsia="Times New Roman" w:hAnsiTheme="minorHAnsi" w:cstheme="minorHAnsi"/>
        </w:rPr>
        <w:t xml:space="preserve"> </w:t>
      </w:r>
      <w:r w:rsidRPr="00450BAC">
        <w:t>III</w:t>
      </w:r>
      <w:r>
        <w:t xml:space="preserve"> of </w:t>
      </w:r>
      <w:r w:rsidRPr="003073EC">
        <w:t xml:space="preserve">the </w:t>
      </w:r>
      <w:r w:rsidRPr="003073EC">
        <w:rPr>
          <w:i/>
        </w:rPr>
        <w:t>Income Tax Assessment Act 1936</w:t>
      </w:r>
      <w:r>
        <w:t xml:space="preserve"> with the invalidity pension treated as a </w:t>
      </w:r>
      <w:r>
        <w:lastRenderedPageBreak/>
        <w:t xml:space="preserve">superannuation lump sum. </w:t>
      </w:r>
      <w:r>
        <w:br/>
      </w:r>
      <w:r w:rsidRPr="006D123E">
        <w:rPr>
          <w:rStyle w:val="References"/>
        </w:rPr>
        <w:t>[</w:t>
      </w:r>
      <w:r w:rsidR="00C32549">
        <w:rPr>
          <w:rStyle w:val="References"/>
        </w:rPr>
        <w:t>Schedule #</w:t>
      </w:r>
      <w:r w:rsidRPr="006D123E">
        <w:rPr>
          <w:rStyle w:val="References"/>
        </w:rPr>
        <w:t xml:space="preserve">, item </w:t>
      </w:r>
      <w:r w:rsidR="00780959">
        <w:rPr>
          <w:rStyle w:val="References"/>
        </w:rPr>
        <w:t>7</w:t>
      </w:r>
      <w:r w:rsidRPr="006D123E">
        <w:rPr>
          <w:rStyle w:val="References"/>
        </w:rPr>
        <w:t>, paragraph 301</w:t>
      </w:r>
      <w:r w:rsidRPr="006D123E">
        <w:rPr>
          <w:rStyle w:val="References"/>
        </w:rPr>
        <w:noBreakHyphen/>
        <w:t>275(2)(</w:t>
      </w:r>
      <w:r>
        <w:rPr>
          <w:rStyle w:val="References"/>
        </w:rPr>
        <w:t>a</w:t>
      </w:r>
      <w:r w:rsidRPr="006D123E">
        <w:rPr>
          <w:rStyle w:val="References"/>
        </w:rPr>
        <w:t>) of ITAA 1997]</w:t>
      </w:r>
    </w:p>
    <w:p w14:paraId="71CD4C3B" w14:textId="77777777" w:rsidR="00AC3E52" w:rsidRPr="00AC3E52" w:rsidRDefault="00AC3E52" w:rsidP="008B5DD5">
      <w:pPr>
        <w:pStyle w:val="Normalparatextwithnumbers"/>
        <w:rPr>
          <w:bCs/>
          <w:iCs/>
        </w:rPr>
      </w:pPr>
      <w:r w:rsidRPr="00AC3E52">
        <w:rPr>
          <w:bCs/>
          <w:iCs/>
        </w:rPr>
        <w:t xml:space="preserve">For the purposes of working out an </w:t>
      </w:r>
      <w:r w:rsidRPr="00AC3E52">
        <w:t>individual’s basic income liability,</w:t>
      </w:r>
      <w:r w:rsidRPr="00AC3E52">
        <w:rPr>
          <w:bCs/>
          <w:iCs/>
        </w:rPr>
        <w:t xml:space="preserve"> taxable income includes all non-superannuation income sources (including passive income).</w:t>
      </w:r>
    </w:p>
    <w:p w14:paraId="6BF277D4" w14:textId="372716F4" w:rsidR="00AC3E52" w:rsidRPr="00AC3E52" w:rsidRDefault="00AC3E52" w:rsidP="008B5DD5">
      <w:pPr>
        <w:pStyle w:val="Normalparatextwithnumbers"/>
      </w:pPr>
      <w:r w:rsidRPr="00AC3E52">
        <w:t>The second step</w:t>
      </w:r>
      <w:r w:rsidRPr="00AC3E52" w:rsidDel="00606DC9">
        <w:rPr>
          <w:b/>
          <w:i/>
        </w:rPr>
        <w:t xml:space="preserve"> </w:t>
      </w:r>
      <w:r w:rsidRPr="00AC3E52">
        <w:t xml:space="preserve">is to work out the total of the amounts worked out in the first step and the amounts of the individual’s liability to pay the Medicare levy and Medicare levy (fringe benefit) surcharge (if any) for the income year </w:t>
      </w:r>
      <w:r w:rsidR="003E5851">
        <w:t>with</w:t>
      </w:r>
      <w:r w:rsidRPr="00AC3E52">
        <w:t xml:space="preserve"> the invalidity pension treated as a superannuation lump sum</w:t>
      </w:r>
      <w:r w:rsidR="007C01C4">
        <w:t>.</w:t>
      </w:r>
      <w:r w:rsidRPr="00AC3E52">
        <w:t xml:space="preserve"> </w:t>
      </w:r>
      <w:r w:rsidRPr="00AC3E52">
        <w:rPr>
          <w:b/>
          <w:i/>
        </w:rPr>
        <w:br/>
      </w:r>
      <w:bookmarkStart w:id="117" w:name="_Hlk93389477"/>
      <w:r w:rsidRPr="00AC3E52">
        <w:rPr>
          <w:b/>
          <w:bCs/>
          <w:i/>
          <w:iCs/>
        </w:rPr>
        <w:t>[</w:t>
      </w:r>
      <w:r w:rsidR="00C32549">
        <w:rPr>
          <w:b/>
          <w:bCs/>
          <w:i/>
          <w:iCs/>
        </w:rPr>
        <w:t>Schedule #</w:t>
      </w:r>
      <w:r w:rsidRPr="00AC3E52">
        <w:rPr>
          <w:b/>
          <w:bCs/>
          <w:i/>
          <w:iCs/>
        </w:rPr>
        <w:t xml:space="preserve">, item </w:t>
      </w:r>
      <w:r w:rsidR="00780959">
        <w:rPr>
          <w:b/>
          <w:bCs/>
          <w:i/>
          <w:iCs/>
        </w:rPr>
        <w:t>7</w:t>
      </w:r>
      <w:r w:rsidRPr="00AC3E52">
        <w:rPr>
          <w:b/>
          <w:bCs/>
          <w:i/>
          <w:iCs/>
        </w:rPr>
        <w:t>, paragraph 301-275(2)(b) of the ITAA 1997]</w:t>
      </w:r>
      <w:bookmarkEnd w:id="117"/>
    </w:p>
    <w:p w14:paraId="4FEBFEB8" w14:textId="7B7EB3F1" w:rsidR="00AC3E52" w:rsidRPr="00AC3E52" w:rsidRDefault="00AC3E52" w:rsidP="008B5DD5">
      <w:pPr>
        <w:pStyle w:val="Normalparatextwithnumbers"/>
        <w:spacing w:after="0"/>
      </w:pPr>
      <w:r w:rsidRPr="00AC3E52">
        <w:t>The third step is to work out the total of the amount worked out under the first step and the amounts (if any) of Medicare levy and Medicare levy (fringe benefits) surcharge the individual is liable to pay for the income year on the assumption the invalidity pension was instead treated as a superannuation income stream</w:t>
      </w:r>
      <w:r w:rsidR="00C16C5F" w:rsidRPr="00C16C5F">
        <w:t xml:space="preserve"> benefit</w:t>
      </w:r>
      <w:r w:rsidRPr="00AC3E52">
        <w:t>.</w:t>
      </w:r>
    </w:p>
    <w:p w14:paraId="2B97B8AE" w14:textId="71A857EB" w:rsidR="00AC3E52" w:rsidRPr="00AC3E52" w:rsidRDefault="00AC3E52" w:rsidP="00C91C19">
      <w:pPr>
        <w:pStyle w:val="Normalparatextwithnumbers"/>
        <w:numPr>
          <w:ilvl w:val="0"/>
          <w:numId w:val="0"/>
        </w:numPr>
        <w:spacing w:before="0"/>
        <w:ind w:left="709"/>
        <w:rPr>
          <w:b/>
          <w:i/>
        </w:rPr>
      </w:pPr>
      <w:r w:rsidRPr="00AC3E52">
        <w:rPr>
          <w:b/>
          <w:bCs/>
          <w:i/>
          <w:iCs/>
        </w:rPr>
        <w:t>[</w:t>
      </w:r>
      <w:r w:rsidR="00C32549">
        <w:rPr>
          <w:b/>
          <w:bCs/>
          <w:i/>
          <w:iCs/>
        </w:rPr>
        <w:t>Schedule #</w:t>
      </w:r>
      <w:r w:rsidRPr="00AC3E52">
        <w:rPr>
          <w:b/>
          <w:bCs/>
          <w:i/>
          <w:iCs/>
        </w:rPr>
        <w:t xml:space="preserve">, item </w:t>
      </w:r>
      <w:r w:rsidR="00780959">
        <w:rPr>
          <w:b/>
          <w:bCs/>
          <w:i/>
          <w:iCs/>
        </w:rPr>
        <w:t>7</w:t>
      </w:r>
      <w:r w:rsidRPr="00AC3E52">
        <w:rPr>
          <w:b/>
          <w:bCs/>
          <w:i/>
          <w:iCs/>
        </w:rPr>
        <w:t xml:space="preserve">, paragraph 301-275(2)(c) of ITAA 1997] </w:t>
      </w:r>
    </w:p>
    <w:p w14:paraId="7694AAE6" w14:textId="6241C4EF" w:rsidR="00AC3E52" w:rsidRPr="00AC3E52" w:rsidRDefault="00AC3E52" w:rsidP="008B5DD5">
      <w:pPr>
        <w:pStyle w:val="Normalparatextwithnumbers"/>
      </w:pPr>
      <w:r w:rsidRPr="00AC3E52">
        <w:t>In calculating the taxation outcome if the invalidity pension was treated as a superannuation income stream</w:t>
      </w:r>
      <w:r w:rsidR="00C16C5F" w:rsidRPr="00C16C5F">
        <w:t xml:space="preserve"> benefit</w:t>
      </w:r>
      <w:r w:rsidRPr="00AC3E52">
        <w:t xml:space="preserve">, it is assessed according to the rules applicable to superannuation income </w:t>
      </w:r>
      <w:r w:rsidR="0018452C" w:rsidRPr="0018452C">
        <w:t xml:space="preserve"> stream benefits</w:t>
      </w:r>
      <w:r w:rsidRPr="00AC3E52">
        <w:t xml:space="preserve"> subject to the </w:t>
      </w:r>
      <w:r w:rsidR="002C2BC8">
        <w:t>assumptions</w:t>
      </w:r>
      <w:r w:rsidRPr="00AC3E52">
        <w:t xml:space="preserve"> contained in subsection 301-275(3) that are outlined in paragraph </w:t>
      </w:r>
      <w:r w:rsidRPr="007363FA">
        <w:t>[1.2</w:t>
      </w:r>
      <w:r w:rsidR="007363FA" w:rsidRPr="007363FA">
        <w:t>8</w:t>
      </w:r>
      <w:r w:rsidRPr="007363FA">
        <w:t>].</w:t>
      </w:r>
      <w:r w:rsidRPr="00AC3E52">
        <w:t xml:space="preserve"> </w:t>
      </w:r>
    </w:p>
    <w:p w14:paraId="406D2288" w14:textId="115CAF66" w:rsidR="00AC3E52" w:rsidRPr="00AC3E52" w:rsidRDefault="00AC3E52" w:rsidP="008B5DD5">
      <w:pPr>
        <w:pStyle w:val="Normalparatextwithnumbers"/>
      </w:pPr>
      <w:r w:rsidRPr="00AC3E52">
        <w:t xml:space="preserve">The </w:t>
      </w:r>
      <w:r w:rsidRPr="00AC3E52" w:rsidDel="009579FA">
        <w:t xml:space="preserve">final step involves working out the amount (if any) the </w:t>
      </w:r>
      <w:r w:rsidR="0018452C" w:rsidRPr="0018452C" w:rsidDel="009579FA">
        <w:t xml:space="preserve"> amounts</w:t>
      </w:r>
      <w:r w:rsidRPr="00AC3E52" w:rsidDel="009579FA">
        <w:t xml:space="preserve"> in</w:t>
      </w:r>
      <w:r w:rsidR="0015687E">
        <w:t xml:space="preserve"> </w:t>
      </w:r>
      <w:r w:rsidRPr="00AC3E52" w:rsidDel="009579FA">
        <w:t xml:space="preserve">step </w:t>
      </w:r>
      <w:r w:rsidR="00F97307">
        <w:t>2</w:t>
      </w:r>
      <w:r w:rsidRPr="00AC3E52" w:rsidDel="009579FA">
        <w:t xml:space="preserve"> exceeds the amount in step </w:t>
      </w:r>
      <w:r w:rsidR="00F97307">
        <w:t>3</w:t>
      </w:r>
      <w:r w:rsidR="0015687E">
        <w:t xml:space="preserve"> </w:t>
      </w:r>
      <w:r w:rsidRPr="00AC3E52" w:rsidDel="009579FA">
        <w:t>which</w:t>
      </w:r>
      <w:r w:rsidRPr="00AC3E52">
        <w:t xml:space="preserve"> is the amount of the veterans’ superannuation (invalidity pension) tax offset. </w:t>
      </w:r>
      <w:r w:rsidRPr="00AC3E52">
        <w:br/>
      </w:r>
      <w:r w:rsidRPr="00AC3E52">
        <w:rPr>
          <w:b/>
          <w:bCs/>
          <w:i/>
          <w:iCs/>
        </w:rPr>
        <w:t>[</w:t>
      </w:r>
      <w:r w:rsidR="00C32549">
        <w:rPr>
          <w:b/>
          <w:bCs/>
          <w:i/>
          <w:iCs/>
        </w:rPr>
        <w:t>Schedule #</w:t>
      </w:r>
      <w:r w:rsidRPr="00AC3E52">
        <w:rPr>
          <w:b/>
          <w:bCs/>
          <w:i/>
          <w:iCs/>
        </w:rPr>
        <w:t xml:space="preserve">, item </w:t>
      </w:r>
      <w:r w:rsidR="00780959">
        <w:rPr>
          <w:b/>
          <w:bCs/>
          <w:i/>
          <w:iCs/>
        </w:rPr>
        <w:t>7</w:t>
      </w:r>
      <w:r w:rsidRPr="00AC3E52">
        <w:rPr>
          <w:b/>
          <w:bCs/>
          <w:i/>
          <w:iCs/>
        </w:rPr>
        <w:t>, paragraph 301-275(2)(d) of the ITAA 1997]</w:t>
      </w:r>
    </w:p>
    <w:p w14:paraId="35D28151" w14:textId="3E3B8898" w:rsidR="00AC3E52" w:rsidRPr="00AC3E52" w:rsidRDefault="00AC3E52" w:rsidP="008B5DD5">
      <w:pPr>
        <w:pStyle w:val="Normalparatextwithnumbers"/>
      </w:pPr>
      <w:r w:rsidRPr="00AC3E52">
        <w:t xml:space="preserve">In effect, the process involves subtracting the liability worked out in step </w:t>
      </w:r>
      <w:r w:rsidR="00F97307">
        <w:t>3</w:t>
      </w:r>
      <w:r w:rsidRPr="00AC3E52">
        <w:t xml:space="preserve"> where the invalidity pension is assessed as a superannuation income stream</w:t>
      </w:r>
      <w:r w:rsidR="0018452C">
        <w:t xml:space="preserve"> benefit</w:t>
      </w:r>
      <w:r w:rsidRPr="00AC3E52">
        <w:t xml:space="preserve">, from the total liability worked out in step </w:t>
      </w:r>
      <w:r w:rsidR="00F97307">
        <w:t>2</w:t>
      </w:r>
      <w:r w:rsidRPr="00AC3E52">
        <w:t xml:space="preserve"> where the invalidity pension is assessed as a superannuation lump sum.</w:t>
      </w:r>
    </w:p>
    <w:p w14:paraId="67B7C5F5" w14:textId="0626B77E" w:rsidR="00AC3E52" w:rsidRPr="00AC3E52" w:rsidRDefault="00AC3E52" w:rsidP="008B5DD5">
      <w:pPr>
        <w:pStyle w:val="Normalparatextwithnumbers"/>
      </w:pPr>
      <w:r w:rsidRPr="00AC3E52">
        <w:t xml:space="preserve">Where the liability worked out in step </w:t>
      </w:r>
      <w:r w:rsidR="004A04A7">
        <w:t>2</w:t>
      </w:r>
      <w:r w:rsidRPr="00AC3E52">
        <w:t xml:space="preserve"> is less than the liability worked out in step </w:t>
      </w:r>
      <w:r w:rsidR="004A04A7">
        <w:t>3</w:t>
      </w:r>
      <w:r w:rsidRPr="00AC3E52">
        <w:t xml:space="preserve"> (that is, where the tax payable if the invalidity pension is treated as superannuation lump sum is less than the tax payable if the invalidity pension is treated as a superannuation income stream</w:t>
      </w:r>
      <w:r w:rsidR="0018452C">
        <w:t xml:space="preserve"> benefit</w:t>
      </w:r>
      <w:r w:rsidRPr="00AC3E52">
        <w:t>), the tax offset is zero.</w:t>
      </w:r>
    </w:p>
    <w:p w14:paraId="404137F5" w14:textId="77777777" w:rsidR="00E906D9" w:rsidRDefault="00AC3E52" w:rsidP="008B5DD5">
      <w:pPr>
        <w:pStyle w:val="Normalparatextwithnumbers"/>
      </w:pPr>
      <w:bookmarkStart w:id="118" w:name="_Ref93499828"/>
      <w:r w:rsidRPr="00AC3E52">
        <w:t>For the purposes of calculating the tax offset, the assumption</w:t>
      </w:r>
      <w:r w:rsidR="002C2BC8">
        <w:t>s</w:t>
      </w:r>
      <w:r w:rsidRPr="00AC3E52">
        <w:t xml:space="preserve"> in paragraph 301</w:t>
      </w:r>
      <w:r w:rsidRPr="00AC3E52">
        <w:noBreakHyphen/>
        <w:t xml:space="preserve">275(2)(c) </w:t>
      </w:r>
      <w:r w:rsidR="002C2BC8">
        <w:t xml:space="preserve">are: </w:t>
      </w:r>
    </w:p>
    <w:p w14:paraId="1032376D" w14:textId="165A04DD" w:rsidR="00AC3E52" w:rsidRPr="00AC3E52" w:rsidRDefault="00AC3E52" w:rsidP="001718FC">
      <w:pPr>
        <w:pStyle w:val="Normalparatextwithnumbers"/>
        <w:numPr>
          <w:ilvl w:val="0"/>
          <w:numId w:val="29"/>
        </w:numPr>
        <w:ind w:hanging="720"/>
      </w:pPr>
      <w:r w:rsidRPr="00AC3E52">
        <w:t xml:space="preserve">that </w:t>
      </w:r>
      <w:r w:rsidR="00E906D9">
        <w:t>each</w:t>
      </w:r>
      <w:r w:rsidRPr="00AC3E52">
        <w:t xml:space="preserve"> superannuation lump sum benefit</w:t>
      </w:r>
      <w:r w:rsidR="00E906D9">
        <w:t xml:space="preserve"> </w:t>
      </w:r>
      <w:r w:rsidR="00FC0F7A">
        <w:t>are</w:t>
      </w:r>
      <w:r w:rsidRPr="00AC3E52">
        <w:t xml:space="preserve"> instead a superannuation income stream</w:t>
      </w:r>
      <w:bookmarkEnd w:id="118"/>
      <w:r w:rsidR="00E906D9">
        <w:t>; and</w:t>
      </w:r>
    </w:p>
    <w:p w14:paraId="178CB7FB" w14:textId="70E3D284" w:rsidR="00AC3E52" w:rsidRPr="00AC3E52" w:rsidRDefault="00AC3E52" w:rsidP="006F6FD2">
      <w:pPr>
        <w:pStyle w:val="Normalparatextwithnumbers"/>
        <w:numPr>
          <w:ilvl w:val="0"/>
          <w:numId w:val="29"/>
        </w:numPr>
        <w:ind w:hanging="720"/>
      </w:pPr>
      <w:r w:rsidRPr="00AC3E52">
        <w:t>for the purposes of applying the proportioning rule in 307-125 of the ITAA 1997, the invalidity pay or invalidity pension is a superannuation income stream.</w:t>
      </w:r>
    </w:p>
    <w:p w14:paraId="7C3D29ED" w14:textId="16794C95" w:rsidR="00354EAB" w:rsidRPr="00020288" w:rsidRDefault="00AC3E52" w:rsidP="00097C76">
      <w:pPr>
        <w:pStyle w:val="Normalparatextwithnumbers"/>
        <w:numPr>
          <w:ilvl w:val="0"/>
          <w:numId w:val="0"/>
        </w:numPr>
        <w:spacing w:before="0"/>
        <w:ind w:left="1418" w:firstLine="11"/>
      </w:pPr>
      <w:r w:rsidRPr="00AC3E52">
        <w:rPr>
          <w:b/>
          <w:i/>
        </w:rPr>
        <w:t>[</w:t>
      </w:r>
      <w:r w:rsidR="00C32549">
        <w:rPr>
          <w:b/>
          <w:bCs/>
          <w:i/>
        </w:rPr>
        <w:t>Schedule #</w:t>
      </w:r>
      <w:r w:rsidRPr="00DA0211">
        <w:rPr>
          <w:b/>
          <w:bCs/>
          <w:i/>
        </w:rPr>
        <w:t>,</w:t>
      </w:r>
      <w:r w:rsidRPr="00AC3E52">
        <w:rPr>
          <w:b/>
          <w:bCs/>
          <w:i/>
        </w:rPr>
        <w:t xml:space="preserve"> item </w:t>
      </w:r>
      <w:r w:rsidR="00780959">
        <w:rPr>
          <w:b/>
          <w:bCs/>
          <w:i/>
        </w:rPr>
        <w:t>7</w:t>
      </w:r>
      <w:r w:rsidRPr="00AC3E52">
        <w:rPr>
          <w:b/>
          <w:bCs/>
          <w:i/>
        </w:rPr>
        <w:t>, subsection 301</w:t>
      </w:r>
      <w:r w:rsidRPr="00AC3E52">
        <w:rPr>
          <w:b/>
          <w:bCs/>
          <w:i/>
          <w:iCs/>
        </w:rPr>
        <w:t>-275(3) of the ITAA 1997]</w:t>
      </w:r>
    </w:p>
    <w:p w14:paraId="7658ACAC" w14:textId="77777777" w:rsidR="00873094" w:rsidRPr="000A3C5D" w:rsidRDefault="00873094" w:rsidP="000A3C5D">
      <w:pPr>
        <w:pStyle w:val="Heading2"/>
      </w:pPr>
      <w:bookmarkStart w:id="119" w:name="_Toc106717817"/>
      <w:bookmarkStart w:id="120" w:name="_Toc106718131"/>
      <w:bookmarkStart w:id="121" w:name="_Toc106869393"/>
      <w:bookmarkStart w:id="122" w:name="_Toc106869539"/>
      <w:bookmarkStart w:id="123" w:name="_Toc106883932"/>
      <w:bookmarkStart w:id="124" w:name="_Toc106973578"/>
      <w:bookmarkStart w:id="125" w:name="_Toc106974779"/>
      <w:bookmarkStart w:id="126" w:name="_Toc108706686"/>
      <w:bookmarkStart w:id="127" w:name="_Toc108707867"/>
      <w:bookmarkStart w:id="128" w:name="_Toc78193246"/>
      <w:bookmarkStart w:id="129" w:name="_Toc78193403"/>
      <w:bookmarkStart w:id="130" w:name="_Toc78548476"/>
      <w:bookmarkStart w:id="131" w:name="_Toc78549747"/>
      <w:bookmarkStart w:id="132" w:name="_Toc78549791"/>
      <w:r w:rsidRPr="000A3C5D">
        <w:lastRenderedPageBreak/>
        <w:t>Consequential amendments</w:t>
      </w:r>
      <w:bookmarkEnd w:id="119"/>
      <w:bookmarkEnd w:id="120"/>
      <w:bookmarkEnd w:id="121"/>
      <w:bookmarkEnd w:id="122"/>
      <w:bookmarkEnd w:id="123"/>
      <w:bookmarkEnd w:id="124"/>
      <w:bookmarkEnd w:id="125"/>
      <w:bookmarkEnd w:id="126"/>
      <w:bookmarkEnd w:id="127"/>
    </w:p>
    <w:p w14:paraId="4CB5AAFA" w14:textId="467BAFBE" w:rsidR="005064F1" w:rsidRPr="005064F1" w:rsidRDefault="005064F1" w:rsidP="005064F1">
      <w:pPr>
        <w:pStyle w:val="Normalparatextwithnumbers"/>
        <w:numPr>
          <w:ilvl w:val="1"/>
          <w:numId w:val="51"/>
        </w:numPr>
      </w:pPr>
      <w:r w:rsidRPr="005064F1">
        <w:rPr>
          <w:bCs/>
          <w:iCs/>
        </w:rPr>
        <w:t>The</w:t>
      </w:r>
      <w:r w:rsidRPr="005064F1">
        <w:rPr>
          <w:b/>
          <w:bCs/>
          <w:i/>
          <w:iCs/>
        </w:rPr>
        <w:t xml:space="preserve"> </w:t>
      </w:r>
      <w:r w:rsidRPr="005064F1">
        <w:t>new veterans’ superannuation (invalidity pension) tax offset set out in Subdivision 301-F is added to the list of tax offsets in section 13</w:t>
      </w:r>
      <w:r w:rsidRPr="005064F1">
        <w:noBreakHyphen/>
        <w:t xml:space="preserve">1 of the ITAA 1997. </w:t>
      </w:r>
      <w:r w:rsidRPr="005064F1">
        <w:br/>
      </w:r>
      <w:r w:rsidRPr="005064F1">
        <w:rPr>
          <w:b/>
          <w:bCs/>
          <w:i/>
          <w:iCs/>
        </w:rPr>
        <w:t>[</w:t>
      </w:r>
      <w:r w:rsidR="00C32549">
        <w:rPr>
          <w:b/>
          <w:bCs/>
          <w:i/>
          <w:iCs/>
        </w:rPr>
        <w:t>Schedule #</w:t>
      </w:r>
      <w:r w:rsidRPr="005064F1">
        <w:rPr>
          <w:b/>
          <w:bCs/>
          <w:i/>
          <w:iCs/>
        </w:rPr>
        <w:t xml:space="preserve">, item </w:t>
      </w:r>
      <w:r w:rsidR="00780959">
        <w:rPr>
          <w:b/>
          <w:bCs/>
          <w:i/>
          <w:iCs/>
        </w:rPr>
        <w:t>5</w:t>
      </w:r>
      <w:r w:rsidRPr="005064F1">
        <w:rPr>
          <w:b/>
          <w:bCs/>
          <w:i/>
          <w:iCs/>
        </w:rPr>
        <w:t>, section 13-1 of ITAA 1997]</w:t>
      </w:r>
    </w:p>
    <w:p w14:paraId="4A261A05" w14:textId="1E6A31F0" w:rsidR="00873094" w:rsidRPr="00C267FA" w:rsidRDefault="00873094" w:rsidP="000A3C5D">
      <w:pPr>
        <w:pStyle w:val="Heading2"/>
      </w:pPr>
      <w:bookmarkStart w:id="133" w:name="_Toc106717818"/>
      <w:bookmarkStart w:id="134" w:name="_Toc106718132"/>
      <w:bookmarkStart w:id="135" w:name="_Toc106869394"/>
      <w:bookmarkStart w:id="136" w:name="_Toc106869540"/>
      <w:bookmarkStart w:id="137" w:name="_Toc106883933"/>
      <w:bookmarkStart w:id="138" w:name="_Toc106973579"/>
      <w:bookmarkStart w:id="139" w:name="_Toc106974780"/>
      <w:bookmarkStart w:id="140" w:name="_Toc108706687"/>
      <w:bookmarkStart w:id="141" w:name="_Toc108707868"/>
      <w:r w:rsidRPr="000A3C5D">
        <w:t>Commencement, application and transitional provisions</w:t>
      </w:r>
      <w:bookmarkEnd w:id="133"/>
      <w:bookmarkEnd w:id="134"/>
      <w:bookmarkEnd w:id="135"/>
      <w:bookmarkEnd w:id="136"/>
      <w:bookmarkEnd w:id="137"/>
      <w:bookmarkEnd w:id="138"/>
      <w:bookmarkEnd w:id="139"/>
      <w:bookmarkEnd w:id="140"/>
      <w:bookmarkEnd w:id="141"/>
    </w:p>
    <w:p w14:paraId="1419E6DB" w14:textId="61BE72FF" w:rsidR="00E7142D" w:rsidRPr="00E7142D" w:rsidRDefault="00E7142D" w:rsidP="00CE63D4">
      <w:pPr>
        <w:pStyle w:val="Normalparatextwithnumbers"/>
        <w:numPr>
          <w:ilvl w:val="1"/>
          <w:numId w:val="51"/>
        </w:numPr>
        <w:spacing w:after="0"/>
      </w:pPr>
      <w:r w:rsidRPr="00E7142D">
        <w:t xml:space="preserve">The amendments to the ITAA 1997 apply in relation to income years commencing on or after 1 July 2007. Accordingly, the amendments in </w:t>
      </w:r>
      <w:r w:rsidR="00CE63D4">
        <w:t xml:space="preserve">this </w:t>
      </w:r>
      <w:r w:rsidRPr="00E7142D">
        <w:t xml:space="preserve">Schedule have retrospective application. </w:t>
      </w:r>
    </w:p>
    <w:p w14:paraId="40BA241E" w14:textId="1211EE08" w:rsidR="00E7142D" w:rsidRPr="00E7142D" w:rsidRDefault="00E7142D" w:rsidP="00CE63D4">
      <w:pPr>
        <w:pStyle w:val="Normalparatextwithnumbers"/>
        <w:numPr>
          <w:ilvl w:val="0"/>
          <w:numId w:val="0"/>
        </w:numPr>
        <w:spacing w:before="0"/>
        <w:ind w:left="709"/>
      </w:pPr>
      <w:r w:rsidRPr="00E7142D">
        <w:rPr>
          <w:b/>
          <w:bCs/>
          <w:i/>
          <w:iCs/>
        </w:rPr>
        <w:t>[</w:t>
      </w:r>
      <w:r w:rsidR="00C32549">
        <w:rPr>
          <w:b/>
          <w:bCs/>
          <w:i/>
          <w:iCs/>
        </w:rPr>
        <w:t>Schedule #</w:t>
      </w:r>
      <w:r w:rsidRPr="00E7142D">
        <w:rPr>
          <w:b/>
          <w:bCs/>
          <w:i/>
          <w:iCs/>
        </w:rPr>
        <w:t xml:space="preserve">, item </w:t>
      </w:r>
      <w:r w:rsidR="00780959">
        <w:rPr>
          <w:b/>
          <w:bCs/>
          <w:i/>
          <w:iCs/>
        </w:rPr>
        <w:t>8</w:t>
      </w:r>
      <w:r w:rsidRPr="00E7142D">
        <w:rPr>
          <w:b/>
          <w:bCs/>
          <w:i/>
          <w:iCs/>
        </w:rPr>
        <w:t>, section 301-90 of the Income Tax (Transitional Provisions) Act 1997]</w:t>
      </w:r>
    </w:p>
    <w:p w14:paraId="40087475" w14:textId="697C96DE" w:rsidR="00E7142D" w:rsidRPr="00E7142D" w:rsidRDefault="00E7142D" w:rsidP="00E7142D">
      <w:pPr>
        <w:pStyle w:val="Normalparatextwithnumbers"/>
        <w:numPr>
          <w:ilvl w:val="1"/>
          <w:numId w:val="51"/>
        </w:numPr>
      </w:pPr>
      <w:r w:rsidRPr="00E7142D">
        <w:t xml:space="preserve">The purpose of this Schedule is to ensure that no </w:t>
      </w:r>
      <w:r w:rsidR="004F74F8">
        <w:t xml:space="preserve">eligible </w:t>
      </w:r>
      <w:r w:rsidRPr="00E7142D">
        <w:t>veteran</w:t>
      </w:r>
      <w:r w:rsidR="004F74F8">
        <w:t xml:space="preserve"> that was</w:t>
      </w:r>
      <w:r w:rsidRPr="00E7142D">
        <w:t xml:space="preserve"> paid an invalidity pension that commenced on or after 20 September 2007 is worse off because of the Full Federal Court’s decision in </w:t>
      </w:r>
      <w:r w:rsidRPr="00E7142D">
        <w:rPr>
          <w:i/>
        </w:rPr>
        <w:t>Douglas</w:t>
      </w:r>
      <w:r w:rsidR="004F74F8">
        <w:t xml:space="preserve">. </w:t>
      </w:r>
    </w:p>
    <w:p w14:paraId="480B0A85" w14:textId="77777777" w:rsidR="00AE2C80" w:rsidRPr="00AE2C80" w:rsidRDefault="00AE2C80" w:rsidP="006E6A7A">
      <w:pPr>
        <w:pStyle w:val="Normalparatextwithnumbers"/>
        <w:numPr>
          <w:ilvl w:val="1"/>
          <w:numId w:val="51"/>
        </w:numPr>
      </w:pPr>
      <w:r w:rsidRPr="00AE2C80">
        <w:t>The Schedule also applies retrospectively to spouse and child beneficiaries receiving eligible pensions mentioned in a paragraph in 307-70.02(1A) of the ITAR 2021 to ensure that no one is adversely impacted or disadvantaged.</w:t>
      </w:r>
    </w:p>
    <w:p w14:paraId="648F465A" w14:textId="4D871D28" w:rsidR="00E7142D" w:rsidRPr="00E7142D" w:rsidRDefault="00E7142D" w:rsidP="00E7142D">
      <w:pPr>
        <w:pStyle w:val="Normalparatextwithnumbers"/>
        <w:numPr>
          <w:ilvl w:val="1"/>
          <w:numId w:val="51"/>
        </w:numPr>
      </w:pPr>
      <w:r w:rsidRPr="00E7142D">
        <w:t>No veteran</w:t>
      </w:r>
      <w:r w:rsidR="00AE2C80">
        <w:t xml:space="preserve"> (or their spouse or child)</w:t>
      </w:r>
      <w:r w:rsidRPr="00E7142D">
        <w:t xml:space="preserve"> is adversely affected by the retrospectivity of these amendments. </w:t>
      </w:r>
    </w:p>
    <w:p w14:paraId="678AD2C5" w14:textId="024D620C" w:rsidR="00E7142D" w:rsidRPr="00E7142D" w:rsidRDefault="00E7142D" w:rsidP="00727C2E">
      <w:pPr>
        <w:pStyle w:val="Normalparatextwithnumbers"/>
        <w:numPr>
          <w:ilvl w:val="1"/>
          <w:numId w:val="51"/>
        </w:numPr>
        <w:spacing w:after="0"/>
      </w:pPr>
      <w:r w:rsidRPr="00E7142D">
        <w:t>The amendments to the ITAR 2</w:t>
      </w:r>
      <w:r w:rsidR="00291A84">
        <w:t>02</w:t>
      </w:r>
      <w:r w:rsidRPr="00E7142D">
        <w:t>1 apply in relation to income years starting on or after 1 July 2007. The amendments have retrospective application to restore the understanding of the law as it was intended to operate before the decision in</w:t>
      </w:r>
      <w:r w:rsidRPr="00E7142D">
        <w:rPr>
          <w:i/>
          <w:iCs/>
        </w:rPr>
        <w:t xml:space="preserve"> Douglas</w:t>
      </w:r>
      <w:r w:rsidRPr="00E7142D">
        <w:t xml:space="preserve"> and </w:t>
      </w:r>
      <w:r w:rsidR="001C7F4F">
        <w:t>applie</w:t>
      </w:r>
      <w:r w:rsidR="00A35F5B">
        <w:t>s</w:t>
      </w:r>
      <w:r w:rsidR="001C7F4F">
        <w:t xml:space="preserve"> to income tax assessments of the</w:t>
      </w:r>
      <w:r w:rsidR="00976507">
        <w:t>se</w:t>
      </w:r>
      <w:r w:rsidR="001C7F4F">
        <w:t xml:space="preserve"> defined benefit </w:t>
      </w:r>
      <w:r w:rsidR="00A35F5B">
        <w:t xml:space="preserve">pensions </w:t>
      </w:r>
      <w:r w:rsidR="00976507">
        <w:t>for income years from 1 July</w:t>
      </w:r>
      <w:r w:rsidR="001C7F4F">
        <w:t xml:space="preserve"> 2007. The amendment</w:t>
      </w:r>
      <w:r w:rsidR="00A35F5B">
        <w:t>s</w:t>
      </w:r>
      <w:r w:rsidR="001C7F4F">
        <w:t xml:space="preserve"> </w:t>
      </w:r>
      <w:r w:rsidRPr="00E7142D">
        <w:t>ensure a consistent tax outcome with similar types of superannuation income stream benefits.</w:t>
      </w:r>
    </w:p>
    <w:p w14:paraId="53C4B4DE" w14:textId="2711387B" w:rsidR="00E7142D" w:rsidRPr="00E7142D" w:rsidRDefault="00E7142D" w:rsidP="00727C2E">
      <w:pPr>
        <w:pStyle w:val="Normalparatextwithnumbers"/>
        <w:numPr>
          <w:ilvl w:val="0"/>
          <w:numId w:val="0"/>
        </w:numPr>
        <w:spacing w:before="0"/>
        <w:ind w:left="709"/>
        <w:rPr>
          <w:b/>
          <w:i/>
        </w:rPr>
      </w:pPr>
      <w:r w:rsidRPr="00E7142D">
        <w:rPr>
          <w:b/>
          <w:i/>
        </w:rPr>
        <w:t>[</w:t>
      </w:r>
      <w:r w:rsidR="00C32549">
        <w:rPr>
          <w:b/>
          <w:i/>
        </w:rPr>
        <w:t>Schedule #</w:t>
      </w:r>
      <w:r w:rsidRPr="00E7142D">
        <w:rPr>
          <w:b/>
          <w:i/>
        </w:rPr>
        <w:t xml:space="preserve">, item </w:t>
      </w:r>
      <w:r w:rsidR="00FC0F7A">
        <w:rPr>
          <w:b/>
          <w:i/>
        </w:rPr>
        <w:t>3</w:t>
      </w:r>
      <w:r w:rsidRPr="00E7142D">
        <w:rPr>
          <w:b/>
          <w:i/>
        </w:rPr>
        <w:t xml:space="preserve">, </w:t>
      </w:r>
      <w:r w:rsidR="003B1104">
        <w:rPr>
          <w:b/>
          <w:i/>
        </w:rPr>
        <w:t xml:space="preserve">Part 1000-3 </w:t>
      </w:r>
      <w:r w:rsidRPr="00E7142D">
        <w:rPr>
          <w:b/>
          <w:i/>
        </w:rPr>
        <w:t xml:space="preserve">of the </w:t>
      </w:r>
      <w:r w:rsidR="00A35F5B">
        <w:rPr>
          <w:b/>
          <w:i/>
        </w:rPr>
        <w:t>I</w:t>
      </w:r>
      <w:r w:rsidRPr="00E7142D">
        <w:rPr>
          <w:b/>
          <w:i/>
        </w:rPr>
        <w:t>TAR 2</w:t>
      </w:r>
      <w:r w:rsidR="00062469">
        <w:rPr>
          <w:b/>
          <w:i/>
        </w:rPr>
        <w:t>02</w:t>
      </w:r>
      <w:r w:rsidRPr="00E7142D">
        <w:rPr>
          <w:b/>
          <w:i/>
        </w:rPr>
        <w:t xml:space="preserve">1] </w:t>
      </w:r>
    </w:p>
    <w:p w14:paraId="3C5B98AB" w14:textId="77777777" w:rsidR="00E7142D" w:rsidRPr="00E7142D" w:rsidRDefault="00E7142D" w:rsidP="00727C2E">
      <w:pPr>
        <w:pStyle w:val="Normalparatextwithnumbers"/>
        <w:numPr>
          <w:ilvl w:val="1"/>
          <w:numId w:val="51"/>
        </w:numPr>
        <w:spacing w:after="0"/>
      </w:pPr>
      <w:r w:rsidRPr="00E7142D">
        <w:t xml:space="preserve">Part 1000-3 of the </w:t>
      </w:r>
      <w:r w:rsidRPr="00E7142D">
        <w:rPr>
          <w:i/>
          <w:iCs/>
        </w:rPr>
        <w:t>Income Tax Assessment (1997 Act) Regulations 2021</w:t>
      </w:r>
      <w:r w:rsidRPr="00E7142D">
        <w:t xml:space="preserve">, as inserted by this Schedule, has effect despite subsection 12(2) of the </w:t>
      </w:r>
      <w:r w:rsidRPr="00E7142D">
        <w:rPr>
          <w:i/>
          <w:iCs/>
        </w:rPr>
        <w:t>Legislation Act 2003</w:t>
      </w:r>
      <w:r w:rsidRPr="00E7142D">
        <w:t>.</w:t>
      </w:r>
    </w:p>
    <w:p w14:paraId="20FCA0CE" w14:textId="3CE733E9" w:rsidR="00E7142D" w:rsidRPr="00E7142D" w:rsidRDefault="00E7142D" w:rsidP="00727C2E">
      <w:pPr>
        <w:pStyle w:val="Normalparatextwithnumbers"/>
        <w:numPr>
          <w:ilvl w:val="0"/>
          <w:numId w:val="0"/>
        </w:numPr>
        <w:spacing w:before="0"/>
        <w:ind w:left="709"/>
        <w:rPr>
          <w:bCs/>
          <w:iCs/>
        </w:rPr>
      </w:pPr>
      <w:r w:rsidRPr="00E7142D">
        <w:rPr>
          <w:b/>
          <w:i/>
        </w:rPr>
        <w:t>[</w:t>
      </w:r>
      <w:r w:rsidR="00C32549">
        <w:rPr>
          <w:b/>
          <w:i/>
        </w:rPr>
        <w:t>Schedule #</w:t>
      </w:r>
      <w:r w:rsidRPr="00E7142D">
        <w:rPr>
          <w:b/>
          <w:i/>
        </w:rPr>
        <w:t xml:space="preserve">, item </w:t>
      </w:r>
      <w:r w:rsidR="003B1104">
        <w:rPr>
          <w:b/>
          <w:i/>
        </w:rPr>
        <w:t>3</w:t>
      </w:r>
      <w:r w:rsidR="00FB524C">
        <w:rPr>
          <w:b/>
          <w:i/>
        </w:rPr>
        <w:t xml:space="preserve">, Part 1000-3 </w:t>
      </w:r>
      <w:r w:rsidR="00FB524C" w:rsidRPr="00E7142D">
        <w:rPr>
          <w:b/>
          <w:i/>
        </w:rPr>
        <w:t xml:space="preserve">of the </w:t>
      </w:r>
      <w:r w:rsidR="00FB524C">
        <w:rPr>
          <w:b/>
          <w:i/>
        </w:rPr>
        <w:t>I</w:t>
      </w:r>
      <w:r w:rsidR="00FB524C" w:rsidRPr="00E7142D">
        <w:rPr>
          <w:b/>
          <w:i/>
        </w:rPr>
        <w:t>TAR 2</w:t>
      </w:r>
      <w:r w:rsidR="00FB524C">
        <w:rPr>
          <w:b/>
          <w:i/>
        </w:rPr>
        <w:t>02</w:t>
      </w:r>
      <w:r w:rsidR="00FB524C" w:rsidRPr="00E7142D">
        <w:rPr>
          <w:b/>
          <w:i/>
        </w:rPr>
        <w:t>1</w:t>
      </w:r>
      <w:r w:rsidRPr="00E7142D">
        <w:rPr>
          <w:b/>
          <w:i/>
        </w:rPr>
        <w:t>]</w:t>
      </w:r>
    </w:p>
    <w:p w14:paraId="2A9FCFC1" w14:textId="0593A35A" w:rsidR="004F74F8" w:rsidRPr="00E00425" w:rsidRDefault="00E7142D" w:rsidP="00550FBC">
      <w:pPr>
        <w:pStyle w:val="Normalparatextwithnumbers"/>
        <w:numPr>
          <w:ilvl w:val="1"/>
          <w:numId w:val="51"/>
        </w:numPr>
        <w:spacing w:after="0"/>
      </w:pPr>
      <w:r w:rsidRPr="00E7142D">
        <w:t xml:space="preserve">The amendments made to the ITAA 1997 and ITAR 21 do not prevent under section 170 of the </w:t>
      </w:r>
      <w:r w:rsidRPr="00E7142D">
        <w:rPr>
          <w:i/>
        </w:rPr>
        <w:t>Income Tax Assessment Act 1936</w:t>
      </w:r>
      <w:r w:rsidRPr="00E7142D">
        <w:t xml:space="preserve"> t</w:t>
      </w:r>
      <w:r w:rsidRPr="00E7142D">
        <w:rPr>
          <w:bCs/>
          <w:iCs/>
        </w:rPr>
        <w:t>he Commissioner of Taxation from amending an assessment for an income year that commenced on or before 1 July 2020 to give effect to the amendments made by this Schedule.</w:t>
      </w:r>
      <w:r w:rsidR="00E00425" w:rsidRPr="00E00425">
        <w:rPr>
          <w:b/>
          <w:i/>
        </w:rPr>
        <w:t xml:space="preserve"> </w:t>
      </w:r>
    </w:p>
    <w:p w14:paraId="16B1B9A8" w14:textId="0E1839DE" w:rsidR="00E7142D" w:rsidRPr="00E7142D" w:rsidRDefault="00940B6C" w:rsidP="00550FBC">
      <w:pPr>
        <w:pStyle w:val="Normalparatextwithnumbers"/>
        <w:numPr>
          <w:ilvl w:val="1"/>
          <w:numId w:val="51"/>
        </w:numPr>
        <w:spacing w:after="0"/>
      </w:pPr>
      <w:r>
        <w:rPr>
          <w:rFonts w:cs="Times New Roman"/>
          <w:shd w:val="clear" w:color="auto" w:fill="FFFFFF"/>
        </w:rPr>
        <w:t xml:space="preserve">Section 170 of the </w:t>
      </w:r>
      <w:r w:rsidRPr="00C119E8">
        <w:rPr>
          <w:rFonts w:cs="Times New Roman"/>
          <w:i/>
          <w:iCs/>
          <w:shd w:val="clear" w:color="auto" w:fill="FFFFFF"/>
        </w:rPr>
        <w:t>Income Tax Assessment Act 1936</w:t>
      </w:r>
      <w:r>
        <w:rPr>
          <w:rFonts w:cs="Times New Roman"/>
          <w:shd w:val="clear" w:color="auto" w:fill="FFFFFF"/>
        </w:rPr>
        <w:t xml:space="preserve"> s</w:t>
      </w:r>
      <w:r w:rsidR="00976507">
        <w:rPr>
          <w:rFonts w:cs="Times New Roman"/>
          <w:shd w:val="clear" w:color="auto" w:fill="FFFFFF"/>
        </w:rPr>
        <w:t>ets out</w:t>
      </w:r>
      <w:r>
        <w:rPr>
          <w:rFonts w:cs="Times New Roman"/>
          <w:shd w:val="clear" w:color="auto" w:fill="FFFFFF"/>
        </w:rPr>
        <w:t xml:space="preserve"> the period within which assessments may be amended and</w:t>
      </w:r>
      <w:r w:rsidRPr="00427218">
        <w:rPr>
          <w:rFonts w:cs="Times New Roman"/>
        </w:rPr>
        <w:t xml:space="preserve"> the discretionary powers </w:t>
      </w:r>
      <w:r>
        <w:rPr>
          <w:rFonts w:cs="Times New Roman"/>
        </w:rPr>
        <w:t>available to</w:t>
      </w:r>
      <w:r w:rsidRPr="00427218">
        <w:rPr>
          <w:rFonts w:cs="Times New Roman"/>
        </w:rPr>
        <w:t xml:space="preserve"> the Commissioner </w:t>
      </w:r>
      <w:r>
        <w:rPr>
          <w:rFonts w:cs="Times New Roman"/>
        </w:rPr>
        <w:t xml:space="preserve">of taxation (the Commissioner) for purpose of amending </w:t>
      </w:r>
      <w:r>
        <w:rPr>
          <w:rFonts w:cs="Times New Roman"/>
        </w:rPr>
        <w:lastRenderedPageBreak/>
        <w:t xml:space="preserve">assessments. </w:t>
      </w:r>
      <w:r w:rsidR="00666B94">
        <w:rPr>
          <w:rFonts w:cs="Times New Roman"/>
        </w:rPr>
        <w:t xml:space="preserve">Item 7 </w:t>
      </w:r>
      <w:r w:rsidR="009A245C">
        <w:rPr>
          <w:rFonts w:cs="Times New Roman"/>
        </w:rPr>
        <w:t xml:space="preserve">clarifies that the discretionary powers to amend </w:t>
      </w:r>
      <w:r w:rsidR="00666B94">
        <w:rPr>
          <w:rFonts w:cs="Times New Roman"/>
        </w:rPr>
        <w:t>an income tax assessment for an income year are not prevented by this Schedule’s amendments</w:t>
      </w:r>
      <w:r w:rsidR="0053388C">
        <w:rPr>
          <w:rFonts w:cs="Times New Roman"/>
        </w:rPr>
        <w:t>. Th</w:t>
      </w:r>
      <w:r w:rsidR="00A95F1C">
        <w:rPr>
          <w:rFonts w:cs="Times New Roman"/>
        </w:rPr>
        <w:t>is</w:t>
      </w:r>
      <w:r w:rsidR="0053388C">
        <w:rPr>
          <w:rFonts w:cs="Times New Roman"/>
        </w:rPr>
        <w:t xml:space="preserve"> amendment applies to income years on or before 1</w:t>
      </w:r>
      <w:r w:rsidR="00785B70">
        <w:rPr>
          <w:rFonts w:cs="Times New Roman"/>
        </w:rPr>
        <w:t> </w:t>
      </w:r>
      <w:r w:rsidR="0053388C">
        <w:rPr>
          <w:rFonts w:cs="Times New Roman"/>
        </w:rPr>
        <w:t>July</w:t>
      </w:r>
      <w:r w:rsidR="00785B70">
        <w:rPr>
          <w:rFonts w:cs="Times New Roman"/>
        </w:rPr>
        <w:t> </w:t>
      </w:r>
      <w:r w:rsidR="0053388C">
        <w:rPr>
          <w:rFonts w:cs="Times New Roman"/>
        </w:rPr>
        <w:t>2020</w:t>
      </w:r>
      <w:r w:rsidR="00A169CF">
        <w:rPr>
          <w:rFonts w:cs="Times New Roman"/>
        </w:rPr>
        <w:t>.</w:t>
      </w:r>
    </w:p>
    <w:p w14:paraId="12506F7A" w14:textId="04B6A5F7" w:rsidR="00DF3C66" w:rsidRPr="00AF13FE" w:rsidRDefault="00E7142D" w:rsidP="00021E3E">
      <w:pPr>
        <w:pStyle w:val="Normalparatextwithnumbers"/>
        <w:numPr>
          <w:ilvl w:val="0"/>
          <w:numId w:val="0"/>
        </w:numPr>
        <w:spacing w:before="0"/>
        <w:ind w:left="709"/>
        <w:rPr>
          <w:highlight w:val="yellow"/>
        </w:rPr>
      </w:pPr>
      <w:r w:rsidRPr="00E7142D">
        <w:rPr>
          <w:b/>
          <w:i/>
        </w:rPr>
        <w:t>[</w:t>
      </w:r>
      <w:r w:rsidR="00C32549">
        <w:rPr>
          <w:b/>
          <w:i/>
        </w:rPr>
        <w:t>Schedule #</w:t>
      </w:r>
      <w:r w:rsidRPr="00E7142D">
        <w:rPr>
          <w:b/>
          <w:i/>
        </w:rPr>
        <w:t xml:space="preserve">, item </w:t>
      </w:r>
      <w:r w:rsidR="00FC0F7A">
        <w:rPr>
          <w:b/>
          <w:i/>
        </w:rPr>
        <w:t>8</w:t>
      </w:r>
      <w:r w:rsidRPr="00E7142D">
        <w:rPr>
          <w:b/>
          <w:i/>
        </w:rPr>
        <w:t>, section 301-95 of the Income Tax (Transitional Provisions) Act 1997</w:t>
      </w:r>
      <w:bookmarkEnd w:id="5"/>
      <w:bookmarkEnd w:id="54"/>
      <w:bookmarkEnd w:id="128"/>
      <w:bookmarkEnd w:id="129"/>
      <w:bookmarkEnd w:id="130"/>
      <w:bookmarkEnd w:id="131"/>
      <w:bookmarkEnd w:id="132"/>
    </w:p>
    <w:sectPr w:rsidR="00DF3C66" w:rsidRPr="00AF13FE" w:rsidSect="009333E8">
      <w:headerReference w:type="even" r:id="rId18"/>
      <w:headerReference w:type="default" r:id="rId19"/>
      <w:headerReference w:type="first" r:id="rId20"/>
      <w:pgSz w:w="9979" w:h="14175" w:code="34"/>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0B24E" w14:textId="77777777" w:rsidR="00492CFD" w:rsidRDefault="00492CFD">
      <w:pPr>
        <w:spacing w:before="0" w:after="0"/>
      </w:pPr>
      <w:r>
        <w:separator/>
      </w:r>
    </w:p>
  </w:endnote>
  <w:endnote w:type="continuationSeparator" w:id="0">
    <w:p w14:paraId="5ACCF592" w14:textId="77777777" w:rsidR="00492CFD" w:rsidRDefault="00492CFD">
      <w:pPr>
        <w:spacing w:before="0" w:after="0"/>
      </w:pPr>
      <w:r>
        <w:continuationSeparator/>
      </w:r>
    </w:p>
  </w:endnote>
  <w:endnote w:type="continuationNotice" w:id="1">
    <w:p w14:paraId="06CDA60D" w14:textId="77777777" w:rsidR="00492CFD" w:rsidRDefault="00492C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itica">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4444"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A868E" w14:textId="77777777" w:rsidR="00492CFD" w:rsidRDefault="00492CFD">
      <w:pPr>
        <w:spacing w:before="0" w:after="0"/>
      </w:pPr>
      <w:r>
        <w:separator/>
      </w:r>
    </w:p>
  </w:footnote>
  <w:footnote w:type="continuationSeparator" w:id="0">
    <w:p w14:paraId="21ABBA9A" w14:textId="77777777" w:rsidR="00492CFD" w:rsidRDefault="00492CFD">
      <w:pPr>
        <w:spacing w:before="0" w:after="0"/>
      </w:pPr>
      <w:r>
        <w:continuationSeparator/>
      </w:r>
    </w:p>
  </w:footnote>
  <w:footnote w:type="continuationNotice" w:id="1">
    <w:p w14:paraId="49A71E0A" w14:textId="77777777" w:rsidR="00492CFD" w:rsidRDefault="00492CF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423E" w14:textId="7C754A96"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E807E6">
      <w:rPr>
        <w:b/>
        <w:bCs/>
        <w:noProof/>
        <w:lang w:val="en-US"/>
      </w:rPr>
      <w:t>Error! Use the Home tab to apply ChapterNameOnly to the text that you want to appear here.</w:t>
    </w:r>
    <w:r>
      <w:rPr>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AAB3" w14:textId="313ACAF5" w:rsidR="007A2DBD" w:rsidRPr="00816825" w:rsidRDefault="00492CFD" w:rsidP="002425D9">
    <w:pPr>
      <w:pStyle w:val="leftheader"/>
    </w:pPr>
    <w:r>
      <w:fldChar w:fldCharType="begin"/>
    </w:r>
    <w:r>
      <w:instrText xml:space="preserve"> STYLEREF  "Heading 1"  \* MERGEFORMAT </w:instrText>
    </w:r>
    <w:r>
      <w:fldChar w:fldCharType="separate"/>
    </w:r>
    <w:r w:rsidR="00562919" w:rsidRPr="00562919">
      <w:rPr>
        <w:noProof/>
        <w:lang w:val="en-US"/>
      </w:rPr>
      <w:t>Glossary</w:t>
    </w:r>
    <w:r>
      <w:rPr>
        <w:noProof/>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8396" w14:textId="77777777" w:rsidR="007A2DBD" w:rsidRPr="00091474" w:rsidRDefault="007A2DBD" w:rsidP="002425D9">
    <w:pPr>
      <w:pStyle w:val="right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65AE"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EFE0" w14:textId="2ACE13C9" w:rsidR="007A2DBD" w:rsidRPr="00C96775" w:rsidRDefault="00492CFD" w:rsidP="00C96775">
    <w:pPr>
      <w:pStyle w:val="leftheader"/>
    </w:pPr>
    <w:r>
      <w:fldChar w:fldCharType="begin"/>
    </w:r>
    <w:r>
      <w:instrText xml:space="preserve"> STYLEREF "Chapter heading" \* MERGEFORMAT </w:instrText>
    </w:r>
    <w:r>
      <w:fldChar w:fldCharType="separate"/>
    </w:r>
    <w:r w:rsidR="00562919">
      <w:rPr>
        <w:noProof/>
      </w:rPr>
      <w:t>Taxation of military superannuation</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FC31" w14:textId="452EE675" w:rsidR="007A2DBD" w:rsidRPr="005965F8" w:rsidRDefault="00492CFD" w:rsidP="00A74B1A">
    <w:pPr>
      <w:pStyle w:val="rightheader"/>
    </w:pPr>
    <w:r>
      <w:fldChar w:fldCharType="begin"/>
    </w:r>
    <w:r>
      <w:instrText xml:space="preserve"> STYLEREF "Bill Name" \* MERGEFORMAT </w:instrText>
    </w:r>
    <w:r>
      <w:fldChar w:fldCharType="separate"/>
    </w:r>
    <w:r w:rsidR="00562919" w:rsidRPr="00562919">
      <w:rPr>
        <w:noProof/>
        <w:lang w:val="en-US"/>
      </w:rPr>
      <w:t>Treasury Laws Amendment (Measures for a Later Sitting)</w:t>
    </w:r>
    <w:r w:rsidR="00562919">
      <w:rPr>
        <w:noProof/>
      </w:rPr>
      <w:t xml:space="preserve"> Bill 2022: Taxation of Military Superannuation Benefits</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0E3F" w14:textId="77777777" w:rsidR="007A2DBD" w:rsidRDefault="007A2DBD" w:rsidP="00622763">
    <w:pPr>
      <w:pStyle w:val="righ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1F06"/>
    <w:multiLevelType w:val="hybridMultilevel"/>
    <w:tmpl w:val="9D52FFF0"/>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1" w15:restartNumberingAfterBreak="0">
    <w:nsid w:val="089C77CA"/>
    <w:multiLevelType w:val="hybridMultilevel"/>
    <w:tmpl w:val="BF9C7E0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04599D"/>
    <w:multiLevelType w:val="multilevel"/>
    <w:tmpl w:val="6E867D50"/>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92"/>
        </w:tabs>
        <w:ind w:left="992" w:hanging="520"/>
      </w:pPr>
      <w:rPr>
        <w:rFonts w:ascii="Times New Roman" w:hAnsi="Times New Roman" w:cs="Times New Roman"/>
      </w:rPr>
    </w:lvl>
    <w:lvl w:ilvl="2">
      <w:start w:val="1"/>
      <w:numFmt w:val="bullet"/>
      <w:pStyle w:val="DoubleDot"/>
      <w:lvlText w:val=":"/>
      <w:lvlJc w:val="left"/>
      <w:pPr>
        <w:tabs>
          <w:tab w:val="num" w:pos="1464"/>
        </w:tabs>
        <w:ind w:left="1464"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1A4D4C"/>
    <w:multiLevelType w:val="hybridMultilevel"/>
    <w:tmpl w:val="4D0406AE"/>
    <w:lvl w:ilvl="0" w:tplc="0C090003">
      <w:start w:val="1"/>
      <w:numFmt w:val="bullet"/>
      <w:lvlText w:val="o"/>
      <w:lvlJc w:val="left"/>
      <w:pPr>
        <w:ind w:left="754" w:hanging="360"/>
      </w:pPr>
      <w:rPr>
        <w:rFonts w:ascii="Courier New" w:hAnsi="Courier New" w:cs="Courier New"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DF6210C"/>
    <w:multiLevelType w:val="hybridMultilevel"/>
    <w:tmpl w:val="042A0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4D5AB7"/>
    <w:multiLevelType w:val="hybridMultilevel"/>
    <w:tmpl w:val="D11E1F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286C0D5A">
      <w:start w:val="1"/>
      <w:numFmt w:val="bullet"/>
      <w:lvlText w:val="-"/>
      <w:lvlJc w:val="left"/>
      <w:pPr>
        <w:ind w:left="2160" w:hanging="360"/>
      </w:pPr>
      <w:rPr>
        <w:rFonts w:ascii="Times New Roman" w:eastAsiaTheme="minorHAnsi"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170CA0"/>
    <w:multiLevelType w:val="multilevel"/>
    <w:tmpl w:val="C5B2B1D2"/>
    <w:styleLink w:val="Chapternumbering"/>
    <w:lvl w:ilvl="0">
      <w:start w:val="1"/>
      <w:numFmt w:val="decimal"/>
      <w:pStyle w:val="Chapterheading"/>
      <w:lvlText w:val="Chapter %1:"/>
      <w:lvlJc w:val="left"/>
      <w:pPr>
        <w:tabs>
          <w:tab w:val="num" w:pos="5388"/>
        </w:tabs>
        <w:ind w:left="2411"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13744D"/>
    <w:multiLevelType w:val="hybridMultilevel"/>
    <w:tmpl w:val="F23A441E"/>
    <w:lvl w:ilvl="0" w:tplc="0C090003">
      <w:start w:val="1"/>
      <w:numFmt w:val="bullet"/>
      <w:lvlText w:val="o"/>
      <w:lvlJc w:val="left"/>
      <w:pPr>
        <w:ind w:left="1114" w:hanging="360"/>
      </w:pPr>
      <w:rPr>
        <w:rFonts w:ascii="Courier New" w:hAnsi="Courier New" w:cs="Courier New" w:hint="default"/>
      </w:rPr>
    </w:lvl>
    <w:lvl w:ilvl="1" w:tplc="0C090003" w:tentative="1">
      <w:start w:val="1"/>
      <w:numFmt w:val="bullet"/>
      <w:lvlText w:val="o"/>
      <w:lvlJc w:val="left"/>
      <w:pPr>
        <w:ind w:left="1834" w:hanging="360"/>
      </w:pPr>
      <w:rPr>
        <w:rFonts w:ascii="Courier New" w:hAnsi="Courier New" w:cs="Courier New" w:hint="default"/>
      </w:rPr>
    </w:lvl>
    <w:lvl w:ilvl="2" w:tplc="0C090005" w:tentative="1">
      <w:start w:val="1"/>
      <w:numFmt w:val="bullet"/>
      <w:lvlText w:val=""/>
      <w:lvlJc w:val="left"/>
      <w:pPr>
        <w:ind w:left="2554" w:hanging="360"/>
      </w:pPr>
      <w:rPr>
        <w:rFonts w:ascii="Wingdings" w:hAnsi="Wingdings" w:hint="default"/>
      </w:rPr>
    </w:lvl>
    <w:lvl w:ilvl="3" w:tplc="0C090001" w:tentative="1">
      <w:start w:val="1"/>
      <w:numFmt w:val="bullet"/>
      <w:lvlText w:val=""/>
      <w:lvlJc w:val="left"/>
      <w:pPr>
        <w:ind w:left="3274" w:hanging="360"/>
      </w:pPr>
      <w:rPr>
        <w:rFonts w:ascii="Symbol" w:hAnsi="Symbol" w:hint="default"/>
      </w:rPr>
    </w:lvl>
    <w:lvl w:ilvl="4" w:tplc="0C090003" w:tentative="1">
      <w:start w:val="1"/>
      <w:numFmt w:val="bullet"/>
      <w:lvlText w:val="o"/>
      <w:lvlJc w:val="left"/>
      <w:pPr>
        <w:ind w:left="3994" w:hanging="360"/>
      </w:pPr>
      <w:rPr>
        <w:rFonts w:ascii="Courier New" w:hAnsi="Courier New" w:cs="Courier New" w:hint="default"/>
      </w:rPr>
    </w:lvl>
    <w:lvl w:ilvl="5" w:tplc="0C090005" w:tentative="1">
      <w:start w:val="1"/>
      <w:numFmt w:val="bullet"/>
      <w:lvlText w:val=""/>
      <w:lvlJc w:val="left"/>
      <w:pPr>
        <w:ind w:left="4714" w:hanging="360"/>
      </w:pPr>
      <w:rPr>
        <w:rFonts w:ascii="Wingdings" w:hAnsi="Wingdings" w:hint="default"/>
      </w:rPr>
    </w:lvl>
    <w:lvl w:ilvl="6" w:tplc="0C090001" w:tentative="1">
      <w:start w:val="1"/>
      <w:numFmt w:val="bullet"/>
      <w:lvlText w:val=""/>
      <w:lvlJc w:val="left"/>
      <w:pPr>
        <w:ind w:left="5434" w:hanging="360"/>
      </w:pPr>
      <w:rPr>
        <w:rFonts w:ascii="Symbol" w:hAnsi="Symbol" w:hint="default"/>
      </w:rPr>
    </w:lvl>
    <w:lvl w:ilvl="7" w:tplc="0C090003" w:tentative="1">
      <w:start w:val="1"/>
      <w:numFmt w:val="bullet"/>
      <w:lvlText w:val="o"/>
      <w:lvlJc w:val="left"/>
      <w:pPr>
        <w:ind w:left="6154" w:hanging="360"/>
      </w:pPr>
      <w:rPr>
        <w:rFonts w:ascii="Courier New" w:hAnsi="Courier New" w:cs="Courier New" w:hint="default"/>
      </w:rPr>
    </w:lvl>
    <w:lvl w:ilvl="8" w:tplc="0C090005" w:tentative="1">
      <w:start w:val="1"/>
      <w:numFmt w:val="bullet"/>
      <w:lvlText w:val=""/>
      <w:lvlJc w:val="left"/>
      <w:pPr>
        <w:ind w:left="6874" w:hanging="360"/>
      </w:pPr>
      <w:rPr>
        <w:rFonts w:ascii="Wingdings" w:hAnsi="Wingdings" w:hint="default"/>
      </w:rPr>
    </w:lvl>
  </w:abstractNum>
  <w:abstractNum w:abstractNumId="11"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4C5ED8"/>
    <w:multiLevelType w:val="hybridMultilevel"/>
    <w:tmpl w:val="9FB8E546"/>
    <w:lvl w:ilvl="0" w:tplc="0C090003">
      <w:start w:val="1"/>
      <w:numFmt w:val="bullet"/>
      <w:lvlText w:val="o"/>
      <w:lvlJc w:val="left"/>
      <w:pPr>
        <w:ind w:left="754" w:hanging="360"/>
      </w:pPr>
      <w:rPr>
        <w:rFonts w:ascii="Courier New" w:hAnsi="Courier New" w:cs="Courier New"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3" w15:restartNumberingAfterBreak="0">
    <w:nsid w:val="343A564D"/>
    <w:multiLevelType w:val="hybridMultilevel"/>
    <w:tmpl w:val="1E68EB2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5" w15:restartNumberingAfterBreak="0">
    <w:nsid w:val="4E2F2B64"/>
    <w:multiLevelType w:val="hybridMultilevel"/>
    <w:tmpl w:val="7BE0E638"/>
    <w:lvl w:ilvl="0" w:tplc="69F0A21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FC6D4A"/>
    <w:multiLevelType w:val="hybridMultilevel"/>
    <w:tmpl w:val="0038A224"/>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7" w15:restartNumberingAfterBreak="0">
    <w:nsid w:val="50307B40"/>
    <w:multiLevelType w:val="hybridMultilevel"/>
    <w:tmpl w:val="C4FEE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33013AD"/>
    <w:multiLevelType w:val="hybridMultilevel"/>
    <w:tmpl w:val="E0FE08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6C32F9F"/>
    <w:multiLevelType w:val="hybridMultilevel"/>
    <w:tmpl w:val="4E02004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 w15:restartNumberingAfterBreak="0">
    <w:nsid w:val="59695428"/>
    <w:multiLevelType w:val="hybridMultilevel"/>
    <w:tmpl w:val="4F96B426"/>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1"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3"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35134A"/>
    <w:multiLevelType w:val="hybridMultilevel"/>
    <w:tmpl w:val="4C20D60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7ADB6E10"/>
    <w:multiLevelType w:val="hybridMultilevel"/>
    <w:tmpl w:val="415253D6"/>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9"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b w:val="0"/>
          <w:bCs w:val="0"/>
        </w:rPr>
      </w:lvl>
    </w:lvlOverride>
  </w:num>
  <w:num w:numId="4">
    <w:abstractNumId w:val="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9"/>
  </w:num>
  <w:num w:numId="7">
    <w:abstractNumId w:val="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11"/>
  </w:num>
  <w:num w:numId="9">
    <w:abstractNumId w:val="29"/>
  </w:num>
  <w:num w:numId="10">
    <w:abstractNumId w:val="21"/>
  </w:num>
  <w:num w:numId="11">
    <w:abstractNumId w:val="14"/>
  </w:num>
  <w:num w:numId="12">
    <w:abstractNumId w:val="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26"/>
  </w:num>
  <w:num w:numId="14">
    <w:abstractNumId w:val="23"/>
  </w:num>
  <w:num w:numId="15">
    <w:abstractNumId w:val="25"/>
  </w:num>
  <w:num w:numId="16">
    <w:abstractNumId w:val="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11"/>
  </w:num>
  <w:num w:numId="18">
    <w:abstractNumId w:val="6"/>
  </w:num>
  <w:num w:numId="19">
    <w:abstractNumId w:val="22"/>
  </w:num>
  <w:num w:numId="20">
    <w:abstractNumId w:val="28"/>
  </w:num>
  <w:num w:numId="21">
    <w:abstractNumId w:val="26"/>
  </w:num>
  <w:num w:numId="22">
    <w:abstractNumId w:val="5"/>
  </w:num>
  <w:num w:numId="23">
    <w:abstractNumId w:val="9"/>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sz w:val="22"/>
          <w:szCs w:val="22"/>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4">
    <w:abstractNumId w:val="17"/>
  </w:num>
  <w:num w:numId="25">
    <w:abstractNumId w:val="8"/>
  </w:num>
  <w:num w:numId="26">
    <w:abstractNumId w:val="20"/>
  </w:num>
  <w:num w:numId="27">
    <w:abstractNumId w:val="3"/>
  </w:num>
  <w:num w:numId="28">
    <w:abstractNumId w:val="27"/>
  </w:num>
  <w:num w:numId="29">
    <w:abstractNumId w:val="1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18"/>
  </w:num>
  <w:num w:numId="39">
    <w:abstractNumId w:val="9"/>
  </w:num>
  <w:num w:numId="40">
    <w:abstractNumId w:val="7"/>
  </w:num>
  <w:num w:numId="41">
    <w:abstractNumId w:val="0"/>
  </w:num>
  <w:num w:numId="42">
    <w:abstractNumId w:val="15"/>
  </w:num>
  <w:num w:numId="43">
    <w:abstractNumId w:val="9"/>
  </w:num>
  <w:num w:numId="44">
    <w:abstractNumId w:val="4"/>
  </w:num>
  <w:num w:numId="45">
    <w:abstractNumId w:val="10"/>
  </w:num>
  <w:num w:numId="46">
    <w:abstractNumId w:val="13"/>
  </w:num>
  <w:num w:numId="47">
    <w:abstractNumId w:val="1"/>
  </w:num>
  <w:num w:numId="48">
    <w:abstractNumId w:val="24"/>
  </w:num>
  <w:num w:numId="49">
    <w:abstractNumId w:val="12"/>
  </w:num>
  <w:num w:numId="50">
    <w:abstractNumId w:val="16"/>
  </w:num>
  <w:num w:numId="51">
    <w:abstractNumId w:val="9"/>
    <w:lvlOverride w:ilvl="0">
      <w:lvl w:ilvl="0">
        <w:start w:val="1"/>
        <w:numFmt w:val="decimal"/>
        <w:pStyle w:val="Chapterheading"/>
        <w:lvlText w:val="Chapter %1:"/>
        <w:lvlJc w:val="left"/>
        <w:pPr>
          <w:tabs>
            <w:tab w:val="num" w:pos="5388"/>
          </w:tabs>
          <w:ind w:left="2411"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2">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5E"/>
    <w:rsid w:val="0000082C"/>
    <w:rsid w:val="00000BFC"/>
    <w:rsid w:val="00001714"/>
    <w:rsid w:val="000029A3"/>
    <w:rsid w:val="00002C14"/>
    <w:rsid w:val="00004012"/>
    <w:rsid w:val="000061A6"/>
    <w:rsid w:val="0001491F"/>
    <w:rsid w:val="0001630D"/>
    <w:rsid w:val="00017B8A"/>
    <w:rsid w:val="000206A2"/>
    <w:rsid w:val="00021DAA"/>
    <w:rsid w:val="00021E3E"/>
    <w:rsid w:val="00022A79"/>
    <w:rsid w:val="0002653F"/>
    <w:rsid w:val="0003573D"/>
    <w:rsid w:val="00040058"/>
    <w:rsid w:val="00046F7F"/>
    <w:rsid w:val="00047FF2"/>
    <w:rsid w:val="00052581"/>
    <w:rsid w:val="00052D54"/>
    <w:rsid w:val="00056192"/>
    <w:rsid w:val="00057831"/>
    <w:rsid w:val="00062469"/>
    <w:rsid w:val="000648F2"/>
    <w:rsid w:val="00065B0F"/>
    <w:rsid w:val="00065B88"/>
    <w:rsid w:val="00067009"/>
    <w:rsid w:val="00071F92"/>
    <w:rsid w:val="00075D52"/>
    <w:rsid w:val="000766E2"/>
    <w:rsid w:val="00080A08"/>
    <w:rsid w:val="00083704"/>
    <w:rsid w:val="000865E9"/>
    <w:rsid w:val="000869FD"/>
    <w:rsid w:val="0008758F"/>
    <w:rsid w:val="00087F47"/>
    <w:rsid w:val="00087FE9"/>
    <w:rsid w:val="00090185"/>
    <w:rsid w:val="00090A2C"/>
    <w:rsid w:val="000916B2"/>
    <w:rsid w:val="00094065"/>
    <w:rsid w:val="0009744F"/>
    <w:rsid w:val="000978D7"/>
    <w:rsid w:val="00097BEB"/>
    <w:rsid w:val="00097C76"/>
    <w:rsid w:val="000A3230"/>
    <w:rsid w:val="000A3C5D"/>
    <w:rsid w:val="000A468F"/>
    <w:rsid w:val="000B6B3E"/>
    <w:rsid w:val="000B749D"/>
    <w:rsid w:val="000B7D6E"/>
    <w:rsid w:val="000C3688"/>
    <w:rsid w:val="000D038D"/>
    <w:rsid w:val="000D4CC3"/>
    <w:rsid w:val="000D55BC"/>
    <w:rsid w:val="000D6965"/>
    <w:rsid w:val="000D700A"/>
    <w:rsid w:val="000E4D39"/>
    <w:rsid w:val="000E521B"/>
    <w:rsid w:val="000E578F"/>
    <w:rsid w:val="000F27D0"/>
    <w:rsid w:val="000F5500"/>
    <w:rsid w:val="000F5A10"/>
    <w:rsid w:val="00102D7A"/>
    <w:rsid w:val="00105E85"/>
    <w:rsid w:val="00106FDC"/>
    <w:rsid w:val="001077A4"/>
    <w:rsid w:val="00113917"/>
    <w:rsid w:val="00115509"/>
    <w:rsid w:val="001174A5"/>
    <w:rsid w:val="00117538"/>
    <w:rsid w:val="001227A2"/>
    <w:rsid w:val="0012296B"/>
    <w:rsid w:val="001265F8"/>
    <w:rsid w:val="00126CB3"/>
    <w:rsid w:val="00131F26"/>
    <w:rsid w:val="0013307E"/>
    <w:rsid w:val="00133E8D"/>
    <w:rsid w:val="00136117"/>
    <w:rsid w:val="0014062B"/>
    <w:rsid w:val="00141701"/>
    <w:rsid w:val="00146E9F"/>
    <w:rsid w:val="00151578"/>
    <w:rsid w:val="001528F4"/>
    <w:rsid w:val="001544C5"/>
    <w:rsid w:val="0015595E"/>
    <w:rsid w:val="0015687E"/>
    <w:rsid w:val="00156E17"/>
    <w:rsid w:val="00157FCF"/>
    <w:rsid w:val="001628DE"/>
    <w:rsid w:val="001630A3"/>
    <w:rsid w:val="00163457"/>
    <w:rsid w:val="0016739B"/>
    <w:rsid w:val="00167D13"/>
    <w:rsid w:val="001702D8"/>
    <w:rsid w:val="00170C78"/>
    <w:rsid w:val="001718FC"/>
    <w:rsid w:val="00172AB1"/>
    <w:rsid w:val="001741A2"/>
    <w:rsid w:val="001815CB"/>
    <w:rsid w:val="0018452C"/>
    <w:rsid w:val="00192137"/>
    <w:rsid w:val="001929C0"/>
    <w:rsid w:val="001940B0"/>
    <w:rsid w:val="00195D1C"/>
    <w:rsid w:val="00197456"/>
    <w:rsid w:val="001A12DA"/>
    <w:rsid w:val="001A3F35"/>
    <w:rsid w:val="001A45C8"/>
    <w:rsid w:val="001A6AB1"/>
    <w:rsid w:val="001B0413"/>
    <w:rsid w:val="001B07FA"/>
    <w:rsid w:val="001B1306"/>
    <w:rsid w:val="001B5D8F"/>
    <w:rsid w:val="001B68CB"/>
    <w:rsid w:val="001C1090"/>
    <w:rsid w:val="001C12CC"/>
    <w:rsid w:val="001C5CBF"/>
    <w:rsid w:val="001C786E"/>
    <w:rsid w:val="001C7F4F"/>
    <w:rsid w:val="001D5E7D"/>
    <w:rsid w:val="001D62C0"/>
    <w:rsid w:val="001E01BF"/>
    <w:rsid w:val="001E2E29"/>
    <w:rsid w:val="001E3DC2"/>
    <w:rsid w:val="001E6F08"/>
    <w:rsid w:val="001F3419"/>
    <w:rsid w:val="001F440A"/>
    <w:rsid w:val="001F57C7"/>
    <w:rsid w:val="001F6FFF"/>
    <w:rsid w:val="002016F4"/>
    <w:rsid w:val="00201F8B"/>
    <w:rsid w:val="002021FF"/>
    <w:rsid w:val="0021655A"/>
    <w:rsid w:val="00223196"/>
    <w:rsid w:val="00223F59"/>
    <w:rsid w:val="00225E58"/>
    <w:rsid w:val="00230C17"/>
    <w:rsid w:val="0023409D"/>
    <w:rsid w:val="00236104"/>
    <w:rsid w:val="002425D9"/>
    <w:rsid w:val="00242B2A"/>
    <w:rsid w:val="00246BE8"/>
    <w:rsid w:val="0024784F"/>
    <w:rsid w:val="00250844"/>
    <w:rsid w:val="00252EE6"/>
    <w:rsid w:val="00260B8B"/>
    <w:rsid w:val="00263588"/>
    <w:rsid w:val="00265CB3"/>
    <w:rsid w:val="002704BC"/>
    <w:rsid w:val="00274D5C"/>
    <w:rsid w:val="00276753"/>
    <w:rsid w:val="00280FA9"/>
    <w:rsid w:val="00281BAA"/>
    <w:rsid w:val="0028273C"/>
    <w:rsid w:val="00285418"/>
    <w:rsid w:val="002872AB"/>
    <w:rsid w:val="00287594"/>
    <w:rsid w:val="00291A84"/>
    <w:rsid w:val="002933FC"/>
    <w:rsid w:val="002935AC"/>
    <w:rsid w:val="00293A40"/>
    <w:rsid w:val="0029538E"/>
    <w:rsid w:val="00297081"/>
    <w:rsid w:val="002A0251"/>
    <w:rsid w:val="002A13D2"/>
    <w:rsid w:val="002A2137"/>
    <w:rsid w:val="002A3FFC"/>
    <w:rsid w:val="002A52E5"/>
    <w:rsid w:val="002B0B67"/>
    <w:rsid w:val="002B13DC"/>
    <w:rsid w:val="002B1D9E"/>
    <w:rsid w:val="002B2261"/>
    <w:rsid w:val="002B623C"/>
    <w:rsid w:val="002B6F60"/>
    <w:rsid w:val="002C2BC8"/>
    <w:rsid w:val="002C78D6"/>
    <w:rsid w:val="002D080A"/>
    <w:rsid w:val="002D62D0"/>
    <w:rsid w:val="002D6327"/>
    <w:rsid w:val="002E16BE"/>
    <w:rsid w:val="002E4294"/>
    <w:rsid w:val="002E43A1"/>
    <w:rsid w:val="002F0B23"/>
    <w:rsid w:val="002F1CB0"/>
    <w:rsid w:val="002F2861"/>
    <w:rsid w:val="002F3DF7"/>
    <w:rsid w:val="002F4B12"/>
    <w:rsid w:val="002F4B60"/>
    <w:rsid w:val="002F5E5B"/>
    <w:rsid w:val="00301E06"/>
    <w:rsid w:val="00307E66"/>
    <w:rsid w:val="00310C11"/>
    <w:rsid w:val="00313765"/>
    <w:rsid w:val="00315D81"/>
    <w:rsid w:val="00316C8D"/>
    <w:rsid w:val="003261EF"/>
    <w:rsid w:val="00326393"/>
    <w:rsid w:val="00327BF0"/>
    <w:rsid w:val="003321D7"/>
    <w:rsid w:val="00335668"/>
    <w:rsid w:val="00335B5D"/>
    <w:rsid w:val="00346F77"/>
    <w:rsid w:val="00347FBF"/>
    <w:rsid w:val="00351274"/>
    <w:rsid w:val="00351D4D"/>
    <w:rsid w:val="00352C01"/>
    <w:rsid w:val="00354EAB"/>
    <w:rsid w:val="003556BF"/>
    <w:rsid w:val="0035709C"/>
    <w:rsid w:val="0036085F"/>
    <w:rsid w:val="003641E2"/>
    <w:rsid w:val="0036790F"/>
    <w:rsid w:val="003702E0"/>
    <w:rsid w:val="00375123"/>
    <w:rsid w:val="00381977"/>
    <w:rsid w:val="00381FDD"/>
    <w:rsid w:val="00385052"/>
    <w:rsid w:val="00387402"/>
    <w:rsid w:val="0039391C"/>
    <w:rsid w:val="00394AD2"/>
    <w:rsid w:val="00396772"/>
    <w:rsid w:val="003971ED"/>
    <w:rsid w:val="00397A35"/>
    <w:rsid w:val="003A0372"/>
    <w:rsid w:val="003A12C7"/>
    <w:rsid w:val="003A15FF"/>
    <w:rsid w:val="003A24C4"/>
    <w:rsid w:val="003A2CF1"/>
    <w:rsid w:val="003A3A72"/>
    <w:rsid w:val="003A5274"/>
    <w:rsid w:val="003A71FC"/>
    <w:rsid w:val="003B1104"/>
    <w:rsid w:val="003C2C3B"/>
    <w:rsid w:val="003C33A3"/>
    <w:rsid w:val="003C70EE"/>
    <w:rsid w:val="003D08DA"/>
    <w:rsid w:val="003D50D2"/>
    <w:rsid w:val="003E067D"/>
    <w:rsid w:val="003E3045"/>
    <w:rsid w:val="003E4498"/>
    <w:rsid w:val="003E519C"/>
    <w:rsid w:val="003E5851"/>
    <w:rsid w:val="003E72D5"/>
    <w:rsid w:val="003F1AD7"/>
    <w:rsid w:val="003F1FFF"/>
    <w:rsid w:val="003F354E"/>
    <w:rsid w:val="00400DBF"/>
    <w:rsid w:val="00402985"/>
    <w:rsid w:val="00403F3E"/>
    <w:rsid w:val="004110DD"/>
    <w:rsid w:val="004130AF"/>
    <w:rsid w:val="00413F23"/>
    <w:rsid w:val="00414017"/>
    <w:rsid w:val="004150D6"/>
    <w:rsid w:val="00416477"/>
    <w:rsid w:val="0041722E"/>
    <w:rsid w:val="0041733F"/>
    <w:rsid w:val="00420C45"/>
    <w:rsid w:val="00421C42"/>
    <w:rsid w:val="00427EDF"/>
    <w:rsid w:val="00430A32"/>
    <w:rsid w:val="0043152D"/>
    <w:rsid w:val="004340EA"/>
    <w:rsid w:val="004350A3"/>
    <w:rsid w:val="00440758"/>
    <w:rsid w:val="00441719"/>
    <w:rsid w:val="00442799"/>
    <w:rsid w:val="00443EDE"/>
    <w:rsid w:val="00443EEC"/>
    <w:rsid w:val="00444FC7"/>
    <w:rsid w:val="004453EC"/>
    <w:rsid w:val="00445CF6"/>
    <w:rsid w:val="00453CDC"/>
    <w:rsid w:val="004603EF"/>
    <w:rsid w:val="00473F5E"/>
    <w:rsid w:val="0047503C"/>
    <w:rsid w:val="0047593B"/>
    <w:rsid w:val="004759B8"/>
    <w:rsid w:val="00476B50"/>
    <w:rsid w:val="00477C04"/>
    <w:rsid w:val="00483944"/>
    <w:rsid w:val="00485FD0"/>
    <w:rsid w:val="004923A3"/>
    <w:rsid w:val="00492729"/>
    <w:rsid w:val="00492CFD"/>
    <w:rsid w:val="004943AB"/>
    <w:rsid w:val="00496642"/>
    <w:rsid w:val="00496C21"/>
    <w:rsid w:val="004970AF"/>
    <w:rsid w:val="004971E2"/>
    <w:rsid w:val="004A04A7"/>
    <w:rsid w:val="004A4774"/>
    <w:rsid w:val="004A5969"/>
    <w:rsid w:val="004A6784"/>
    <w:rsid w:val="004B1C70"/>
    <w:rsid w:val="004B1F33"/>
    <w:rsid w:val="004B731B"/>
    <w:rsid w:val="004C2276"/>
    <w:rsid w:val="004C43AC"/>
    <w:rsid w:val="004D0D06"/>
    <w:rsid w:val="004D4248"/>
    <w:rsid w:val="004D62BF"/>
    <w:rsid w:val="004E0FB8"/>
    <w:rsid w:val="004E48C4"/>
    <w:rsid w:val="004E4C41"/>
    <w:rsid w:val="004E54FA"/>
    <w:rsid w:val="004F23C3"/>
    <w:rsid w:val="004F3C51"/>
    <w:rsid w:val="004F53F0"/>
    <w:rsid w:val="004F62E2"/>
    <w:rsid w:val="004F74F8"/>
    <w:rsid w:val="004F7C15"/>
    <w:rsid w:val="00505347"/>
    <w:rsid w:val="005064F1"/>
    <w:rsid w:val="005066F5"/>
    <w:rsid w:val="005116EA"/>
    <w:rsid w:val="00512798"/>
    <w:rsid w:val="00517D6E"/>
    <w:rsid w:val="00524A6F"/>
    <w:rsid w:val="0053154B"/>
    <w:rsid w:val="00531C67"/>
    <w:rsid w:val="0053388C"/>
    <w:rsid w:val="005356CB"/>
    <w:rsid w:val="00541BA9"/>
    <w:rsid w:val="00550FBC"/>
    <w:rsid w:val="005515C0"/>
    <w:rsid w:val="00560EC9"/>
    <w:rsid w:val="00561827"/>
    <w:rsid w:val="00562318"/>
    <w:rsid w:val="00562919"/>
    <w:rsid w:val="00564A24"/>
    <w:rsid w:val="0056675C"/>
    <w:rsid w:val="005673AE"/>
    <w:rsid w:val="00571D5D"/>
    <w:rsid w:val="005772B3"/>
    <w:rsid w:val="005854C1"/>
    <w:rsid w:val="005867E4"/>
    <w:rsid w:val="00591F1F"/>
    <w:rsid w:val="0059200B"/>
    <w:rsid w:val="00592705"/>
    <w:rsid w:val="00596283"/>
    <w:rsid w:val="005965F8"/>
    <w:rsid w:val="005A2701"/>
    <w:rsid w:val="005A3408"/>
    <w:rsid w:val="005A3AA3"/>
    <w:rsid w:val="005A57E4"/>
    <w:rsid w:val="005A5CA9"/>
    <w:rsid w:val="005B02AD"/>
    <w:rsid w:val="005B5359"/>
    <w:rsid w:val="005B56DD"/>
    <w:rsid w:val="005B6AE1"/>
    <w:rsid w:val="005B73CB"/>
    <w:rsid w:val="005C0AE1"/>
    <w:rsid w:val="005C2BD1"/>
    <w:rsid w:val="005C4F80"/>
    <w:rsid w:val="005D0844"/>
    <w:rsid w:val="005D169F"/>
    <w:rsid w:val="005D3992"/>
    <w:rsid w:val="005D538C"/>
    <w:rsid w:val="005D5F12"/>
    <w:rsid w:val="005E0FE1"/>
    <w:rsid w:val="005E1542"/>
    <w:rsid w:val="005E1921"/>
    <w:rsid w:val="005E3E54"/>
    <w:rsid w:val="005E3F57"/>
    <w:rsid w:val="005E676A"/>
    <w:rsid w:val="005E73CB"/>
    <w:rsid w:val="005F5F1C"/>
    <w:rsid w:val="006042C2"/>
    <w:rsid w:val="006054B2"/>
    <w:rsid w:val="00606099"/>
    <w:rsid w:val="00607BE7"/>
    <w:rsid w:val="006114A5"/>
    <w:rsid w:val="00612420"/>
    <w:rsid w:val="00612C17"/>
    <w:rsid w:val="00621B39"/>
    <w:rsid w:val="00622763"/>
    <w:rsid w:val="006235C8"/>
    <w:rsid w:val="00624683"/>
    <w:rsid w:val="0062468D"/>
    <w:rsid w:val="00624905"/>
    <w:rsid w:val="0062591E"/>
    <w:rsid w:val="00625A3E"/>
    <w:rsid w:val="006278D1"/>
    <w:rsid w:val="00630725"/>
    <w:rsid w:val="0063174E"/>
    <w:rsid w:val="0063723E"/>
    <w:rsid w:val="00642420"/>
    <w:rsid w:val="00645DB4"/>
    <w:rsid w:val="006468FB"/>
    <w:rsid w:val="006479AC"/>
    <w:rsid w:val="006501C1"/>
    <w:rsid w:val="00651080"/>
    <w:rsid w:val="0065406E"/>
    <w:rsid w:val="0066124E"/>
    <w:rsid w:val="00666B94"/>
    <w:rsid w:val="006670A2"/>
    <w:rsid w:val="00670C61"/>
    <w:rsid w:val="0068156F"/>
    <w:rsid w:val="00682EB0"/>
    <w:rsid w:val="00683847"/>
    <w:rsid w:val="00685AA0"/>
    <w:rsid w:val="00695267"/>
    <w:rsid w:val="006A2BC6"/>
    <w:rsid w:val="006A63B8"/>
    <w:rsid w:val="006B2385"/>
    <w:rsid w:val="006B265D"/>
    <w:rsid w:val="006B2D62"/>
    <w:rsid w:val="006B520C"/>
    <w:rsid w:val="006B7EE4"/>
    <w:rsid w:val="006C192F"/>
    <w:rsid w:val="006C40A4"/>
    <w:rsid w:val="006C4A45"/>
    <w:rsid w:val="006C4C5E"/>
    <w:rsid w:val="006C5E16"/>
    <w:rsid w:val="006C7793"/>
    <w:rsid w:val="006C7E45"/>
    <w:rsid w:val="006D7E93"/>
    <w:rsid w:val="006E0237"/>
    <w:rsid w:val="006E2D0E"/>
    <w:rsid w:val="006E33F9"/>
    <w:rsid w:val="006E5C9E"/>
    <w:rsid w:val="006E699E"/>
    <w:rsid w:val="006E6A7A"/>
    <w:rsid w:val="006F150B"/>
    <w:rsid w:val="006F1DEF"/>
    <w:rsid w:val="006F6C0E"/>
    <w:rsid w:val="006F6FD2"/>
    <w:rsid w:val="006F7375"/>
    <w:rsid w:val="00703D29"/>
    <w:rsid w:val="007065B8"/>
    <w:rsid w:val="00713E09"/>
    <w:rsid w:val="007145E8"/>
    <w:rsid w:val="00715B5E"/>
    <w:rsid w:val="00722C90"/>
    <w:rsid w:val="0072721C"/>
    <w:rsid w:val="00727C2E"/>
    <w:rsid w:val="007316F6"/>
    <w:rsid w:val="00731BE4"/>
    <w:rsid w:val="0073326A"/>
    <w:rsid w:val="00734238"/>
    <w:rsid w:val="007363FA"/>
    <w:rsid w:val="007426A8"/>
    <w:rsid w:val="00745392"/>
    <w:rsid w:val="007479A1"/>
    <w:rsid w:val="00752137"/>
    <w:rsid w:val="00752190"/>
    <w:rsid w:val="007546D1"/>
    <w:rsid w:val="00763484"/>
    <w:rsid w:val="00763CDA"/>
    <w:rsid w:val="007655F6"/>
    <w:rsid w:val="00766AE2"/>
    <w:rsid w:val="00766B37"/>
    <w:rsid w:val="00777A92"/>
    <w:rsid w:val="00780017"/>
    <w:rsid w:val="00780959"/>
    <w:rsid w:val="00781C38"/>
    <w:rsid w:val="00784961"/>
    <w:rsid w:val="007850A3"/>
    <w:rsid w:val="00785B70"/>
    <w:rsid w:val="007872A6"/>
    <w:rsid w:val="00793CD1"/>
    <w:rsid w:val="00794067"/>
    <w:rsid w:val="007A1CF5"/>
    <w:rsid w:val="007A2DBD"/>
    <w:rsid w:val="007B0841"/>
    <w:rsid w:val="007B1509"/>
    <w:rsid w:val="007B177A"/>
    <w:rsid w:val="007B5246"/>
    <w:rsid w:val="007B6304"/>
    <w:rsid w:val="007B77ED"/>
    <w:rsid w:val="007C01C4"/>
    <w:rsid w:val="007C09F1"/>
    <w:rsid w:val="007C1F94"/>
    <w:rsid w:val="007C29BD"/>
    <w:rsid w:val="007C3766"/>
    <w:rsid w:val="007C486A"/>
    <w:rsid w:val="007C5F6C"/>
    <w:rsid w:val="007C6371"/>
    <w:rsid w:val="007D0737"/>
    <w:rsid w:val="007D4024"/>
    <w:rsid w:val="007D5A24"/>
    <w:rsid w:val="007E02B8"/>
    <w:rsid w:val="007E1ED8"/>
    <w:rsid w:val="007E1EF7"/>
    <w:rsid w:val="007E2CBB"/>
    <w:rsid w:val="007E2FD4"/>
    <w:rsid w:val="007E473F"/>
    <w:rsid w:val="007E4AA4"/>
    <w:rsid w:val="007E62B0"/>
    <w:rsid w:val="007E7260"/>
    <w:rsid w:val="007F03A6"/>
    <w:rsid w:val="007F0E7E"/>
    <w:rsid w:val="007F3B53"/>
    <w:rsid w:val="007F63F2"/>
    <w:rsid w:val="00803BD7"/>
    <w:rsid w:val="00806DC6"/>
    <w:rsid w:val="00807B1F"/>
    <w:rsid w:val="008111C7"/>
    <w:rsid w:val="00812AB7"/>
    <w:rsid w:val="008132B7"/>
    <w:rsid w:val="0081609F"/>
    <w:rsid w:val="00820F5E"/>
    <w:rsid w:val="0082284C"/>
    <w:rsid w:val="008231CB"/>
    <w:rsid w:val="00831C51"/>
    <w:rsid w:val="00840882"/>
    <w:rsid w:val="00843F64"/>
    <w:rsid w:val="00847DDF"/>
    <w:rsid w:val="008501C2"/>
    <w:rsid w:val="008514C1"/>
    <w:rsid w:val="00863199"/>
    <w:rsid w:val="00863626"/>
    <w:rsid w:val="00863F59"/>
    <w:rsid w:val="00867E57"/>
    <w:rsid w:val="00870071"/>
    <w:rsid w:val="008715DF"/>
    <w:rsid w:val="00873094"/>
    <w:rsid w:val="00883A1C"/>
    <w:rsid w:val="00885029"/>
    <w:rsid w:val="008A5A27"/>
    <w:rsid w:val="008A793D"/>
    <w:rsid w:val="008B2557"/>
    <w:rsid w:val="008B5DD5"/>
    <w:rsid w:val="008B60C0"/>
    <w:rsid w:val="008C0C6D"/>
    <w:rsid w:val="008C5274"/>
    <w:rsid w:val="008C5717"/>
    <w:rsid w:val="008D28CF"/>
    <w:rsid w:val="008D60BA"/>
    <w:rsid w:val="008D68C0"/>
    <w:rsid w:val="008E2423"/>
    <w:rsid w:val="008E3DC9"/>
    <w:rsid w:val="008F1B9A"/>
    <w:rsid w:val="008F1BAD"/>
    <w:rsid w:val="008F30D2"/>
    <w:rsid w:val="008F5C41"/>
    <w:rsid w:val="009055DC"/>
    <w:rsid w:val="00907EB9"/>
    <w:rsid w:val="0091324B"/>
    <w:rsid w:val="00914AB8"/>
    <w:rsid w:val="009161B7"/>
    <w:rsid w:val="009212A5"/>
    <w:rsid w:val="00927455"/>
    <w:rsid w:val="009275EE"/>
    <w:rsid w:val="009312E7"/>
    <w:rsid w:val="009333E8"/>
    <w:rsid w:val="00940B6C"/>
    <w:rsid w:val="00944F5F"/>
    <w:rsid w:val="00945DEC"/>
    <w:rsid w:val="00955B44"/>
    <w:rsid w:val="00956795"/>
    <w:rsid w:val="009579FA"/>
    <w:rsid w:val="00960207"/>
    <w:rsid w:val="00961D01"/>
    <w:rsid w:val="00966650"/>
    <w:rsid w:val="009673E0"/>
    <w:rsid w:val="00967D6D"/>
    <w:rsid w:val="00967DDC"/>
    <w:rsid w:val="009732E4"/>
    <w:rsid w:val="009747C3"/>
    <w:rsid w:val="009751E5"/>
    <w:rsid w:val="00975B74"/>
    <w:rsid w:val="00975F4E"/>
    <w:rsid w:val="00976507"/>
    <w:rsid w:val="009771D1"/>
    <w:rsid w:val="0098020F"/>
    <w:rsid w:val="009841FD"/>
    <w:rsid w:val="009907EC"/>
    <w:rsid w:val="009975B5"/>
    <w:rsid w:val="009A245C"/>
    <w:rsid w:val="009A4873"/>
    <w:rsid w:val="009A49EA"/>
    <w:rsid w:val="009B08E0"/>
    <w:rsid w:val="009B3534"/>
    <w:rsid w:val="009C045F"/>
    <w:rsid w:val="009C28F8"/>
    <w:rsid w:val="009C3916"/>
    <w:rsid w:val="009C5526"/>
    <w:rsid w:val="009C5E33"/>
    <w:rsid w:val="009D07EE"/>
    <w:rsid w:val="009D095E"/>
    <w:rsid w:val="009D23B3"/>
    <w:rsid w:val="009D7055"/>
    <w:rsid w:val="009D75A8"/>
    <w:rsid w:val="009D7BFD"/>
    <w:rsid w:val="009E226B"/>
    <w:rsid w:val="009E284F"/>
    <w:rsid w:val="009E347B"/>
    <w:rsid w:val="009E4BAE"/>
    <w:rsid w:val="009F2AD3"/>
    <w:rsid w:val="009F3FA5"/>
    <w:rsid w:val="00A00F0F"/>
    <w:rsid w:val="00A022F2"/>
    <w:rsid w:val="00A02A88"/>
    <w:rsid w:val="00A02AB1"/>
    <w:rsid w:val="00A04BF2"/>
    <w:rsid w:val="00A04FF3"/>
    <w:rsid w:val="00A06E84"/>
    <w:rsid w:val="00A07C8D"/>
    <w:rsid w:val="00A10D0A"/>
    <w:rsid w:val="00A1154C"/>
    <w:rsid w:val="00A13BEA"/>
    <w:rsid w:val="00A169CF"/>
    <w:rsid w:val="00A21952"/>
    <w:rsid w:val="00A22473"/>
    <w:rsid w:val="00A263AC"/>
    <w:rsid w:val="00A26C75"/>
    <w:rsid w:val="00A27A56"/>
    <w:rsid w:val="00A341DC"/>
    <w:rsid w:val="00A35F5B"/>
    <w:rsid w:val="00A4438B"/>
    <w:rsid w:val="00A444AF"/>
    <w:rsid w:val="00A455B3"/>
    <w:rsid w:val="00A475B3"/>
    <w:rsid w:val="00A47DAC"/>
    <w:rsid w:val="00A50270"/>
    <w:rsid w:val="00A5171F"/>
    <w:rsid w:val="00A55BF3"/>
    <w:rsid w:val="00A5665E"/>
    <w:rsid w:val="00A56825"/>
    <w:rsid w:val="00A607CC"/>
    <w:rsid w:val="00A63846"/>
    <w:rsid w:val="00A63A51"/>
    <w:rsid w:val="00A67A19"/>
    <w:rsid w:val="00A70AEB"/>
    <w:rsid w:val="00A70F09"/>
    <w:rsid w:val="00A7111A"/>
    <w:rsid w:val="00A74B1A"/>
    <w:rsid w:val="00A83795"/>
    <w:rsid w:val="00A84DBD"/>
    <w:rsid w:val="00A853F3"/>
    <w:rsid w:val="00A855B9"/>
    <w:rsid w:val="00A85CDE"/>
    <w:rsid w:val="00A9588A"/>
    <w:rsid w:val="00A95F1C"/>
    <w:rsid w:val="00AA0D69"/>
    <w:rsid w:val="00AA10C5"/>
    <w:rsid w:val="00AA2654"/>
    <w:rsid w:val="00AA2931"/>
    <w:rsid w:val="00AA2BB9"/>
    <w:rsid w:val="00AA498A"/>
    <w:rsid w:val="00AA63AB"/>
    <w:rsid w:val="00AC3AD8"/>
    <w:rsid w:val="00AC3E52"/>
    <w:rsid w:val="00AD3C3F"/>
    <w:rsid w:val="00AD61D0"/>
    <w:rsid w:val="00AE2C80"/>
    <w:rsid w:val="00AE48B3"/>
    <w:rsid w:val="00AE4DDF"/>
    <w:rsid w:val="00AE6C76"/>
    <w:rsid w:val="00AE6DFC"/>
    <w:rsid w:val="00AF13FE"/>
    <w:rsid w:val="00AF50CE"/>
    <w:rsid w:val="00AF7CC4"/>
    <w:rsid w:val="00B00CDB"/>
    <w:rsid w:val="00B06C7A"/>
    <w:rsid w:val="00B07271"/>
    <w:rsid w:val="00B10DCA"/>
    <w:rsid w:val="00B12260"/>
    <w:rsid w:val="00B12975"/>
    <w:rsid w:val="00B255C5"/>
    <w:rsid w:val="00B302F8"/>
    <w:rsid w:val="00B30D54"/>
    <w:rsid w:val="00B34C19"/>
    <w:rsid w:val="00B353E2"/>
    <w:rsid w:val="00B36649"/>
    <w:rsid w:val="00B4055D"/>
    <w:rsid w:val="00B40AEE"/>
    <w:rsid w:val="00B4251B"/>
    <w:rsid w:val="00B42D96"/>
    <w:rsid w:val="00B4371A"/>
    <w:rsid w:val="00B44C0B"/>
    <w:rsid w:val="00B47D68"/>
    <w:rsid w:val="00B579D4"/>
    <w:rsid w:val="00B61C45"/>
    <w:rsid w:val="00B61EF2"/>
    <w:rsid w:val="00B639B3"/>
    <w:rsid w:val="00B64F51"/>
    <w:rsid w:val="00B659ED"/>
    <w:rsid w:val="00B65B31"/>
    <w:rsid w:val="00B65CF9"/>
    <w:rsid w:val="00B6702F"/>
    <w:rsid w:val="00B715E4"/>
    <w:rsid w:val="00B7393A"/>
    <w:rsid w:val="00B74F49"/>
    <w:rsid w:val="00B75B8B"/>
    <w:rsid w:val="00B76FA7"/>
    <w:rsid w:val="00B77D03"/>
    <w:rsid w:val="00B80292"/>
    <w:rsid w:val="00B8187E"/>
    <w:rsid w:val="00B81F57"/>
    <w:rsid w:val="00B92766"/>
    <w:rsid w:val="00B94E90"/>
    <w:rsid w:val="00B95D0B"/>
    <w:rsid w:val="00B96479"/>
    <w:rsid w:val="00B96927"/>
    <w:rsid w:val="00BA2973"/>
    <w:rsid w:val="00BA54C2"/>
    <w:rsid w:val="00BB3EAE"/>
    <w:rsid w:val="00BC08EF"/>
    <w:rsid w:val="00BC2E4A"/>
    <w:rsid w:val="00BC3BCC"/>
    <w:rsid w:val="00BC3F1E"/>
    <w:rsid w:val="00BD0371"/>
    <w:rsid w:val="00BD06F6"/>
    <w:rsid w:val="00BD0751"/>
    <w:rsid w:val="00BD1469"/>
    <w:rsid w:val="00BD38FF"/>
    <w:rsid w:val="00BD651C"/>
    <w:rsid w:val="00BE5BC9"/>
    <w:rsid w:val="00BF2F9F"/>
    <w:rsid w:val="00BF65B1"/>
    <w:rsid w:val="00C10F73"/>
    <w:rsid w:val="00C1196F"/>
    <w:rsid w:val="00C12D0E"/>
    <w:rsid w:val="00C13E83"/>
    <w:rsid w:val="00C14076"/>
    <w:rsid w:val="00C15000"/>
    <w:rsid w:val="00C16C5F"/>
    <w:rsid w:val="00C2068C"/>
    <w:rsid w:val="00C2087B"/>
    <w:rsid w:val="00C22244"/>
    <w:rsid w:val="00C2649F"/>
    <w:rsid w:val="00C267FA"/>
    <w:rsid w:val="00C26A64"/>
    <w:rsid w:val="00C30A12"/>
    <w:rsid w:val="00C32549"/>
    <w:rsid w:val="00C41DF5"/>
    <w:rsid w:val="00C42E53"/>
    <w:rsid w:val="00C4391E"/>
    <w:rsid w:val="00C4520D"/>
    <w:rsid w:val="00C53EE3"/>
    <w:rsid w:val="00C57052"/>
    <w:rsid w:val="00C57FA0"/>
    <w:rsid w:val="00C6666C"/>
    <w:rsid w:val="00C71BE9"/>
    <w:rsid w:val="00C7429D"/>
    <w:rsid w:val="00C75241"/>
    <w:rsid w:val="00C7724F"/>
    <w:rsid w:val="00C82694"/>
    <w:rsid w:val="00C87F5C"/>
    <w:rsid w:val="00C91C19"/>
    <w:rsid w:val="00C9226D"/>
    <w:rsid w:val="00C936A2"/>
    <w:rsid w:val="00C93E28"/>
    <w:rsid w:val="00C96775"/>
    <w:rsid w:val="00C972D1"/>
    <w:rsid w:val="00CA590F"/>
    <w:rsid w:val="00CB006E"/>
    <w:rsid w:val="00CB1B91"/>
    <w:rsid w:val="00CB2576"/>
    <w:rsid w:val="00CB3CB6"/>
    <w:rsid w:val="00CB4F57"/>
    <w:rsid w:val="00CC0025"/>
    <w:rsid w:val="00CC2927"/>
    <w:rsid w:val="00CC32A7"/>
    <w:rsid w:val="00CC4194"/>
    <w:rsid w:val="00CC4948"/>
    <w:rsid w:val="00CD2F39"/>
    <w:rsid w:val="00CD5FA3"/>
    <w:rsid w:val="00CE14B7"/>
    <w:rsid w:val="00CE2639"/>
    <w:rsid w:val="00CE4F11"/>
    <w:rsid w:val="00CE5B6B"/>
    <w:rsid w:val="00CE63D4"/>
    <w:rsid w:val="00CF04CD"/>
    <w:rsid w:val="00CF16E1"/>
    <w:rsid w:val="00CF4DC3"/>
    <w:rsid w:val="00CF6524"/>
    <w:rsid w:val="00CF7E53"/>
    <w:rsid w:val="00D02601"/>
    <w:rsid w:val="00D02CBA"/>
    <w:rsid w:val="00D04320"/>
    <w:rsid w:val="00D04933"/>
    <w:rsid w:val="00D07401"/>
    <w:rsid w:val="00D12237"/>
    <w:rsid w:val="00D21403"/>
    <w:rsid w:val="00D21B7A"/>
    <w:rsid w:val="00D2660F"/>
    <w:rsid w:val="00D324A7"/>
    <w:rsid w:val="00D33AF3"/>
    <w:rsid w:val="00D34B73"/>
    <w:rsid w:val="00D34E72"/>
    <w:rsid w:val="00D366DF"/>
    <w:rsid w:val="00D4083B"/>
    <w:rsid w:val="00D4210B"/>
    <w:rsid w:val="00D4256A"/>
    <w:rsid w:val="00D5398A"/>
    <w:rsid w:val="00D54732"/>
    <w:rsid w:val="00D6093B"/>
    <w:rsid w:val="00D62D5A"/>
    <w:rsid w:val="00D70A65"/>
    <w:rsid w:val="00D7166A"/>
    <w:rsid w:val="00D71A86"/>
    <w:rsid w:val="00D74200"/>
    <w:rsid w:val="00D74C8F"/>
    <w:rsid w:val="00D750C3"/>
    <w:rsid w:val="00D82028"/>
    <w:rsid w:val="00D83BA3"/>
    <w:rsid w:val="00D84100"/>
    <w:rsid w:val="00D85918"/>
    <w:rsid w:val="00D85956"/>
    <w:rsid w:val="00D85D04"/>
    <w:rsid w:val="00D90B3E"/>
    <w:rsid w:val="00D92D54"/>
    <w:rsid w:val="00D931EE"/>
    <w:rsid w:val="00D93A97"/>
    <w:rsid w:val="00DA0211"/>
    <w:rsid w:val="00DA3496"/>
    <w:rsid w:val="00DB0A95"/>
    <w:rsid w:val="00DB5D8D"/>
    <w:rsid w:val="00DC6781"/>
    <w:rsid w:val="00DD6655"/>
    <w:rsid w:val="00DD6CB7"/>
    <w:rsid w:val="00DD7C1A"/>
    <w:rsid w:val="00DE5D3E"/>
    <w:rsid w:val="00DE666E"/>
    <w:rsid w:val="00DE67B2"/>
    <w:rsid w:val="00DE6EBD"/>
    <w:rsid w:val="00DF3951"/>
    <w:rsid w:val="00DF3C66"/>
    <w:rsid w:val="00DF3F19"/>
    <w:rsid w:val="00DF5D0C"/>
    <w:rsid w:val="00DF647C"/>
    <w:rsid w:val="00E00425"/>
    <w:rsid w:val="00E020D6"/>
    <w:rsid w:val="00E03C46"/>
    <w:rsid w:val="00E1142A"/>
    <w:rsid w:val="00E14C11"/>
    <w:rsid w:val="00E16B54"/>
    <w:rsid w:val="00E17D90"/>
    <w:rsid w:val="00E21FA7"/>
    <w:rsid w:val="00E2336E"/>
    <w:rsid w:val="00E24AA1"/>
    <w:rsid w:val="00E26B56"/>
    <w:rsid w:val="00E27D54"/>
    <w:rsid w:val="00E303EA"/>
    <w:rsid w:val="00E3081C"/>
    <w:rsid w:val="00E31F00"/>
    <w:rsid w:val="00E31F29"/>
    <w:rsid w:val="00E326A8"/>
    <w:rsid w:val="00E33C0A"/>
    <w:rsid w:val="00E34D5B"/>
    <w:rsid w:val="00E35462"/>
    <w:rsid w:val="00E354DA"/>
    <w:rsid w:val="00E432C6"/>
    <w:rsid w:val="00E449BB"/>
    <w:rsid w:val="00E504D6"/>
    <w:rsid w:val="00E50554"/>
    <w:rsid w:val="00E520B9"/>
    <w:rsid w:val="00E52497"/>
    <w:rsid w:val="00E56174"/>
    <w:rsid w:val="00E57971"/>
    <w:rsid w:val="00E607BF"/>
    <w:rsid w:val="00E7142D"/>
    <w:rsid w:val="00E72862"/>
    <w:rsid w:val="00E72E0A"/>
    <w:rsid w:val="00E740A6"/>
    <w:rsid w:val="00E7471C"/>
    <w:rsid w:val="00E74EBB"/>
    <w:rsid w:val="00E7751B"/>
    <w:rsid w:val="00E807E6"/>
    <w:rsid w:val="00E82776"/>
    <w:rsid w:val="00E82A57"/>
    <w:rsid w:val="00E83A4F"/>
    <w:rsid w:val="00E85BF3"/>
    <w:rsid w:val="00E87C5D"/>
    <w:rsid w:val="00E906D9"/>
    <w:rsid w:val="00E92E7C"/>
    <w:rsid w:val="00E93886"/>
    <w:rsid w:val="00E93DEB"/>
    <w:rsid w:val="00E956A7"/>
    <w:rsid w:val="00E95EB2"/>
    <w:rsid w:val="00E97287"/>
    <w:rsid w:val="00EA0F8A"/>
    <w:rsid w:val="00EA319E"/>
    <w:rsid w:val="00EA4DA2"/>
    <w:rsid w:val="00EA6AA1"/>
    <w:rsid w:val="00EB2293"/>
    <w:rsid w:val="00EB4BAF"/>
    <w:rsid w:val="00EC53A1"/>
    <w:rsid w:val="00EC703A"/>
    <w:rsid w:val="00ED26B0"/>
    <w:rsid w:val="00ED43DC"/>
    <w:rsid w:val="00ED5E39"/>
    <w:rsid w:val="00ED6354"/>
    <w:rsid w:val="00EE175C"/>
    <w:rsid w:val="00EF1AA1"/>
    <w:rsid w:val="00EF3805"/>
    <w:rsid w:val="00EF4C79"/>
    <w:rsid w:val="00EF6250"/>
    <w:rsid w:val="00EF6DB8"/>
    <w:rsid w:val="00F00DA3"/>
    <w:rsid w:val="00F02289"/>
    <w:rsid w:val="00F02CE0"/>
    <w:rsid w:val="00F04435"/>
    <w:rsid w:val="00F04C67"/>
    <w:rsid w:val="00F10272"/>
    <w:rsid w:val="00F15AE1"/>
    <w:rsid w:val="00F16C15"/>
    <w:rsid w:val="00F17259"/>
    <w:rsid w:val="00F209F8"/>
    <w:rsid w:val="00F21287"/>
    <w:rsid w:val="00F21E73"/>
    <w:rsid w:val="00F226AC"/>
    <w:rsid w:val="00F22F58"/>
    <w:rsid w:val="00F254C2"/>
    <w:rsid w:val="00F3149B"/>
    <w:rsid w:val="00F36871"/>
    <w:rsid w:val="00F373EB"/>
    <w:rsid w:val="00F42639"/>
    <w:rsid w:val="00F426D8"/>
    <w:rsid w:val="00F452B3"/>
    <w:rsid w:val="00F47392"/>
    <w:rsid w:val="00F507E8"/>
    <w:rsid w:val="00F51FEE"/>
    <w:rsid w:val="00F5266B"/>
    <w:rsid w:val="00F540DB"/>
    <w:rsid w:val="00F554CF"/>
    <w:rsid w:val="00F57B41"/>
    <w:rsid w:val="00F60AB6"/>
    <w:rsid w:val="00F62519"/>
    <w:rsid w:val="00F62EC7"/>
    <w:rsid w:val="00F6365C"/>
    <w:rsid w:val="00F710C3"/>
    <w:rsid w:val="00F71310"/>
    <w:rsid w:val="00F72AEE"/>
    <w:rsid w:val="00F76029"/>
    <w:rsid w:val="00F76700"/>
    <w:rsid w:val="00F7680A"/>
    <w:rsid w:val="00F85CEB"/>
    <w:rsid w:val="00F87C66"/>
    <w:rsid w:val="00F87DB4"/>
    <w:rsid w:val="00F90224"/>
    <w:rsid w:val="00F90245"/>
    <w:rsid w:val="00F9052A"/>
    <w:rsid w:val="00F906FE"/>
    <w:rsid w:val="00F9109C"/>
    <w:rsid w:val="00F969C4"/>
    <w:rsid w:val="00F97307"/>
    <w:rsid w:val="00F9797C"/>
    <w:rsid w:val="00FA6819"/>
    <w:rsid w:val="00FB03B9"/>
    <w:rsid w:val="00FB524C"/>
    <w:rsid w:val="00FC0980"/>
    <w:rsid w:val="00FC0F7A"/>
    <w:rsid w:val="00FC20F1"/>
    <w:rsid w:val="00FC2142"/>
    <w:rsid w:val="00FC3253"/>
    <w:rsid w:val="00FC7917"/>
    <w:rsid w:val="00FD70E5"/>
    <w:rsid w:val="00FD7122"/>
    <w:rsid w:val="00FE2322"/>
    <w:rsid w:val="00FE5934"/>
    <w:rsid w:val="00FE70FD"/>
    <w:rsid w:val="00FF04DA"/>
    <w:rsid w:val="00FF1000"/>
    <w:rsid w:val="00FF1A48"/>
    <w:rsid w:val="00FF45DC"/>
    <w:rsid w:val="00FF5B1A"/>
    <w:rsid w:val="00FF6A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EBC49"/>
  <w15:chartTrackingRefBased/>
  <w15:docId w15:val="{9D1FC529-FA8A-4924-97CA-C3982CAC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tabs>
        <w:tab w:val="clear" w:pos="5388"/>
        <w:tab w:val="num" w:pos="2977"/>
      </w:tabs>
      <w:spacing w:before="0"/>
      <w:ind w:left="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7"/>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customStyle="1" w:styleId="CharPartText">
    <w:name w:val="CharPartText"/>
    <w:basedOn w:val="DefaultParagraphFont"/>
    <w:uiPriority w:val="1"/>
    <w:qFormat/>
    <w:rsid w:val="002E43A1"/>
  </w:style>
  <w:style w:type="paragraph" w:customStyle="1" w:styleId="base-text-paragraphnonumbers">
    <w:name w:val="base-text-paragraph no numbers"/>
    <w:basedOn w:val="Normal"/>
    <w:qFormat/>
    <w:rsid w:val="00FD7122"/>
    <w:pPr>
      <w:ind w:left="1134"/>
    </w:pPr>
    <w:rPr>
      <w:rFonts w:eastAsia="Times New Roman" w:cs="Times New Roman"/>
      <w:szCs w:val="20"/>
      <w:lang w:eastAsia="en-AU"/>
    </w:rPr>
  </w:style>
  <w:style w:type="character" w:styleId="CommentReference">
    <w:name w:val="annotation reference"/>
    <w:basedOn w:val="DefaultParagraphFont"/>
    <w:uiPriority w:val="99"/>
    <w:semiHidden/>
    <w:unhideWhenUsed/>
    <w:rsid w:val="00FD7122"/>
    <w:rPr>
      <w:sz w:val="16"/>
      <w:szCs w:val="16"/>
    </w:rPr>
  </w:style>
  <w:style w:type="paragraph" w:styleId="CommentText">
    <w:name w:val="annotation text"/>
    <w:basedOn w:val="Normal"/>
    <w:link w:val="CommentTextChar"/>
    <w:uiPriority w:val="99"/>
    <w:semiHidden/>
    <w:unhideWhenUsed/>
    <w:rsid w:val="00FD7122"/>
    <w:rPr>
      <w:sz w:val="20"/>
      <w:szCs w:val="20"/>
    </w:rPr>
  </w:style>
  <w:style w:type="character" w:customStyle="1" w:styleId="CommentTextChar">
    <w:name w:val="Comment Text Char"/>
    <w:basedOn w:val="DefaultParagraphFont"/>
    <w:link w:val="CommentText"/>
    <w:uiPriority w:val="99"/>
    <w:semiHidden/>
    <w:rsid w:val="00FD7122"/>
    <w:rPr>
      <w:rFonts w:ascii="Times New Roman" w:hAnsi="Times New Roman"/>
      <w:sz w:val="20"/>
      <w:szCs w:val="20"/>
    </w:rPr>
  </w:style>
  <w:style w:type="character" w:customStyle="1" w:styleId="NormalparatextnonumbersChar">
    <w:name w:val="Normal para text (no numbers) Char"/>
    <w:basedOn w:val="DefaultParagraphFont"/>
    <w:link w:val="Normalparatextnonumbers"/>
    <w:rsid w:val="00310C1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61827"/>
    <w:rPr>
      <w:b/>
      <w:bCs/>
    </w:rPr>
  </w:style>
  <w:style w:type="character" w:customStyle="1" w:styleId="CommentSubjectChar">
    <w:name w:val="Comment Subject Char"/>
    <w:basedOn w:val="CommentTextChar"/>
    <w:link w:val="CommentSubject"/>
    <w:uiPriority w:val="99"/>
    <w:semiHidden/>
    <w:rsid w:val="00561827"/>
    <w:rPr>
      <w:rFonts w:ascii="Times New Roman" w:hAnsi="Times New Roman"/>
      <w:b/>
      <w:bCs/>
      <w:sz w:val="20"/>
      <w:szCs w:val="20"/>
    </w:rPr>
  </w:style>
  <w:style w:type="paragraph" w:styleId="TOCHeading0">
    <w:name w:val="TOC Heading"/>
    <w:basedOn w:val="Heading1"/>
    <w:next w:val="Normal"/>
    <w:uiPriority w:val="39"/>
    <w:unhideWhenUsed/>
    <w:qFormat/>
    <w:rsid w:val="00F17259"/>
    <w:pPr>
      <w:pBdr>
        <w:bottom w:val="none" w:sz="0" w:space="0" w:color="auto"/>
      </w:pBdr>
      <w:spacing w:before="240" w:after="0" w:line="259" w:lineRule="auto"/>
      <w:outlineLvl w:val="9"/>
    </w:pPr>
    <w:rPr>
      <w:rFonts w:asciiTheme="majorHAnsi" w:hAnsiTheme="majorHAnsi"/>
      <w:b w:val="0"/>
      <w:i w:val="0"/>
      <w:color w:val="2F5496" w:themeColor="accent1" w:themeShade="BF"/>
      <w:sz w:val="32"/>
      <w:lang w:val="en-US"/>
    </w:rPr>
  </w:style>
  <w:style w:type="paragraph" w:customStyle="1" w:styleId="Bullet">
    <w:name w:val="Bullet"/>
    <w:basedOn w:val="Normal"/>
    <w:rsid w:val="00AC3E52"/>
    <w:pPr>
      <w:numPr>
        <w:numId w:val="27"/>
      </w:numPr>
    </w:pPr>
    <w:rPr>
      <w:sz w:val="20"/>
      <w:lang w:val="en-US"/>
    </w:rPr>
  </w:style>
  <w:style w:type="paragraph" w:customStyle="1" w:styleId="DoubleDot">
    <w:name w:val="Double Dot"/>
    <w:basedOn w:val="Normal"/>
    <w:rsid w:val="00AC3E52"/>
    <w:pPr>
      <w:numPr>
        <w:ilvl w:val="2"/>
        <w:numId w:val="27"/>
      </w:numPr>
    </w:pPr>
    <w:rPr>
      <w:sz w:val="20"/>
      <w:lang w:val="en-US"/>
    </w:rPr>
  </w:style>
  <w:style w:type="paragraph" w:styleId="ListParagraph">
    <w:name w:val="List Paragraph"/>
    <w:basedOn w:val="Normal"/>
    <w:uiPriority w:val="34"/>
    <w:qFormat/>
    <w:rsid w:val="00335668"/>
    <w:pPr>
      <w:ind w:left="720"/>
      <w:contextualSpacing/>
    </w:pPr>
  </w:style>
  <w:style w:type="character" w:customStyle="1" w:styleId="CharSectno">
    <w:name w:val="CharSectno"/>
    <w:basedOn w:val="DefaultParagraphFont"/>
    <w:qFormat/>
    <w:rsid w:val="0018452C"/>
  </w:style>
  <w:style w:type="paragraph" w:styleId="TOC4">
    <w:name w:val="toc 4"/>
    <w:basedOn w:val="Normal"/>
    <w:next w:val="Normal"/>
    <w:autoRedefine/>
    <w:uiPriority w:val="39"/>
    <w:semiHidden/>
    <w:unhideWhenUsed/>
    <w:rsid w:val="00C96775"/>
    <w:pPr>
      <w:spacing w:after="100"/>
      <w:ind w:left="660"/>
    </w:pPr>
  </w:style>
  <w:style w:type="paragraph" w:styleId="TOC5">
    <w:name w:val="toc 5"/>
    <w:basedOn w:val="Normal"/>
    <w:next w:val="Normal"/>
    <w:autoRedefine/>
    <w:uiPriority w:val="39"/>
    <w:semiHidden/>
    <w:unhideWhenUsed/>
    <w:rsid w:val="00C96775"/>
    <w:pPr>
      <w:spacing w:after="100"/>
      <w:ind w:left="880"/>
    </w:pPr>
  </w:style>
  <w:style w:type="paragraph" w:styleId="TOC6">
    <w:name w:val="toc 6"/>
    <w:basedOn w:val="Normal"/>
    <w:next w:val="Normal"/>
    <w:autoRedefine/>
    <w:uiPriority w:val="39"/>
    <w:semiHidden/>
    <w:unhideWhenUsed/>
    <w:rsid w:val="00C96775"/>
    <w:pPr>
      <w:spacing w:after="100"/>
      <w:ind w:left="1100"/>
    </w:pPr>
  </w:style>
  <w:style w:type="paragraph" w:styleId="TOC7">
    <w:name w:val="toc 7"/>
    <w:basedOn w:val="Normal"/>
    <w:next w:val="Normal"/>
    <w:autoRedefine/>
    <w:uiPriority w:val="39"/>
    <w:semiHidden/>
    <w:unhideWhenUsed/>
    <w:rsid w:val="00C96775"/>
    <w:pPr>
      <w:spacing w:after="100"/>
      <w:ind w:left="1320"/>
    </w:pPr>
  </w:style>
  <w:style w:type="paragraph" w:styleId="TOC8">
    <w:name w:val="toc 8"/>
    <w:basedOn w:val="Normal"/>
    <w:next w:val="Normal"/>
    <w:autoRedefine/>
    <w:uiPriority w:val="39"/>
    <w:semiHidden/>
    <w:unhideWhenUsed/>
    <w:rsid w:val="00C96775"/>
    <w:pPr>
      <w:spacing w:after="100"/>
      <w:ind w:left="1540"/>
    </w:pPr>
  </w:style>
  <w:style w:type="paragraph" w:styleId="TOC9">
    <w:name w:val="toc 9"/>
    <w:basedOn w:val="Normal"/>
    <w:next w:val="Normal"/>
    <w:autoRedefine/>
    <w:uiPriority w:val="39"/>
    <w:semiHidden/>
    <w:unhideWhenUsed/>
    <w:rsid w:val="00C96775"/>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43910">
      <w:bodyDiv w:val="1"/>
      <w:marLeft w:val="0"/>
      <w:marRight w:val="0"/>
      <w:marTop w:val="0"/>
      <w:marBottom w:val="0"/>
      <w:divBdr>
        <w:top w:val="none" w:sz="0" w:space="0" w:color="auto"/>
        <w:left w:val="none" w:sz="0" w:space="0" w:color="auto"/>
        <w:bottom w:val="none" w:sz="0" w:space="0" w:color="auto"/>
        <w:right w:val="none" w:sz="0" w:space="0" w:color="auto"/>
      </w:divBdr>
    </w:div>
    <w:div w:id="642779510">
      <w:bodyDiv w:val="1"/>
      <w:marLeft w:val="0"/>
      <w:marRight w:val="0"/>
      <w:marTop w:val="0"/>
      <w:marBottom w:val="0"/>
      <w:divBdr>
        <w:top w:val="none" w:sz="0" w:space="0" w:color="auto"/>
        <w:left w:val="none" w:sz="0" w:space="0" w:color="auto"/>
        <w:bottom w:val="none" w:sz="0" w:space="0" w:color="auto"/>
        <w:right w:val="none" w:sz="0" w:space="0" w:color="auto"/>
      </w:divBdr>
    </w:div>
    <w:div w:id="821234329">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278443120">
      <w:bodyDiv w:val="1"/>
      <w:marLeft w:val="0"/>
      <w:marRight w:val="0"/>
      <w:marTop w:val="0"/>
      <w:marBottom w:val="0"/>
      <w:divBdr>
        <w:top w:val="none" w:sz="0" w:space="0" w:color="auto"/>
        <w:left w:val="none" w:sz="0" w:space="0" w:color="auto"/>
        <w:bottom w:val="none" w:sz="0" w:space="0" w:color="auto"/>
        <w:right w:val="none" w:sz="0" w:space="0" w:color="auto"/>
      </w:divBdr>
    </w:div>
    <w:div w:id="1426225511">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202447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8136" ma:contentTypeDescription="" ma:contentTypeScope="" ma:versionID="a70fb6953bb4e8c3162a53f65f44d1af">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xmlns:ns5="687b78b0-2ddd-4441-8a8b-c9638c2a1939" targetNamespace="http://schemas.microsoft.com/office/2006/metadata/properties" ma:root="true" ma:fieldsID="a71f4731fd3f17c9b31e59af0eb0bc94" ns1:_="" ns2:_="" ns3:_="" ns4:_="" ns5:_="">
    <xsd:import namespace="http://schemas.microsoft.com/sharepoint/v3"/>
    <xsd:import namespace="0f563589-9cf9-4143-b1eb-fb0534803d38"/>
    <xsd:import namespace="9f7bc583-7cbe-45b9-a2bd-8bbb6543b37e"/>
    <xsd:import namespace="http://schemas.microsoft.com/sharepoint/v4"/>
    <xsd:import namespace="687b78b0-2ddd-4441-8a8b-c9638c2a193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IconOverlay" minOccurs="0"/>
                <xsd:element ref="ns5:LMU_x0020_Number" minOccurs="0"/>
                <xsd:element ref="ns5:Status" minOccurs="0"/>
                <xsd:element ref="ns5:Number_x0020_version" minOccurs="0"/>
                <xsd:element ref="ns5:NAture_x0020_of_x0020_documents1" minOccurs="0"/>
                <xsd:element ref="ns5:Parliamentary_x0020_session" minOccurs="0"/>
                <xsd:element ref="ns5: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4"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7" nillable="true" ma:displayName="LMU Number" ma:internalName="LMU_x0020_Number">
      <xsd:simpleType>
        <xsd:restriction base="dms:Text">
          <xsd:maxLength value="255"/>
        </xsd:restriction>
      </xsd:simpleType>
    </xsd:element>
    <xsd:element name="Status" ma:index="18"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19" nillable="true" ma:displayName="Number version" ma:internalName="Number_x0020_version">
      <xsd:simpleType>
        <xsd:restriction base="dms:Text">
          <xsd:maxLength value="255"/>
        </xsd:restriction>
      </xsd:simpleType>
    </xsd:element>
    <xsd:element name="NAture_x0020_of_x0020_documents1" ma:index="20"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1"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2"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_dlc_DocId xmlns="0f563589-9cf9-4143-b1eb-fb0534803d38">2022RG-136-78028</_dlc_DocId>
    <TaxCatchAll xmlns="0f563589-9cf9-4143-b1eb-fb0534803d38">
      <Value>1</Value>
    </TaxCatchAll>
    <_dlc_DocIdUrl xmlns="0f563589-9cf9-4143-b1eb-fb0534803d38">
      <Url>http://tweb/sites/rg/ldp/_layouts/15/DocIdRedir.aspx?ID=2022RG-136-78028</Url>
      <Description>2022RG-136-78028</Description>
    </_dlc_DocIdUrl>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Status xmlns="687b78b0-2ddd-4441-8a8b-c9638c2a1939">
      <Value>Current</Value>
    </Status>
    <NAture_x0020_of_x0020_documents1 xmlns="687b78b0-2ddd-4441-8a8b-c9638c2a1939">
      <Value>Explanatory memorandum/statement</Value>
    </NAture_x0020_of_x0020_documents1>
    <i6880fa62fd2465ea894b48b45824d1c xmlns="9f7bc583-7cbe-45b9-a2bd-8bbb6543b37e">
      <Terms xmlns="http://schemas.microsoft.com/office/infopath/2007/PartnerControls"/>
    </i6880fa62fd2465ea894b48b45824d1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F917A-5910-49D6-ACB2-C89ED82D310E}">
  <ds:schemaRefs>
    <ds:schemaRef ds:uri="office.server.policy"/>
  </ds:schemaRefs>
</ds:datastoreItem>
</file>

<file path=customXml/itemProps2.xml><?xml version="1.0" encoding="utf-8"?>
<ds:datastoreItem xmlns:ds="http://schemas.openxmlformats.org/officeDocument/2006/customXml" ds:itemID="{2F952B12-E956-4345-839B-8F2566EE3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687b78b0-2ddd-4441-8a8b-c9638c2a1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365E2-A817-49FA-9295-CAB62986032D}">
  <ds:schemaRefs>
    <ds:schemaRef ds:uri="http://schemas.microsoft.com/office/2006/metadata/properties"/>
    <ds:schemaRef ds:uri="http://schemas.microsoft.com/office/infopath/2007/PartnerControls"/>
    <ds:schemaRef ds:uri="9f7bc583-7cbe-45b9-a2bd-8bbb6543b37e"/>
    <ds:schemaRef ds:uri="0f563589-9cf9-4143-b1eb-fb0534803d38"/>
    <ds:schemaRef ds:uri="687b78b0-2ddd-4441-8a8b-c9638c2a1939"/>
    <ds:schemaRef ds:uri="http://schemas.microsoft.com/sharepoint/v4"/>
  </ds:schemaRefs>
</ds:datastoreItem>
</file>

<file path=customXml/itemProps4.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5.xml><?xml version="1.0" encoding="utf-8"?>
<ds:datastoreItem xmlns:ds="http://schemas.openxmlformats.org/officeDocument/2006/customXml" ds:itemID="{A22EDFD0-FAD0-4B7F-9958-AEE895CC8596}">
  <ds:schemaRefs>
    <ds:schemaRef ds:uri="http://schemas.microsoft.com/sharepoint/events"/>
  </ds:schemaRefs>
</ds:datastoreItem>
</file>

<file path=customXml/itemProps6.xml><?xml version="1.0" encoding="utf-8"?>
<ds:datastoreItem xmlns:ds="http://schemas.openxmlformats.org/officeDocument/2006/customXml" ds:itemID="{466923F5-2C3A-4884-9281-238330888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Pri-EM.dotx</Template>
  <TotalTime>2</TotalTime>
  <Pages>1</Pages>
  <Words>3038</Words>
  <Characters>16194</Characters>
  <Application>Microsoft Office Word</Application>
  <DocSecurity>0</DocSecurity>
  <Lines>385</Lines>
  <Paragraphs>140</Paragraphs>
  <ScaleCrop>false</ScaleCrop>
  <HeadingPairs>
    <vt:vector size="2" baseType="variant">
      <vt:variant>
        <vt:lpstr>Title</vt:lpstr>
      </vt:variant>
      <vt:variant>
        <vt:i4>1</vt:i4>
      </vt:variant>
    </vt:vector>
  </HeadingPairs>
  <TitlesOfParts>
    <vt:vector size="1" baseType="lpstr">
      <vt:lpstr>Exposure Draft Explanatory Materials: Treasury Laws Amendment (Measures for a later sitting) Bill 2022: Taxation of military superannuation benefits</vt:lpstr>
    </vt:vector>
  </TitlesOfParts>
  <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Treasury Laws Amendment (Measures for a later sitting) Bill 2022: Taxation of military superannuation benefits</dc:title>
  <dc:subject/>
  <dc:creator>Australian Government</dc:creator>
  <cp:keywords/>
  <dc:description/>
  <cp:lastModifiedBy>Smith, Matthew</cp:lastModifiedBy>
  <cp:revision>6</cp:revision>
  <cp:lastPrinted>2022-07-15T01:54:00Z</cp:lastPrinted>
  <dcterms:created xsi:type="dcterms:W3CDTF">2022-07-15T01:50:00Z</dcterms:created>
  <dcterms:modified xsi:type="dcterms:W3CDTF">2022-07-15T02:52:00Z</dcterms:modified>
</cp:coreProperties>
</file>