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F333" w14:textId="20540A87" w:rsidR="00E24AA1" w:rsidRDefault="004C0735"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2019-2020-2021</w:t>
      </w:r>
    </w:p>
    <w:p w14:paraId="6F74C118" w14:textId="77777777" w:rsidR="00E24AA1" w:rsidRDefault="00E24AA1" w:rsidP="00E24AA1">
      <w:pPr>
        <w:pStyle w:val="Baseparagraphcentred"/>
      </w:pPr>
    </w:p>
    <w:p w14:paraId="6D20A030" w14:textId="77777777" w:rsidR="00E24AA1" w:rsidRDefault="00E24AA1" w:rsidP="00E24AA1">
      <w:pPr>
        <w:pStyle w:val="Baseparagraphcentred"/>
      </w:pPr>
      <w:r>
        <w:t>THE PARLIAMENT OF THE COMMONWEALTH OF AUSTRALIA</w:t>
      </w:r>
    </w:p>
    <w:p w14:paraId="17AE55FD" w14:textId="77777777" w:rsidR="00E24AA1" w:rsidRDefault="00E24AA1" w:rsidP="00E24AA1">
      <w:pPr>
        <w:pStyle w:val="Baseparagraphcentred"/>
      </w:pPr>
    </w:p>
    <w:p w14:paraId="16258AD4" w14:textId="77777777" w:rsidR="00E24AA1" w:rsidRDefault="00E24AA1" w:rsidP="00E24AA1">
      <w:pPr>
        <w:pStyle w:val="Baseparagraphcentred"/>
      </w:pPr>
    </w:p>
    <w:p w14:paraId="394B982B" w14:textId="77777777" w:rsidR="00E24AA1" w:rsidRDefault="00E24AA1" w:rsidP="00E24AA1">
      <w:pPr>
        <w:pStyle w:val="Baseparagraphcentred"/>
      </w:pPr>
    </w:p>
    <w:p w14:paraId="24198975" w14:textId="4012970E" w:rsidR="00E24AA1" w:rsidRDefault="004C0735" w:rsidP="00E24AA1">
      <w:pPr>
        <w:pStyle w:val="Baseparagraphcentred"/>
      </w:pPr>
      <w:r>
        <w:t>HOUSE OF REPRESENTATIVES</w:t>
      </w:r>
    </w:p>
    <w:p w14:paraId="02BB0D32" w14:textId="77777777" w:rsidR="00E24AA1" w:rsidRDefault="00E24AA1" w:rsidP="00E24AA1">
      <w:pPr>
        <w:pStyle w:val="Baseparagraphcentred"/>
      </w:pPr>
    </w:p>
    <w:p w14:paraId="5CF5F9C6" w14:textId="77777777" w:rsidR="00E24AA1" w:rsidRDefault="00E24AA1" w:rsidP="00E24AA1">
      <w:pPr>
        <w:pStyle w:val="Baseparagraphcentred"/>
      </w:pPr>
    </w:p>
    <w:p w14:paraId="637C0D20" w14:textId="77777777" w:rsidR="00E24AA1" w:rsidRDefault="00E24AA1" w:rsidP="00E24AA1">
      <w:pPr>
        <w:pStyle w:val="Baseparagraphcentred"/>
        <w:pBdr>
          <w:bottom w:val="single" w:sz="4" w:space="1" w:color="auto"/>
        </w:pBdr>
      </w:pPr>
    </w:p>
    <w:p w14:paraId="2910808F" w14:textId="58AE6B87" w:rsidR="00E24AA1" w:rsidRPr="00E24AA1" w:rsidRDefault="004C0735" w:rsidP="00E24AA1">
      <w:pPr>
        <w:pStyle w:val="BillName"/>
      </w:pPr>
      <w:bookmarkStart w:id="6" w:name="BillName"/>
      <w:bookmarkEnd w:id="6"/>
      <w:r>
        <w:t>INCOME TAX ASSESSMENT AMENDMENT (DIGITAL GAMES TAX OFFSET) BILL 2021: MEASURE FOR CONSULTATION</w:t>
      </w:r>
    </w:p>
    <w:p w14:paraId="7920B20E" w14:textId="77777777" w:rsidR="00E24AA1" w:rsidRDefault="00E24AA1" w:rsidP="00E24AA1">
      <w:pPr>
        <w:pStyle w:val="Baseparagraphcentred"/>
        <w:pBdr>
          <w:top w:val="single" w:sz="4" w:space="1" w:color="auto"/>
        </w:pBdr>
      </w:pPr>
    </w:p>
    <w:p w14:paraId="765BC78E" w14:textId="77777777" w:rsidR="00E24AA1" w:rsidRDefault="00E24AA1" w:rsidP="00E24AA1">
      <w:pPr>
        <w:pStyle w:val="Baseparagraphcentred"/>
      </w:pPr>
    </w:p>
    <w:p w14:paraId="3A03982F" w14:textId="77777777" w:rsidR="00E24AA1" w:rsidRDefault="00E24AA1" w:rsidP="00E24AA1">
      <w:pPr>
        <w:pStyle w:val="Baseparagraphcentred"/>
      </w:pPr>
    </w:p>
    <w:p w14:paraId="36F217D2" w14:textId="77777777" w:rsidR="00E24AA1" w:rsidRDefault="00E24AA1" w:rsidP="00E24AA1">
      <w:pPr>
        <w:pStyle w:val="Baseparagraphcentred"/>
      </w:pPr>
    </w:p>
    <w:p w14:paraId="327494E9" w14:textId="77777777" w:rsidR="00852682" w:rsidRDefault="00852682" w:rsidP="00E24AA1">
      <w:pPr>
        <w:pStyle w:val="Baseparagraphcentred"/>
      </w:pPr>
      <w:r>
        <w:t>EXPOSURE DRAFT EXPLANATORY MATERIALS</w:t>
      </w:r>
    </w:p>
    <w:p w14:paraId="1327E20A" w14:textId="0F28FCBD" w:rsidR="00E24AA1" w:rsidRDefault="00E24AA1" w:rsidP="00E24AA1">
      <w:pPr>
        <w:pStyle w:val="Baseparagraphcentred"/>
      </w:pPr>
    </w:p>
    <w:p w14:paraId="7C174E61" w14:textId="77777777" w:rsidR="00E24AA1" w:rsidRDefault="00E24AA1" w:rsidP="00E24AA1">
      <w:pPr>
        <w:pStyle w:val="Baseparagraphcentred"/>
      </w:pPr>
    </w:p>
    <w:p w14:paraId="2526E626" w14:textId="77777777" w:rsidR="00E24AA1" w:rsidRDefault="00E24AA1" w:rsidP="00E24AA1">
      <w:pPr>
        <w:pStyle w:val="ParaCentredNoSpacing"/>
      </w:pPr>
    </w:p>
    <w:p w14:paraId="60580842" w14:textId="77777777" w:rsidR="00E24AA1" w:rsidRPr="00967273" w:rsidRDefault="00E24AA1" w:rsidP="00E24AA1">
      <w:pPr>
        <w:pStyle w:val="Normalparatextnonumbers"/>
        <w:jc w:val="center"/>
        <w:rPr>
          <w:rFonts w:cs="Calibri"/>
          <w:color w:val="000000" w:themeColor="text1"/>
        </w:rPr>
      </w:pPr>
    </w:p>
    <w:p w14:paraId="713A89CA" w14:textId="77777777" w:rsidR="00873094" w:rsidRDefault="00873094" w:rsidP="00873094">
      <w:pPr>
        <w:pStyle w:val="Normalparatextnonumbers"/>
      </w:pPr>
    </w:p>
    <w:p w14:paraId="6DC4F4C7" w14:textId="77777777" w:rsidR="00E24AA1" w:rsidRPr="00020288" w:rsidRDefault="00E24AA1" w:rsidP="00873094">
      <w:pPr>
        <w:pStyle w:val="Normalparatextnonumbers"/>
      </w:pPr>
    </w:p>
    <w:p w14:paraId="37EF73CC"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783A3C89"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1ECB56D8" w14:textId="3A7BA8AF" w:rsidR="003D1C54"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3D1C54">
        <w:rPr>
          <w:noProof/>
        </w:rPr>
        <w:t>Glossary</w:t>
      </w:r>
      <w:r w:rsidR="003D1C54">
        <w:rPr>
          <w:noProof/>
        </w:rPr>
        <w:tab/>
      </w:r>
      <w:r w:rsidR="003D1C54">
        <w:rPr>
          <w:noProof/>
        </w:rPr>
        <w:fldChar w:fldCharType="begin"/>
      </w:r>
      <w:r w:rsidR="003D1C54">
        <w:rPr>
          <w:noProof/>
        </w:rPr>
        <w:instrText xml:space="preserve"> PAGEREF _Toc97046167 \h </w:instrText>
      </w:r>
      <w:r w:rsidR="003D1C54">
        <w:rPr>
          <w:noProof/>
        </w:rPr>
      </w:r>
      <w:r w:rsidR="003D1C54">
        <w:rPr>
          <w:noProof/>
        </w:rPr>
        <w:fldChar w:fldCharType="separate"/>
      </w:r>
      <w:r w:rsidR="009B1CB5">
        <w:rPr>
          <w:noProof/>
        </w:rPr>
        <w:t>iii</w:t>
      </w:r>
      <w:r w:rsidR="003D1C54">
        <w:rPr>
          <w:noProof/>
        </w:rPr>
        <w:fldChar w:fldCharType="end"/>
      </w:r>
    </w:p>
    <w:p w14:paraId="79CF6FB6" w14:textId="52D807D6" w:rsidR="003D1C54" w:rsidRDefault="003D1C54">
      <w:pPr>
        <w:pStyle w:val="TOC1"/>
        <w:rPr>
          <w:rFonts w:asciiTheme="minorHAnsi" w:eastAsiaTheme="minorEastAsia" w:hAnsiTheme="minorHAnsi" w:cstheme="minorBidi"/>
          <w:bCs w:val="0"/>
          <w:noProof/>
          <w:sz w:val="22"/>
          <w:szCs w:val="22"/>
          <w:lang w:eastAsia="en-AU"/>
        </w:rPr>
      </w:pPr>
      <w:r>
        <w:rPr>
          <w:noProof/>
        </w:rPr>
        <w:t>Digital Games Tax Offset</w:t>
      </w:r>
      <w:r>
        <w:rPr>
          <w:noProof/>
        </w:rPr>
        <w:tab/>
      </w:r>
      <w:r>
        <w:rPr>
          <w:noProof/>
        </w:rPr>
        <w:fldChar w:fldCharType="begin"/>
      </w:r>
      <w:r>
        <w:rPr>
          <w:noProof/>
        </w:rPr>
        <w:instrText xml:space="preserve"> PAGEREF _Toc97046168 \h </w:instrText>
      </w:r>
      <w:r>
        <w:rPr>
          <w:noProof/>
        </w:rPr>
      </w:r>
      <w:r>
        <w:rPr>
          <w:noProof/>
        </w:rPr>
        <w:fldChar w:fldCharType="separate"/>
      </w:r>
      <w:r w:rsidR="009B1CB5">
        <w:rPr>
          <w:noProof/>
        </w:rPr>
        <w:t>5</w:t>
      </w:r>
      <w:r>
        <w:rPr>
          <w:noProof/>
        </w:rPr>
        <w:fldChar w:fldCharType="end"/>
      </w:r>
    </w:p>
    <w:p w14:paraId="30360B8D" w14:textId="25FD91C1" w:rsidR="00873094" w:rsidRPr="00020288" w:rsidRDefault="00873094" w:rsidP="00BC2E4A">
      <w:pPr>
        <w:pStyle w:val="TOC1"/>
      </w:pPr>
      <w:r w:rsidRPr="00BC2E4A">
        <w:fldChar w:fldCharType="end"/>
      </w:r>
    </w:p>
    <w:p w14:paraId="6CC30711" w14:textId="77777777" w:rsidR="00873094" w:rsidRPr="00020288" w:rsidRDefault="00873094" w:rsidP="00873094"/>
    <w:p w14:paraId="10F31249" w14:textId="77777777" w:rsidR="00873094" w:rsidRPr="00020288" w:rsidRDefault="00873094" w:rsidP="00873094"/>
    <w:p w14:paraId="58113EC7"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28A24457"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97046167"/>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4249498"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5ED7591F" w14:textId="77777777" w:rsidTr="002425D9">
        <w:tc>
          <w:tcPr>
            <w:tcW w:w="3776" w:type="dxa"/>
            <w:shd w:val="clear" w:color="auto" w:fill="auto"/>
          </w:tcPr>
          <w:p w14:paraId="3A658700"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63F8E789" w14:textId="77777777" w:rsidR="00873094" w:rsidRPr="002E7A73" w:rsidRDefault="00873094" w:rsidP="00B7393A">
            <w:pPr>
              <w:pStyle w:val="Tableheaderrowtext"/>
            </w:pPr>
            <w:r w:rsidRPr="002E7A73">
              <w:t>Definition</w:t>
            </w:r>
          </w:p>
        </w:tc>
      </w:tr>
      <w:tr w:rsidR="00E74773" w:rsidRPr="002E7A73" w14:paraId="76165BA1" w14:textId="77777777" w:rsidTr="002425D9">
        <w:tc>
          <w:tcPr>
            <w:tcW w:w="3776" w:type="dxa"/>
            <w:shd w:val="clear" w:color="auto" w:fill="auto"/>
          </w:tcPr>
          <w:p w14:paraId="5CE938BB" w14:textId="521D95FC" w:rsidR="00E74773" w:rsidRPr="00AC56AC" w:rsidRDefault="00E74773" w:rsidP="00B7393A">
            <w:pPr>
              <w:pStyle w:val="Tableheaderrowtext"/>
              <w:rPr>
                <w:rFonts w:ascii="Times New Roman" w:hAnsi="Times New Roman" w:cs="Times New Roman"/>
              </w:rPr>
            </w:pPr>
            <w:r w:rsidRPr="00AC56AC">
              <w:rPr>
                <w:rFonts w:ascii="Times New Roman" w:hAnsi="Times New Roman" w:cs="Times New Roman"/>
                <w:b w:val="0"/>
                <w:bCs/>
                <w:i w:val="0"/>
                <w:iCs w:val="0"/>
              </w:rPr>
              <w:t>AAT</w:t>
            </w:r>
          </w:p>
        </w:tc>
        <w:tc>
          <w:tcPr>
            <w:tcW w:w="3874" w:type="dxa"/>
            <w:shd w:val="clear" w:color="auto" w:fill="auto"/>
          </w:tcPr>
          <w:p w14:paraId="7A32488E" w14:textId="5A0086F4" w:rsidR="00E74773" w:rsidRPr="00AC56AC" w:rsidRDefault="00E74773" w:rsidP="00B7393A">
            <w:pPr>
              <w:pStyle w:val="Tableheaderrowtext"/>
              <w:rPr>
                <w:rFonts w:ascii="Times New Roman" w:hAnsi="Times New Roman" w:cs="Times New Roman"/>
              </w:rPr>
            </w:pPr>
            <w:r w:rsidRPr="00AC56AC">
              <w:rPr>
                <w:rFonts w:ascii="Times New Roman" w:hAnsi="Times New Roman" w:cs="Times New Roman"/>
                <w:b w:val="0"/>
                <w:bCs/>
                <w:i w:val="0"/>
                <w:iCs w:val="0"/>
              </w:rPr>
              <w:t>Administrative Appeals Tribunal</w:t>
            </w:r>
          </w:p>
        </w:tc>
      </w:tr>
      <w:tr w:rsidR="002166A7" w:rsidRPr="00020288" w14:paraId="7F97EC81" w14:textId="77777777" w:rsidTr="002425D9">
        <w:tc>
          <w:tcPr>
            <w:tcW w:w="3776" w:type="dxa"/>
          </w:tcPr>
          <w:p w14:paraId="0682D8C0" w14:textId="46C86B79" w:rsidR="002166A7" w:rsidRPr="00020288" w:rsidRDefault="002166A7" w:rsidP="002166A7">
            <w:pPr>
              <w:pStyle w:val="Normalparatextnonumbers"/>
            </w:pPr>
            <w:r>
              <w:t>ABN</w:t>
            </w:r>
          </w:p>
        </w:tc>
        <w:tc>
          <w:tcPr>
            <w:tcW w:w="3874" w:type="dxa"/>
          </w:tcPr>
          <w:p w14:paraId="64C1F319" w14:textId="11CFD781" w:rsidR="002166A7" w:rsidRPr="00020288" w:rsidRDefault="002166A7" w:rsidP="002166A7">
            <w:pPr>
              <w:pStyle w:val="Normalparatextnonumbers"/>
            </w:pPr>
            <w:r>
              <w:t>Australian Business Number</w:t>
            </w:r>
          </w:p>
        </w:tc>
      </w:tr>
      <w:tr w:rsidR="00987260" w:rsidRPr="00020288" w14:paraId="3AD25112" w14:textId="77777777" w:rsidTr="002425D9">
        <w:tc>
          <w:tcPr>
            <w:tcW w:w="3776" w:type="dxa"/>
          </w:tcPr>
          <w:p w14:paraId="6C9DA010" w14:textId="2B2FEA9C" w:rsidR="00987260" w:rsidRDefault="00987260" w:rsidP="002166A7">
            <w:pPr>
              <w:pStyle w:val="Normalparatextnonumbers"/>
            </w:pPr>
            <w:r>
              <w:t>Commissioner</w:t>
            </w:r>
          </w:p>
        </w:tc>
        <w:tc>
          <w:tcPr>
            <w:tcW w:w="3874" w:type="dxa"/>
          </w:tcPr>
          <w:p w14:paraId="761265A5" w14:textId="6B982522" w:rsidR="00987260" w:rsidRDefault="00987260" w:rsidP="002166A7">
            <w:pPr>
              <w:pStyle w:val="Normalparatextnonumbers"/>
            </w:pPr>
            <w:r>
              <w:t>Commissioner of Taxation</w:t>
            </w:r>
          </w:p>
        </w:tc>
      </w:tr>
      <w:tr w:rsidR="002166A7" w:rsidRPr="00020288" w14:paraId="44B35D05" w14:textId="77777777" w:rsidTr="002425D9">
        <w:tc>
          <w:tcPr>
            <w:tcW w:w="3776" w:type="dxa"/>
          </w:tcPr>
          <w:p w14:paraId="02591CAF" w14:textId="6D8B1B78" w:rsidR="002166A7" w:rsidRPr="00020288" w:rsidRDefault="002166A7" w:rsidP="002166A7">
            <w:pPr>
              <w:pStyle w:val="Normalparatextnonumbers"/>
            </w:pPr>
            <w:r>
              <w:t>ITAA 1997</w:t>
            </w:r>
          </w:p>
        </w:tc>
        <w:tc>
          <w:tcPr>
            <w:tcW w:w="3874" w:type="dxa"/>
          </w:tcPr>
          <w:p w14:paraId="2FAE16F4" w14:textId="0CA9BFDC" w:rsidR="002166A7" w:rsidRPr="00020288" w:rsidRDefault="002166A7" w:rsidP="002166A7">
            <w:pPr>
              <w:pStyle w:val="Normalparatextnonumbers"/>
            </w:pPr>
            <w:r>
              <w:t>Income Tax Assessment Act 1997</w:t>
            </w:r>
          </w:p>
        </w:tc>
      </w:tr>
      <w:tr w:rsidR="00873094" w:rsidRPr="00020288" w14:paraId="7E846B69" w14:textId="77777777" w:rsidTr="002425D9">
        <w:tc>
          <w:tcPr>
            <w:tcW w:w="3776" w:type="dxa"/>
          </w:tcPr>
          <w:p w14:paraId="30045326" w14:textId="6FAB8D9B" w:rsidR="00873094" w:rsidRPr="00020288" w:rsidRDefault="004D1DA6" w:rsidP="002425D9">
            <w:pPr>
              <w:pStyle w:val="Normalparatextnonumbers"/>
            </w:pPr>
            <w:r>
              <w:t>Arts Minister</w:t>
            </w:r>
          </w:p>
        </w:tc>
        <w:tc>
          <w:tcPr>
            <w:tcW w:w="3874" w:type="dxa"/>
          </w:tcPr>
          <w:p w14:paraId="30F6937A" w14:textId="7CE523BD" w:rsidR="00873094" w:rsidRPr="00020288" w:rsidRDefault="004D1DA6" w:rsidP="002425D9">
            <w:pPr>
              <w:pStyle w:val="Normalparatextnonumbers"/>
            </w:pPr>
            <w:r>
              <w:t xml:space="preserve">Minister for </w:t>
            </w:r>
            <w:r w:rsidR="00CA0A5B">
              <w:t xml:space="preserve">the </w:t>
            </w:r>
            <w:r>
              <w:t>Arts</w:t>
            </w:r>
          </w:p>
        </w:tc>
      </w:tr>
      <w:tr w:rsidR="00873094" w:rsidRPr="00020288" w14:paraId="356170C6" w14:textId="77777777" w:rsidTr="002425D9">
        <w:tc>
          <w:tcPr>
            <w:tcW w:w="3776" w:type="dxa"/>
          </w:tcPr>
          <w:p w14:paraId="39198EE9" w14:textId="3F7E7772" w:rsidR="00873094" w:rsidRPr="00020288" w:rsidRDefault="00DC62C1" w:rsidP="002425D9">
            <w:pPr>
              <w:pStyle w:val="Normalparatextnonumbers"/>
            </w:pPr>
            <w:r>
              <w:t xml:space="preserve">MEC Group </w:t>
            </w:r>
          </w:p>
        </w:tc>
        <w:tc>
          <w:tcPr>
            <w:tcW w:w="3874" w:type="dxa"/>
          </w:tcPr>
          <w:p w14:paraId="248C4C8D" w14:textId="5E8ADA02" w:rsidR="00873094" w:rsidRPr="00020288" w:rsidRDefault="00DC62C1" w:rsidP="002425D9">
            <w:pPr>
              <w:pStyle w:val="Normalparatextnonumbers"/>
            </w:pPr>
            <w:r>
              <w:t>Multiple Entry Consolidated Group</w:t>
            </w:r>
          </w:p>
        </w:tc>
      </w:tr>
      <w:tr w:rsidR="00873094" w:rsidRPr="00020288" w14:paraId="4BF59773" w14:textId="77777777" w:rsidTr="002425D9">
        <w:tc>
          <w:tcPr>
            <w:tcW w:w="3776" w:type="dxa"/>
          </w:tcPr>
          <w:p w14:paraId="76303491" w14:textId="77777777" w:rsidR="00873094" w:rsidRPr="00020288" w:rsidRDefault="00873094" w:rsidP="002425D9">
            <w:pPr>
              <w:pStyle w:val="Normalparatextnonumbers"/>
            </w:pPr>
          </w:p>
        </w:tc>
        <w:tc>
          <w:tcPr>
            <w:tcW w:w="3874" w:type="dxa"/>
          </w:tcPr>
          <w:p w14:paraId="325D9A4F" w14:textId="77777777" w:rsidR="00873094" w:rsidRPr="00020288" w:rsidRDefault="00873094" w:rsidP="002425D9">
            <w:pPr>
              <w:pStyle w:val="Normalparatextnonumbers"/>
            </w:pPr>
          </w:p>
        </w:tc>
      </w:tr>
      <w:tr w:rsidR="00873094" w:rsidRPr="00020288" w14:paraId="4094DA49" w14:textId="77777777" w:rsidTr="002425D9">
        <w:tc>
          <w:tcPr>
            <w:tcW w:w="3776" w:type="dxa"/>
          </w:tcPr>
          <w:p w14:paraId="27BFECF2" w14:textId="77777777" w:rsidR="00873094" w:rsidRPr="00020288" w:rsidRDefault="00873094" w:rsidP="002425D9">
            <w:pPr>
              <w:pStyle w:val="Normalparatextnonumbers"/>
            </w:pPr>
          </w:p>
        </w:tc>
        <w:tc>
          <w:tcPr>
            <w:tcW w:w="3874" w:type="dxa"/>
          </w:tcPr>
          <w:p w14:paraId="08F1D569" w14:textId="77777777" w:rsidR="00873094" w:rsidRPr="00020288" w:rsidRDefault="00873094" w:rsidP="002425D9">
            <w:pPr>
              <w:pStyle w:val="Normalparatextnonumbers"/>
            </w:pPr>
          </w:p>
        </w:tc>
      </w:tr>
    </w:tbl>
    <w:p w14:paraId="298704C1" w14:textId="77777777" w:rsidR="00873094" w:rsidRPr="00020288" w:rsidRDefault="00873094" w:rsidP="00873094"/>
    <w:p w14:paraId="52420CBC" w14:textId="77777777" w:rsidR="00873094" w:rsidRPr="00020288" w:rsidRDefault="00873094" w:rsidP="00873094"/>
    <w:p w14:paraId="4AEF6189"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DD478CF" w14:textId="7741173A" w:rsidR="00873094" w:rsidRPr="0073326A" w:rsidRDefault="005727BF" w:rsidP="00777A92">
      <w:pPr>
        <w:pStyle w:val="Chapterheading"/>
      </w:pPr>
      <w:bookmarkStart w:id="40" w:name="GeneralOutline"/>
      <w:bookmarkStart w:id="41" w:name="_Toc97046168"/>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Digital Games Tax Offset</w:t>
      </w:r>
      <w:bookmarkEnd w:id="41"/>
    </w:p>
    <w:p w14:paraId="20374D24" w14:textId="56910E78" w:rsidR="00873094" w:rsidRDefault="00852682" w:rsidP="00873094">
      <w:pPr>
        <w:rPr>
          <w:rFonts w:ascii="Helvitica" w:hAnsi="Helvitica"/>
          <w:sz w:val="40"/>
        </w:rPr>
      </w:pPr>
      <w:bookmarkStart w:id="42" w:name="Chapter1"/>
      <w:r>
        <w:rPr>
          <w:rFonts w:ascii="Helvitica" w:hAnsi="Helvitica"/>
          <w:sz w:val="40"/>
        </w:rPr>
        <w:t xml:space="preserve">Table of Contents: </w:t>
      </w:r>
    </w:p>
    <w:p w14:paraId="36788C2F" w14:textId="350EE652" w:rsidR="003D1C54" w:rsidRDefault="00852682">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3D1C54">
        <w:t>Outline of chapter</w:t>
      </w:r>
      <w:r w:rsidR="003D1C54">
        <w:rPr>
          <w:webHidden/>
        </w:rPr>
        <w:tab/>
      </w:r>
      <w:r w:rsidR="003D1C54">
        <w:rPr>
          <w:webHidden/>
        </w:rPr>
        <w:fldChar w:fldCharType="begin"/>
      </w:r>
      <w:r w:rsidR="003D1C54">
        <w:rPr>
          <w:webHidden/>
        </w:rPr>
        <w:instrText xml:space="preserve"> PAGEREF _Toc97046169 \h </w:instrText>
      </w:r>
      <w:r w:rsidR="003D1C54">
        <w:rPr>
          <w:webHidden/>
        </w:rPr>
      </w:r>
      <w:r w:rsidR="003D1C54">
        <w:rPr>
          <w:webHidden/>
        </w:rPr>
        <w:fldChar w:fldCharType="separate"/>
      </w:r>
      <w:r w:rsidR="009B1CB5">
        <w:rPr>
          <w:webHidden/>
        </w:rPr>
        <w:t>5</w:t>
      </w:r>
      <w:r w:rsidR="003D1C54">
        <w:rPr>
          <w:webHidden/>
        </w:rPr>
        <w:fldChar w:fldCharType="end"/>
      </w:r>
    </w:p>
    <w:p w14:paraId="49A6BFB7" w14:textId="6ECB983F" w:rsidR="003D1C54" w:rsidRDefault="003D1C54">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_Toc97046170 \h </w:instrText>
      </w:r>
      <w:r>
        <w:rPr>
          <w:webHidden/>
        </w:rPr>
      </w:r>
      <w:r>
        <w:rPr>
          <w:webHidden/>
        </w:rPr>
        <w:fldChar w:fldCharType="separate"/>
      </w:r>
      <w:r w:rsidR="009B1CB5">
        <w:rPr>
          <w:webHidden/>
        </w:rPr>
        <w:t>5</w:t>
      </w:r>
      <w:r>
        <w:rPr>
          <w:webHidden/>
        </w:rPr>
        <w:fldChar w:fldCharType="end"/>
      </w:r>
    </w:p>
    <w:p w14:paraId="1D15A4C0" w14:textId="7B12B47B" w:rsidR="003D1C54" w:rsidRDefault="003D1C54">
      <w:pPr>
        <w:pStyle w:val="TOC3"/>
        <w:rPr>
          <w:rFonts w:asciiTheme="minorHAnsi" w:eastAsiaTheme="minorEastAsia" w:hAnsiTheme="minorHAnsi" w:cstheme="minorBidi"/>
          <w:iCs w:val="0"/>
          <w:noProof/>
          <w:sz w:val="22"/>
          <w:szCs w:val="22"/>
          <w:lang w:eastAsia="en-AU"/>
        </w:rPr>
      </w:pPr>
      <w:r>
        <w:rPr>
          <w:noProof/>
        </w:rPr>
        <w:t>Summary of new law</w:t>
      </w:r>
      <w:r>
        <w:rPr>
          <w:noProof/>
          <w:webHidden/>
        </w:rPr>
        <w:tab/>
      </w:r>
      <w:r>
        <w:rPr>
          <w:noProof/>
          <w:webHidden/>
        </w:rPr>
        <w:fldChar w:fldCharType="begin"/>
      </w:r>
      <w:r>
        <w:rPr>
          <w:noProof/>
          <w:webHidden/>
        </w:rPr>
        <w:instrText xml:space="preserve"> PAGEREF _Toc97046171 \h </w:instrText>
      </w:r>
      <w:r>
        <w:rPr>
          <w:noProof/>
          <w:webHidden/>
        </w:rPr>
      </w:r>
      <w:r>
        <w:rPr>
          <w:noProof/>
          <w:webHidden/>
        </w:rPr>
        <w:fldChar w:fldCharType="separate"/>
      </w:r>
      <w:r w:rsidR="009B1CB5">
        <w:rPr>
          <w:noProof/>
          <w:webHidden/>
        </w:rPr>
        <w:t>6</w:t>
      </w:r>
      <w:r>
        <w:rPr>
          <w:noProof/>
          <w:webHidden/>
        </w:rPr>
        <w:fldChar w:fldCharType="end"/>
      </w:r>
    </w:p>
    <w:p w14:paraId="625E2859" w14:textId="5A56593F" w:rsidR="003D1C54" w:rsidRDefault="003D1C54">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_Toc97046172 \h </w:instrText>
      </w:r>
      <w:r>
        <w:rPr>
          <w:webHidden/>
        </w:rPr>
      </w:r>
      <w:r>
        <w:rPr>
          <w:webHidden/>
        </w:rPr>
        <w:fldChar w:fldCharType="separate"/>
      </w:r>
      <w:r w:rsidR="009B1CB5">
        <w:rPr>
          <w:webHidden/>
        </w:rPr>
        <w:t>7</w:t>
      </w:r>
      <w:r>
        <w:rPr>
          <w:webHidden/>
        </w:rPr>
        <w:fldChar w:fldCharType="end"/>
      </w:r>
    </w:p>
    <w:p w14:paraId="513ECCED" w14:textId="563A0EAE" w:rsidR="003D1C54" w:rsidRDefault="003D1C54">
      <w:pPr>
        <w:pStyle w:val="TOC3"/>
        <w:rPr>
          <w:rFonts w:asciiTheme="minorHAnsi" w:eastAsiaTheme="minorEastAsia" w:hAnsiTheme="minorHAnsi" w:cstheme="minorBidi"/>
          <w:iCs w:val="0"/>
          <w:noProof/>
          <w:sz w:val="22"/>
          <w:szCs w:val="22"/>
          <w:lang w:eastAsia="en-AU"/>
        </w:rPr>
      </w:pPr>
      <w:r>
        <w:rPr>
          <w:noProof/>
        </w:rPr>
        <w:t>Key features of the tax offset</w:t>
      </w:r>
      <w:r>
        <w:rPr>
          <w:noProof/>
          <w:webHidden/>
        </w:rPr>
        <w:tab/>
      </w:r>
      <w:r>
        <w:rPr>
          <w:noProof/>
          <w:webHidden/>
        </w:rPr>
        <w:fldChar w:fldCharType="begin"/>
      </w:r>
      <w:r>
        <w:rPr>
          <w:noProof/>
          <w:webHidden/>
        </w:rPr>
        <w:instrText xml:space="preserve"> PAGEREF _Toc97046173 \h </w:instrText>
      </w:r>
      <w:r>
        <w:rPr>
          <w:noProof/>
          <w:webHidden/>
        </w:rPr>
      </w:r>
      <w:r>
        <w:rPr>
          <w:noProof/>
          <w:webHidden/>
        </w:rPr>
        <w:fldChar w:fldCharType="separate"/>
      </w:r>
      <w:r w:rsidR="009B1CB5">
        <w:rPr>
          <w:noProof/>
          <w:webHidden/>
        </w:rPr>
        <w:t>7</w:t>
      </w:r>
      <w:r>
        <w:rPr>
          <w:noProof/>
          <w:webHidden/>
        </w:rPr>
        <w:fldChar w:fldCharType="end"/>
      </w:r>
    </w:p>
    <w:p w14:paraId="71487DD5" w14:textId="436B22F4" w:rsidR="003D1C54" w:rsidRDefault="003D1C54">
      <w:pPr>
        <w:pStyle w:val="TOC3"/>
        <w:rPr>
          <w:rFonts w:asciiTheme="minorHAnsi" w:eastAsiaTheme="minorEastAsia" w:hAnsiTheme="minorHAnsi" w:cstheme="minorBidi"/>
          <w:iCs w:val="0"/>
          <w:noProof/>
          <w:sz w:val="22"/>
          <w:szCs w:val="22"/>
          <w:lang w:eastAsia="en-AU"/>
        </w:rPr>
      </w:pPr>
      <w:r>
        <w:rPr>
          <w:noProof/>
        </w:rPr>
        <w:t>Eligible Expenditure</w:t>
      </w:r>
      <w:r>
        <w:rPr>
          <w:noProof/>
          <w:webHidden/>
        </w:rPr>
        <w:tab/>
      </w:r>
      <w:r>
        <w:rPr>
          <w:noProof/>
          <w:webHidden/>
        </w:rPr>
        <w:fldChar w:fldCharType="begin"/>
      </w:r>
      <w:r>
        <w:rPr>
          <w:noProof/>
          <w:webHidden/>
        </w:rPr>
        <w:instrText xml:space="preserve"> PAGEREF _Toc97046174 \h </w:instrText>
      </w:r>
      <w:r>
        <w:rPr>
          <w:noProof/>
          <w:webHidden/>
        </w:rPr>
      </w:r>
      <w:r>
        <w:rPr>
          <w:noProof/>
          <w:webHidden/>
        </w:rPr>
        <w:fldChar w:fldCharType="separate"/>
      </w:r>
      <w:r w:rsidR="009B1CB5">
        <w:rPr>
          <w:noProof/>
          <w:webHidden/>
        </w:rPr>
        <w:t>15</w:t>
      </w:r>
      <w:r>
        <w:rPr>
          <w:noProof/>
          <w:webHidden/>
        </w:rPr>
        <w:fldChar w:fldCharType="end"/>
      </w:r>
    </w:p>
    <w:p w14:paraId="05103723" w14:textId="3537A92E" w:rsidR="003D1C54" w:rsidRDefault="003D1C54">
      <w:pPr>
        <w:pStyle w:val="TOC3"/>
        <w:rPr>
          <w:rFonts w:asciiTheme="minorHAnsi" w:eastAsiaTheme="minorEastAsia" w:hAnsiTheme="minorHAnsi" w:cstheme="minorBidi"/>
          <w:iCs w:val="0"/>
          <w:noProof/>
          <w:sz w:val="22"/>
          <w:szCs w:val="22"/>
          <w:lang w:eastAsia="en-AU"/>
        </w:rPr>
      </w:pPr>
      <w:r>
        <w:rPr>
          <w:noProof/>
        </w:rPr>
        <w:t>Administration of the Digital Games Tax Offset</w:t>
      </w:r>
      <w:r>
        <w:rPr>
          <w:noProof/>
          <w:webHidden/>
        </w:rPr>
        <w:tab/>
      </w:r>
      <w:r>
        <w:rPr>
          <w:noProof/>
          <w:webHidden/>
        </w:rPr>
        <w:fldChar w:fldCharType="begin"/>
      </w:r>
      <w:r>
        <w:rPr>
          <w:noProof/>
          <w:webHidden/>
        </w:rPr>
        <w:instrText xml:space="preserve"> PAGEREF _Toc97046175 \h </w:instrText>
      </w:r>
      <w:r>
        <w:rPr>
          <w:noProof/>
          <w:webHidden/>
        </w:rPr>
      </w:r>
      <w:r>
        <w:rPr>
          <w:noProof/>
          <w:webHidden/>
        </w:rPr>
        <w:fldChar w:fldCharType="separate"/>
      </w:r>
      <w:r w:rsidR="009B1CB5">
        <w:rPr>
          <w:noProof/>
          <w:webHidden/>
        </w:rPr>
        <w:t>22</w:t>
      </w:r>
      <w:r>
        <w:rPr>
          <w:noProof/>
          <w:webHidden/>
        </w:rPr>
        <w:fldChar w:fldCharType="end"/>
      </w:r>
    </w:p>
    <w:p w14:paraId="5A1FFCC6" w14:textId="52DBC7BE" w:rsidR="003D1C54" w:rsidRDefault="003D1C54">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_Toc97046176 \h </w:instrText>
      </w:r>
      <w:r>
        <w:rPr>
          <w:webHidden/>
        </w:rPr>
      </w:r>
      <w:r>
        <w:rPr>
          <w:webHidden/>
        </w:rPr>
        <w:fldChar w:fldCharType="separate"/>
      </w:r>
      <w:r w:rsidR="009B1CB5">
        <w:rPr>
          <w:webHidden/>
        </w:rPr>
        <w:t>25</w:t>
      </w:r>
      <w:r>
        <w:rPr>
          <w:webHidden/>
        </w:rPr>
        <w:fldChar w:fldCharType="end"/>
      </w:r>
    </w:p>
    <w:p w14:paraId="18312793" w14:textId="667D85F2" w:rsidR="003D1C54" w:rsidRDefault="003D1C54">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_Toc97046177 \h </w:instrText>
      </w:r>
      <w:r>
        <w:rPr>
          <w:webHidden/>
        </w:rPr>
      </w:r>
      <w:r>
        <w:rPr>
          <w:webHidden/>
        </w:rPr>
        <w:fldChar w:fldCharType="separate"/>
      </w:r>
      <w:r w:rsidR="009B1CB5">
        <w:rPr>
          <w:webHidden/>
        </w:rPr>
        <w:t>25</w:t>
      </w:r>
      <w:r>
        <w:rPr>
          <w:webHidden/>
        </w:rPr>
        <w:fldChar w:fldCharType="end"/>
      </w:r>
    </w:p>
    <w:p w14:paraId="15E507AF" w14:textId="30C7FE9B" w:rsidR="00852682" w:rsidRPr="00020288" w:rsidRDefault="00852682" w:rsidP="00852682">
      <w:r>
        <w:fldChar w:fldCharType="end"/>
      </w:r>
    </w:p>
    <w:p w14:paraId="28BF66FE" w14:textId="77777777" w:rsidR="00873094" w:rsidRPr="00020288" w:rsidRDefault="00873094" w:rsidP="005D0844">
      <w:pPr>
        <w:pStyle w:val="Heading2"/>
      </w:pPr>
      <w:bookmarkStart w:id="43" w:name="_Toc97046169"/>
      <w:r w:rsidRPr="00020288">
        <w:t xml:space="preserve">Outline </w:t>
      </w:r>
      <w:r w:rsidRPr="005D0844">
        <w:t>of</w:t>
      </w:r>
      <w:r w:rsidRPr="00020288">
        <w:t xml:space="preserve"> chapter</w:t>
      </w:r>
      <w:bookmarkEnd w:id="43"/>
    </w:p>
    <w:p w14:paraId="7A5EA120" w14:textId="6D0BF906" w:rsidR="00F6161C" w:rsidRDefault="00F6161C" w:rsidP="00F6161C">
      <w:pPr>
        <w:pStyle w:val="Normalparatextwithnumbers"/>
      </w:pPr>
      <w:r>
        <w:t>The Digital Games Tax Offset is one component of the Government’s Digital Economy Strategy. Schedule # introduces a tax offset aimed at promoting the growth of the digital games industry in Australia</w:t>
      </w:r>
      <w:r w:rsidR="007D5937">
        <w:t xml:space="preserve"> and attracting games development to Australia</w:t>
      </w:r>
      <w:r>
        <w:t>.</w:t>
      </w:r>
    </w:p>
    <w:p w14:paraId="51DEE322" w14:textId="6E90264C" w:rsidR="00873094" w:rsidRPr="000E521B" w:rsidRDefault="00F6161C" w:rsidP="00F6161C">
      <w:pPr>
        <w:pStyle w:val="Normalparatextwithnumbers"/>
      </w:pPr>
      <w:r>
        <w:t>All legislative references in this chapter are to the ITAA 1997</w:t>
      </w:r>
      <w:r>
        <w:rPr>
          <w:i/>
          <w:iCs/>
        </w:rPr>
        <w:t xml:space="preserve"> </w:t>
      </w:r>
      <w:r w:rsidRPr="00253E7C">
        <w:t>unless otherwise stated</w:t>
      </w:r>
      <w:r>
        <w:t>.</w:t>
      </w:r>
    </w:p>
    <w:p w14:paraId="00C72FB0" w14:textId="77777777" w:rsidR="00873094" w:rsidRPr="00020288" w:rsidRDefault="00873094" w:rsidP="005D0844">
      <w:pPr>
        <w:pStyle w:val="Heading2"/>
      </w:pPr>
      <w:bookmarkStart w:id="44" w:name="_Toc97046170"/>
      <w:r w:rsidRPr="00020288">
        <w:t xml:space="preserve">Context of </w:t>
      </w:r>
      <w:r w:rsidRPr="005D0844">
        <w:t>amendments</w:t>
      </w:r>
      <w:bookmarkEnd w:id="44"/>
    </w:p>
    <w:p w14:paraId="2DBF604B" w14:textId="77777777" w:rsidR="006F2575" w:rsidRDefault="00433541" w:rsidP="00D152E9">
      <w:pPr>
        <w:pStyle w:val="Normalparatextwithnumbers"/>
        <w:numPr>
          <w:ilvl w:val="1"/>
          <w:numId w:val="3"/>
        </w:numPr>
      </w:pPr>
      <w:r>
        <w:t>The</w:t>
      </w:r>
      <w:r w:rsidR="000D1A58">
        <w:t xml:space="preserve"> Government announced the Digital Economy Strategy</w:t>
      </w:r>
      <w:r>
        <w:t xml:space="preserve"> in the 2021</w:t>
      </w:r>
      <w:r w:rsidR="009D4973">
        <w:noBreakHyphen/>
      </w:r>
      <w:r>
        <w:t>22</w:t>
      </w:r>
      <w:r w:rsidR="009D4973">
        <w:t> </w:t>
      </w:r>
      <w:r>
        <w:t>Budget. The strategy</w:t>
      </w:r>
      <w:r w:rsidR="000D1A58">
        <w:t xml:space="preserve"> targets investment in emerging technologies, building digital skills, encouraging business investment and enhancing Government service delivery. The Digital Games Tax Offset is a part of that strategy</w:t>
      </w:r>
      <w:r>
        <w:t xml:space="preserve">. </w:t>
      </w:r>
      <w:r w:rsidR="000D1A58">
        <w:t xml:space="preserve"> </w:t>
      </w:r>
    </w:p>
    <w:p w14:paraId="78207F42" w14:textId="28F9F71B" w:rsidR="000D1A58" w:rsidRDefault="00433541" w:rsidP="00D152E9">
      <w:pPr>
        <w:pStyle w:val="Normalparatextwithnumbers"/>
        <w:numPr>
          <w:ilvl w:val="1"/>
          <w:numId w:val="3"/>
        </w:numPr>
      </w:pPr>
      <w:r>
        <w:t>T</w:t>
      </w:r>
      <w:r w:rsidR="000D1A58">
        <w:t>he intent of the tax offset is to promote growth of the digital games industry in Australia</w:t>
      </w:r>
      <w:r w:rsidR="006F2575">
        <w:t xml:space="preserve">, </w:t>
      </w:r>
      <w:r w:rsidR="000D1A58">
        <w:t>as the talent in the gaming sector has transferrable digital capabilities that Australia could apply to a range of other sectors.</w:t>
      </w:r>
    </w:p>
    <w:p w14:paraId="11BF0216" w14:textId="34C20C7E" w:rsidR="000D1A58" w:rsidRDefault="000D1A58" w:rsidP="00D152E9">
      <w:pPr>
        <w:pStyle w:val="Normalparatextwithnumbers"/>
        <w:numPr>
          <w:ilvl w:val="1"/>
          <w:numId w:val="3"/>
        </w:numPr>
      </w:pPr>
      <w:r>
        <w:lastRenderedPageBreak/>
        <w:t xml:space="preserve">This measure is expected to </w:t>
      </w:r>
      <w:r w:rsidR="006F2575">
        <w:t>strengthen the Australian digital games industry, expand employment opportunities for digital and creative talent, enhance the industry’s international competitiveness and make Australia an attractive destination for foreign investment.</w:t>
      </w:r>
    </w:p>
    <w:p w14:paraId="67BFCA40" w14:textId="53E41858" w:rsidR="000D1A58" w:rsidRDefault="000D1A58" w:rsidP="000D1A58">
      <w:pPr>
        <w:pStyle w:val="Normalparatextwithnumbers"/>
        <w:numPr>
          <w:ilvl w:val="1"/>
          <w:numId w:val="3"/>
        </w:numPr>
      </w:pPr>
      <w:r>
        <w:t xml:space="preserve">To that end, the Government is introducing a 30 per cent refundable tax offset for eligible </w:t>
      </w:r>
      <w:r w:rsidR="009D4973">
        <w:t xml:space="preserve">companies </w:t>
      </w:r>
      <w:r>
        <w:t>that spend a minimum of $500,000 on qualifying Australia</w:t>
      </w:r>
      <w:r w:rsidR="00A3685A">
        <w:t>n</w:t>
      </w:r>
      <w:r>
        <w:t xml:space="preserve"> development expenditure on eligible games. This will be available from 1 July 2022.</w:t>
      </w:r>
    </w:p>
    <w:p w14:paraId="5C7B9A39" w14:textId="4DA355AC" w:rsidR="00873094" w:rsidRPr="00020288" w:rsidRDefault="00873094" w:rsidP="008B243B">
      <w:pPr>
        <w:pStyle w:val="Heading3"/>
      </w:pPr>
      <w:bookmarkStart w:id="45" w:name="_Toc97046171"/>
      <w:r w:rsidRPr="00020288">
        <w:t xml:space="preserve">Summary of </w:t>
      </w:r>
      <w:r w:rsidRPr="005D0844">
        <w:t>new</w:t>
      </w:r>
      <w:r w:rsidRPr="00020288">
        <w:t xml:space="preserve"> law</w:t>
      </w:r>
      <w:bookmarkEnd w:id="45"/>
    </w:p>
    <w:p w14:paraId="0CD86D2E" w14:textId="2F82B28E" w:rsidR="00873094" w:rsidRDefault="002A30BA" w:rsidP="00873094">
      <w:pPr>
        <w:pStyle w:val="Normalparatextwithnumbers"/>
        <w:numPr>
          <w:ilvl w:val="1"/>
          <w:numId w:val="3"/>
        </w:numPr>
      </w:pPr>
      <w:r>
        <w:t>Schedule # amends the</w:t>
      </w:r>
      <w:r w:rsidR="00930673">
        <w:t xml:space="preserve"> </w:t>
      </w:r>
      <w:r w:rsidR="00930673" w:rsidRPr="00C65BE8">
        <w:rPr>
          <w:i/>
          <w:iCs/>
        </w:rPr>
        <w:t>Income Tax Assessment Act 1997</w:t>
      </w:r>
      <w:r>
        <w:t xml:space="preserve"> to introduce a 30 per cent refundable tax offset and outlines the eligibility criteria</w:t>
      </w:r>
      <w:r w:rsidR="00F325DD">
        <w:t xml:space="preserve">, the method for calculating the offset, and how the offset will be administered: </w:t>
      </w:r>
      <w:r>
        <w:t xml:space="preserve"> </w:t>
      </w:r>
    </w:p>
    <w:p w14:paraId="57282DA4" w14:textId="1AEDC8DF" w:rsidR="002A30BA" w:rsidRDefault="00D77E17" w:rsidP="007D1681">
      <w:pPr>
        <w:pStyle w:val="TableHeading"/>
      </w:pPr>
      <w:r>
        <w:t>Summary of new law</w:t>
      </w:r>
    </w:p>
    <w:tbl>
      <w:tblPr>
        <w:tblStyle w:val="Treasurytable"/>
        <w:tblW w:w="0" w:type="auto"/>
        <w:tblLook w:val="04A0" w:firstRow="1" w:lastRow="0" w:firstColumn="1" w:lastColumn="0" w:noHBand="0" w:noVBand="1"/>
      </w:tblPr>
      <w:tblGrid>
        <w:gridCol w:w="1696"/>
        <w:gridCol w:w="3686"/>
        <w:gridCol w:w="2319"/>
      </w:tblGrid>
      <w:tr w:rsidR="007D1681" w14:paraId="24F40D0E" w14:textId="6528A062" w:rsidTr="007D1681">
        <w:trPr>
          <w:cnfStyle w:val="100000000000" w:firstRow="1" w:lastRow="0" w:firstColumn="0" w:lastColumn="0" w:oddVBand="0" w:evenVBand="0" w:oddHBand="0" w:evenHBand="0" w:firstRowFirstColumn="0" w:firstRowLastColumn="0" w:lastRowFirstColumn="0" w:lastRowLastColumn="0"/>
        </w:trPr>
        <w:tc>
          <w:tcPr>
            <w:tcW w:w="1696" w:type="dxa"/>
          </w:tcPr>
          <w:p w14:paraId="04737288" w14:textId="175D24C1" w:rsidR="007D1681" w:rsidRDefault="007D1681" w:rsidP="007D1681">
            <w:pPr>
              <w:pStyle w:val="Tableheaderrowtext"/>
            </w:pPr>
            <w:r>
              <w:t>Criteria</w:t>
            </w:r>
          </w:p>
        </w:tc>
        <w:tc>
          <w:tcPr>
            <w:tcW w:w="3686" w:type="dxa"/>
          </w:tcPr>
          <w:p w14:paraId="5BFD7165" w14:textId="0B641ECC" w:rsidR="007D1681" w:rsidRDefault="007D1681" w:rsidP="007D1681">
            <w:pPr>
              <w:pStyle w:val="Tableheaderrowtext"/>
            </w:pPr>
            <w:r>
              <w:t>Eligibility</w:t>
            </w:r>
          </w:p>
        </w:tc>
        <w:tc>
          <w:tcPr>
            <w:tcW w:w="2319" w:type="dxa"/>
          </w:tcPr>
          <w:p w14:paraId="629DB055" w14:textId="4F71D164" w:rsidR="007D1681" w:rsidRDefault="007D1681" w:rsidP="007D1681">
            <w:pPr>
              <w:pStyle w:val="Tableheaderrowtext"/>
            </w:pPr>
            <w:r>
              <w:t>Legislative reference</w:t>
            </w:r>
          </w:p>
        </w:tc>
      </w:tr>
      <w:tr w:rsidR="007D1681" w14:paraId="177EF084" w14:textId="6350D757" w:rsidTr="007D1681">
        <w:tc>
          <w:tcPr>
            <w:tcW w:w="1696" w:type="dxa"/>
          </w:tcPr>
          <w:p w14:paraId="0C7E64CA" w14:textId="624B90F7" w:rsidR="007D1681" w:rsidRDefault="007D1681" w:rsidP="007D1681">
            <w:pPr>
              <w:pStyle w:val="Tabletext"/>
            </w:pPr>
            <w:r w:rsidRPr="000E77A9">
              <w:t>Which businesses are eligible?</w:t>
            </w:r>
          </w:p>
        </w:tc>
        <w:tc>
          <w:tcPr>
            <w:tcW w:w="3686" w:type="dxa"/>
          </w:tcPr>
          <w:p w14:paraId="67ED5912" w14:textId="00E990B9" w:rsidR="007D1681" w:rsidRDefault="007D1681" w:rsidP="007D1681">
            <w:pPr>
              <w:pStyle w:val="Tabletext"/>
            </w:pPr>
            <w:r w:rsidRPr="005E1755">
              <w:t>Companies that are Australian residents or foreign residents with a permanent establishment</w:t>
            </w:r>
            <w:r w:rsidR="00F325DD">
              <w:t>.</w:t>
            </w:r>
          </w:p>
        </w:tc>
        <w:tc>
          <w:tcPr>
            <w:tcW w:w="2319" w:type="dxa"/>
          </w:tcPr>
          <w:p w14:paraId="2F6215AC" w14:textId="3D0F6150" w:rsidR="007D1681" w:rsidRDefault="007D1681" w:rsidP="007D1681">
            <w:pPr>
              <w:pStyle w:val="Tabletext"/>
            </w:pPr>
            <w:r w:rsidRPr="00171577">
              <w:t>Subdivision 378-B, section 378-10</w:t>
            </w:r>
          </w:p>
        </w:tc>
      </w:tr>
      <w:tr w:rsidR="007D1681" w14:paraId="54E5B387" w14:textId="603F62AF" w:rsidTr="007D1681">
        <w:tc>
          <w:tcPr>
            <w:tcW w:w="1696" w:type="dxa"/>
          </w:tcPr>
          <w:p w14:paraId="7BDDBDC8" w14:textId="08053BCF" w:rsidR="007D1681" w:rsidRDefault="007D1681" w:rsidP="007D1681">
            <w:pPr>
              <w:pStyle w:val="Tabletext"/>
            </w:pPr>
            <w:r w:rsidRPr="000E77A9">
              <w:t>What games are eligible?</w:t>
            </w:r>
          </w:p>
        </w:tc>
        <w:tc>
          <w:tcPr>
            <w:tcW w:w="3686" w:type="dxa"/>
          </w:tcPr>
          <w:p w14:paraId="04C6ACF4" w14:textId="2C4CFCFF" w:rsidR="007D1681" w:rsidRDefault="007D1681" w:rsidP="007D1681">
            <w:pPr>
              <w:pStyle w:val="Tabletext"/>
            </w:pPr>
            <w:r w:rsidRPr="005E1755">
              <w:t>A digital game that is developed to be made available to the general public and is not an ineligible game.</w:t>
            </w:r>
          </w:p>
        </w:tc>
        <w:tc>
          <w:tcPr>
            <w:tcW w:w="2319" w:type="dxa"/>
          </w:tcPr>
          <w:p w14:paraId="7AB9B44E" w14:textId="12150A04" w:rsidR="007D1681" w:rsidRDefault="007D1681" w:rsidP="007D1681">
            <w:pPr>
              <w:pStyle w:val="Tabletext"/>
            </w:pPr>
            <w:r w:rsidRPr="00171577">
              <w:t>Subdivision 378-B, section 378-20</w:t>
            </w:r>
          </w:p>
        </w:tc>
      </w:tr>
      <w:tr w:rsidR="007D1681" w14:paraId="1366CA20" w14:textId="61190111" w:rsidTr="007D1681">
        <w:tc>
          <w:tcPr>
            <w:tcW w:w="1696" w:type="dxa"/>
          </w:tcPr>
          <w:p w14:paraId="0B25264D" w14:textId="4BD43323" w:rsidR="007D1681" w:rsidRDefault="007D1681" w:rsidP="007D1681">
            <w:pPr>
              <w:pStyle w:val="Tabletext"/>
            </w:pPr>
            <w:r w:rsidRPr="000E77A9">
              <w:t>What expenditure qualifies?</w:t>
            </w:r>
          </w:p>
        </w:tc>
        <w:tc>
          <w:tcPr>
            <w:tcW w:w="3686" w:type="dxa"/>
          </w:tcPr>
          <w:p w14:paraId="2B3B0CCC" w14:textId="79549E0D" w:rsidR="007D1681" w:rsidRDefault="007D1681" w:rsidP="007D1681">
            <w:pPr>
              <w:pStyle w:val="Tabletext"/>
            </w:pPr>
            <w:r w:rsidRPr="005E1755">
              <w:t xml:space="preserve">Qualifying </w:t>
            </w:r>
            <w:r w:rsidR="00AC6B3F">
              <w:t xml:space="preserve">Australian </w:t>
            </w:r>
            <w:r w:rsidRPr="005E1755">
              <w:t>development expenditure that is incurred in relation to the development of the game and is not excluded expenditure.</w:t>
            </w:r>
          </w:p>
        </w:tc>
        <w:tc>
          <w:tcPr>
            <w:tcW w:w="2319" w:type="dxa"/>
          </w:tcPr>
          <w:p w14:paraId="174AC1F8" w14:textId="4C2DE7A9" w:rsidR="007D1681" w:rsidRDefault="007D1681" w:rsidP="007D1681">
            <w:pPr>
              <w:pStyle w:val="Tabletext"/>
            </w:pPr>
            <w:r w:rsidRPr="00171577">
              <w:t>Subdivision 378-C</w:t>
            </w:r>
          </w:p>
        </w:tc>
      </w:tr>
      <w:tr w:rsidR="007D1681" w14:paraId="5D9E9FD8" w14:textId="77777777" w:rsidTr="007D1681">
        <w:tc>
          <w:tcPr>
            <w:tcW w:w="1696" w:type="dxa"/>
          </w:tcPr>
          <w:p w14:paraId="1B7898A8" w14:textId="26BAB5BC" w:rsidR="007D1681" w:rsidRDefault="007D1681" w:rsidP="007D1681">
            <w:pPr>
              <w:pStyle w:val="Tabletext"/>
            </w:pPr>
            <w:r w:rsidRPr="000E77A9">
              <w:t>How will the tax offset be administered?</w:t>
            </w:r>
          </w:p>
        </w:tc>
        <w:tc>
          <w:tcPr>
            <w:tcW w:w="3686" w:type="dxa"/>
          </w:tcPr>
          <w:p w14:paraId="7C851C1A" w14:textId="6A749D27" w:rsidR="007D1681" w:rsidRDefault="007D1681" w:rsidP="00DD3BA1">
            <w:pPr>
              <w:pStyle w:val="Tabletext"/>
            </w:pPr>
            <w:r w:rsidRPr="005E1755">
              <w:t>The company must apply for</w:t>
            </w:r>
            <w:r w:rsidR="00FE0479">
              <w:t xml:space="preserve"> a</w:t>
            </w:r>
            <w:r w:rsidRPr="005E1755">
              <w:t xml:space="preserve"> certificate, stating the amount of expenditure on which the offset will be determined.</w:t>
            </w:r>
          </w:p>
        </w:tc>
        <w:tc>
          <w:tcPr>
            <w:tcW w:w="2319" w:type="dxa"/>
          </w:tcPr>
          <w:p w14:paraId="1993FEB2" w14:textId="181D1EAE" w:rsidR="007D1681" w:rsidRDefault="007D1681" w:rsidP="007D1681">
            <w:pPr>
              <w:pStyle w:val="Tabletext"/>
            </w:pPr>
            <w:r w:rsidRPr="00171577">
              <w:t>Subdivision 378-D</w:t>
            </w:r>
          </w:p>
        </w:tc>
      </w:tr>
      <w:tr w:rsidR="007D1681" w14:paraId="6D6BC317" w14:textId="77777777" w:rsidTr="007D1681">
        <w:tc>
          <w:tcPr>
            <w:tcW w:w="1696" w:type="dxa"/>
          </w:tcPr>
          <w:p w14:paraId="29670F9D" w14:textId="63DAB5FA" w:rsidR="007D1681" w:rsidRDefault="007D1681" w:rsidP="007D1681">
            <w:pPr>
              <w:pStyle w:val="Tabletext"/>
            </w:pPr>
            <w:r w:rsidRPr="000E77A9">
              <w:t>Amount of the tax offset?</w:t>
            </w:r>
          </w:p>
        </w:tc>
        <w:tc>
          <w:tcPr>
            <w:tcW w:w="3686" w:type="dxa"/>
          </w:tcPr>
          <w:p w14:paraId="71CED452" w14:textId="45B62C0A" w:rsidR="007D1681" w:rsidRDefault="007D1681" w:rsidP="007D1681">
            <w:pPr>
              <w:pStyle w:val="Tabletext"/>
            </w:pPr>
            <w:r w:rsidRPr="005E1755">
              <w:t xml:space="preserve">The amount of the tax offset is 30 per cent of </w:t>
            </w:r>
            <w:r w:rsidR="00F325DD">
              <w:t xml:space="preserve">a </w:t>
            </w:r>
            <w:r w:rsidR="0085001E">
              <w:t>company’s total</w:t>
            </w:r>
            <w:r w:rsidRPr="005E1755">
              <w:t xml:space="preserve"> qualifying Australian development expenditure</w:t>
            </w:r>
            <w:r w:rsidR="00F325DD">
              <w:t xml:space="preserve"> as determined by the Arts Minister under section 378-25. If the amount of </w:t>
            </w:r>
            <w:r w:rsidR="0085001E">
              <w:t>a company’s offset exceeds $20 million, the company’s offset is $20 million.</w:t>
            </w:r>
          </w:p>
        </w:tc>
        <w:tc>
          <w:tcPr>
            <w:tcW w:w="2319" w:type="dxa"/>
          </w:tcPr>
          <w:p w14:paraId="26B44946" w14:textId="302EBC59" w:rsidR="007D1681" w:rsidRDefault="007D1681" w:rsidP="007D1681">
            <w:pPr>
              <w:pStyle w:val="Tabletext"/>
            </w:pPr>
            <w:r w:rsidRPr="00171577">
              <w:t>Subdivision 378-B, section 378-15</w:t>
            </w:r>
          </w:p>
        </w:tc>
      </w:tr>
    </w:tbl>
    <w:p w14:paraId="758E0DC8" w14:textId="0AD7E7F6" w:rsidR="007D1681" w:rsidRPr="007D1681" w:rsidRDefault="007D1681" w:rsidP="00D77E17">
      <w:pPr>
        <w:pStyle w:val="Normalparatextwithnumbers"/>
        <w:numPr>
          <w:ilvl w:val="0"/>
          <w:numId w:val="0"/>
        </w:numPr>
        <w:ind w:left="709" w:hanging="709"/>
      </w:pPr>
    </w:p>
    <w:p w14:paraId="05A7DBE8" w14:textId="77777777" w:rsidR="00873094" w:rsidRPr="00020288" w:rsidRDefault="00873094" w:rsidP="00873094">
      <w:pPr>
        <w:pStyle w:val="Heading2"/>
        <w:numPr>
          <w:ilvl w:val="1"/>
          <w:numId w:val="2"/>
        </w:numPr>
        <w:tabs>
          <w:tab w:val="num" w:pos="567"/>
        </w:tabs>
        <w:ind w:left="567" w:hanging="567"/>
      </w:pPr>
      <w:bookmarkStart w:id="46" w:name="_Toc97046172"/>
      <w:r w:rsidRPr="00020288">
        <w:lastRenderedPageBreak/>
        <w:t>Detailed explanation of new law</w:t>
      </w:r>
      <w:bookmarkEnd w:id="46"/>
    </w:p>
    <w:p w14:paraId="483DCCAD" w14:textId="6FA4774C" w:rsidR="00D77E17" w:rsidRDefault="00D77E17" w:rsidP="00D77E17">
      <w:pPr>
        <w:pStyle w:val="Normalparatextwithnumbers"/>
        <w:numPr>
          <w:ilvl w:val="1"/>
          <w:numId w:val="3"/>
        </w:numPr>
      </w:pPr>
      <w:r>
        <w:t xml:space="preserve">The Digital Games Tax Offset is a </w:t>
      </w:r>
      <w:r w:rsidR="00D962B8">
        <w:t>refundable income tax offset available to</w:t>
      </w:r>
      <w:r>
        <w:t xml:space="preserve"> </w:t>
      </w:r>
      <w:r w:rsidR="00D962B8">
        <w:t>companies that develop</w:t>
      </w:r>
      <w:r>
        <w:t xml:space="preserve"> digital games</w:t>
      </w:r>
      <w:r w:rsidR="00D962B8">
        <w:t>. I</w:t>
      </w:r>
      <w:r>
        <w:t xml:space="preserve">t is designed to support and promote the growth of the Australian digital games industry by providing concessional tax treatment for Australian </w:t>
      </w:r>
      <w:r w:rsidR="00D962B8">
        <w:t xml:space="preserve">game development </w:t>
      </w:r>
      <w:r>
        <w:t>expenditure.</w:t>
      </w:r>
    </w:p>
    <w:p w14:paraId="05E1DC06" w14:textId="69227471" w:rsidR="00D77E17" w:rsidRDefault="00D77E17" w:rsidP="00D77E17">
      <w:pPr>
        <w:pStyle w:val="Normalparatextwithnumbers"/>
        <w:numPr>
          <w:ilvl w:val="1"/>
          <w:numId w:val="3"/>
        </w:numPr>
      </w:pPr>
      <w:r>
        <w:t xml:space="preserve">Division 378 of the ITAA 1997 is a new division providing for the Digital Games Tax Offset. </w:t>
      </w:r>
    </w:p>
    <w:p w14:paraId="44C2771F" w14:textId="71BD7A2B" w:rsidR="00D77E17" w:rsidRDefault="00D77E17" w:rsidP="00D77E17">
      <w:pPr>
        <w:pStyle w:val="Normalparatextwithnumbers"/>
        <w:numPr>
          <w:ilvl w:val="1"/>
          <w:numId w:val="3"/>
        </w:numPr>
      </w:pPr>
      <w:r>
        <w:t xml:space="preserve">Subdivision 378-A provides a guide to Division 378 by outlining the key features of the tax offset and the structure of the Division. </w:t>
      </w:r>
      <w:r w:rsidR="00C65BE8">
        <w:br/>
      </w:r>
      <w:r w:rsidR="00C65BE8" w:rsidRPr="00C65BE8">
        <w:rPr>
          <w:rStyle w:val="References"/>
        </w:rPr>
        <w:t xml:space="preserve">[Schedule </w:t>
      </w:r>
      <w:r w:rsidR="00C65BE8">
        <w:rPr>
          <w:rStyle w:val="References"/>
        </w:rPr>
        <w:t>#</w:t>
      </w:r>
      <w:r w:rsidR="00C65BE8" w:rsidRPr="00C65BE8">
        <w:rPr>
          <w:rStyle w:val="References"/>
        </w:rPr>
        <w:t>, item</w:t>
      </w:r>
      <w:r w:rsidR="007F28EB">
        <w:rPr>
          <w:rStyle w:val="References"/>
        </w:rPr>
        <w:t xml:space="preserve"> </w:t>
      </w:r>
      <w:r w:rsidR="00C65BE8">
        <w:rPr>
          <w:rStyle w:val="References"/>
        </w:rPr>
        <w:t>2</w:t>
      </w:r>
      <w:r w:rsidR="00C65BE8" w:rsidRPr="00C65BE8">
        <w:rPr>
          <w:rStyle w:val="References"/>
        </w:rPr>
        <w:t xml:space="preserve">, </w:t>
      </w:r>
      <w:r w:rsidR="00C65BE8">
        <w:rPr>
          <w:rStyle w:val="References"/>
        </w:rPr>
        <w:t>section</w:t>
      </w:r>
      <w:r w:rsidR="00553F42">
        <w:rPr>
          <w:rStyle w:val="References"/>
        </w:rPr>
        <w:t>s</w:t>
      </w:r>
      <w:r w:rsidR="00C65BE8">
        <w:rPr>
          <w:rStyle w:val="References"/>
        </w:rPr>
        <w:t xml:space="preserve"> 378-1</w:t>
      </w:r>
      <w:r w:rsidR="00553F42">
        <w:rPr>
          <w:rStyle w:val="References"/>
        </w:rPr>
        <w:t xml:space="preserve"> and 378-5</w:t>
      </w:r>
      <w:r w:rsidR="00C65BE8">
        <w:rPr>
          <w:rStyle w:val="References"/>
        </w:rPr>
        <w:t xml:space="preserve"> of the ITAA 1997</w:t>
      </w:r>
      <w:r w:rsidR="00C65BE8" w:rsidRPr="00C65BE8">
        <w:rPr>
          <w:rStyle w:val="References"/>
        </w:rPr>
        <w:t>]</w:t>
      </w:r>
    </w:p>
    <w:p w14:paraId="3E738DC4" w14:textId="7B3C970A" w:rsidR="00033231" w:rsidRDefault="00033231" w:rsidP="00567E8E">
      <w:pPr>
        <w:pStyle w:val="Heading3"/>
      </w:pPr>
      <w:bookmarkStart w:id="47" w:name="_Toc97046173"/>
      <w:r>
        <w:t xml:space="preserve">Key </w:t>
      </w:r>
      <w:r w:rsidR="00111B56">
        <w:t xml:space="preserve">features </w:t>
      </w:r>
      <w:r>
        <w:t>of the tax offset</w:t>
      </w:r>
      <w:bookmarkEnd w:id="47"/>
    </w:p>
    <w:p w14:paraId="5EB14791" w14:textId="20BAC01D" w:rsidR="002D695F" w:rsidRDefault="002D695F" w:rsidP="002D695F">
      <w:pPr>
        <w:pStyle w:val="Normalparatextwithnumbers"/>
        <w:numPr>
          <w:ilvl w:val="1"/>
          <w:numId w:val="3"/>
        </w:numPr>
      </w:pPr>
      <w:r>
        <w:t xml:space="preserve">The </w:t>
      </w:r>
      <w:r w:rsidR="00C31BAC">
        <w:t>Digital Games Tax Offset</w:t>
      </w:r>
      <w:r>
        <w:t xml:space="preserve"> is available to a</w:t>
      </w:r>
      <w:r w:rsidR="004D1DA6">
        <w:t xml:space="preserve">n eligible </w:t>
      </w:r>
      <w:r w:rsidR="00553F42">
        <w:t>company and</w:t>
      </w:r>
      <w:r w:rsidR="004D1DA6">
        <w:t xml:space="preserve"> is calculated with reference to </w:t>
      </w:r>
      <w:r>
        <w:t>the qualifying Australian development expenditure</w:t>
      </w:r>
      <w:r w:rsidR="0085001E">
        <w:t xml:space="preserve"> incurred by the company</w:t>
      </w:r>
      <w:r w:rsidR="004D1DA6">
        <w:t xml:space="preserve">. A company is eligible for an offset </w:t>
      </w:r>
      <w:r>
        <w:t>when the following conditions are met:</w:t>
      </w:r>
    </w:p>
    <w:p w14:paraId="026168B5" w14:textId="7FDC704E" w:rsidR="000F37B0" w:rsidRDefault="000F37B0" w:rsidP="000F37B0">
      <w:pPr>
        <w:pStyle w:val="Dotpoint1"/>
      </w:pPr>
      <w:r>
        <w:t>a certificate has been issued</w:t>
      </w:r>
      <w:r w:rsidR="004D1DA6">
        <w:t xml:space="preserve"> by the Arts Minister</w:t>
      </w:r>
      <w:r>
        <w:t xml:space="preserve"> for the completion of a new game</w:t>
      </w:r>
      <w:r w:rsidR="004D1DA6">
        <w:t xml:space="preserve">, </w:t>
      </w:r>
      <w:r>
        <w:t>the porting of a digital game to a new platform</w:t>
      </w:r>
      <w:r w:rsidR="0087032D">
        <w:t>,</w:t>
      </w:r>
      <w:r>
        <w:t xml:space="preserve"> or for ongoing development of </w:t>
      </w:r>
      <w:r w:rsidR="0087032D">
        <w:t xml:space="preserve">one or more </w:t>
      </w:r>
      <w:r>
        <w:t>existing digital game</w:t>
      </w:r>
      <w:r w:rsidR="0087032D">
        <w:t>s</w:t>
      </w:r>
      <w:r>
        <w:t xml:space="preserve"> during an income year; </w:t>
      </w:r>
      <w:r w:rsidR="0087032D">
        <w:t>and</w:t>
      </w:r>
    </w:p>
    <w:p w14:paraId="6DFA8F9D" w14:textId="0F207794" w:rsidR="000F37B0" w:rsidRDefault="004D1DA6" w:rsidP="000F37B0">
      <w:pPr>
        <w:pStyle w:val="Dotpoint1"/>
      </w:pPr>
      <w:r>
        <w:t xml:space="preserve">the company claims </w:t>
      </w:r>
      <w:r w:rsidR="000F37B0">
        <w:t xml:space="preserve">the offset in </w:t>
      </w:r>
      <w:r>
        <w:t>its</w:t>
      </w:r>
      <w:r w:rsidR="000F37B0">
        <w:t xml:space="preserve"> income tax return </w:t>
      </w:r>
      <w:r>
        <w:t xml:space="preserve">in respect of </w:t>
      </w:r>
      <w:r w:rsidR="00151E86">
        <w:t>the</w:t>
      </w:r>
      <w:r>
        <w:t xml:space="preserve"> income year</w:t>
      </w:r>
      <w:r w:rsidR="00294201">
        <w:t>.</w:t>
      </w:r>
    </w:p>
    <w:p w14:paraId="1AE7F505" w14:textId="21F92A56" w:rsidR="00137533" w:rsidRDefault="00C23B44" w:rsidP="008B243B">
      <w:pPr>
        <w:pStyle w:val="Dotpoint1"/>
        <w:numPr>
          <w:ilvl w:val="0"/>
          <w:numId w:val="0"/>
        </w:numPr>
        <w:ind w:left="1418"/>
        <w:rPr>
          <w:rStyle w:val="References"/>
        </w:rPr>
      </w:pPr>
      <w:r w:rsidRPr="000F37B0">
        <w:rPr>
          <w:rStyle w:val="References"/>
        </w:rPr>
        <w:t xml:space="preserve">[Schedule </w:t>
      </w:r>
      <w:r>
        <w:rPr>
          <w:rStyle w:val="References"/>
        </w:rPr>
        <w:t>#</w:t>
      </w:r>
      <w:r w:rsidRPr="000F37B0">
        <w:rPr>
          <w:rStyle w:val="References"/>
        </w:rPr>
        <w:t xml:space="preserve">, item </w:t>
      </w:r>
      <w:r>
        <w:rPr>
          <w:rStyle w:val="References"/>
        </w:rPr>
        <w:t>2</w:t>
      </w:r>
      <w:r w:rsidRPr="000F37B0">
        <w:rPr>
          <w:rStyle w:val="References"/>
        </w:rPr>
        <w:t>, section 378-</w:t>
      </w:r>
      <w:r>
        <w:rPr>
          <w:rStyle w:val="References"/>
        </w:rPr>
        <w:t>2</w:t>
      </w:r>
      <w:r w:rsidRPr="000F37B0">
        <w:rPr>
          <w:rStyle w:val="References"/>
        </w:rPr>
        <w:t xml:space="preserve"> of ITAA 1997] </w:t>
      </w:r>
    </w:p>
    <w:p w14:paraId="7F867131" w14:textId="6F23041B" w:rsidR="00241142" w:rsidRDefault="00C23B44" w:rsidP="008B243B">
      <w:pPr>
        <w:pStyle w:val="Normalparatextwithnumbers"/>
      </w:pPr>
      <w:r w:rsidRPr="008560AD">
        <w:t xml:space="preserve">The </w:t>
      </w:r>
      <w:r>
        <w:t>Digital Games Ta</w:t>
      </w:r>
      <w:r w:rsidRPr="008560AD">
        <w:t xml:space="preserve">x </w:t>
      </w:r>
      <w:r>
        <w:t>O</w:t>
      </w:r>
      <w:r w:rsidRPr="008560AD">
        <w:t xml:space="preserve">ffset is 30 per cent of </w:t>
      </w:r>
      <w:r>
        <w:t>a</w:t>
      </w:r>
      <w:r w:rsidRPr="008560AD">
        <w:t xml:space="preserve"> company’s total qualifying Australian development expenditure on </w:t>
      </w:r>
      <w:r>
        <w:t xml:space="preserve">new or existing </w:t>
      </w:r>
      <w:r w:rsidRPr="008560AD">
        <w:t>digital game</w:t>
      </w:r>
      <w:r>
        <w:t>s</w:t>
      </w:r>
      <w:r w:rsidRPr="008560AD">
        <w:t xml:space="preserve">. </w:t>
      </w:r>
      <w:r w:rsidR="00137533">
        <w:t>The amount of the company’s qualifying Australian development expenditure on the game is determined by the Arts Minister under section 378-25.</w:t>
      </w:r>
      <w:r w:rsidR="00241142">
        <w:t xml:space="preserve"> </w:t>
      </w:r>
      <w:r w:rsidR="00241142">
        <w:br/>
      </w:r>
      <w:r w:rsidR="00831AD3">
        <w:rPr>
          <w:rStyle w:val="References"/>
        </w:rPr>
        <w:t>[Schedule #, item 2, section 378-15 of ITAA 1997]</w:t>
      </w:r>
    </w:p>
    <w:p w14:paraId="3E652C72" w14:textId="241A3131" w:rsidR="00C23B44" w:rsidRDefault="00C23B44" w:rsidP="00C23B44">
      <w:pPr>
        <w:pStyle w:val="Normalparatextwithnumbers"/>
      </w:pPr>
      <w:r>
        <w:t>The Digital Games Tax Offset is a refundable tax offset. A refund of the tax offset will occur where the total of the offsets exceeds the amount of income tax and other tax liabilities that the company would have to pay if it had not received those tax offsets (but had received all its other tax offsets</w:t>
      </w:r>
      <w:r w:rsidR="00553F42">
        <w:t>)</w:t>
      </w:r>
      <w:r>
        <w:t xml:space="preserve">. Any amount of offset applied against tax liabilities or refunded to a company would not be assessable income for income tax purposes. </w:t>
      </w:r>
    </w:p>
    <w:p w14:paraId="39F32C99" w14:textId="1193A7FB" w:rsidR="00C23B44" w:rsidRDefault="00C23B44" w:rsidP="00831AD3">
      <w:pPr>
        <w:pStyle w:val="Normalparatextwithnumbers"/>
        <w:numPr>
          <w:ilvl w:val="0"/>
          <w:numId w:val="0"/>
        </w:numPr>
        <w:ind w:firstLine="709"/>
        <w:rPr>
          <w:rStyle w:val="Referencingstyle"/>
          <w:sz w:val="22"/>
        </w:rPr>
      </w:pPr>
      <w:r w:rsidRPr="00CB5BF1">
        <w:rPr>
          <w:rStyle w:val="Referencingstyle"/>
          <w:sz w:val="22"/>
        </w:rPr>
        <w:t>[Schedule #, item 1, section 6</w:t>
      </w:r>
      <w:r w:rsidR="00553F42">
        <w:rPr>
          <w:rStyle w:val="Referencingstyle"/>
          <w:sz w:val="22"/>
        </w:rPr>
        <w:t>7-23</w:t>
      </w:r>
      <w:r w:rsidRPr="00CB5BF1">
        <w:rPr>
          <w:rStyle w:val="Referencingstyle"/>
          <w:sz w:val="22"/>
        </w:rPr>
        <w:t xml:space="preserve"> of the ITAA 1997</w:t>
      </w:r>
      <w:r w:rsidR="00831AD3">
        <w:rPr>
          <w:rStyle w:val="Referencingstyle"/>
          <w:sz w:val="22"/>
        </w:rPr>
        <w:t>]</w:t>
      </w:r>
    </w:p>
    <w:p w14:paraId="1DD01B78" w14:textId="77777777" w:rsidR="00137533" w:rsidRDefault="00137533" w:rsidP="00137533">
      <w:pPr>
        <w:pStyle w:val="Normalparatextwithnumbers"/>
      </w:pPr>
      <w:r w:rsidRPr="008560AD">
        <w:t xml:space="preserve">The amount of the offset is capped at $20 million per company, per income year even if the company applied for multiple certificates in the income year. </w:t>
      </w:r>
      <w:r>
        <w:t>For example, t</w:t>
      </w:r>
      <w:r w:rsidRPr="008560AD">
        <w:t>o reach this cap, a company would require $66.7 million of qualifying Australian development expenditure in an income year.</w:t>
      </w:r>
      <w:r>
        <w:t xml:space="preserve"> Integrity </w:t>
      </w:r>
      <w:r>
        <w:lastRenderedPageBreak/>
        <w:t xml:space="preserve">rules exist to ensure the cap remains effective across closely affiliated companies and consolidated groups. </w:t>
      </w:r>
      <w:r w:rsidRPr="008560AD">
        <w:t xml:space="preserve"> </w:t>
      </w:r>
    </w:p>
    <w:p w14:paraId="093EA059" w14:textId="35C447B3" w:rsidR="00137533" w:rsidRDefault="00137533" w:rsidP="008E6231">
      <w:pPr>
        <w:pStyle w:val="Normalparatextwithnumbers"/>
        <w:rPr>
          <w:rStyle w:val="References"/>
          <w:b w:val="0"/>
          <w:bCs w:val="0"/>
          <w:i w:val="0"/>
          <w:iCs w:val="0"/>
        </w:rPr>
      </w:pPr>
      <w:r>
        <w:rPr>
          <w:rStyle w:val="References"/>
          <w:b w:val="0"/>
          <w:bCs w:val="0"/>
          <w:i w:val="0"/>
          <w:iCs w:val="0"/>
        </w:rPr>
        <w:t xml:space="preserve">This cap applies to the offset for a single company. But the cap also applies to </w:t>
      </w:r>
      <w:r w:rsidR="004308F2">
        <w:rPr>
          <w:rStyle w:val="References"/>
          <w:b w:val="0"/>
          <w:bCs w:val="0"/>
          <w:i w:val="0"/>
          <w:iCs w:val="0"/>
        </w:rPr>
        <w:t xml:space="preserve">any amount of cumulative offset to which </w:t>
      </w:r>
      <w:r>
        <w:rPr>
          <w:rStyle w:val="References"/>
          <w:b w:val="0"/>
          <w:bCs w:val="0"/>
          <w:i w:val="0"/>
          <w:iCs w:val="0"/>
        </w:rPr>
        <w:t>a group o</w:t>
      </w:r>
      <w:r w:rsidR="004308F2">
        <w:rPr>
          <w:rStyle w:val="References"/>
          <w:b w:val="0"/>
          <w:bCs w:val="0"/>
          <w:i w:val="0"/>
          <w:iCs w:val="0"/>
        </w:rPr>
        <w:t xml:space="preserve">f related companies would be entitled to. A related company is a company </w:t>
      </w:r>
      <w:r w:rsidR="00214660">
        <w:rPr>
          <w:rStyle w:val="References"/>
          <w:b w:val="0"/>
          <w:bCs w:val="0"/>
          <w:i w:val="0"/>
          <w:iCs w:val="0"/>
        </w:rPr>
        <w:t xml:space="preserve">that is connected with or is an affiliate of a company.  </w:t>
      </w:r>
    </w:p>
    <w:p w14:paraId="45FF7877" w14:textId="5D69D107" w:rsidR="00214660" w:rsidRDefault="004250A2" w:rsidP="008E6231">
      <w:pPr>
        <w:pStyle w:val="Normalparatextwithnumbers"/>
        <w:rPr>
          <w:rStyle w:val="References"/>
          <w:b w:val="0"/>
          <w:bCs w:val="0"/>
          <w:i w:val="0"/>
          <w:iCs w:val="0"/>
        </w:rPr>
      </w:pPr>
      <w:r>
        <w:rPr>
          <w:rStyle w:val="References"/>
          <w:b w:val="0"/>
          <w:bCs w:val="0"/>
          <w:i w:val="0"/>
          <w:iCs w:val="0"/>
        </w:rPr>
        <w:t>The definitions of a company’s affiliate and where a company is connected to another company are provided in sections 328-130 and 328-125 of the ITAA 1997 respectively. Generally, a</w:t>
      </w:r>
      <w:r w:rsidR="00214660">
        <w:rPr>
          <w:rStyle w:val="References"/>
          <w:b w:val="0"/>
          <w:bCs w:val="0"/>
          <w:i w:val="0"/>
          <w:iCs w:val="0"/>
        </w:rPr>
        <w:t xml:space="preserve">n affiliate of a company is a company which </w:t>
      </w:r>
      <w:r>
        <w:rPr>
          <w:rStyle w:val="References"/>
          <w:b w:val="0"/>
          <w:bCs w:val="0"/>
          <w:i w:val="0"/>
          <w:iCs w:val="0"/>
        </w:rPr>
        <w:t>acts, or could reasonably be expected to act, in accordance with the first company’s direction or wishes</w:t>
      </w:r>
      <w:r w:rsidR="000111AD">
        <w:rPr>
          <w:rStyle w:val="References"/>
          <w:b w:val="0"/>
          <w:bCs w:val="0"/>
          <w:i w:val="0"/>
          <w:iCs w:val="0"/>
        </w:rPr>
        <w:t xml:space="preserve">. </w:t>
      </w:r>
    </w:p>
    <w:p w14:paraId="19C99E46" w14:textId="465C23D2" w:rsidR="00987260" w:rsidRDefault="007C3C8C" w:rsidP="008E6231">
      <w:pPr>
        <w:pStyle w:val="Normalparatextwithnumbers"/>
        <w:rPr>
          <w:rStyle w:val="References"/>
          <w:b w:val="0"/>
          <w:bCs w:val="0"/>
          <w:i w:val="0"/>
          <w:iCs w:val="0"/>
        </w:rPr>
      </w:pPr>
      <w:r>
        <w:rPr>
          <w:rStyle w:val="References"/>
          <w:b w:val="0"/>
          <w:bCs w:val="0"/>
          <w:i w:val="0"/>
          <w:iCs w:val="0"/>
        </w:rPr>
        <w:t xml:space="preserve">Applying the cap across a company and its related companies is an integrity measure aimed at addressing corporate structuring specifically design to defeat the $20 million offset cap. </w:t>
      </w:r>
    </w:p>
    <w:p w14:paraId="62C2D7A2" w14:textId="7DC9966E" w:rsidR="00987260" w:rsidRDefault="00214660" w:rsidP="008E6231">
      <w:pPr>
        <w:pStyle w:val="Normalparatextwithnumbers"/>
        <w:rPr>
          <w:rStyle w:val="References"/>
          <w:b w:val="0"/>
          <w:bCs w:val="0"/>
          <w:i w:val="0"/>
          <w:iCs w:val="0"/>
        </w:rPr>
      </w:pPr>
      <w:r>
        <w:rPr>
          <w:rStyle w:val="References"/>
          <w:b w:val="0"/>
          <w:bCs w:val="0"/>
          <w:i w:val="0"/>
          <w:iCs w:val="0"/>
        </w:rPr>
        <w:t>When the cumulative offset for a company and its related companies exceeds $20 million, th</w:t>
      </w:r>
      <w:r w:rsidR="00987260">
        <w:rPr>
          <w:rStyle w:val="References"/>
          <w:b w:val="0"/>
          <w:bCs w:val="0"/>
          <w:i w:val="0"/>
          <w:iCs w:val="0"/>
        </w:rPr>
        <w:t xml:space="preserve">e company and its related companies must </w:t>
      </w:r>
      <w:r w:rsidR="007C3C8C">
        <w:rPr>
          <w:rStyle w:val="References"/>
          <w:b w:val="0"/>
          <w:bCs w:val="0"/>
          <w:i w:val="0"/>
          <w:iCs w:val="0"/>
        </w:rPr>
        <w:t xml:space="preserve">each </w:t>
      </w:r>
      <w:r w:rsidR="00987260">
        <w:rPr>
          <w:rStyle w:val="References"/>
          <w:b w:val="0"/>
          <w:bCs w:val="0"/>
          <w:i w:val="0"/>
          <w:iCs w:val="0"/>
        </w:rPr>
        <w:t xml:space="preserve">provide the Commissioner with a notice in the approved form specifying an amount that will be that company’s digital games tax offset in relation to that income year. The amount nominated in </w:t>
      </w:r>
      <w:r w:rsidR="00A22867">
        <w:rPr>
          <w:rStyle w:val="References"/>
          <w:b w:val="0"/>
          <w:bCs w:val="0"/>
          <w:i w:val="0"/>
          <w:iCs w:val="0"/>
        </w:rPr>
        <w:t>each company’s</w:t>
      </w:r>
      <w:r w:rsidR="00987260">
        <w:rPr>
          <w:rStyle w:val="References"/>
          <w:b w:val="0"/>
          <w:bCs w:val="0"/>
          <w:i w:val="0"/>
          <w:iCs w:val="0"/>
        </w:rPr>
        <w:t xml:space="preserve"> notice cannot be greater than the </w:t>
      </w:r>
      <w:r w:rsidR="00A22867">
        <w:rPr>
          <w:rStyle w:val="References"/>
          <w:b w:val="0"/>
          <w:bCs w:val="0"/>
          <w:i w:val="0"/>
          <w:iCs w:val="0"/>
        </w:rPr>
        <w:t xml:space="preserve">offset that the company would have been entitled to </w:t>
      </w:r>
      <w:proofErr w:type="gramStart"/>
      <w:r w:rsidR="00A22867">
        <w:rPr>
          <w:rStyle w:val="References"/>
          <w:b w:val="0"/>
          <w:bCs w:val="0"/>
          <w:i w:val="0"/>
          <w:iCs w:val="0"/>
        </w:rPr>
        <w:t>had</w:t>
      </w:r>
      <w:proofErr w:type="gramEnd"/>
      <w:r w:rsidR="00A22867">
        <w:rPr>
          <w:rStyle w:val="References"/>
          <w:b w:val="0"/>
          <w:bCs w:val="0"/>
          <w:i w:val="0"/>
          <w:iCs w:val="0"/>
        </w:rPr>
        <w:t xml:space="preserve"> the cap not applied in this way. </w:t>
      </w:r>
    </w:p>
    <w:p w14:paraId="705A0361" w14:textId="4C84EF7E" w:rsidR="004308F2" w:rsidRDefault="00A22867" w:rsidP="008E6231">
      <w:pPr>
        <w:pStyle w:val="Normalparatextwithnumbers"/>
        <w:rPr>
          <w:rStyle w:val="References"/>
          <w:b w:val="0"/>
          <w:bCs w:val="0"/>
          <w:i w:val="0"/>
          <w:iCs w:val="0"/>
        </w:rPr>
      </w:pPr>
      <w:r>
        <w:rPr>
          <w:rStyle w:val="References"/>
          <w:b w:val="0"/>
          <w:bCs w:val="0"/>
          <w:i w:val="0"/>
          <w:iCs w:val="0"/>
        </w:rPr>
        <w:t>The amount on the notice provided to</w:t>
      </w:r>
      <w:r w:rsidR="007C3C8C">
        <w:rPr>
          <w:rStyle w:val="References"/>
          <w:b w:val="0"/>
          <w:bCs w:val="0"/>
          <w:i w:val="0"/>
          <w:iCs w:val="0"/>
        </w:rPr>
        <w:t xml:space="preserve"> the </w:t>
      </w:r>
      <w:r w:rsidR="00CD05A2">
        <w:rPr>
          <w:rStyle w:val="References"/>
          <w:b w:val="0"/>
          <w:bCs w:val="0"/>
          <w:i w:val="0"/>
          <w:iCs w:val="0"/>
        </w:rPr>
        <w:t>C</w:t>
      </w:r>
      <w:r w:rsidR="007C3C8C">
        <w:rPr>
          <w:rStyle w:val="References"/>
          <w:b w:val="0"/>
          <w:bCs w:val="0"/>
          <w:i w:val="0"/>
          <w:iCs w:val="0"/>
        </w:rPr>
        <w:t>ommissioner by a company is that company’s digital games tax offset, provided that t</w:t>
      </w:r>
      <w:r>
        <w:rPr>
          <w:rStyle w:val="References"/>
          <w:b w:val="0"/>
          <w:bCs w:val="0"/>
          <w:i w:val="0"/>
          <w:iCs w:val="0"/>
        </w:rPr>
        <w:t xml:space="preserve">he sum of notices provided to the Commissioner by the </w:t>
      </w:r>
      <w:r w:rsidR="007C3C8C">
        <w:rPr>
          <w:rStyle w:val="References"/>
          <w:b w:val="0"/>
          <w:bCs w:val="0"/>
          <w:i w:val="0"/>
          <w:iCs w:val="0"/>
        </w:rPr>
        <w:t xml:space="preserve">company and its </w:t>
      </w:r>
      <w:r>
        <w:rPr>
          <w:rStyle w:val="References"/>
          <w:b w:val="0"/>
          <w:bCs w:val="0"/>
          <w:i w:val="0"/>
          <w:iCs w:val="0"/>
        </w:rPr>
        <w:t xml:space="preserve">related companies </w:t>
      </w:r>
      <w:r w:rsidR="007C3C8C">
        <w:rPr>
          <w:rStyle w:val="References"/>
          <w:b w:val="0"/>
          <w:bCs w:val="0"/>
          <w:i w:val="0"/>
          <w:iCs w:val="0"/>
        </w:rPr>
        <w:t>does not</w:t>
      </w:r>
      <w:r>
        <w:rPr>
          <w:rStyle w:val="References"/>
          <w:b w:val="0"/>
          <w:bCs w:val="0"/>
          <w:i w:val="0"/>
          <w:iCs w:val="0"/>
        </w:rPr>
        <w:t xml:space="preserve"> exceed $20 million. </w:t>
      </w:r>
    </w:p>
    <w:p w14:paraId="26EB03CA" w14:textId="0DE5A80A" w:rsidR="007C3C8C" w:rsidRDefault="007C3C8C" w:rsidP="008E6231">
      <w:pPr>
        <w:pStyle w:val="Normalparatextwithnumbers"/>
        <w:rPr>
          <w:rStyle w:val="References"/>
          <w:b w:val="0"/>
          <w:bCs w:val="0"/>
          <w:i w:val="0"/>
          <w:iCs w:val="0"/>
        </w:rPr>
      </w:pPr>
      <w:r>
        <w:rPr>
          <w:rStyle w:val="References"/>
          <w:b w:val="0"/>
          <w:bCs w:val="0"/>
          <w:i w:val="0"/>
          <w:iCs w:val="0"/>
        </w:rPr>
        <w:t xml:space="preserve">If no notice is lodged by a company and its related companies, the digital games tax offset reduces to nil for that income year for the company and its related companies. </w:t>
      </w:r>
    </w:p>
    <w:p w14:paraId="3E6C3650" w14:textId="6FE4F9D0" w:rsidR="004250A2" w:rsidRPr="00137533" w:rsidRDefault="004250A2" w:rsidP="008B243B">
      <w:pPr>
        <w:pStyle w:val="Normalparatextwithnumbers"/>
        <w:numPr>
          <w:ilvl w:val="0"/>
          <w:numId w:val="0"/>
        </w:numPr>
        <w:ind w:left="709"/>
        <w:rPr>
          <w:rStyle w:val="References"/>
          <w:b w:val="0"/>
          <w:bCs w:val="0"/>
          <w:i w:val="0"/>
          <w:iCs w:val="0"/>
        </w:rPr>
      </w:pPr>
      <w:r>
        <w:rPr>
          <w:rStyle w:val="References"/>
        </w:rPr>
        <w:t>[Schedule #, item 2, section 378-15 of the ITAA 1997]</w:t>
      </w:r>
    </w:p>
    <w:p w14:paraId="41C20503" w14:textId="4993AD95" w:rsidR="000C4250" w:rsidRDefault="00CF0D81" w:rsidP="007E2C17">
      <w:pPr>
        <w:pStyle w:val="Heading4"/>
      </w:pPr>
      <w:r>
        <w:t>Eligibility for the Digital Games Tax Offset</w:t>
      </w:r>
    </w:p>
    <w:p w14:paraId="3AB9E0A4" w14:textId="417713C8" w:rsidR="000C4250" w:rsidRDefault="005C10D5" w:rsidP="008560AD">
      <w:pPr>
        <w:pStyle w:val="Heading5"/>
      </w:pPr>
      <w:r>
        <w:t xml:space="preserve"> Company </w:t>
      </w:r>
      <w:r w:rsidR="00C23B44">
        <w:t xml:space="preserve">Eligibility </w:t>
      </w:r>
    </w:p>
    <w:p w14:paraId="78BA841E" w14:textId="2B2DACA5" w:rsidR="00472774" w:rsidRDefault="00472774" w:rsidP="00472774">
      <w:pPr>
        <w:pStyle w:val="Normalparatextwithnumbers"/>
      </w:pPr>
      <w:r w:rsidRPr="00472774">
        <w:t xml:space="preserve">Only </w:t>
      </w:r>
      <w:r w:rsidR="00A35353">
        <w:t xml:space="preserve">entities that are </w:t>
      </w:r>
      <w:r w:rsidRPr="00472774">
        <w:t>companies</w:t>
      </w:r>
      <w:r w:rsidR="00A35353">
        <w:t xml:space="preserve"> for tax purposes</w:t>
      </w:r>
      <w:r w:rsidRPr="00472774">
        <w:t xml:space="preserve"> are entitled to this offset. A company is entitled to the offset for an income year if</w:t>
      </w:r>
      <w:r>
        <w:t>:</w:t>
      </w:r>
    </w:p>
    <w:p w14:paraId="2C5F2DA4" w14:textId="31D9FA30" w:rsidR="00472774" w:rsidRDefault="00472774" w:rsidP="00472774">
      <w:pPr>
        <w:pStyle w:val="Dotpoint1"/>
      </w:pPr>
      <w:r>
        <w:t xml:space="preserve">it is an Australian resident company, or an Australian permanent establishment of a non-resident company </w:t>
      </w:r>
      <w:r w:rsidR="004202BD">
        <w:t>when</w:t>
      </w:r>
      <w:r w:rsidR="004202BD" w:rsidRPr="00294201">
        <w:t xml:space="preserve"> </w:t>
      </w:r>
      <w:r w:rsidRPr="000A5621">
        <w:t>it lodges the income tax return and when the tax offset is due to be credited;</w:t>
      </w:r>
      <w:r w:rsidRPr="00294201">
        <w:t xml:space="preserve"> and</w:t>
      </w:r>
    </w:p>
    <w:p w14:paraId="5A66C67E" w14:textId="103EB3A7" w:rsidR="00472774" w:rsidRDefault="00472774" w:rsidP="00472774">
      <w:pPr>
        <w:pStyle w:val="Dotpoint1"/>
      </w:pPr>
      <w:r>
        <w:t xml:space="preserve">the Arts Minister has issued to </w:t>
      </w:r>
      <w:r w:rsidR="00151E86">
        <w:t>the company</w:t>
      </w:r>
      <w:r>
        <w:t xml:space="preserve"> one or more certificates; and</w:t>
      </w:r>
    </w:p>
    <w:p w14:paraId="33FF6144" w14:textId="507ED8E5" w:rsidR="00472774" w:rsidRDefault="00151E86" w:rsidP="001E358A">
      <w:pPr>
        <w:pStyle w:val="Dotpoint1"/>
      </w:pPr>
      <w:r>
        <w:t>the company</w:t>
      </w:r>
      <w:r w:rsidR="00472774">
        <w:t xml:space="preserve"> claims the offset in its income tax return for the </w:t>
      </w:r>
      <w:r w:rsidR="00CA0A5B">
        <w:t xml:space="preserve">income </w:t>
      </w:r>
      <w:r w:rsidR="00472774">
        <w:t>year.</w:t>
      </w:r>
    </w:p>
    <w:p w14:paraId="12EDBCB5" w14:textId="2D53B11E" w:rsidR="00472774" w:rsidRPr="00472774" w:rsidRDefault="00472774" w:rsidP="00472774">
      <w:pPr>
        <w:pStyle w:val="Referenceafterdotpoint"/>
      </w:pPr>
      <w:r>
        <w:lastRenderedPageBreak/>
        <w:t xml:space="preserve">[Schedule </w:t>
      </w:r>
      <w:r w:rsidR="00294201">
        <w:t>#</w:t>
      </w:r>
      <w:r>
        <w:t xml:space="preserve">, item </w:t>
      </w:r>
      <w:r w:rsidR="00294201">
        <w:t>2</w:t>
      </w:r>
      <w:r>
        <w:t xml:space="preserve">, </w:t>
      </w:r>
      <w:r w:rsidRPr="00472774">
        <w:t>section 378-10 of the ITAA 1997</w:t>
      </w:r>
      <w:r>
        <w:t xml:space="preserve">] </w:t>
      </w:r>
    </w:p>
    <w:p w14:paraId="4436A966" w14:textId="2159AB49" w:rsidR="008560AD" w:rsidRDefault="001E358A" w:rsidP="008B243B">
      <w:pPr>
        <w:pStyle w:val="Normalparatextwithnumbers"/>
      </w:pPr>
      <w:r>
        <w:t xml:space="preserve">The </w:t>
      </w:r>
      <w:r w:rsidR="00151E86">
        <w:t xml:space="preserve">purpose of the </w:t>
      </w:r>
      <w:r>
        <w:t xml:space="preserve">residency or permanent establishment requirement is to ensure that </w:t>
      </w:r>
      <w:r w:rsidR="001E0950">
        <w:t>only</w:t>
      </w:r>
      <w:r>
        <w:t xml:space="preserve"> compan</w:t>
      </w:r>
      <w:r w:rsidR="001E0950">
        <w:t>ies</w:t>
      </w:r>
      <w:r>
        <w:t xml:space="preserve"> that carr</w:t>
      </w:r>
      <w:r w:rsidR="001E0950">
        <w:t>y</w:t>
      </w:r>
      <w:r>
        <w:t xml:space="preserve"> on</w:t>
      </w:r>
      <w:r w:rsidR="00151E86">
        <w:t xml:space="preserve"> their game development</w:t>
      </w:r>
      <w:r>
        <w:t xml:space="preserve"> business in Australia </w:t>
      </w:r>
      <w:r w:rsidR="001E0950">
        <w:t>are</w:t>
      </w:r>
      <w:r>
        <w:t xml:space="preserve"> eligible for the offse</w:t>
      </w:r>
      <w:r w:rsidR="004202BD">
        <w:t>t.</w:t>
      </w:r>
    </w:p>
    <w:p w14:paraId="79795290" w14:textId="698FB1B8" w:rsidR="00BC0313" w:rsidRDefault="00BC0313" w:rsidP="00BC0313">
      <w:pPr>
        <w:pStyle w:val="Normalparatextwithnumbers"/>
        <w:numPr>
          <w:ilvl w:val="1"/>
          <w:numId w:val="3"/>
        </w:numPr>
      </w:pPr>
      <w:r>
        <w:t>Section 378-20</w:t>
      </w:r>
      <w:r w:rsidR="00860419">
        <w:t>(8)</w:t>
      </w:r>
      <w:r>
        <w:t xml:space="preserve"> outlines</w:t>
      </w:r>
      <w:r w:rsidR="000C4288">
        <w:t xml:space="preserve"> </w:t>
      </w:r>
      <w:r w:rsidR="00EC5508">
        <w:t xml:space="preserve">when </w:t>
      </w:r>
      <w:r w:rsidR="000C4288">
        <w:t>companies</w:t>
      </w:r>
      <w:r w:rsidR="0039694A">
        <w:t xml:space="preserve"> </w:t>
      </w:r>
      <w:r w:rsidR="000C4288">
        <w:t>are</w:t>
      </w:r>
      <w:r>
        <w:t xml:space="preserve"> eligible for a certificate and when that </w:t>
      </w:r>
      <w:r w:rsidR="000C4288">
        <w:t xml:space="preserve">company </w:t>
      </w:r>
      <w:r>
        <w:t>is eligible for the certificate in rel</w:t>
      </w:r>
      <w:r w:rsidRPr="009D63B2">
        <w:t>ation to a game. The certification process is outlined in subdivision 378-D and paragraphs</w:t>
      </w:r>
      <w:r w:rsidR="009D63B2" w:rsidRPr="009D63B2">
        <w:t xml:space="preserve"> </w:t>
      </w:r>
      <w:r w:rsidR="009D63B2" w:rsidRPr="009D63B2">
        <w:fldChar w:fldCharType="begin"/>
      </w:r>
      <w:r w:rsidR="009D63B2" w:rsidRPr="009D63B2">
        <w:instrText xml:space="preserve"> REF _Ref96075332 \r \h </w:instrText>
      </w:r>
      <w:r w:rsidR="009D63B2">
        <w:instrText xml:space="preserve"> \* MERGEFORMAT </w:instrText>
      </w:r>
      <w:r w:rsidR="009D63B2" w:rsidRPr="009D63B2">
        <w:fldChar w:fldCharType="separate"/>
      </w:r>
      <w:r w:rsidR="009B1CB5">
        <w:t>1.99</w:t>
      </w:r>
      <w:r w:rsidR="009D63B2" w:rsidRPr="009D63B2">
        <w:fldChar w:fldCharType="end"/>
      </w:r>
      <w:r w:rsidR="00EE0FE7" w:rsidRPr="009D63B2">
        <w:t xml:space="preserve"> to </w:t>
      </w:r>
      <w:r w:rsidR="009D63B2" w:rsidRPr="009D63B2">
        <w:fldChar w:fldCharType="begin"/>
      </w:r>
      <w:r w:rsidR="009D63B2" w:rsidRPr="009D63B2">
        <w:instrText xml:space="preserve"> REF _Ref96075360 \r \h </w:instrText>
      </w:r>
      <w:r w:rsidR="009D63B2">
        <w:instrText xml:space="preserve"> \* MERGEFORMAT </w:instrText>
      </w:r>
      <w:r w:rsidR="009D63B2" w:rsidRPr="009D63B2">
        <w:fldChar w:fldCharType="separate"/>
      </w:r>
      <w:r w:rsidR="009B1CB5">
        <w:t>1.115</w:t>
      </w:r>
      <w:r w:rsidR="009D63B2" w:rsidRPr="009D63B2">
        <w:fldChar w:fldCharType="end"/>
      </w:r>
      <w:r w:rsidR="006E0CF7" w:rsidRPr="009D63B2">
        <w:t xml:space="preserve"> </w:t>
      </w:r>
      <w:r w:rsidRPr="009D63B2">
        <w:t>below.</w:t>
      </w:r>
    </w:p>
    <w:p w14:paraId="53467534" w14:textId="772B47AD" w:rsidR="00D43097" w:rsidRPr="008B243B" w:rsidRDefault="00D43097" w:rsidP="002C5BC7">
      <w:pPr>
        <w:pStyle w:val="Normalparatextwithnumbers"/>
        <w:numPr>
          <w:ilvl w:val="1"/>
          <w:numId w:val="3"/>
        </w:numPr>
      </w:pPr>
      <w:r w:rsidRPr="008B243B">
        <w:t xml:space="preserve">A company is eligible for </w:t>
      </w:r>
      <w:r w:rsidR="00BC0313" w:rsidRPr="006E6815">
        <w:t xml:space="preserve">a certificate </w:t>
      </w:r>
      <w:r w:rsidRPr="008B243B">
        <w:t>in relation to an eligible game where</w:t>
      </w:r>
      <w:r w:rsidR="00BC0313" w:rsidRPr="006E6815">
        <w:t xml:space="preserve"> the company </w:t>
      </w:r>
      <w:r w:rsidR="00096448" w:rsidRPr="006E6815">
        <w:t xml:space="preserve">is </w:t>
      </w:r>
      <w:r w:rsidR="00890099">
        <w:t xml:space="preserve">primarily </w:t>
      </w:r>
      <w:r w:rsidR="00096448" w:rsidRPr="006E6815">
        <w:t xml:space="preserve">responsible for the actual development of the game. This would be a company that </w:t>
      </w:r>
      <w:r w:rsidR="0023737D" w:rsidRPr="006E6815">
        <w:t>owns or control</w:t>
      </w:r>
      <w:r w:rsidR="00B06AFD" w:rsidRPr="006E6815">
        <w:t>s</w:t>
      </w:r>
      <w:r w:rsidR="0023737D" w:rsidRPr="006E6815">
        <w:t xml:space="preserve"> the rights to develop the digital game</w:t>
      </w:r>
      <w:r w:rsidR="009871F1" w:rsidRPr="006E6815">
        <w:t xml:space="preserve"> and that itself undertakes the development of the game</w:t>
      </w:r>
      <w:r w:rsidR="008952CE" w:rsidRPr="006E6815">
        <w:t xml:space="preserve">. </w:t>
      </w:r>
      <w:r w:rsidR="00EC5508">
        <w:t xml:space="preserve">This is regardless of whether the game is a new game or an existing game. </w:t>
      </w:r>
    </w:p>
    <w:p w14:paraId="0815C4DD" w14:textId="0054B276" w:rsidR="000E4C64" w:rsidRDefault="00D43097" w:rsidP="002C5BC7">
      <w:pPr>
        <w:pStyle w:val="Normalparatextwithnumbers"/>
        <w:numPr>
          <w:ilvl w:val="1"/>
          <w:numId w:val="3"/>
        </w:numPr>
      </w:pPr>
      <w:r w:rsidRPr="008B243B">
        <w:t>A</w:t>
      </w:r>
      <w:r w:rsidR="009871F1" w:rsidRPr="006E6815">
        <w:t xml:space="preserve"> company that</w:t>
      </w:r>
      <w:r w:rsidR="0023737D" w:rsidRPr="006E6815">
        <w:t xml:space="preserve"> has been engaged </w:t>
      </w:r>
      <w:r w:rsidR="0023737D" w:rsidRPr="00D43097">
        <w:t>to develop the game by the entity who owns or controls the rights to develop the game</w:t>
      </w:r>
      <w:r w:rsidRPr="008B243B">
        <w:t xml:space="preserve"> is also eligible for a certificate in relation to the game if</w:t>
      </w:r>
      <w:r w:rsidR="00C000AA" w:rsidRPr="00D43097">
        <w:t>,</w:t>
      </w:r>
      <w:r w:rsidR="0004257E">
        <w:t xml:space="preserve"> </w:t>
      </w:r>
      <w:r w:rsidRPr="008B243B">
        <w:t>it</w:t>
      </w:r>
      <w:r w:rsidR="00802FDE" w:rsidRPr="006E6815">
        <w:t xml:space="preserve"> </w:t>
      </w:r>
      <w:r w:rsidR="006C0318" w:rsidRPr="006E6815">
        <w:t>is</w:t>
      </w:r>
      <w:r w:rsidR="00802FDE" w:rsidRPr="006E6815">
        <w:t xml:space="preserve"> </w:t>
      </w:r>
      <w:r w:rsidR="0023737D" w:rsidRPr="006E6815">
        <w:t>primar</w:t>
      </w:r>
      <w:r w:rsidR="006C0318" w:rsidRPr="006E6815">
        <w:t>ily</w:t>
      </w:r>
      <w:r w:rsidR="0023737D" w:rsidRPr="006E6815">
        <w:t xml:space="preserve"> </w:t>
      </w:r>
      <w:r w:rsidR="00802FDE" w:rsidRPr="006E6815">
        <w:t xml:space="preserve">responsible </w:t>
      </w:r>
      <w:r w:rsidR="0023737D" w:rsidRPr="006E6815">
        <w:t>for undertaking activities that are necessary for the development of the digital game</w:t>
      </w:r>
      <w:r w:rsidR="009323A1" w:rsidRPr="006E6815">
        <w:t xml:space="preserve"> in Aust</w:t>
      </w:r>
      <w:r w:rsidR="009323A1" w:rsidRPr="00EC5508">
        <w:t>ralia</w:t>
      </w:r>
      <w:r w:rsidR="0023737D" w:rsidRPr="00EC5508">
        <w:t xml:space="preserve">. </w:t>
      </w:r>
      <w:r w:rsidR="00B06AFD" w:rsidRPr="00EC5508">
        <w:t xml:space="preserve">A company that makes an unauthorised modification of a game is not an eligible company. </w:t>
      </w:r>
    </w:p>
    <w:p w14:paraId="768DB261" w14:textId="00D2EF70" w:rsidR="002C5BC7" w:rsidRDefault="000E4C64" w:rsidP="002C5BC7">
      <w:pPr>
        <w:pStyle w:val="Normalparatextwithnumbers"/>
        <w:numPr>
          <w:ilvl w:val="1"/>
          <w:numId w:val="3"/>
        </w:numPr>
      </w:pPr>
      <w:r>
        <w:t xml:space="preserve">Where a company that is responsible for the actual development of the game is part of a consolidated group or a MEC group, due to the operation of those tax rules, the head company for tax purposes </w:t>
      </w:r>
      <w:r w:rsidR="00CD26D5">
        <w:t>may</w:t>
      </w:r>
      <w:r>
        <w:t xml:space="preserve"> apply for the relevant certificate(s)</w:t>
      </w:r>
      <w:r w:rsidR="009D63B2">
        <w:t xml:space="preserve"> (see paragraph</w:t>
      </w:r>
      <w:r w:rsidR="0003180D">
        <w:t xml:space="preserve"> </w:t>
      </w:r>
      <w:r w:rsidR="0003180D">
        <w:fldChar w:fldCharType="begin"/>
      </w:r>
      <w:r w:rsidR="0003180D">
        <w:instrText xml:space="preserve"> REF _Ref96075531 \r \h </w:instrText>
      </w:r>
      <w:r w:rsidR="0003180D">
        <w:fldChar w:fldCharType="separate"/>
      </w:r>
      <w:r w:rsidR="009B1CB5">
        <w:t>1.101</w:t>
      </w:r>
      <w:r w:rsidR="0003180D">
        <w:fldChar w:fldCharType="end"/>
      </w:r>
      <w:r w:rsidR="009D63B2">
        <w:t>)</w:t>
      </w:r>
      <w:r>
        <w:t xml:space="preserve">.  </w:t>
      </w:r>
    </w:p>
    <w:p w14:paraId="47370100" w14:textId="73A7AD02" w:rsidR="002C5BC7" w:rsidRPr="002C5BC7" w:rsidRDefault="002C5BC7" w:rsidP="002C5BC7">
      <w:pPr>
        <w:pStyle w:val="Normalparatextwithnumbers"/>
        <w:numPr>
          <w:ilvl w:val="0"/>
          <w:numId w:val="0"/>
        </w:numPr>
        <w:ind w:left="709"/>
        <w:rPr>
          <w:rStyle w:val="References"/>
          <w:b w:val="0"/>
          <w:bCs w:val="0"/>
          <w:i w:val="0"/>
          <w:iCs w:val="0"/>
        </w:rPr>
      </w:pPr>
      <w:r w:rsidRPr="002C5BC7">
        <w:rPr>
          <w:rStyle w:val="References"/>
        </w:rPr>
        <w:t xml:space="preserve">[Schedule </w:t>
      </w:r>
      <w:r w:rsidR="00096448">
        <w:rPr>
          <w:rStyle w:val="References"/>
        </w:rPr>
        <w:t>#</w:t>
      </w:r>
      <w:r w:rsidRPr="002C5BC7">
        <w:rPr>
          <w:rStyle w:val="References"/>
        </w:rPr>
        <w:t>, item</w:t>
      </w:r>
      <w:r w:rsidR="00096448">
        <w:rPr>
          <w:rStyle w:val="References"/>
        </w:rPr>
        <w:t xml:space="preserve"> 2</w:t>
      </w:r>
      <w:r w:rsidRPr="002C5BC7">
        <w:rPr>
          <w:rStyle w:val="References"/>
        </w:rPr>
        <w:t xml:space="preserve">, </w:t>
      </w:r>
      <w:r w:rsidR="009D63B2">
        <w:rPr>
          <w:rStyle w:val="References"/>
        </w:rPr>
        <w:t>section</w:t>
      </w:r>
      <w:r w:rsidRPr="0023737D">
        <w:rPr>
          <w:rStyle w:val="Referencingstyle"/>
          <w:sz w:val="22"/>
        </w:rPr>
        <w:t xml:space="preserve"> </w:t>
      </w:r>
      <w:r w:rsidRPr="000A229E">
        <w:rPr>
          <w:rStyle w:val="Referencingstyle"/>
          <w:sz w:val="22"/>
        </w:rPr>
        <w:t>378-20(8)</w:t>
      </w:r>
      <w:r w:rsidR="009D63B2">
        <w:rPr>
          <w:rStyle w:val="Referencingstyle"/>
          <w:sz w:val="22"/>
        </w:rPr>
        <w:t xml:space="preserve"> </w:t>
      </w:r>
      <w:r w:rsidR="00860419">
        <w:rPr>
          <w:rStyle w:val="Referencingstyle"/>
          <w:sz w:val="22"/>
        </w:rPr>
        <w:t>and 378-50</w:t>
      </w:r>
      <w:r w:rsidRPr="0023737D">
        <w:rPr>
          <w:rStyle w:val="Referencingstyle"/>
          <w:sz w:val="22"/>
        </w:rPr>
        <w:t xml:space="preserve"> of the ITAA 1997</w:t>
      </w:r>
      <w:r w:rsidRPr="002C5BC7">
        <w:rPr>
          <w:rStyle w:val="References"/>
        </w:rPr>
        <w:t xml:space="preserve">] </w:t>
      </w:r>
    </w:p>
    <w:p w14:paraId="4D68FEB2" w14:textId="7D804DBE" w:rsidR="002C68CD" w:rsidRDefault="002C68CD" w:rsidP="00852682">
      <w:pPr>
        <w:pStyle w:val="ExampleHeading"/>
      </w:pPr>
      <w:r>
        <w:t>Only the company</w:t>
      </w:r>
      <w:r w:rsidR="007A2B73">
        <w:t xml:space="preserve"> primarily</w:t>
      </w:r>
      <w:r>
        <w:t xml:space="preserve"> responsible for </w:t>
      </w:r>
      <w:r w:rsidR="007A2B73">
        <w:t xml:space="preserve">the </w:t>
      </w:r>
      <w:r>
        <w:t>development is eligible for the offset</w:t>
      </w:r>
    </w:p>
    <w:p w14:paraId="2D8442B6" w14:textId="71CB9515" w:rsidR="00B14272" w:rsidRDefault="005C1ACE" w:rsidP="00852682">
      <w:pPr>
        <w:pStyle w:val="Exampletext"/>
      </w:pPr>
      <w:r>
        <w:t xml:space="preserve">Choice Pty Ltd </w:t>
      </w:r>
      <w:r w:rsidR="000E5B4C">
        <w:t xml:space="preserve">is </w:t>
      </w:r>
      <w:r w:rsidR="00390D63">
        <w:t>a</w:t>
      </w:r>
      <w:r w:rsidR="000E5B4C">
        <w:t xml:space="preserve"> </w:t>
      </w:r>
      <w:r w:rsidR="00B306EC">
        <w:t>video game publisher and holds the rights to a</w:t>
      </w:r>
      <w:r>
        <w:t xml:space="preserve"> wizard adventure game but does not </w:t>
      </w:r>
      <w:r w:rsidR="00390D63">
        <w:t xml:space="preserve">itself </w:t>
      </w:r>
      <w:r>
        <w:t xml:space="preserve">have the capability to develop the digital game. Choice Pty Ltd then engages Sprint Games Pty Ltd, a company that specialises in digital game development to develop the game. Sprint Games Pty Ltd </w:t>
      </w:r>
      <w:r w:rsidR="003D585F">
        <w:t>engage</w:t>
      </w:r>
      <w:r w:rsidR="00226B53">
        <w:t xml:space="preserve">s employees and independent contractors to work on the game and </w:t>
      </w:r>
      <w:r>
        <w:t xml:space="preserve">incurs qualifying Australian development expenditure exceeding $500,000. Sprint Games Pty Ltd is eligible for the offset as the company that </w:t>
      </w:r>
      <w:r w:rsidR="00890099">
        <w:t>has primary</w:t>
      </w:r>
      <w:r>
        <w:t xml:space="preserve"> responsibility of developing the game. </w:t>
      </w:r>
    </w:p>
    <w:p w14:paraId="5EF6E0F7" w14:textId="3AA1BBFD" w:rsidR="00FA010C" w:rsidRDefault="005C10D5" w:rsidP="008B243B">
      <w:pPr>
        <w:pStyle w:val="Heading5"/>
      </w:pPr>
      <w:r>
        <w:t xml:space="preserve">Game eligibility </w:t>
      </w:r>
    </w:p>
    <w:p w14:paraId="297A602C" w14:textId="1654B61C" w:rsidR="00724B2C" w:rsidRDefault="00724B2C" w:rsidP="00724B2C">
      <w:pPr>
        <w:pStyle w:val="Normalparatextwithnumbers"/>
      </w:pPr>
      <w:bookmarkStart w:id="48" w:name="_Ref96077278"/>
      <w:r>
        <w:t xml:space="preserve">A game will be eligible for the offset if it is a digital game that has been primarily developed to be made available to the </w:t>
      </w:r>
      <w:r w:rsidR="005C10D5">
        <w:t>public</w:t>
      </w:r>
      <w:r>
        <w:t xml:space="preserve"> for entertainment or education purposes. This requirement applies to all three certificates.</w:t>
      </w:r>
      <w:bookmarkEnd w:id="48"/>
      <w:r w:rsidR="00845281">
        <w:t xml:space="preserve"> </w:t>
      </w:r>
    </w:p>
    <w:p w14:paraId="042CE26A" w14:textId="72028B59" w:rsidR="00E97EDD" w:rsidRDefault="00E97EDD" w:rsidP="00724B2C">
      <w:pPr>
        <w:pStyle w:val="Normalparatextwithnumbers"/>
      </w:pPr>
      <w:r>
        <w:t>The eligibility requirements require that the</w:t>
      </w:r>
      <w:r w:rsidR="007075A2" w:rsidRPr="001D531D">
        <w:t xml:space="preserve"> digital game be</w:t>
      </w:r>
      <w:r>
        <w:t>:</w:t>
      </w:r>
    </w:p>
    <w:p w14:paraId="1715AB10" w14:textId="54D165EE" w:rsidR="00E97EDD" w:rsidRDefault="00E97EDD" w:rsidP="00E97EDD">
      <w:pPr>
        <w:pStyle w:val="Dotpoint1"/>
      </w:pPr>
      <w:r>
        <w:t>made available for use over the internet; or</w:t>
      </w:r>
    </w:p>
    <w:p w14:paraId="0EC293C3" w14:textId="69E59EFD" w:rsidR="00E97EDD" w:rsidRDefault="00E97EDD" w:rsidP="00E97EDD">
      <w:pPr>
        <w:pStyle w:val="Dotpoint1"/>
      </w:pPr>
      <w:r>
        <w:lastRenderedPageBreak/>
        <w:t>primarily played through the internet; or</w:t>
      </w:r>
    </w:p>
    <w:p w14:paraId="318ACF82" w14:textId="27219DF2" w:rsidR="00E97EDD" w:rsidRDefault="00E97EDD" w:rsidP="00E97EDD">
      <w:pPr>
        <w:pStyle w:val="Dotpoint1"/>
      </w:pPr>
      <w:r>
        <w:t>the game operates only when a pla</w:t>
      </w:r>
      <w:r w:rsidR="00041A8A">
        <w:t>y</w:t>
      </w:r>
      <w:r>
        <w:t>er is connected to the internet.</w:t>
      </w:r>
    </w:p>
    <w:p w14:paraId="19A6C318" w14:textId="2D3F860A" w:rsidR="007075A2" w:rsidRPr="001D531D" w:rsidRDefault="00E97EDD" w:rsidP="00E97EDD">
      <w:pPr>
        <w:pStyle w:val="Normalparatextwithnumbers"/>
        <w:numPr>
          <w:ilvl w:val="0"/>
          <w:numId w:val="0"/>
        </w:numPr>
        <w:ind w:left="709"/>
      </w:pPr>
      <w:r>
        <w:t>Th</w:t>
      </w:r>
      <w:r w:rsidR="00751AB6">
        <w:t xml:space="preserve">is is to ensure the game is made available widely over the internet. </w:t>
      </w:r>
    </w:p>
    <w:p w14:paraId="56C84456" w14:textId="4C9C0CE0" w:rsidR="00724B2C" w:rsidRDefault="00724B2C" w:rsidP="00724B2C">
      <w:pPr>
        <w:pStyle w:val="Normalparatextwithnumbers"/>
      </w:pPr>
      <w:r>
        <w:t xml:space="preserve">A digital game is defined in section 995-1 of the </w:t>
      </w:r>
      <w:r w:rsidR="00EA1835">
        <w:t xml:space="preserve">ITAA 1997 as </w:t>
      </w:r>
      <w:r>
        <w:t xml:space="preserve">a game in electronic form that is capable of generating a display on a computer monitor, television screen, liquid crystal or similar medium that allows the playing of an interactive game. </w:t>
      </w:r>
      <w:r w:rsidR="00EA1835">
        <w:t>An i</w:t>
      </w:r>
      <w:r>
        <w:t>nteractive game is not defined in the Act</w:t>
      </w:r>
      <w:r w:rsidR="0064117E">
        <w:t>,</w:t>
      </w:r>
      <w:r w:rsidR="00C008B5">
        <w:t xml:space="preserve"> but it</w:t>
      </w:r>
      <w:r w:rsidR="00890099">
        <w:t xml:space="preserve"> is</w:t>
      </w:r>
      <w:r w:rsidR="00C008B5">
        <w:t xml:space="preserve"> generally understood to be </w:t>
      </w:r>
      <w:r w:rsidR="0064117E">
        <w:t xml:space="preserve">a </w:t>
      </w:r>
      <w:r w:rsidR="000B5CCA">
        <w:t xml:space="preserve">game </w:t>
      </w:r>
      <w:r w:rsidR="00C008B5">
        <w:t>where the sequence of events is determined</w:t>
      </w:r>
      <w:r w:rsidR="000B5CCA">
        <w:t xml:space="preserve"> in response to the decisions, inputs and direct involvement of the player(s)</w:t>
      </w:r>
      <w:r>
        <w:t>.</w:t>
      </w:r>
    </w:p>
    <w:p w14:paraId="23AD2EFE" w14:textId="0FE5BE54" w:rsidR="00EA1835" w:rsidRDefault="00EA1835" w:rsidP="00724B2C">
      <w:pPr>
        <w:pStyle w:val="Normalparatextwithnumbers"/>
      </w:pPr>
      <w:r>
        <w:t xml:space="preserve">A game which had been refused or is not likely to obtain a classification, or which contains gambling elements or is not a game made for the purposes of entertainment </w:t>
      </w:r>
      <w:r w:rsidR="000506AA">
        <w:t>or educat</w:t>
      </w:r>
      <w:r w:rsidR="001E7B39">
        <w:t xml:space="preserve">ion </w:t>
      </w:r>
      <w:r>
        <w:t>is not an eligible digital game. Expenditure on such games cannot be claimed towards a Digital Games Tax Offset</w:t>
      </w:r>
      <w:r w:rsidR="00465E2C">
        <w:t xml:space="preserve">. </w:t>
      </w:r>
    </w:p>
    <w:p w14:paraId="63A36F25" w14:textId="77777777" w:rsidR="007743D8" w:rsidRDefault="007743D8" w:rsidP="007743D8">
      <w:pPr>
        <w:pStyle w:val="Normalparatextwithnumbers"/>
      </w:pPr>
      <w:r>
        <w:t>A digital game is not eligible if it is:</w:t>
      </w:r>
    </w:p>
    <w:p w14:paraId="62D5B5E6" w14:textId="4EDA08DC" w:rsidR="007743D8" w:rsidRDefault="007743D8" w:rsidP="007743D8">
      <w:pPr>
        <w:pStyle w:val="Dotpoint1"/>
      </w:pPr>
      <w:r>
        <w:t xml:space="preserve">a gambling service (within the meaning of the </w:t>
      </w:r>
      <w:r w:rsidRPr="00447BCA">
        <w:rPr>
          <w:i/>
          <w:iCs/>
        </w:rPr>
        <w:t>Interactive Gambling Act 2001</w:t>
      </w:r>
      <w:r>
        <w:t>) or substantially comprise</w:t>
      </w:r>
      <w:r w:rsidR="00E01652">
        <w:t>s</w:t>
      </w:r>
      <w:r>
        <w:t xml:space="preserve"> gambling or gambling-like practices; or</w:t>
      </w:r>
    </w:p>
    <w:p w14:paraId="3BB01ED5" w14:textId="273B58C2" w:rsidR="007743D8" w:rsidRDefault="007743D8" w:rsidP="007743D8">
      <w:pPr>
        <w:pStyle w:val="Dotpoint1"/>
      </w:pPr>
      <w:r>
        <w:t xml:space="preserve">a game containing elements that </w:t>
      </w:r>
      <w:r w:rsidR="00614CB6">
        <w:t xml:space="preserve">are likely to </w:t>
      </w:r>
      <w:r>
        <w:t xml:space="preserve">lead to the game being refused classification under the </w:t>
      </w:r>
      <w:r w:rsidRPr="00447BCA">
        <w:rPr>
          <w:i/>
          <w:iCs/>
        </w:rPr>
        <w:t>Classification (Publications, Films and Computer Games) Act 1995</w:t>
      </w:r>
      <w:r>
        <w:t>; or</w:t>
      </w:r>
    </w:p>
    <w:p w14:paraId="6E9BA8E5" w14:textId="3052F5F8" w:rsidR="007743D8" w:rsidRDefault="007743D8" w:rsidP="007743D8">
      <w:pPr>
        <w:pStyle w:val="Dotpoint1"/>
      </w:pPr>
      <w:r>
        <w:t>a game that is primarily developed for industrial</w:t>
      </w:r>
      <w:r w:rsidR="006D2294">
        <w:t>,</w:t>
      </w:r>
      <w:r>
        <w:t xml:space="preserve"> </w:t>
      </w:r>
      <w:r w:rsidR="009640FC">
        <w:t>corporate,</w:t>
      </w:r>
      <w:r>
        <w:t xml:space="preserve"> or institutional purposes; or</w:t>
      </w:r>
    </w:p>
    <w:p w14:paraId="3FBD37CC" w14:textId="770F9C88" w:rsidR="007743D8" w:rsidRDefault="007743D8" w:rsidP="007743D8">
      <w:pPr>
        <w:pStyle w:val="Dotpoint1"/>
      </w:pPr>
      <w:r>
        <w:t>a game that is primarily developed to advertise or promote a product or entity or service.</w:t>
      </w:r>
    </w:p>
    <w:p w14:paraId="5734D017" w14:textId="662AAF22" w:rsidR="00BE26F6" w:rsidRDefault="009640FC" w:rsidP="008C2C57">
      <w:pPr>
        <w:pStyle w:val="Normalparatextwithnumbers"/>
      </w:pPr>
      <w:r>
        <w:t>W</w:t>
      </w:r>
      <w:r w:rsidR="008C2C57">
        <w:t>hether or not a digital game substantially comprise</w:t>
      </w:r>
      <w:r w:rsidR="00E01652">
        <w:t>s</w:t>
      </w:r>
      <w:r w:rsidR="008C2C57">
        <w:t xml:space="preserve"> gambling elements</w:t>
      </w:r>
      <w:r>
        <w:t xml:space="preserve"> </w:t>
      </w:r>
      <w:r w:rsidR="008C2C57">
        <w:t xml:space="preserve">will depend on the composition of each game. </w:t>
      </w:r>
    </w:p>
    <w:p w14:paraId="02372666" w14:textId="0E1FFFBC" w:rsidR="00BE26F6" w:rsidRDefault="008C2C57" w:rsidP="008C2C57">
      <w:pPr>
        <w:pStyle w:val="Normalparatextwithnumbers"/>
      </w:pPr>
      <w:r>
        <w:t>However, the policy for excluding a digital game that substantially comprise</w:t>
      </w:r>
      <w:r w:rsidR="00E01652">
        <w:t xml:space="preserve">s </w:t>
      </w:r>
      <w:r>
        <w:t>gambling or gambling-like practices is intended to also exclude digital games that substantially comprise</w:t>
      </w:r>
      <w:r w:rsidR="00BE26F6">
        <w:t xml:space="preserve">, </w:t>
      </w:r>
      <w:r w:rsidR="00A52ADF">
        <w:t xml:space="preserve">have </w:t>
      </w:r>
      <w:r w:rsidR="00BE26F6">
        <w:t xml:space="preserve">reliance on, or </w:t>
      </w:r>
      <w:r w:rsidR="00A52ADF">
        <w:t xml:space="preserve">give </w:t>
      </w:r>
      <w:r w:rsidR="00BE26F6">
        <w:t xml:space="preserve">prominence </w:t>
      </w:r>
      <w:r w:rsidR="00A52ADF">
        <w:t>to</w:t>
      </w:r>
      <w:r w:rsidR="00BE26F6">
        <w:t>,</w:t>
      </w:r>
      <w:r>
        <w:t xml:space="preserve"> </w:t>
      </w:r>
      <w:r w:rsidR="00895274">
        <w:t xml:space="preserve">certain types of </w:t>
      </w:r>
      <w:r>
        <w:t xml:space="preserve">‘loot </w:t>
      </w:r>
      <w:proofErr w:type="gramStart"/>
      <w:r>
        <w:t>boxes’</w:t>
      </w:r>
      <w:proofErr w:type="gramEnd"/>
      <w:r>
        <w:t xml:space="preserve">. </w:t>
      </w:r>
      <w:r w:rsidR="008A41D3">
        <w:t>The Arts Minister will issue guidance to assist taxpayers to understand how the definition of ‘substantially comprise</w:t>
      </w:r>
      <w:r w:rsidR="00E01652">
        <w:t>s</w:t>
      </w:r>
      <w:r w:rsidR="008A41D3">
        <w:t xml:space="preserve"> gambling elements’ including in relation to loot boxes will be applied in practice.  </w:t>
      </w:r>
    </w:p>
    <w:p w14:paraId="4F5C61D2" w14:textId="089E2897" w:rsidR="008C2C57" w:rsidRDefault="008C2C57" w:rsidP="008C2C57">
      <w:pPr>
        <w:pStyle w:val="Normalparatextwithnumbers"/>
      </w:pPr>
      <w:r>
        <w:t xml:space="preserve">Loot boxes </w:t>
      </w:r>
      <w:r w:rsidR="00BE26F6">
        <w:t xml:space="preserve">are not defined in the Act, but </w:t>
      </w:r>
      <w:r w:rsidR="00D73A93">
        <w:t xml:space="preserve">loot boxes </w:t>
      </w:r>
      <w:r w:rsidR="001C5888">
        <w:t>likely to make</w:t>
      </w:r>
      <w:r w:rsidR="0074112F">
        <w:t xml:space="preserve"> a game ineligible </w:t>
      </w:r>
      <w:r w:rsidR="00BE26F6">
        <w:t xml:space="preserve">are understood to </w:t>
      </w:r>
      <w:r>
        <w:t xml:space="preserve">expressly allow a player the ability to directly or indirectly purchase with real currency unknown virtual items determined by randomisation or chance and allow, within the game, for those items to be transferred or cashed out for real currency. </w:t>
      </w:r>
    </w:p>
    <w:p w14:paraId="6514E524" w14:textId="49AE3484" w:rsidR="008C2C57" w:rsidRDefault="008C2C57" w:rsidP="008C2C57">
      <w:pPr>
        <w:pStyle w:val="ExampleHeading"/>
      </w:pPr>
      <w:r>
        <w:t>Games that substantially comprise gambling elements are ineligible</w:t>
      </w:r>
    </w:p>
    <w:p w14:paraId="03741D17" w14:textId="6ADB8349" w:rsidR="009619E6" w:rsidRDefault="003965D8" w:rsidP="008C2C57">
      <w:pPr>
        <w:pStyle w:val="Exampletext"/>
      </w:pPr>
      <w:proofErr w:type="spellStart"/>
      <w:r>
        <w:t>Gamado</w:t>
      </w:r>
      <w:proofErr w:type="spellEnd"/>
      <w:r w:rsidR="008C2C57" w:rsidRPr="008C2C57">
        <w:t xml:space="preserve"> </w:t>
      </w:r>
      <w:r w:rsidR="00764222">
        <w:t xml:space="preserve">Games </w:t>
      </w:r>
      <w:r w:rsidR="008C2C57" w:rsidRPr="008C2C57">
        <w:t xml:space="preserve">Pty Ltd develops a slot machine simulator game to be released to the general public for entertainment purposes. The </w:t>
      </w:r>
      <w:r w:rsidR="008C2C57" w:rsidRPr="008C2C57">
        <w:lastRenderedPageBreak/>
        <w:t>slot machine game would not be an eligible digital game</w:t>
      </w:r>
      <w:r w:rsidR="004C64C9">
        <w:t xml:space="preserve"> even t</w:t>
      </w:r>
      <w:r w:rsidR="00FE4413">
        <w:t xml:space="preserve">hough it did not involve any real money or money equivalent as it </w:t>
      </w:r>
      <w:r w:rsidR="002176EE">
        <w:t>is comprised of gambling-like practices</w:t>
      </w:r>
      <w:r w:rsidR="008C2C57" w:rsidRPr="008C2C57">
        <w:t xml:space="preserve">. </w:t>
      </w:r>
    </w:p>
    <w:p w14:paraId="1257E479" w14:textId="4150E970" w:rsidR="008C2C57" w:rsidRDefault="008C2C57" w:rsidP="008C2C57">
      <w:pPr>
        <w:pStyle w:val="Exampletext"/>
      </w:pPr>
      <w:r w:rsidRPr="008C2C57">
        <w:t xml:space="preserve">However, a few months later, </w:t>
      </w:r>
      <w:proofErr w:type="spellStart"/>
      <w:r w:rsidR="003965D8">
        <w:t>Gamado</w:t>
      </w:r>
      <w:proofErr w:type="spellEnd"/>
      <w:r w:rsidRPr="008C2C57">
        <w:t xml:space="preserve"> </w:t>
      </w:r>
      <w:r w:rsidR="00764222">
        <w:t xml:space="preserve">Games </w:t>
      </w:r>
      <w:r w:rsidRPr="008C2C57">
        <w:t>Pty Ltd develops and releases an adventure game in which a player may advance to a higher level by winning a game of poker. The adventure game may be an eligible digital game</w:t>
      </w:r>
      <w:r w:rsidR="00AC5199">
        <w:t xml:space="preserve"> because that element of the game is not a substantial component of the game</w:t>
      </w:r>
      <w:r w:rsidRPr="008C2C57">
        <w:t>.</w:t>
      </w:r>
    </w:p>
    <w:p w14:paraId="10D5823D" w14:textId="6CA51DE1" w:rsidR="002D1A6D" w:rsidRDefault="004435AB" w:rsidP="001E358A">
      <w:pPr>
        <w:pStyle w:val="Normalparatextwithnumbers"/>
      </w:pPr>
      <w:r>
        <w:t>E</w:t>
      </w:r>
      <w:r w:rsidR="006B2866">
        <w:t xml:space="preserve">ligible </w:t>
      </w:r>
      <w:r w:rsidR="0096442A">
        <w:t>games</w:t>
      </w:r>
      <w:r w:rsidR="006B2866">
        <w:t xml:space="preserve"> </w:t>
      </w:r>
      <w:r w:rsidR="0096442A">
        <w:t xml:space="preserve">that are </w:t>
      </w:r>
      <w:r w:rsidR="008C3E18">
        <w:t xml:space="preserve">complete but </w:t>
      </w:r>
      <w:r w:rsidR="0096442A">
        <w:t xml:space="preserve">not </w:t>
      </w:r>
      <w:r w:rsidR="001D4C35">
        <w:t xml:space="preserve">sold or otherwise </w:t>
      </w:r>
      <w:r w:rsidR="00394058">
        <w:t xml:space="preserve">made available to the general public </w:t>
      </w:r>
      <w:r w:rsidR="006B2866">
        <w:t>are not games on which development expenditure can be claimed. For example, a game which is intended to be an in-house interactive training game is not an eligible game.</w:t>
      </w:r>
      <w:r w:rsidR="0096442A">
        <w:t xml:space="preserve"> </w:t>
      </w:r>
      <w:r w:rsidR="0004257E">
        <w:t>Similarly</w:t>
      </w:r>
      <w:r w:rsidR="00002126">
        <w:t xml:space="preserve">, an interactive installation at a museum which can only be accessed while onsite is not an eligible game.  </w:t>
      </w:r>
      <w:r w:rsidR="0096442A">
        <w:t xml:space="preserve">Games that are released to the general public but are for advertising </w:t>
      </w:r>
      <w:r w:rsidR="00C97C3D">
        <w:t xml:space="preserve">or promoting </w:t>
      </w:r>
      <w:r w:rsidR="0096442A">
        <w:t xml:space="preserve">an entity, product or </w:t>
      </w:r>
      <w:r w:rsidR="0096442A" w:rsidRPr="00C743D2">
        <w:t>service</w:t>
      </w:r>
      <w:r w:rsidR="0096442A">
        <w:t xml:space="preserve"> are also </w:t>
      </w:r>
      <w:r w:rsidR="008C3E18">
        <w:t>ineligible games</w:t>
      </w:r>
      <w:r w:rsidR="0096442A">
        <w:t xml:space="preserve">. </w:t>
      </w:r>
    </w:p>
    <w:p w14:paraId="4E71DB49" w14:textId="409CB818" w:rsidR="00724B2C" w:rsidRDefault="00394058" w:rsidP="008961A8">
      <w:pPr>
        <w:pStyle w:val="Normalparatextwithnumbers"/>
      </w:pPr>
      <w:bookmarkStart w:id="49" w:name="_Ref96077305"/>
      <w:r w:rsidRPr="008961A8">
        <w:t>Games which are restricted to one or a very small number of locations such that they cannot be considered to be effectively available to the general public are also ineligible games.</w:t>
      </w:r>
      <w:r w:rsidR="00231274" w:rsidRPr="008961A8">
        <w:t xml:space="preserve"> </w:t>
      </w:r>
      <w:r w:rsidR="0096442A" w:rsidRPr="008961A8">
        <w:t xml:space="preserve"> </w:t>
      </w:r>
      <w:r w:rsidR="0096442A">
        <w:br/>
      </w:r>
      <w:r w:rsidR="0096442A" w:rsidRPr="0096442A">
        <w:rPr>
          <w:rStyle w:val="References"/>
        </w:rPr>
        <w:t xml:space="preserve">[Schedule </w:t>
      </w:r>
      <w:r w:rsidR="006B2866">
        <w:rPr>
          <w:rStyle w:val="References"/>
        </w:rPr>
        <w:t>#</w:t>
      </w:r>
      <w:r w:rsidR="0096442A" w:rsidRPr="0096442A">
        <w:rPr>
          <w:rStyle w:val="References"/>
        </w:rPr>
        <w:t xml:space="preserve">, item </w:t>
      </w:r>
      <w:r w:rsidR="006B2866">
        <w:rPr>
          <w:rStyle w:val="References"/>
        </w:rPr>
        <w:t>2</w:t>
      </w:r>
      <w:r w:rsidR="0096442A" w:rsidRPr="0096442A">
        <w:rPr>
          <w:rStyle w:val="References"/>
        </w:rPr>
        <w:t>, subsection 378-20(7) of ITAA 1997]</w:t>
      </w:r>
      <w:bookmarkEnd w:id="49"/>
      <w:r w:rsidR="0096442A" w:rsidRPr="0096442A">
        <w:rPr>
          <w:rStyle w:val="References"/>
        </w:rPr>
        <w:t xml:space="preserve"> </w:t>
      </w:r>
    </w:p>
    <w:p w14:paraId="2879F5E4" w14:textId="0FD0524F" w:rsidR="00EE1E30" w:rsidRPr="008961A8" w:rsidRDefault="00CF0D81" w:rsidP="008B243B">
      <w:pPr>
        <w:pStyle w:val="Heading5"/>
      </w:pPr>
      <w:r w:rsidRPr="008961A8">
        <w:t>Certificates</w:t>
      </w:r>
      <w:r w:rsidR="00106BA3" w:rsidRPr="008961A8">
        <w:t xml:space="preserve"> for the offset</w:t>
      </w:r>
    </w:p>
    <w:p w14:paraId="5C4BF07D" w14:textId="77777777" w:rsidR="00FB230B" w:rsidRDefault="00FB230B" w:rsidP="00FB230B">
      <w:pPr>
        <w:pStyle w:val="Heading6"/>
      </w:pPr>
      <w:r w:rsidRPr="008961A8">
        <w:t>Arts Minister to determine a company’s qualifying Australian development expenditure</w:t>
      </w:r>
    </w:p>
    <w:p w14:paraId="6855E1A5" w14:textId="1734B1F6" w:rsidR="00FB230B" w:rsidRPr="00647411" w:rsidRDefault="00FB230B" w:rsidP="00FB230B">
      <w:pPr>
        <w:pStyle w:val="Normalparatextwithnumbers"/>
      </w:pPr>
      <w:r>
        <w:t>When</w:t>
      </w:r>
      <w:r w:rsidRPr="00647411">
        <w:t xml:space="preserve"> a company applies for a certificate, the Arts Minister will determine in writing, as soon as possible</w:t>
      </w:r>
      <w:r>
        <w:t xml:space="preserve">, the total </w:t>
      </w:r>
      <w:r w:rsidR="00053136">
        <w:t xml:space="preserve">amount </w:t>
      </w:r>
      <w:r>
        <w:t xml:space="preserve">of the company’s qualifying Australian development expenditure in respect of the completion, porting or ongoing development of a digital game. </w:t>
      </w:r>
    </w:p>
    <w:p w14:paraId="6F5C1A3A" w14:textId="77777777" w:rsidR="00FB230B" w:rsidRPr="00FB230B" w:rsidRDefault="00FB230B" w:rsidP="00FB230B">
      <w:pPr>
        <w:pStyle w:val="Normalparatextwithnumbers"/>
        <w:rPr>
          <w:b/>
          <w:bCs/>
          <w:i/>
          <w:iCs/>
        </w:rPr>
      </w:pPr>
      <w:r w:rsidRPr="00647411">
        <w:t>The determination is not a legislative instrumen</w:t>
      </w:r>
      <w:r>
        <w:t xml:space="preserve">t. The amount of eligible expenditure that is prescribed on a certificate is the only amount that the company can use when it works out its digital games tax offset in its income tax return. </w:t>
      </w:r>
    </w:p>
    <w:p w14:paraId="3C32834B" w14:textId="3820DA13" w:rsidR="00EE1E30" w:rsidRDefault="00EE1E30" w:rsidP="00EE1E30">
      <w:pPr>
        <w:pStyle w:val="Normalparatextwithnumbers"/>
      </w:pPr>
      <w:r w:rsidRPr="00DF4A20">
        <w:t xml:space="preserve">A company may apply for a completion certificate which relates to a new game, a porting certificate which relates to a game that has been ported to a new platform and/or an ongoing development certificate that relates to an existing game. </w:t>
      </w:r>
      <w:r w:rsidR="00191976">
        <w:t xml:space="preserve">A certificate in relation to an eligible game is issued by the Arts Minister if certain criteria </w:t>
      </w:r>
      <w:r w:rsidR="00CF0D81">
        <w:t xml:space="preserve">in relation to the certificate </w:t>
      </w:r>
      <w:r w:rsidR="00191976">
        <w:t xml:space="preserve">are </w:t>
      </w:r>
      <w:r w:rsidRPr="00DF4A20">
        <w:t>satisfied</w:t>
      </w:r>
      <w:r w:rsidR="00191976">
        <w:t xml:space="preserve">. </w:t>
      </w:r>
    </w:p>
    <w:p w14:paraId="5F5AD18F" w14:textId="0428B5B2" w:rsidR="00846FE7" w:rsidRDefault="00846FE7" w:rsidP="00846FE7">
      <w:pPr>
        <w:pStyle w:val="Normalparatextwithnumbers"/>
        <w:numPr>
          <w:ilvl w:val="0"/>
          <w:numId w:val="0"/>
        </w:numPr>
        <w:ind w:left="709"/>
      </w:pPr>
      <w:r>
        <w:rPr>
          <w:rStyle w:val="References"/>
        </w:rPr>
        <w:t>[Schedule #, item 2, section 378-25 of the ITAA 1997]</w:t>
      </w:r>
    </w:p>
    <w:p w14:paraId="43A22A83" w14:textId="77777777" w:rsidR="00846FE7" w:rsidRDefault="00846FE7" w:rsidP="00846FE7">
      <w:pPr>
        <w:pStyle w:val="Normalparatextwithnumbers"/>
        <w:numPr>
          <w:ilvl w:val="0"/>
          <w:numId w:val="0"/>
        </w:numPr>
        <w:ind w:left="709"/>
      </w:pPr>
    </w:p>
    <w:p w14:paraId="26629A46" w14:textId="431C5A6E" w:rsidR="00764469" w:rsidRDefault="00CA67CC" w:rsidP="00CA67CC">
      <w:pPr>
        <w:pStyle w:val="Heading6"/>
      </w:pPr>
      <w:r>
        <w:t>Completion certificate</w:t>
      </w:r>
    </w:p>
    <w:p w14:paraId="47A6D222" w14:textId="68E9008D" w:rsidR="00AE423F" w:rsidRDefault="009B7070" w:rsidP="00AE423F">
      <w:pPr>
        <w:pStyle w:val="Normalparatextwithnumbers"/>
      </w:pPr>
      <w:r>
        <w:t xml:space="preserve">The completion certificate is for the development of new games, where </w:t>
      </w:r>
      <w:r w:rsidR="00CF0D81">
        <w:t xml:space="preserve">eligible </w:t>
      </w:r>
      <w:r>
        <w:t xml:space="preserve">expenditure incurred </w:t>
      </w:r>
      <w:r w:rsidR="00CF0D81">
        <w:t>in developing a</w:t>
      </w:r>
      <w:r>
        <w:t xml:space="preserve"> new game </w:t>
      </w:r>
      <w:r w:rsidR="000E4B9E">
        <w:t xml:space="preserve">can be </w:t>
      </w:r>
      <w:r>
        <w:t xml:space="preserve">incurred over multiple </w:t>
      </w:r>
      <w:r>
        <w:lastRenderedPageBreak/>
        <w:t xml:space="preserve">income years. </w:t>
      </w:r>
      <w:r w:rsidR="00AE423F">
        <w:t>Provided the</w:t>
      </w:r>
      <w:r w:rsidR="0089703C">
        <w:t xml:space="preserve"> new</w:t>
      </w:r>
      <w:r w:rsidR="00AE423F">
        <w:t xml:space="preserve"> digital game is an eligible game, a company may apply for this certificate </w:t>
      </w:r>
      <w:r>
        <w:t>to access an offset in respect of a particular</w:t>
      </w:r>
      <w:r w:rsidDel="0089703C">
        <w:t xml:space="preserve"> </w:t>
      </w:r>
      <w:r>
        <w:t xml:space="preserve">income year </w:t>
      </w:r>
      <w:r w:rsidR="00AE423F">
        <w:t>when:</w:t>
      </w:r>
      <w:r w:rsidR="00504022">
        <w:t xml:space="preserve">  </w:t>
      </w:r>
    </w:p>
    <w:p w14:paraId="65D83140" w14:textId="20312F50" w:rsidR="00AE423F" w:rsidRDefault="00AE423F" w:rsidP="00AE423F">
      <w:pPr>
        <w:pStyle w:val="Dotpoint1"/>
      </w:pPr>
      <w:r>
        <w:t>the game is completed in th</w:t>
      </w:r>
      <w:r w:rsidR="009B7070">
        <w:t>at</w:t>
      </w:r>
      <w:r>
        <w:t xml:space="preserve"> income </w:t>
      </w:r>
      <w:proofErr w:type="gramStart"/>
      <w:r>
        <w:t>year;</w:t>
      </w:r>
      <w:proofErr w:type="gramEnd"/>
    </w:p>
    <w:p w14:paraId="31E6485B" w14:textId="7F0F7980" w:rsidR="00AE423F" w:rsidRDefault="00AE423F" w:rsidP="00AE423F">
      <w:pPr>
        <w:pStyle w:val="Dotpoint1"/>
      </w:pPr>
      <w:r>
        <w:t>the company has made an application for a completion certificate in relation to the game</w:t>
      </w:r>
      <w:r w:rsidR="009B7070">
        <w:t xml:space="preserve"> for that income </w:t>
      </w:r>
      <w:proofErr w:type="gramStart"/>
      <w:r w:rsidR="009B7070">
        <w:t>year</w:t>
      </w:r>
      <w:r>
        <w:t>;</w:t>
      </w:r>
      <w:proofErr w:type="gramEnd"/>
    </w:p>
    <w:p w14:paraId="6A72984F" w14:textId="42E3FF17" w:rsidR="00AE423F" w:rsidRPr="008961A8" w:rsidRDefault="00AE423F" w:rsidP="00AE423F">
      <w:pPr>
        <w:pStyle w:val="Dotpoint1"/>
      </w:pPr>
      <w:r>
        <w:t>the total of the company’s qualifying Australian development expenditure incurred in com</w:t>
      </w:r>
      <w:r w:rsidRPr="008961A8">
        <w:t>pleting the game</w:t>
      </w:r>
      <w:r w:rsidR="009B7070" w:rsidRPr="008961A8">
        <w:t xml:space="preserve"> (possibly over multiple income years)</w:t>
      </w:r>
      <w:r w:rsidRPr="008961A8">
        <w:t xml:space="preserve"> is at least $500,000; and </w:t>
      </w:r>
    </w:p>
    <w:p w14:paraId="2C4DF0D8" w14:textId="33139557" w:rsidR="00AE423F" w:rsidRPr="008961A8" w:rsidRDefault="00AE423F" w:rsidP="00AE423F">
      <w:pPr>
        <w:pStyle w:val="Dotpoint1"/>
      </w:pPr>
      <w:r w:rsidRPr="008961A8">
        <w:t xml:space="preserve">the Minister is satisfied that the </w:t>
      </w:r>
      <w:r w:rsidR="0089703C" w:rsidRPr="008961A8">
        <w:t xml:space="preserve">eligibility </w:t>
      </w:r>
      <w:r w:rsidRPr="008961A8">
        <w:t>condition</w:t>
      </w:r>
      <w:r w:rsidR="000E4B9E" w:rsidRPr="008961A8">
        <w:t>s</w:t>
      </w:r>
      <w:r w:rsidRPr="008961A8">
        <w:t xml:space="preserve"> relating to the company</w:t>
      </w:r>
      <w:r w:rsidR="00AD7B73" w:rsidRPr="008961A8">
        <w:t xml:space="preserve"> applying for the certificate</w:t>
      </w:r>
      <w:r w:rsidRPr="008961A8">
        <w:t xml:space="preserve"> are met (see paragraph 1.2</w:t>
      </w:r>
      <w:r w:rsidR="00B954A3">
        <w:t>1</w:t>
      </w:r>
      <w:r w:rsidR="0062707A" w:rsidRPr="008961A8">
        <w:t xml:space="preserve"> </w:t>
      </w:r>
      <w:r w:rsidRPr="008961A8">
        <w:t>above).</w:t>
      </w:r>
    </w:p>
    <w:p w14:paraId="62ED341C" w14:textId="02A5B2F0" w:rsidR="000E4B9E" w:rsidRDefault="009B7070" w:rsidP="001F2B66">
      <w:pPr>
        <w:pStyle w:val="Normalparatextwithnumbers"/>
      </w:pPr>
      <w:r>
        <w:t>Before</w:t>
      </w:r>
      <w:r w:rsidR="00A0413C">
        <w:t xml:space="preserve"> a company </w:t>
      </w:r>
      <w:r>
        <w:t xml:space="preserve">applies </w:t>
      </w:r>
      <w:r w:rsidR="00A0413C">
        <w:t>for a completion certificate</w:t>
      </w:r>
      <w:r w:rsidR="000E4B9E">
        <w:t>,</w:t>
      </w:r>
      <w:r w:rsidR="00A0413C">
        <w:t xml:space="preserve"> </w:t>
      </w:r>
      <w:r>
        <w:t>the digital game must be complete</w:t>
      </w:r>
      <w:r w:rsidR="00A0413C">
        <w:t>. A digital game is completed when it is</w:t>
      </w:r>
      <w:r w:rsidR="0008716D">
        <w:t xml:space="preserve"> </w:t>
      </w:r>
      <w:r w:rsidR="0013268E">
        <w:t xml:space="preserve">first </w:t>
      </w:r>
      <w:r w:rsidR="0008716D">
        <w:t xml:space="preserve">released for sale </w:t>
      </w:r>
      <w:r w:rsidR="002874A7" w:rsidRPr="002874A7">
        <w:t>or otherwise made available</w:t>
      </w:r>
      <w:r w:rsidR="002874A7">
        <w:t xml:space="preserve"> </w:t>
      </w:r>
      <w:r w:rsidR="0008716D">
        <w:t xml:space="preserve">to the general public (not </w:t>
      </w:r>
      <w:r w:rsidR="002F53E5">
        <w:t xml:space="preserve">merely </w:t>
      </w:r>
      <w:r w:rsidR="0008716D">
        <w:t xml:space="preserve">for testing purposes). </w:t>
      </w:r>
    </w:p>
    <w:p w14:paraId="0A5784A9" w14:textId="77777777" w:rsidR="00B954A3" w:rsidRDefault="0008716D" w:rsidP="009B7343">
      <w:pPr>
        <w:pStyle w:val="Normalparatextwithnumbers"/>
      </w:pPr>
      <w:r>
        <w:t>If the company has developed the game under an arm’s length contract for another company, the game i</w:t>
      </w:r>
      <w:r w:rsidR="00B97A2C">
        <w:t>s</w:t>
      </w:r>
      <w:r>
        <w:t xml:space="preserve"> considered complete whe</w:t>
      </w:r>
      <w:r w:rsidR="000E4B9E">
        <w:t>n</w:t>
      </w:r>
      <w:r>
        <w:t xml:space="preserve"> the first company has handed </w:t>
      </w:r>
      <w:r w:rsidR="00890BCF">
        <w:t xml:space="preserve">the game </w:t>
      </w:r>
      <w:r>
        <w:t>to the second company</w:t>
      </w:r>
      <w:r w:rsidR="000111AD">
        <w:t xml:space="preserve"> in a state where it could be reasonably be regarded as ready to be released to the general public</w:t>
      </w:r>
      <w:r w:rsidR="00171362">
        <w:t xml:space="preserve">. </w:t>
      </w:r>
      <w:r w:rsidR="00402731">
        <w:t>The completion</w:t>
      </w:r>
      <w:r w:rsidR="00A0413C">
        <w:t xml:space="preserve"> certificate is intended to be available for games that are new and have not yet been released to the public. </w:t>
      </w:r>
    </w:p>
    <w:p w14:paraId="01D05E9D" w14:textId="4B9E134E" w:rsidR="00A3691F" w:rsidRDefault="00A3691F" w:rsidP="009B7343">
      <w:pPr>
        <w:pStyle w:val="Normalparatextwithnumbers"/>
      </w:pPr>
      <w:r w:rsidRPr="00E01E21">
        <w:t>A company can only apply for a completion certificate</w:t>
      </w:r>
      <w:r w:rsidR="00940D77">
        <w:t xml:space="preserve"> in relation to a new game</w:t>
      </w:r>
      <w:r w:rsidRPr="00E01E21">
        <w:t xml:space="preserve"> in the income year in which the game was completed</w:t>
      </w:r>
      <w:r w:rsidR="000E4B9E">
        <w:t>;</w:t>
      </w:r>
      <w:r w:rsidRPr="00E01E21">
        <w:t xml:space="preserve"> however, the qualifying Australian development expenditure for this certificate can be incurred across multiple income </w:t>
      </w:r>
      <w:r w:rsidR="006E6815">
        <w:t xml:space="preserve">years before the game is complete. </w:t>
      </w:r>
    </w:p>
    <w:p w14:paraId="51997727" w14:textId="23B0481F" w:rsidR="00D03C38" w:rsidRDefault="00D03C38" w:rsidP="00D03C38">
      <w:pPr>
        <w:pStyle w:val="Normalparatextwithnumbers"/>
        <w:numPr>
          <w:ilvl w:val="0"/>
          <w:numId w:val="0"/>
        </w:numPr>
        <w:ind w:left="709"/>
      </w:pPr>
      <w:r w:rsidRPr="00BC0766">
        <w:rPr>
          <w:rStyle w:val="References"/>
        </w:rPr>
        <w:t xml:space="preserve">[Schedule </w:t>
      </w:r>
      <w:r>
        <w:rPr>
          <w:rStyle w:val="References"/>
        </w:rPr>
        <w:t>#</w:t>
      </w:r>
      <w:r w:rsidRPr="00BC0766">
        <w:rPr>
          <w:rStyle w:val="References"/>
        </w:rPr>
        <w:t>, item</w:t>
      </w:r>
      <w:r>
        <w:rPr>
          <w:rStyle w:val="References"/>
        </w:rPr>
        <w:t xml:space="preserve"> 2</w:t>
      </w:r>
      <w:r w:rsidRPr="00BC0766">
        <w:rPr>
          <w:rStyle w:val="References"/>
        </w:rPr>
        <w:t xml:space="preserve">, </w:t>
      </w:r>
      <w:r>
        <w:rPr>
          <w:rStyle w:val="References"/>
        </w:rPr>
        <w:t>section</w:t>
      </w:r>
      <w:r w:rsidRPr="00BC0766">
        <w:rPr>
          <w:rStyle w:val="References"/>
        </w:rPr>
        <w:t xml:space="preserve"> 378-20</w:t>
      </w:r>
      <w:r>
        <w:rPr>
          <w:rStyle w:val="References"/>
        </w:rPr>
        <w:t xml:space="preserve">(1) and </w:t>
      </w:r>
      <w:r w:rsidRPr="00BC0766">
        <w:rPr>
          <w:rStyle w:val="References"/>
        </w:rPr>
        <w:t xml:space="preserve">(2) of the ITAA 1997] </w:t>
      </w:r>
      <w:r>
        <w:t xml:space="preserve"> </w:t>
      </w:r>
    </w:p>
    <w:p w14:paraId="238555EA" w14:textId="37720A6A" w:rsidR="00ED4806" w:rsidRDefault="00F22E43" w:rsidP="00F22E43">
      <w:pPr>
        <w:pStyle w:val="Heading6"/>
      </w:pPr>
      <w:r>
        <w:t>Porting certificate</w:t>
      </w:r>
    </w:p>
    <w:p w14:paraId="19A98FFE" w14:textId="5E462772" w:rsidR="002417E9" w:rsidRDefault="002417E9" w:rsidP="002417E9">
      <w:pPr>
        <w:pStyle w:val="Normalparatextwithnumbers"/>
      </w:pPr>
      <w:r w:rsidRPr="00CE7168">
        <w:t xml:space="preserve">A company may apply for a porting certificate in relation to a ported game. A digital game is ported when a game that has already been completed is </w:t>
      </w:r>
      <w:r w:rsidR="006D191D">
        <w:t>first made available</w:t>
      </w:r>
      <w:r w:rsidR="00890BCF">
        <w:t xml:space="preserve"> to the general public (not merely for testing purposes)</w:t>
      </w:r>
      <w:r w:rsidR="006D191D">
        <w:t xml:space="preserve"> </w:t>
      </w:r>
      <w:r w:rsidRPr="00CE7168">
        <w:t>on a new platform.</w:t>
      </w:r>
      <w:r w:rsidR="003528BB">
        <w:t xml:space="preserve"> </w:t>
      </w:r>
    </w:p>
    <w:p w14:paraId="663ADC67" w14:textId="29061CE2" w:rsidR="00BB3D00" w:rsidRDefault="00BB3D00" w:rsidP="00BB3D00">
      <w:pPr>
        <w:pStyle w:val="Normalparatextwithnumbers"/>
      </w:pPr>
      <w:r w:rsidRPr="00EF50E8">
        <w:t xml:space="preserve">Provided </w:t>
      </w:r>
      <w:r w:rsidR="006D191D">
        <w:t>the ported</w:t>
      </w:r>
      <w:r w:rsidRPr="00EF50E8">
        <w:t xml:space="preserve"> digital game is eligible, once it is ported, a company may apply for a porting certificate</w:t>
      </w:r>
      <w:r w:rsidR="006D191D">
        <w:t xml:space="preserve"> to access the offset in respect of a particular income year</w:t>
      </w:r>
      <w:r w:rsidRPr="00EF50E8">
        <w:t xml:space="preserve"> when:</w:t>
      </w:r>
    </w:p>
    <w:p w14:paraId="7F8B27CA" w14:textId="1F58F220" w:rsidR="006A4B9B" w:rsidRDefault="006A4B9B" w:rsidP="00BB3D00">
      <w:pPr>
        <w:pStyle w:val="Dotpoint1"/>
      </w:pPr>
      <w:r>
        <w:t>the game is ported in th</w:t>
      </w:r>
      <w:r w:rsidR="006D191D">
        <w:t>at</w:t>
      </w:r>
      <w:r>
        <w:t xml:space="preserve"> income year; and</w:t>
      </w:r>
    </w:p>
    <w:p w14:paraId="63D9B46E" w14:textId="79FCF266" w:rsidR="006A4B9B" w:rsidRDefault="006A4B9B" w:rsidP="00BB3D00">
      <w:pPr>
        <w:pStyle w:val="Dotpoint1"/>
      </w:pPr>
      <w:r>
        <w:t>the company has made an application for a porting certificate in relation to the game</w:t>
      </w:r>
      <w:r w:rsidR="006D191D">
        <w:t xml:space="preserve"> for that income year</w:t>
      </w:r>
      <w:r>
        <w:t>; and</w:t>
      </w:r>
    </w:p>
    <w:p w14:paraId="1A39D11D" w14:textId="16FD9BE6" w:rsidR="006A4B9B" w:rsidRDefault="006A4B9B" w:rsidP="006A4B9B">
      <w:pPr>
        <w:pStyle w:val="Dotpoint1"/>
      </w:pPr>
      <w:r>
        <w:t xml:space="preserve">the total of the company’s qualifying Australian development expenditure incurred in </w:t>
      </w:r>
      <w:r w:rsidR="000E4B9E">
        <w:t xml:space="preserve">porting </w:t>
      </w:r>
      <w:r>
        <w:t>the game is at least $500,000</w:t>
      </w:r>
      <w:r w:rsidR="006D191D">
        <w:t xml:space="preserve"> (possibly incurred over multiple income years)</w:t>
      </w:r>
      <w:r>
        <w:t xml:space="preserve">; and </w:t>
      </w:r>
    </w:p>
    <w:p w14:paraId="0CC327BE" w14:textId="56A9AEA4" w:rsidR="006A4B9B" w:rsidRDefault="006A4B9B" w:rsidP="003528BB">
      <w:pPr>
        <w:pStyle w:val="Dotpoint1"/>
      </w:pPr>
      <w:r>
        <w:lastRenderedPageBreak/>
        <w:t>the Minister is satisfied that the condition</w:t>
      </w:r>
      <w:r w:rsidR="00AD7B73">
        <w:t>s</w:t>
      </w:r>
      <w:r>
        <w:t xml:space="preserve"> relating to the company</w:t>
      </w:r>
      <w:r w:rsidR="00AD7B73">
        <w:t xml:space="preserve"> applying for the certificate</w:t>
      </w:r>
      <w:r>
        <w:t xml:space="preserve"> are met (see paragraph 1.2</w:t>
      </w:r>
      <w:r w:rsidR="00B954A3">
        <w:t>1</w:t>
      </w:r>
      <w:r>
        <w:t xml:space="preserve"> above).</w:t>
      </w:r>
    </w:p>
    <w:p w14:paraId="40DB20F1" w14:textId="5617E191" w:rsidR="00081227" w:rsidRDefault="00081227" w:rsidP="00081227">
      <w:pPr>
        <w:pStyle w:val="Normalparatextwithnumbers"/>
      </w:pPr>
      <w:r>
        <w:t>If a company has ported a game under an arm’s length contract with another company, the game is considered to be ported where the first company has handed the ported game to the second company.</w:t>
      </w:r>
    </w:p>
    <w:p w14:paraId="3808F207" w14:textId="49C25F9F" w:rsidR="000111AD" w:rsidRDefault="002417E9" w:rsidP="001E358A">
      <w:pPr>
        <w:pStyle w:val="Normalparatextwithnumbers"/>
      </w:pPr>
      <w:r>
        <w:t>This certificate is intended for a completed game that is ported onto a new platform, and it covers the qualifying Australian development expenditure that is incurred in porting the game</w:t>
      </w:r>
      <w:r w:rsidR="001332E0">
        <w:t>.</w:t>
      </w:r>
      <w:r>
        <w:t xml:space="preserve"> </w:t>
      </w:r>
    </w:p>
    <w:p w14:paraId="359C04D8" w14:textId="0C2FF9CD" w:rsidR="00B15978" w:rsidRPr="0069435B" w:rsidRDefault="000111AD" w:rsidP="00B15978">
      <w:pPr>
        <w:pStyle w:val="Normalparatextwithnumbers"/>
      </w:pPr>
      <w:r>
        <w:t xml:space="preserve">The games </w:t>
      </w:r>
      <w:proofErr w:type="gramStart"/>
      <w:r>
        <w:t>is</w:t>
      </w:r>
      <w:proofErr w:type="gramEnd"/>
      <w:r>
        <w:t xml:space="preserve"> considered ported when</w:t>
      </w:r>
      <w:r w:rsidR="00860419">
        <w:t xml:space="preserve"> </w:t>
      </w:r>
      <w:r>
        <w:t xml:space="preserve">the game is first released to the public or, where the game is developed under an arm’s length contract, </w:t>
      </w:r>
      <w:r w:rsidR="00860419">
        <w:t xml:space="preserve">when the company first provides the ported game in a state where it could reasonably be regarded as ready and available to the general public on the new platform – whichever event is earlier.  </w:t>
      </w:r>
      <w:r w:rsidR="002417E9">
        <w:br/>
      </w:r>
      <w:r w:rsidR="002417E9" w:rsidRPr="002417E9">
        <w:rPr>
          <w:rStyle w:val="References"/>
        </w:rPr>
        <w:t xml:space="preserve">[Schedule </w:t>
      </w:r>
      <w:r w:rsidR="002F77BB">
        <w:rPr>
          <w:rStyle w:val="References"/>
        </w:rPr>
        <w:t>#</w:t>
      </w:r>
      <w:r w:rsidR="002417E9" w:rsidRPr="002417E9">
        <w:rPr>
          <w:rStyle w:val="References"/>
        </w:rPr>
        <w:t>, item</w:t>
      </w:r>
      <w:r w:rsidR="002F77BB">
        <w:rPr>
          <w:rStyle w:val="References"/>
        </w:rPr>
        <w:t xml:space="preserve"> 2</w:t>
      </w:r>
      <w:r w:rsidR="002417E9" w:rsidRPr="002417E9">
        <w:rPr>
          <w:rStyle w:val="References"/>
        </w:rPr>
        <w:t>, subsection</w:t>
      </w:r>
      <w:r w:rsidR="00A7567D">
        <w:rPr>
          <w:rStyle w:val="References"/>
        </w:rPr>
        <w:t>s</w:t>
      </w:r>
      <w:r w:rsidR="002417E9" w:rsidRPr="002417E9">
        <w:rPr>
          <w:rStyle w:val="References"/>
        </w:rPr>
        <w:t xml:space="preserve"> 37</w:t>
      </w:r>
      <w:r>
        <w:rPr>
          <w:rStyle w:val="References"/>
        </w:rPr>
        <w:t>8</w:t>
      </w:r>
      <w:r w:rsidR="002417E9" w:rsidRPr="002417E9">
        <w:rPr>
          <w:rStyle w:val="References"/>
        </w:rPr>
        <w:t>-20(</w:t>
      </w:r>
      <w:r w:rsidR="00D03C38">
        <w:rPr>
          <w:rStyle w:val="References"/>
        </w:rPr>
        <w:t>3</w:t>
      </w:r>
      <w:r w:rsidR="002417E9" w:rsidRPr="002417E9">
        <w:rPr>
          <w:rStyle w:val="References"/>
        </w:rPr>
        <w:t>)</w:t>
      </w:r>
      <w:r w:rsidR="00A7567D">
        <w:rPr>
          <w:rStyle w:val="References"/>
        </w:rPr>
        <w:t xml:space="preserve"> and (4)</w:t>
      </w:r>
      <w:r w:rsidR="002417E9" w:rsidRPr="002417E9">
        <w:rPr>
          <w:rStyle w:val="References"/>
        </w:rPr>
        <w:t xml:space="preserve"> of ITAA 1997] </w:t>
      </w:r>
    </w:p>
    <w:p w14:paraId="426761EE" w14:textId="51418FAC" w:rsidR="00F56339" w:rsidRDefault="00F56339" w:rsidP="00F56339">
      <w:pPr>
        <w:pStyle w:val="Heading6"/>
      </w:pPr>
      <w:r>
        <w:t>Ongoing development certificate</w:t>
      </w:r>
    </w:p>
    <w:p w14:paraId="46F95019" w14:textId="57BC0C03" w:rsidR="004B0FC1" w:rsidRDefault="004B0FC1" w:rsidP="006A7B82">
      <w:pPr>
        <w:pStyle w:val="Normalparatextwithnumbers"/>
      </w:pPr>
      <w:bookmarkStart w:id="50" w:name="_Ref96077335"/>
      <w:r w:rsidRPr="00402F34">
        <w:t xml:space="preserve">A company </w:t>
      </w:r>
      <w:r>
        <w:t>can</w:t>
      </w:r>
      <w:r w:rsidRPr="00402F34">
        <w:t xml:space="preserve"> apply for an ongoing development certificate for an income year in relation to the ongoing development of one or more digital games. Ongoing development means activities undertaken to</w:t>
      </w:r>
      <w:r w:rsidR="005B296B">
        <w:t xml:space="preserve"> update</w:t>
      </w:r>
      <w:r w:rsidR="001755F5">
        <w:t xml:space="preserve">, </w:t>
      </w:r>
      <w:r w:rsidR="003C4A5D">
        <w:t>expand</w:t>
      </w:r>
      <w:r w:rsidR="00A21B13">
        <w:t xml:space="preserve"> </w:t>
      </w:r>
      <w:r w:rsidRPr="00402F34">
        <w:t>or improve a digital game that has already been completed.</w:t>
      </w:r>
      <w:r w:rsidR="00142092">
        <w:t xml:space="preserve"> </w:t>
      </w:r>
      <w:r w:rsidR="00A21B13">
        <w:t xml:space="preserve">This development activity can include the addition of new levels, maps, characters, vehicles, </w:t>
      </w:r>
      <w:r w:rsidR="000555A3">
        <w:t xml:space="preserve">storylines, </w:t>
      </w:r>
      <w:r w:rsidR="00A21B13">
        <w:t>cosmetic items</w:t>
      </w:r>
      <w:r w:rsidR="000555A3">
        <w:t xml:space="preserve">, </w:t>
      </w:r>
      <w:r w:rsidR="00A21B13">
        <w:t>addressing ‘bugs’</w:t>
      </w:r>
      <w:r w:rsidR="000555A3">
        <w:t xml:space="preserve"> or porting to new platforms</w:t>
      </w:r>
      <w:r w:rsidR="00A21B13">
        <w:t xml:space="preserve">. </w:t>
      </w:r>
      <w:r w:rsidR="00142092">
        <w:t>The ongoing development certificate can be claimed with respect to expenditure on multiple eligible games incurred</w:t>
      </w:r>
      <w:r w:rsidR="00D67592">
        <w:t xml:space="preserve"> in</w:t>
      </w:r>
      <w:r w:rsidR="00142092">
        <w:t xml:space="preserve"> the income year to which the certificate relates.</w:t>
      </w:r>
      <w:bookmarkEnd w:id="50"/>
      <w:r w:rsidR="00142092">
        <w:t xml:space="preserve"> </w:t>
      </w:r>
      <w:r>
        <w:br/>
      </w:r>
    </w:p>
    <w:p w14:paraId="53BEE389" w14:textId="69C465AF" w:rsidR="00A13D65" w:rsidRPr="006F019E" w:rsidRDefault="00A13D65" w:rsidP="00A13D65">
      <w:pPr>
        <w:pStyle w:val="Normalparatextwithnumbers"/>
      </w:pPr>
      <w:r w:rsidRPr="006F019E">
        <w:t>A company may apply for the ongoing development certificate</w:t>
      </w:r>
      <w:r w:rsidR="00142092">
        <w:t xml:space="preserve"> in relation to a particular income year</w:t>
      </w:r>
      <w:r w:rsidRPr="006F019E">
        <w:t xml:space="preserve"> if:</w:t>
      </w:r>
    </w:p>
    <w:p w14:paraId="22F3C7A3" w14:textId="7613EE27" w:rsidR="00142092" w:rsidRDefault="00142092" w:rsidP="00A13D65">
      <w:pPr>
        <w:pStyle w:val="Dotpoint1"/>
      </w:pPr>
      <w:r>
        <w:t xml:space="preserve">Ongoing development occurs in relation to </w:t>
      </w:r>
      <w:r w:rsidR="009C3AD0">
        <w:t xml:space="preserve">eligible </w:t>
      </w:r>
      <w:r>
        <w:t xml:space="preserve">games in that income </w:t>
      </w:r>
      <w:proofErr w:type="gramStart"/>
      <w:r>
        <w:t>year;</w:t>
      </w:r>
      <w:proofErr w:type="gramEnd"/>
    </w:p>
    <w:p w14:paraId="729920C9" w14:textId="40F9F836" w:rsidR="004B0FC1" w:rsidRDefault="00A13D65" w:rsidP="00A13D65">
      <w:pPr>
        <w:pStyle w:val="Dotpoint1"/>
      </w:pPr>
      <w:r>
        <w:t>the total of the company’s qualifying Australian development expenditure on the ongoing development of the games in the income year is at least $500,000.</w:t>
      </w:r>
    </w:p>
    <w:p w14:paraId="35B47BAF" w14:textId="49092611" w:rsidR="00142092" w:rsidRDefault="00142092" w:rsidP="00142092">
      <w:pPr>
        <w:pStyle w:val="Dotpoint1"/>
      </w:pPr>
      <w:r>
        <w:t xml:space="preserve">the Minister is satisfied that the conditions relating to the company applying for the certificate are met </w:t>
      </w:r>
      <w:r w:rsidR="007128F7">
        <w:t xml:space="preserve">for each game that expenditure is claimed in relation to </w:t>
      </w:r>
      <w:r>
        <w:t>(see paragraph</w:t>
      </w:r>
      <w:r w:rsidR="00846FE7">
        <w:t xml:space="preserve">s </w:t>
      </w:r>
      <w:r w:rsidR="00B954A3">
        <w:fldChar w:fldCharType="begin"/>
      </w:r>
      <w:r w:rsidR="00B954A3">
        <w:instrText xml:space="preserve"> REF _Ref96077278 \r \h </w:instrText>
      </w:r>
      <w:r w:rsidR="00B954A3">
        <w:fldChar w:fldCharType="separate"/>
      </w:r>
      <w:r w:rsidR="009B1CB5">
        <w:t>1.27</w:t>
      </w:r>
      <w:r w:rsidR="00B954A3">
        <w:fldChar w:fldCharType="end"/>
      </w:r>
      <w:r w:rsidR="00846FE7">
        <w:t xml:space="preserve"> to </w:t>
      </w:r>
      <w:r w:rsidR="00846FE7">
        <w:fldChar w:fldCharType="begin"/>
      </w:r>
      <w:r w:rsidR="00846FE7">
        <w:instrText xml:space="preserve"> REF _Ref96077305 \r \h </w:instrText>
      </w:r>
      <w:r w:rsidR="00846FE7">
        <w:fldChar w:fldCharType="separate"/>
      </w:r>
      <w:r w:rsidR="009B1CB5">
        <w:t>1.36</w:t>
      </w:r>
      <w:r w:rsidR="00846FE7">
        <w:fldChar w:fldCharType="end"/>
      </w:r>
      <w:r>
        <w:t>).</w:t>
      </w:r>
    </w:p>
    <w:p w14:paraId="66EEE978" w14:textId="3BC94C8C" w:rsidR="007C5AB5" w:rsidRDefault="00955360" w:rsidP="001E358A">
      <w:pPr>
        <w:pStyle w:val="Normalparatextwithnumbers"/>
      </w:pPr>
      <w:r w:rsidRPr="004F7926">
        <w:t>U</w:t>
      </w:r>
      <w:r w:rsidR="007C5AB5" w:rsidRPr="004F7926">
        <w:t>nlike the completion and porting certificates, the ongoing development certificate allows a company to claim qualifying Australian development expenditure on multiple</w:t>
      </w:r>
      <w:r w:rsidR="00A63752">
        <w:t xml:space="preserve"> eligible</w:t>
      </w:r>
      <w:r w:rsidR="007C5AB5" w:rsidRPr="004F7926">
        <w:t xml:space="preserve"> games in the same income year towards its $500,000 threshold</w:t>
      </w:r>
      <w:r w:rsidR="007C5AB5">
        <w:t>.</w:t>
      </w:r>
      <w:r>
        <w:t xml:space="preserve"> </w:t>
      </w:r>
    </w:p>
    <w:p w14:paraId="136C3F73" w14:textId="25F98DC1" w:rsidR="00865637" w:rsidRDefault="00955360" w:rsidP="00865637">
      <w:pPr>
        <w:pStyle w:val="Normalparatextwithnumbers"/>
      </w:pPr>
      <w:r>
        <w:t>However</w:t>
      </w:r>
      <w:r w:rsidR="007B4DA3">
        <w:t>,</w:t>
      </w:r>
      <w:r>
        <w:t xml:space="preserve"> t</w:t>
      </w:r>
      <w:r w:rsidR="00865637" w:rsidRPr="00B8358F">
        <w:t xml:space="preserve">he company can only claim qualifying Australian development expenditure in the income year it was incurred. This makes it different to the </w:t>
      </w:r>
      <w:r w:rsidR="00865637" w:rsidRPr="00B8358F">
        <w:lastRenderedPageBreak/>
        <w:t>completion and porting expenditure</w:t>
      </w:r>
      <w:r w:rsidR="0051005E">
        <w:t xml:space="preserve"> </w:t>
      </w:r>
      <w:r w:rsidR="00865637" w:rsidRPr="00B8358F">
        <w:t xml:space="preserve">that can be </w:t>
      </w:r>
      <w:r w:rsidR="0051005E">
        <w:t>recognised in respect of multiple income years</w:t>
      </w:r>
      <w:r w:rsidR="00865637" w:rsidRPr="00B8358F">
        <w:t>.</w:t>
      </w:r>
    </w:p>
    <w:p w14:paraId="688C75E2" w14:textId="2B80F617" w:rsidR="00D03C38" w:rsidRPr="00D03C38" w:rsidRDefault="00D03C38" w:rsidP="00D03C38">
      <w:pPr>
        <w:pStyle w:val="Normalparatextwithnumbers"/>
        <w:numPr>
          <w:ilvl w:val="0"/>
          <w:numId w:val="0"/>
        </w:numPr>
        <w:ind w:left="709"/>
        <w:rPr>
          <w:rStyle w:val="References"/>
        </w:rPr>
      </w:pPr>
      <w:r>
        <w:rPr>
          <w:rStyle w:val="References"/>
        </w:rPr>
        <w:t>[Schedule #, item 2, section 378-20(5) and (6)]</w:t>
      </w:r>
    </w:p>
    <w:p w14:paraId="71BFECF8" w14:textId="6F59FDD5" w:rsidR="00AF1331" w:rsidRDefault="000E4D63" w:rsidP="008B243B">
      <w:pPr>
        <w:pStyle w:val="Heading6"/>
      </w:pPr>
      <w:r>
        <w:t>In the case of expenditure on porting, c</w:t>
      </w:r>
      <w:r w:rsidR="00AF1331">
        <w:t xml:space="preserve">ompanies can choose which certificate is most suitable for their circumstances </w:t>
      </w:r>
    </w:p>
    <w:p w14:paraId="765D3BFA" w14:textId="00F40449" w:rsidR="00CF0D81" w:rsidRPr="007D5F84" w:rsidRDefault="00CF0D81" w:rsidP="00865637">
      <w:pPr>
        <w:pStyle w:val="Normalparatextwithnumbers"/>
      </w:pPr>
      <w:r>
        <w:t xml:space="preserve">Expenditure related to porting a game to a new platform that occurs before that game has </w:t>
      </w:r>
      <w:r w:rsidRPr="007D5F84">
        <w:t>been completed can still be claimed under a completion certificate; similarly, expenditure related to porting an existing game can still be claimed under an ongoing development certificate, at the discretion of the applicant company.</w:t>
      </w:r>
    </w:p>
    <w:p w14:paraId="7EB45D3D" w14:textId="68EF9FD2" w:rsidR="00AF1331" w:rsidRPr="007D5F84" w:rsidRDefault="00AF1331" w:rsidP="00AF1331">
      <w:pPr>
        <w:pStyle w:val="Normalparatextwithnumbers"/>
      </w:pPr>
      <w:r w:rsidRPr="007D5F84">
        <w:t xml:space="preserve">There are situations where the porting of a game and the porting expenditure is eligible for either the completion certificate (for example, a game being simultaneously developed for multiple platforms), porting certificate (a one-off discrete port from an existing platform to another platform) or the ongoing development certificate (porting an existing game to one or more platforms over time) .The company may choose between the three depending on the circumstances around the development of the game. </w:t>
      </w:r>
    </w:p>
    <w:p w14:paraId="2C55026B" w14:textId="2C9328CA" w:rsidR="00AF1331" w:rsidRDefault="00AF1331" w:rsidP="00AF1331">
      <w:pPr>
        <w:pStyle w:val="Normalparatextwithnumbers"/>
      </w:pPr>
      <w:r w:rsidRPr="007D5F84">
        <w:t xml:space="preserve">One of the factors that would inform the choice of certificate is when the qualifying Australian development expenditure in relation to the game is incurred. Eligible </w:t>
      </w:r>
      <w:r w:rsidR="00871CB9" w:rsidRPr="007D5F84">
        <w:t>expenditure</w:t>
      </w:r>
      <w:r w:rsidRPr="007D5F84">
        <w:t xml:space="preserve"> can be incurred across multiple income years if a company is applying for a completion or porting certificate in relation to the income year in which the game was complete or ported.  However, eligible expenditure in relation to an ongoing development certificate (see paragraph </w:t>
      </w:r>
      <w:r w:rsidR="00846FE7">
        <w:rPr>
          <w:highlight w:val="yellow"/>
        </w:rPr>
        <w:fldChar w:fldCharType="begin"/>
      </w:r>
      <w:r w:rsidR="00846FE7">
        <w:instrText xml:space="preserve"> REF _Ref96077335 \r \h </w:instrText>
      </w:r>
      <w:r w:rsidR="00846FE7">
        <w:rPr>
          <w:highlight w:val="yellow"/>
        </w:rPr>
      </w:r>
      <w:r w:rsidR="00846FE7">
        <w:rPr>
          <w:highlight w:val="yellow"/>
        </w:rPr>
        <w:fldChar w:fldCharType="separate"/>
      </w:r>
      <w:r w:rsidR="009B1CB5">
        <w:t>1.49</w:t>
      </w:r>
      <w:r w:rsidR="00846FE7">
        <w:rPr>
          <w:highlight w:val="yellow"/>
        </w:rPr>
        <w:fldChar w:fldCharType="end"/>
      </w:r>
      <w:r w:rsidRPr="007D5F84">
        <w:t xml:space="preserve">) can only be incurred in relation to the income year in which the company is applying for the </w:t>
      </w:r>
      <w:proofErr w:type="gramStart"/>
      <w:r w:rsidRPr="007D5F84">
        <w:t>certificate, but</w:t>
      </w:r>
      <w:proofErr w:type="gramEnd"/>
      <w:r w:rsidRPr="007D5F84">
        <w:t xml:space="preserve"> accrued across </w:t>
      </w:r>
      <w:r w:rsidRPr="009D676C">
        <w:t>multiple game titles</w:t>
      </w:r>
      <w:r w:rsidRPr="0069435B">
        <w:t>.</w:t>
      </w:r>
    </w:p>
    <w:p w14:paraId="1E89FE08" w14:textId="77777777" w:rsidR="00AF1331" w:rsidRDefault="00AF1331" w:rsidP="00AF1331">
      <w:pPr>
        <w:pStyle w:val="ExampleHeading"/>
      </w:pPr>
      <w:r>
        <w:t>Porting expenditure may be eligible for a porting or ongoing development certificate</w:t>
      </w:r>
    </w:p>
    <w:p w14:paraId="2EE328DD" w14:textId="77777777" w:rsidR="00AF1331" w:rsidRDefault="00AF1331" w:rsidP="00AF1331">
      <w:pPr>
        <w:pStyle w:val="Exampletext"/>
      </w:pPr>
      <w:proofErr w:type="spellStart"/>
      <w:r>
        <w:t>Nordegy</w:t>
      </w:r>
      <w:proofErr w:type="spellEnd"/>
      <w:r w:rsidRPr="00F56339">
        <w:t xml:space="preserve"> </w:t>
      </w:r>
      <w:r>
        <w:t xml:space="preserve">Games </w:t>
      </w:r>
      <w:r w:rsidRPr="00F56339">
        <w:t xml:space="preserve">Pty Ltd develops a sporting game for release on PC. The game was very popular and in future income years, </w:t>
      </w:r>
      <w:proofErr w:type="spellStart"/>
      <w:r>
        <w:t>Nordegy</w:t>
      </w:r>
      <w:proofErr w:type="spellEnd"/>
      <w:r w:rsidRPr="00F56339">
        <w:t xml:space="preserve"> </w:t>
      </w:r>
      <w:r>
        <w:t xml:space="preserve">Games </w:t>
      </w:r>
      <w:r w:rsidRPr="00F56339">
        <w:t xml:space="preserve">Pty Ltd </w:t>
      </w:r>
      <w:r>
        <w:t>ports</w:t>
      </w:r>
      <w:r w:rsidRPr="00F56339">
        <w:t xml:space="preserve"> the game from PC to </w:t>
      </w:r>
      <w:proofErr w:type="spellStart"/>
      <w:r w:rsidRPr="00F56339">
        <w:t>Playstation</w:t>
      </w:r>
      <w:proofErr w:type="spellEnd"/>
      <w:r w:rsidRPr="00F56339">
        <w:t xml:space="preserve">. In porting the game, </w:t>
      </w:r>
      <w:proofErr w:type="spellStart"/>
      <w:r>
        <w:t>Nordegy</w:t>
      </w:r>
      <w:proofErr w:type="spellEnd"/>
      <w:r w:rsidRPr="00F56339">
        <w:t xml:space="preserve"> </w:t>
      </w:r>
      <w:r>
        <w:t xml:space="preserve">Games </w:t>
      </w:r>
      <w:r w:rsidRPr="00F56339">
        <w:t xml:space="preserve">Pty Ltd </w:t>
      </w:r>
      <w:r>
        <w:t xml:space="preserve">incurs $600,000 in </w:t>
      </w:r>
      <w:r w:rsidRPr="00F56339">
        <w:t xml:space="preserve">qualifying Australian development expenditure </w:t>
      </w:r>
      <w:r>
        <w:t>over multiple income years.</w:t>
      </w:r>
      <w:r w:rsidRPr="00F56339">
        <w:t xml:space="preserve"> </w:t>
      </w:r>
      <w:proofErr w:type="spellStart"/>
      <w:r>
        <w:t>Nordegy</w:t>
      </w:r>
      <w:proofErr w:type="spellEnd"/>
      <w:r w:rsidRPr="00F56339">
        <w:t xml:space="preserve"> </w:t>
      </w:r>
      <w:r>
        <w:t xml:space="preserve">Games </w:t>
      </w:r>
      <w:r w:rsidRPr="00F56339">
        <w:t>Pty Ltd may apply for a porting certificate.</w:t>
      </w:r>
    </w:p>
    <w:p w14:paraId="5BA3635A" w14:textId="77777777" w:rsidR="00AF1331" w:rsidRDefault="00AF1331" w:rsidP="00AF1331">
      <w:pPr>
        <w:pStyle w:val="Exampletext"/>
      </w:pPr>
      <w:r>
        <w:t xml:space="preserve">Due to its success in porting its sports game, </w:t>
      </w:r>
      <w:proofErr w:type="spellStart"/>
      <w:r>
        <w:t>Nordegy</w:t>
      </w:r>
      <w:proofErr w:type="spellEnd"/>
      <w:r>
        <w:t xml:space="preserve"> Games Pty Ltd ports its adventure game from PC to </w:t>
      </w:r>
      <w:proofErr w:type="spellStart"/>
      <w:r>
        <w:t>Playstation</w:t>
      </w:r>
      <w:proofErr w:type="spellEnd"/>
      <w:r>
        <w:t xml:space="preserve">. </w:t>
      </w:r>
      <w:proofErr w:type="spellStart"/>
      <w:r>
        <w:t>Nordegy</w:t>
      </w:r>
      <w:proofErr w:type="spellEnd"/>
      <w:r>
        <w:t xml:space="preserve"> Games Pty Ltd incurs $400,000 in </w:t>
      </w:r>
      <w:r w:rsidRPr="00F56339">
        <w:t>qualifying Australian development expenditure</w:t>
      </w:r>
      <w:r>
        <w:t xml:space="preserve"> in a single income year. In the same income year, </w:t>
      </w:r>
      <w:proofErr w:type="spellStart"/>
      <w:r>
        <w:t>Nordegy</w:t>
      </w:r>
      <w:proofErr w:type="spellEnd"/>
      <w:r>
        <w:t xml:space="preserve"> Games Pty Ltd incurred $150,000 in expanding and updating its sporting game. </w:t>
      </w:r>
      <w:proofErr w:type="spellStart"/>
      <w:r>
        <w:t>Nordegy</w:t>
      </w:r>
      <w:proofErr w:type="spellEnd"/>
      <w:r>
        <w:t xml:space="preserve"> Games Pty Ltd cannot apply for a porting certificate for the adventure game as the $500,000 threshold has not been met. </w:t>
      </w:r>
      <w:proofErr w:type="spellStart"/>
      <w:r>
        <w:t>Nordegy</w:t>
      </w:r>
      <w:proofErr w:type="spellEnd"/>
      <w:r>
        <w:t xml:space="preserve"> Games Pty Ltd can apply for an ongoing development certificate for both the adventure </w:t>
      </w:r>
      <w:r>
        <w:lastRenderedPageBreak/>
        <w:t>game and sporting game, as the $500,000 threshold for the income year has been met across multiple eligible game titles.</w:t>
      </w:r>
    </w:p>
    <w:p w14:paraId="313E0B20" w14:textId="21AAB0FA" w:rsidR="00865637" w:rsidRDefault="0008608C" w:rsidP="0008608C">
      <w:pPr>
        <w:pStyle w:val="Heading3"/>
      </w:pPr>
      <w:bookmarkStart w:id="51" w:name="_Toc97046174"/>
      <w:r>
        <w:t>Eligible Expenditure</w:t>
      </w:r>
      <w:bookmarkEnd w:id="51"/>
      <w:r>
        <w:t xml:space="preserve"> </w:t>
      </w:r>
    </w:p>
    <w:p w14:paraId="10B06176" w14:textId="53541292" w:rsidR="00B62C9F" w:rsidRPr="00B62C9F" w:rsidRDefault="00B62C9F" w:rsidP="00B62C9F">
      <w:pPr>
        <w:pStyle w:val="Heading5"/>
      </w:pPr>
      <w:r>
        <w:t>Development expenditure</w:t>
      </w:r>
    </w:p>
    <w:p w14:paraId="3E4F39B8" w14:textId="1864590E" w:rsidR="00864344" w:rsidRPr="00864344" w:rsidRDefault="00864344" w:rsidP="00864344">
      <w:pPr>
        <w:pStyle w:val="Normalparatextwithnumbers"/>
      </w:pPr>
      <w:r w:rsidRPr="00864344">
        <w:t>Development expenditure is defined in section 378-</w:t>
      </w:r>
      <w:r w:rsidR="001C3F1E">
        <w:t>30</w:t>
      </w:r>
      <w:r w:rsidRPr="00864344">
        <w:t xml:space="preserve"> of the </w:t>
      </w:r>
      <w:r w:rsidR="00591858">
        <w:t>ITAA 1997</w:t>
      </w:r>
      <w:r w:rsidRPr="00864344">
        <w:t xml:space="preserve">. </w:t>
      </w:r>
      <w:r w:rsidR="001C3F1E">
        <w:t>Expenditure that is development expenditure is intended to cover</w:t>
      </w:r>
      <w:r w:rsidR="003F3B96">
        <w:t xml:space="preserve"> </w:t>
      </w:r>
      <w:r w:rsidR="001C3F1E">
        <w:t xml:space="preserve">expenditure </w:t>
      </w:r>
      <w:r w:rsidR="00F13B60">
        <w:t xml:space="preserve">that a company incurs </w:t>
      </w:r>
      <w:r w:rsidR="001C3F1E">
        <w:t xml:space="preserve">in the development of </w:t>
      </w:r>
      <w:r w:rsidR="00F13B60">
        <w:t>a</w:t>
      </w:r>
      <w:r w:rsidR="003F3B96">
        <w:t xml:space="preserve"> </w:t>
      </w:r>
      <w:r w:rsidR="001C3F1E">
        <w:t>game</w:t>
      </w:r>
      <w:r w:rsidR="00F13B60">
        <w:t xml:space="preserve">. Some items of expenditure that may fit that definition are specifically excluded. Similarly, some items of expenditure that may fall outside that general definition are included.  </w:t>
      </w:r>
    </w:p>
    <w:p w14:paraId="53098AAD" w14:textId="706AF787" w:rsidR="00C85AFC" w:rsidRDefault="00864344" w:rsidP="00864344">
      <w:pPr>
        <w:pStyle w:val="Heading6"/>
      </w:pPr>
      <w:r>
        <w:t>General test</w:t>
      </w:r>
    </w:p>
    <w:p w14:paraId="0D1E07F0" w14:textId="7FFE3537" w:rsidR="00707D3D" w:rsidRDefault="00FE4D30" w:rsidP="001E358A">
      <w:pPr>
        <w:pStyle w:val="Normalparatextwithnumbers"/>
      </w:pPr>
      <w:r>
        <w:t>The general test for</w:t>
      </w:r>
      <w:r w:rsidR="00707D3D">
        <w:t xml:space="preserve"> </w:t>
      </w:r>
      <w:r>
        <w:t>d</w:t>
      </w:r>
      <w:r w:rsidR="00707D3D" w:rsidRPr="00846937">
        <w:t>evelopment expenditure</w:t>
      </w:r>
      <w:r w:rsidR="00707D3D">
        <w:t xml:space="preserve"> </w:t>
      </w:r>
      <w:r>
        <w:t>in relation to</w:t>
      </w:r>
      <w:r w:rsidR="00707D3D">
        <w:t xml:space="preserve"> a digital game is </w:t>
      </w:r>
      <w:r>
        <w:t xml:space="preserve">any </w:t>
      </w:r>
      <w:r w:rsidR="00707D3D">
        <w:t>expenditure that a company incurs in or in relation to the development of the game.</w:t>
      </w:r>
    </w:p>
    <w:p w14:paraId="3034A122" w14:textId="09C381C4" w:rsidR="00707D3D" w:rsidRDefault="00707D3D" w:rsidP="00707D3D">
      <w:pPr>
        <w:pStyle w:val="Normalparatextwithnumbers"/>
      </w:pPr>
      <w:r w:rsidRPr="00CA1CC1">
        <w:t xml:space="preserve">A company develops a game by doing any of the activities necessary to complete, port, </w:t>
      </w:r>
      <w:r w:rsidR="00FE4D30">
        <w:t xml:space="preserve">expand </w:t>
      </w:r>
      <w:r w:rsidR="00846937">
        <w:t>or improve</w:t>
      </w:r>
      <w:r w:rsidRPr="00CA1CC1">
        <w:t xml:space="preserve"> a</w:t>
      </w:r>
      <w:r w:rsidR="00A02DFE">
        <w:t>n eligible</w:t>
      </w:r>
      <w:r w:rsidRPr="00CA1CC1">
        <w:t xml:space="preserve"> game</w:t>
      </w:r>
      <w:r>
        <w:t xml:space="preserve">. </w:t>
      </w:r>
      <w:r w:rsidRPr="00CA1CC1">
        <w:t xml:space="preserve">Subject to the specific inclusions and exclusions, expenditure will count as </w:t>
      </w:r>
      <w:r w:rsidR="00F13B60">
        <w:t>development expenditure when</w:t>
      </w:r>
      <w:r w:rsidRPr="00CA1CC1">
        <w:t xml:space="preserve"> </w:t>
      </w:r>
      <w:r w:rsidR="003F072C">
        <w:t xml:space="preserve">it </w:t>
      </w:r>
      <w:r w:rsidRPr="00CA1CC1">
        <w:t>has been incurred</w:t>
      </w:r>
      <w:r w:rsidR="00D74F47">
        <w:t>, which can be a different time to when a payment actually occurs</w:t>
      </w:r>
      <w:r w:rsidRPr="00CA1CC1">
        <w:t>. This will allow expenditure to count on accruals basis as some part of the payment for developing game may be unpaid</w:t>
      </w:r>
      <w:r>
        <w:t xml:space="preserve"> at a particular time</w:t>
      </w:r>
      <w:r w:rsidRPr="00CA1CC1">
        <w:t>, for example at the time of completion.</w:t>
      </w:r>
      <w:r w:rsidR="00FE4D30">
        <w:t xml:space="preserve"> </w:t>
      </w:r>
    </w:p>
    <w:p w14:paraId="1BBC0B5A" w14:textId="46F2CFBA" w:rsidR="00846FE7" w:rsidRDefault="00846FE7" w:rsidP="00846FE7">
      <w:pPr>
        <w:pStyle w:val="Normalparatextwithnumbers"/>
        <w:numPr>
          <w:ilvl w:val="0"/>
          <w:numId w:val="0"/>
        </w:numPr>
        <w:ind w:left="709"/>
      </w:pPr>
      <w:r w:rsidRPr="00707D3D">
        <w:rPr>
          <w:rStyle w:val="References"/>
        </w:rPr>
        <w:t xml:space="preserve">[Schedule </w:t>
      </w:r>
      <w:r>
        <w:rPr>
          <w:rStyle w:val="References"/>
        </w:rPr>
        <w:t>#</w:t>
      </w:r>
      <w:r w:rsidRPr="00707D3D">
        <w:rPr>
          <w:rStyle w:val="References"/>
        </w:rPr>
        <w:t xml:space="preserve">, item </w:t>
      </w:r>
      <w:r>
        <w:rPr>
          <w:rStyle w:val="References"/>
        </w:rPr>
        <w:t>2</w:t>
      </w:r>
      <w:r w:rsidRPr="00707D3D">
        <w:rPr>
          <w:rStyle w:val="References"/>
        </w:rPr>
        <w:t xml:space="preserve">, </w:t>
      </w:r>
      <w:r w:rsidR="00BA65E5">
        <w:rPr>
          <w:rStyle w:val="References"/>
        </w:rPr>
        <w:t>section</w:t>
      </w:r>
      <w:r w:rsidRPr="00707D3D">
        <w:rPr>
          <w:rStyle w:val="References"/>
        </w:rPr>
        <w:t xml:space="preserve"> 378-</w:t>
      </w:r>
      <w:r w:rsidR="00BA65E5">
        <w:rPr>
          <w:rStyle w:val="References"/>
        </w:rPr>
        <w:t>30</w:t>
      </w:r>
      <w:r w:rsidRPr="00707D3D">
        <w:rPr>
          <w:rStyle w:val="References"/>
        </w:rPr>
        <w:t>(1) of the ITAA 1997]</w:t>
      </w:r>
    </w:p>
    <w:p w14:paraId="2BC35DA4" w14:textId="1C8D3D3E" w:rsidR="00287A9B" w:rsidRDefault="008F33C7" w:rsidP="00311B7A">
      <w:pPr>
        <w:pStyle w:val="Heading6"/>
      </w:pPr>
      <w:r>
        <w:t>Specific inclusions</w:t>
      </w:r>
    </w:p>
    <w:p w14:paraId="5962E5A4" w14:textId="0BA2B5BE" w:rsidR="00A02DFE" w:rsidRDefault="00287A9B" w:rsidP="00287A9B">
      <w:pPr>
        <w:pStyle w:val="Normalparatextwithnumbers"/>
      </w:pPr>
      <w:r>
        <w:t>Without limiting the</w:t>
      </w:r>
      <w:r w:rsidR="00FE4D30">
        <w:t xml:space="preserve"> general test for</w:t>
      </w:r>
      <w:r>
        <w:t xml:space="preserve"> development</w:t>
      </w:r>
      <w:r w:rsidR="00FE4D30">
        <w:t xml:space="preserve"> expenditure</w:t>
      </w:r>
      <w:r>
        <w:t xml:space="preserve">, the </w:t>
      </w:r>
      <w:r w:rsidR="00FE4D30">
        <w:t>specific inclusions are</w:t>
      </w:r>
      <w:r>
        <w:t xml:space="preserve"> targeted to support the </w:t>
      </w:r>
      <w:r w:rsidR="00FE4D30">
        <w:t xml:space="preserve">type of expenditure that contributes to the </w:t>
      </w:r>
      <w:r>
        <w:t>growth of the digital games industry</w:t>
      </w:r>
      <w:r w:rsidR="00FE4D30">
        <w:t>.</w:t>
      </w:r>
      <w:r>
        <w:t xml:space="preserve"> </w:t>
      </w:r>
      <w:r w:rsidR="00A02DFE">
        <w:t xml:space="preserve">The purpose of this provision is to provide certainty to the company that claiming such expenditure will be </w:t>
      </w:r>
      <w:r w:rsidR="00F13B60">
        <w:t>eligible in the calculation of the offset</w:t>
      </w:r>
      <w:r w:rsidR="00A02DFE">
        <w:t xml:space="preserve"> by explicitly listing activities that would be expected to </w:t>
      </w:r>
      <w:r w:rsidR="00D74F47">
        <w:t xml:space="preserve">be </w:t>
      </w:r>
      <w:r w:rsidR="00A02DFE">
        <w:t xml:space="preserve">directly relevant to the development of an eligible game.  </w:t>
      </w:r>
    </w:p>
    <w:p w14:paraId="1E7DFF5A" w14:textId="61EC46FC" w:rsidR="00287A9B" w:rsidRDefault="00A02DFE" w:rsidP="00287A9B">
      <w:pPr>
        <w:pStyle w:val="Normalparatextwithnumbers"/>
      </w:pPr>
      <w:r>
        <w:t>Specific inclusions for development expenditure</w:t>
      </w:r>
      <w:r w:rsidR="00287A9B">
        <w:t xml:space="preserve"> </w:t>
      </w:r>
      <w:proofErr w:type="gramStart"/>
      <w:r w:rsidR="00287A9B">
        <w:t>includes</w:t>
      </w:r>
      <w:proofErr w:type="gramEnd"/>
      <w:r w:rsidR="00287A9B">
        <w:t>:</w:t>
      </w:r>
    </w:p>
    <w:p w14:paraId="5FE56C3C" w14:textId="32B23878" w:rsidR="00287A9B" w:rsidRDefault="00287A9B" w:rsidP="00287A9B">
      <w:pPr>
        <w:pStyle w:val="Dotpoint1"/>
      </w:pPr>
      <w:r>
        <w:t>remuneration provided to employees and independent contractors engaged by the company who carry out work in connection with the development of the game</w:t>
      </w:r>
      <w:r w:rsidR="008F5759">
        <w:t>. The legislation lists the specific development roles that are included in this item</w:t>
      </w:r>
      <w:r w:rsidR="00A02DFE">
        <w:t xml:space="preserve">, but is described broadly by including technical </w:t>
      </w:r>
      <w:r w:rsidR="0063657D">
        <w:t>coding roles</w:t>
      </w:r>
      <w:r w:rsidR="00A02DFE">
        <w:t>, project management roles and creatives</w:t>
      </w:r>
      <w:r w:rsidR="008F5759">
        <w:t xml:space="preserve">. </w:t>
      </w:r>
      <w:r>
        <w:t xml:space="preserve"> </w:t>
      </w:r>
    </w:p>
    <w:p w14:paraId="7F762265" w14:textId="77777777" w:rsidR="00287A9B" w:rsidRDefault="00287A9B" w:rsidP="00287A9B">
      <w:pPr>
        <w:pStyle w:val="Dotpoint1"/>
      </w:pPr>
      <w:r>
        <w:t xml:space="preserve">expenditure on research for the </w:t>
      </w:r>
      <w:proofErr w:type="gramStart"/>
      <w:r>
        <w:t>game;</w:t>
      </w:r>
      <w:proofErr w:type="gramEnd"/>
    </w:p>
    <w:p w14:paraId="72126C68" w14:textId="77777777" w:rsidR="00287A9B" w:rsidRDefault="00287A9B" w:rsidP="00287A9B">
      <w:pPr>
        <w:pStyle w:val="Dotpoint1"/>
      </w:pPr>
      <w:r>
        <w:t xml:space="preserve">expenditure on prototyping for the </w:t>
      </w:r>
      <w:proofErr w:type="gramStart"/>
      <w:r>
        <w:t>game;</w:t>
      </w:r>
      <w:proofErr w:type="gramEnd"/>
    </w:p>
    <w:p w14:paraId="47D5CB64" w14:textId="77777777" w:rsidR="00287A9B" w:rsidRDefault="00287A9B" w:rsidP="00287A9B">
      <w:pPr>
        <w:pStyle w:val="Dotpoint1"/>
      </w:pPr>
      <w:r>
        <w:lastRenderedPageBreak/>
        <w:t xml:space="preserve">expenditure on user testing, debugging, and collecting user data for the </w:t>
      </w:r>
      <w:proofErr w:type="gramStart"/>
      <w:r>
        <w:t>game;</w:t>
      </w:r>
      <w:proofErr w:type="gramEnd"/>
    </w:p>
    <w:p w14:paraId="6FE88DAC" w14:textId="77777777" w:rsidR="00287A9B" w:rsidRDefault="00287A9B" w:rsidP="00287A9B">
      <w:pPr>
        <w:pStyle w:val="Dotpoint1"/>
      </w:pPr>
      <w:r>
        <w:t>expenditure on updating the game; and</w:t>
      </w:r>
    </w:p>
    <w:p w14:paraId="478FF13A" w14:textId="5D729492" w:rsidR="00287A9B" w:rsidRDefault="00287A9B" w:rsidP="00287A9B">
      <w:pPr>
        <w:pStyle w:val="Dotpoint1"/>
      </w:pPr>
      <w:r>
        <w:t xml:space="preserve">expenditure on obtaining or maintaining a classification under the </w:t>
      </w:r>
      <w:r w:rsidRPr="00287A9B">
        <w:rPr>
          <w:i/>
          <w:iCs/>
        </w:rPr>
        <w:t>Classification (Publications, Films and Computer Games) Act 1995</w:t>
      </w:r>
      <w:r>
        <w:t>.</w:t>
      </w:r>
    </w:p>
    <w:p w14:paraId="0FBA9582" w14:textId="55A8B618" w:rsidR="00EC5508" w:rsidRDefault="00EC5508" w:rsidP="00287A9B">
      <w:pPr>
        <w:pStyle w:val="Dotpoint1"/>
      </w:pPr>
      <w:r>
        <w:t xml:space="preserve">expenditure on adapting the game for use on particular platforms. </w:t>
      </w:r>
    </w:p>
    <w:p w14:paraId="22E597D5" w14:textId="133882C4" w:rsidR="00287A9B" w:rsidRDefault="0004147C" w:rsidP="004E5705">
      <w:pPr>
        <w:pStyle w:val="Referenceafterdotpoint"/>
        <w:ind w:left="0" w:firstLine="709"/>
      </w:pPr>
      <w:r>
        <w:t xml:space="preserve">[Schedule </w:t>
      </w:r>
      <w:r w:rsidR="008F5759">
        <w:t>#</w:t>
      </w:r>
      <w:r>
        <w:t xml:space="preserve">, item </w:t>
      </w:r>
      <w:r w:rsidR="008F5759">
        <w:t>2</w:t>
      </w:r>
      <w:r>
        <w:t xml:space="preserve">, </w:t>
      </w:r>
      <w:r w:rsidRPr="0004147C">
        <w:t>section 378-</w:t>
      </w:r>
      <w:r w:rsidR="004419A5">
        <w:t>30</w:t>
      </w:r>
      <w:r w:rsidRPr="0004147C">
        <w:t>(2) of the ITAA 1997</w:t>
      </w:r>
      <w:r>
        <w:t xml:space="preserve">] </w:t>
      </w:r>
    </w:p>
    <w:p w14:paraId="73956925" w14:textId="638CEE0F" w:rsidR="009E6A8A" w:rsidRDefault="009E6A8A" w:rsidP="008B243B">
      <w:pPr>
        <w:pStyle w:val="Heading6"/>
      </w:pPr>
      <w:r>
        <w:t xml:space="preserve">Specific exclusions </w:t>
      </w:r>
    </w:p>
    <w:p w14:paraId="7843F5DB" w14:textId="50CF2D37" w:rsidR="006409B3" w:rsidRPr="006B7BC9" w:rsidRDefault="0063657D" w:rsidP="001E358A">
      <w:pPr>
        <w:pStyle w:val="Normalparatextwithnumbers"/>
        <w:rPr>
          <w:rStyle w:val="References"/>
          <w:b w:val="0"/>
          <w:bCs w:val="0"/>
          <w:i w:val="0"/>
          <w:iCs w:val="0"/>
        </w:rPr>
      </w:pPr>
      <w:r>
        <w:t>Similarly, to improve certainty for the applicant company, t</w:t>
      </w:r>
      <w:r w:rsidR="00FD4F47">
        <w:t xml:space="preserve">here are a number of specific exclusions </w:t>
      </w:r>
      <w:r w:rsidR="008E3614">
        <w:t xml:space="preserve">for expenditure </w:t>
      </w:r>
      <w:r w:rsidR="00FD4F47">
        <w:t xml:space="preserve">that will not be eligible to be included as development expenditure, even </w:t>
      </w:r>
      <w:r w:rsidR="008E3614">
        <w:t>if the expenditure is</w:t>
      </w:r>
      <w:r w:rsidR="00FD4F47">
        <w:t xml:space="preserve"> captured by the general test. The specific exclusions are to ensure that only activities that are </w:t>
      </w:r>
      <w:r>
        <w:t xml:space="preserve">directly, </w:t>
      </w:r>
      <w:r w:rsidR="00FD4F47">
        <w:t xml:space="preserve">clearly and unambiguously related to the game development activity are counted </w:t>
      </w:r>
      <w:r w:rsidR="008E3614">
        <w:t xml:space="preserve">as </w:t>
      </w:r>
      <w:r w:rsidR="00FD4F47">
        <w:t xml:space="preserve">development expenditure for the purpose of this offset. </w:t>
      </w:r>
      <w:r w:rsidR="00113CC6">
        <w:t>The exclusions in this section are fundamental to delivering the policy intent of this measure by</w:t>
      </w:r>
      <w:r>
        <w:t xml:space="preserve"> </w:t>
      </w:r>
      <w:r w:rsidR="00FD4F47">
        <w:t>focus</w:t>
      </w:r>
      <w:r w:rsidR="00113CC6">
        <w:t>ing</w:t>
      </w:r>
      <w:r w:rsidR="00FD4F47">
        <w:t xml:space="preserve"> </w:t>
      </w:r>
      <w:r w:rsidR="00113CC6">
        <w:t xml:space="preserve">eligible </w:t>
      </w:r>
      <w:r w:rsidR="00FD4F47">
        <w:t>expenditure on game development jobs</w:t>
      </w:r>
      <w:r>
        <w:t xml:space="preserve"> and </w:t>
      </w:r>
      <w:r w:rsidR="00113CC6">
        <w:t>not subsidising expenditure that is merely incidental or unrelated to game development activity</w:t>
      </w:r>
      <w:r w:rsidR="00FD4F47">
        <w:t xml:space="preserve">. </w:t>
      </w:r>
      <w:r w:rsidR="00FD4F47">
        <w:br/>
      </w:r>
      <w:r w:rsidR="00FD4F47" w:rsidRPr="00FD4F47">
        <w:rPr>
          <w:rStyle w:val="References"/>
        </w:rPr>
        <w:t xml:space="preserve">[Schedule </w:t>
      </w:r>
      <w:r w:rsidR="008E3614">
        <w:rPr>
          <w:rStyle w:val="References"/>
        </w:rPr>
        <w:t>#</w:t>
      </w:r>
      <w:r w:rsidR="00FD4F47" w:rsidRPr="00FD4F47">
        <w:rPr>
          <w:rStyle w:val="References"/>
        </w:rPr>
        <w:t>, item</w:t>
      </w:r>
      <w:r w:rsidR="008E3614">
        <w:rPr>
          <w:rStyle w:val="References"/>
        </w:rPr>
        <w:t xml:space="preserve"> 2</w:t>
      </w:r>
      <w:r w:rsidR="00FD4F47" w:rsidRPr="00FD4F47">
        <w:rPr>
          <w:rStyle w:val="References"/>
        </w:rPr>
        <w:t>, section 378-</w:t>
      </w:r>
      <w:r w:rsidR="004419A5">
        <w:rPr>
          <w:rStyle w:val="References"/>
        </w:rPr>
        <w:t>30</w:t>
      </w:r>
      <w:r w:rsidR="00FD4F47" w:rsidRPr="00FD4F47">
        <w:rPr>
          <w:rStyle w:val="References"/>
        </w:rPr>
        <w:t xml:space="preserve">(3) of the ITAA 1997] </w:t>
      </w:r>
    </w:p>
    <w:p w14:paraId="1C16EB78" w14:textId="58CC1B76" w:rsidR="006B7BC9" w:rsidRDefault="006B7BC9" w:rsidP="006B7BC9">
      <w:pPr>
        <w:pStyle w:val="Normalparatextwithnumbers"/>
      </w:pPr>
      <w:r>
        <w:t xml:space="preserve">Expenditure on </w:t>
      </w:r>
      <w:r w:rsidR="0063657D">
        <w:t xml:space="preserve">further </w:t>
      </w:r>
      <w:r>
        <w:t>subcontracting for the development of the game is excluded</w:t>
      </w:r>
      <w:r w:rsidR="0063657D">
        <w:t xml:space="preserve"> as an integrity measure</w:t>
      </w:r>
      <w:r>
        <w:t>.</w:t>
      </w:r>
      <w:r w:rsidR="000159A6">
        <w:t xml:space="preserve"> </w:t>
      </w:r>
      <w:r w:rsidR="008A4B65">
        <w:t>E</w:t>
      </w:r>
      <w:r w:rsidR="000159A6">
        <w:t xml:space="preserve">xpenditure incurred by the primary development company engaging an independent contractor is eligible expenditure; however, </w:t>
      </w:r>
      <w:r w:rsidR="008A4B65">
        <w:t xml:space="preserve">under this provision, </w:t>
      </w:r>
      <w:r w:rsidR="000159A6">
        <w:t>if that independent contractor further sub-</w:t>
      </w:r>
      <w:proofErr w:type="gramStart"/>
      <w:r w:rsidR="000159A6">
        <w:t>contracts</w:t>
      </w:r>
      <w:proofErr w:type="gramEnd"/>
      <w:r w:rsidR="000159A6">
        <w:t xml:space="preserve"> then the expenditure on the independent contractor is no longer eligible expenditure. </w:t>
      </w:r>
      <w:r w:rsidR="008A4B65" w:rsidRPr="008A4B65">
        <w:t>Without this provision, an entity could engage in complex structuring arrangements that would be able to circumvent other integrity rules</w:t>
      </w:r>
      <w:r w:rsidR="008A4B65">
        <w:t>,</w:t>
      </w:r>
      <w:r w:rsidR="008A4B65" w:rsidRPr="008A4B65">
        <w:t xml:space="preserve"> including those relating to excluding </w:t>
      </w:r>
      <w:r w:rsidR="000935D3">
        <w:t>expenditure</w:t>
      </w:r>
      <w:r w:rsidR="008A4B65" w:rsidRPr="008A4B65">
        <w:t xml:space="preserve"> to related parties. </w:t>
      </w:r>
      <w:r w:rsidR="003046FA">
        <w:t>This provision helps ensure that</w:t>
      </w:r>
      <w:r w:rsidR="008A4B65">
        <w:t xml:space="preserve"> the offset remains targeted at companies that are directly responsible for the development of the game</w:t>
      </w:r>
      <w:r w:rsidR="000935D3">
        <w:t xml:space="preserve">, whilst retaining sufficient flexibility for those companies to source specialist or creative goods and </w:t>
      </w:r>
      <w:proofErr w:type="gramStart"/>
      <w:r w:rsidR="000935D3">
        <w:t xml:space="preserve">services, </w:t>
      </w:r>
      <w:r w:rsidR="002F5B8D">
        <w:t>but</w:t>
      </w:r>
      <w:proofErr w:type="gramEnd"/>
      <w:r w:rsidR="000935D3">
        <w:t xml:space="preserve"> avoid</w:t>
      </w:r>
      <w:r w:rsidR="002F5B8D">
        <w:t>s</w:t>
      </w:r>
      <w:r w:rsidR="000935D3">
        <w:t xml:space="preserve"> creating integrity risks</w:t>
      </w:r>
      <w:r w:rsidR="008A4B65">
        <w:t>.</w:t>
      </w:r>
      <w:r w:rsidR="008A4B65" w:rsidRPr="008A4B65">
        <w:t xml:space="preserve"> </w:t>
      </w:r>
    </w:p>
    <w:p w14:paraId="179B6594" w14:textId="1DC6D4BC" w:rsidR="00283C6C" w:rsidRDefault="00DD30AE" w:rsidP="001E358A">
      <w:pPr>
        <w:pStyle w:val="Normalparatextwithnumbers"/>
      </w:pPr>
      <w:r>
        <w:t xml:space="preserve">Expenditure incurred on activities that are incidental to, but not directly attributable to, the development of the game is excluded. </w:t>
      </w:r>
      <w:r w:rsidR="00EC5508">
        <w:t>Common examples in the games industry of such expenditure includes expenditure on social media manag</w:t>
      </w:r>
      <w:r w:rsidR="004D342D">
        <w:t>ers</w:t>
      </w:r>
      <w:r w:rsidR="00EC5508">
        <w:t>, forum administrators</w:t>
      </w:r>
      <w:r w:rsidR="00A550F9">
        <w:t xml:space="preserve"> or moderators</w:t>
      </w:r>
      <w:r w:rsidR="00653E78">
        <w:t xml:space="preserve">. </w:t>
      </w:r>
      <w:r w:rsidR="00EC5508">
        <w:t xml:space="preserve"> </w:t>
      </w:r>
    </w:p>
    <w:p w14:paraId="46D3DED4" w14:textId="58A8C9F2" w:rsidR="00DD30AE" w:rsidRDefault="00044BAD" w:rsidP="001E358A">
      <w:pPr>
        <w:pStyle w:val="Normalparatextwithnumbers"/>
      </w:pPr>
      <w:r>
        <w:t>Company’s general business overheads are excluded. This includes expenditure on on</w:t>
      </w:r>
      <w:r w:rsidRPr="00540C55">
        <w:t xml:space="preserve">going </w:t>
      </w:r>
      <w:r>
        <w:t xml:space="preserve">or operating </w:t>
      </w:r>
      <w:r w:rsidRPr="00540C55">
        <w:t>business expenses</w:t>
      </w:r>
      <w:r>
        <w:t xml:space="preserve"> because they are not reasonably attributable to activities developing </w:t>
      </w:r>
      <w:r w:rsidR="0063657D">
        <w:t xml:space="preserve">a particular </w:t>
      </w:r>
      <w:r>
        <w:t xml:space="preserve">game. </w:t>
      </w:r>
      <w:r w:rsidR="00B119AF">
        <w:t>The reason for this exclusion is that the offset is not intended to support fixed or corporate costs a company may incur whilst carrying on its development business.</w:t>
      </w:r>
    </w:p>
    <w:p w14:paraId="63D4D421" w14:textId="5139E7F9" w:rsidR="00A530C3" w:rsidRDefault="00A31DC7" w:rsidP="00A530C3">
      <w:pPr>
        <w:pStyle w:val="Normalparatextwithnumbers"/>
      </w:pPr>
      <w:r>
        <w:t>Development expenditure also excludes e</w:t>
      </w:r>
      <w:r w:rsidR="00A530C3">
        <w:t>xpenditure incurred on or in connection with engaging employees and contractors:</w:t>
      </w:r>
    </w:p>
    <w:p w14:paraId="779F6386" w14:textId="730148CF" w:rsidR="00A530C3" w:rsidRDefault="00A530C3" w:rsidP="00A530C3">
      <w:pPr>
        <w:pStyle w:val="Dotpoint1"/>
      </w:pPr>
      <w:r>
        <w:lastRenderedPageBreak/>
        <w:t>whose roles are not related to the development of the game such as administrative employees;</w:t>
      </w:r>
      <w:r w:rsidR="00220FCE">
        <w:t xml:space="preserve"> and</w:t>
      </w:r>
    </w:p>
    <w:p w14:paraId="371E6FB1" w14:textId="6C32E42D" w:rsidR="00A530C3" w:rsidRDefault="00A530C3" w:rsidP="00072F61">
      <w:pPr>
        <w:pStyle w:val="Dotpoint1"/>
      </w:pPr>
      <w:r>
        <w:t>who were not Australian residents at the time the expenditure was incurred</w:t>
      </w:r>
      <w:r w:rsidR="00A31DC7">
        <w:t xml:space="preserve">, in order to promote employment in Australia and to provide consistent eligibility between employment and the purchase of goods and services in </w:t>
      </w:r>
      <w:proofErr w:type="gramStart"/>
      <w:r w:rsidR="00A31DC7">
        <w:t>Australia.</w:t>
      </w:r>
      <w:proofErr w:type="gramEnd"/>
    </w:p>
    <w:p w14:paraId="1BD6B02E" w14:textId="7C0BA76B" w:rsidR="006F5AFE" w:rsidRDefault="00B06565" w:rsidP="006F5AFE">
      <w:pPr>
        <w:pStyle w:val="Normalparatextwithnumbers"/>
      </w:pPr>
      <w:r>
        <w:t xml:space="preserve">Employees and contractors have to be Australian tax residents at the time expenditure on them was incurred – this is consistent treatment with the expenditure on Australian goods and </w:t>
      </w:r>
      <w:proofErr w:type="gramStart"/>
      <w:r>
        <w:t>services, and</w:t>
      </w:r>
      <w:proofErr w:type="gramEnd"/>
      <w:r>
        <w:t xml:space="preserve"> promotes employment in Australia which is a key policy objective of th</w:t>
      </w:r>
      <w:r w:rsidR="00E6391B">
        <w:t>e offset. Whether or not an employee or contractor was an Australian resident takes on its ordinary meaning in the context of the tax law.</w:t>
      </w:r>
    </w:p>
    <w:p w14:paraId="50CBBA08" w14:textId="32ED0B4F" w:rsidR="006F5AFE" w:rsidRDefault="00CD423B" w:rsidP="001E358A">
      <w:pPr>
        <w:pStyle w:val="Normalparatextwithnumbers"/>
      </w:pPr>
      <w:r>
        <w:t>Any expenditure on t</w:t>
      </w:r>
      <w:r w:rsidR="006300E0">
        <w:t>ravel, accommodation,</w:t>
      </w:r>
      <w:r w:rsidR="00755E2D">
        <w:t xml:space="preserve"> catering, </w:t>
      </w:r>
      <w:r w:rsidR="006300E0">
        <w:t>entertaining or hospitality expenditure for employees</w:t>
      </w:r>
      <w:r>
        <w:t>, regardless of whether their roles are</w:t>
      </w:r>
      <w:r w:rsidR="006300E0">
        <w:t xml:space="preserve"> </w:t>
      </w:r>
      <w:r w:rsidR="006300E0" w:rsidRPr="00846937">
        <w:t>directly</w:t>
      </w:r>
      <w:r w:rsidR="006300E0">
        <w:t xml:space="preserve"> and substantially related to the development of the game or </w:t>
      </w:r>
      <w:r>
        <w:t>not</w:t>
      </w:r>
      <w:r w:rsidR="00E01652">
        <w:t xml:space="preserve"> is excluded</w:t>
      </w:r>
      <w:r>
        <w:t>.</w:t>
      </w:r>
      <w:r w:rsidR="006300E0">
        <w:t xml:space="preserve"> </w:t>
      </w:r>
    </w:p>
    <w:p w14:paraId="447A2CFF" w14:textId="77777777" w:rsidR="00E847C9" w:rsidRDefault="00367A9B" w:rsidP="008508B9">
      <w:pPr>
        <w:pStyle w:val="Normalparatextwithnumbers"/>
      </w:pPr>
      <w:r>
        <w:t xml:space="preserve">Expenditure on marketing, advertising or promotion of the game </w:t>
      </w:r>
      <w:r w:rsidR="000046CB">
        <w:t xml:space="preserve">or company </w:t>
      </w:r>
      <w:r>
        <w:t>is excluded. For example, press expenses, photography, public relations and similar expenses.</w:t>
      </w:r>
    </w:p>
    <w:p w14:paraId="031F2231" w14:textId="4308D257" w:rsidR="00091911" w:rsidRDefault="000F1524" w:rsidP="008508B9">
      <w:pPr>
        <w:pStyle w:val="Normalparatextwithnumbers"/>
      </w:pPr>
      <w:r>
        <w:t xml:space="preserve">Expenditure on </w:t>
      </w:r>
      <w:r w:rsidR="000046CB">
        <w:t xml:space="preserve">purchasing or renting </w:t>
      </w:r>
      <w:r>
        <w:t>computer hardware and servers is excluded</w:t>
      </w:r>
      <w:r w:rsidR="00091911">
        <w:t xml:space="preserve"> as it does not directly contribute to employment in the games development industry</w:t>
      </w:r>
      <w:r>
        <w:t>.</w:t>
      </w:r>
    </w:p>
    <w:p w14:paraId="01850782" w14:textId="36D3BDCA" w:rsidR="000F1524" w:rsidRDefault="00091911" w:rsidP="001E358A">
      <w:pPr>
        <w:pStyle w:val="Normalparatextwithnumbers"/>
      </w:pPr>
      <w:r>
        <w:t>E</w:t>
      </w:r>
      <w:r w:rsidR="000F1524">
        <w:t xml:space="preserve">xpenditure incurred on </w:t>
      </w:r>
      <w:r w:rsidR="000F1524" w:rsidRPr="00846937">
        <w:t>software</w:t>
      </w:r>
      <w:r w:rsidR="000F1524">
        <w:t>, to acquire copyright, or a license in relation to copyright</w:t>
      </w:r>
      <w:r>
        <w:t xml:space="preserve"> is also excluded</w:t>
      </w:r>
      <w:r w:rsidR="000F1524">
        <w:t xml:space="preserve">. </w:t>
      </w:r>
      <w:r w:rsidR="003C0A5E">
        <w:t>Expenditure on accessing existing copyrighted material – as opposed to the creation of new works – is not new game development activity</w:t>
      </w:r>
      <w:r w:rsidR="000F1524">
        <w:t>.</w:t>
      </w:r>
      <w:r w:rsidR="00617D2B">
        <w:t xml:space="preserve"> </w:t>
      </w:r>
    </w:p>
    <w:p w14:paraId="59404A01" w14:textId="3DE96BC2" w:rsidR="00617D2B" w:rsidRDefault="00617D2B" w:rsidP="001E358A">
      <w:pPr>
        <w:pStyle w:val="Normalparatextwithnumbers"/>
      </w:pPr>
      <w:r>
        <w:t xml:space="preserve">Expenditure incurred on the use of land or premises, for example on rent is excluded. </w:t>
      </w:r>
    </w:p>
    <w:p w14:paraId="6596AFD2" w14:textId="7FA72BFB" w:rsidR="00617D2B" w:rsidRDefault="00E559D1" w:rsidP="001E358A">
      <w:pPr>
        <w:pStyle w:val="Normalparatextwithnumbers"/>
      </w:pPr>
      <w:r>
        <w:t xml:space="preserve">Expenditure incurred by way of or in relation to financing of the game </w:t>
      </w:r>
      <w:r w:rsidR="00AA606A">
        <w:t xml:space="preserve">or company </w:t>
      </w:r>
      <w:r>
        <w:t xml:space="preserve">is not development expenditure. This </w:t>
      </w:r>
      <w:r w:rsidR="000046CB">
        <w:t xml:space="preserve">exclusion </w:t>
      </w:r>
      <w:r>
        <w:t xml:space="preserve">will specifically </w:t>
      </w:r>
      <w:r w:rsidR="000046CB">
        <w:t xml:space="preserve">cover </w:t>
      </w:r>
      <w:r>
        <w:t xml:space="preserve">interest, or other returns, on amounts invested in the game </w:t>
      </w:r>
      <w:r w:rsidR="00AA606A">
        <w:t xml:space="preserve">or company </w:t>
      </w:r>
      <w:r>
        <w:t>and costs connected with raising and servicing finance for the game</w:t>
      </w:r>
      <w:r w:rsidR="00971CB0">
        <w:t xml:space="preserve"> or company</w:t>
      </w:r>
      <w:r>
        <w:t xml:space="preserve">. </w:t>
      </w:r>
    </w:p>
    <w:p w14:paraId="6A8D9D1B" w14:textId="12CBE69F" w:rsidR="00E559D1" w:rsidRDefault="00E559D1" w:rsidP="001E358A">
      <w:pPr>
        <w:pStyle w:val="Normalparatextwithnumbers"/>
      </w:pPr>
      <w:r>
        <w:t>Expenditure incurred in relation to insurance, audit services, accounting services</w:t>
      </w:r>
      <w:r w:rsidR="00653E78">
        <w:t>, recruitment services and</w:t>
      </w:r>
      <w:r>
        <w:t xml:space="preserve"> legal services is excluded even if the expenditure relates to the game. </w:t>
      </w:r>
    </w:p>
    <w:p w14:paraId="1244A27F" w14:textId="6F01F016" w:rsidR="00E559D1" w:rsidRPr="00D00543" w:rsidRDefault="00E559D1" w:rsidP="00E559D1">
      <w:pPr>
        <w:pStyle w:val="Normalparatextwithnumbers"/>
      </w:pPr>
      <w:r w:rsidRPr="00D00543">
        <w:t>Any expenditure (even if it satisfies the general test)</w:t>
      </w:r>
      <w:r w:rsidR="00AD76BB" w:rsidRPr="00D00543">
        <w:t xml:space="preserve"> that</w:t>
      </w:r>
      <w:r w:rsidRPr="00D00543">
        <w:t>:</w:t>
      </w:r>
    </w:p>
    <w:p w14:paraId="7B717603" w14:textId="4CC45594" w:rsidR="00E559D1" w:rsidRPr="00D00543" w:rsidRDefault="00846937" w:rsidP="00E559D1">
      <w:pPr>
        <w:pStyle w:val="Dotpoint1"/>
      </w:pPr>
      <w:r w:rsidRPr="00D00543">
        <w:t>i</w:t>
      </w:r>
      <w:r w:rsidR="00AD76BB" w:rsidRPr="00D00543">
        <w:t xml:space="preserve">s </w:t>
      </w:r>
      <w:r w:rsidR="00E559D1" w:rsidRPr="00D00543">
        <w:t xml:space="preserve">claimed for the purposes of another tax offset, including for the purposes of section 355-100 (tax offsets for R&amp;D); or </w:t>
      </w:r>
    </w:p>
    <w:p w14:paraId="4041EFEF" w14:textId="77A4D95E" w:rsidR="00612FA4" w:rsidRPr="00D00543" w:rsidRDefault="00612FA4" w:rsidP="00E559D1">
      <w:pPr>
        <w:pStyle w:val="Dotpoint1"/>
      </w:pPr>
      <w:r w:rsidRPr="00D00543">
        <w:t>gives rise to notional deductions for the purposes of section 355-205 (about deductions for R&amp;D expenditure</w:t>
      </w:r>
      <w:proofErr w:type="gramStart"/>
      <w:r w:rsidRPr="00D00543">
        <w:t>);</w:t>
      </w:r>
      <w:proofErr w:type="gramEnd"/>
    </w:p>
    <w:p w14:paraId="60732043" w14:textId="30FF239F" w:rsidR="00AD76BB" w:rsidRDefault="00612FA4" w:rsidP="00846937">
      <w:pPr>
        <w:pStyle w:val="Dotpoint1"/>
        <w:numPr>
          <w:ilvl w:val="0"/>
          <w:numId w:val="0"/>
        </w:numPr>
        <w:ind w:left="1418"/>
      </w:pPr>
      <w:r w:rsidRPr="00D00543">
        <w:lastRenderedPageBreak/>
        <w:t>is excluded.</w:t>
      </w:r>
      <w:r w:rsidR="00932686" w:rsidRPr="00D00543">
        <w:t xml:space="preserve"> </w:t>
      </w:r>
      <w:r w:rsidR="00091911" w:rsidRPr="00D00543">
        <w:t xml:space="preserve">Similarly, </w:t>
      </w:r>
      <w:r w:rsidR="00553E5F" w:rsidRPr="00D00543">
        <w:t>expenditure claimed for the DGTO</w:t>
      </w:r>
      <w:r w:rsidR="00091911" w:rsidRPr="00D00543">
        <w:t xml:space="preserve"> cannot </w:t>
      </w:r>
      <w:r w:rsidR="00553E5F" w:rsidRPr="00D00543">
        <w:t xml:space="preserve">also </w:t>
      </w:r>
      <w:r w:rsidR="00091911" w:rsidRPr="00D00543">
        <w:t>be counted towards the R&amp;D intensity test.</w:t>
      </w:r>
      <w:r w:rsidR="00091911">
        <w:t xml:space="preserve">  </w:t>
      </w:r>
    </w:p>
    <w:p w14:paraId="3DAF1EFE" w14:textId="4FEE8AC1" w:rsidR="007A5C0F" w:rsidRPr="007A5C0F" w:rsidRDefault="00AD76BB" w:rsidP="007A5C0F">
      <w:pPr>
        <w:pStyle w:val="Normalparatextwithnumbers"/>
      </w:pPr>
      <w:r>
        <w:t xml:space="preserve">This means that if a company has used its expenditure incurred in developing the game towards either claiming an R&amp;D Offset or towards the </w:t>
      </w:r>
      <w:r w:rsidR="00764222">
        <w:t xml:space="preserve">intensity </w:t>
      </w:r>
      <w:r>
        <w:t xml:space="preserve">test in relation to the R&amp;D offset, </w:t>
      </w:r>
      <w:r w:rsidR="00136920">
        <w:t xml:space="preserve">the expenditure </w:t>
      </w:r>
      <w:r>
        <w:t xml:space="preserve">cannot be also claimed as development expenditure. </w:t>
      </w:r>
      <w:r w:rsidR="00932686">
        <w:t xml:space="preserve">This treatment recognises that the government is already providing an incentive for companies to engage in R&amp;D activity, and such expenditure cannot be </w:t>
      </w:r>
      <w:proofErr w:type="gramStart"/>
      <w:r w:rsidR="00932686">
        <w:t>double-counted</w:t>
      </w:r>
      <w:proofErr w:type="gramEnd"/>
      <w:r w:rsidR="00932686">
        <w:t xml:space="preserve"> for the purposes of the </w:t>
      </w:r>
      <w:r w:rsidR="00764222">
        <w:t>Digital Games Tax Offset</w:t>
      </w:r>
      <w:r w:rsidR="00932686">
        <w:t xml:space="preserve">.  </w:t>
      </w:r>
    </w:p>
    <w:p w14:paraId="33882EAD" w14:textId="7B979F1A" w:rsidR="00612FA4" w:rsidRDefault="002174FB" w:rsidP="001E358A">
      <w:pPr>
        <w:pStyle w:val="Normalparatextwithnumbers"/>
      </w:pPr>
      <w:r>
        <w:t xml:space="preserve">Expenditure </w:t>
      </w:r>
      <w:r w:rsidRPr="005527C9">
        <w:t xml:space="preserve">incurred in relation to applying for the digital games tax offset, or any assistance programs administered by the </w:t>
      </w:r>
      <w:proofErr w:type="gramStart"/>
      <w:r w:rsidRPr="005527C9">
        <w:t>Commonwealth</w:t>
      </w:r>
      <w:proofErr w:type="gramEnd"/>
      <w:r w:rsidRPr="005527C9">
        <w:t xml:space="preserve"> or the States</w:t>
      </w:r>
      <w:r>
        <w:t xml:space="preserve"> is excluded. </w:t>
      </w:r>
      <w:r w:rsidR="005F3D98">
        <w:t>If a</w:t>
      </w:r>
      <w:r>
        <w:t xml:space="preserve"> company is receiving assistance in developing a game from an Australian Government agency, </w:t>
      </w:r>
      <w:r w:rsidR="005F3D98">
        <w:t xml:space="preserve">such assistance </w:t>
      </w:r>
      <w:r>
        <w:t>does not preclude eligibility for the offset</w:t>
      </w:r>
      <w:r w:rsidR="00F333A7">
        <w:t>.</w:t>
      </w:r>
      <w:r>
        <w:t xml:space="preserve"> </w:t>
      </w:r>
    </w:p>
    <w:p w14:paraId="59BC5467" w14:textId="56DF562E" w:rsidR="002174FB" w:rsidRDefault="00286F98" w:rsidP="001E358A">
      <w:pPr>
        <w:pStyle w:val="Normalparatextwithnumbers"/>
      </w:pPr>
      <w:r>
        <w:t xml:space="preserve">There are two specific exclusions that are integrity measures. </w:t>
      </w:r>
      <w:r w:rsidR="001B1B38">
        <w:t>These exclusions are for e</w:t>
      </w:r>
      <w:r>
        <w:t>xpenditure incurred:</w:t>
      </w:r>
    </w:p>
    <w:p w14:paraId="0A66FE46" w14:textId="57C8E0EE" w:rsidR="00286F98" w:rsidRDefault="00286F98" w:rsidP="00286F98">
      <w:pPr>
        <w:pStyle w:val="Dotpoint1"/>
      </w:pPr>
      <w:r w:rsidRPr="00286F98">
        <w:t>in connection with a transaction in which the company and another party to the transaction did not deal with each other at arm’s length; and</w:t>
      </w:r>
    </w:p>
    <w:p w14:paraId="5069DF21" w14:textId="385A397E" w:rsidR="00286F98" w:rsidRDefault="00286F98" w:rsidP="00286F98">
      <w:pPr>
        <w:pStyle w:val="Dotpoint1"/>
      </w:pPr>
      <w:r w:rsidRPr="00286F98">
        <w:t>in relation to an entity that is not wholly independent from the company</w:t>
      </w:r>
      <w:r>
        <w:t>.</w:t>
      </w:r>
    </w:p>
    <w:p w14:paraId="0E629A54" w14:textId="4143832E" w:rsidR="00434FFB" w:rsidRPr="001D531D" w:rsidRDefault="0059071A" w:rsidP="00434FFB">
      <w:pPr>
        <w:pStyle w:val="Normalparatextwithnumbers"/>
      </w:pPr>
      <w:r w:rsidRPr="001D531D">
        <w:t xml:space="preserve">‘Arm’s length’ is defined in section 995-1 of the ITAA 1997 to mean that when determining whether parties deal at arm's length, consider any connection between them and any other relevant circumstance. However, </w:t>
      </w:r>
      <w:r w:rsidR="00434FFB" w:rsidRPr="001D531D">
        <w:t xml:space="preserve">‘wholly independent’ </w:t>
      </w:r>
      <w:r w:rsidRPr="001D531D">
        <w:t>is</w:t>
      </w:r>
      <w:r w:rsidR="00434FFB" w:rsidRPr="001D531D">
        <w:t xml:space="preserve"> not defined</w:t>
      </w:r>
      <w:r w:rsidRPr="001D531D">
        <w:t xml:space="preserve"> and</w:t>
      </w:r>
      <w:r w:rsidR="00434FFB" w:rsidRPr="001D531D">
        <w:t xml:space="preserve"> take</w:t>
      </w:r>
      <w:r w:rsidRPr="001D531D">
        <w:t>s</w:t>
      </w:r>
      <w:r w:rsidR="00434FFB" w:rsidRPr="001D531D">
        <w:t xml:space="preserve"> on </w:t>
      </w:r>
      <w:r w:rsidRPr="001D531D">
        <w:t>its</w:t>
      </w:r>
      <w:r w:rsidR="00434FFB" w:rsidRPr="001D531D">
        <w:t xml:space="preserve"> ordinary meaning</w:t>
      </w:r>
      <w:r w:rsidRPr="001D531D">
        <w:t>. W</w:t>
      </w:r>
      <w:r w:rsidR="00434FFB" w:rsidRPr="001D531D">
        <w:t>hether or not the expenditure will be excluded under these provisions will be a matter of fact and degree.</w:t>
      </w:r>
    </w:p>
    <w:p w14:paraId="3CE68EDA" w14:textId="7975913C" w:rsidR="007D52D4" w:rsidRPr="002F77BB" w:rsidRDefault="00434FFB" w:rsidP="001E358A">
      <w:pPr>
        <w:pStyle w:val="Normalparatextwithnumbers"/>
      </w:pPr>
      <w:r w:rsidRPr="002F77BB">
        <w:t xml:space="preserve">Where the company incurs expenditure </w:t>
      </w:r>
      <w:r w:rsidR="000431A6">
        <w:t xml:space="preserve">directly or indirectly </w:t>
      </w:r>
      <w:r w:rsidRPr="002F77BB">
        <w:t xml:space="preserve">under an arrangement and any parties to the arrangement did not deal with each other at arm’s length, there is no apportionment - the whole amount is excluded. </w:t>
      </w:r>
      <w:r w:rsidR="007D52D4" w:rsidRPr="002F77BB">
        <w:t xml:space="preserve">This treatment provides a powerful disincentive to engage in non-commercial transactions which would have the unjustifiable effect of increasing the amount of eligible expenditure and the tax offset.  </w:t>
      </w:r>
    </w:p>
    <w:p w14:paraId="4F7D544C" w14:textId="5664D55E" w:rsidR="00286F98" w:rsidRDefault="00C00A30" w:rsidP="001E358A">
      <w:pPr>
        <w:pStyle w:val="Normalparatextwithnumbers"/>
      </w:pPr>
      <w:r>
        <w:t xml:space="preserve">For instance, an example of expenditure that would fail an arm’s length test is where </w:t>
      </w:r>
      <w:r w:rsidR="00D11D67">
        <w:t xml:space="preserve">an independent contractor is obligated to source goods and services (such as a game engine) from a </w:t>
      </w:r>
      <w:r w:rsidR="0096249E">
        <w:t>particular</w:t>
      </w:r>
      <w:r w:rsidR="00D11D67">
        <w:t xml:space="preserve"> </w:t>
      </w:r>
      <w:r w:rsidR="003046FA">
        <w:t>provider</w:t>
      </w:r>
      <w:r w:rsidR="00D11D67">
        <w:t xml:space="preserve"> at inflated prices, which if not prevented under this section would </w:t>
      </w:r>
      <w:r w:rsidR="00970750">
        <w:t xml:space="preserve">artificially </w:t>
      </w:r>
      <w:r w:rsidR="00D11D67">
        <w:t xml:space="preserve">increase the amount of offset provided to the company. </w:t>
      </w:r>
      <w:r w:rsidR="00970750">
        <w:t>In such circumstances,</w:t>
      </w:r>
      <w:r w:rsidR="0096249E">
        <w:t xml:space="preserve"> all the expenditure will be excluded.</w:t>
      </w:r>
      <w:r w:rsidR="00434FFB">
        <w:t xml:space="preserve"> </w:t>
      </w:r>
    </w:p>
    <w:p w14:paraId="1ABE614A" w14:textId="2EFA20C8" w:rsidR="00434FFB" w:rsidRPr="0015792F" w:rsidRDefault="00434FFB" w:rsidP="00D152E9">
      <w:pPr>
        <w:pStyle w:val="Normalparatextwithnumbers"/>
        <w:rPr>
          <w:rStyle w:val="References"/>
          <w:b w:val="0"/>
          <w:bCs w:val="0"/>
          <w:i w:val="0"/>
          <w:iCs w:val="0"/>
        </w:rPr>
      </w:pPr>
      <w:r>
        <w:t xml:space="preserve">Similarly, </w:t>
      </w:r>
      <w:r w:rsidRPr="00D36D08">
        <w:t>expenditure incurred in relation to an entity that is not wholly independent from the company</w:t>
      </w:r>
      <w:r>
        <w:t xml:space="preserve"> is totally excluded.</w:t>
      </w:r>
      <w:r w:rsidR="00393AA8">
        <w:t xml:space="preserve"> </w:t>
      </w:r>
      <w:r w:rsidR="00A80A4E">
        <w:t xml:space="preserve">An entity may not be wholly independent on the basis of a range of factors, including the degree of influence it may be under, due to common ownership, or due to the personal relationships of key individuals. </w:t>
      </w:r>
      <w:r w:rsidR="007D52D4">
        <w:t xml:space="preserve">Given the scope that related parties have to </w:t>
      </w:r>
      <w:r w:rsidR="007D52D4">
        <w:lastRenderedPageBreak/>
        <w:t xml:space="preserve">determine non-commercial prices and relationships that would affect the amount of eligible expenditure, this treatment provides a powerful disincentive to engage in transactions with related parties. Nevertheless, a company is not prevented from engaging in a transaction with a related party; it is only unable to claim such expenditure as eligible expenditure under the DGTO.   </w:t>
      </w:r>
    </w:p>
    <w:p w14:paraId="3B400AF4" w14:textId="08A141B2" w:rsidR="0015792F" w:rsidRPr="00F43D1C" w:rsidRDefault="00527270" w:rsidP="00D152E9">
      <w:pPr>
        <w:pStyle w:val="Normalparatextwithnumbers"/>
        <w:rPr>
          <w:rStyle w:val="References"/>
          <w:b w:val="0"/>
          <w:bCs w:val="0"/>
          <w:i w:val="0"/>
          <w:iCs w:val="0"/>
        </w:rPr>
      </w:pPr>
      <w:r>
        <w:rPr>
          <w:rStyle w:val="References"/>
          <w:b w:val="0"/>
          <w:bCs w:val="0"/>
          <w:i w:val="0"/>
          <w:iCs w:val="0"/>
        </w:rPr>
        <w:t>Expenditure incurred on distributing the game is excluded. It is not expenditure that is generally incurred in developing the game.</w:t>
      </w:r>
    </w:p>
    <w:p w14:paraId="7510D241" w14:textId="09EDA044" w:rsidR="00F43D1C" w:rsidRDefault="00A656E1" w:rsidP="00D152E9">
      <w:pPr>
        <w:pStyle w:val="Normalparatextwithnumbers"/>
        <w:rPr>
          <w:rStyle w:val="References"/>
          <w:b w:val="0"/>
          <w:bCs w:val="0"/>
          <w:i w:val="0"/>
          <w:iCs w:val="0"/>
        </w:rPr>
      </w:pPr>
      <w:r>
        <w:rPr>
          <w:rStyle w:val="References"/>
          <w:b w:val="0"/>
          <w:bCs w:val="0"/>
          <w:i w:val="0"/>
          <w:iCs w:val="0"/>
        </w:rPr>
        <w:t xml:space="preserve">Expenditure incurred acquiring users for the game is excluded. </w:t>
      </w:r>
    </w:p>
    <w:p w14:paraId="3A9B983F" w14:textId="2E7FE274" w:rsidR="00F43D1C" w:rsidRDefault="00002D23" w:rsidP="00D152E9">
      <w:pPr>
        <w:pStyle w:val="Normalparatextwithnumbers"/>
        <w:rPr>
          <w:rStyle w:val="References"/>
          <w:b w:val="0"/>
          <w:bCs w:val="0"/>
          <w:i w:val="0"/>
          <w:iCs w:val="0"/>
        </w:rPr>
      </w:pPr>
      <w:r>
        <w:rPr>
          <w:rStyle w:val="References"/>
          <w:b w:val="0"/>
          <w:bCs w:val="0"/>
          <w:i w:val="0"/>
          <w:iCs w:val="0"/>
        </w:rPr>
        <w:t xml:space="preserve">Expenditure </w:t>
      </w:r>
      <w:r w:rsidR="00E34192">
        <w:rPr>
          <w:rStyle w:val="References"/>
          <w:b w:val="0"/>
          <w:bCs w:val="0"/>
          <w:i w:val="0"/>
          <w:iCs w:val="0"/>
        </w:rPr>
        <w:t xml:space="preserve">incurred </w:t>
      </w:r>
      <w:r>
        <w:rPr>
          <w:rStyle w:val="References"/>
          <w:b w:val="0"/>
          <w:bCs w:val="0"/>
          <w:i w:val="0"/>
          <w:iCs w:val="0"/>
        </w:rPr>
        <w:t>on acquiring or licensing software</w:t>
      </w:r>
      <w:r w:rsidR="00867E6F">
        <w:rPr>
          <w:rStyle w:val="References"/>
          <w:b w:val="0"/>
          <w:bCs w:val="0"/>
          <w:i w:val="0"/>
          <w:iCs w:val="0"/>
        </w:rPr>
        <w:t xml:space="preserve"> is excluded.</w:t>
      </w:r>
    </w:p>
    <w:p w14:paraId="501FE123" w14:textId="18C98BDB" w:rsidR="00002D23" w:rsidRDefault="00002D23" w:rsidP="00D152E9">
      <w:pPr>
        <w:pStyle w:val="Normalparatextwithnumbers"/>
        <w:rPr>
          <w:rStyle w:val="References"/>
          <w:b w:val="0"/>
          <w:bCs w:val="0"/>
          <w:i w:val="0"/>
          <w:iCs w:val="0"/>
        </w:rPr>
      </w:pPr>
      <w:r>
        <w:rPr>
          <w:rStyle w:val="References"/>
          <w:b w:val="0"/>
          <w:bCs w:val="0"/>
          <w:i w:val="0"/>
          <w:iCs w:val="0"/>
        </w:rPr>
        <w:t xml:space="preserve">Expenditure </w:t>
      </w:r>
      <w:r w:rsidR="00E34192">
        <w:rPr>
          <w:rStyle w:val="References"/>
          <w:b w:val="0"/>
          <w:bCs w:val="0"/>
          <w:i w:val="0"/>
          <w:iCs w:val="0"/>
        </w:rPr>
        <w:t xml:space="preserve">incurred </w:t>
      </w:r>
      <w:r>
        <w:rPr>
          <w:rStyle w:val="References"/>
          <w:b w:val="0"/>
          <w:bCs w:val="0"/>
          <w:i w:val="0"/>
          <w:iCs w:val="0"/>
        </w:rPr>
        <w:t>on obtaining permission to use the image, likeness or a person or entity, or obtaining an endorsement by a person or entity</w:t>
      </w:r>
      <w:r w:rsidR="00867E6F">
        <w:rPr>
          <w:rStyle w:val="References"/>
          <w:b w:val="0"/>
          <w:bCs w:val="0"/>
          <w:i w:val="0"/>
          <w:iCs w:val="0"/>
        </w:rPr>
        <w:t xml:space="preserve"> is excluded. </w:t>
      </w:r>
    </w:p>
    <w:p w14:paraId="7B9B8F38" w14:textId="7253C5BF" w:rsidR="00002D23" w:rsidRPr="008B243B" w:rsidRDefault="00002D23" w:rsidP="00D152E9">
      <w:pPr>
        <w:pStyle w:val="Normalparatextwithnumbers"/>
        <w:rPr>
          <w:rStyle w:val="References"/>
          <w:b w:val="0"/>
          <w:bCs w:val="0"/>
          <w:i w:val="0"/>
          <w:iCs w:val="0"/>
        </w:rPr>
      </w:pPr>
      <w:r>
        <w:rPr>
          <w:rStyle w:val="References"/>
          <w:b w:val="0"/>
          <w:bCs w:val="0"/>
          <w:i w:val="0"/>
          <w:iCs w:val="0"/>
        </w:rPr>
        <w:t xml:space="preserve">Expenditure </w:t>
      </w:r>
      <w:r w:rsidR="00E34192">
        <w:rPr>
          <w:rStyle w:val="References"/>
          <w:b w:val="0"/>
          <w:bCs w:val="0"/>
          <w:i w:val="0"/>
          <w:iCs w:val="0"/>
        </w:rPr>
        <w:t xml:space="preserve">incurred </w:t>
      </w:r>
      <w:r>
        <w:rPr>
          <w:rStyle w:val="References"/>
          <w:b w:val="0"/>
          <w:bCs w:val="0"/>
          <w:i w:val="0"/>
          <w:iCs w:val="0"/>
        </w:rPr>
        <w:t xml:space="preserve">on </w:t>
      </w:r>
      <w:r w:rsidR="0003142A">
        <w:rPr>
          <w:rStyle w:val="References"/>
          <w:b w:val="0"/>
          <w:bCs w:val="0"/>
          <w:i w:val="0"/>
          <w:iCs w:val="0"/>
        </w:rPr>
        <w:t>recruitment</w:t>
      </w:r>
      <w:r w:rsidR="00741E5F">
        <w:rPr>
          <w:rStyle w:val="References"/>
          <w:b w:val="0"/>
          <w:bCs w:val="0"/>
          <w:i w:val="0"/>
          <w:iCs w:val="0"/>
        </w:rPr>
        <w:t xml:space="preserve"> including </w:t>
      </w:r>
      <w:r>
        <w:rPr>
          <w:rStyle w:val="References"/>
          <w:b w:val="0"/>
          <w:bCs w:val="0"/>
          <w:i w:val="0"/>
          <w:iCs w:val="0"/>
        </w:rPr>
        <w:t xml:space="preserve">visas or work permits is excluded. </w:t>
      </w:r>
      <w:r w:rsidR="00F125AE">
        <w:rPr>
          <w:rStyle w:val="References"/>
          <w:b w:val="0"/>
          <w:bCs w:val="0"/>
          <w:i w:val="0"/>
          <w:iCs w:val="0"/>
        </w:rPr>
        <w:t>This expenditure may be incidental to engage an employee or contractor specifically included in this division</w:t>
      </w:r>
      <w:r w:rsidR="0003142A">
        <w:rPr>
          <w:rStyle w:val="References"/>
          <w:b w:val="0"/>
          <w:bCs w:val="0"/>
          <w:i w:val="0"/>
          <w:iCs w:val="0"/>
        </w:rPr>
        <w:t>;</w:t>
      </w:r>
      <w:r w:rsidR="00F125AE">
        <w:rPr>
          <w:rStyle w:val="References"/>
          <w:b w:val="0"/>
          <w:bCs w:val="0"/>
          <w:i w:val="0"/>
          <w:iCs w:val="0"/>
        </w:rPr>
        <w:t xml:space="preserve"> however, this expenditure is generally not incurred in developing the game. </w:t>
      </w:r>
    </w:p>
    <w:p w14:paraId="0F53C2DF" w14:textId="083CCCE2" w:rsidR="008E6231" w:rsidRDefault="008E6231" w:rsidP="00D152E9">
      <w:pPr>
        <w:pStyle w:val="Normalparatextwithnumbers"/>
        <w:rPr>
          <w:rStyle w:val="References"/>
          <w:b w:val="0"/>
          <w:bCs w:val="0"/>
          <w:i w:val="0"/>
          <w:iCs w:val="0"/>
        </w:rPr>
      </w:pPr>
      <w:r>
        <w:rPr>
          <w:rStyle w:val="References"/>
          <w:b w:val="0"/>
          <w:bCs w:val="0"/>
          <w:i w:val="0"/>
          <w:iCs w:val="0"/>
        </w:rPr>
        <w:t xml:space="preserve">Where a depreciating asset has declined in value and the decline in value may be attributable to the use of the asset in the development of the game, the legislation makes clear that you cannot claim the decline in value as development expenditure in relation to a game. </w:t>
      </w:r>
    </w:p>
    <w:p w14:paraId="1F8CA6FC" w14:textId="1D48239C" w:rsidR="008E6231" w:rsidRPr="008B243B" w:rsidRDefault="008E6231" w:rsidP="008B243B">
      <w:pPr>
        <w:pStyle w:val="Normalparatextwithnumbers"/>
        <w:numPr>
          <w:ilvl w:val="0"/>
          <w:numId w:val="0"/>
        </w:numPr>
        <w:ind w:left="709"/>
        <w:rPr>
          <w:rStyle w:val="References"/>
        </w:rPr>
      </w:pPr>
      <w:r>
        <w:rPr>
          <w:rStyle w:val="References"/>
        </w:rPr>
        <w:t>[Schedule #, item 2, section 378-30</w:t>
      </w:r>
      <w:r w:rsidR="00835E6E">
        <w:rPr>
          <w:rStyle w:val="References"/>
        </w:rPr>
        <w:t xml:space="preserve">(3) and </w:t>
      </w:r>
      <w:r>
        <w:rPr>
          <w:rStyle w:val="References"/>
        </w:rPr>
        <w:t>(4)</w:t>
      </w:r>
      <w:r w:rsidR="00835E6E">
        <w:rPr>
          <w:rStyle w:val="References"/>
        </w:rPr>
        <w:t xml:space="preserve"> of the ITAA 1997</w:t>
      </w:r>
      <w:r>
        <w:rPr>
          <w:rStyle w:val="References"/>
        </w:rPr>
        <w:t>]</w:t>
      </w:r>
    </w:p>
    <w:p w14:paraId="2C976131" w14:textId="7965C1BD" w:rsidR="000C42ED" w:rsidRDefault="00324545" w:rsidP="00324545">
      <w:pPr>
        <w:pStyle w:val="Heading5"/>
      </w:pPr>
      <w:r>
        <w:t>Qualifying Australian development expenditure</w:t>
      </w:r>
    </w:p>
    <w:p w14:paraId="43A061A6" w14:textId="77777777" w:rsidR="00B1398F" w:rsidRDefault="000867F1" w:rsidP="00B1398F">
      <w:pPr>
        <w:pStyle w:val="Normalparatextwithnumbers"/>
        <w:numPr>
          <w:ilvl w:val="1"/>
          <w:numId w:val="3"/>
        </w:numPr>
      </w:pPr>
      <w:bookmarkStart w:id="52" w:name="_Ref95477604"/>
      <w:r>
        <w:t>The amount of a company’s digital games tax offset is 30 per cent of a company’s total qualifying Australian development expenditure. This expenditure is a subset of a company’s development expenditure.</w:t>
      </w:r>
      <w:bookmarkEnd w:id="52"/>
    </w:p>
    <w:p w14:paraId="6BEE0EA6" w14:textId="6E67C1CE" w:rsidR="00B1398F" w:rsidRDefault="00324545" w:rsidP="00860042">
      <w:pPr>
        <w:pStyle w:val="Normalparatextwithnumbers"/>
        <w:numPr>
          <w:ilvl w:val="1"/>
          <w:numId w:val="3"/>
        </w:numPr>
      </w:pPr>
      <w:r>
        <w:t xml:space="preserve">If a company has incurred </w:t>
      </w:r>
      <w:r w:rsidR="000867F1">
        <w:t xml:space="preserve">an item of </w:t>
      </w:r>
      <w:r>
        <w:t>development expenditure</w:t>
      </w:r>
      <w:r w:rsidR="00860042">
        <w:t>,</w:t>
      </w:r>
      <w:r>
        <w:t xml:space="preserve"> </w:t>
      </w:r>
      <w:r w:rsidR="000867F1">
        <w:t>that item</w:t>
      </w:r>
      <w:r>
        <w:t xml:space="preserve"> </w:t>
      </w:r>
      <w:r w:rsidR="00B1398F">
        <w:t xml:space="preserve">can be claimed as qualifying Australian </w:t>
      </w:r>
      <w:r w:rsidR="0003142A">
        <w:t xml:space="preserve">development </w:t>
      </w:r>
      <w:r w:rsidR="00B1398F">
        <w:t>expenditure if it is incurred for, or is reasonably attributable to, goods and services provided or acquired in Australia. This test connects particular items of development expenditure to Australia</w:t>
      </w:r>
      <w:r w:rsidR="0003142A">
        <w:t xml:space="preserve">, thereby promoting </w:t>
      </w:r>
      <w:r w:rsidR="00B1398F">
        <w:t xml:space="preserve">opportunities for Australian taxpayers and for the Australian digital games industry, which is the major purpose of the </w:t>
      </w:r>
      <w:r w:rsidR="00085FE1">
        <w:t xml:space="preserve">digital games tax offset. </w:t>
      </w:r>
      <w:r w:rsidR="00B1398F">
        <w:t xml:space="preserve"> </w:t>
      </w:r>
    </w:p>
    <w:p w14:paraId="5710508E" w14:textId="775ABEE7" w:rsidR="0003142A" w:rsidRDefault="00B1398F" w:rsidP="000867F1">
      <w:pPr>
        <w:pStyle w:val="Normalparatextwithnumbers"/>
        <w:numPr>
          <w:ilvl w:val="1"/>
          <w:numId w:val="3"/>
        </w:numPr>
      </w:pPr>
      <w:r>
        <w:t xml:space="preserve">An item of expenditure </w:t>
      </w:r>
      <w:r w:rsidR="00324545">
        <w:t>will be</w:t>
      </w:r>
      <w:r w:rsidR="000867F1">
        <w:t xml:space="preserve"> able to be fully claimed as</w:t>
      </w:r>
      <w:r w:rsidR="00324545">
        <w:t xml:space="preserve"> qualifying Australian development expenditure if</w:t>
      </w:r>
      <w:r w:rsidR="000867F1">
        <w:t xml:space="preserve"> it is </w:t>
      </w:r>
      <w:r w:rsidR="000867F1" w:rsidRPr="00324545">
        <w:t>substantially attributable to developing the game</w:t>
      </w:r>
      <w:r w:rsidR="000867F1">
        <w:t xml:space="preserve">. </w:t>
      </w:r>
      <w:r w:rsidR="00085FE1">
        <w:t>Substantially attributable is intended to mean that a large</w:t>
      </w:r>
      <w:r w:rsidR="0030098D">
        <w:t xml:space="preserve"> portion of an item of expenditure, such as </w:t>
      </w:r>
      <w:r w:rsidR="00FC1E0D">
        <w:t>90</w:t>
      </w:r>
      <w:r w:rsidR="00E847C9">
        <w:t xml:space="preserve">% </w:t>
      </w:r>
      <w:r w:rsidR="0030098D">
        <w:t>or more, can be in fact attributable to the development of the game</w:t>
      </w:r>
      <w:r w:rsidR="00F0480B">
        <w:t>.</w:t>
      </w:r>
      <w:r w:rsidR="000867F1">
        <w:t xml:space="preserve"> </w:t>
      </w:r>
      <w:r w:rsidR="0003142A">
        <w:t xml:space="preserve">For instance, an employee may be </w:t>
      </w:r>
      <w:r w:rsidR="007B2955">
        <w:t>developing</w:t>
      </w:r>
      <w:r w:rsidR="0003142A">
        <w:t xml:space="preserve"> an eligible game 90</w:t>
      </w:r>
      <w:r w:rsidR="00E847C9">
        <w:t>%</w:t>
      </w:r>
      <w:r w:rsidR="0003142A">
        <w:t xml:space="preserve"> of their time, but</w:t>
      </w:r>
      <w:r w:rsidR="007B2955">
        <w:t xml:space="preserve"> she also attends meetings, training and team-building activities that account for the remainder of her time – the purpose of this provision is that all of the expenditure on that employee is eligible for the purposes of the DGTO, rather than requiring complex and burdensome time accounting arrangements for the company.  </w:t>
      </w:r>
    </w:p>
    <w:p w14:paraId="69C5A0B8" w14:textId="33929406" w:rsidR="000867F1" w:rsidRDefault="000867F1" w:rsidP="000867F1">
      <w:pPr>
        <w:pStyle w:val="Normalparatextwithnumbers"/>
        <w:numPr>
          <w:ilvl w:val="1"/>
          <w:numId w:val="3"/>
        </w:numPr>
      </w:pPr>
      <w:r>
        <w:lastRenderedPageBreak/>
        <w:t xml:space="preserve">If an item of expenditure </w:t>
      </w:r>
      <w:r w:rsidR="00047CB7">
        <w:t xml:space="preserve">is directly but </w:t>
      </w:r>
      <w:r>
        <w:t>may be in part</w:t>
      </w:r>
      <w:r w:rsidR="00E978B5">
        <w:t xml:space="preserve"> -</w:t>
      </w:r>
      <w:r>
        <w:t xml:space="preserve"> but not substantially</w:t>
      </w:r>
      <w:r w:rsidR="00E978B5">
        <w:t xml:space="preserve"> -</w:t>
      </w:r>
      <w:r>
        <w:t xml:space="preserve"> attributable to developing the game, the item is claimable to the extent that the expenditure is attributable to developing the game. </w:t>
      </w:r>
      <w:r w:rsidR="00E978B5">
        <w:t>For</w:t>
      </w:r>
      <w:r w:rsidR="007B2955">
        <w:t xml:space="preserve"> instance, where an employee </w:t>
      </w:r>
      <w:r w:rsidR="00E978B5">
        <w:t>i</w:t>
      </w:r>
      <w:r w:rsidR="001D6241">
        <w:t>s</w:t>
      </w:r>
      <w:r w:rsidR="00E978B5">
        <w:t xml:space="preserve"> developing</w:t>
      </w:r>
      <w:r w:rsidR="007B2955">
        <w:t xml:space="preserve"> both an eligible game and an ineligible game, only the</w:t>
      </w:r>
      <w:r w:rsidR="00E978B5">
        <w:t xml:space="preserve"> expenditure in relation to the eligible game is claimable.  </w:t>
      </w:r>
    </w:p>
    <w:p w14:paraId="01E6B88D" w14:textId="1CF8AD21" w:rsidR="00324545" w:rsidRDefault="000867F1" w:rsidP="00324545">
      <w:pPr>
        <w:pStyle w:val="Normalparatextwithnumbers"/>
        <w:numPr>
          <w:ilvl w:val="1"/>
          <w:numId w:val="3"/>
        </w:numPr>
      </w:pPr>
      <w:r>
        <w:t>Th</w:t>
      </w:r>
      <w:r w:rsidR="00E978B5">
        <w:t>ese</w:t>
      </w:r>
      <w:r>
        <w:t xml:space="preserve"> </w:t>
      </w:r>
      <w:r w:rsidR="00B1398F">
        <w:t>rule</w:t>
      </w:r>
      <w:r w:rsidR="00E978B5">
        <w:t>s</w:t>
      </w:r>
      <w:r w:rsidR="00B1398F">
        <w:t xml:space="preserve"> avoid </w:t>
      </w:r>
      <w:r>
        <w:t>unnecessary apportionment of</w:t>
      </w:r>
      <w:r w:rsidR="00B1398F">
        <w:t xml:space="preserve"> an item of expenditure where the item is substantially incurred for the development of the game and ensures</w:t>
      </w:r>
      <w:r w:rsidR="00047CB7">
        <w:t xml:space="preserve"> an appropriate balance between administrative complexity and proper targeting of the measure</w:t>
      </w:r>
      <w:r w:rsidR="00B1398F">
        <w:t xml:space="preserve">. </w:t>
      </w:r>
      <w:r>
        <w:t xml:space="preserve"> </w:t>
      </w:r>
    </w:p>
    <w:p w14:paraId="6752C483" w14:textId="2389FD07" w:rsidR="00324545" w:rsidRDefault="00324545" w:rsidP="00324545">
      <w:pPr>
        <w:pStyle w:val="Referenceafterdotpoint"/>
      </w:pPr>
      <w:r>
        <w:t>[</w:t>
      </w:r>
      <w:r w:rsidR="00044E0D" w:rsidRPr="00895998">
        <w:rPr>
          <w:rStyle w:val="References"/>
          <w:b/>
          <w:bCs w:val="0"/>
          <w:i/>
          <w:iCs w:val="0"/>
        </w:rPr>
        <w:t>Schedule #, item 2</w:t>
      </w:r>
      <w:r w:rsidR="00860042">
        <w:rPr>
          <w:rStyle w:val="References"/>
          <w:b/>
          <w:bCs w:val="0"/>
          <w:i/>
          <w:iCs w:val="0"/>
        </w:rPr>
        <w:t xml:space="preserve">, </w:t>
      </w:r>
      <w:r w:rsidR="00860042">
        <w:t>sections</w:t>
      </w:r>
      <w:r w:rsidR="00860042" w:rsidRPr="00324545">
        <w:t xml:space="preserve"> </w:t>
      </w:r>
      <w:r w:rsidRPr="00324545">
        <w:t>378-</w:t>
      </w:r>
      <w:r w:rsidR="00835E6E">
        <w:t>35</w:t>
      </w:r>
      <w:r w:rsidRPr="00324545">
        <w:t>(1)</w:t>
      </w:r>
      <w:r w:rsidR="00B1398F">
        <w:t xml:space="preserve"> and (2</w:t>
      </w:r>
      <w:r w:rsidRPr="00324545">
        <w:t>)</w:t>
      </w:r>
      <w:r w:rsidR="008A2CF7">
        <w:t xml:space="preserve"> </w:t>
      </w:r>
      <w:r w:rsidRPr="00324545">
        <w:t>of the ITAA 1997</w:t>
      </w:r>
      <w:r>
        <w:t xml:space="preserve">] </w:t>
      </w:r>
    </w:p>
    <w:p w14:paraId="5B224CD7" w14:textId="186B4212" w:rsidR="00324545" w:rsidRDefault="001D6241" w:rsidP="00CA66D9">
      <w:pPr>
        <w:pStyle w:val="Heading6"/>
      </w:pPr>
      <w:r>
        <w:t>Where a company can no longer claim qualifying Australian development expenditure</w:t>
      </w:r>
    </w:p>
    <w:p w14:paraId="0AA5F996" w14:textId="6DB30F3B" w:rsidR="005171D7" w:rsidRDefault="005171D7" w:rsidP="002460C4">
      <w:pPr>
        <w:pStyle w:val="Normalparatextwithnumbers"/>
      </w:pPr>
      <w:r>
        <w:t>There are certain points in the development of a new game</w:t>
      </w:r>
      <w:r w:rsidR="00E978B5">
        <w:t>,</w:t>
      </w:r>
      <w:r>
        <w:t xml:space="preserve"> or the porting of an existing game, where a company can no longer claim expenditure on that game as qualifying Australia development expenditure. </w:t>
      </w:r>
    </w:p>
    <w:p w14:paraId="19523A44" w14:textId="65D27BF6" w:rsidR="002460C4" w:rsidRDefault="005171D7" w:rsidP="002460C4">
      <w:pPr>
        <w:pStyle w:val="Normalparatextwithnumbers"/>
      </w:pPr>
      <w:r>
        <w:t>In relation to a completion or a porting certificate, i</w:t>
      </w:r>
      <w:r w:rsidR="002460C4">
        <w:t xml:space="preserve">f expenditure would otherwise be qualifying Australian development expenditure but </w:t>
      </w:r>
      <w:r>
        <w:t>is</w:t>
      </w:r>
      <w:r w:rsidR="002460C4">
        <w:t xml:space="preserve"> incurred after the earlier of the following </w:t>
      </w:r>
      <w:r w:rsidR="00882FC7">
        <w:t>events</w:t>
      </w:r>
      <w:r w:rsidR="002460C4">
        <w:t>:</w:t>
      </w:r>
    </w:p>
    <w:p w14:paraId="42ADD7D2" w14:textId="74C7A00C" w:rsidR="00B36D73" w:rsidRDefault="00B36D73" w:rsidP="002460C4">
      <w:pPr>
        <w:pStyle w:val="Dotpoint1"/>
      </w:pPr>
      <w:r>
        <w:t xml:space="preserve">the day on which the game is completed or </w:t>
      </w:r>
      <w:proofErr w:type="gramStart"/>
      <w:r>
        <w:t>ported;</w:t>
      </w:r>
      <w:proofErr w:type="gramEnd"/>
    </w:p>
    <w:p w14:paraId="6C00BD81" w14:textId="08B92ADB" w:rsidR="002460C4" w:rsidRDefault="002460C4" w:rsidP="002460C4">
      <w:pPr>
        <w:pStyle w:val="Dotpoint1"/>
      </w:pPr>
      <w:r>
        <w:t xml:space="preserve">the date on which the company applies for a </w:t>
      </w:r>
      <w:r w:rsidR="005171D7">
        <w:t>completion or porting</w:t>
      </w:r>
      <w:r w:rsidR="00860042">
        <w:t xml:space="preserve"> </w:t>
      </w:r>
      <w:r>
        <w:t>certificate in relation to the digital game;</w:t>
      </w:r>
      <w:r w:rsidR="00882FC7">
        <w:t xml:space="preserve"> or</w:t>
      </w:r>
      <w:r>
        <w:t xml:space="preserve"> </w:t>
      </w:r>
    </w:p>
    <w:p w14:paraId="7372FA04" w14:textId="56EA7AE3" w:rsidR="002460C4" w:rsidRDefault="002460C4" w:rsidP="002460C4">
      <w:pPr>
        <w:pStyle w:val="Dotpoint1"/>
      </w:pPr>
      <w:r>
        <w:tab/>
        <w:t xml:space="preserve">the date on which the completed or ported digital game has been available to the public for the purposes of conducting testing for one </w:t>
      </w:r>
      <w:proofErr w:type="gramStart"/>
      <w:r>
        <w:t>year;</w:t>
      </w:r>
      <w:proofErr w:type="gramEnd"/>
      <w:r>
        <w:t xml:space="preserve"> </w:t>
      </w:r>
    </w:p>
    <w:p w14:paraId="545A03B8" w14:textId="48B744AF" w:rsidR="005A1CA6" w:rsidRDefault="005171D7" w:rsidP="00B36D73">
      <w:pPr>
        <w:pStyle w:val="Dotpoint1"/>
        <w:numPr>
          <w:ilvl w:val="0"/>
          <w:numId w:val="0"/>
        </w:numPr>
        <w:ind w:left="720"/>
      </w:pPr>
      <w:r>
        <w:t xml:space="preserve">that expenditure </w:t>
      </w:r>
      <w:r w:rsidR="00C92831">
        <w:t xml:space="preserve">is not qualifying Australian development expenditure. </w:t>
      </w:r>
      <w:r>
        <w:t xml:space="preserve">This condition ensures there is an appropriate event </w:t>
      </w:r>
      <w:r w:rsidR="00A36AEC">
        <w:t xml:space="preserve">– which is clearly discernible and under the control of the company – </w:t>
      </w:r>
      <w:r>
        <w:t>where it would be unreasonable for the company to cont</w:t>
      </w:r>
      <w:r w:rsidR="001E3BCF">
        <w:t>inue to</w:t>
      </w:r>
      <w:r>
        <w:t xml:space="preserve"> incur qualifying Australian development expenditure with respect to a completion or porting certificate</w:t>
      </w:r>
      <w:r w:rsidR="00407332">
        <w:t xml:space="preserve">. </w:t>
      </w:r>
      <w:r w:rsidR="00C92831">
        <w:t xml:space="preserve">This relates only to expenditure, it does not otherwise affect when the game is complete or ported for the purposes </w:t>
      </w:r>
      <w:r w:rsidR="00C92831" w:rsidRPr="005A1CA6">
        <w:t xml:space="preserve">of </w:t>
      </w:r>
      <w:r w:rsidR="005A1CA6" w:rsidRPr="005A1CA6">
        <w:t>subsections 378-20(2) and (4)</w:t>
      </w:r>
      <w:r w:rsidR="00C92831" w:rsidRPr="005A1CA6">
        <w:t xml:space="preserve">, </w:t>
      </w:r>
      <w:r w:rsidR="00C92831" w:rsidRPr="00F15B26">
        <w:t>see para</w:t>
      </w:r>
      <w:r w:rsidR="005A1CA6" w:rsidRPr="00F15B26">
        <w:t>graphs 1.3</w:t>
      </w:r>
      <w:r w:rsidR="00F15B26" w:rsidRPr="00F15B26">
        <w:t>8</w:t>
      </w:r>
      <w:r w:rsidR="005A1CA6" w:rsidRPr="00F15B26">
        <w:t xml:space="preserve"> – 1.</w:t>
      </w:r>
      <w:r w:rsidR="00F15B26" w:rsidRPr="00F15B26">
        <w:t>45</w:t>
      </w:r>
      <w:r w:rsidR="00C92831" w:rsidRPr="00F15B26">
        <w:t>.</w:t>
      </w:r>
      <w:r w:rsidR="00A36AEC">
        <w:t xml:space="preserve"> </w:t>
      </w:r>
    </w:p>
    <w:p w14:paraId="430028D5" w14:textId="746F1174" w:rsidR="00015270" w:rsidRDefault="005A1CA6" w:rsidP="005A1CA6">
      <w:pPr>
        <w:pStyle w:val="Referenceafterdotpoint"/>
      </w:pPr>
      <w:r>
        <w:t xml:space="preserve">[Schedule </w:t>
      </w:r>
      <w:r w:rsidR="002F77BB">
        <w:t>#</w:t>
      </w:r>
      <w:r>
        <w:t xml:space="preserve">, item 2, </w:t>
      </w:r>
      <w:r w:rsidR="00835E6E">
        <w:t>section</w:t>
      </w:r>
      <w:r>
        <w:t xml:space="preserve"> 378-</w:t>
      </w:r>
      <w:r w:rsidR="00835E6E">
        <w:t>35</w:t>
      </w:r>
      <w:r>
        <w:t>(</w:t>
      </w:r>
      <w:r w:rsidR="00835E6E">
        <w:t>3</w:t>
      </w:r>
      <w:r>
        <w:t xml:space="preserve">) and (4) of the ITAA 1997] </w:t>
      </w:r>
    </w:p>
    <w:p w14:paraId="3032EABE" w14:textId="454763EC" w:rsidR="00C92831" w:rsidRDefault="001E3BCF" w:rsidP="001E358A">
      <w:pPr>
        <w:pStyle w:val="Normalparatextwithnumbers"/>
      </w:pPr>
      <w:r>
        <w:t>I</w:t>
      </w:r>
      <w:r w:rsidR="006A49AB" w:rsidRPr="006A49AB">
        <w:t>n a situation where you have incurred development expenditure for porting a game that could count as qualifying Australian development expenditure for either the porting certificate or the ongoing development</w:t>
      </w:r>
      <w:r w:rsidR="00E978B5">
        <w:t xml:space="preserve"> certificate</w:t>
      </w:r>
      <w:r w:rsidR="006A49AB" w:rsidRPr="006A49AB">
        <w:t>, the expenditure can only be counted as qualifying Australian development expenditure under one certificate.</w:t>
      </w:r>
      <w:r w:rsidR="006A49AB">
        <w:br/>
      </w:r>
      <w:r w:rsidR="006A49AB" w:rsidRPr="006A49AB">
        <w:rPr>
          <w:rStyle w:val="References"/>
        </w:rPr>
        <w:t>[</w:t>
      </w:r>
      <w:r w:rsidR="006A49AB" w:rsidRPr="00860042">
        <w:rPr>
          <w:rStyle w:val="References"/>
        </w:rPr>
        <w:t xml:space="preserve">Schedule </w:t>
      </w:r>
      <w:r w:rsidR="00044E0D" w:rsidRPr="00860042">
        <w:rPr>
          <w:rStyle w:val="References"/>
          <w:iCs w:val="0"/>
        </w:rPr>
        <w:t>#, item 2</w:t>
      </w:r>
      <w:r w:rsidR="00860042">
        <w:rPr>
          <w:rStyle w:val="References"/>
        </w:rPr>
        <w:t xml:space="preserve">, </w:t>
      </w:r>
      <w:r w:rsidR="006A49AB" w:rsidRPr="006A49AB">
        <w:rPr>
          <w:rStyle w:val="References"/>
        </w:rPr>
        <w:t>section 378-</w:t>
      </w:r>
      <w:r w:rsidR="00835E6E">
        <w:rPr>
          <w:rStyle w:val="References"/>
        </w:rPr>
        <w:t>35</w:t>
      </w:r>
      <w:r w:rsidR="006A49AB" w:rsidRPr="006A49AB">
        <w:rPr>
          <w:rStyle w:val="References"/>
        </w:rPr>
        <w:t>(</w:t>
      </w:r>
      <w:r w:rsidR="00835E6E">
        <w:rPr>
          <w:rStyle w:val="References"/>
        </w:rPr>
        <w:t>5</w:t>
      </w:r>
      <w:r w:rsidR="006A49AB" w:rsidRPr="006A49AB">
        <w:rPr>
          <w:rStyle w:val="References"/>
        </w:rPr>
        <w:t>)</w:t>
      </w:r>
      <w:r w:rsidR="00344C55">
        <w:rPr>
          <w:rStyle w:val="References"/>
        </w:rPr>
        <w:t xml:space="preserve"> </w:t>
      </w:r>
      <w:r w:rsidR="006A49AB" w:rsidRPr="006A49AB">
        <w:rPr>
          <w:rStyle w:val="References"/>
        </w:rPr>
        <w:t xml:space="preserve">of the ITAA 1997] </w:t>
      </w:r>
    </w:p>
    <w:p w14:paraId="776AE5AE" w14:textId="3F2F8E6F" w:rsidR="006A49AB" w:rsidRDefault="0077277E" w:rsidP="0077277E">
      <w:pPr>
        <w:pStyle w:val="Heading6"/>
      </w:pPr>
      <w:r>
        <w:t>Amount of expenditure does not include GST</w:t>
      </w:r>
    </w:p>
    <w:p w14:paraId="5CE1E967" w14:textId="3E613E85" w:rsidR="0077277E" w:rsidRDefault="0077277E" w:rsidP="0077277E">
      <w:pPr>
        <w:pStyle w:val="Normalparatextwithnumbers"/>
      </w:pPr>
      <w:r w:rsidRPr="0077277E">
        <w:t>The amount of expenditure for the purposes of the offset does not include GST.</w:t>
      </w:r>
      <w:r>
        <w:br/>
      </w:r>
      <w:r w:rsidRPr="0077277E">
        <w:rPr>
          <w:rStyle w:val="References"/>
        </w:rPr>
        <w:t>[</w:t>
      </w:r>
      <w:r w:rsidRPr="00860042">
        <w:rPr>
          <w:rStyle w:val="References"/>
        </w:rPr>
        <w:t xml:space="preserve">Schedule </w:t>
      </w:r>
      <w:r w:rsidR="00044E0D" w:rsidRPr="00860042">
        <w:rPr>
          <w:rStyle w:val="References"/>
          <w:iCs w:val="0"/>
        </w:rPr>
        <w:t>#, item 2</w:t>
      </w:r>
      <w:r w:rsidR="00860042">
        <w:rPr>
          <w:rStyle w:val="References"/>
          <w:iCs w:val="0"/>
        </w:rPr>
        <w:t xml:space="preserve">, </w:t>
      </w:r>
      <w:r w:rsidR="00860042">
        <w:rPr>
          <w:rStyle w:val="References"/>
        </w:rPr>
        <w:t>section 378-</w:t>
      </w:r>
      <w:r w:rsidR="007A5520">
        <w:rPr>
          <w:rStyle w:val="References"/>
        </w:rPr>
        <w:t>45</w:t>
      </w:r>
      <w:r w:rsidR="00860042">
        <w:rPr>
          <w:rStyle w:val="References"/>
        </w:rPr>
        <w:t xml:space="preserve"> of the ITAA 1997</w:t>
      </w:r>
      <w:r w:rsidRPr="0077277E">
        <w:rPr>
          <w:rStyle w:val="References"/>
        </w:rPr>
        <w:t xml:space="preserve">] </w:t>
      </w:r>
    </w:p>
    <w:p w14:paraId="5B8886E1" w14:textId="607D697F" w:rsidR="0077277E" w:rsidRDefault="0077277E" w:rsidP="0077277E">
      <w:pPr>
        <w:pStyle w:val="Heading6"/>
      </w:pPr>
      <w:r>
        <w:lastRenderedPageBreak/>
        <w:t>Deductibility of qualifying Australian development expenditure</w:t>
      </w:r>
    </w:p>
    <w:p w14:paraId="37F99953" w14:textId="5DACC6DD" w:rsidR="0077277E" w:rsidRPr="0077277E" w:rsidRDefault="00047CB7" w:rsidP="0077277E">
      <w:pPr>
        <w:pStyle w:val="Normalparatextwithnumbers"/>
      </w:pPr>
      <w:r>
        <w:t xml:space="preserve">Although used to calculate the amount of the </w:t>
      </w:r>
      <w:r w:rsidR="001D6241">
        <w:t>digital games tax offset</w:t>
      </w:r>
      <w:r>
        <w:t>, q</w:t>
      </w:r>
      <w:r w:rsidR="0077277E" w:rsidRPr="0077277E">
        <w:t>ualifying Australian development</w:t>
      </w:r>
      <w:r>
        <w:t xml:space="preserve"> expenditure</w:t>
      </w:r>
      <w:r w:rsidR="0077277E" w:rsidRPr="0077277E">
        <w:t xml:space="preserve"> may </w:t>
      </w:r>
      <w:r>
        <w:t xml:space="preserve">still </w:t>
      </w:r>
      <w:r w:rsidR="0077277E" w:rsidRPr="0077277E">
        <w:t>be deducted in accordance with and subject to Division 8 of this Act.</w:t>
      </w:r>
      <w:r w:rsidR="00E978B5">
        <w:t xml:space="preserve"> Generally, this means that eligible expenditure for the </w:t>
      </w:r>
      <w:r w:rsidR="001D6241">
        <w:t xml:space="preserve">digital games tax offset </w:t>
      </w:r>
      <w:r w:rsidR="00E978B5">
        <w:t>remains deductible for company</w:t>
      </w:r>
      <w:r>
        <w:t xml:space="preserve"> income</w:t>
      </w:r>
      <w:r w:rsidR="00E978B5">
        <w:t xml:space="preserve"> tax purposes</w:t>
      </w:r>
      <w:r w:rsidR="00822E72">
        <w:t xml:space="preserve">, thereby ensuring that the </w:t>
      </w:r>
      <w:r w:rsidR="001D6241">
        <w:t xml:space="preserve">digital games tax offset </w:t>
      </w:r>
      <w:r w:rsidR="00822E72">
        <w:t xml:space="preserve">remains additional and effective.  </w:t>
      </w:r>
    </w:p>
    <w:p w14:paraId="662CCCC4" w14:textId="1131E9B2" w:rsidR="0077277E" w:rsidRDefault="0077277E" w:rsidP="0077277E">
      <w:pPr>
        <w:pStyle w:val="Heading6"/>
      </w:pPr>
      <w:r>
        <w:t>Expenditure incurred by a prior company</w:t>
      </w:r>
    </w:p>
    <w:p w14:paraId="7018F718" w14:textId="77972D16" w:rsidR="0077277E" w:rsidRDefault="00696CEA" w:rsidP="001E358A">
      <w:pPr>
        <w:pStyle w:val="Normalparatextwithnumbers"/>
      </w:pPr>
      <w:r>
        <w:t>In some cases, a company will take over the development of a game from another company (</w:t>
      </w:r>
      <w:r w:rsidRPr="00287276">
        <w:t>which may itself have taken over the development of the game from another company, and so on</w:t>
      </w:r>
      <w:r>
        <w:t>). In those cases, each company developing the game is taken to have incurred the development expenditure of the previous companies. Its development expenditure excludes, then, any expenditure incurred to enable it to take over the development of the game (taking over is not part of actually developing the game, in the same way that, financing, promoting and distributing the game are not part of making the game).</w:t>
      </w:r>
      <w:r>
        <w:br/>
      </w:r>
      <w:r w:rsidRPr="00696CEA">
        <w:rPr>
          <w:rStyle w:val="References"/>
        </w:rPr>
        <w:t>[</w:t>
      </w:r>
      <w:r w:rsidRPr="00860042">
        <w:rPr>
          <w:rStyle w:val="References"/>
        </w:rPr>
        <w:t xml:space="preserve">Schedule </w:t>
      </w:r>
      <w:r w:rsidR="00044E0D" w:rsidRPr="00860042">
        <w:rPr>
          <w:rStyle w:val="References"/>
          <w:iCs w:val="0"/>
        </w:rPr>
        <w:t>#, item 2</w:t>
      </w:r>
      <w:r w:rsidRPr="00696CEA">
        <w:rPr>
          <w:rStyle w:val="References"/>
        </w:rPr>
        <w:t>, section</w:t>
      </w:r>
      <w:r w:rsidR="00ED4F70">
        <w:rPr>
          <w:rStyle w:val="References"/>
        </w:rPr>
        <w:t>s</w:t>
      </w:r>
      <w:r w:rsidRPr="00696CEA">
        <w:rPr>
          <w:rStyle w:val="References"/>
        </w:rPr>
        <w:t xml:space="preserve"> 378-</w:t>
      </w:r>
      <w:r w:rsidR="007A5520">
        <w:rPr>
          <w:rStyle w:val="References"/>
        </w:rPr>
        <w:t>40</w:t>
      </w:r>
      <w:r w:rsidR="00ED4F70">
        <w:rPr>
          <w:rStyle w:val="References"/>
        </w:rPr>
        <w:t xml:space="preserve"> </w:t>
      </w:r>
      <w:r w:rsidRPr="00696CEA">
        <w:rPr>
          <w:rStyle w:val="References"/>
        </w:rPr>
        <w:t xml:space="preserve">of the ITAA 1997] </w:t>
      </w:r>
    </w:p>
    <w:p w14:paraId="55057A67" w14:textId="2B68E49A" w:rsidR="00696CEA" w:rsidRDefault="00604E86" w:rsidP="0008608C">
      <w:pPr>
        <w:pStyle w:val="Heading3"/>
      </w:pPr>
      <w:bookmarkStart w:id="53" w:name="_Toc97046175"/>
      <w:r>
        <w:t>Administration of the Digital Games Tax Offset</w:t>
      </w:r>
      <w:bookmarkEnd w:id="53"/>
    </w:p>
    <w:p w14:paraId="142D4F4D" w14:textId="1EBFC98F" w:rsidR="00604E86" w:rsidRDefault="00604E86" w:rsidP="00604E86">
      <w:pPr>
        <w:pStyle w:val="Heading5"/>
      </w:pPr>
      <w:r>
        <w:t>Certification</w:t>
      </w:r>
    </w:p>
    <w:p w14:paraId="6FCCA800" w14:textId="448478E7" w:rsidR="00604E86" w:rsidRDefault="00A30E4D" w:rsidP="001E358A">
      <w:pPr>
        <w:pStyle w:val="Normalparatextwithnumbers"/>
      </w:pPr>
      <w:bookmarkStart w:id="54" w:name="_Ref96075332"/>
      <w:r w:rsidRPr="00A30E4D">
        <w:t xml:space="preserve">The certification process is the same for all the three certificates. The offset </w:t>
      </w:r>
      <w:r w:rsidR="00044E0D">
        <w:t>is</w:t>
      </w:r>
      <w:r w:rsidRPr="00A30E4D">
        <w:t xml:space="preserve"> administered by the Arts Minister.</w:t>
      </w:r>
      <w:bookmarkEnd w:id="54"/>
    </w:p>
    <w:p w14:paraId="6E285662" w14:textId="76E4773E" w:rsidR="00A30E4D" w:rsidRDefault="003746C7" w:rsidP="003746C7">
      <w:pPr>
        <w:pStyle w:val="Heading6"/>
      </w:pPr>
      <w:r>
        <w:t>Requirements for certification</w:t>
      </w:r>
    </w:p>
    <w:p w14:paraId="13C717F7" w14:textId="68CC69BB" w:rsidR="003746C7" w:rsidRDefault="00BA38CC" w:rsidP="001E358A">
      <w:pPr>
        <w:pStyle w:val="Normalparatextwithnumbers"/>
      </w:pPr>
      <w:r w:rsidRPr="00BA38CC">
        <w:t xml:space="preserve">Once a digital game is completed, </w:t>
      </w:r>
      <w:r w:rsidR="00044E0D">
        <w:t>ported or the company has finished incurring its development expenditure for the income year</w:t>
      </w:r>
      <w:r w:rsidRPr="00BA38CC">
        <w:t xml:space="preserve">, the company may apply to the Arts Minister for a certificate </w:t>
      </w:r>
      <w:r w:rsidR="00044E0D">
        <w:t>in relation to the offset</w:t>
      </w:r>
      <w:r w:rsidRPr="00BA38CC">
        <w:t xml:space="preserve">. A certificate </w:t>
      </w:r>
      <w:r w:rsidR="00044E0D">
        <w:t>allows</w:t>
      </w:r>
      <w:r w:rsidRPr="00BA38CC">
        <w:t xml:space="preserve"> the applicant </w:t>
      </w:r>
      <w:r w:rsidR="00044E0D">
        <w:t xml:space="preserve">to </w:t>
      </w:r>
      <w:r w:rsidRPr="00BA38CC">
        <w:t xml:space="preserve">receive the offset </w:t>
      </w:r>
      <w:r w:rsidR="00044E0D">
        <w:t>provided by the certification,</w:t>
      </w:r>
      <w:r w:rsidRPr="00BA38CC">
        <w:t xml:space="preserve"> </w:t>
      </w:r>
      <w:r w:rsidR="00044E0D">
        <w:t xml:space="preserve">calculated with reference to </w:t>
      </w:r>
      <w:r w:rsidRPr="00BA38CC">
        <w:t>the game’s qualifying Australian development expenditure.</w:t>
      </w:r>
      <w:r>
        <w:t xml:space="preserve"> </w:t>
      </w:r>
    </w:p>
    <w:p w14:paraId="71289798" w14:textId="05B52733" w:rsidR="00882FC7" w:rsidRDefault="00BA38CC" w:rsidP="001E358A">
      <w:pPr>
        <w:pStyle w:val="Normalparatextwithnumbers"/>
      </w:pPr>
      <w:bookmarkStart w:id="55" w:name="_Ref96075531"/>
      <w:r>
        <w:t xml:space="preserve">A company may apply for a certificate or certificates depending on its development activity. </w:t>
      </w:r>
      <w:r w:rsidR="00882FC7">
        <w:t>Where the company that undert</w:t>
      </w:r>
      <w:r w:rsidR="000E715C">
        <w:t>akes</w:t>
      </w:r>
      <w:r w:rsidR="00882FC7">
        <w:t xml:space="preserve"> the development of the game is a member of a consolidate group or a MEC group, the head company of the consolidated or MEC group may apply for the certificate</w:t>
      </w:r>
      <w:r w:rsidR="000E715C">
        <w:t xml:space="preserve"> in relation to the development of the game</w:t>
      </w:r>
      <w:r w:rsidR="00882FC7">
        <w:t xml:space="preserve">. This is due to the operation of the single entity rule outlined in section </w:t>
      </w:r>
      <w:r w:rsidR="000E715C">
        <w:t>701-1 of the ITAA 1997</w:t>
      </w:r>
      <w:r w:rsidR="00882FC7">
        <w:t xml:space="preserve"> which provides that, in working out </w:t>
      </w:r>
      <w:r w:rsidR="000E715C">
        <w:t>a</w:t>
      </w:r>
      <w:r w:rsidR="00882FC7">
        <w:t xml:space="preserve"> group’s tax liability, the actions of all subsidiaries of </w:t>
      </w:r>
      <w:r w:rsidR="000E715C">
        <w:t>a</w:t>
      </w:r>
      <w:r w:rsidR="00882FC7">
        <w:t xml:space="preserve"> group are taken to be the actions of the head company. For example, the game development activity undertaken by a subsidiary company in a group will be taken to be undertaken by the head company when working out the head company’s tax liability.</w:t>
      </w:r>
      <w:bookmarkEnd w:id="55"/>
      <w:r w:rsidR="00882FC7">
        <w:t xml:space="preserve">  </w:t>
      </w:r>
    </w:p>
    <w:p w14:paraId="11AD791E" w14:textId="28AB02CF" w:rsidR="000E715C" w:rsidRDefault="000E715C" w:rsidP="008B243B">
      <w:pPr>
        <w:pStyle w:val="Normalparatextwithnumbers"/>
        <w:numPr>
          <w:ilvl w:val="0"/>
          <w:numId w:val="0"/>
        </w:numPr>
        <w:ind w:left="709"/>
      </w:pPr>
      <w:r>
        <w:rPr>
          <w:rStyle w:val="References"/>
        </w:rPr>
        <w:lastRenderedPageBreak/>
        <w:t>[Schedule #, item 2, section 378-50 of the ITAA 1997]</w:t>
      </w:r>
    </w:p>
    <w:p w14:paraId="72BDC0D8" w14:textId="47962CA9" w:rsidR="00BA38CC" w:rsidRDefault="00BA38CC" w:rsidP="001E358A">
      <w:pPr>
        <w:pStyle w:val="Normalparatextwithnumbers"/>
      </w:pPr>
      <w:r>
        <w:t xml:space="preserve">Certification requires that the Arts Minister is satisfied of a number of requirements. The Arts Minister must be satisfied that the digital game is completed, ported or ongoing development activities have been completed. </w:t>
      </w:r>
    </w:p>
    <w:p w14:paraId="5F2EBFFB" w14:textId="4C3D520A" w:rsidR="00BA38CC" w:rsidRDefault="000B4E07" w:rsidP="007B66D4">
      <w:pPr>
        <w:pStyle w:val="Normalparatextwithnumbers"/>
      </w:pPr>
      <w:r w:rsidRPr="000B4E07">
        <w:t xml:space="preserve">Additionally, the Arts Minister will determine the </w:t>
      </w:r>
      <w:r w:rsidR="00E74773">
        <w:t xml:space="preserve">form of the application in </w:t>
      </w:r>
      <w:r w:rsidR="00AC56AC">
        <w:t xml:space="preserve">the </w:t>
      </w:r>
      <w:r w:rsidR="00E74773">
        <w:t xml:space="preserve">rules </w:t>
      </w:r>
      <w:r w:rsidR="00B546B0">
        <w:t xml:space="preserve">(see paragraph </w:t>
      </w:r>
      <w:r w:rsidR="002074E8">
        <w:t>1.108-</w:t>
      </w:r>
      <w:r w:rsidR="00DE5029">
        <w:t>1.</w:t>
      </w:r>
      <w:r w:rsidR="002074E8">
        <w:t>109</w:t>
      </w:r>
      <w:r w:rsidR="00B546B0">
        <w:t>)</w:t>
      </w:r>
      <w:r w:rsidR="006268B4">
        <w:t xml:space="preserve"> </w:t>
      </w:r>
      <w:r w:rsidR="00E74773">
        <w:t>issue</w:t>
      </w:r>
      <w:r w:rsidR="00AC56AC">
        <w:t>d</w:t>
      </w:r>
      <w:r w:rsidR="00E74773">
        <w:t xml:space="preserve"> by the Arts Minister for that purpose. A</w:t>
      </w:r>
      <w:r w:rsidRPr="000B4E07">
        <w:t xml:space="preserve"> company must </w:t>
      </w:r>
      <w:r w:rsidR="00E74773">
        <w:t>determine</w:t>
      </w:r>
      <w:r w:rsidRPr="000B4E07">
        <w:t xml:space="preserve"> if it satisfies the eligibility requirements including the residency requirements.</w:t>
      </w:r>
      <w:r>
        <w:t xml:space="preserve"> </w:t>
      </w:r>
    </w:p>
    <w:p w14:paraId="47BAD0EB" w14:textId="390588B9" w:rsidR="000B4E07" w:rsidRDefault="00726E9E" w:rsidP="00726E9E">
      <w:pPr>
        <w:pStyle w:val="Heading6"/>
      </w:pPr>
      <w:r>
        <w:t>Issuing of a certificate</w:t>
      </w:r>
    </w:p>
    <w:p w14:paraId="7B01BF0C" w14:textId="6B5D4784" w:rsidR="00726E9E" w:rsidRDefault="00F467FD" w:rsidP="001E358A">
      <w:pPr>
        <w:pStyle w:val="Normalparatextwithnumbers"/>
      </w:pPr>
      <w:r w:rsidRPr="00F467FD">
        <w:t>For a company to be entitled to the digital games tax offset for a game, the Arts Minister must have issued a certificate for the game. Further, the Arts Minister will determine the level of qualifying Australian development expenditure for the certificate being applied for. Allowing the Arts Minister to determine the qualifying Australian development expenditure will provide certainty to applicants as to the amount</w:t>
      </w:r>
      <w:r w:rsidR="00A0179D">
        <w:t xml:space="preserve"> of offset claimable under each certificate.</w:t>
      </w:r>
      <w:r w:rsidRPr="00F467FD">
        <w:t xml:space="preserve"> A determination of qualifying Australian production expenditure is not a Legislative Instrument within the meaning of the </w:t>
      </w:r>
      <w:r w:rsidRPr="00F467FD">
        <w:rPr>
          <w:i/>
          <w:iCs/>
        </w:rPr>
        <w:t>Legislative Instruments Act 2003</w:t>
      </w:r>
      <w:r w:rsidRPr="00F467FD">
        <w:t>.</w:t>
      </w:r>
      <w:r>
        <w:t xml:space="preserve"> </w:t>
      </w:r>
    </w:p>
    <w:p w14:paraId="748D8584" w14:textId="475208F9" w:rsidR="007B66D4" w:rsidRDefault="007B66D4" w:rsidP="001E358A">
      <w:pPr>
        <w:pStyle w:val="Normalparatextwithnumbers"/>
      </w:pPr>
      <w:r w:rsidRPr="00A45814">
        <w:t xml:space="preserve">Any certificate that the Arts Minister issues is expected to be in writing, to state the company’s ABN, the date of issue of the certificate, that the game is eligible for the offset and the </w:t>
      </w:r>
      <w:r>
        <w:t xml:space="preserve">company’s </w:t>
      </w:r>
      <w:r w:rsidRPr="00A45814">
        <w:t>qualifying Australian development expenditure.</w:t>
      </w:r>
    </w:p>
    <w:p w14:paraId="4B74FBB3" w14:textId="1B402F98" w:rsidR="003E107D" w:rsidRDefault="002113F3" w:rsidP="001E358A">
      <w:pPr>
        <w:pStyle w:val="Normalparatextwithnumbers"/>
      </w:pPr>
      <w:r w:rsidRPr="007D580E">
        <w:rPr>
          <w:bCs/>
        </w:rPr>
        <w:t>The Arts Minister</w:t>
      </w:r>
      <w:r w:rsidRPr="007D580E">
        <w:rPr>
          <w:bCs/>
          <w:i/>
        </w:rPr>
        <w:t xml:space="preserve"> </w:t>
      </w:r>
      <w:r>
        <w:rPr>
          <w:bCs/>
          <w:iCs/>
        </w:rPr>
        <w:t xml:space="preserve">must notify the Commissioner of the issue of the certificate within 30 days, and will give the company’s name and address, the qualifying Australian development expenditure determined by the Arts Minister, and such other information as the Arts Minister and the Commissioner agree. </w:t>
      </w:r>
      <w:r>
        <w:rPr>
          <w:bCs/>
          <w:iCs/>
        </w:rPr>
        <w:br/>
      </w:r>
      <w:r w:rsidRPr="002113F3">
        <w:rPr>
          <w:rStyle w:val="References"/>
        </w:rPr>
        <w:t>[</w:t>
      </w:r>
      <w:r w:rsidRPr="00860042">
        <w:rPr>
          <w:rStyle w:val="References"/>
        </w:rPr>
        <w:t xml:space="preserve">Schedule </w:t>
      </w:r>
      <w:r w:rsidR="00E74773" w:rsidRPr="00860042">
        <w:rPr>
          <w:rStyle w:val="References"/>
          <w:iCs w:val="0"/>
        </w:rPr>
        <w:t>#, item 2</w:t>
      </w:r>
      <w:r w:rsidR="00860042">
        <w:rPr>
          <w:rStyle w:val="References"/>
          <w:iCs w:val="0"/>
        </w:rPr>
        <w:t xml:space="preserve">, </w:t>
      </w:r>
      <w:r w:rsidR="006268B4">
        <w:rPr>
          <w:rStyle w:val="References"/>
        </w:rPr>
        <w:t>section 378-60</w:t>
      </w:r>
      <w:r w:rsidRPr="002113F3">
        <w:rPr>
          <w:rStyle w:val="References"/>
        </w:rPr>
        <w:t xml:space="preserve"> of the ITAA 1997] </w:t>
      </w:r>
    </w:p>
    <w:p w14:paraId="184E4D1E" w14:textId="34F18077" w:rsidR="002113F3" w:rsidRDefault="00307A79" w:rsidP="002113F3">
      <w:pPr>
        <w:pStyle w:val="Heading6"/>
      </w:pPr>
      <w:r>
        <w:t>Revocation and refusal of certificates</w:t>
      </w:r>
    </w:p>
    <w:p w14:paraId="60E8D60B" w14:textId="79F3D518" w:rsidR="00307A79" w:rsidRDefault="005455EB" w:rsidP="001E358A">
      <w:pPr>
        <w:pStyle w:val="Normalparatextwithnumbers"/>
      </w:pPr>
      <w:r>
        <w:t xml:space="preserve">The Arts Minister will have the power to revoke the certificate if the issue of the certificate was obtained based on inaccurate information, fraud or by serious misrepresentation. If a certificate is revoked, it is taken to have never been issued. As such, revocation will have the effect of requiring full repayment of any offset given through a tax return process. </w:t>
      </w:r>
    </w:p>
    <w:p w14:paraId="4DFA8C50" w14:textId="6DD9C4DE" w:rsidR="005455EB" w:rsidRDefault="00635612" w:rsidP="001E358A">
      <w:pPr>
        <w:pStyle w:val="Normalparatextwithnumbers"/>
      </w:pPr>
      <w:r>
        <w:t xml:space="preserve">Where a certificate is </w:t>
      </w:r>
      <w:r w:rsidR="00B546B0">
        <w:t xml:space="preserve">either not issued or </w:t>
      </w:r>
      <w:r>
        <w:t xml:space="preserve">revoked, the Arts Minister must give written notice to the company to which the certificate was issued including reasons for the decision. </w:t>
      </w:r>
    </w:p>
    <w:p w14:paraId="1264E6B5" w14:textId="04E1F625" w:rsidR="00635612" w:rsidRDefault="007A21EC" w:rsidP="001E358A">
      <w:pPr>
        <w:pStyle w:val="Normalparatextwithnumbers"/>
      </w:pPr>
      <w:r w:rsidRPr="007A21EC">
        <w:t>If the Arts Minister decides not to issue a certificate, the company seeking a certificate must receive written notice of that decision</w:t>
      </w:r>
      <w:r w:rsidR="005D784E">
        <w:t xml:space="preserve"> including reasons for that decision</w:t>
      </w:r>
      <w:r w:rsidRPr="007A21EC">
        <w:t>.</w:t>
      </w:r>
      <w:r>
        <w:t xml:space="preserve"> </w:t>
      </w:r>
    </w:p>
    <w:p w14:paraId="028B56E4" w14:textId="61253B1E" w:rsidR="007A21EC" w:rsidRDefault="00DB6B6C" w:rsidP="001E358A">
      <w:pPr>
        <w:pStyle w:val="Normalparatextwithnumbers"/>
      </w:pPr>
      <w:r w:rsidRPr="00DB6B6C">
        <w:t xml:space="preserve">The decision not to issue a certificate, and a decision to revoke a certificate or amend a certificate, </w:t>
      </w:r>
      <w:r w:rsidR="00E74773">
        <w:t>is a decision which is reviewable</w:t>
      </w:r>
      <w:r w:rsidRPr="00DB6B6C">
        <w:t xml:space="preserve"> </w:t>
      </w:r>
      <w:r w:rsidR="00E74773">
        <w:t>by</w:t>
      </w:r>
      <w:r w:rsidRPr="00DB6B6C">
        <w:t xml:space="preserve"> the AAT on application by the company the interests of which have been affected. A </w:t>
      </w:r>
      <w:r w:rsidRPr="00DB6B6C">
        <w:lastRenderedPageBreak/>
        <w:t>determination of qualifying Australian development expenditure by the Arts Minister is also a matter which can be reviewed by the AAT.</w:t>
      </w:r>
      <w:r>
        <w:t xml:space="preserve"> </w:t>
      </w:r>
    </w:p>
    <w:p w14:paraId="0AD945A0" w14:textId="77777777" w:rsidR="00F00290" w:rsidRDefault="003E22E5" w:rsidP="00F00290">
      <w:pPr>
        <w:pStyle w:val="Normalparatextwithnumbers"/>
      </w:pPr>
      <w:r w:rsidRPr="003E22E5">
        <w:t>The notice of refusing to issue a certificate or to revoke a certificate and determination of qualifying Australian development expenditure need not set out the findings of material questions of fact, refer to the evidence and other material on which the findings were based or the reasons for the decision. The notice must, however, include advice that an application can be made to the AAT and that a statement outlining the above matters (unless reasons have already been supplied) may be requested. A failure by the Arts Minister to comply with these obligations will not, however, affect the validity of the decision to refuse to issue a certificate or to revoke a certificate or the determination of the qualifying Australian development expenditure.</w:t>
      </w:r>
      <w:r>
        <w:t xml:space="preserve"> </w:t>
      </w:r>
    </w:p>
    <w:p w14:paraId="00CF6FCF" w14:textId="19D4915C" w:rsidR="007B66D4" w:rsidRDefault="00AA3384" w:rsidP="00F00290">
      <w:pPr>
        <w:pStyle w:val="Normalparatextwithnumbers"/>
      </w:pPr>
      <w:r>
        <w:t xml:space="preserve">Where a certificate issued to a company has been revoked under section 378-205 or amended under section 378-230, the income tax assessment of the company will need to be amended to </w:t>
      </w:r>
      <w:r w:rsidR="008B5231">
        <w:t>reflect the revocation or amendment</w:t>
      </w:r>
      <w:r>
        <w:t xml:space="preserve">. The relevant period in which the Commissioner may amend assessment will be during a period of four years starting immediately after the revocation or amendment of the certificate. </w:t>
      </w:r>
      <w:r>
        <w:br/>
      </w:r>
      <w:r w:rsidR="007B66D4" w:rsidRPr="00635612">
        <w:rPr>
          <w:rStyle w:val="References"/>
        </w:rPr>
        <w:t>[</w:t>
      </w:r>
      <w:r w:rsidR="007B66D4" w:rsidRPr="00860042">
        <w:rPr>
          <w:rStyle w:val="References"/>
        </w:rPr>
        <w:t xml:space="preserve">Schedule </w:t>
      </w:r>
      <w:r w:rsidR="007B66D4" w:rsidRPr="00F00290">
        <w:rPr>
          <w:rStyle w:val="References"/>
          <w:iCs w:val="0"/>
        </w:rPr>
        <w:t xml:space="preserve">#, item 2, </w:t>
      </w:r>
      <w:r w:rsidR="007B66D4" w:rsidRPr="00635612">
        <w:rPr>
          <w:rStyle w:val="References"/>
        </w:rPr>
        <w:t>section</w:t>
      </w:r>
      <w:r w:rsidR="007B66D4">
        <w:rPr>
          <w:rStyle w:val="References"/>
        </w:rPr>
        <w:t>s</w:t>
      </w:r>
      <w:r w:rsidR="007B66D4" w:rsidRPr="00635612">
        <w:rPr>
          <w:rStyle w:val="References"/>
        </w:rPr>
        <w:t xml:space="preserve"> 378-</w:t>
      </w:r>
      <w:r w:rsidR="007B66D4">
        <w:rPr>
          <w:rStyle w:val="References"/>
        </w:rPr>
        <w:t>55, 378-65, 378-75, 378-80</w:t>
      </w:r>
      <w:r w:rsidR="002C0FB2">
        <w:rPr>
          <w:rStyle w:val="References"/>
        </w:rPr>
        <w:t>, 378-90 and 378-95</w:t>
      </w:r>
      <w:r w:rsidR="007B66D4" w:rsidRPr="00635612">
        <w:rPr>
          <w:rStyle w:val="References"/>
        </w:rPr>
        <w:t xml:space="preserve"> of the ITAA 1997]</w:t>
      </w:r>
    </w:p>
    <w:p w14:paraId="755E214C" w14:textId="65A894DD" w:rsidR="002343CC" w:rsidRPr="002343CC" w:rsidRDefault="002343CC" w:rsidP="002343CC">
      <w:pPr>
        <w:pStyle w:val="Heading6"/>
      </w:pPr>
      <w:r>
        <w:t>Rule-making powers</w:t>
      </w:r>
    </w:p>
    <w:p w14:paraId="3E9A9EB6" w14:textId="4194A573" w:rsidR="006A255C" w:rsidRDefault="006A255C" w:rsidP="006A255C">
      <w:pPr>
        <w:pStyle w:val="Normalparatextwithnumbers"/>
      </w:pPr>
      <w:bookmarkStart w:id="56" w:name="_Ref96084646"/>
      <w:r>
        <w:t xml:space="preserve">The Arts Minister may make rules by legislative instrument </w:t>
      </w:r>
      <w:r w:rsidR="008B5231">
        <w:t>for determining</w:t>
      </w:r>
      <w:r>
        <w:t xml:space="preserve"> administrative requirements for applications for certificates for the offset, including:</w:t>
      </w:r>
      <w:bookmarkEnd w:id="56"/>
    </w:p>
    <w:p w14:paraId="46396D20" w14:textId="77777777" w:rsidR="006A255C" w:rsidRDefault="006A255C" w:rsidP="006A255C">
      <w:pPr>
        <w:pStyle w:val="Dotpoint1"/>
      </w:pPr>
      <w:r>
        <w:t xml:space="preserve">the application </w:t>
      </w:r>
      <w:proofErr w:type="gramStart"/>
      <w:r>
        <w:t>form;</w:t>
      </w:r>
      <w:proofErr w:type="gramEnd"/>
    </w:p>
    <w:p w14:paraId="241C492E" w14:textId="77777777" w:rsidR="006A255C" w:rsidRDefault="006A255C" w:rsidP="006A255C">
      <w:pPr>
        <w:pStyle w:val="Dotpoint1"/>
      </w:pPr>
      <w:r>
        <w:t xml:space="preserve">type of information to be </w:t>
      </w:r>
      <w:proofErr w:type="gramStart"/>
      <w:r>
        <w:t>provided;</w:t>
      </w:r>
      <w:proofErr w:type="gramEnd"/>
    </w:p>
    <w:p w14:paraId="6C303A68" w14:textId="77777777" w:rsidR="006A255C" w:rsidRDefault="006A255C" w:rsidP="006A255C">
      <w:pPr>
        <w:pStyle w:val="Dotpoint1"/>
      </w:pPr>
      <w:r>
        <w:t>methods of verification of that information; and</w:t>
      </w:r>
    </w:p>
    <w:p w14:paraId="113D99AD" w14:textId="77777777" w:rsidR="006A255C" w:rsidRDefault="006A255C" w:rsidP="006A255C">
      <w:pPr>
        <w:pStyle w:val="Dotpoint1"/>
      </w:pPr>
      <w:r>
        <w:t>procedures around the provision of supplementary or additional information that the Arts Minister.</w:t>
      </w:r>
    </w:p>
    <w:p w14:paraId="59037B5B" w14:textId="77777777" w:rsidR="007B66D4" w:rsidRDefault="006A255C" w:rsidP="001E358A">
      <w:pPr>
        <w:pStyle w:val="Normalparatextwithnumbers"/>
      </w:pPr>
      <w:r w:rsidRPr="006A255C">
        <w:t xml:space="preserve">The Arts Minister may also make rules that will outline how amendments of certificates are to be made including the circumstances in which an amendment may be requested and the form in which the request of the amendment may be made. </w:t>
      </w:r>
    </w:p>
    <w:p w14:paraId="6E8E2632" w14:textId="013074A1" w:rsidR="006A255C" w:rsidRDefault="007B66D4" w:rsidP="009B0094">
      <w:pPr>
        <w:pStyle w:val="Normalparatextwithnumbers"/>
        <w:numPr>
          <w:ilvl w:val="0"/>
          <w:numId w:val="0"/>
        </w:numPr>
        <w:ind w:left="709"/>
      </w:pPr>
      <w:r>
        <w:rPr>
          <w:rStyle w:val="References"/>
        </w:rPr>
        <w:t>[Schedule #, item 2, section 378-</w:t>
      </w:r>
      <w:r w:rsidR="009B0094">
        <w:rPr>
          <w:rStyle w:val="References"/>
        </w:rPr>
        <w:t>85 of the ITAA 1997]</w:t>
      </w:r>
      <w:r w:rsidR="006A255C">
        <w:br/>
      </w:r>
    </w:p>
    <w:p w14:paraId="6414BACD" w14:textId="68EEE497" w:rsidR="004E5735" w:rsidRDefault="000A666D" w:rsidP="000A666D">
      <w:pPr>
        <w:pStyle w:val="Heading6"/>
      </w:pPr>
      <w:r>
        <w:t>Digital game to be made available to the National Film and Sound Archive of Australia</w:t>
      </w:r>
    </w:p>
    <w:p w14:paraId="3ABE4D42" w14:textId="1C03173E" w:rsidR="00750791" w:rsidRDefault="00690C55" w:rsidP="002F77BB">
      <w:pPr>
        <w:pStyle w:val="Normalparatextwithnumbers"/>
      </w:pPr>
      <w:bookmarkStart w:id="57" w:name="_Ref96075360"/>
      <w:r>
        <w:t>A company that has been issued with a certificate under section 378</w:t>
      </w:r>
      <w:r w:rsidR="009C3B53">
        <w:noBreakHyphen/>
      </w:r>
      <w:r>
        <w:t>20 must make a copy of the digital game name</w:t>
      </w:r>
      <w:r w:rsidR="009C3B53">
        <w:t>d</w:t>
      </w:r>
      <w:r>
        <w:t xml:space="preserve"> in the certificate available to the National Film and Sound Archive of Australia. </w:t>
      </w:r>
      <w:r w:rsidRPr="00690C55">
        <w:t xml:space="preserve">The game must be made available with any ancillary </w:t>
      </w:r>
      <w:r>
        <w:t xml:space="preserve">items </w:t>
      </w:r>
      <w:r w:rsidRPr="00690C55">
        <w:t xml:space="preserve">that would generally be available for sale to </w:t>
      </w:r>
      <w:r w:rsidRPr="00690C55">
        <w:lastRenderedPageBreak/>
        <w:t xml:space="preserve">the public. The National Film and Sound Archive of Australia does not have to accept </w:t>
      </w:r>
      <w:r w:rsidR="003836D2">
        <w:t>a game despite the game being</w:t>
      </w:r>
      <w:r w:rsidRPr="00690C55">
        <w:t xml:space="preserve"> made available to it.</w:t>
      </w:r>
      <w:r>
        <w:t xml:space="preserve"> </w:t>
      </w:r>
      <w:r>
        <w:br/>
      </w:r>
      <w:r w:rsidRPr="00690C55">
        <w:rPr>
          <w:rStyle w:val="References"/>
        </w:rPr>
        <w:t>[</w:t>
      </w:r>
      <w:r w:rsidRPr="0099399D">
        <w:rPr>
          <w:rStyle w:val="References"/>
        </w:rPr>
        <w:t xml:space="preserve">Schedule </w:t>
      </w:r>
      <w:r w:rsidR="003836D2" w:rsidRPr="00AC56AC">
        <w:rPr>
          <w:rStyle w:val="References"/>
          <w:iCs w:val="0"/>
        </w:rPr>
        <w:t>#, item 2</w:t>
      </w:r>
      <w:r w:rsidRPr="00690C55">
        <w:rPr>
          <w:rStyle w:val="References"/>
        </w:rPr>
        <w:t>, section 378-</w:t>
      </w:r>
      <w:r w:rsidR="002C0FB2">
        <w:rPr>
          <w:rStyle w:val="References"/>
        </w:rPr>
        <w:t>100</w:t>
      </w:r>
      <w:r w:rsidRPr="00690C55">
        <w:rPr>
          <w:rStyle w:val="References"/>
        </w:rPr>
        <w:t xml:space="preserve"> of the ITAA </w:t>
      </w:r>
      <w:r w:rsidR="00323517">
        <w:rPr>
          <w:rStyle w:val="References"/>
        </w:rPr>
        <w:t>1997</w:t>
      </w:r>
      <w:r w:rsidRPr="00690C55">
        <w:rPr>
          <w:rStyle w:val="References"/>
        </w:rPr>
        <w:t>]</w:t>
      </w:r>
      <w:bookmarkEnd w:id="57"/>
      <w:r w:rsidRPr="00690C55">
        <w:rPr>
          <w:rStyle w:val="References"/>
        </w:rPr>
        <w:t xml:space="preserve"> </w:t>
      </w:r>
    </w:p>
    <w:p w14:paraId="1E99479D" w14:textId="77777777" w:rsidR="00873094" w:rsidRPr="00020288" w:rsidRDefault="00873094" w:rsidP="005D0844">
      <w:pPr>
        <w:pStyle w:val="Heading2"/>
      </w:pPr>
      <w:bookmarkStart w:id="58" w:name="_Toc97046176"/>
      <w:bookmarkStart w:id="59" w:name="_Toc78193246"/>
      <w:bookmarkStart w:id="60" w:name="_Toc78193403"/>
      <w:bookmarkStart w:id="61" w:name="_Toc78548476"/>
      <w:bookmarkStart w:id="62" w:name="_Toc78549747"/>
      <w:bookmarkStart w:id="63" w:name="_Toc78549791"/>
      <w:r w:rsidRPr="005D0844">
        <w:t>Consequential</w:t>
      </w:r>
      <w:r w:rsidRPr="00020288">
        <w:t xml:space="preserve"> amendments</w:t>
      </w:r>
      <w:bookmarkEnd w:id="58"/>
    </w:p>
    <w:p w14:paraId="083622BC" w14:textId="7BA05DCD" w:rsidR="00690C55" w:rsidRDefault="00690C55" w:rsidP="00690C55">
      <w:pPr>
        <w:pStyle w:val="Normalparatextwithnumbers"/>
        <w:numPr>
          <w:ilvl w:val="1"/>
          <w:numId w:val="3"/>
        </w:numPr>
      </w:pPr>
      <w:r>
        <w:t xml:space="preserve">The consequential amendments are </w:t>
      </w:r>
      <w:r w:rsidR="003836D2">
        <w:t xml:space="preserve">made </w:t>
      </w:r>
      <w:r>
        <w:t>in relation to section 995-1 of the ITAA 1997 affecting:</w:t>
      </w:r>
    </w:p>
    <w:p w14:paraId="69F83E63" w14:textId="03704E85" w:rsidR="00690C55" w:rsidRDefault="006D688D" w:rsidP="00690C55">
      <w:pPr>
        <w:pStyle w:val="Dotpoint1"/>
      </w:pPr>
      <w:r>
        <w:t>t</w:t>
      </w:r>
      <w:r w:rsidR="00690C55">
        <w:t>he</w:t>
      </w:r>
      <w:r w:rsidR="003836D2">
        <w:t xml:space="preserve"> definition of development expenditure as it applies to films and games; and </w:t>
      </w:r>
    </w:p>
    <w:p w14:paraId="39BE740C" w14:textId="2559C172" w:rsidR="00690C55" w:rsidRDefault="006D688D" w:rsidP="00690C55">
      <w:pPr>
        <w:pStyle w:val="Dotpoint1"/>
      </w:pPr>
      <w:r>
        <w:t>t</w:t>
      </w:r>
      <w:r w:rsidR="003836D2">
        <w:t xml:space="preserve">he </w:t>
      </w:r>
      <w:r w:rsidR="00690C55">
        <w:t>insertion of digital game, ongoing development, ported and qualifying Australian development expenditure</w:t>
      </w:r>
      <w:r w:rsidR="003836D2">
        <w:t xml:space="preserve"> into the dictionary of the ITAA 1997</w:t>
      </w:r>
      <w:r w:rsidR="00690C55">
        <w:t>.</w:t>
      </w:r>
    </w:p>
    <w:p w14:paraId="7F5EF492" w14:textId="5DB635C7" w:rsidR="002F77BB" w:rsidRDefault="002F77BB" w:rsidP="002F77BB">
      <w:pPr>
        <w:pStyle w:val="Dotpoint1"/>
        <w:numPr>
          <w:ilvl w:val="0"/>
          <w:numId w:val="0"/>
        </w:numPr>
        <w:ind w:left="709"/>
      </w:pPr>
      <w:r>
        <w:rPr>
          <w:rStyle w:val="References"/>
        </w:rPr>
        <w:t xml:space="preserve">[Schedule #, items 3 and 4, </w:t>
      </w:r>
      <w:r w:rsidR="00080712">
        <w:rPr>
          <w:rStyle w:val="References"/>
        </w:rPr>
        <w:t>s</w:t>
      </w:r>
      <w:r w:rsidR="00DE7013">
        <w:rPr>
          <w:rStyle w:val="References"/>
        </w:rPr>
        <w:t xml:space="preserve">ection 995-1 of the ITAA 1997] </w:t>
      </w:r>
    </w:p>
    <w:p w14:paraId="46EC2F87" w14:textId="77777777" w:rsidR="00873094" w:rsidRPr="00020288" w:rsidRDefault="00873094" w:rsidP="00AF50CE">
      <w:pPr>
        <w:pStyle w:val="Heading2"/>
      </w:pPr>
      <w:bookmarkStart w:id="64" w:name="_Toc97046177"/>
      <w:r w:rsidRPr="00020288">
        <w:t xml:space="preserve">Commencement, </w:t>
      </w:r>
      <w:r w:rsidRPr="00AF50CE">
        <w:t>application</w:t>
      </w:r>
      <w:r w:rsidRPr="00020288">
        <w:t>, and transitional provisions</w:t>
      </w:r>
      <w:bookmarkEnd w:id="64"/>
    </w:p>
    <w:p w14:paraId="6DE82316" w14:textId="768F39F7" w:rsidR="00873094" w:rsidRPr="00020288" w:rsidRDefault="00690C55" w:rsidP="00690C55">
      <w:pPr>
        <w:pStyle w:val="Normalparatextwithnumbers"/>
        <w:numPr>
          <w:ilvl w:val="1"/>
          <w:numId w:val="3"/>
        </w:numPr>
      </w:pPr>
      <w:r>
        <w:t>The amendments commence on t</w:t>
      </w:r>
      <w:r w:rsidRPr="00B66604">
        <w:t>he first 1 January, 1 April, 1 July or 1 October to occur after the day this Act receives the Royal Assent.</w:t>
      </w:r>
    </w:p>
    <w:p w14:paraId="6E76BDD4" w14:textId="433E8D02" w:rsidR="000846C0" w:rsidRDefault="003836D2" w:rsidP="00690C55">
      <w:pPr>
        <w:pStyle w:val="Normalparatextwithnumbers"/>
        <w:numPr>
          <w:ilvl w:val="1"/>
          <w:numId w:val="3"/>
        </w:numPr>
      </w:pPr>
      <w:r>
        <w:t xml:space="preserve">The amendments apply in relation to expenditure incurred by a company on or after 1 July 2022. </w:t>
      </w:r>
    </w:p>
    <w:p w14:paraId="6E03EF64" w14:textId="441B00BB" w:rsidR="000846C0" w:rsidRDefault="000846C0" w:rsidP="00690C55">
      <w:pPr>
        <w:pStyle w:val="Normalparatextwithnumbers"/>
        <w:numPr>
          <w:ilvl w:val="1"/>
          <w:numId w:val="3"/>
        </w:numPr>
      </w:pPr>
      <w:r w:rsidRPr="00504022">
        <w:t xml:space="preserve">Only expenditure incurred after 1 July 2022 </w:t>
      </w:r>
      <w:r>
        <w:t xml:space="preserve">on a new game or ported game </w:t>
      </w:r>
      <w:r w:rsidRPr="00504022">
        <w:t xml:space="preserve">can be claimed with respect to a </w:t>
      </w:r>
      <w:r>
        <w:t>completion</w:t>
      </w:r>
      <w:r w:rsidRPr="00504022">
        <w:t xml:space="preserve"> </w:t>
      </w:r>
      <w:r>
        <w:t xml:space="preserve">or porting </w:t>
      </w:r>
      <w:r w:rsidRPr="00504022">
        <w:t xml:space="preserve">certificate. </w:t>
      </w:r>
    </w:p>
    <w:p w14:paraId="57267B84" w14:textId="6774656A" w:rsidR="000846C0" w:rsidRDefault="000846C0" w:rsidP="00690C55">
      <w:pPr>
        <w:pStyle w:val="Normalparatextwithnumbers"/>
        <w:numPr>
          <w:ilvl w:val="1"/>
          <w:numId w:val="3"/>
        </w:numPr>
      </w:pPr>
      <w:r>
        <w:t xml:space="preserve">Only expenditure incurred after 1 July 2022 in relation to the ongoing development of an existing game can be claimed with respect to an ongoing development certificate. The game to which the expenditure relates can be a game that has been released before 1 July 2022. </w:t>
      </w:r>
    </w:p>
    <w:p w14:paraId="553BB73F" w14:textId="26F46464" w:rsidR="003836D2" w:rsidRDefault="00E618DD" w:rsidP="00690C55">
      <w:pPr>
        <w:pStyle w:val="Normalparatextwithnumbers"/>
        <w:numPr>
          <w:ilvl w:val="1"/>
          <w:numId w:val="3"/>
        </w:numPr>
      </w:pPr>
      <w:r>
        <w:t>When</w:t>
      </w:r>
      <w:r w:rsidR="000846C0">
        <w:t xml:space="preserve"> goods and services are considered incurred could be different to when they are actually paid for</w:t>
      </w:r>
      <w:r w:rsidR="004152D6">
        <w:t xml:space="preserve"> or received</w:t>
      </w:r>
      <w:r w:rsidR="000846C0">
        <w:t>.</w:t>
      </w:r>
    </w:p>
    <w:p w14:paraId="4569CA2B" w14:textId="1A6B182B" w:rsidR="00DE7013" w:rsidRPr="00020288" w:rsidRDefault="00DE7013" w:rsidP="00DE7013">
      <w:pPr>
        <w:pStyle w:val="Normalparatextwithnumbers"/>
        <w:numPr>
          <w:ilvl w:val="0"/>
          <w:numId w:val="0"/>
        </w:numPr>
        <w:ind w:left="709"/>
      </w:pPr>
      <w:r>
        <w:rPr>
          <w:rStyle w:val="References"/>
        </w:rPr>
        <w:t>[Schedule #, item 5]</w:t>
      </w:r>
    </w:p>
    <w:p w14:paraId="266D7C1F" w14:textId="77777777" w:rsidR="006479AC" w:rsidRPr="006479AC" w:rsidRDefault="006479AC" w:rsidP="006479AC">
      <w:pPr>
        <w:pStyle w:val="Normalparatextnonumbers"/>
      </w:pPr>
    </w:p>
    <w:p w14:paraId="513F8AE0" w14:textId="6FEF3315" w:rsidR="00873094" w:rsidRDefault="00873094" w:rsidP="006479AC">
      <w:pPr>
        <w:pStyle w:val="Normalparatextnonumbers"/>
      </w:pPr>
    </w:p>
    <w:p w14:paraId="0DBF9682" w14:textId="77777777" w:rsidR="00873094" w:rsidRDefault="00873094" w:rsidP="00873094">
      <w:pPr>
        <w:spacing w:after="0" w:line="360" w:lineRule="auto"/>
        <w:contextualSpacing/>
      </w:pPr>
      <w:bookmarkStart w:id="65" w:name="_Hlk83390738"/>
      <w:bookmarkEnd w:id="42"/>
    </w:p>
    <w:bookmarkEnd w:id="5"/>
    <w:bookmarkEnd w:id="59"/>
    <w:bookmarkEnd w:id="60"/>
    <w:bookmarkEnd w:id="61"/>
    <w:bookmarkEnd w:id="62"/>
    <w:bookmarkEnd w:id="63"/>
    <w:bookmarkEnd w:id="65"/>
    <w:p w14:paraId="596142DB" w14:textId="77777777" w:rsidR="00B77D03" w:rsidRDefault="00B77D03" w:rsidP="00852682">
      <w:pPr>
        <w:pStyle w:val="Normalparatextnonumbers"/>
      </w:pPr>
    </w:p>
    <w:sectPr w:rsidR="00B77D03"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13B1" w14:textId="77777777" w:rsidR="00011EE4" w:rsidRDefault="00011EE4">
      <w:pPr>
        <w:spacing w:before="0" w:after="0"/>
      </w:pPr>
      <w:r>
        <w:separator/>
      </w:r>
    </w:p>
  </w:endnote>
  <w:endnote w:type="continuationSeparator" w:id="0">
    <w:p w14:paraId="0518A581" w14:textId="77777777" w:rsidR="00011EE4" w:rsidRDefault="00011EE4">
      <w:pPr>
        <w:spacing w:before="0" w:after="0"/>
      </w:pPr>
      <w:r>
        <w:continuationSeparator/>
      </w:r>
    </w:p>
  </w:endnote>
  <w:endnote w:type="continuationNotice" w:id="1">
    <w:p w14:paraId="04AFA96D" w14:textId="77777777" w:rsidR="00011EE4" w:rsidRDefault="00011E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0F03" w14:textId="77777777" w:rsidR="00365EC5" w:rsidRDefault="00365EC5"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899D" w14:textId="77777777" w:rsidR="00365EC5" w:rsidRPr="004D61CF" w:rsidRDefault="00365EC5"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5B2E" w14:textId="3EB6CE76" w:rsidR="00365EC5" w:rsidRPr="00091474" w:rsidRDefault="00365EC5" w:rsidP="00852682">
    <w:pPr>
      <w:pStyle w:val="rightfooter"/>
    </w:pPr>
    <w:r>
      <w:fldChar w:fldCharType="begin"/>
    </w:r>
    <w:r>
      <w:instrText xml:space="preserve"> PAGE   \* MERGEFORMAT </w:instrText>
    </w:r>
    <w:r>
      <w:fldChar w:fldCharType="separate"/>
    </w:r>
    <w:r w:rsidR="006E372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6CC1" w14:textId="77777777" w:rsidR="00011EE4" w:rsidRDefault="00011EE4">
      <w:pPr>
        <w:spacing w:before="0" w:after="0"/>
      </w:pPr>
      <w:r>
        <w:separator/>
      </w:r>
    </w:p>
  </w:footnote>
  <w:footnote w:type="continuationSeparator" w:id="0">
    <w:p w14:paraId="1AA4155B" w14:textId="77777777" w:rsidR="00011EE4" w:rsidRDefault="00011EE4">
      <w:pPr>
        <w:spacing w:before="0" w:after="0"/>
      </w:pPr>
      <w:r>
        <w:continuationSeparator/>
      </w:r>
    </w:p>
  </w:footnote>
  <w:footnote w:type="continuationNotice" w:id="1">
    <w:p w14:paraId="19EB04FB" w14:textId="77777777" w:rsidR="00011EE4" w:rsidRDefault="00011E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055E3F95" w14:textId="77777777" w:rsidR="00365EC5" w:rsidRDefault="00711AE8">
        <w:pPr>
          <w:pStyle w:val="Header"/>
        </w:pPr>
        <w:r>
          <w:rPr>
            <w:noProof/>
          </w:rPr>
          <w:pict w14:anchorId="4A6D1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6714" w14:textId="77777777" w:rsidR="00365EC5" w:rsidRPr="009106AC" w:rsidRDefault="00365EC5"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2D03" w14:textId="40445185" w:rsidR="00365EC5" w:rsidRPr="0070093E" w:rsidRDefault="00365EC5"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B1CB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0150" w14:textId="77777777" w:rsidR="00365EC5" w:rsidRDefault="00365E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D132" w14:textId="77200EE8" w:rsidR="00365EC5" w:rsidRPr="00852682" w:rsidRDefault="00711AE8" w:rsidP="00852682">
    <w:pPr>
      <w:pStyle w:val="leftheader"/>
    </w:pPr>
    <w:r>
      <w:fldChar w:fldCharType="begin"/>
    </w:r>
    <w:r>
      <w:instrText xml:space="preserve"> STYLEREF "Chapter heading" \* MERGEFORMAT </w:instrText>
    </w:r>
    <w:r>
      <w:fldChar w:fldCharType="separate"/>
    </w:r>
    <w:r>
      <w:rPr>
        <w:noProof/>
      </w:rPr>
      <w:t>Digital Games Tax Offset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91E3" w14:textId="5470E6C5" w:rsidR="00365EC5" w:rsidRPr="00852682" w:rsidRDefault="00711AE8" w:rsidP="00852682">
    <w:pPr>
      <w:pStyle w:val="rightheader"/>
    </w:pPr>
    <w:r>
      <w:fldChar w:fldCharType="begin"/>
    </w:r>
    <w:r>
      <w:instrText xml:space="preserve"> STYLEREF "Bill Name" \* MERGEFORMAT </w:instrText>
    </w:r>
    <w:r>
      <w:fldChar w:fldCharType="separate"/>
    </w:r>
    <w:r>
      <w:rPr>
        <w:noProof/>
      </w:rPr>
      <w:t>INCOME TAX ASSESSMENT AMENDMENT (DIGITAL GAMES TAX OFFSET) BILL 2021: MEASURE FOR CONSULTATION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70EA" w14:textId="77777777" w:rsidR="00365EC5" w:rsidRDefault="00365E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C26" w14:textId="77777777" w:rsidR="00365EC5" w:rsidRDefault="0036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55C8540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2"/>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0"/>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1"/>
  </w:num>
  <w:num w:numId="21">
    <w:abstractNumId w:val="10"/>
  </w:num>
  <w:num w:numId="22">
    <w:abstractNumId w:val="1"/>
  </w:num>
  <w:num w:numId="23">
    <w:abstractNumId w:val="3"/>
  </w:num>
  <w:num w:numId="24">
    <w:abstractNumId w:val="3"/>
  </w:num>
  <w:num w:numId="25">
    <w:abstractNumId w:val="3"/>
  </w:num>
  <w:num w:numId="26">
    <w:abstractNumId w:val="10"/>
  </w:num>
  <w:num w:numId="27">
    <w:abstractNumId w:val="3"/>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35"/>
    <w:rsid w:val="00000BFC"/>
    <w:rsid w:val="00002126"/>
    <w:rsid w:val="00002D23"/>
    <w:rsid w:val="000046CB"/>
    <w:rsid w:val="0000724F"/>
    <w:rsid w:val="0000731A"/>
    <w:rsid w:val="000104CC"/>
    <w:rsid w:val="000111AD"/>
    <w:rsid w:val="00011EE4"/>
    <w:rsid w:val="00015270"/>
    <w:rsid w:val="000159A6"/>
    <w:rsid w:val="00017B8A"/>
    <w:rsid w:val="00021DAA"/>
    <w:rsid w:val="0003142A"/>
    <w:rsid w:val="0003180D"/>
    <w:rsid w:val="00032E85"/>
    <w:rsid w:val="00033231"/>
    <w:rsid w:val="000351F8"/>
    <w:rsid w:val="00036709"/>
    <w:rsid w:val="00040058"/>
    <w:rsid w:val="0004147C"/>
    <w:rsid w:val="00041A8A"/>
    <w:rsid w:val="0004257E"/>
    <w:rsid w:val="000431A6"/>
    <w:rsid w:val="00044BAD"/>
    <w:rsid w:val="00044E0D"/>
    <w:rsid w:val="00047CB7"/>
    <w:rsid w:val="00047FF2"/>
    <w:rsid w:val="000506AA"/>
    <w:rsid w:val="00053136"/>
    <w:rsid w:val="000538D1"/>
    <w:rsid w:val="00053AE3"/>
    <w:rsid w:val="0005559B"/>
    <w:rsid w:val="000555A3"/>
    <w:rsid w:val="00055A76"/>
    <w:rsid w:val="00071117"/>
    <w:rsid w:val="00072F61"/>
    <w:rsid w:val="000801ED"/>
    <w:rsid w:val="00080712"/>
    <w:rsid w:val="00081227"/>
    <w:rsid w:val="000812C6"/>
    <w:rsid w:val="00081DD2"/>
    <w:rsid w:val="000846C0"/>
    <w:rsid w:val="00085E51"/>
    <w:rsid w:val="00085FE1"/>
    <w:rsid w:val="0008608C"/>
    <w:rsid w:val="000867F1"/>
    <w:rsid w:val="0008716D"/>
    <w:rsid w:val="00087F47"/>
    <w:rsid w:val="00087FE9"/>
    <w:rsid w:val="00090A2C"/>
    <w:rsid w:val="00091911"/>
    <w:rsid w:val="000935D3"/>
    <w:rsid w:val="000941E4"/>
    <w:rsid w:val="000945EB"/>
    <w:rsid w:val="00096448"/>
    <w:rsid w:val="000A229E"/>
    <w:rsid w:val="000A2A89"/>
    <w:rsid w:val="000A3230"/>
    <w:rsid w:val="000A5621"/>
    <w:rsid w:val="000A666D"/>
    <w:rsid w:val="000A6B99"/>
    <w:rsid w:val="000B4B92"/>
    <w:rsid w:val="000B4D2A"/>
    <w:rsid w:val="000B4E07"/>
    <w:rsid w:val="000B5CCA"/>
    <w:rsid w:val="000B6B3E"/>
    <w:rsid w:val="000B7214"/>
    <w:rsid w:val="000B7D6E"/>
    <w:rsid w:val="000C4250"/>
    <w:rsid w:val="000C4288"/>
    <w:rsid w:val="000C42ED"/>
    <w:rsid w:val="000C4716"/>
    <w:rsid w:val="000D1A58"/>
    <w:rsid w:val="000D4CC3"/>
    <w:rsid w:val="000D4EF9"/>
    <w:rsid w:val="000D6472"/>
    <w:rsid w:val="000D70D2"/>
    <w:rsid w:val="000E4B9E"/>
    <w:rsid w:val="000E4C64"/>
    <w:rsid w:val="000E4D39"/>
    <w:rsid w:val="000E4D63"/>
    <w:rsid w:val="000E521B"/>
    <w:rsid w:val="000E5B4C"/>
    <w:rsid w:val="000E64D7"/>
    <w:rsid w:val="000E715C"/>
    <w:rsid w:val="000F0F35"/>
    <w:rsid w:val="000F1524"/>
    <w:rsid w:val="000F37B0"/>
    <w:rsid w:val="001008A5"/>
    <w:rsid w:val="00100998"/>
    <w:rsid w:val="0010164E"/>
    <w:rsid w:val="0010353A"/>
    <w:rsid w:val="00105E85"/>
    <w:rsid w:val="00106241"/>
    <w:rsid w:val="00106BA3"/>
    <w:rsid w:val="00106FDC"/>
    <w:rsid w:val="00107D71"/>
    <w:rsid w:val="00111B56"/>
    <w:rsid w:val="00112DB0"/>
    <w:rsid w:val="00113CC6"/>
    <w:rsid w:val="00115509"/>
    <w:rsid w:val="00122494"/>
    <w:rsid w:val="001227A2"/>
    <w:rsid w:val="00130B71"/>
    <w:rsid w:val="0013268E"/>
    <w:rsid w:val="001332E0"/>
    <w:rsid w:val="001361EC"/>
    <w:rsid w:val="00136920"/>
    <w:rsid w:val="00137533"/>
    <w:rsid w:val="00137D1A"/>
    <w:rsid w:val="00141701"/>
    <w:rsid w:val="00141901"/>
    <w:rsid w:val="00141FC4"/>
    <w:rsid w:val="00142092"/>
    <w:rsid w:val="00143091"/>
    <w:rsid w:val="00151E86"/>
    <w:rsid w:val="001522E5"/>
    <w:rsid w:val="00157474"/>
    <w:rsid w:val="00157872"/>
    <w:rsid w:val="0015792F"/>
    <w:rsid w:val="00157FCF"/>
    <w:rsid w:val="00163457"/>
    <w:rsid w:val="00165F7D"/>
    <w:rsid w:val="00170C78"/>
    <w:rsid w:val="00171362"/>
    <w:rsid w:val="001723D9"/>
    <w:rsid w:val="001741A2"/>
    <w:rsid w:val="001755F5"/>
    <w:rsid w:val="0017656C"/>
    <w:rsid w:val="001779DE"/>
    <w:rsid w:val="00180606"/>
    <w:rsid w:val="00190FCB"/>
    <w:rsid w:val="00191976"/>
    <w:rsid w:val="00192EE8"/>
    <w:rsid w:val="00195D1C"/>
    <w:rsid w:val="001A4839"/>
    <w:rsid w:val="001B07FA"/>
    <w:rsid w:val="001B1306"/>
    <w:rsid w:val="001B1B38"/>
    <w:rsid w:val="001B4319"/>
    <w:rsid w:val="001C3F1E"/>
    <w:rsid w:val="001C5888"/>
    <w:rsid w:val="001C5CBF"/>
    <w:rsid w:val="001D2755"/>
    <w:rsid w:val="001D4C35"/>
    <w:rsid w:val="001D4CF4"/>
    <w:rsid w:val="001D531D"/>
    <w:rsid w:val="001D5B3A"/>
    <w:rsid w:val="001D6241"/>
    <w:rsid w:val="001E01BF"/>
    <w:rsid w:val="001E0950"/>
    <w:rsid w:val="001E1436"/>
    <w:rsid w:val="001E19B8"/>
    <w:rsid w:val="001E2D4D"/>
    <w:rsid w:val="001E358A"/>
    <w:rsid w:val="001E3BCF"/>
    <w:rsid w:val="001E4608"/>
    <w:rsid w:val="001E757D"/>
    <w:rsid w:val="001E7B39"/>
    <w:rsid w:val="001F2B66"/>
    <w:rsid w:val="001F2E9D"/>
    <w:rsid w:val="00205820"/>
    <w:rsid w:val="00206CDC"/>
    <w:rsid w:val="002074E8"/>
    <w:rsid w:val="002113F3"/>
    <w:rsid w:val="002134AD"/>
    <w:rsid w:val="00214660"/>
    <w:rsid w:val="002164C9"/>
    <w:rsid w:val="002166A7"/>
    <w:rsid w:val="002174FB"/>
    <w:rsid w:val="002176EE"/>
    <w:rsid w:val="00220FCE"/>
    <w:rsid w:val="00226B53"/>
    <w:rsid w:val="00230C17"/>
    <w:rsid w:val="00230F3F"/>
    <w:rsid w:val="00231274"/>
    <w:rsid w:val="0023409D"/>
    <w:rsid w:val="002343CC"/>
    <w:rsid w:val="00236C6B"/>
    <w:rsid w:val="0023737D"/>
    <w:rsid w:val="00241142"/>
    <w:rsid w:val="002417E9"/>
    <w:rsid w:val="002425D9"/>
    <w:rsid w:val="00242B2A"/>
    <w:rsid w:val="002433E9"/>
    <w:rsid w:val="0024421F"/>
    <w:rsid w:val="00244239"/>
    <w:rsid w:val="002460C4"/>
    <w:rsid w:val="0024784F"/>
    <w:rsid w:val="00250844"/>
    <w:rsid w:val="0025482B"/>
    <w:rsid w:val="0025583F"/>
    <w:rsid w:val="00260B8B"/>
    <w:rsid w:val="002704BC"/>
    <w:rsid w:val="00271352"/>
    <w:rsid w:val="00273744"/>
    <w:rsid w:val="00274D5C"/>
    <w:rsid w:val="0027500D"/>
    <w:rsid w:val="00276753"/>
    <w:rsid w:val="00280921"/>
    <w:rsid w:val="00280FA9"/>
    <w:rsid w:val="00281DA0"/>
    <w:rsid w:val="00283C6C"/>
    <w:rsid w:val="00286F98"/>
    <w:rsid w:val="002872AB"/>
    <w:rsid w:val="002874A7"/>
    <w:rsid w:val="00287A9B"/>
    <w:rsid w:val="002928B0"/>
    <w:rsid w:val="00293549"/>
    <w:rsid w:val="002935AC"/>
    <w:rsid w:val="00293810"/>
    <w:rsid w:val="00294201"/>
    <w:rsid w:val="00297081"/>
    <w:rsid w:val="002A2137"/>
    <w:rsid w:val="002A30BA"/>
    <w:rsid w:val="002A52E5"/>
    <w:rsid w:val="002B0B67"/>
    <w:rsid w:val="002B13DC"/>
    <w:rsid w:val="002B1D9E"/>
    <w:rsid w:val="002B3EF6"/>
    <w:rsid w:val="002B623C"/>
    <w:rsid w:val="002B6F60"/>
    <w:rsid w:val="002C0FB2"/>
    <w:rsid w:val="002C59C8"/>
    <w:rsid w:val="002C5BC7"/>
    <w:rsid w:val="002C6896"/>
    <w:rsid w:val="002C68CD"/>
    <w:rsid w:val="002C78D6"/>
    <w:rsid w:val="002D080A"/>
    <w:rsid w:val="002D118E"/>
    <w:rsid w:val="002D1A6D"/>
    <w:rsid w:val="002D33B5"/>
    <w:rsid w:val="002D695F"/>
    <w:rsid w:val="002E2239"/>
    <w:rsid w:val="002E3777"/>
    <w:rsid w:val="002E5F41"/>
    <w:rsid w:val="002F0ECE"/>
    <w:rsid w:val="002F10F3"/>
    <w:rsid w:val="002F1CB0"/>
    <w:rsid w:val="002F38D6"/>
    <w:rsid w:val="002F4B60"/>
    <w:rsid w:val="002F53E5"/>
    <w:rsid w:val="002F5B8D"/>
    <w:rsid w:val="002F77BB"/>
    <w:rsid w:val="0030098D"/>
    <w:rsid w:val="00303DDD"/>
    <w:rsid w:val="003046FA"/>
    <w:rsid w:val="00305EE2"/>
    <w:rsid w:val="00307A79"/>
    <w:rsid w:val="00311B7A"/>
    <w:rsid w:val="0031388C"/>
    <w:rsid w:val="00315D81"/>
    <w:rsid w:val="003171C6"/>
    <w:rsid w:val="00323517"/>
    <w:rsid w:val="00324545"/>
    <w:rsid w:val="00325E0E"/>
    <w:rsid w:val="00327211"/>
    <w:rsid w:val="003313D6"/>
    <w:rsid w:val="003317F3"/>
    <w:rsid w:val="00333CA6"/>
    <w:rsid w:val="003353C4"/>
    <w:rsid w:val="0033707A"/>
    <w:rsid w:val="00344C55"/>
    <w:rsid w:val="00345DD0"/>
    <w:rsid w:val="00350ECD"/>
    <w:rsid w:val="00351274"/>
    <w:rsid w:val="00351D4D"/>
    <w:rsid w:val="003528BB"/>
    <w:rsid w:val="003556BF"/>
    <w:rsid w:val="0036335D"/>
    <w:rsid w:val="00365EC5"/>
    <w:rsid w:val="0036790F"/>
    <w:rsid w:val="00367A9B"/>
    <w:rsid w:val="00371920"/>
    <w:rsid w:val="00371D04"/>
    <w:rsid w:val="00373E11"/>
    <w:rsid w:val="003746C7"/>
    <w:rsid w:val="00375E86"/>
    <w:rsid w:val="003808B3"/>
    <w:rsid w:val="003831AF"/>
    <w:rsid w:val="003836D2"/>
    <w:rsid w:val="00387402"/>
    <w:rsid w:val="00387CE1"/>
    <w:rsid w:val="00390450"/>
    <w:rsid w:val="00390D04"/>
    <w:rsid w:val="00390D63"/>
    <w:rsid w:val="003936AA"/>
    <w:rsid w:val="0039391C"/>
    <w:rsid w:val="00393AA8"/>
    <w:rsid w:val="00394058"/>
    <w:rsid w:val="0039558D"/>
    <w:rsid w:val="00395872"/>
    <w:rsid w:val="00395C84"/>
    <w:rsid w:val="003965D8"/>
    <w:rsid w:val="0039694A"/>
    <w:rsid w:val="003971ED"/>
    <w:rsid w:val="00397A31"/>
    <w:rsid w:val="003A0372"/>
    <w:rsid w:val="003A6430"/>
    <w:rsid w:val="003A668B"/>
    <w:rsid w:val="003B3999"/>
    <w:rsid w:val="003B47B5"/>
    <w:rsid w:val="003C0A5E"/>
    <w:rsid w:val="003C1CDC"/>
    <w:rsid w:val="003C1EC8"/>
    <w:rsid w:val="003C2C6F"/>
    <w:rsid w:val="003C4A5D"/>
    <w:rsid w:val="003D1C54"/>
    <w:rsid w:val="003D1E00"/>
    <w:rsid w:val="003D5606"/>
    <w:rsid w:val="003D585F"/>
    <w:rsid w:val="003D5BB3"/>
    <w:rsid w:val="003E107D"/>
    <w:rsid w:val="003E22E5"/>
    <w:rsid w:val="003E24FA"/>
    <w:rsid w:val="003E7135"/>
    <w:rsid w:val="003F072C"/>
    <w:rsid w:val="003F1AD7"/>
    <w:rsid w:val="003F1FF8"/>
    <w:rsid w:val="003F3B96"/>
    <w:rsid w:val="003F46FC"/>
    <w:rsid w:val="003F57C8"/>
    <w:rsid w:val="00400E3E"/>
    <w:rsid w:val="00402487"/>
    <w:rsid w:val="00402731"/>
    <w:rsid w:val="00404F71"/>
    <w:rsid w:val="00407332"/>
    <w:rsid w:val="004074A3"/>
    <w:rsid w:val="004076A0"/>
    <w:rsid w:val="0041147B"/>
    <w:rsid w:val="00414017"/>
    <w:rsid w:val="004152D6"/>
    <w:rsid w:val="00415461"/>
    <w:rsid w:val="004202BD"/>
    <w:rsid w:val="00420FCE"/>
    <w:rsid w:val="004250A2"/>
    <w:rsid w:val="004273A4"/>
    <w:rsid w:val="004277A2"/>
    <w:rsid w:val="0042789C"/>
    <w:rsid w:val="00427EDF"/>
    <w:rsid w:val="004308F2"/>
    <w:rsid w:val="00430A32"/>
    <w:rsid w:val="004313F4"/>
    <w:rsid w:val="00433541"/>
    <w:rsid w:val="004342A5"/>
    <w:rsid w:val="00434FFB"/>
    <w:rsid w:val="00437706"/>
    <w:rsid w:val="004419A5"/>
    <w:rsid w:val="004435AB"/>
    <w:rsid w:val="00447BCA"/>
    <w:rsid w:val="0045524F"/>
    <w:rsid w:val="004603EF"/>
    <w:rsid w:val="00461E72"/>
    <w:rsid w:val="0046203B"/>
    <w:rsid w:val="00465B02"/>
    <w:rsid w:val="00465E2C"/>
    <w:rsid w:val="004665CB"/>
    <w:rsid w:val="00471ED9"/>
    <w:rsid w:val="00471F0C"/>
    <w:rsid w:val="00472774"/>
    <w:rsid w:val="0047593B"/>
    <w:rsid w:val="00477C04"/>
    <w:rsid w:val="004816A3"/>
    <w:rsid w:val="0048568F"/>
    <w:rsid w:val="00485FD0"/>
    <w:rsid w:val="00490693"/>
    <w:rsid w:val="00492729"/>
    <w:rsid w:val="00496642"/>
    <w:rsid w:val="00496C21"/>
    <w:rsid w:val="004971E2"/>
    <w:rsid w:val="004B07B3"/>
    <w:rsid w:val="004B0FC1"/>
    <w:rsid w:val="004B1C70"/>
    <w:rsid w:val="004B1F33"/>
    <w:rsid w:val="004B2234"/>
    <w:rsid w:val="004B630E"/>
    <w:rsid w:val="004C0343"/>
    <w:rsid w:val="004C0735"/>
    <w:rsid w:val="004C112F"/>
    <w:rsid w:val="004C1427"/>
    <w:rsid w:val="004C18F2"/>
    <w:rsid w:val="004C195C"/>
    <w:rsid w:val="004C64C9"/>
    <w:rsid w:val="004D1DA6"/>
    <w:rsid w:val="004D342D"/>
    <w:rsid w:val="004D4A1B"/>
    <w:rsid w:val="004D741C"/>
    <w:rsid w:val="004D78D2"/>
    <w:rsid w:val="004E1D14"/>
    <w:rsid w:val="004E5705"/>
    <w:rsid w:val="004E5735"/>
    <w:rsid w:val="004F23C3"/>
    <w:rsid w:val="004F6C86"/>
    <w:rsid w:val="004F7926"/>
    <w:rsid w:val="004F7BA5"/>
    <w:rsid w:val="004F7C15"/>
    <w:rsid w:val="0050019F"/>
    <w:rsid w:val="00500D31"/>
    <w:rsid w:val="00504022"/>
    <w:rsid w:val="00505347"/>
    <w:rsid w:val="005066F5"/>
    <w:rsid w:val="00507467"/>
    <w:rsid w:val="00507919"/>
    <w:rsid w:val="0051005E"/>
    <w:rsid w:val="00510410"/>
    <w:rsid w:val="00511ADA"/>
    <w:rsid w:val="005171D7"/>
    <w:rsid w:val="00517D2B"/>
    <w:rsid w:val="00517D6E"/>
    <w:rsid w:val="00522612"/>
    <w:rsid w:val="00526A13"/>
    <w:rsid w:val="00527270"/>
    <w:rsid w:val="00531C67"/>
    <w:rsid w:val="005336C4"/>
    <w:rsid w:val="0053547F"/>
    <w:rsid w:val="005356CB"/>
    <w:rsid w:val="005455EB"/>
    <w:rsid w:val="00546711"/>
    <w:rsid w:val="005515C0"/>
    <w:rsid w:val="00551CE2"/>
    <w:rsid w:val="00553E5F"/>
    <w:rsid w:val="00553F42"/>
    <w:rsid w:val="0056184C"/>
    <w:rsid w:val="00561988"/>
    <w:rsid w:val="0056395A"/>
    <w:rsid w:val="0056675C"/>
    <w:rsid w:val="00567E8E"/>
    <w:rsid w:val="00570794"/>
    <w:rsid w:val="00571800"/>
    <w:rsid w:val="005727BF"/>
    <w:rsid w:val="00582088"/>
    <w:rsid w:val="00582396"/>
    <w:rsid w:val="00582CD7"/>
    <w:rsid w:val="0059071A"/>
    <w:rsid w:val="00591858"/>
    <w:rsid w:val="0059200B"/>
    <w:rsid w:val="00593B18"/>
    <w:rsid w:val="005945E1"/>
    <w:rsid w:val="005A1B69"/>
    <w:rsid w:val="005A1CA6"/>
    <w:rsid w:val="005A30E2"/>
    <w:rsid w:val="005A3AA3"/>
    <w:rsid w:val="005A6B3B"/>
    <w:rsid w:val="005B296B"/>
    <w:rsid w:val="005B7FDF"/>
    <w:rsid w:val="005C10D5"/>
    <w:rsid w:val="005C1ACE"/>
    <w:rsid w:val="005C2BD1"/>
    <w:rsid w:val="005C71CA"/>
    <w:rsid w:val="005C77BB"/>
    <w:rsid w:val="005D0844"/>
    <w:rsid w:val="005D169F"/>
    <w:rsid w:val="005D3D61"/>
    <w:rsid w:val="005D5F12"/>
    <w:rsid w:val="005D6073"/>
    <w:rsid w:val="005D784E"/>
    <w:rsid w:val="005E0752"/>
    <w:rsid w:val="005E1542"/>
    <w:rsid w:val="005E19E2"/>
    <w:rsid w:val="005E441B"/>
    <w:rsid w:val="005E5E78"/>
    <w:rsid w:val="005F32F8"/>
    <w:rsid w:val="005F3D98"/>
    <w:rsid w:val="005F4359"/>
    <w:rsid w:val="005F5998"/>
    <w:rsid w:val="00602DCF"/>
    <w:rsid w:val="006042C2"/>
    <w:rsid w:val="00604E86"/>
    <w:rsid w:val="00611B80"/>
    <w:rsid w:val="00612FA4"/>
    <w:rsid w:val="00613EE7"/>
    <w:rsid w:val="00614CB6"/>
    <w:rsid w:val="006172C5"/>
    <w:rsid w:val="00617D2B"/>
    <w:rsid w:val="00622763"/>
    <w:rsid w:val="006235C8"/>
    <w:rsid w:val="00624905"/>
    <w:rsid w:val="00625347"/>
    <w:rsid w:val="006268B4"/>
    <w:rsid w:val="0062707A"/>
    <w:rsid w:val="006300E0"/>
    <w:rsid w:val="00630725"/>
    <w:rsid w:val="006318BB"/>
    <w:rsid w:val="00635612"/>
    <w:rsid w:val="00635EF7"/>
    <w:rsid w:val="0063657D"/>
    <w:rsid w:val="006367CF"/>
    <w:rsid w:val="00640731"/>
    <w:rsid w:val="006409B3"/>
    <w:rsid w:val="0064117E"/>
    <w:rsid w:val="00642420"/>
    <w:rsid w:val="006427D6"/>
    <w:rsid w:val="006479AC"/>
    <w:rsid w:val="00650720"/>
    <w:rsid w:val="00651314"/>
    <w:rsid w:val="00651E5F"/>
    <w:rsid w:val="00653E78"/>
    <w:rsid w:val="006571CB"/>
    <w:rsid w:val="006635B8"/>
    <w:rsid w:val="006663C5"/>
    <w:rsid w:val="00667367"/>
    <w:rsid w:val="0066743A"/>
    <w:rsid w:val="006700D7"/>
    <w:rsid w:val="006710AA"/>
    <w:rsid w:val="00672FE8"/>
    <w:rsid w:val="00675907"/>
    <w:rsid w:val="00683847"/>
    <w:rsid w:val="006838E9"/>
    <w:rsid w:val="00683E5F"/>
    <w:rsid w:val="00686570"/>
    <w:rsid w:val="00686795"/>
    <w:rsid w:val="00690C55"/>
    <w:rsid w:val="00693340"/>
    <w:rsid w:val="00694FEB"/>
    <w:rsid w:val="0069617A"/>
    <w:rsid w:val="00696CEA"/>
    <w:rsid w:val="006A255C"/>
    <w:rsid w:val="006A2BC6"/>
    <w:rsid w:val="006A49AB"/>
    <w:rsid w:val="006A4B9B"/>
    <w:rsid w:val="006A7B82"/>
    <w:rsid w:val="006B1DED"/>
    <w:rsid w:val="006B2866"/>
    <w:rsid w:val="006B5EC5"/>
    <w:rsid w:val="006B7BC9"/>
    <w:rsid w:val="006C0318"/>
    <w:rsid w:val="006C15C4"/>
    <w:rsid w:val="006C192F"/>
    <w:rsid w:val="006C196D"/>
    <w:rsid w:val="006C40A4"/>
    <w:rsid w:val="006C6CCB"/>
    <w:rsid w:val="006D191D"/>
    <w:rsid w:val="006D2294"/>
    <w:rsid w:val="006D3F1D"/>
    <w:rsid w:val="006D688D"/>
    <w:rsid w:val="006E0237"/>
    <w:rsid w:val="006E0CF7"/>
    <w:rsid w:val="006E3720"/>
    <w:rsid w:val="006E6815"/>
    <w:rsid w:val="006E699E"/>
    <w:rsid w:val="006E74C7"/>
    <w:rsid w:val="006F0567"/>
    <w:rsid w:val="006F153D"/>
    <w:rsid w:val="006F2575"/>
    <w:rsid w:val="006F43B0"/>
    <w:rsid w:val="006F5AFE"/>
    <w:rsid w:val="00703452"/>
    <w:rsid w:val="007034B3"/>
    <w:rsid w:val="007075A2"/>
    <w:rsid w:val="00707D3D"/>
    <w:rsid w:val="00707FAD"/>
    <w:rsid w:val="00711AE8"/>
    <w:rsid w:val="007128F7"/>
    <w:rsid w:val="007145E8"/>
    <w:rsid w:val="007146C5"/>
    <w:rsid w:val="007169C2"/>
    <w:rsid w:val="0071713D"/>
    <w:rsid w:val="00724B2C"/>
    <w:rsid w:val="00726E9E"/>
    <w:rsid w:val="007316F6"/>
    <w:rsid w:val="00731BE4"/>
    <w:rsid w:val="0073326A"/>
    <w:rsid w:val="00734238"/>
    <w:rsid w:val="00737409"/>
    <w:rsid w:val="0074112F"/>
    <w:rsid w:val="007414E1"/>
    <w:rsid w:val="00741E5F"/>
    <w:rsid w:val="007426A8"/>
    <w:rsid w:val="0074753E"/>
    <w:rsid w:val="007479A1"/>
    <w:rsid w:val="00747E7D"/>
    <w:rsid w:val="00750791"/>
    <w:rsid w:val="00751AB6"/>
    <w:rsid w:val="00752137"/>
    <w:rsid w:val="00752190"/>
    <w:rsid w:val="00755312"/>
    <w:rsid w:val="00755E2D"/>
    <w:rsid w:val="00757C6E"/>
    <w:rsid w:val="00761212"/>
    <w:rsid w:val="00763484"/>
    <w:rsid w:val="00764222"/>
    <w:rsid w:val="00764469"/>
    <w:rsid w:val="007669B7"/>
    <w:rsid w:val="00766AE2"/>
    <w:rsid w:val="00766B37"/>
    <w:rsid w:val="007711F9"/>
    <w:rsid w:val="0077277E"/>
    <w:rsid w:val="007743D8"/>
    <w:rsid w:val="0077508F"/>
    <w:rsid w:val="00777A92"/>
    <w:rsid w:val="00782F3E"/>
    <w:rsid w:val="007844F0"/>
    <w:rsid w:val="007850A3"/>
    <w:rsid w:val="0078671E"/>
    <w:rsid w:val="0078787C"/>
    <w:rsid w:val="00795E8D"/>
    <w:rsid w:val="007969E9"/>
    <w:rsid w:val="007A21EC"/>
    <w:rsid w:val="007A259C"/>
    <w:rsid w:val="007A2B73"/>
    <w:rsid w:val="007A2DBD"/>
    <w:rsid w:val="007A5520"/>
    <w:rsid w:val="007A5C0F"/>
    <w:rsid w:val="007B1509"/>
    <w:rsid w:val="007B2955"/>
    <w:rsid w:val="007B4DA3"/>
    <w:rsid w:val="007B6304"/>
    <w:rsid w:val="007B66D4"/>
    <w:rsid w:val="007B6FB8"/>
    <w:rsid w:val="007C1F94"/>
    <w:rsid w:val="007C3C8C"/>
    <w:rsid w:val="007C5AB5"/>
    <w:rsid w:val="007C6371"/>
    <w:rsid w:val="007C6C88"/>
    <w:rsid w:val="007C79C8"/>
    <w:rsid w:val="007D0507"/>
    <w:rsid w:val="007D0737"/>
    <w:rsid w:val="007D1681"/>
    <w:rsid w:val="007D505F"/>
    <w:rsid w:val="007D52D4"/>
    <w:rsid w:val="007D5937"/>
    <w:rsid w:val="007D5F84"/>
    <w:rsid w:val="007E054B"/>
    <w:rsid w:val="007E1ED8"/>
    <w:rsid w:val="007E62B0"/>
    <w:rsid w:val="007F28EB"/>
    <w:rsid w:val="007F3B53"/>
    <w:rsid w:val="007F4348"/>
    <w:rsid w:val="007F66FC"/>
    <w:rsid w:val="00800C4C"/>
    <w:rsid w:val="00802FDE"/>
    <w:rsid w:val="00804AB0"/>
    <w:rsid w:val="008059D3"/>
    <w:rsid w:val="00806DC6"/>
    <w:rsid w:val="0081093F"/>
    <w:rsid w:val="008111C7"/>
    <w:rsid w:val="00811961"/>
    <w:rsid w:val="008132B7"/>
    <w:rsid w:val="00817DDB"/>
    <w:rsid w:val="00821C79"/>
    <w:rsid w:val="0082284C"/>
    <w:rsid w:val="00822E72"/>
    <w:rsid w:val="008230C8"/>
    <w:rsid w:val="00824401"/>
    <w:rsid w:val="00827AAA"/>
    <w:rsid w:val="00831AD3"/>
    <w:rsid w:val="00834A44"/>
    <w:rsid w:val="00835E6E"/>
    <w:rsid w:val="00840882"/>
    <w:rsid w:val="00845281"/>
    <w:rsid w:val="00846937"/>
    <w:rsid w:val="00846FE7"/>
    <w:rsid w:val="0085001E"/>
    <w:rsid w:val="008518E3"/>
    <w:rsid w:val="00852682"/>
    <w:rsid w:val="00854C7D"/>
    <w:rsid w:val="008560AD"/>
    <w:rsid w:val="008569B2"/>
    <w:rsid w:val="00860042"/>
    <w:rsid w:val="00860419"/>
    <w:rsid w:val="008629D4"/>
    <w:rsid w:val="00864344"/>
    <w:rsid w:val="00864552"/>
    <w:rsid w:val="0086464D"/>
    <w:rsid w:val="00865637"/>
    <w:rsid w:val="00867E6F"/>
    <w:rsid w:val="00870071"/>
    <w:rsid w:val="0087032D"/>
    <w:rsid w:val="00870F74"/>
    <w:rsid w:val="00871CB9"/>
    <w:rsid w:val="00873094"/>
    <w:rsid w:val="008747FC"/>
    <w:rsid w:val="00875E38"/>
    <w:rsid w:val="00882FC7"/>
    <w:rsid w:val="00883A1C"/>
    <w:rsid w:val="00884AF8"/>
    <w:rsid w:val="00887C51"/>
    <w:rsid w:val="00890099"/>
    <w:rsid w:val="00890BCF"/>
    <w:rsid w:val="00891AB4"/>
    <w:rsid w:val="008931AA"/>
    <w:rsid w:val="00895274"/>
    <w:rsid w:val="008952CE"/>
    <w:rsid w:val="008961A8"/>
    <w:rsid w:val="0089703C"/>
    <w:rsid w:val="008A02A3"/>
    <w:rsid w:val="008A17DF"/>
    <w:rsid w:val="008A2567"/>
    <w:rsid w:val="008A2CF7"/>
    <w:rsid w:val="008A41D3"/>
    <w:rsid w:val="008A4B65"/>
    <w:rsid w:val="008A512D"/>
    <w:rsid w:val="008A59CD"/>
    <w:rsid w:val="008A5A27"/>
    <w:rsid w:val="008B10AE"/>
    <w:rsid w:val="008B243B"/>
    <w:rsid w:val="008B4F2C"/>
    <w:rsid w:val="008B5231"/>
    <w:rsid w:val="008B69FE"/>
    <w:rsid w:val="008C0065"/>
    <w:rsid w:val="008C28F0"/>
    <w:rsid w:val="008C2C57"/>
    <w:rsid w:val="008C3E18"/>
    <w:rsid w:val="008C5200"/>
    <w:rsid w:val="008C5717"/>
    <w:rsid w:val="008D2E9D"/>
    <w:rsid w:val="008D3DF2"/>
    <w:rsid w:val="008E3614"/>
    <w:rsid w:val="008E3DC9"/>
    <w:rsid w:val="008E6231"/>
    <w:rsid w:val="008F33C7"/>
    <w:rsid w:val="008F5759"/>
    <w:rsid w:val="0090480C"/>
    <w:rsid w:val="00904C39"/>
    <w:rsid w:val="00907753"/>
    <w:rsid w:val="00907EB9"/>
    <w:rsid w:val="009138C3"/>
    <w:rsid w:val="009148C0"/>
    <w:rsid w:val="0092506C"/>
    <w:rsid w:val="0092535F"/>
    <w:rsid w:val="00926D17"/>
    <w:rsid w:val="009275EE"/>
    <w:rsid w:val="00930673"/>
    <w:rsid w:val="009323A1"/>
    <w:rsid w:val="00932686"/>
    <w:rsid w:val="00940D77"/>
    <w:rsid w:val="009410F5"/>
    <w:rsid w:val="00941224"/>
    <w:rsid w:val="00945DEC"/>
    <w:rsid w:val="00955360"/>
    <w:rsid w:val="0095751A"/>
    <w:rsid w:val="009619E6"/>
    <w:rsid w:val="0096249E"/>
    <w:rsid w:val="009640FC"/>
    <w:rsid w:val="0096442A"/>
    <w:rsid w:val="00966650"/>
    <w:rsid w:val="009673E0"/>
    <w:rsid w:val="00970750"/>
    <w:rsid w:val="00971CB0"/>
    <w:rsid w:val="009732E4"/>
    <w:rsid w:val="009747C3"/>
    <w:rsid w:val="009809BE"/>
    <w:rsid w:val="00981981"/>
    <w:rsid w:val="009842EF"/>
    <w:rsid w:val="00984820"/>
    <w:rsid w:val="00986856"/>
    <w:rsid w:val="009871F1"/>
    <w:rsid w:val="00987260"/>
    <w:rsid w:val="00990B29"/>
    <w:rsid w:val="00990EE5"/>
    <w:rsid w:val="00992A04"/>
    <w:rsid w:val="0099399D"/>
    <w:rsid w:val="009A7A3F"/>
    <w:rsid w:val="009B0094"/>
    <w:rsid w:val="009B0519"/>
    <w:rsid w:val="009B12B6"/>
    <w:rsid w:val="009B171B"/>
    <w:rsid w:val="009B1CB5"/>
    <w:rsid w:val="009B7070"/>
    <w:rsid w:val="009C0BBB"/>
    <w:rsid w:val="009C0C32"/>
    <w:rsid w:val="009C1371"/>
    <w:rsid w:val="009C3AD0"/>
    <w:rsid w:val="009C3B53"/>
    <w:rsid w:val="009C4F29"/>
    <w:rsid w:val="009D095E"/>
    <w:rsid w:val="009D4973"/>
    <w:rsid w:val="009D63B2"/>
    <w:rsid w:val="009D676C"/>
    <w:rsid w:val="009D6E0F"/>
    <w:rsid w:val="009D7EEE"/>
    <w:rsid w:val="009E2D36"/>
    <w:rsid w:val="009E6A8A"/>
    <w:rsid w:val="009F0CDD"/>
    <w:rsid w:val="009F356B"/>
    <w:rsid w:val="009F3FA5"/>
    <w:rsid w:val="009F5C75"/>
    <w:rsid w:val="009F6E9B"/>
    <w:rsid w:val="00A0179D"/>
    <w:rsid w:val="00A0213B"/>
    <w:rsid w:val="00A02DFE"/>
    <w:rsid w:val="00A0413C"/>
    <w:rsid w:val="00A04BF2"/>
    <w:rsid w:val="00A07C8D"/>
    <w:rsid w:val="00A107E5"/>
    <w:rsid w:val="00A122E5"/>
    <w:rsid w:val="00A12C22"/>
    <w:rsid w:val="00A13BEA"/>
    <w:rsid w:val="00A13D65"/>
    <w:rsid w:val="00A13EF7"/>
    <w:rsid w:val="00A21B13"/>
    <w:rsid w:val="00A22867"/>
    <w:rsid w:val="00A2411C"/>
    <w:rsid w:val="00A26C75"/>
    <w:rsid w:val="00A2785C"/>
    <w:rsid w:val="00A30E4D"/>
    <w:rsid w:val="00A31DC7"/>
    <w:rsid w:val="00A34172"/>
    <w:rsid w:val="00A35353"/>
    <w:rsid w:val="00A3685A"/>
    <w:rsid w:val="00A3691F"/>
    <w:rsid w:val="00A36AEC"/>
    <w:rsid w:val="00A40AA9"/>
    <w:rsid w:val="00A4191C"/>
    <w:rsid w:val="00A42EAF"/>
    <w:rsid w:val="00A444AF"/>
    <w:rsid w:val="00A45814"/>
    <w:rsid w:val="00A46409"/>
    <w:rsid w:val="00A50270"/>
    <w:rsid w:val="00A522AE"/>
    <w:rsid w:val="00A52ADF"/>
    <w:rsid w:val="00A530C3"/>
    <w:rsid w:val="00A550F9"/>
    <w:rsid w:val="00A571F3"/>
    <w:rsid w:val="00A57821"/>
    <w:rsid w:val="00A57F8D"/>
    <w:rsid w:val="00A63752"/>
    <w:rsid w:val="00A63A51"/>
    <w:rsid w:val="00A64317"/>
    <w:rsid w:val="00A656E1"/>
    <w:rsid w:val="00A70F09"/>
    <w:rsid w:val="00A7111A"/>
    <w:rsid w:val="00A71D99"/>
    <w:rsid w:val="00A74B1A"/>
    <w:rsid w:val="00A7567D"/>
    <w:rsid w:val="00A80A4E"/>
    <w:rsid w:val="00A80DAC"/>
    <w:rsid w:val="00A8169C"/>
    <w:rsid w:val="00A83DB9"/>
    <w:rsid w:val="00A8472C"/>
    <w:rsid w:val="00A855B9"/>
    <w:rsid w:val="00A85CDE"/>
    <w:rsid w:val="00A95404"/>
    <w:rsid w:val="00A9588A"/>
    <w:rsid w:val="00AA04B1"/>
    <w:rsid w:val="00AA19EE"/>
    <w:rsid w:val="00AA2654"/>
    <w:rsid w:val="00AA3384"/>
    <w:rsid w:val="00AA606A"/>
    <w:rsid w:val="00AA7F44"/>
    <w:rsid w:val="00AC03F4"/>
    <w:rsid w:val="00AC22B9"/>
    <w:rsid w:val="00AC3AD8"/>
    <w:rsid w:val="00AC4EB1"/>
    <w:rsid w:val="00AC5199"/>
    <w:rsid w:val="00AC56AC"/>
    <w:rsid w:val="00AC5F72"/>
    <w:rsid w:val="00AC6B3F"/>
    <w:rsid w:val="00AD3428"/>
    <w:rsid w:val="00AD76BB"/>
    <w:rsid w:val="00AD7B73"/>
    <w:rsid w:val="00AE423F"/>
    <w:rsid w:val="00AE73BC"/>
    <w:rsid w:val="00AF1331"/>
    <w:rsid w:val="00AF3499"/>
    <w:rsid w:val="00AF36AB"/>
    <w:rsid w:val="00AF40A9"/>
    <w:rsid w:val="00AF50CE"/>
    <w:rsid w:val="00AF6BEF"/>
    <w:rsid w:val="00AF7CC4"/>
    <w:rsid w:val="00B06565"/>
    <w:rsid w:val="00B06AFD"/>
    <w:rsid w:val="00B06C7A"/>
    <w:rsid w:val="00B07271"/>
    <w:rsid w:val="00B119AF"/>
    <w:rsid w:val="00B12CA8"/>
    <w:rsid w:val="00B1398F"/>
    <w:rsid w:val="00B14272"/>
    <w:rsid w:val="00B15978"/>
    <w:rsid w:val="00B24C21"/>
    <w:rsid w:val="00B24CAC"/>
    <w:rsid w:val="00B255C5"/>
    <w:rsid w:val="00B306EC"/>
    <w:rsid w:val="00B36649"/>
    <w:rsid w:val="00B36D73"/>
    <w:rsid w:val="00B410D2"/>
    <w:rsid w:val="00B546B0"/>
    <w:rsid w:val="00B61EF2"/>
    <w:rsid w:val="00B62C9F"/>
    <w:rsid w:val="00B65CF9"/>
    <w:rsid w:val="00B70A61"/>
    <w:rsid w:val="00B72666"/>
    <w:rsid w:val="00B72DCD"/>
    <w:rsid w:val="00B7393A"/>
    <w:rsid w:val="00B77D03"/>
    <w:rsid w:val="00B81740"/>
    <w:rsid w:val="00B8187E"/>
    <w:rsid w:val="00B954A3"/>
    <w:rsid w:val="00B96479"/>
    <w:rsid w:val="00B97A2C"/>
    <w:rsid w:val="00BA38CC"/>
    <w:rsid w:val="00BA4AD4"/>
    <w:rsid w:val="00BA54C2"/>
    <w:rsid w:val="00BA65E5"/>
    <w:rsid w:val="00BB2860"/>
    <w:rsid w:val="00BB3D00"/>
    <w:rsid w:val="00BB3ED6"/>
    <w:rsid w:val="00BB5044"/>
    <w:rsid w:val="00BB6524"/>
    <w:rsid w:val="00BC0313"/>
    <w:rsid w:val="00BC0766"/>
    <w:rsid w:val="00BC1A23"/>
    <w:rsid w:val="00BC2856"/>
    <w:rsid w:val="00BC2E4A"/>
    <w:rsid w:val="00BC3F1E"/>
    <w:rsid w:val="00BD0751"/>
    <w:rsid w:val="00BD0A06"/>
    <w:rsid w:val="00BD116D"/>
    <w:rsid w:val="00BD2742"/>
    <w:rsid w:val="00BD2F0C"/>
    <w:rsid w:val="00BD38FF"/>
    <w:rsid w:val="00BE172E"/>
    <w:rsid w:val="00BE18F0"/>
    <w:rsid w:val="00BE1D91"/>
    <w:rsid w:val="00BE26F6"/>
    <w:rsid w:val="00BE5BC9"/>
    <w:rsid w:val="00BF3D20"/>
    <w:rsid w:val="00C000AA"/>
    <w:rsid w:val="00C008B5"/>
    <w:rsid w:val="00C00A30"/>
    <w:rsid w:val="00C016DB"/>
    <w:rsid w:val="00C062B9"/>
    <w:rsid w:val="00C17225"/>
    <w:rsid w:val="00C2087B"/>
    <w:rsid w:val="00C21763"/>
    <w:rsid w:val="00C23B44"/>
    <w:rsid w:val="00C2649F"/>
    <w:rsid w:val="00C27529"/>
    <w:rsid w:val="00C2772D"/>
    <w:rsid w:val="00C31BAC"/>
    <w:rsid w:val="00C44E1D"/>
    <w:rsid w:val="00C50130"/>
    <w:rsid w:val="00C57052"/>
    <w:rsid w:val="00C65BE8"/>
    <w:rsid w:val="00C705E5"/>
    <w:rsid w:val="00C711DE"/>
    <w:rsid w:val="00C743D2"/>
    <w:rsid w:val="00C758F3"/>
    <w:rsid w:val="00C75A07"/>
    <w:rsid w:val="00C76AC7"/>
    <w:rsid w:val="00C82C11"/>
    <w:rsid w:val="00C83621"/>
    <w:rsid w:val="00C85AFC"/>
    <w:rsid w:val="00C92831"/>
    <w:rsid w:val="00C93E28"/>
    <w:rsid w:val="00C94B61"/>
    <w:rsid w:val="00C97C3D"/>
    <w:rsid w:val="00CA0A5B"/>
    <w:rsid w:val="00CA1F1C"/>
    <w:rsid w:val="00CA4FAE"/>
    <w:rsid w:val="00CA66D9"/>
    <w:rsid w:val="00CA67CC"/>
    <w:rsid w:val="00CB26AE"/>
    <w:rsid w:val="00CB3CB6"/>
    <w:rsid w:val="00CB4F57"/>
    <w:rsid w:val="00CB5BF1"/>
    <w:rsid w:val="00CC0025"/>
    <w:rsid w:val="00CC11FA"/>
    <w:rsid w:val="00CC6810"/>
    <w:rsid w:val="00CC6BC8"/>
    <w:rsid w:val="00CD05A2"/>
    <w:rsid w:val="00CD26D5"/>
    <w:rsid w:val="00CD423B"/>
    <w:rsid w:val="00CD56AF"/>
    <w:rsid w:val="00CE1B1C"/>
    <w:rsid w:val="00CE2639"/>
    <w:rsid w:val="00CE5B6B"/>
    <w:rsid w:val="00CF04CD"/>
    <w:rsid w:val="00CF0D81"/>
    <w:rsid w:val="00CF16E1"/>
    <w:rsid w:val="00CF36C7"/>
    <w:rsid w:val="00CF6157"/>
    <w:rsid w:val="00CF6524"/>
    <w:rsid w:val="00CF69FF"/>
    <w:rsid w:val="00D00543"/>
    <w:rsid w:val="00D01D98"/>
    <w:rsid w:val="00D02601"/>
    <w:rsid w:val="00D03C38"/>
    <w:rsid w:val="00D04320"/>
    <w:rsid w:val="00D04933"/>
    <w:rsid w:val="00D11D67"/>
    <w:rsid w:val="00D12376"/>
    <w:rsid w:val="00D152E9"/>
    <w:rsid w:val="00D21B7A"/>
    <w:rsid w:val="00D230FF"/>
    <w:rsid w:val="00D25869"/>
    <w:rsid w:val="00D25E52"/>
    <w:rsid w:val="00D33AF3"/>
    <w:rsid w:val="00D33B27"/>
    <w:rsid w:val="00D33EC0"/>
    <w:rsid w:val="00D34E72"/>
    <w:rsid w:val="00D366DF"/>
    <w:rsid w:val="00D37F43"/>
    <w:rsid w:val="00D4083B"/>
    <w:rsid w:val="00D43097"/>
    <w:rsid w:val="00D53F23"/>
    <w:rsid w:val="00D622AA"/>
    <w:rsid w:val="00D62D5A"/>
    <w:rsid w:val="00D62F54"/>
    <w:rsid w:val="00D67592"/>
    <w:rsid w:val="00D7166A"/>
    <w:rsid w:val="00D71A86"/>
    <w:rsid w:val="00D73A93"/>
    <w:rsid w:val="00D74F47"/>
    <w:rsid w:val="00D750C3"/>
    <w:rsid w:val="00D77E17"/>
    <w:rsid w:val="00D821E4"/>
    <w:rsid w:val="00D844DE"/>
    <w:rsid w:val="00D85918"/>
    <w:rsid w:val="00D85956"/>
    <w:rsid w:val="00D85D04"/>
    <w:rsid w:val="00D86E89"/>
    <w:rsid w:val="00D92D54"/>
    <w:rsid w:val="00D93403"/>
    <w:rsid w:val="00D962B8"/>
    <w:rsid w:val="00DA0E06"/>
    <w:rsid w:val="00DA12B9"/>
    <w:rsid w:val="00DA3496"/>
    <w:rsid w:val="00DA38C1"/>
    <w:rsid w:val="00DA6C77"/>
    <w:rsid w:val="00DB0A95"/>
    <w:rsid w:val="00DB10C7"/>
    <w:rsid w:val="00DB6B6C"/>
    <w:rsid w:val="00DB7BF2"/>
    <w:rsid w:val="00DC281D"/>
    <w:rsid w:val="00DC62C1"/>
    <w:rsid w:val="00DC7C91"/>
    <w:rsid w:val="00DD1653"/>
    <w:rsid w:val="00DD30AE"/>
    <w:rsid w:val="00DD3BA1"/>
    <w:rsid w:val="00DD4EA6"/>
    <w:rsid w:val="00DD5513"/>
    <w:rsid w:val="00DD6655"/>
    <w:rsid w:val="00DD6CB7"/>
    <w:rsid w:val="00DE0044"/>
    <w:rsid w:val="00DE5029"/>
    <w:rsid w:val="00DE56DD"/>
    <w:rsid w:val="00DE6EBD"/>
    <w:rsid w:val="00DE7013"/>
    <w:rsid w:val="00DF00CB"/>
    <w:rsid w:val="00DF0B43"/>
    <w:rsid w:val="00DF4A20"/>
    <w:rsid w:val="00DF5D0C"/>
    <w:rsid w:val="00DF647C"/>
    <w:rsid w:val="00E011D5"/>
    <w:rsid w:val="00E01652"/>
    <w:rsid w:val="00E020D6"/>
    <w:rsid w:val="00E06F37"/>
    <w:rsid w:val="00E07769"/>
    <w:rsid w:val="00E1142A"/>
    <w:rsid w:val="00E12C1E"/>
    <w:rsid w:val="00E12D6C"/>
    <w:rsid w:val="00E14E23"/>
    <w:rsid w:val="00E15879"/>
    <w:rsid w:val="00E166CD"/>
    <w:rsid w:val="00E17D90"/>
    <w:rsid w:val="00E2336E"/>
    <w:rsid w:val="00E24AA1"/>
    <w:rsid w:val="00E25E8D"/>
    <w:rsid w:val="00E26B56"/>
    <w:rsid w:val="00E27D54"/>
    <w:rsid w:val="00E310B2"/>
    <w:rsid w:val="00E32574"/>
    <w:rsid w:val="00E326A8"/>
    <w:rsid w:val="00E34192"/>
    <w:rsid w:val="00E37C79"/>
    <w:rsid w:val="00E50554"/>
    <w:rsid w:val="00E506CA"/>
    <w:rsid w:val="00E55479"/>
    <w:rsid w:val="00E559D1"/>
    <w:rsid w:val="00E57971"/>
    <w:rsid w:val="00E618DD"/>
    <w:rsid w:val="00E61A46"/>
    <w:rsid w:val="00E62634"/>
    <w:rsid w:val="00E62F02"/>
    <w:rsid w:val="00E6391B"/>
    <w:rsid w:val="00E63D80"/>
    <w:rsid w:val="00E6407C"/>
    <w:rsid w:val="00E66757"/>
    <w:rsid w:val="00E67ACA"/>
    <w:rsid w:val="00E72862"/>
    <w:rsid w:val="00E74773"/>
    <w:rsid w:val="00E76FD8"/>
    <w:rsid w:val="00E7751B"/>
    <w:rsid w:val="00E81B84"/>
    <w:rsid w:val="00E84105"/>
    <w:rsid w:val="00E847C9"/>
    <w:rsid w:val="00E85938"/>
    <w:rsid w:val="00E9130F"/>
    <w:rsid w:val="00E91419"/>
    <w:rsid w:val="00E92E7C"/>
    <w:rsid w:val="00E93DEB"/>
    <w:rsid w:val="00E94213"/>
    <w:rsid w:val="00E95EB2"/>
    <w:rsid w:val="00E978B5"/>
    <w:rsid w:val="00E97EDD"/>
    <w:rsid w:val="00E97EE4"/>
    <w:rsid w:val="00EA1835"/>
    <w:rsid w:val="00EA21F9"/>
    <w:rsid w:val="00EA660F"/>
    <w:rsid w:val="00EB5140"/>
    <w:rsid w:val="00EB5DCE"/>
    <w:rsid w:val="00EB6C83"/>
    <w:rsid w:val="00EC1A80"/>
    <w:rsid w:val="00EC2648"/>
    <w:rsid w:val="00EC29E9"/>
    <w:rsid w:val="00EC41B5"/>
    <w:rsid w:val="00EC5508"/>
    <w:rsid w:val="00ED4806"/>
    <w:rsid w:val="00ED4F70"/>
    <w:rsid w:val="00ED5E39"/>
    <w:rsid w:val="00EE0FE7"/>
    <w:rsid w:val="00EE1964"/>
    <w:rsid w:val="00EE1E30"/>
    <w:rsid w:val="00EE2906"/>
    <w:rsid w:val="00EE3E51"/>
    <w:rsid w:val="00EE3F5E"/>
    <w:rsid w:val="00EE5A1C"/>
    <w:rsid w:val="00EE7549"/>
    <w:rsid w:val="00EF3145"/>
    <w:rsid w:val="00EF4DAE"/>
    <w:rsid w:val="00EF50E8"/>
    <w:rsid w:val="00EF51F6"/>
    <w:rsid w:val="00EF6DB8"/>
    <w:rsid w:val="00F00290"/>
    <w:rsid w:val="00F0480B"/>
    <w:rsid w:val="00F04C67"/>
    <w:rsid w:val="00F04F60"/>
    <w:rsid w:val="00F11908"/>
    <w:rsid w:val="00F121A4"/>
    <w:rsid w:val="00F125AE"/>
    <w:rsid w:val="00F13B60"/>
    <w:rsid w:val="00F153A0"/>
    <w:rsid w:val="00F15B26"/>
    <w:rsid w:val="00F16C15"/>
    <w:rsid w:val="00F20132"/>
    <w:rsid w:val="00F209F8"/>
    <w:rsid w:val="00F22E43"/>
    <w:rsid w:val="00F22F58"/>
    <w:rsid w:val="00F23F27"/>
    <w:rsid w:val="00F254C2"/>
    <w:rsid w:val="00F325DD"/>
    <w:rsid w:val="00F333A7"/>
    <w:rsid w:val="00F348B4"/>
    <w:rsid w:val="00F41DE3"/>
    <w:rsid w:val="00F426D8"/>
    <w:rsid w:val="00F42B47"/>
    <w:rsid w:val="00F43D1C"/>
    <w:rsid w:val="00F467FD"/>
    <w:rsid w:val="00F4687A"/>
    <w:rsid w:val="00F5176D"/>
    <w:rsid w:val="00F554CF"/>
    <w:rsid w:val="00F56339"/>
    <w:rsid w:val="00F6161C"/>
    <w:rsid w:val="00F62519"/>
    <w:rsid w:val="00F627C0"/>
    <w:rsid w:val="00F71310"/>
    <w:rsid w:val="00F72AEE"/>
    <w:rsid w:val="00F72AFB"/>
    <w:rsid w:val="00F74D7D"/>
    <w:rsid w:val="00F75368"/>
    <w:rsid w:val="00F75A5B"/>
    <w:rsid w:val="00F76029"/>
    <w:rsid w:val="00F779DA"/>
    <w:rsid w:val="00F812B7"/>
    <w:rsid w:val="00F826A8"/>
    <w:rsid w:val="00F93AAF"/>
    <w:rsid w:val="00F94347"/>
    <w:rsid w:val="00FA00E4"/>
    <w:rsid w:val="00FA010C"/>
    <w:rsid w:val="00FA48B5"/>
    <w:rsid w:val="00FA4C45"/>
    <w:rsid w:val="00FA571C"/>
    <w:rsid w:val="00FB230B"/>
    <w:rsid w:val="00FB2E93"/>
    <w:rsid w:val="00FB5D9A"/>
    <w:rsid w:val="00FC1E0D"/>
    <w:rsid w:val="00FC2475"/>
    <w:rsid w:val="00FC5890"/>
    <w:rsid w:val="00FC6A43"/>
    <w:rsid w:val="00FD4F47"/>
    <w:rsid w:val="00FE0479"/>
    <w:rsid w:val="00FE2322"/>
    <w:rsid w:val="00FE2B7C"/>
    <w:rsid w:val="00FE3706"/>
    <w:rsid w:val="00FE4413"/>
    <w:rsid w:val="00FE4D30"/>
    <w:rsid w:val="00FE4FA0"/>
    <w:rsid w:val="00FE4FA5"/>
    <w:rsid w:val="00FF4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22A85D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aliases w:val="Activity head,h3,Mi,H3,h3 sub heading,C Sub-Sub/Italic,Level 1 - 2,Level 1 - 1,Normal Numbered,VS3,Para3,Head 3,Head 31,Head 32,C Sub-Sub/Italic1,3m,Heading 3 Sub Heading,3 bullet,b,Char,level 1 - 2,2,Normal + num,not in TOC,(a),a"/>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7"/>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7"/>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27"/>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customStyle="1" w:styleId="UnresolvedMention1">
    <w:name w:val="Unresolved Mention1"/>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customStyle="1" w:styleId="TabletextChar">
    <w:name w:val="Table text Char"/>
    <w:basedOn w:val="DefaultParagraphFont"/>
    <w:link w:val="Tabletext"/>
    <w:uiPriority w:val="1"/>
    <w:rsid w:val="007D1681"/>
    <w:rPr>
      <w:rFonts w:ascii="Times New Roman" w:eastAsia="Times New Roman" w:hAnsi="Times New Roman" w:cs="Times New Roman"/>
      <w:sz w:val="20"/>
      <w:szCs w:val="20"/>
      <w:lang w:eastAsia="en-AU"/>
    </w:rPr>
  </w:style>
  <w:style w:type="character" w:customStyle="1" w:styleId="Referencingstyle">
    <w:name w:val="Referencing style"/>
    <w:basedOn w:val="DefaultParagraphFont"/>
    <w:rsid w:val="00D77E17"/>
    <w:rPr>
      <w:rFonts w:ascii="Times New Roman" w:hAnsi="Times New Roman" w:cs="Times New Roman"/>
      <w:b/>
      <w:i/>
      <w:sz w:val="18"/>
    </w:rPr>
  </w:style>
  <w:style w:type="character" w:styleId="CommentReference">
    <w:name w:val="annotation reference"/>
    <w:basedOn w:val="DefaultParagraphFont"/>
    <w:uiPriority w:val="99"/>
    <w:semiHidden/>
    <w:unhideWhenUsed/>
    <w:rsid w:val="00930673"/>
    <w:rPr>
      <w:sz w:val="16"/>
      <w:szCs w:val="16"/>
    </w:rPr>
  </w:style>
  <w:style w:type="paragraph" w:styleId="CommentText">
    <w:name w:val="annotation text"/>
    <w:basedOn w:val="Normal"/>
    <w:link w:val="CommentTextChar"/>
    <w:uiPriority w:val="99"/>
    <w:semiHidden/>
    <w:unhideWhenUsed/>
    <w:rsid w:val="00930673"/>
    <w:rPr>
      <w:sz w:val="20"/>
      <w:szCs w:val="20"/>
    </w:rPr>
  </w:style>
  <w:style w:type="character" w:customStyle="1" w:styleId="CommentTextChar">
    <w:name w:val="Comment Text Char"/>
    <w:basedOn w:val="DefaultParagraphFont"/>
    <w:link w:val="CommentText"/>
    <w:uiPriority w:val="99"/>
    <w:semiHidden/>
    <w:rsid w:val="00930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0673"/>
    <w:rPr>
      <w:b/>
      <w:bCs/>
    </w:rPr>
  </w:style>
  <w:style w:type="character" w:customStyle="1" w:styleId="CommentSubjectChar">
    <w:name w:val="Comment Subject Char"/>
    <w:basedOn w:val="CommentTextChar"/>
    <w:link w:val="CommentSubject"/>
    <w:uiPriority w:val="99"/>
    <w:semiHidden/>
    <w:rsid w:val="00930673"/>
    <w:rPr>
      <w:rFonts w:ascii="Times New Roman" w:hAnsi="Times New Roman"/>
      <w:b/>
      <w:bCs/>
      <w:sz w:val="20"/>
      <w:szCs w:val="20"/>
    </w:rPr>
  </w:style>
  <w:style w:type="paragraph" w:styleId="TOC4">
    <w:name w:val="toc 4"/>
    <w:basedOn w:val="Normal"/>
    <w:next w:val="Normal"/>
    <w:autoRedefine/>
    <w:uiPriority w:val="39"/>
    <w:semiHidden/>
    <w:unhideWhenUsed/>
    <w:rsid w:val="00852682"/>
    <w:pPr>
      <w:spacing w:after="100"/>
      <w:ind w:left="660"/>
    </w:pPr>
  </w:style>
  <w:style w:type="paragraph" w:styleId="TOC5">
    <w:name w:val="toc 5"/>
    <w:basedOn w:val="Normal"/>
    <w:next w:val="Normal"/>
    <w:autoRedefine/>
    <w:uiPriority w:val="39"/>
    <w:semiHidden/>
    <w:unhideWhenUsed/>
    <w:rsid w:val="00852682"/>
    <w:pPr>
      <w:spacing w:after="100"/>
      <w:ind w:left="880"/>
    </w:pPr>
  </w:style>
  <w:style w:type="paragraph" w:styleId="TOC6">
    <w:name w:val="toc 6"/>
    <w:basedOn w:val="Normal"/>
    <w:next w:val="Normal"/>
    <w:autoRedefine/>
    <w:uiPriority w:val="39"/>
    <w:semiHidden/>
    <w:unhideWhenUsed/>
    <w:rsid w:val="00852682"/>
    <w:pPr>
      <w:spacing w:after="100"/>
      <w:ind w:left="1100"/>
    </w:pPr>
  </w:style>
  <w:style w:type="paragraph" w:styleId="TOC7">
    <w:name w:val="toc 7"/>
    <w:basedOn w:val="Normal"/>
    <w:next w:val="Normal"/>
    <w:autoRedefine/>
    <w:uiPriority w:val="39"/>
    <w:semiHidden/>
    <w:unhideWhenUsed/>
    <w:rsid w:val="00852682"/>
    <w:pPr>
      <w:spacing w:after="100"/>
      <w:ind w:left="1320"/>
    </w:pPr>
  </w:style>
  <w:style w:type="paragraph" w:styleId="TOC8">
    <w:name w:val="toc 8"/>
    <w:basedOn w:val="Normal"/>
    <w:next w:val="Normal"/>
    <w:autoRedefine/>
    <w:uiPriority w:val="39"/>
    <w:semiHidden/>
    <w:unhideWhenUsed/>
    <w:rsid w:val="00852682"/>
    <w:pPr>
      <w:spacing w:after="100"/>
      <w:ind w:left="1540"/>
    </w:pPr>
  </w:style>
  <w:style w:type="paragraph" w:styleId="TOC9">
    <w:name w:val="toc 9"/>
    <w:basedOn w:val="Normal"/>
    <w:next w:val="Normal"/>
    <w:autoRedefine/>
    <w:uiPriority w:val="39"/>
    <w:semiHidden/>
    <w:unhideWhenUsed/>
    <w:rsid w:val="00852682"/>
    <w:pPr>
      <w:spacing w:after="100"/>
      <w:ind w:left="1760"/>
    </w:pPr>
  </w:style>
  <w:style w:type="paragraph" w:styleId="BalloonText">
    <w:name w:val="Balloon Text"/>
    <w:basedOn w:val="Normal"/>
    <w:link w:val="BalloonTextChar"/>
    <w:uiPriority w:val="99"/>
    <w:semiHidden/>
    <w:unhideWhenUsed/>
    <w:rsid w:val="00CF36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C7"/>
    <w:rPr>
      <w:rFonts w:ascii="Segoe UI" w:hAnsi="Segoe UI" w:cs="Segoe UI"/>
      <w:sz w:val="18"/>
      <w:szCs w:val="18"/>
    </w:rPr>
  </w:style>
  <w:style w:type="paragraph" w:customStyle="1" w:styleId="Definition">
    <w:name w:val="Definition"/>
    <w:aliases w:val="dd"/>
    <w:basedOn w:val="Normal"/>
    <w:rsid w:val="008C28F0"/>
    <w:pPr>
      <w:spacing w:before="180" w:after="0"/>
      <w:ind w:left="1134"/>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TaxCatchAll xmlns="0f563589-9cf9-4143-b1eb-fb0534803d38">
      <Value>7</Value>
    </TaxCatchAll>
    <_dlc_DocId xmlns="0f563589-9cf9-4143-b1eb-fb0534803d38">2022RG-127902473-364</_dlc_DocId>
    <_dlc_DocIdUrl xmlns="0f563589-9cf9-4143-b1eb-fb0534803d38">
      <Url>http://tweb/sites/rg/iitd/ic/_layouts/15/DocIdRedir.aspx?ID=2022RG-127902473-364</Url>
      <Description>2022RG-127902473-364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CF2B6626B03F4E8112372837225C21" ma:contentTypeVersion="45028" ma:contentTypeDescription="" ma:contentTypeScope="" ma:versionID="75daf5d556f817ba4d6c96d9b7303483">
  <xsd:schema xmlns:xsd="http://www.w3.org/2001/XMLSchema" xmlns:xs="http://www.w3.org/2001/XMLSchema" xmlns:p="http://schemas.microsoft.com/office/2006/metadata/properties" xmlns:ns1="http://schemas.microsoft.com/sharepoint/v3" xmlns:ns2="0f563589-9cf9-4143-b1eb-fb0534803d38" xmlns:ns3="9f7bc583-7cbe-45b9-a2bd-8bbb6543b37e" targetNamespace="http://schemas.microsoft.com/office/2006/metadata/properties" ma:root="true" ma:fieldsID="6d5c05f56c9e7167430d7fa1aae22a83" ns1:_="" ns2:_="" ns3:_="">
    <xsd:import namespace="http://schemas.microsoft.com/sharepoint/v3"/>
    <xsd:import namespace="0f563589-9cf9-4143-b1eb-fb0534803d38"/>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23E7C56E-4989-494C-83F6-BC269660196A}">
  <ds:schemaRefs>
    <ds:schemaRef ds:uri="http://schemas.microsoft.com/sharepoint/events"/>
  </ds:schemaRefs>
</ds:datastoreItem>
</file>

<file path=customXml/itemProps2.xml><?xml version="1.0" encoding="utf-8"?>
<ds:datastoreItem xmlns:ds="http://schemas.openxmlformats.org/officeDocument/2006/customXml" ds:itemID="{E4B16D02-E0AA-4DCC-AF28-2E8488B7CA05}">
  <ds:schemaRefs>
    <ds:schemaRef ds:uri="http://schemas.microsoft.com/sharepoint/v3/contenttype/forms"/>
  </ds:schemaRefs>
</ds:datastoreItem>
</file>

<file path=customXml/itemProps3.xml><?xml version="1.0" encoding="utf-8"?>
<ds:datastoreItem xmlns:ds="http://schemas.openxmlformats.org/officeDocument/2006/customXml" ds:itemID="{25CB7138-81AE-4EEE-837A-F0D36201C4C3}">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52E565D-AD45-4D05-B453-4B76D985577F}">
  <ds:schemaRefs>
    <ds:schemaRef ds:uri="http://schemas.openxmlformats.org/officeDocument/2006/bibliography"/>
  </ds:schemaRefs>
</ds:datastoreItem>
</file>

<file path=customXml/itemProps5.xml><?xml version="1.0" encoding="utf-8"?>
<ds:datastoreItem xmlns:ds="http://schemas.openxmlformats.org/officeDocument/2006/customXml" ds:itemID="{113D023E-2A3C-4395-8379-9E896B8A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17C718-FC61-4775-919D-C9A66AD0C37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Exposure Draft - Foreign Acquisitions and Takeovers Amendment Regulations 2022</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Income Tax Assessment Amendment (Digital Games Tax Offset) Bill 2021 - Measure for Consultation</dc:title>
  <dc:subject/>
  <dc:creator/>
  <cp:keywords/>
  <dc:description/>
  <cp:lastModifiedBy/>
  <cp:revision>1</cp:revision>
  <dcterms:created xsi:type="dcterms:W3CDTF">2022-03-09T03:29:00Z</dcterms:created>
  <dcterms:modified xsi:type="dcterms:W3CDTF">2022-03-09T03:32:00Z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0x01010036BB8DE7EC542E42A8B2E98CC20CB6970003CF2B6626B03F4E8112372837225C21</vt:lpwstr>
  </property>
  <property fmtid="{D5CDD505-2E9C-101B-9397-08002B2CF9AE}" pid="3" name="TSYRecordClass">
    <vt:lpwstr>7;#TSY RA-9236 - Retain as national archives|c6a225b4-6b93-473e-bcbb-6bc6ab25b623</vt:lpwstr>
  </property>
  <property fmtid="{D5CDD505-2E9C-101B-9397-08002B2CF9AE}" pid="4" name="_dlc_DocIdItemGuid">
    <vt:lpwstr>b1b1b484-aeb7-4136-b642-f888c89af136</vt:lpwstr>
  </property>
  <property fmtid="{D5CDD505-2E9C-101B-9397-08002B2CF9AE}" pid="5" name="Order">
    <vt:r8>7230400</vt:r8>
  </property>
  <property fmtid="{D5CDD505-2E9C-101B-9397-08002B2CF9AE}" pid="6" name="TSYTopic">
    <vt:lpwstr/>
  </property>
  <property fmtid="{D5CDD505-2E9C-101B-9397-08002B2CF9AE}" pid="7" name="oae75e2df9d943898d59cb03ca0993c5">
    <vt:lpwstr/>
  </property>
  <property fmtid="{D5CDD505-2E9C-101B-9397-08002B2CF9AE}" pid="8" name="Topics">
    <vt:lpwstr/>
  </property>
</Properties>
</file>