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AFCB" w14:textId="77777777" w:rsidR="00F012EA" w:rsidRPr="002C6266" w:rsidRDefault="00A61C39" w:rsidP="002C6266">
      <w:pPr>
        <w:pStyle w:val="Title"/>
      </w:pPr>
      <w:bookmarkStart w:id="0" w:name="_Hlk88112696"/>
      <w:r w:rsidRPr="002C6266">
        <w:t>Reaching for the s</w:t>
      </w:r>
      <w:r w:rsidR="00DB0225" w:rsidRPr="002C6266">
        <w:t>tars: Australian f</w:t>
      </w:r>
      <w:r w:rsidRPr="002C6266">
        <w:t>irms and</w:t>
      </w:r>
      <w:r w:rsidR="00DB0225" w:rsidRPr="002C6266">
        <w:t xml:space="preserve"> the global productivity f</w:t>
      </w:r>
      <w:r w:rsidRPr="002C6266">
        <w:t>rontier</w:t>
      </w:r>
    </w:p>
    <w:bookmarkEnd w:id="0"/>
    <w:p w14:paraId="4F82DC55" w14:textId="7F7FB5F8" w:rsidR="00F012EA" w:rsidRDefault="00A61C39" w:rsidP="00F012EA">
      <w:pPr>
        <w:pStyle w:val="AuthorName"/>
        <w:rPr>
          <w:szCs w:val="24"/>
        </w:rPr>
      </w:pPr>
      <w:r>
        <w:rPr>
          <w:szCs w:val="24"/>
        </w:rPr>
        <w:t>Dan Andrews</w:t>
      </w:r>
      <w:r w:rsidR="00CE6CCA">
        <w:rPr>
          <w:szCs w:val="24"/>
        </w:rPr>
        <w:t>, Jonathan Hambur</w:t>
      </w:r>
      <w:r w:rsidR="00EE4487">
        <w:rPr>
          <w:szCs w:val="24"/>
        </w:rPr>
        <w:t>, David Hansell</w:t>
      </w:r>
      <w:r>
        <w:rPr>
          <w:szCs w:val="24"/>
        </w:rPr>
        <w:t xml:space="preserve"> and Angus Wheeler</w:t>
      </w:r>
      <w:r w:rsidR="00F012EA" w:rsidRPr="00F21A41">
        <w:rPr>
          <w:rStyle w:val="FootnoteReference"/>
          <w:szCs w:val="24"/>
        </w:rPr>
        <w:footnoteReference w:id="2"/>
      </w:r>
    </w:p>
    <w:p w14:paraId="6A4B7DB2"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3"/>
      </w:r>
    </w:p>
    <w:p w14:paraId="6D22072E" w14:textId="3F02FFCC" w:rsidR="00F012EA" w:rsidRPr="00732E4F" w:rsidRDefault="00C87EE9" w:rsidP="00F012EA">
      <w:pPr>
        <w:pStyle w:val="Subtitle"/>
        <w:rPr>
          <w:szCs w:val="36"/>
        </w:rPr>
      </w:pPr>
      <w:r>
        <w:rPr>
          <w:szCs w:val="36"/>
        </w:rPr>
        <w:t>2022</w:t>
      </w:r>
      <w:r w:rsidR="00AA5B97">
        <w:rPr>
          <w:szCs w:val="36"/>
        </w:rPr>
        <w:noBreakHyphen/>
      </w:r>
      <w:r>
        <w:rPr>
          <w:szCs w:val="36"/>
        </w:rPr>
        <w:t>01</w:t>
      </w:r>
    </w:p>
    <w:p w14:paraId="4D7A50AB" w14:textId="7EA2550B" w:rsidR="00F012EA" w:rsidRPr="0018497C" w:rsidRDefault="00F012EA" w:rsidP="00F012EA">
      <w:pPr>
        <w:pStyle w:val="SeriesNumber"/>
        <w:spacing w:before="120" w:after="120"/>
        <w:rPr>
          <w:sz w:val="24"/>
          <w:szCs w:val="24"/>
        </w:rPr>
      </w:pPr>
      <w:r w:rsidRPr="00732E4F">
        <w:rPr>
          <w:sz w:val="24"/>
          <w:szCs w:val="24"/>
        </w:rPr>
        <w:t xml:space="preserve">Date created: </w:t>
      </w:r>
      <w:r w:rsidR="00C87EE9">
        <w:rPr>
          <w:sz w:val="24"/>
          <w:szCs w:val="24"/>
        </w:rPr>
        <w:t>January 2022</w:t>
      </w:r>
    </w:p>
    <w:p w14:paraId="007F70F0" w14:textId="77777777" w:rsidR="000464B6" w:rsidRDefault="000464B6" w:rsidP="00F012EA">
      <w:pPr>
        <w:pStyle w:val="AuthorName"/>
        <w:rPr>
          <w:szCs w:val="24"/>
        </w:rPr>
        <w:sectPr w:rsidR="000464B6" w:rsidSect="00AE20C7">
          <w:headerReference w:type="even" r:id="rId13"/>
          <w:headerReference w:type="default" r:id="rId14"/>
          <w:footerReference w:type="even" r:id="rId15"/>
          <w:footerReference w:type="default" r:id="rId16"/>
          <w:headerReference w:type="first" r:id="rId17"/>
          <w:footerReference w:type="first" r:id="rId18"/>
          <w:pgSz w:w="11906" w:h="16838" w:code="9"/>
          <w:pgMar w:top="1418" w:right="1304" w:bottom="1418" w:left="1304" w:header="567" w:footer="567" w:gutter="0"/>
          <w:cols w:space="708"/>
          <w:titlePg/>
          <w:docGrid w:linePitch="360"/>
        </w:sectPr>
      </w:pPr>
    </w:p>
    <w:p w14:paraId="341C6A66" w14:textId="6DC66C72" w:rsidR="000464B6" w:rsidRDefault="000464B6" w:rsidP="000464B6">
      <w:r w:rsidRPr="00661BF0">
        <w:lastRenderedPageBreak/>
        <w:t xml:space="preserve">© Commonwealth of Australia </w:t>
      </w:r>
      <w:r w:rsidRPr="00732E4F">
        <w:t>20</w:t>
      </w:r>
      <w:r w:rsidR="00732E4F">
        <w:t>2</w:t>
      </w:r>
      <w:r w:rsidR="003427C5">
        <w:t>2</w:t>
      </w:r>
    </w:p>
    <w:p w14:paraId="412AA246" w14:textId="2B4FCC83" w:rsidR="000464B6" w:rsidRPr="00464A16" w:rsidRDefault="000464B6" w:rsidP="000464B6">
      <w:r w:rsidRPr="00464A16">
        <w:t>ISBN</w:t>
      </w:r>
      <w:r w:rsidR="00793BDB" w:rsidRPr="00793BDB">
        <w:t xml:space="preserve"> 978</w:t>
      </w:r>
      <w:r w:rsidR="00AA5B97">
        <w:noBreakHyphen/>
      </w:r>
      <w:r w:rsidR="00793BDB" w:rsidRPr="00793BDB">
        <w:t>1</w:t>
      </w:r>
      <w:r w:rsidR="00AA5B97">
        <w:noBreakHyphen/>
      </w:r>
      <w:r w:rsidR="00793BDB" w:rsidRPr="00793BDB">
        <w:t>925832</w:t>
      </w:r>
      <w:r w:rsidR="00AA5B97">
        <w:noBreakHyphen/>
      </w:r>
      <w:r w:rsidR="00793BDB" w:rsidRPr="00793BDB">
        <w:t>41</w:t>
      </w:r>
      <w:r w:rsidR="00AA5B97">
        <w:noBreakHyphen/>
      </w:r>
      <w:r w:rsidR="00793BDB" w:rsidRPr="00793BDB">
        <w:t>9</w:t>
      </w:r>
    </w:p>
    <w:p w14:paraId="1BA026E5"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9"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20"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6A00D7AF"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val="en-GB" w:eastAsia="en-GB"/>
        </w:rPr>
        <w:drawing>
          <wp:inline distT="0" distB="0" distL="0" distR="0" wp14:anchorId="31369534" wp14:editId="1606ACA2">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D5F5321"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2"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0D04EAD0" w14:textId="342B2340" w:rsidR="000464B6" w:rsidRPr="002F1BC2" w:rsidRDefault="000464B6" w:rsidP="000464B6">
      <w:pPr>
        <w:rPr>
          <w:i/>
        </w:rPr>
      </w:pPr>
      <w:r w:rsidRPr="002F1BC2">
        <w:rPr>
          <w:i/>
        </w:rPr>
        <w:t xml:space="preserve">Treasury material used </w:t>
      </w:r>
      <w:r w:rsidR="00AA5B97">
        <w:rPr>
          <w:i/>
        </w:rPr>
        <w:t>‘</w:t>
      </w:r>
      <w:r w:rsidRPr="002F1BC2">
        <w:rPr>
          <w:i/>
        </w:rPr>
        <w:t>as supplied</w:t>
      </w:r>
      <w:r w:rsidR="00AA5B97">
        <w:rPr>
          <w:i/>
        </w:rPr>
        <w:t>’</w:t>
      </w:r>
    </w:p>
    <w:p w14:paraId="10B0EE87" w14:textId="7434E5A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AA5B97">
        <w:t xml:space="preserve"> – </w:t>
      </w:r>
      <w:r>
        <w:t>then Treasury prefers t</w:t>
      </w:r>
      <w:r w:rsidRPr="00476F09">
        <w:t xml:space="preserve">he following attribution: </w:t>
      </w:r>
    </w:p>
    <w:p w14:paraId="6EBB7706"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28D2140C" w14:textId="77777777" w:rsidR="000464B6" w:rsidRPr="006627B4" w:rsidRDefault="000464B6" w:rsidP="000464B6">
      <w:r w:rsidRPr="006627B4">
        <w:t>Derivative material</w:t>
      </w:r>
    </w:p>
    <w:p w14:paraId="1E57D55F"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2AA15C27" w14:textId="77777777" w:rsidR="000464B6" w:rsidRPr="006627B4" w:rsidRDefault="000464B6" w:rsidP="000464B6">
      <w:pPr>
        <w:ind w:firstLine="720"/>
      </w:pPr>
      <w:r w:rsidRPr="002F1BC2">
        <w:rPr>
          <w:i/>
        </w:rPr>
        <w:t>Based on The Australian Government the Treasury data</w:t>
      </w:r>
    </w:p>
    <w:p w14:paraId="0B591851" w14:textId="77777777" w:rsidR="000464B6" w:rsidRPr="006627B4" w:rsidRDefault="000464B6" w:rsidP="000464B6">
      <w:pPr>
        <w:spacing w:after="40"/>
        <w:rPr>
          <w:b/>
        </w:rPr>
      </w:pPr>
      <w:r w:rsidRPr="006627B4">
        <w:rPr>
          <w:b/>
        </w:rPr>
        <w:t>Use of the Coat of Arms</w:t>
      </w:r>
    </w:p>
    <w:p w14:paraId="74068E39" w14:textId="4AF0451E"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23" w:history="1">
        <w:r w:rsidRPr="005A283B">
          <w:rPr>
            <w:rStyle w:val="Hyperlink"/>
          </w:rPr>
          <w:t>www.pmc.gov.au/government/commonwealth</w:t>
        </w:r>
        <w:r w:rsidR="00AA5B97">
          <w:rPr>
            <w:rStyle w:val="Hyperlink"/>
          </w:rPr>
          <w:noBreakHyphen/>
        </w:r>
        <w:r w:rsidRPr="005A283B">
          <w:rPr>
            <w:rStyle w:val="Hyperlink"/>
          </w:rPr>
          <w:t>coat</w:t>
        </w:r>
        <w:r w:rsidR="00AA5B97">
          <w:rPr>
            <w:rStyle w:val="Hyperlink"/>
          </w:rPr>
          <w:noBreakHyphen/>
        </w:r>
        <w:r w:rsidRPr="005A283B">
          <w:rPr>
            <w:rStyle w:val="Hyperlink"/>
          </w:rPr>
          <w:t>arms</w:t>
        </w:r>
      </w:hyperlink>
      <w:r w:rsidRPr="00A40BA2">
        <w:t>).</w:t>
      </w:r>
    </w:p>
    <w:p w14:paraId="3A8B26C1" w14:textId="77777777" w:rsidR="000464B6" w:rsidRPr="006627B4" w:rsidRDefault="00A57848" w:rsidP="000464B6">
      <w:pPr>
        <w:spacing w:after="40"/>
        <w:rPr>
          <w:b/>
        </w:rPr>
      </w:pPr>
      <w:r>
        <w:rPr>
          <w:b/>
        </w:rPr>
        <w:t>Other u</w:t>
      </w:r>
      <w:r w:rsidR="000464B6" w:rsidRPr="006627B4">
        <w:rPr>
          <w:b/>
        </w:rPr>
        <w:t>ses</w:t>
      </w:r>
    </w:p>
    <w:p w14:paraId="075A924F" w14:textId="77777777" w:rsidR="000464B6" w:rsidRPr="006627B4" w:rsidRDefault="00A57848" w:rsidP="00A57848">
      <w:pPr>
        <w:spacing w:after="120"/>
      </w:pPr>
      <w:r>
        <w:t>E</w:t>
      </w:r>
      <w:r w:rsidR="000464B6" w:rsidRPr="006627B4">
        <w:t>nquiries regarding this licence and any other use of this document are welcome at:</w:t>
      </w:r>
    </w:p>
    <w:p w14:paraId="38AB8C29" w14:textId="77777777" w:rsidR="000464B6" w:rsidRPr="006627B4" w:rsidRDefault="000464B6" w:rsidP="000464B6">
      <w:pPr>
        <w:spacing w:after="0"/>
        <w:ind w:left="720"/>
      </w:pPr>
      <w:r w:rsidRPr="006627B4">
        <w:t>Manager</w:t>
      </w:r>
    </w:p>
    <w:p w14:paraId="282CC1DC" w14:textId="77777777" w:rsidR="000464B6" w:rsidRPr="006627B4" w:rsidRDefault="00A57848" w:rsidP="000464B6">
      <w:pPr>
        <w:spacing w:after="0"/>
        <w:ind w:left="720"/>
      </w:pPr>
      <w:r>
        <w:t>Media Unit</w:t>
      </w:r>
    </w:p>
    <w:p w14:paraId="5815DAE7" w14:textId="77777777" w:rsidR="000464B6" w:rsidRPr="006627B4" w:rsidRDefault="000464B6" w:rsidP="000464B6">
      <w:pPr>
        <w:spacing w:after="0"/>
        <w:ind w:left="720"/>
      </w:pPr>
      <w:r w:rsidRPr="006627B4">
        <w:t>The Treasury</w:t>
      </w:r>
    </w:p>
    <w:p w14:paraId="597BC2C8" w14:textId="77777777" w:rsidR="000464B6" w:rsidRPr="006627B4" w:rsidRDefault="000464B6" w:rsidP="000464B6">
      <w:pPr>
        <w:spacing w:after="0"/>
        <w:ind w:left="720"/>
      </w:pPr>
      <w:r w:rsidRPr="006627B4">
        <w:t xml:space="preserve">Langton Crescent </w:t>
      </w:r>
      <w:r w:rsidR="00A57848">
        <w:br/>
      </w:r>
      <w:r w:rsidRPr="006627B4">
        <w:t>Parkes ACT 2600</w:t>
      </w:r>
    </w:p>
    <w:p w14:paraId="7BEC5DF3" w14:textId="73F3DDB0" w:rsidR="000464B6" w:rsidRDefault="000464B6" w:rsidP="000464B6">
      <w:pPr>
        <w:spacing w:after="0"/>
        <w:ind w:left="720"/>
        <w:rPr>
          <w:rStyle w:val="Hyperlink"/>
        </w:rPr>
      </w:pPr>
      <w:r w:rsidRPr="006627B4">
        <w:t xml:space="preserve">Email: </w:t>
      </w:r>
      <w:hyperlink r:id="rId24" w:history="1">
        <w:r w:rsidR="00AE20C7">
          <w:rPr>
            <w:rStyle w:val="Hyperlink"/>
          </w:rPr>
          <w:t>media@treasury.gov.au</w:t>
        </w:r>
      </w:hyperlink>
      <w:r w:rsidRPr="002F1BC2">
        <w:rPr>
          <w:rStyle w:val="Hyperlink"/>
        </w:rPr>
        <w:t xml:space="preserve"> </w:t>
      </w:r>
    </w:p>
    <w:p w14:paraId="35DD37AD" w14:textId="77777777" w:rsidR="000464B6" w:rsidRPr="000464B6" w:rsidRDefault="000464B6" w:rsidP="000464B6"/>
    <w:p w14:paraId="02ADC031" w14:textId="77777777" w:rsidR="000464B6" w:rsidRDefault="000464B6" w:rsidP="000464B6">
      <w:pPr>
        <w:spacing w:after="0"/>
        <w:ind w:left="720"/>
        <w:rPr>
          <w:rStyle w:val="Hyperlink"/>
        </w:rPr>
        <w:sectPr w:rsidR="000464B6" w:rsidSect="008C0793">
          <w:headerReference w:type="first" r:id="rId25"/>
          <w:pgSz w:w="11906" w:h="16838" w:code="9"/>
          <w:pgMar w:top="1418" w:right="1304" w:bottom="1418" w:left="1304" w:header="567" w:footer="567" w:gutter="0"/>
          <w:cols w:space="708"/>
          <w:titlePg/>
          <w:docGrid w:linePitch="360"/>
        </w:sectPr>
      </w:pPr>
    </w:p>
    <w:p w14:paraId="3E532ACF" w14:textId="06240B12" w:rsidR="009932EC" w:rsidRDefault="009932EC" w:rsidP="00F012EA">
      <w:pPr>
        <w:pStyle w:val="SingleParagraph"/>
      </w:pPr>
      <w:r>
        <w:lastRenderedPageBreak/>
        <w:t xml:space="preserve">Reaching for the </w:t>
      </w:r>
      <w:r w:rsidR="00732E4F">
        <w:t>s</w:t>
      </w:r>
      <w:r>
        <w:t xml:space="preserve">tars: Australian </w:t>
      </w:r>
      <w:r w:rsidR="00732E4F">
        <w:t>f</w:t>
      </w:r>
      <w:r>
        <w:t xml:space="preserve">irms and the </w:t>
      </w:r>
      <w:r w:rsidR="00732E4F">
        <w:t>g</w:t>
      </w:r>
      <w:r>
        <w:t xml:space="preserve">lobal </w:t>
      </w:r>
      <w:r w:rsidR="00732E4F">
        <w:t>p</w:t>
      </w:r>
      <w:r>
        <w:t xml:space="preserve">roductivity </w:t>
      </w:r>
      <w:r w:rsidR="00732E4F">
        <w:t>f</w:t>
      </w:r>
      <w:r>
        <w:t xml:space="preserve">rontier </w:t>
      </w:r>
    </w:p>
    <w:p w14:paraId="0D104A41" w14:textId="5E24620A" w:rsidR="00F012EA" w:rsidRDefault="009932EC" w:rsidP="00F012EA">
      <w:pPr>
        <w:pStyle w:val="SingleParagraph"/>
      </w:pPr>
      <w:r>
        <w:rPr>
          <w:szCs w:val="24"/>
        </w:rPr>
        <w:t>Dan Andrews, Jonathan Hambur, David Hansell and Angus Wheeler</w:t>
      </w:r>
    </w:p>
    <w:p w14:paraId="44FD56FC" w14:textId="49CF95F7" w:rsidR="00F012EA" w:rsidRDefault="00F012EA" w:rsidP="00F012EA">
      <w:pPr>
        <w:pStyle w:val="SingleParagraph"/>
      </w:pPr>
      <w:r w:rsidRPr="00C87EE9">
        <w:t>20</w:t>
      </w:r>
      <w:r w:rsidR="00020BC3" w:rsidRPr="00C87EE9">
        <w:t>2</w:t>
      </w:r>
      <w:r w:rsidR="00C87EE9" w:rsidRPr="00C87EE9">
        <w:t>2</w:t>
      </w:r>
      <w:r w:rsidR="00020BC3" w:rsidRPr="00C87EE9">
        <w:t>#</w:t>
      </w:r>
      <w:r w:rsidR="00C87EE9" w:rsidRPr="00C87EE9">
        <w:t>01</w:t>
      </w:r>
    </w:p>
    <w:p w14:paraId="45FEE44D" w14:textId="552FF6FC" w:rsidR="00F012EA" w:rsidRDefault="00C6781A" w:rsidP="00F012EA">
      <w:pPr>
        <w:pStyle w:val="SingleParagraph"/>
      </w:pPr>
      <w:r>
        <w:t>7 February 2022</w:t>
      </w:r>
    </w:p>
    <w:p w14:paraId="5E89473F" w14:textId="77777777" w:rsidR="00F012EA" w:rsidRDefault="00F012EA" w:rsidP="00F012EA">
      <w:pPr>
        <w:pStyle w:val="Heading1"/>
      </w:pPr>
      <w:r>
        <w:t>Abstract</w:t>
      </w:r>
    </w:p>
    <w:p w14:paraId="537F1D98" w14:textId="0634D09A" w:rsidR="00F012EA" w:rsidRPr="00E65E4B" w:rsidRDefault="00EF07B2" w:rsidP="006738B3">
      <w:pPr>
        <w:pStyle w:val="Abstract"/>
        <w:jc w:val="both"/>
      </w:pPr>
      <w:r>
        <w:t>A feature of the recent global slowdown in productivity growth is that progress at the technological frontier has remained strong, while the gap between</w:t>
      </w:r>
      <w:r w:rsidR="00142DA6">
        <w:t xml:space="preserve"> firms at</w:t>
      </w:r>
      <w:r>
        <w:t xml:space="preserve"> the global frontier and</w:t>
      </w:r>
      <w:r w:rsidR="00FB6683">
        <w:t xml:space="preserve"> other</w:t>
      </w:r>
      <w:r>
        <w:t xml:space="preserve"> </w:t>
      </w:r>
      <w:r w:rsidR="00AA5B97">
        <w:t>‘</w:t>
      </w:r>
      <w:r>
        <w:t>laggards</w:t>
      </w:r>
      <w:r w:rsidR="00AA5B97">
        <w:t>’</w:t>
      </w:r>
      <w:r>
        <w:t xml:space="preserve"> </w:t>
      </w:r>
      <w:r w:rsidR="00F47D47">
        <w:t>within</w:t>
      </w:r>
      <w:r>
        <w:t xml:space="preserve"> an industry has grown.</w:t>
      </w:r>
      <w:r w:rsidR="00FB6683">
        <w:t xml:space="preserve"> </w:t>
      </w:r>
      <w:r w:rsidR="009962B7">
        <w:t>This growing gap reflects the fact that laggard firms now seem to be slower to adopt cutting</w:t>
      </w:r>
      <w:r w:rsidR="00AA5B97">
        <w:noBreakHyphen/>
      </w:r>
      <w:r w:rsidR="009962B7">
        <w:t xml:space="preserve">edge technologies and </w:t>
      </w:r>
      <w:proofErr w:type="gramStart"/>
      <w:r w:rsidR="009962B7">
        <w:t>processes, and</w:t>
      </w:r>
      <w:proofErr w:type="gramEnd"/>
      <w:r w:rsidR="009962B7">
        <w:t xml:space="preserve"> catch</w:t>
      </w:r>
      <w:r w:rsidR="00AA5B97">
        <w:noBreakHyphen/>
      </w:r>
      <w:r w:rsidR="009962B7">
        <w:t xml:space="preserve">up to the global frontier than they were previously. </w:t>
      </w:r>
      <w:r>
        <w:t xml:space="preserve">However, little is known about whether </w:t>
      </w:r>
      <w:r w:rsidR="009962B7">
        <w:t>these</w:t>
      </w:r>
      <w:r>
        <w:t xml:space="preserve"> pattern</w:t>
      </w:r>
      <w:r w:rsidR="009962B7">
        <w:t>s</w:t>
      </w:r>
      <w:r>
        <w:t xml:space="preserve"> hold true for Australia. </w:t>
      </w:r>
      <w:r w:rsidR="00B74022">
        <w:t>W</w:t>
      </w:r>
      <w:r>
        <w:t>e exploit a novel dataset merging international microdata from OECD</w:t>
      </w:r>
      <w:r w:rsidR="00AA5B97">
        <w:noBreakHyphen/>
      </w:r>
      <w:r>
        <w:t>Orbis with Australian microdata from BLADE.</w:t>
      </w:r>
      <w:r w:rsidR="00142DA6">
        <w:t xml:space="preserve"> </w:t>
      </w:r>
      <w:r w:rsidR="002A04AC">
        <w:t>Consistent</w:t>
      </w:r>
      <w:r w:rsidR="00142DA6">
        <w:t xml:space="preserve"> with overseas evidence, w</w:t>
      </w:r>
      <w:r>
        <w:t xml:space="preserve">e </w:t>
      </w:r>
      <w:r w:rsidR="00685EDA">
        <w:t>find</w:t>
      </w:r>
      <w:r>
        <w:t xml:space="preserve"> that the gap between global frontier firms and Australian firms has grown over time</w:t>
      </w:r>
      <w:r w:rsidR="00F47D47">
        <w:t xml:space="preserve"> in the non</w:t>
      </w:r>
      <w:r w:rsidR="00AA5B97">
        <w:noBreakHyphen/>
      </w:r>
      <w:r w:rsidR="00F47D47">
        <w:t>resource, non</w:t>
      </w:r>
      <w:r w:rsidR="00AA5B97">
        <w:noBreakHyphen/>
      </w:r>
      <w:r w:rsidR="00F47D47">
        <w:t xml:space="preserve">financial </w:t>
      </w:r>
      <w:r w:rsidR="007340A1">
        <w:t>market</w:t>
      </w:r>
      <w:r w:rsidR="00F47D47">
        <w:t xml:space="preserve"> sector</w:t>
      </w:r>
      <w:r>
        <w:t xml:space="preserve">. </w:t>
      </w:r>
      <w:r w:rsidR="00142DA6">
        <w:t>Moreover, Australian firms catch up to the global frontier more slowly than previously</w:t>
      </w:r>
      <w:r w:rsidR="00685EDA">
        <w:t>, suggesting slower adoption of cutting</w:t>
      </w:r>
      <w:r w:rsidR="00AA5B97">
        <w:noBreakHyphen/>
      </w:r>
      <w:r w:rsidR="00685EDA">
        <w:t xml:space="preserve">edge technologies and processes. The slowdown has been more notable in industries with declining measures of dynamism and competitive pressures, suggesting </w:t>
      </w:r>
      <w:r w:rsidR="006D2F8C">
        <w:t>the slowdown may reflect weaker incentives and imperatives for firms to improve</w:t>
      </w:r>
      <w:r w:rsidR="00595B74">
        <w:t xml:space="preserve">. </w:t>
      </w:r>
      <w:r w:rsidR="002A04AC">
        <w:t xml:space="preserve">This suggests that policies to address </w:t>
      </w:r>
      <w:r w:rsidR="006D2F8C">
        <w:t>barriers to</w:t>
      </w:r>
      <w:r w:rsidR="002A04AC">
        <w:t xml:space="preserve"> business dynamism and competitive pressures can improve Australia</w:t>
      </w:r>
      <w:r w:rsidR="00AA5B97">
        <w:t>’</w:t>
      </w:r>
      <w:r w:rsidR="002A04AC">
        <w:t>s productivity performance, by increasing incentives for firms to adopt, innovate and improve.</w:t>
      </w:r>
    </w:p>
    <w:p w14:paraId="736C32B4" w14:textId="77777777" w:rsidR="0064363A" w:rsidRDefault="00F012EA" w:rsidP="00F012EA">
      <w:pPr>
        <w:pStyle w:val="SingleParagraph"/>
      </w:pPr>
      <w:r>
        <w:t xml:space="preserve">JEL Classification Numbers: </w:t>
      </w:r>
      <w:r w:rsidR="0064363A">
        <w:t xml:space="preserve">C23, C55, D22, D30, E23, E24 </w:t>
      </w:r>
    </w:p>
    <w:p w14:paraId="4A4E5C6F" w14:textId="325C9654" w:rsidR="00F012EA" w:rsidRDefault="00F012EA" w:rsidP="00F012EA">
      <w:pPr>
        <w:pStyle w:val="SingleParagraph"/>
      </w:pPr>
      <w:r>
        <w:t xml:space="preserve">Keywords: </w:t>
      </w:r>
      <w:r w:rsidR="0064363A">
        <w:t>productivity, dispersion, firm</w:t>
      </w:r>
      <w:r w:rsidR="00AA5B97">
        <w:noBreakHyphen/>
      </w:r>
      <w:r w:rsidR="0064363A">
        <w:t xml:space="preserve">level, BLADE, </w:t>
      </w:r>
      <w:r w:rsidR="00F47D47">
        <w:t>frontier</w:t>
      </w:r>
    </w:p>
    <w:p w14:paraId="3B3CDD86" w14:textId="77777777" w:rsidR="00F012EA" w:rsidRDefault="00F012EA" w:rsidP="00F012EA">
      <w:pPr>
        <w:pStyle w:val="SingleParagraph"/>
      </w:pPr>
    </w:p>
    <w:p w14:paraId="290B374C" w14:textId="313843DD" w:rsidR="00F012EA" w:rsidRDefault="0064363A" w:rsidP="00F012EA">
      <w:pPr>
        <w:pStyle w:val="SingleParagraph"/>
      </w:pPr>
      <w:r>
        <w:t>Jonathan Hambur</w:t>
      </w:r>
    </w:p>
    <w:p w14:paraId="120817A1" w14:textId="682CF4C4" w:rsidR="00F012EA" w:rsidRDefault="0064363A" w:rsidP="00F012EA">
      <w:pPr>
        <w:pStyle w:val="SingleParagraph"/>
      </w:pPr>
      <w:r>
        <w:t>Macroeconomic Group</w:t>
      </w:r>
    </w:p>
    <w:p w14:paraId="5B7F4897" w14:textId="77777777" w:rsidR="00F012EA" w:rsidRDefault="00F012EA" w:rsidP="00F012EA">
      <w:pPr>
        <w:pStyle w:val="SingleParagraph"/>
      </w:pPr>
      <w:r>
        <w:t>The Treasury</w:t>
      </w:r>
    </w:p>
    <w:p w14:paraId="3D109F2C" w14:textId="77777777" w:rsidR="00F012EA" w:rsidRDefault="00F012EA" w:rsidP="00F012EA">
      <w:pPr>
        <w:pStyle w:val="SingleParagraph"/>
      </w:pPr>
      <w:r>
        <w:t>Langton Crescent</w:t>
      </w:r>
    </w:p>
    <w:p w14:paraId="41B73E6A" w14:textId="77777777" w:rsidR="00F012EA" w:rsidRDefault="00F012EA" w:rsidP="00F012EA">
      <w:pPr>
        <w:pStyle w:val="SingleParagraph"/>
      </w:pPr>
      <w:proofErr w:type="gramStart"/>
      <w:r>
        <w:t>Parkes  ACT</w:t>
      </w:r>
      <w:proofErr w:type="gramEnd"/>
      <w:r>
        <w:t xml:space="preserve">  2600</w:t>
      </w:r>
    </w:p>
    <w:p w14:paraId="2DE243C6" w14:textId="77777777" w:rsidR="00F012EA" w:rsidRDefault="00F012EA" w:rsidP="00F012EA">
      <w:pPr>
        <w:pStyle w:val="SingleParagraph"/>
      </w:pPr>
    </w:p>
    <w:p w14:paraId="66B64EB2" w14:textId="77777777" w:rsidR="00F012EA" w:rsidRDefault="00F012EA" w:rsidP="008627B1"/>
    <w:p w14:paraId="7AF5EB09" w14:textId="77777777" w:rsidR="00F012EA" w:rsidRDefault="00F012EA" w:rsidP="008627B1">
      <w:pPr>
        <w:sectPr w:rsidR="00F012EA" w:rsidSect="008C0793">
          <w:pgSz w:w="11906" w:h="16838" w:code="9"/>
          <w:pgMar w:top="1418" w:right="1304" w:bottom="1418" w:left="1304" w:header="567" w:footer="567" w:gutter="0"/>
          <w:cols w:space="708"/>
          <w:titlePg/>
          <w:docGrid w:linePitch="360"/>
        </w:sectPr>
      </w:pPr>
    </w:p>
    <w:p w14:paraId="4746B972" w14:textId="77777777" w:rsidR="00F012EA" w:rsidRPr="00A57848" w:rsidRDefault="00F012EA" w:rsidP="00EB4989">
      <w:pPr>
        <w:pStyle w:val="Heading2"/>
      </w:pPr>
      <w:bookmarkStart w:id="1" w:name="_Toc271526783"/>
      <w:bookmarkStart w:id="2" w:name="_Toc320810314"/>
      <w:r w:rsidRPr="00A57848">
        <w:lastRenderedPageBreak/>
        <w:t>Introduction</w:t>
      </w:r>
      <w:bookmarkEnd w:id="1"/>
      <w:bookmarkEnd w:id="2"/>
    </w:p>
    <w:p w14:paraId="04859961" w14:textId="554009CD" w:rsidR="002A04AC" w:rsidRDefault="00DE3A01" w:rsidP="006738B3">
      <w:pPr>
        <w:jc w:val="both"/>
      </w:pPr>
      <w:r>
        <w:t xml:space="preserve">Over the medium term, growth in </w:t>
      </w:r>
      <w:r w:rsidR="00426ADC">
        <w:t>Australia</w:t>
      </w:r>
      <w:r w:rsidR="00AA5B97">
        <w:t>’</w:t>
      </w:r>
      <w:r w:rsidR="00426ADC">
        <w:t xml:space="preserve">s living standards </w:t>
      </w:r>
      <w:r>
        <w:t>will be driven by growth in productivity</w:t>
      </w:r>
      <w:r w:rsidR="00426ADC">
        <w:t xml:space="preserve">. </w:t>
      </w:r>
      <w:r w:rsidR="002A04AC">
        <w:t xml:space="preserve">However, </w:t>
      </w:r>
      <w:r w:rsidR="006D2F8C">
        <w:t>like</w:t>
      </w:r>
      <w:r w:rsidR="002A04AC">
        <w:t xml:space="preserve"> </w:t>
      </w:r>
      <w:r w:rsidR="00F47D47">
        <w:t>other advanced economies</w:t>
      </w:r>
      <w:r w:rsidR="002A04AC">
        <w:t xml:space="preserve">, </w:t>
      </w:r>
      <w:r w:rsidR="00123FF7">
        <w:t>productivity</w:t>
      </w:r>
      <w:r w:rsidR="002A04AC">
        <w:t xml:space="preserve"> growth in </w:t>
      </w:r>
      <w:r w:rsidR="00123FF7">
        <w:t>Australia</w:t>
      </w:r>
      <w:r w:rsidR="002A04AC">
        <w:t xml:space="preserve"> has </w:t>
      </w:r>
      <w:r w:rsidR="006D2F8C">
        <w:t>s</w:t>
      </w:r>
      <w:r w:rsidR="002A04AC">
        <w:t>lowed since the mid</w:t>
      </w:r>
      <w:r w:rsidR="00AA5B97">
        <w:noBreakHyphen/>
      </w:r>
      <w:r w:rsidR="002A04AC">
        <w:t xml:space="preserve">2000s. </w:t>
      </w:r>
      <w:r w:rsidR="00123FF7">
        <w:t>Understanding</w:t>
      </w:r>
      <w:r w:rsidR="002A04AC">
        <w:t xml:space="preserve"> the causes of this slowdown, and</w:t>
      </w:r>
      <w:r>
        <w:t xml:space="preserve"> therefore which </w:t>
      </w:r>
      <w:r w:rsidR="002A04AC">
        <w:t xml:space="preserve">policies </w:t>
      </w:r>
      <w:r>
        <w:t>could</w:t>
      </w:r>
      <w:r w:rsidR="002A04AC">
        <w:t xml:space="preserve"> address </w:t>
      </w:r>
      <w:r w:rsidR="006738B3">
        <w:t>it</w:t>
      </w:r>
      <w:r w:rsidR="002A04AC">
        <w:t>, represents one of the most crucial</w:t>
      </w:r>
      <w:r w:rsidR="00123FF7">
        <w:t xml:space="preserve"> roles for academics and policymakers.</w:t>
      </w:r>
      <w:r>
        <w:t xml:space="preserve"> As such, over the past decade there has been a large amount of research and debate</w:t>
      </w:r>
      <w:r w:rsidR="00E64E1B">
        <w:t xml:space="preserve"> around the causes of the global productivity slowdown.</w:t>
      </w:r>
    </w:p>
    <w:p w14:paraId="40F1CD84" w14:textId="676BCAE3" w:rsidR="00413141" w:rsidRDefault="007E0165" w:rsidP="006738B3">
      <w:pPr>
        <w:jc w:val="both"/>
      </w:pPr>
      <w:r>
        <w:t>One key question</w:t>
      </w:r>
      <w:r w:rsidR="00123FF7">
        <w:t xml:space="preserve"> </w:t>
      </w:r>
      <w:r>
        <w:t xml:space="preserve">is whether </w:t>
      </w:r>
      <w:r w:rsidR="00E64E1B">
        <w:t>the productivity slowdown reflects slower</w:t>
      </w:r>
      <w:r>
        <w:t xml:space="preserve"> technological progress. </w:t>
      </w:r>
      <w:r w:rsidR="00E64E1B">
        <w:t>For example, some</w:t>
      </w:r>
      <w:r>
        <w:t xml:space="preserve"> argue that the </w:t>
      </w:r>
      <w:r w:rsidR="00E64E1B">
        <w:t xml:space="preserve">productivity </w:t>
      </w:r>
      <w:r>
        <w:t xml:space="preserve">slowdown reflects a </w:t>
      </w:r>
      <w:r w:rsidR="00AA5B97">
        <w:t>‘</w:t>
      </w:r>
      <w:r>
        <w:t>return to normal</w:t>
      </w:r>
      <w:r w:rsidR="00AA5B97">
        <w:t>’</w:t>
      </w:r>
      <w:r>
        <w:t xml:space="preserve"> following a period of </w:t>
      </w:r>
      <w:r w:rsidR="005B5784">
        <w:t>transformative technological innovation (</w:t>
      </w:r>
      <w:r w:rsidR="0008265E">
        <w:t>for example,</w:t>
      </w:r>
      <w:r w:rsidR="005B5784">
        <w:t xml:space="preserve"> electrification and information technology</w:t>
      </w:r>
      <w:r w:rsidR="00E64E1B">
        <w:t>; Gordon 2012</w:t>
      </w:r>
      <w:r w:rsidR="005B5784">
        <w:t>). O</w:t>
      </w:r>
      <w:r>
        <w:t xml:space="preserve">thers argue that </w:t>
      </w:r>
      <w:r w:rsidR="005B5784">
        <w:t>current innovations can be just as transformative</w:t>
      </w:r>
      <w:r w:rsidR="00E64E1B">
        <w:t xml:space="preserve"> (see Brynjolfsson and McAfee 2011; Mokyr 2013)</w:t>
      </w:r>
      <w:r w:rsidR="00413141">
        <w:t>.</w:t>
      </w:r>
    </w:p>
    <w:p w14:paraId="40BC7494" w14:textId="2B889773" w:rsidR="00123FF7" w:rsidRDefault="007E0165" w:rsidP="006738B3">
      <w:pPr>
        <w:jc w:val="both"/>
      </w:pPr>
      <w:r>
        <w:t>Supporting this latter view,</w:t>
      </w:r>
      <w:r w:rsidR="00AC0EAA">
        <w:t xml:space="preserve"> international evidence suggests progress </w:t>
      </w:r>
      <w:r w:rsidR="00123FF7">
        <w:t xml:space="preserve">for firms </w:t>
      </w:r>
      <w:r w:rsidR="00AC0EAA">
        <w:t>at the global frontier has remained strong</w:t>
      </w:r>
      <w:r w:rsidR="00413141">
        <w:t>. However, cutting</w:t>
      </w:r>
      <w:r w:rsidR="00AA5B97">
        <w:noBreakHyphen/>
      </w:r>
      <w:r w:rsidR="00413141">
        <w:t xml:space="preserve">edge technologies and processes appear to be diffusing to other firms more slowly. </w:t>
      </w:r>
      <w:proofErr w:type="gramStart"/>
      <w:r w:rsidR="00413141">
        <w:t>In particular</w:t>
      </w:r>
      <w:r w:rsidR="00B55551">
        <w:t>, Andrews</w:t>
      </w:r>
      <w:proofErr w:type="gramEnd"/>
      <w:r w:rsidR="00B55551">
        <w:t xml:space="preserve"> et al (2019)</w:t>
      </w:r>
      <w:r w:rsidR="00413141">
        <w:t xml:space="preserve"> </w:t>
      </w:r>
      <w:r w:rsidR="00B55551">
        <w:t xml:space="preserve">find that </w:t>
      </w:r>
      <w:r w:rsidR="00413141">
        <w:t>the</w:t>
      </w:r>
      <w:r w:rsidR="00AC0EAA">
        <w:t xml:space="preserve"> gap between </w:t>
      </w:r>
      <w:r w:rsidR="00D01A20">
        <w:t>global</w:t>
      </w:r>
      <w:r w:rsidR="00AC0EAA">
        <w:t xml:space="preserve"> frontier </w:t>
      </w:r>
      <w:r w:rsidR="00123FF7">
        <w:t xml:space="preserve">firms </w:t>
      </w:r>
      <w:r w:rsidR="00AC0EAA">
        <w:t xml:space="preserve">and </w:t>
      </w:r>
      <w:r w:rsidR="00123FF7">
        <w:t>other</w:t>
      </w:r>
      <w:r w:rsidR="00AC0EAA">
        <w:t xml:space="preserve"> </w:t>
      </w:r>
      <w:r w:rsidR="00AA5B97">
        <w:t>‘</w:t>
      </w:r>
      <w:r w:rsidR="00AC0EAA">
        <w:t>laggard</w:t>
      </w:r>
      <w:r w:rsidR="00AA5B97">
        <w:t>’</w:t>
      </w:r>
      <w:r w:rsidR="00AC0EAA">
        <w:t xml:space="preserve"> firms </w:t>
      </w:r>
      <w:r w:rsidR="00413141">
        <w:t xml:space="preserve">within </w:t>
      </w:r>
      <w:r w:rsidR="00D01A20">
        <w:t>the same industries</w:t>
      </w:r>
      <w:r w:rsidR="00413141">
        <w:t xml:space="preserve"> has grown, and </w:t>
      </w:r>
      <w:r w:rsidR="00D01A20">
        <w:t xml:space="preserve">laggard </w:t>
      </w:r>
      <w:r w:rsidR="005B5784">
        <w:t>firms</w:t>
      </w:r>
      <w:r w:rsidR="00693096">
        <w:t xml:space="preserve"> </w:t>
      </w:r>
      <w:r w:rsidR="006738B3">
        <w:t xml:space="preserve">now </w:t>
      </w:r>
      <w:r w:rsidR="00693096">
        <w:t>seem to be slower to catch up to the global frontier</w:t>
      </w:r>
      <w:r w:rsidR="00413141">
        <w:t xml:space="preserve">. </w:t>
      </w:r>
      <w:r w:rsidR="00D01A20">
        <w:t xml:space="preserve">This suggests that </w:t>
      </w:r>
      <w:r w:rsidR="00413141">
        <w:t xml:space="preserve">the </w:t>
      </w:r>
      <w:r w:rsidR="006E5E08">
        <w:t xml:space="preserve">issue </w:t>
      </w:r>
      <w:r w:rsidR="00D01A20">
        <w:t>is</w:t>
      </w:r>
      <w:r w:rsidR="006E5E08">
        <w:t xml:space="preserve"> slower diffusion of knowledge, not slower technological progress</w:t>
      </w:r>
    </w:p>
    <w:p w14:paraId="7F4529F2" w14:textId="125350E2" w:rsidR="00AC0EAA" w:rsidRDefault="00D01A20" w:rsidP="006738B3">
      <w:pPr>
        <w:jc w:val="both"/>
      </w:pPr>
      <w:r>
        <w:t>While these patterns have been documented</w:t>
      </w:r>
      <w:r w:rsidR="00693096">
        <w:t xml:space="preserve"> internationally, l</w:t>
      </w:r>
      <w:r w:rsidR="00123FF7">
        <w:t>i</w:t>
      </w:r>
      <w:r w:rsidR="00AC0EAA">
        <w:t xml:space="preserve">ttle is known about whether </w:t>
      </w:r>
      <w:r>
        <w:t>they hold</w:t>
      </w:r>
      <w:r w:rsidR="00AC0EAA">
        <w:t xml:space="preserve"> true for Australia. </w:t>
      </w:r>
      <w:r w:rsidR="00BF1EC1">
        <w:t>T</w:t>
      </w:r>
      <w:r w:rsidR="00AC0EAA">
        <w:t>his paper exploits firm</w:t>
      </w:r>
      <w:r w:rsidR="00AA5B97">
        <w:noBreakHyphen/>
      </w:r>
      <w:r w:rsidR="00AC0EAA">
        <w:t xml:space="preserve">level data from </w:t>
      </w:r>
      <w:r w:rsidR="00622835">
        <w:t>in Australia</w:t>
      </w:r>
      <w:r w:rsidR="00AA5B97">
        <w:t>’</w:t>
      </w:r>
      <w:r w:rsidR="00622835">
        <w:t xml:space="preserve">s </w:t>
      </w:r>
      <w:r w:rsidR="00AC0EAA">
        <w:t xml:space="preserve">BLADE </w:t>
      </w:r>
      <w:r w:rsidR="00622835">
        <w:t xml:space="preserve">dataset </w:t>
      </w:r>
      <w:r w:rsidR="00AC0EAA">
        <w:t xml:space="preserve">and </w:t>
      </w:r>
      <w:r w:rsidR="00622835">
        <w:t xml:space="preserve">the </w:t>
      </w:r>
      <w:r w:rsidR="00AC0EAA">
        <w:t>OECD</w:t>
      </w:r>
      <w:r w:rsidR="00AA5B97">
        <w:t>’</w:t>
      </w:r>
      <w:r w:rsidR="00622835">
        <w:t xml:space="preserve">s </w:t>
      </w:r>
      <w:r w:rsidR="0028095E">
        <w:t xml:space="preserve">international </w:t>
      </w:r>
      <w:r w:rsidR="00AC0EAA">
        <w:t xml:space="preserve">Orbis </w:t>
      </w:r>
      <w:r w:rsidR="00622835">
        <w:t xml:space="preserve">dataset </w:t>
      </w:r>
      <w:r w:rsidR="00AC0EAA">
        <w:t xml:space="preserve">to provide new evidence on the labour productivity of Australian firms and how this compares to productivity </w:t>
      </w:r>
      <w:r w:rsidR="0028095E">
        <w:t>for industry peers at the</w:t>
      </w:r>
      <w:r w:rsidR="00AC0EAA">
        <w:t xml:space="preserve"> global frontier.</w:t>
      </w:r>
      <w:r w:rsidR="00DC5D70">
        <w:t xml:space="preserve"> </w:t>
      </w:r>
      <w:r w:rsidR="003D7699">
        <w:t xml:space="preserve">We focus our analysis on </w:t>
      </w:r>
      <w:r w:rsidR="0028095E">
        <w:t>the</w:t>
      </w:r>
      <w:r w:rsidR="003D7699">
        <w:t xml:space="preserve"> subset of non</w:t>
      </w:r>
      <w:r w:rsidR="00AA5B97">
        <w:noBreakHyphen/>
      </w:r>
      <w:r w:rsidR="003D7699">
        <w:t xml:space="preserve">financial </w:t>
      </w:r>
      <w:r w:rsidR="0028095E">
        <w:t>no</w:t>
      </w:r>
      <w:r w:rsidR="007340A1">
        <w:t>n</w:t>
      </w:r>
      <w:r w:rsidR="00AA5B97">
        <w:noBreakHyphen/>
      </w:r>
      <w:r w:rsidR="0028095E">
        <w:t xml:space="preserve">resource </w:t>
      </w:r>
      <w:r w:rsidR="007340A1">
        <w:t>market</w:t>
      </w:r>
      <w:r w:rsidR="003D7699">
        <w:t xml:space="preserve"> sector industries that are well</w:t>
      </w:r>
      <w:r w:rsidR="00AA5B97">
        <w:noBreakHyphen/>
      </w:r>
      <w:r w:rsidR="003D7699">
        <w:t xml:space="preserve">suited for benchmarking, </w:t>
      </w:r>
      <w:r w:rsidR="00DC5D70">
        <w:t>consistent with the overseas literature.</w:t>
      </w:r>
      <w:r w:rsidR="007340A1">
        <w:t xml:space="preserve"> This covers manufacturing, goods distribution and retailing, and business and household services.</w:t>
      </w:r>
      <w:r w:rsidR="00C87EE9">
        <w:t xml:space="preserve"> However, we do exclude some sectors where Australian firms may be at the frontier, such as mining.</w:t>
      </w:r>
    </w:p>
    <w:p w14:paraId="404C6385" w14:textId="158E9765" w:rsidR="00F47D47" w:rsidRDefault="00F47D47" w:rsidP="00F47D47">
      <w:pPr>
        <w:jc w:val="both"/>
      </w:pPr>
      <w:r>
        <w:t>First, we show that the</w:t>
      </w:r>
      <w:r w:rsidR="002A7589">
        <w:t xml:space="preserve"> productivity</w:t>
      </w:r>
      <w:r>
        <w:t xml:space="preserve"> gap between the global frontier and Australian firms has grown over time. This pattern is consistent with evidence overseas, where firms across many countries have fallen further behind global leaders. In Australia, the divergence </w:t>
      </w:r>
      <w:r w:rsidR="002A7589">
        <w:t>is</w:t>
      </w:r>
      <w:r>
        <w:t xml:space="preserve"> particularly striking in the services sector, which </w:t>
      </w:r>
      <w:r w:rsidR="002A7589">
        <w:t>is</w:t>
      </w:r>
      <w:r>
        <w:t xml:space="preserve"> more protected from global competitive pressures.</w:t>
      </w:r>
    </w:p>
    <w:p w14:paraId="13888E82" w14:textId="1F95E91C" w:rsidR="00DC5D70" w:rsidRDefault="00DC5D70" w:rsidP="00DC5D70">
      <w:pPr>
        <w:jc w:val="both"/>
      </w:pPr>
      <w:r>
        <w:t xml:space="preserve">More importantly though, we find that Australian firms </w:t>
      </w:r>
      <w:r w:rsidR="002A7589">
        <w:t>are</w:t>
      </w:r>
      <w:r>
        <w:t xml:space="preserve"> catching up to the frontier more slowly</w:t>
      </w:r>
      <w:r w:rsidR="002A7589">
        <w:t xml:space="preserve"> than they did in the early 2000s</w:t>
      </w:r>
      <w:r>
        <w:t>. This suggests that Australian firms have been slower to adopt cutting</w:t>
      </w:r>
      <w:r w:rsidR="00AA5B97">
        <w:noBreakHyphen/>
      </w:r>
      <w:r>
        <w:t xml:space="preserve">edge technology and processes, and to improve their productivity performances more generally. </w:t>
      </w:r>
      <w:r w:rsidR="005A4A50">
        <w:t>In turn,</w:t>
      </w:r>
      <w:r w:rsidR="002A7589">
        <w:t xml:space="preserve"> slower within</w:t>
      </w:r>
      <w:r w:rsidR="00AA5B97">
        <w:noBreakHyphen/>
      </w:r>
      <w:r w:rsidR="002A7589">
        <w:t xml:space="preserve">firm </w:t>
      </w:r>
      <w:r w:rsidR="005A4A50">
        <w:t>productivity</w:t>
      </w:r>
      <w:r w:rsidR="002A7589">
        <w:t xml:space="preserve"> growth has </w:t>
      </w:r>
      <w:r w:rsidR="005A4A50">
        <w:t>weighed on aggregate productivity growth.</w:t>
      </w:r>
    </w:p>
    <w:p w14:paraId="2DCBD4AA" w14:textId="45BD346C" w:rsidR="005A4A50" w:rsidRDefault="0003545F" w:rsidP="006738B3">
      <w:pPr>
        <w:jc w:val="both"/>
      </w:pPr>
      <w:r>
        <w:t xml:space="preserve">We then attempt to </w:t>
      </w:r>
      <w:r w:rsidR="004025D4">
        <w:t>identify</w:t>
      </w:r>
      <w:r>
        <w:t xml:space="preserve"> factors </w:t>
      </w:r>
      <w:r w:rsidR="004025D4">
        <w:t xml:space="preserve">that could explain the slower </w:t>
      </w:r>
      <w:r w:rsidR="005A4A50">
        <w:t>catch</w:t>
      </w:r>
      <w:r w:rsidR="00AA5B97">
        <w:noBreakHyphen/>
      </w:r>
      <w:r w:rsidR="005A4A50">
        <w:t>up</w:t>
      </w:r>
      <w:r>
        <w:t xml:space="preserve">, focusing on </w:t>
      </w:r>
      <w:r w:rsidR="005330BB">
        <w:t>business</w:t>
      </w:r>
      <w:r>
        <w:t xml:space="preserve"> dynamism</w:t>
      </w:r>
      <w:r w:rsidR="004025D4">
        <w:t xml:space="preserve"> and competition</w:t>
      </w:r>
      <w:r>
        <w:t>.</w:t>
      </w:r>
      <w:r w:rsidR="0053492B">
        <w:t xml:space="preserve"> W</w:t>
      </w:r>
      <w:r w:rsidR="009C743C">
        <w:t xml:space="preserve">e </w:t>
      </w:r>
      <w:r w:rsidR="005A4A50">
        <w:t>focus on dynamism</w:t>
      </w:r>
      <w:r w:rsidR="009C743C">
        <w:t xml:space="preserve"> because the entry and exit of firms intensifies competitive pressure on incumbents</w:t>
      </w:r>
      <w:r w:rsidR="005A4A50">
        <w:t>, forcing them to improve or exit</w:t>
      </w:r>
      <w:r w:rsidR="00EB565A">
        <w:t>.</w:t>
      </w:r>
      <w:r w:rsidR="00693096">
        <w:t xml:space="preserve"> Entry also</w:t>
      </w:r>
      <w:r w:rsidR="009C743C">
        <w:t xml:space="preserve"> brings young firms into the market, who </w:t>
      </w:r>
      <w:r w:rsidR="00EB565A">
        <w:t>may be</w:t>
      </w:r>
      <w:r w:rsidR="009C743C">
        <w:t xml:space="preserve"> more likely to innovate</w:t>
      </w:r>
      <w:r w:rsidR="00693096">
        <w:t xml:space="preserve"> and</w:t>
      </w:r>
      <w:r w:rsidR="009C743C">
        <w:t xml:space="preserve"> adopt new technologies</w:t>
      </w:r>
      <w:r w:rsidR="00693096">
        <w:t xml:space="preserve"> or processes</w:t>
      </w:r>
      <w:r w:rsidR="009C743C">
        <w:t xml:space="preserve">. </w:t>
      </w:r>
    </w:p>
    <w:p w14:paraId="3F1A4806" w14:textId="02E5FDEF" w:rsidR="0003545F" w:rsidRDefault="0053492B" w:rsidP="006738B3">
      <w:pPr>
        <w:jc w:val="both"/>
      </w:pPr>
      <w:r>
        <w:t>Consistent with this expectation</w:t>
      </w:r>
      <w:r w:rsidR="00693096">
        <w:t>,</w:t>
      </w:r>
      <w:r>
        <w:t xml:space="preserve"> </w:t>
      </w:r>
      <w:r w:rsidR="009C743C">
        <w:t>firms in industries with higher entry, exit and turnover rates catch up to the global frontier</w:t>
      </w:r>
      <w:r>
        <w:t xml:space="preserve"> more quickly</w:t>
      </w:r>
      <w:r w:rsidR="005A4A50">
        <w:t>, as do firms in industries with lower mark</w:t>
      </w:r>
      <w:r w:rsidR="00AA5B97">
        <w:noBreakHyphen/>
      </w:r>
      <w:r w:rsidR="005A4A50">
        <w:t xml:space="preserve">ups (and therefore higher competitive pressures). </w:t>
      </w:r>
      <w:r w:rsidR="0028095E">
        <w:t>Simple calculations suggest that t</w:t>
      </w:r>
      <w:r w:rsidR="005A4A50">
        <w:t xml:space="preserve">he previously documented declines in business dynamism and </w:t>
      </w:r>
      <w:r w:rsidR="001C1A18">
        <w:t>competitive pressures</w:t>
      </w:r>
      <w:r w:rsidR="005A4A50">
        <w:t xml:space="preserve"> </w:t>
      </w:r>
      <w:r w:rsidR="001C1A18">
        <w:t xml:space="preserve">therefore appear to account for </w:t>
      </w:r>
      <w:r w:rsidR="00B74022">
        <w:t>half to three</w:t>
      </w:r>
      <w:r w:rsidR="00AA5B97">
        <w:noBreakHyphen/>
      </w:r>
      <w:r w:rsidR="00B74022">
        <w:t xml:space="preserve">quarters </w:t>
      </w:r>
      <w:r w:rsidR="001C1A18">
        <w:t>of the slowdown in the rate at which Australian firms catch up to the global frontier.</w:t>
      </w:r>
      <w:r w:rsidR="005A4A50">
        <w:t xml:space="preserve"> </w:t>
      </w:r>
    </w:p>
    <w:p w14:paraId="6E49D296" w14:textId="4E94CB65" w:rsidR="009C743C" w:rsidRDefault="007974F9" w:rsidP="006738B3">
      <w:pPr>
        <w:jc w:val="both"/>
      </w:pPr>
      <w:r>
        <w:lastRenderedPageBreak/>
        <w:t>Overall, our findings suggest that part of the slowdown in aggregate productivity growth</w:t>
      </w:r>
      <w:r w:rsidR="00B7386C">
        <w:t xml:space="preserve"> in Australia</w:t>
      </w:r>
      <w:r>
        <w:t xml:space="preserve"> reflects slower diffusion of cutting edge</w:t>
      </w:r>
      <w:r w:rsidR="00AA5B97">
        <w:noBreakHyphen/>
      </w:r>
      <w:r>
        <w:t>technologies and processes</w:t>
      </w:r>
      <w:r w:rsidR="00B7386C">
        <w:t>, and firm</w:t>
      </w:r>
      <w:r w:rsidR="00AA5B97">
        <w:noBreakHyphen/>
      </w:r>
      <w:r w:rsidR="00B7386C">
        <w:t>level improvements, as in other advanced economies. They also suggest that</w:t>
      </w:r>
      <w:r w:rsidR="00B74022">
        <w:t>,</w:t>
      </w:r>
      <w:r w:rsidR="00B7386C">
        <w:t xml:space="preserve"> while global factors could be contributing to slower diffusion,</w:t>
      </w:r>
      <w:r w:rsidR="0053492B">
        <w:t xml:space="preserve"> policies</w:t>
      </w:r>
      <w:r w:rsidR="00DC5D70">
        <w:t xml:space="preserve"> that</w:t>
      </w:r>
      <w:r w:rsidR="0053492B">
        <w:t xml:space="preserve"> remove barriers </w:t>
      </w:r>
      <w:r w:rsidR="001C3029">
        <w:t>to business</w:t>
      </w:r>
      <w:r w:rsidR="0053492B">
        <w:t xml:space="preserve"> dynamism and competitive pressure </w:t>
      </w:r>
      <w:r w:rsidR="00686B5D">
        <w:t xml:space="preserve">can </w:t>
      </w:r>
      <w:r w:rsidR="009C743C">
        <w:t xml:space="preserve">encourage firms to catch up </w:t>
      </w:r>
      <w:r w:rsidR="006809FA">
        <w:t xml:space="preserve">to </w:t>
      </w:r>
      <w:r w:rsidR="009C743C">
        <w:t xml:space="preserve">the global frontier, thereby improving aggregate labour productivity performance. </w:t>
      </w:r>
      <w:r w:rsidR="0053492B">
        <w:t xml:space="preserve">This motivates a </w:t>
      </w:r>
      <w:r w:rsidR="009C743C">
        <w:t>greater focus on the potential o</w:t>
      </w:r>
      <w:r w:rsidR="006809FA">
        <w:t xml:space="preserve">bstacles to </w:t>
      </w:r>
      <w:r w:rsidR="0053492B">
        <w:t>dynamism</w:t>
      </w:r>
      <w:r w:rsidR="009C743C">
        <w:t>.</w:t>
      </w:r>
      <w:r w:rsidR="00686B5D">
        <w:t xml:space="preserve"> Policies that facilitate more widespread adoption of emerging digital technologies can also play a role in improving productivity performance.</w:t>
      </w:r>
    </w:p>
    <w:p w14:paraId="2120BE7A" w14:textId="206E3F2A" w:rsidR="009C743C" w:rsidRDefault="009C743C" w:rsidP="006738B3">
      <w:pPr>
        <w:jc w:val="both"/>
      </w:pPr>
      <w:r>
        <w:t xml:space="preserve">The next section </w:t>
      </w:r>
      <w:r w:rsidR="00B74022">
        <w:t xml:space="preserve">of this working paper </w:t>
      </w:r>
      <w:r>
        <w:t>discusses international evidence on the global productivity slowdown</w:t>
      </w:r>
      <w:r w:rsidR="00EB061E">
        <w:t>, models of firm catch</w:t>
      </w:r>
      <w:r w:rsidR="00AA5B97">
        <w:noBreakHyphen/>
      </w:r>
      <w:r w:rsidR="00EB061E">
        <w:t xml:space="preserve">up, and market dynamism. Section 3 </w:t>
      </w:r>
      <w:r w:rsidR="006809FA">
        <w:t>focuses on</w:t>
      </w:r>
      <w:r w:rsidR="00EB061E">
        <w:t xml:space="preserve"> the datasets and the steps taken to clean the data, before presenting some preliminary findings. Section 4 sets up the econometric framework used to test for productivity convergence. Section 5 presents our key results before Section 6 concludes.</w:t>
      </w:r>
    </w:p>
    <w:p w14:paraId="00381D13" w14:textId="77777777" w:rsidR="00AA192A" w:rsidRPr="006738B3" w:rsidRDefault="00DB0225" w:rsidP="00B55551">
      <w:pPr>
        <w:pStyle w:val="Heading2"/>
      </w:pPr>
      <w:r w:rsidRPr="006738B3">
        <w:t>International Literature</w:t>
      </w:r>
    </w:p>
    <w:p w14:paraId="03C011B6" w14:textId="147B02A7" w:rsidR="00B360B1" w:rsidRPr="0072199F" w:rsidRDefault="00A70E06" w:rsidP="00EB565A">
      <w:pPr>
        <w:jc w:val="both"/>
      </w:pPr>
      <w:r w:rsidRPr="0072199F">
        <w:t xml:space="preserve">Productivity growth has slowed significantly in advanced economies over the past two decades. While the exact timings and magnitudes differ across countries, productivity measures, and even studies, </w:t>
      </w:r>
      <w:r w:rsidR="00112F9B" w:rsidRPr="0072199F">
        <w:t>there is consistent evidence that productivity growth today is slower than it was previously. For example, comparing the periods 1996</w:t>
      </w:r>
      <w:r w:rsidR="00242CF2">
        <w:softHyphen/>
      </w:r>
      <w:r w:rsidR="00AA5B97">
        <w:noBreakHyphen/>
      </w:r>
      <w:r w:rsidR="00112F9B" w:rsidRPr="0072199F">
        <w:t>2005 to 2006</w:t>
      </w:r>
      <w:r w:rsidR="00AA5B97">
        <w:noBreakHyphen/>
      </w:r>
      <w:r w:rsidR="00112F9B" w:rsidRPr="0072199F">
        <w:t>2017, Goldin et al (2021) document declines in labour productivity growth of between 0.8 and 1.75 percentage points across five advanced economies.</w:t>
      </w:r>
    </w:p>
    <w:p w14:paraId="22294E28" w14:textId="768DE8CC" w:rsidR="00112F9B" w:rsidRDefault="00112F9B" w:rsidP="00EB565A">
      <w:pPr>
        <w:jc w:val="both"/>
      </w:pPr>
      <w:r w:rsidRPr="0072199F">
        <w:t>Given the centrality of productivity growth to long</w:t>
      </w:r>
      <w:r w:rsidR="00AA5B97">
        <w:noBreakHyphen/>
      </w:r>
      <w:r w:rsidRPr="0072199F">
        <w:t xml:space="preserve">run growth in GDP and living standards, </w:t>
      </w:r>
      <w:r w:rsidR="0072199F" w:rsidRPr="0072199F">
        <w:t>a large literature has evolved trying to document the slowdown and understand its causes.</w:t>
      </w:r>
    </w:p>
    <w:p w14:paraId="7A74223F" w14:textId="33253390" w:rsidR="00B360B1" w:rsidRPr="00AD4EC9" w:rsidRDefault="00AD4EC9" w:rsidP="00C87EE9">
      <w:pPr>
        <w:pStyle w:val="Heading3"/>
      </w:pPr>
      <w:r>
        <w:t>2.1. Techno</w:t>
      </w:r>
      <w:r w:rsidR="00AA5B97">
        <w:noBreakHyphen/>
      </w:r>
      <w:r w:rsidR="004E00D4">
        <w:t>o</w:t>
      </w:r>
      <w:r>
        <w:t xml:space="preserve">ptimists and </w:t>
      </w:r>
      <w:r w:rsidR="004E00D4">
        <w:t>t</w:t>
      </w:r>
      <w:r>
        <w:t>echno</w:t>
      </w:r>
      <w:r w:rsidR="00AA5B97">
        <w:noBreakHyphen/>
      </w:r>
      <w:r w:rsidR="004E00D4">
        <w:t>p</w:t>
      </w:r>
      <w:r w:rsidR="00B360B1" w:rsidRPr="00AD4EC9">
        <w:t>essimists</w:t>
      </w:r>
    </w:p>
    <w:p w14:paraId="4C9F935E" w14:textId="7E6260D1" w:rsidR="00D93E8F" w:rsidRDefault="00B360B1" w:rsidP="00EB565A">
      <w:pPr>
        <w:jc w:val="both"/>
      </w:pPr>
      <w:r>
        <w:t>A key strand of this literature relates to the pace and economic potential of</w:t>
      </w:r>
      <w:r w:rsidR="00686B5D">
        <w:t xml:space="preserve"> current</w:t>
      </w:r>
      <w:r>
        <w:t xml:space="preserve"> innovations. Techno</w:t>
      </w:r>
      <w:r w:rsidR="00AA5B97">
        <w:noBreakHyphen/>
      </w:r>
      <w:r>
        <w:t xml:space="preserve">pessimists argue that the </w:t>
      </w:r>
      <w:r w:rsidR="0072199F">
        <w:t xml:space="preserve">productivity </w:t>
      </w:r>
      <w:r>
        <w:t>slowdown reflects diminishing returns to new innovations</w:t>
      </w:r>
      <w:r w:rsidR="00EB565A">
        <w:t>. A</w:t>
      </w:r>
      <w:r>
        <w:t xml:space="preserve">ll the </w:t>
      </w:r>
      <w:r w:rsidR="00AA5B97">
        <w:t>‘</w:t>
      </w:r>
      <w:r>
        <w:t>low</w:t>
      </w:r>
      <w:r w:rsidR="00AA5B97">
        <w:noBreakHyphen/>
      </w:r>
      <w:r>
        <w:t>hanging fruit</w:t>
      </w:r>
      <w:r w:rsidR="00AA5B97">
        <w:t>’</w:t>
      </w:r>
      <w:r>
        <w:t xml:space="preserve"> innovations of the 19</w:t>
      </w:r>
      <w:r w:rsidRPr="00C91E39">
        <w:t>th</w:t>
      </w:r>
      <w:r>
        <w:t xml:space="preserve"> and early 20</w:t>
      </w:r>
      <w:r w:rsidRPr="00C91E39">
        <w:t>th</w:t>
      </w:r>
      <w:r>
        <w:t xml:space="preserve"> centuries</w:t>
      </w:r>
      <w:r w:rsidR="0072199F">
        <w:t>, like electrification,</w:t>
      </w:r>
      <w:r>
        <w:t xml:space="preserve"> were far more significant</w:t>
      </w:r>
      <w:r w:rsidR="0072199F">
        <w:t xml:space="preserve"> and transformative</w:t>
      </w:r>
      <w:r>
        <w:t xml:space="preserve"> than anything seen since, and th</w:t>
      </w:r>
      <w:r w:rsidR="006809FA">
        <w:t>ese innovations can only occur</w:t>
      </w:r>
      <w:r>
        <w:t xml:space="preserve"> once (Gordon 2012)</w:t>
      </w:r>
      <w:r w:rsidR="00554034">
        <w:t>.</w:t>
      </w:r>
      <w:r w:rsidR="00477B0A">
        <w:t xml:space="preserve"> </w:t>
      </w:r>
      <w:r w:rsidR="00554034">
        <w:t>On the other hand, techno</w:t>
      </w:r>
      <w:r w:rsidR="00AA5B97">
        <w:noBreakHyphen/>
      </w:r>
      <w:r w:rsidR="00554034">
        <w:t xml:space="preserve">optimists argue that </w:t>
      </w:r>
      <w:r w:rsidR="00477B0A">
        <w:t>current advancements, such as Artificial Intelligence, are just as transformative</w:t>
      </w:r>
      <w:r w:rsidR="006E5E08">
        <w:t xml:space="preserve"> (Brynjolfsson </w:t>
      </w:r>
      <w:r w:rsidR="00D93E8F">
        <w:t>and</w:t>
      </w:r>
      <w:r w:rsidR="006E5E08">
        <w:t xml:space="preserve"> McAfee 2011</w:t>
      </w:r>
      <w:r w:rsidR="00D93E8F">
        <w:t>; Mokyr 2013</w:t>
      </w:r>
      <w:r w:rsidR="006E5E08">
        <w:t xml:space="preserve">). </w:t>
      </w:r>
    </w:p>
    <w:p w14:paraId="33745ED0" w14:textId="30067E4A" w:rsidR="008F2AFE" w:rsidRDefault="006E5E08" w:rsidP="00EB565A">
      <w:pPr>
        <w:jc w:val="both"/>
      </w:pPr>
      <w:r>
        <w:t>How can this view</w:t>
      </w:r>
      <w:r w:rsidR="00D93E8F">
        <w:t xml:space="preserve"> latter view</w:t>
      </w:r>
      <w:r>
        <w:t xml:space="preserve"> be squared with slowing productivity growth? One </w:t>
      </w:r>
      <w:r w:rsidR="00D93E8F">
        <w:t>explanation</w:t>
      </w:r>
      <w:r>
        <w:t xml:space="preserve"> put forward </w:t>
      </w:r>
      <w:r w:rsidR="00C80862">
        <w:t>in</w:t>
      </w:r>
      <w:r>
        <w:t xml:space="preserve"> the literature is that the process of technological diffusion has slowed.</w:t>
      </w:r>
      <w:r w:rsidR="0028095E">
        <w:t xml:space="preserve"> </w:t>
      </w:r>
      <w:r w:rsidR="00D93E8F">
        <w:t xml:space="preserve">Technological diffusion </w:t>
      </w:r>
      <w:r w:rsidR="005927D9">
        <w:t>is</w:t>
      </w:r>
      <w:r w:rsidR="008F2AFE">
        <w:t xml:space="preserve"> </w:t>
      </w:r>
      <w:r w:rsidR="005927D9">
        <w:t>a key step</w:t>
      </w:r>
      <w:r w:rsidR="008F2AFE">
        <w:t xml:space="preserve"> in economic growth. Frontier firms innovate, and then over time other firms can adopt the new technologies, improving their performance and helping to further lift the productive capacity of the economy. </w:t>
      </w:r>
      <w:r w:rsidR="00AE6EE0">
        <w:t xml:space="preserve">This process of adoption means </w:t>
      </w:r>
      <w:r w:rsidR="00D93E8F">
        <w:t xml:space="preserve">that </w:t>
      </w:r>
      <w:r w:rsidR="00AE6EE0">
        <w:t xml:space="preserve">firms further away from the frontier can </w:t>
      </w:r>
      <w:r w:rsidR="00D93E8F">
        <w:t>improve</w:t>
      </w:r>
      <w:r w:rsidR="00AE6EE0">
        <w:t xml:space="preserve"> productivity quickly and converge towards the frontier. S</w:t>
      </w:r>
      <w:r w:rsidR="001E3DDC">
        <w:t xml:space="preserve">everal </w:t>
      </w:r>
      <w:r w:rsidR="00AE6EE0">
        <w:t>empirical papers have found evidence</w:t>
      </w:r>
      <w:r w:rsidR="001E3DDC">
        <w:t xml:space="preserve"> supporting this notion of firm</w:t>
      </w:r>
      <w:r w:rsidR="00AA5B97">
        <w:noBreakHyphen/>
      </w:r>
      <w:r w:rsidR="001E3DDC">
        <w:t>level productivity convergence (</w:t>
      </w:r>
      <w:r w:rsidR="00C91E39">
        <w:t>for example,</w:t>
      </w:r>
      <w:r w:rsidR="001E3DDC">
        <w:t xml:space="preserve"> </w:t>
      </w:r>
      <w:r w:rsidR="007F688F">
        <w:t>Andrews et al 2019</w:t>
      </w:r>
      <w:r w:rsidR="001E3DDC">
        <w:t>;</w:t>
      </w:r>
      <w:r w:rsidR="008F2AFE">
        <w:t xml:space="preserve"> Griffith, </w:t>
      </w:r>
      <w:proofErr w:type="gramStart"/>
      <w:r w:rsidR="008F2AFE">
        <w:t>Redding</w:t>
      </w:r>
      <w:proofErr w:type="gramEnd"/>
      <w:r w:rsidR="008F2AFE">
        <w:t xml:space="preserve"> and Simpson </w:t>
      </w:r>
      <w:r w:rsidR="001E3DDC">
        <w:t>2009</w:t>
      </w:r>
      <w:r w:rsidR="00022667">
        <w:t xml:space="preserve">; </w:t>
      </w:r>
      <w:proofErr w:type="spellStart"/>
      <w:r w:rsidR="00022667">
        <w:t>Berlingieri</w:t>
      </w:r>
      <w:proofErr w:type="spellEnd"/>
      <w:r w:rsidR="00022667">
        <w:t xml:space="preserve"> et al 2020</w:t>
      </w:r>
      <w:r w:rsidR="00816F72">
        <w:t xml:space="preserve">; </w:t>
      </w:r>
      <w:proofErr w:type="spellStart"/>
      <w:r w:rsidR="00816F72">
        <w:t>Bartelsman</w:t>
      </w:r>
      <w:proofErr w:type="spellEnd"/>
      <w:r w:rsidR="00816F72">
        <w:t xml:space="preserve"> et al 2008; </w:t>
      </w:r>
      <w:proofErr w:type="spellStart"/>
      <w:r w:rsidR="00816F72">
        <w:t>Iacovone</w:t>
      </w:r>
      <w:proofErr w:type="spellEnd"/>
      <w:r w:rsidR="00816F72">
        <w:t xml:space="preserve"> and </w:t>
      </w:r>
      <w:proofErr w:type="spellStart"/>
      <w:r w:rsidR="00816F72">
        <w:t>Crespi</w:t>
      </w:r>
      <w:proofErr w:type="spellEnd"/>
      <w:r w:rsidR="00816F72">
        <w:t xml:space="preserve"> 2010</w:t>
      </w:r>
      <w:r w:rsidR="001E3DDC">
        <w:t>)</w:t>
      </w:r>
      <w:r w:rsidR="00B55551">
        <w:t>.</w:t>
      </w:r>
    </w:p>
    <w:p w14:paraId="316FCAE0" w14:textId="21636B62" w:rsidR="005927D9" w:rsidRDefault="00D93E8F" w:rsidP="00EB565A">
      <w:pPr>
        <w:jc w:val="both"/>
      </w:pPr>
      <w:r>
        <w:t xml:space="preserve">But why would technological diffusion have slowed? </w:t>
      </w:r>
      <w:r w:rsidR="001E3DDC">
        <w:t xml:space="preserve">One </w:t>
      </w:r>
      <w:r w:rsidR="005D6E5F">
        <w:t>more benign explanation is</w:t>
      </w:r>
      <w:r w:rsidR="001E3DDC">
        <w:t xml:space="preserve"> that </w:t>
      </w:r>
      <w:r w:rsidR="005927D9">
        <w:t xml:space="preserve">some </w:t>
      </w:r>
      <w:r w:rsidR="001E3DDC">
        <w:t xml:space="preserve">recent </w:t>
      </w:r>
      <w:r w:rsidR="001F4CCF">
        <w:t>innovations</w:t>
      </w:r>
      <w:r w:rsidR="005927D9">
        <w:t xml:space="preserve"> are </w:t>
      </w:r>
      <w:r w:rsidR="00AA5B97">
        <w:t>‘</w:t>
      </w:r>
      <w:r w:rsidR="005927D9">
        <w:t xml:space="preserve">general purpose </w:t>
      </w:r>
      <w:proofErr w:type="gramStart"/>
      <w:r w:rsidR="005927D9">
        <w:t>technologies</w:t>
      </w:r>
      <w:r w:rsidR="00AA5B97">
        <w:t>’</w:t>
      </w:r>
      <w:proofErr w:type="gramEnd"/>
      <w:r w:rsidR="001F4CCF">
        <w:t>. These are technologies with broad use and application</w:t>
      </w:r>
      <w:r w:rsidR="005927D9">
        <w:t xml:space="preserve">, which often take time to diffuse fully through the economy as they require </w:t>
      </w:r>
      <w:r w:rsidR="00BD6DC8">
        <w:t>substantial</w:t>
      </w:r>
      <w:r w:rsidR="001F4CCF">
        <w:t xml:space="preserve"> investments </w:t>
      </w:r>
      <w:r w:rsidR="00EB565A">
        <w:t xml:space="preserve">before they can be </w:t>
      </w:r>
      <w:r w:rsidR="001F4CCF">
        <w:t>integrate</w:t>
      </w:r>
      <w:r w:rsidR="00EB565A">
        <w:t>d</w:t>
      </w:r>
      <w:r w:rsidR="001F4CCF">
        <w:t xml:space="preserve"> </w:t>
      </w:r>
      <w:r w:rsidR="00EB565A">
        <w:t>f</w:t>
      </w:r>
      <w:r w:rsidR="001F4CCF">
        <w:t>ully into the economy</w:t>
      </w:r>
      <w:r w:rsidR="005927D9">
        <w:t xml:space="preserve">. </w:t>
      </w:r>
      <w:r w:rsidR="001E3DDC">
        <w:t>A past example is electricity</w:t>
      </w:r>
      <w:r w:rsidR="00B47935">
        <w:t>;</w:t>
      </w:r>
      <w:r w:rsidR="001E3DDC">
        <w:t xml:space="preserve"> the process of </w:t>
      </w:r>
      <w:r w:rsidR="005D6E5F">
        <w:t>electrification</w:t>
      </w:r>
      <w:r w:rsidR="001E3DDC">
        <w:t xml:space="preserve"> </w:t>
      </w:r>
      <w:r w:rsidR="00B47935">
        <w:t>took</w:t>
      </w:r>
      <w:r w:rsidR="001E3DDC">
        <w:t xml:space="preserve"> decades </w:t>
      </w:r>
      <w:r w:rsidR="00DC5D70">
        <w:t xml:space="preserve">even </w:t>
      </w:r>
      <w:r w:rsidR="001E3DDC">
        <w:t>in more advanced economies (</w:t>
      </w:r>
      <w:proofErr w:type="spellStart"/>
      <w:r w:rsidR="001E3DDC" w:rsidRPr="00C80862">
        <w:t>Boja</w:t>
      </w:r>
      <w:r w:rsidR="005D6E5F" w:rsidRPr="00C80862">
        <w:t>n</w:t>
      </w:r>
      <w:r w:rsidR="001E3DDC" w:rsidRPr="00C80862">
        <w:t>ovic</w:t>
      </w:r>
      <w:proofErr w:type="spellEnd"/>
      <w:r w:rsidR="001E3DDC" w:rsidRPr="00C80862">
        <w:t xml:space="preserve"> and Rosseau </w:t>
      </w:r>
      <w:r w:rsidR="005D6E5F" w:rsidRPr="00C80862">
        <w:t>2005</w:t>
      </w:r>
      <w:r w:rsidR="005D6E5F">
        <w:t>)</w:t>
      </w:r>
      <w:r w:rsidR="005927D9">
        <w:t xml:space="preserve">. </w:t>
      </w:r>
      <w:r w:rsidR="005D6E5F">
        <w:t>Another, less benign explanation is that</w:t>
      </w:r>
      <w:r w:rsidR="005927D9">
        <w:t xml:space="preserve"> structural factors that either prevent adoption</w:t>
      </w:r>
      <w:r w:rsidR="00B47935">
        <w:t xml:space="preserve"> –</w:t>
      </w:r>
      <w:r w:rsidR="005927D9">
        <w:t xml:space="preserve"> like financing frictions</w:t>
      </w:r>
      <w:r w:rsidR="003B7A1B">
        <w:t xml:space="preserve"> or anticompetitive use of intellectual property (</w:t>
      </w:r>
      <w:proofErr w:type="spellStart"/>
      <w:r w:rsidR="002A2F54" w:rsidRPr="00C80862">
        <w:t>Akcigit</w:t>
      </w:r>
      <w:proofErr w:type="spellEnd"/>
      <w:r w:rsidR="002A2F54" w:rsidRPr="00C80862">
        <w:t xml:space="preserve"> and </w:t>
      </w:r>
      <w:proofErr w:type="spellStart"/>
      <w:r w:rsidR="002A2F54" w:rsidRPr="00C80862">
        <w:t>Ates</w:t>
      </w:r>
      <w:proofErr w:type="spellEnd"/>
      <w:r w:rsidR="002A2F54" w:rsidRPr="00C80862">
        <w:t xml:space="preserve"> 2019</w:t>
      </w:r>
      <w:r w:rsidR="002A2F54">
        <w:t>)</w:t>
      </w:r>
      <w:r w:rsidR="00B47935">
        <w:t xml:space="preserve"> –</w:t>
      </w:r>
      <w:r w:rsidR="005927D9">
        <w:t xml:space="preserve"> or declining incentives to do so</w:t>
      </w:r>
      <w:r w:rsidR="005D6E5F">
        <w:t xml:space="preserve"> due</w:t>
      </w:r>
      <w:r w:rsidR="00B47935">
        <w:t xml:space="preserve"> </w:t>
      </w:r>
      <w:proofErr w:type="spellStart"/>
      <w:r w:rsidR="00B47935">
        <w:lastRenderedPageBreak/>
        <w:t>due</w:t>
      </w:r>
      <w:proofErr w:type="spellEnd"/>
      <w:r w:rsidR="00B47935">
        <w:t xml:space="preserve"> to declining dynamism and less competitive pressure</w:t>
      </w:r>
      <w:r w:rsidR="003B7A1B">
        <w:t>, have slowed the diffusion process</w:t>
      </w:r>
      <w:r w:rsidR="005D6E5F">
        <w:t xml:space="preserve"> (</w:t>
      </w:r>
      <w:r w:rsidR="002A2F54">
        <w:t>Andrews et</w:t>
      </w:r>
      <w:r w:rsidR="00C91E39">
        <w:t> </w:t>
      </w:r>
      <w:proofErr w:type="gramStart"/>
      <w:r w:rsidR="002A2F54">
        <w:t>al</w:t>
      </w:r>
      <w:r w:rsidR="00C91E39">
        <w:t> </w:t>
      </w:r>
      <w:r w:rsidR="002A2F54">
        <w:t xml:space="preserve"> 2019</w:t>
      </w:r>
      <w:proofErr w:type="gramEnd"/>
      <w:r w:rsidR="005D6E5F">
        <w:t>)</w:t>
      </w:r>
      <w:r w:rsidR="005927D9">
        <w:t xml:space="preserve">. </w:t>
      </w:r>
    </w:p>
    <w:p w14:paraId="44B5C0B2" w14:textId="616027D0" w:rsidR="00396D08" w:rsidRDefault="00396D08" w:rsidP="00EB565A">
      <w:pPr>
        <w:jc w:val="both"/>
      </w:pPr>
      <w:r>
        <w:t>As can be gathered from the above discussion, a key aspect of the debate between techno</w:t>
      </w:r>
      <w:r w:rsidR="00AA5B97">
        <w:noBreakHyphen/>
      </w:r>
      <w:r>
        <w:t xml:space="preserve">pessimists and </w:t>
      </w:r>
      <w:r w:rsidR="00B47935">
        <w:t>techno</w:t>
      </w:r>
      <w:r w:rsidR="00AA5B97">
        <w:noBreakHyphen/>
      </w:r>
      <w:r>
        <w:t xml:space="preserve">optimists </w:t>
      </w:r>
      <w:r w:rsidR="00BD6DC8">
        <w:t>is</w:t>
      </w:r>
      <w:r>
        <w:t xml:space="preserve"> whether current technologies are inherently less transformative</w:t>
      </w:r>
      <w:r w:rsidR="002A2F54">
        <w:t xml:space="preserve">, </w:t>
      </w:r>
      <w:r>
        <w:t>or whether they are just diffusing more slowly through the economy</w:t>
      </w:r>
      <w:r w:rsidR="002A2F54">
        <w:t xml:space="preserve">. In the </w:t>
      </w:r>
      <w:r w:rsidR="00C80862">
        <w:t>former</w:t>
      </w:r>
      <w:r w:rsidR="002A2F54">
        <w:t xml:space="preserve"> case, the productivity frontier should be pushing out more slowly</w:t>
      </w:r>
      <w:r w:rsidR="00C80862">
        <w:t>;</w:t>
      </w:r>
      <w:r w:rsidR="002A2F54">
        <w:t xml:space="preserve"> in the latter case</w:t>
      </w:r>
      <w:r>
        <w:t xml:space="preserve"> the frontier could still be growing </w:t>
      </w:r>
      <w:r w:rsidR="002A2F54">
        <w:t>quickly</w:t>
      </w:r>
      <w:r w:rsidR="00B47935">
        <w:t>,</w:t>
      </w:r>
      <w:r w:rsidR="002A2F54">
        <w:t xml:space="preserve"> </w:t>
      </w:r>
      <w:r>
        <w:t xml:space="preserve">but other firms </w:t>
      </w:r>
      <w:r w:rsidR="00B47935">
        <w:t>will be</w:t>
      </w:r>
      <w:r>
        <w:t xml:space="preserve"> slower to catch</w:t>
      </w:r>
      <w:r w:rsidR="00AA5B97">
        <w:noBreakHyphen/>
      </w:r>
      <w:r>
        <w:t>up. Differentiating between these two explanations inherently requires firm</w:t>
      </w:r>
      <w:r w:rsidR="00AA5B97">
        <w:noBreakHyphen/>
      </w:r>
      <w:r>
        <w:t xml:space="preserve">level </w:t>
      </w:r>
      <w:r w:rsidR="002A2F54">
        <w:t>data</w:t>
      </w:r>
      <w:r>
        <w:t>.</w:t>
      </w:r>
    </w:p>
    <w:p w14:paraId="6698C741" w14:textId="38045E1F" w:rsidR="003172BD" w:rsidRPr="00AD4EC9" w:rsidRDefault="003172BD" w:rsidP="00C87EE9">
      <w:pPr>
        <w:pStyle w:val="Heading3"/>
      </w:pPr>
      <w:r>
        <w:t xml:space="preserve">2.2. </w:t>
      </w:r>
      <w:r w:rsidR="00396D08">
        <w:t>Growth of the frontier</w:t>
      </w:r>
      <w:r w:rsidRPr="00AD4EC9">
        <w:t xml:space="preserve"> </w:t>
      </w:r>
      <w:r w:rsidR="008C3FDF">
        <w:t>and productivity convergence</w:t>
      </w:r>
    </w:p>
    <w:p w14:paraId="5F99E279" w14:textId="2F8004B1" w:rsidR="005D6E5F" w:rsidRDefault="008C3FDF" w:rsidP="002A2F54">
      <w:pPr>
        <w:jc w:val="both"/>
      </w:pPr>
      <w:r>
        <w:t>A key recent piece of evidence in this debate was provided by</w:t>
      </w:r>
      <w:r w:rsidR="002502CF">
        <w:t xml:space="preserve"> </w:t>
      </w:r>
      <w:r w:rsidR="006809FA">
        <w:t xml:space="preserve">Andrews et al </w:t>
      </w:r>
      <w:r w:rsidR="00BD6DC8">
        <w:t>(</w:t>
      </w:r>
      <w:r w:rsidR="006809FA">
        <w:t>201</w:t>
      </w:r>
      <w:r w:rsidR="009A2234">
        <w:t>9</w:t>
      </w:r>
      <w:r w:rsidR="00BD6DC8">
        <w:t>)</w:t>
      </w:r>
      <w:r>
        <w:t xml:space="preserve">. They use </w:t>
      </w:r>
      <w:r w:rsidR="005D6E5F">
        <w:t>cross</w:t>
      </w:r>
      <w:r w:rsidR="00AA5B97">
        <w:noBreakHyphen/>
      </w:r>
      <w:r w:rsidR="005D6E5F">
        <w:t>country firm</w:t>
      </w:r>
      <w:r w:rsidR="00AA5B97">
        <w:noBreakHyphen/>
      </w:r>
      <w:r w:rsidR="005D6E5F">
        <w:t>level OECD</w:t>
      </w:r>
      <w:r w:rsidR="00AA5B97">
        <w:noBreakHyphen/>
      </w:r>
      <w:r w:rsidR="005D6E5F">
        <w:t xml:space="preserve">Orbis dataset </w:t>
      </w:r>
      <w:r>
        <w:t>to examine productivity growth for firms at the frontier, and for laggard firms</w:t>
      </w:r>
      <w:r w:rsidR="005D6E5F">
        <w:t xml:space="preserve"> in the same industries</w:t>
      </w:r>
      <w:r>
        <w:t>. They find that</w:t>
      </w:r>
      <w:r w:rsidR="002502CF">
        <w:t xml:space="preserve"> progress </w:t>
      </w:r>
      <w:r w:rsidR="003172BD">
        <w:t>for</w:t>
      </w:r>
      <w:r w:rsidR="002502CF">
        <w:t xml:space="preserve"> </w:t>
      </w:r>
      <w:r w:rsidR="002A2F54">
        <w:t xml:space="preserve">firms at the </w:t>
      </w:r>
      <w:r w:rsidR="00C80862">
        <w:t>frontier</w:t>
      </w:r>
      <w:r w:rsidR="003172BD">
        <w:t xml:space="preserve"> </w:t>
      </w:r>
      <w:r w:rsidR="002502CF">
        <w:t xml:space="preserve">has remained </w:t>
      </w:r>
      <w:r w:rsidR="00B47935">
        <w:t>during the global productivity slowdown</w:t>
      </w:r>
      <w:r>
        <w:t xml:space="preserve">. </w:t>
      </w:r>
      <w:r w:rsidR="005D6E5F">
        <w:t>This suggests that the techno</w:t>
      </w:r>
      <w:r w:rsidR="00AA5B97">
        <w:noBreakHyphen/>
      </w:r>
      <w:r w:rsidR="005D6E5F">
        <w:t>pessimist view is likely to be overstated.</w:t>
      </w:r>
    </w:p>
    <w:p w14:paraId="5EFBEDC8" w14:textId="1AF1DC6F" w:rsidR="005D6E5F" w:rsidRDefault="005D6E5F" w:rsidP="002A2F54">
      <w:pPr>
        <w:jc w:val="both"/>
      </w:pPr>
      <w:r>
        <w:t>They also find that</w:t>
      </w:r>
      <w:r w:rsidR="008C3FDF">
        <w:t xml:space="preserve"> </w:t>
      </w:r>
      <w:r w:rsidR="002502CF">
        <w:t>the gap between the</w:t>
      </w:r>
      <w:r>
        <w:t xml:space="preserve"> global</w:t>
      </w:r>
      <w:r w:rsidR="002502CF">
        <w:t xml:space="preserve"> frontier</w:t>
      </w:r>
      <w:r>
        <w:t xml:space="preserve"> firms</w:t>
      </w:r>
      <w:r w:rsidR="002502CF">
        <w:t xml:space="preserve"> and laggards in </w:t>
      </w:r>
      <w:r w:rsidR="00B47935">
        <w:t>the same</w:t>
      </w:r>
      <w:r w:rsidR="002502CF">
        <w:t xml:space="preserve"> industry has grown</w:t>
      </w:r>
      <w:r>
        <w:t xml:space="preserve">, and that the rate at which firms converge to the productivity frontier has slowed. They argue that this suggests slower adoption and diffusion of </w:t>
      </w:r>
      <w:r w:rsidR="00B47935">
        <w:t>cutting</w:t>
      </w:r>
      <w:r w:rsidR="00AA5B97">
        <w:noBreakHyphen/>
      </w:r>
      <w:r w:rsidR="00B47935">
        <w:t xml:space="preserve">edge </w:t>
      </w:r>
      <w:r>
        <w:t xml:space="preserve">technologies </w:t>
      </w:r>
      <w:r w:rsidR="00B47935">
        <w:t xml:space="preserve">and processes </w:t>
      </w:r>
      <w:r>
        <w:t>throughout the global economy</w:t>
      </w:r>
      <w:r w:rsidR="00405641">
        <w:t xml:space="preserve">, and that this has </w:t>
      </w:r>
      <w:r w:rsidR="00B47935">
        <w:t>weighed</w:t>
      </w:r>
      <w:r w:rsidR="00405641">
        <w:t xml:space="preserve"> aggregate </w:t>
      </w:r>
      <w:r w:rsidR="009A2234">
        <w:t>productivity</w:t>
      </w:r>
      <w:r w:rsidR="00405641">
        <w:t xml:space="preserve"> growth.</w:t>
      </w:r>
    </w:p>
    <w:p w14:paraId="052071DD" w14:textId="5CC21C22" w:rsidR="00554034" w:rsidRDefault="002A2F54" w:rsidP="002A2F54">
      <w:pPr>
        <w:jc w:val="both"/>
      </w:pPr>
      <w:r>
        <w:t xml:space="preserve">To understand the underlying driver of these patterns, </w:t>
      </w:r>
      <w:r w:rsidR="00405641">
        <w:t>Andrews et al (2019) explore the role of</w:t>
      </w:r>
      <w:r w:rsidR="00146EFC">
        <w:t xml:space="preserve"> product market regulation. They find that in industries with less competition friendly regulatory regimes, the gap between the frontier and laggards tends to be larger. While the relationships between </w:t>
      </w:r>
      <w:r w:rsidR="003F2E6E">
        <w:t>competition</w:t>
      </w:r>
      <w:r>
        <w:t>,</w:t>
      </w:r>
      <w:r w:rsidR="00146EFC">
        <w:t xml:space="preserve"> and innovation and technology adoption </w:t>
      </w:r>
      <w:proofErr w:type="gramStart"/>
      <w:r w:rsidR="00146EFC">
        <w:t>is</w:t>
      </w:r>
      <w:proofErr w:type="gramEnd"/>
      <w:r w:rsidR="00146EFC">
        <w:t xml:space="preserve"> </w:t>
      </w:r>
      <w:r w:rsidR="003F2E6E">
        <w:t>theoretically</w:t>
      </w:r>
      <w:r w:rsidR="00146EFC">
        <w:t xml:space="preserve"> ambiguous</w:t>
      </w:r>
      <w:r w:rsidR="003F2E6E">
        <w:t xml:space="preserve"> (Aghion et al 2005)</w:t>
      </w:r>
      <w:r w:rsidR="00146EFC">
        <w:t xml:space="preserve">, this provides some empirical evidence </w:t>
      </w:r>
      <w:r w:rsidR="00B47935">
        <w:t>on</w:t>
      </w:r>
      <w:r w:rsidR="003F2E6E">
        <w:t xml:space="preserve"> the importance of </w:t>
      </w:r>
      <w:r w:rsidR="00CD4251">
        <w:t>competition</w:t>
      </w:r>
      <w:r w:rsidR="003F2E6E">
        <w:t xml:space="preserve"> in technology diffusion and adoption</w:t>
      </w:r>
      <w:r w:rsidR="00C52D70">
        <w:t xml:space="preserve">. </w:t>
      </w:r>
    </w:p>
    <w:p w14:paraId="46DF2F04" w14:textId="62E22366" w:rsidR="00FA240A" w:rsidRDefault="00FA240A" w:rsidP="002A2F54">
      <w:pPr>
        <w:jc w:val="both"/>
      </w:pPr>
      <w:proofErr w:type="spellStart"/>
      <w:r>
        <w:t>Berlingieri</w:t>
      </w:r>
      <w:proofErr w:type="spellEnd"/>
      <w:r>
        <w:t xml:space="preserve"> et al (2020) similarly find evidence of slowing convergence</w:t>
      </w:r>
      <w:r w:rsidR="00B47935">
        <w:t xml:space="preserve"> across </w:t>
      </w:r>
      <w:proofErr w:type="gramStart"/>
      <w:r w:rsidR="00B47935">
        <w:t>a number of</w:t>
      </w:r>
      <w:proofErr w:type="gramEnd"/>
      <w:r w:rsidR="00B47935">
        <w:t xml:space="preserve"> advanced economies, though they focus on the </w:t>
      </w:r>
      <w:r>
        <w:t>national</w:t>
      </w:r>
      <w:r w:rsidR="00B47935">
        <w:t xml:space="preserve"> rather than the global</w:t>
      </w:r>
      <w:r>
        <w:t xml:space="preserve"> frontier.</w:t>
      </w:r>
      <w:r w:rsidR="000611E6">
        <w:t xml:space="preserve"> Moreover, they find evidence that convergence tends to be slower where there </w:t>
      </w:r>
      <w:r w:rsidR="00171372">
        <w:t>are</w:t>
      </w:r>
      <w:r w:rsidR="000611E6">
        <w:t xml:space="preserve"> skill shortages/mismatches, such as in more digitally intensive sectors, and where financing constraints are more binding.</w:t>
      </w:r>
    </w:p>
    <w:p w14:paraId="00E9F804" w14:textId="2CF96DAB" w:rsidR="00656B9C" w:rsidRDefault="00656B9C" w:rsidP="002A2F54">
      <w:pPr>
        <w:jc w:val="both"/>
      </w:pPr>
      <w:r>
        <w:t xml:space="preserve">Meanwhile, </w:t>
      </w:r>
      <w:proofErr w:type="spellStart"/>
      <w:r w:rsidRPr="00C80862">
        <w:t>Akcigit</w:t>
      </w:r>
      <w:proofErr w:type="spellEnd"/>
      <w:r w:rsidRPr="00C80862">
        <w:t xml:space="preserve"> and </w:t>
      </w:r>
      <w:proofErr w:type="spellStart"/>
      <w:r w:rsidRPr="00C80862">
        <w:t>Ates</w:t>
      </w:r>
      <w:proofErr w:type="spellEnd"/>
      <w:r w:rsidRPr="00C80862">
        <w:t xml:space="preserve"> (2019) </w:t>
      </w:r>
      <w:r>
        <w:t>examine the potential implication</w:t>
      </w:r>
      <w:r w:rsidR="00171372">
        <w:t>s</w:t>
      </w:r>
      <w:r>
        <w:t xml:space="preserve"> of slowing technology diffusion in </w:t>
      </w:r>
      <w:r w:rsidR="00DC5D70">
        <w:t xml:space="preserve">a </w:t>
      </w:r>
      <w:r>
        <w:t>theoretical model with endogenous firm dynamic</w:t>
      </w:r>
      <w:r w:rsidR="00171372">
        <w:t>s</w:t>
      </w:r>
      <w:r>
        <w:t xml:space="preserve">. Their results </w:t>
      </w:r>
      <w:r w:rsidR="00171372">
        <w:t>suggest that</w:t>
      </w:r>
      <w:r>
        <w:t xml:space="preserve"> slower knowledge diffusion </w:t>
      </w:r>
      <w:r w:rsidR="00171372">
        <w:t>could explain the well</w:t>
      </w:r>
      <w:r w:rsidR="00AA5B97">
        <w:noBreakHyphen/>
      </w:r>
      <w:r w:rsidR="00171372">
        <w:t xml:space="preserve">documented decline in </w:t>
      </w:r>
      <w:r w:rsidRPr="00C80862">
        <w:t>business dynamism</w:t>
      </w:r>
      <w:r>
        <w:t>.</w:t>
      </w:r>
    </w:p>
    <w:p w14:paraId="69D6C576" w14:textId="62699EC2" w:rsidR="003F2E6E" w:rsidRDefault="009A2234" w:rsidP="002A2F54">
      <w:pPr>
        <w:jc w:val="both"/>
      </w:pPr>
      <w:r>
        <w:t>Our paper</w:t>
      </w:r>
      <w:r w:rsidR="00CD4251">
        <w:t xml:space="preserve"> adds</w:t>
      </w:r>
      <w:r>
        <w:t xml:space="preserve"> to this existing literature by examining productivity convergence in Australia. We also contribute to the international literature by more formally </w:t>
      </w:r>
      <w:r w:rsidR="00CD4251">
        <w:t>examining</w:t>
      </w:r>
      <w:r>
        <w:t xml:space="preserve"> the relationship between productivity convergence</w:t>
      </w:r>
      <w:r w:rsidR="00CD4251">
        <w:t>,</w:t>
      </w:r>
      <w:r>
        <w:t xml:space="preserve"> and business dynamism and competition</w:t>
      </w:r>
      <w:r w:rsidR="003F2E6E">
        <w:t>.</w:t>
      </w:r>
    </w:p>
    <w:p w14:paraId="6FD0F55B" w14:textId="0E4D00EA" w:rsidR="00DB0225" w:rsidRDefault="00DB0225" w:rsidP="005F7AD3">
      <w:pPr>
        <w:pStyle w:val="Heading2"/>
      </w:pPr>
      <w:r>
        <w:t>Data</w:t>
      </w:r>
      <w:r w:rsidR="00436D6C">
        <w:t xml:space="preserve"> and graphical results</w:t>
      </w:r>
    </w:p>
    <w:p w14:paraId="3E61853E" w14:textId="2CEDA9E6" w:rsidR="00DB0225" w:rsidRDefault="005330BB" w:rsidP="00C87EE9">
      <w:pPr>
        <w:pStyle w:val="Heading3"/>
      </w:pPr>
      <w:r>
        <w:t>3</w:t>
      </w:r>
      <w:r w:rsidR="00DB0225">
        <w:t xml:space="preserve">.1. </w:t>
      </w:r>
      <w:r w:rsidR="00F160E6">
        <w:t xml:space="preserve">Business Longitudinal Analysis Data Environment </w:t>
      </w:r>
      <w:r w:rsidR="00242CF2">
        <w:t>(</w:t>
      </w:r>
      <w:r w:rsidR="00F160E6">
        <w:t>BLADE</w:t>
      </w:r>
      <w:r w:rsidR="00242CF2">
        <w:t>)</w:t>
      </w:r>
    </w:p>
    <w:p w14:paraId="3E4165A1" w14:textId="07EFC84F" w:rsidR="00DB0225" w:rsidRDefault="00F160E6" w:rsidP="00AD39AF">
      <w:pPr>
        <w:jc w:val="both"/>
      </w:pPr>
      <w:r>
        <w:t>The analysis in this paper exploits firm</w:t>
      </w:r>
      <w:r w:rsidR="00AA5B97">
        <w:noBreakHyphen/>
      </w:r>
      <w:r>
        <w:t xml:space="preserve">level data from the Business Longitudinal Analysis Data Environment (BLADE), compiled by the Australian Bureau of Statistics (ABS). BLADE </w:t>
      </w:r>
      <w:r w:rsidR="00CD4251">
        <w:t>captures</w:t>
      </w:r>
      <w:r>
        <w:t xml:space="preserve"> administrative data from the Australian Taxation Office (ATO)</w:t>
      </w:r>
      <w:r w:rsidR="00F720F4">
        <w:t xml:space="preserve"> for almost the entire population of </w:t>
      </w:r>
      <w:r w:rsidR="00F720F4">
        <w:lastRenderedPageBreak/>
        <w:t>Australian firms</w:t>
      </w:r>
      <w:r>
        <w:t>, matched with ABS</w:t>
      </w:r>
      <w:r w:rsidR="00AA5B97">
        <w:noBreakHyphen/>
      </w:r>
      <w:r>
        <w:t>produced survey microdata, such as the Business Characteristics Survey.</w:t>
      </w:r>
      <w:r w:rsidR="00663905">
        <w:t xml:space="preserve"> </w:t>
      </w:r>
    </w:p>
    <w:p w14:paraId="61340FB3" w14:textId="77C29F6D" w:rsidR="00F720F4" w:rsidRDefault="00171372" w:rsidP="00AD39AF">
      <w:pPr>
        <w:jc w:val="both"/>
      </w:pPr>
      <w:r>
        <w:t>We use data from firms</w:t>
      </w:r>
      <w:r w:rsidR="00AA5B97">
        <w:t>’</w:t>
      </w:r>
      <w:r w:rsidR="00F720F4">
        <w:t xml:space="preserve"> Business Income Tax (BIT) forms, as well as their Pay</w:t>
      </w:r>
      <w:r w:rsidR="00AA5B97">
        <w:noBreakHyphen/>
      </w:r>
      <w:r w:rsidR="00F720F4">
        <w:t>As</w:t>
      </w:r>
      <w:r w:rsidR="00AA5B97">
        <w:noBreakHyphen/>
      </w:r>
      <w:r w:rsidR="00F720F4">
        <w:t>You</w:t>
      </w:r>
      <w:r w:rsidR="00AA5B97">
        <w:noBreakHyphen/>
      </w:r>
      <w:r w:rsidR="00F720F4">
        <w:t>Go (PAYG) employment forms. BIT data are used to construct measures of</w:t>
      </w:r>
      <w:r w:rsidR="00CD4251">
        <w:t xml:space="preserve"> gross</w:t>
      </w:r>
      <w:r w:rsidR="00F720F4">
        <w:t xml:space="preserve"> value</w:t>
      </w:r>
      <w:r w:rsidR="00AA5B97">
        <w:noBreakHyphen/>
      </w:r>
      <w:r w:rsidR="00F720F4">
        <w:t xml:space="preserve">added, defined as total compensation to labour plus gross operating surplus. Productivity is then measured as labour productivity, the ratio </w:t>
      </w:r>
      <w:r w:rsidR="00DC5D70">
        <w:t xml:space="preserve">of </w:t>
      </w:r>
      <w:r w:rsidR="00B21F89">
        <w:t>gross value</w:t>
      </w:r>
      <w:r w:rsidR="00AA5B97">
        <w:noBreakHyphen/>
      </w:r>
      <w:r w:rsidR="00275A0F">
        <w:t xml:space="preserve">added </w:t>
      </w:r>
      <w:r w:rsidR="00F720F4">
        <w:t>to</w:t>
      </w:r>
      <w:r w:rsidR="00275A0F">
        <w:t xml:space="preserve"> full</w:t>
      </w:r>
      <w:r w:rsidR="00AA5B97">
        <w:noBreakHyphen/>
      </w:r>
      <w:r w:rsidR="00275A0F">
        <w:t>time equivalent employees.</w:t>
      </w:r>
      <w:r w:rsidR="008B6ED4">
        <w:t xml:space="preserve"> </w:t>
      </w:r>
      <w:r w:rsidR="00F720F4">
        <w:t>We also use demographic information on firms contained in BLADE, such as age and industry.</w:t>
      </w:r>
    </w:p>
    <w:p w14:paraId="6287E882" w14:textId="1E400C2E" w:rsidR="00F720F4" w:rsidRDefault="00F720F4" w:rsidP="00F720F4">
      <w:pPr>
        <w:jc w:val="both"/>
      </w:pPr>
      <w:r>
        <w:t>The focus of thi</w:t>
      </w:r>
      <w:r w:rsidR="00C34961">
        <w:t>s</w:t>
      </w:r>
      <w:r>
        <w:t xml:space="preserve"> analysis is on labour </w:t>
      </w:r>
      <w:r w:rsidR="00C34961">
        <w:t>productivity, rather than multifactor productivity (MFP). This allows us to cover a larger sample of firms, both compan</w:t>
      </w:r>
      <w:r w:rsidR="00CD4251">
        <w:t>ies</w:t>
      </w:r>
      <w:r w:rsidR="00C34961">
        <w:t xml:space="preserve"> and unincorporated businesses, whereas </w:t>
      </w:r>
      <w:r w:rsidR="002A2F54">
        <w:t xml:space="preserve">we could only examine companies if </w:t>
      </w:r>
      <w:r w:rsidR="00171372">
        <w:t>we used</w:t>
      </w:r>
      <w:r w:rsidR="00C34961">
        <w:t xml:space="preserve"> MFP </w:t>
      </w:r>
      <w:r w:rsidR="00171372">
        <w:t>due to a</w:t>
      </w:r>
      <w:r w:rsidR="00C34961">
        <w:t xml:space="preserve"> lack of balance sheet and capital stock information for unincorporated business</w:t>
      </w:r>
      <w:r w:rsidR="00C91E39">
        <w:t>.</w:t>
      </w:r>
      <w:r w:rsidR="00C34961">
        <w:rPr>
          <w:rStyle w:val="FootnoteReference"/>
        </w:rPr>
        <w:footnoteReference w:id="4"/>
      </w:r>
      <w:r w:rsidR="00C34961">
        <w:t xml:space="preserve"> </w:t>
      </w:r>
      <w:r w:rsidR="00CD4251">
        <w:t>Focusing on labour productivity</w:t>
      </w:r>
      <w:r w:rsidR="00C34961">
        <w:t xml:space="preserve"> may also be preferable given some technolog</w:t>
      </w:r>
      <w:r w:rsidR="00CD4251">
        <w:t>ies</w:t>
      </w:r>
      <w:r w:rsidR="00C34961">
        <w:t xml:space="preserve"> might be capital</w:t>
      </w:r>
      <w:r w:rsidR="00AA5B97">
        <w:noBreakHyphen/>
      </w:r>
      <w:r w:rsidR="00C34961">
        <w:t xml:space="preserve">embodied, and so abstracted from in using MFP. Still, future work could examine the results using MFP, which may be a </w:t>
      </w:r>
      <w:r w:rsidR="00CD4251">
        <w:t>c</w:t>
      </w:r>
      <w:r w:rsidR="00C34961">
        <w:t>leaner measure of technological progress.</w:t>
      </w:r>
    </w:p>
    <w:p w14:paraId="6C408B38" w14:textId="1630F99F" w:rsidR="00C34961" w:rsidRDefault="000424F4" w:rsidP="007F40D6">
      <w:pPr>
        <w:jc w:val="both"/>
      </w:pPr>
      <w:r>
        <w:t>As is common in the literature, we do not have access to firm</w:t>
      </w:r>
      <w:r w:rsidR="00AA5B97">
        <w:noBreakHyphen/>
      </w:r>
      <w:r>
        <w:t xml:space="preserve">level input and output prices. As such we deflate </w:t>
      </w:r>
      <w:r w:rsidR="00724F5D">
        <w:t>value</w:t>
      </w:r>
      <w:r w:rsidR="00AA5B97">
        <w:noBreakHyphen/>
      </w:r>
      <w:r w:rsidR="00724F5D">
        <w:t>added</w:t>
      </w:r>
      <w:r>
        <w:t xml:space="preserve"> using</w:t>
      </w:r>
      <w:r w:rsidR="00724F5D">
        <w:t xml:space="preserve"> industry deflators (1</w:t>
      </w:r>
      <w:r w:rsidR="00AA5B97">
        <w:noBreakHyphen/>
      </w:r>
      <w:r w:rsidR="00724F5D">
        <w:t xml:space="preserve">digit ANZSIC). This is not ideal, as it means that our </w:t>
      </w:r>
      <w:r w:rsidR="00711B61">
        <w:t>productivity</w:t>
      </w:r>
      <w:r w:rsidR="00724F5D">
        <w:t xml:space="preserve"> measure will be affected by firm price differences, which could in </w:t>
      </w:r>
      <w:r w:rsidR="00D04F94">
        <w:t>turn</w:t>
      </w:r>
      <w:r w:rsidR="00724F5D">
        <w:t xml:space="preserve"> reflect differences in market power, or product </w:t>
      </w:r>
      <w:r w:rsidR="00D04F94">
        <w:t>differentiation</w:t>
      </w:r>
      <w:r w:rsidR="00724F5D">
        <w:t xml:space="preserve"> more generally. Nevertheless, numerous papers have shown that price</w:t>
      </w:r>
      <w:r w:rsidR="00AA5B97">
        <w:noBreakHyphen/>
      </w:r>
      <w:r w:rsidR="00724F5D">
        <w:t xml:space="preserve"> and quantity</w:t>
      </w:r>
      <w:r w:rsidR="00AA5B97">
        <w:noBreakHyphen/>
      </w:r>
      <w:r w:rsidR="00724F5D">
        <w:t xml:space="preserve">based measures of </w:t>
      </w:r>
      <w:r w:rsidR="00D04F94">
        <w:t>productivity</w:t>
      </w:r>
      <w:r w:rsidR="00724F5D">
        <w:t xml:space="preserve"> tend to move </w:t>
      </w:r>
      <w:r w:rsidR="00663905">
        <w:t>similarly</w:t>
      </w:r>
      <w:r w:rsidR="00724F5D">
        <w:t xml:space="preserve">, and </w:t>
      </w:r>
      <w:r w:rsidR="00663905">
        <w:t>failing</w:t>
      </w:r>
      <w:r w:rsidR="00724F5D">
        <w:t xml:space="preserve"> to account for firm</w:t>
      </w:r>
      <w:r w:rsidR="00AA5B97">
        <w:noBreakHyphen/>
      </w:r>
      <w:r w:rsidR="00D04F94">
        <w:t>level</w:t>
      </w:r>
      <w:r w:rsidR="00724F5D">
        <w:t xml:space="preserve"> prices</w:t>
      </w:r>
      <w:r w:rsidR="00D04F94">
        <w:t>, while not ideal,</w:t>
      </w:r>
      <w:r w:rsidR="00724F5D">
        <w:t xml:space="preserve"> </w:t>
      </w:r>
      <w:r w:rsidR="00171372">
        <w:t>does not have</w:t>
      </w:r>
      <w:r w:rsidR="00724F5D">
        <w:t xml:space="preserve"> </w:t>
      </w:r>
      <w:r w:rsidR="00663905">
        <w:t>substantial</w:t>
      </w:r>
      <w:r w:rsidR="00724F5D">
        <w:t xml:space="preserve"> impacts in firm</w:t>
      </w:r>
      <w:r w:rsidR="00AA5B97">
        <w:noBreakHyphen/>
      </w:r>
      <w:r w:rsidR="00724F5D">
        <w:t xml:space="preserve">level studies of this type (Andrews et al 2019; </w:t>
      </w:r>
      <w:r w:rsidR="00663905" w:rsidRPr="00C80862">
        <w:t xml:space="preserve">Foster, </w:t>
      </w:r>
      <w:proofErr w:type="spellStart"/>
      <w:r w:rsidR="00663905" w:rsidRPr="00C80862">
        <w:t>Haltiwanger</w:t>
      </w:r>
      <w:proofErr w:type="spellEnd"/>
      <w:r w:rsidR="00663905" w:rsidRPr="00C80862">
        <w:t xml:space="preserve"> and </w:t>
      </w:r>
      <w:proofErr w:type="spellStart"/>
      <w:r w:rsidR="00663905" w:rsidRPr="00C80862">
        <w:t>Syverson</w:t>
      </w:r>
      <w:proofErr w:type="spellEnd"/>
      <w:r w:rsidR="00663905" w:rsidRPr="00C80862">
        <w:t xml:space="preserve"> 2008</w:t>
      </w:r>
      <w:r w:rsidR="00663905">
        <w:t>)</w:t>
      </w:r>
    </w:p>
    <w:p w14:paraId="767F7EDA" w14:textId="7BF88954" w:rsidR="008B6ED4" w:rsidRDefault="005330BB" w:rsidP="00C87EE9">
      <w:pPr>
        <w:pStyle w:val="Heading3"/>
      </w:pPr>
      <w:r>
        <w:t>3</w:t>
      </w:r>
      <w:r w:rsidR="008B6ED4">
        <w:t xml:space="preserve">.2. Data on the </w:t>
      </w:r>
      <w:r w:rsidR="004E00D4">
        <w:t>g</w:t>
      </w:r>
      <w:r w:rsidR="008B6ED4">
        <w:t xml:space="preserve">lobal </w:t>
      </w:r>
      <w:r w:rsidR="004E00D4">
        <w:t>p</w:t>
      </w:r>
      <w:r w:rsidR="008B6ED4">
        <w:t xml:space="preserve">roductivity </w:t>
      </w:r>
      <w:r w:rsidR="004E00D4">
        <w:t>f</w:t>
      </w:r>
      <w:r w:rsidR="008B6ED4">
        <w:t>rontier</w:t>
      </w:r>
    </w:p>
    <w:p w14:paraId="084516B9" w14:textId="00A34C96" w:rsidR="007F40D6" w:rsidRDefault="008463BA" w:rsidP="007F40D6">
      <w:pPr>
        <w:tabs>
          <w:tab w:val="left" w:pos="5397"/>
        </w:tabs>
        <w:jc w:val="both"/>
        <w:rPr>
          <w:lang w:val="en-US" w:eastAsia="en-AU"/>
        </w:rPr>
      </w:pPr>
      <w:proofErr w:type="spellStart"/>
      <w:r>
        <w:rPr>
          <w:lang w:val="en-US" w:eastAsia="en-AU"/>
        </w:rPr>
        <w:t>Labour</w:t>
      </w:r>
      <w:proofErr w:type="spellEnd"/>
      <w:r>
        <w:rPr>
          <w:lang w:val="en-US" w:eastAsia="en-AU"/>
        </w:rPr>
        <w:t xml:space="preserve"> productivity data for the global productivity frontier come from the OECD</w:t>
      </w:r>
      <w:r w:rsidR="00AA5B97">
        <w:rPr>
          <w:lang w:val="en-US" w:eastAsia="en-AU"/>
        </w:rPr>
        <w:noBreakHyphen/>
      </w:r>
      <w:r>
        <w:rPr>
          <w:lang w:val="en-US" w:eastAsia="en-AU"/>
        </w:rPr>
        <w:t>Orbis database</w:t>
      </w:r>
      <w:r w:rsidR="0088504C">
        <w:rPr>
          <w:lang w:val="en-US" w:eastAsia="en-AU"/>
        </w:rPr>
        <w:t>. The database contains</w:t>
      </w:r>
      <w:r w:rsidR="007D5EA4">
        <w:rPr>
          <w:lang w:val="en-US" w:eastAsia="en-AU"/>
        </w:rPr>
        <w:t xml:space="preserve"> measures of </w:t>
      </w:r>
      <w:proofErr w:type="spellStart"/>
      <w:r w:rsidR="007D5EA4">
        <w:rPr>
          <w:lang w:val="en-US" w:eastAsia="en-AU"/>
        </w:rPr>
        <w:t>labour</w:t>
      </w:r>
      <w:proofErr w:type="spellEnd"/>
      <w:r w:rsidR="007D5EA4">
        <w:rPr>
          <w:lang w:val="en-US" w:eastAsia="en-AU"/>
        </w:rPr>
        <w:t xml:space="preserve"> productivity</w:t>
      </w:r>
      <w:r w:rsidR="006D61BE">
        <w:rPr>
          <w:lang w:val="en-US" w:eastAsia="en-AU"/>
        </w:rPr>
        <w:t xml:space="preserve"> (similarly defined as gross value</w:t>
      </w:r>
      <w:r w:rsidR="00AA5B97">
        <w:rPr>
          <w:lang w:val="en-US" w:eastAsia="en-AU"/>
        </w:rPr>
        <w:noBreakHyphen/>
      </w:r>
      <w:r w:rsidR="006D61BE">
        <w:rPr>
          <w:lang w:val="en-US" w:eastAsia="en-AU"/>
        </w:rPr>
        <w:t>added divided by full</w:t>
      </w:r>
      <w:r w:rsidR="00AA5B97">
        <w:rPr>
          <w:lang w:val="en-US" w:eastAsia="en-AU"/>
        </w:rPr>
        <w:noBreakHyphen/>
      </w:r>
      <w:r w:rsidR="006D61BE">
        <w:rPr>
          <w:lang w:val="en-US" w:eastAsia="en-AU"/>
        </w:rPr>
        <w:t xml:space="preserve">time equivalent employees) </w:t>
      </w:r>
      <w:r w:rsidR="007D5EA4">
        <w:rPr>
          <w:lang w:val="en-US" w:eastAsia="en-AU"/>
        </w:rPr>
        <w:t>at the firm</w:t>
      </w:r>
      <w:r w:rsidR="00AA5B97">
        <w:rPr>
          <w:lang w:val="en-US" w:eastAsia="en-AU"/>
        </w:rPr>
        <w:noBreakHyphen/>
      </w:r>
      <w:r w:rsidR="007D5EA4">
        <w:rPr>
          <w:lang w:val="en-US" w:eastAsia="en-AU"/>
        </w:rPr>
        <w:t>level and covers 24 OECD countries for the non</w:t>
      </w:r>
      <w:r w:rsidR="00AA5B97">
        <w:rPr>
          <w:lang w:val="en-US" w:eastAsia="en-AU"/>
        </w:rPr>
        <w:noBreakHyphen/>
      </w:r>
      <w:r w:rsidR="007D5EA4">
        <w:rPr>
          <w:lang w:val="en-US" w:eastAsia="en-AU"/>
        </w:rPr>
        <w:t>farm, non</w:t>
      </w:r>
      <w:r w:rsidR="00AA5B97">
        <w:rPr>
          <w:lang w:val="en-US" w:eastAsia="en-AU"/>
        </w:rPr>
        <w:noBreakHyphen/>
      </w:r>
      <w:r w:rsidR="00967496">
        <w:rPr>
          <w:lang w:val="en-US" w:eastAsia="en-AU"/>
        </w:rPr>
        <w:t>financial business sector (</w:t>
      </w:r>
      <w:r w:rsidR="007D5EA4">
        <w:rPr>
          <w:lang w:val="en-US" w:eastAsia="en-AU"/>
        </w:rPr>
        <w:t>Gal 2013</w:t>
      </w:r>
      <w:r w:rsidR="00A1424E">
        <w:rPr>
          <w:lang w:val="en-US" w:eastAsia="en-AU"/>
        </w:rPr>
        <w:t>; Andrews et al 2019</w:t>
      </w:r>
      <w:r w:rsidR="007D5EA4">
        <w:rPr>
          <w:lang w:val="en-US" w:eastAsia="en-AU"/>
        </w:rPr>
        <w:t>).</w:t>
      </w:r>
      <w:r w:rsidR="00FF3F4E">
        <w:rPr>
          <w:lang w:val="en-US" w:eastAsia="en-AU"/>
        </w:rPr>
        <w:t xml:space="preserve"> These data are sourced from annual balance sheet and income statements using a variety of underlying sources such as credit rating agencies, national </w:t>
      </w:r>
      <w:proofErr w:type="gramStart"/>
      <w:r w:rsidR="00FF3F4E">
        <w:rPr>
          <w:lang w:val="en-US" w:eastAsia="en-AU"/>
        </w:rPr>
        <w:t>banks</w:t>
      </w:r>
      <w:proofErr w:type="gramEnd"/>
      <w:r w:rsidR="00FF3F4E">
        <w:rPr>
          <w:lang w:val="en-US" w:eastAsia="en-AU"/>
        </w:rPr>
        <w:t xml:space="preserve"> and financial information providers.</w:t>
      </w:r>
      <w:r w:rsidR="00FF3F4E">
        <w:rPr>
          <w:rStyle w:val="FootnoteReference"/>
          <w:lang w:val="en-US" w:eastAsia="en-AU"/>
        </w:rPr>
        <w:footnoteReference w:id="5"/>
      </w:r>
      <w:r w:rsidR="007D5EA4">
        <w:rPr>
          <w:lang w:val="en-US" w:eastAsia="en-AU"/>
        </w:rPr>
        <w:t xml:space="preserve"> </w:t>
      </w:r>
    </w:p>
    <w:p w14:paraId="143263EA" w14:textId="398D8A97" w:rsidR="00732E4F" w:rsidRDefault="008463BA" w:rsidP="007F40D6">
      <w:pPr>
        <w:tabs>
          <w:tab w:val="left" w:pos="5397"/>
        </w:tabs>
        <w:jc w:val="both"/>
      </w:pPr>
      <w:proofErr w:type="spellStart"/>
      <w:r>
        <w:rPr>
          <w:lang w:val="en-US" w:eastAsia="en-AU"/>
        </w:rPr>
        <w:t>Labour</w:t>
      </w:r>
      <w:proofErr w:type="spellEnd"/>
      <w:r>
        <w:rPr>
          <w:lang w:val="en-US" w:eastAsia="en-AU"/>
        </w:rPr>
        <w:t xml:space="preserve"> productivity at the global frontier</w:t>
      </w:r>
      <w:r w:rsidR="00890ECB">
        <w:rPr>
          <w:lang w:val="en-US" w:eastAsia="en-AU"/>
        </w:rPr>
        <w:t xml:space="preserve"> in each industry</w:t>
      </w:r>
      <w:r>
        <w:rPr>
          <w:lang w:val="en-US" w:eastAsia="en-AU"/>
        </w:rPr>
        <w:t xml:space="preserve"> is </w:t>
      </w:r>
      <w:r w:rsidR="007F40D6">
        <w:rPr>
          <w:lang w:val="en-US" w:eastAsia="en-AU"/>
        </w:rPr>
        <w:t xml:space="preserve">taken </w:t>
      </w:r>
      <w:r w:rsidR="00AD08D6">
        <w:rPr>
          <w:lang w:val="en-US" w:eastAsia="en-AU"/>
        </w:rPr>
        <w:t>to be</w:t>
      </w:r>
      <w:r>
        <w:rPr>
          <w:lang w:val="en-US" w:eastAsia="en-AU"/>
        </w:rPr>
        <w:t xml:space="preserve"> the </w:t>
      </w:r>
      <w:r w:rsidR="00890ECB">
        <w:rPr>
          <w:lang w:val="en-US" w:eastAsia="en-AU"/>
        </w:rPr>
        <w:t xml:space="preserve">(unweighted) </w:t>
      </w:r>
      <w:r>
        <w:rPr>
          <w:lang w:val="en-US" w:eastAsia="en-AU"/>
        </w:rPr>
        <w:t xml:space="preserve">average </w:t>
      </w:r>
      <w:proofErr w:type="spellStart"/>
      <w:r>
        <w:rPr>
          <w:lang w:val="en-US" w:eastAsia="en-AU"/>
        </w:rPr>
        <w:t>labour</w:t>
      </w:r>
      <w:proofErr w:type="spellEnd"/>
      <w:r>
        <w:rPr>
          <w:lang w:val="en-US" w:eastAsia="en-AU"/>
        </w:rPr>
        <w:t xml:space="preserve"> productivity of the </w:t>
      </w:r>
      <w:r w:rsidR="007F40D6">
        <w:rPr>
          <w:lang w:val="en-US" w:eastAsia="en-AU"/>
        </w:rPr>
        <w:t xml:space="preserve">most productive </w:t>
      </w:r>
      <w:r>
        <w:rPr>
          <w:lang w:val="en-US" w:eastAsia="en-AU"/>
        </w:rPr>
        <w:t>5</w:t>
      </w:r>
      <w:r w:rsidR="00663905">
        <w:rPr>
          <w:lang w:val="en-US" w:eastAsia="en-AU"/>
        </w:rPr>
        <w:t> per cent</w:t>
      </w:r>
      <w:r>
        <w:rPr>
          <w:lang w:val="en-US" w:eastAsia="en-AU"/>
        </w:rPr>
        <w:t xml:space="preserve"> </w:t>
      </w:r>
      <w:r w:rsidR="007F40D6">
        <w:rPr>
          <w:lang w:val="en-US" w:eastAsia="en-AU"/>
        </w:rPr>
        <w:t xml:space="preserve">of </w:t>
      </w:r>
      <w:r>
        <w:rPr>
          <w:lang w:val="en-US" w:eastAsia="en-AU"/>
        </w:rPr>
        <w:t xml:space="preserve">firms in </w:t>
      </w:r>
      <w:r w:rsidR="00890ECB">
        <w:rPr>
          <w:lang w:val="en-US" w:eastAsia="en-AU"/>
        </w:rPr>
        <w:t>that</w:t>
      </w:r>
      <w:r>
        <w:rPr>
          <w:lang w:val="en-US" w:eastAsia="en-AU"/>
        </w:rPr>
        <w:t xml:space="preserve"> industry for a given year.</w:t>
      </w:r>
      <w:r w:rsidR="00663905">
        <w:rPr>
          <w:lang w:val="en-US" w:eastAsia="en-AU"/>
        </w:rPr>
        <w:t xml:space="preserve"> </w:t>
      </w:r>
      <w:r w:rsidR="00ED5BA5">
        <w:t>Consistent with Andrews et</w:t>
      </w:r>
      <w:r w:rsidR="00F65E35">
        <w:t> </w:t>
      </w:r>
      <w:r w:rsidR="00ED5BA5">
        <w:t>al</w:t>
      </w:r>
      <w:r w:rsidR="00F65E35">
        <w:t> </w:t>
      </w:r>
      <w:r w:rsidR="00ED5BA5">
        <w:t xml:space="preserve">(2019), we identify the top 5 per of firms using a fixed number of firms across years. However, while the number of frontier firms is fixed over time, the set of frontier firms </w:t>
      </w:r>
      <w:r w:rsidR="007F40D6">
        <w:t>changes</w:t>
      </w:r>
      <w:r w:rsidR="00ED5BA5">
        <w:t xml:space="preserve">. This allows for churning at the frontier. The Australian frontier is defined in the same way using BLADE data. </w:t>
      </w:r>
    </w:p>
    <w:p w14:paraId="2A1B0124" w14:textId="77777777" w:rsidR="00732E4F" w:rsidRDefault="00732E4F">
      <w:pPr>
        <w:spacing w:after="200" w:line="276" w:lineRule="auto"/>
      </w:pPr>
      <w:r>
        <w:br w:type="page"/>
      </w:r>
    </w:p>
    <w:p w14:paraId="6C2FBF14" w14:textId="46C778A2" w:rsidR="00E75318" w:rsidRDefault="005330BB" w:rsidP="00C87EE9">
      <w:pPr>
        <w:pStyle w:val="Heading3"/>
      </w:pPr>
      <w:r>
        <w:lastRenderedPageBreak/>
        <w:t>3</w:t>
      </w:r>
      <w:r w:rsidR="00E75318">
        <w:t xml:space="preserve">.3. </w:t>
      </w:r>
      <w:r w:rsidR="00636B3D">
        <w:t xml:space="preserve">Data </w:t>
      </w:r>
      <w:r w:rsidR="004E00D4">
        <w:t>c</w:t>
      </w:r>
      <w:r w:rsidR="00636B3D">
        <w:t>leaning</w:t>
      </w:r>
      <w:r w:rsidR="00F720F4">
        <w:t xml:space="preserve"> and sample</w:t>
      </w:r>
    </w:p>
    <w:p w14:paraId="7EC24F82" w14:textId="77777777" w:rsidR="00E75318" w:rsidRPr="008B6ED4" w:rsidRDefault="00160500" w:rsidP="007F40D6">
      <w:pPr>
        <w:tabs>
          <w:tab w:val="left" w:pos="5397"/>
        </w:tabs>
        <w:jc w:val="both"/>
        <w:rPr>
          <w:lang w:val="en-US" w:eastAsia="en-AU"/>
        </w:rPr>
      </w:pPr>
      <w:r>
        <w:rPr>
          <w:lang w:val="en-US" w:eastAsia="en-AU"/>
        </w:rPr>
        <w:t>W</w:t>
      </w:r>
      <w:r w:rsidR="001948CC">
        <w:rPr>
          <w:lang w:val="en-US" w:eastAsia="en-AU"/>
        </w:rPr>
        <w:t xml:space="preserve">e take three main steps to </w:t>
      </w:r>
      <w:r w:rsidR="00636B3D">
        <w:rPr>
          <w:lang w:val="en-US" w:eastAsia="en-AU"/>
        </w:rPr>
        <w:t xml:space="preserve">clean the data and </w:t>
      </w:r>
      <w:r w:rsidR="001948CC">
        <w:rPr>
          <w:lang w:val="en-US" w:eastAsia="en-AU"/>
        </w:rPr>
        <w:t>ensure comparability between the Australian and international datasets.</w:t>
      </w:r>
    </w:p>
    <w:p w14:paraId="7F712822" w14:textId="279F71CA" w:rsidR="008B6ED4" w:rsidRDefault="001948CC" w:rsidP="007F40D6">
      <w:pPr>
        <w:jc w:val="both"/>
      </w:pPr>
      <w:r>
        <w:t xml:space="preserve">First, we ensure comparability of </w:t>
      </w:r>
      <w:r w:rsidR="00CD0B27">
        <w:t>nominal</w:t>
      </w:r>
      <w:r>
        <w:t xml:space="preserve"> variables across countries and over time</w:t>
      </w:r>
      <w:r w:rsidR="00520B45">
        <w:t xml:space="preserve"> </w:t>
      </w:r>
      <w:r w:rsidR="00CD0B27">
        <w:t>by</w:t>
      </w:r>
      <w:r w:rsidR="00C107E9">
        <w:t xml:space="preserve"> adjusting for country</w:t>
      </w:r>
      <w:r w:rsidR="00AA5B97">
        <w:noBreakHyphen/>
      </w:r>
      <w:r w:rsidR="00C107E9">
        <w:t>industry level differences in the</w:t>
      </w:r>
      <w:r w:rsidR="00520B45">
        <w:t xml:space="preserve"> purchasing power of currencies</w:t>
      </w:r>
      <w:r w:rsidR="00C107E9">
        <w:t xml:space="preserve"> and applying industry</w:t>
      </w:r>
      <w:r w:rsidR="00AA5B97">
        <w:noBreakHyphen/>
      </w:r>
      <w:r w:rsidR="00C107E9">
        <w:t>level def</w:t>
      </w:r>
      <w:r w:rsidR="00520B45">
        <w:t>lators</w:t>
      </w:r>
      <w:r w:rsidR="00110BD4">
        <w:t>.</w:t>
      </w:r>
      <w:r w:rsidR="00110BD4">
        <w:rPr>
          <w:rStyle w:val="FootnoteReference"/>
        </w:rPr>
        <w:footnoteReference w:id="6"/>
      </w:r>
      <w:r w:rsidR="00520B45">
        <w:t xml:space="preserve"> </w:t>
      </w:r>
      <w:r>
        <w:t>Second, we convert Australian industry codes (ANZSIC</w:t>
      </w:r>
      <w:r w:rsidR="00986E49">
        <w:t xml:space="preserve"> 2006</w:t>
      </w:r>
      <w:r>
        <w:t xml:space="preserve">) to the </w:t>
      </w:r>
      <w:r w:rsidR="00636B3D">
        <w:t>NACE Rev 2 European classification system (which is equivalent to the international classification system ISIC Rev 4)</w:t>
      </w:r>
      <w:r w:rsidR="00CD0B27">
        <w:t xml:space="preserve"> using ABS concordances</w:t>
      </w:r>
      <w:r w:rsidR="00002A37">
        <w:t>.</w:t>
      </w:r>
      <w:r w:rsidR="00C107E9">
        <w:t xml:space="preserve"> Thi</w:t>
      </w:r>
      <w:r w:rsidR="00BD0695">
        <w:t xml:space="preserve">rd, we </w:t>
      </w:r>
      <w:r w:rsidR="00813863">
        <w:t>clean the Australian data</w:t>
      </w:r>
      <w:r w:rsidR="00B16425">
        <w:t xml:space="preserve"> using the same methodology </w:t>
      </w:r>
      <w:r w:rsidR="007F40D6">
        <w:t xml:space="preserve">that </w:t>
      </w:r>
      <w:r w:rsidR="00B16425">
        <w:t xml:space="preserve">Andrews </w:t>
      </w:r>
      <w:r w:rsidR="00ED5BA5">
        <w:t xml:space="preserve">et al (2019) </w:t>
      </w:r>
      <w:r w:rsidR="00B16425">
        <w:t>use to clean the international data. This involves excluding</w:t>
      </w:r>
      <w:r w:rsidR="00BD0695">
        <w:t xml:space="preserve"> outliers (defined as firms in the top and bottom 0.5 per</w:t>
      </w:r>
      <w:r w:rsidR="00ED5BA5">
        <w:t xml:space="preserve"> </w:t>
      </w:r>
      <w:r w:rsidR="00BD0695">
        <w:t>cent of the labour productivity growth distribution)</w:t>
      </w:r>
      <w:r w:rsidR="00B16425">
        <w:t>, firms with less tha</w:t>
      </w:r>
      <w:r w:rsidR="00967496">
        <w:t xml:space="preserve">n </w:t>
      </w:r>
      <w:r w:rsidR="00ED5BA5">
        <w:t>three</w:t>
      </w:r>
      <w:r w:rsidR="00967496">
        <w:t xml:space="preserve"> full</w:t>
      </w:r>
      <w:r w:rsidR="00AA5B97">
        <w:noBreakHyphen/>
      </w:r>
      <w:r w:rsidR="00967496">
        <w:t>time equivalent employees</w:t>
      </w:r>
      <w:r w:rsidR="00CD0B27">
        <w:t>,</w:t>
      </w:r>
      <w:r w:rsidR="006D61BE">
        <w:t xml:space="preserve"> and any observations missing key information such as industry</w:t>
      </w:r>
      <w:r w:rsidR="00FF3F4E">
        <w:t xml:space="preserve"> code</w:t>
      </w:r>
      <w:r w:rsidR="006D61BE">
        <w:t>, value</w:t>
      </w:r>
      <w:r w:rsidR="00AA5B97">
        <w:noBreakHyphen/>
      </w:r>
      <w:r w:rsidR="006D61BE">
        <w:t>added and labour input</w:t>
      </w:r>
      <w:r w:rsidR="00F80D96">
        <w:t>.</w:t>
      </w:r>
    </w:p>
    <w:p w14:paraId="331D8E92" w14:textId="6971DBD0" w:rsidR="00636B3D" w:rsidRDefault="00C93C78" w:rsidP="007F40D6">
      <w:pPr>
        <w:jc w:val="both"/>
      </w:pPr>
      <w:r>
        <w:t>To be consistent with</w:t>
      </w:r>
      <w:r w:rsidR="0034762D" w:rsidRPr="0034762D">
        <w:t xml:space="preserve"> </w:t>
      </w:r>
      <w:r w:rsidR="0034762D">
        <w:t>Andrews et al </w:t>
      </w:r>
      <w:r w:rsidR="00C87EE9">
        <w:t>(</w:t>
      </w:r>
      <w:r w:rsidR="0034762D">
        <w:t>2019</w:t>
      </w:r>
      <w:r w:rsidR="00C87EE9">
        <w:t>)</w:t>
      </w:r>
      <w:r w:rsidR="00636B3D">
        <w:t>, we confine our analysis to the market sector (</w:t>
      </w:r>
      <w:r w:rsidR="005B6F33">
        <w:t>that is</w:t>
      </w:r>
      <w:r w:rsidR="00636B3D">
        <w:t xml:space="preserve"> exclude utilities, education, public administration and safety</w:t>
      </w:r>
      <w:r w:rsidR="00CD0B27">
        <w:t>,</w:t>
      </w:r>
      <w:r>
        <w:t xml:space="preserve"> arts and recreation,</w:t>
      </w:r>
      <w:r w:rsidR="00636B3D">
        <w:t xml:space="preserve"> and health)</w:t>
      </w:r>
      <w:r>
        <w:t>,</w:t>
      </w:r>
      <w:r w:rsidR="00636B3D">
        <w:t xml:space="preserve"> exclude finance and insurance where productivity is notoriously hard to measure</w:t>
      </w:r>
      <w:r w:rsidR="0034762D">
        <w:t xml:space="preserve">, </w:t>
      </w:r>
      <w:r w:rsidR="00C87EE9">
        <w:t>and exclude</w:t>
      </w:r>
      <w:r w:rsidR="0034762D">
        <w:t xml:space="preserve"> </w:t>
      </w:r>
      <w:r w:rsidR="00636B3D">
        <w:t>highly volatile commodities sectors such as agriculture and mining</w:t>
      </w:r>
      <w:r w:rsidR="0034762D">
        <w:t xml:space="preserve">. </w:t>
      </w:r>
      <w:r>
        <w:t xml:space="preserve">Quality data on the frontier are not available for many of these industries. We also remove construction due to difficulty </w:t>
      </w:r>
      <w:r w:rsidR="007340A1">
        <w:t>measuring labour inputs given the use of contractors</w:t>
      </w:r>
      <w:r w:rsidR="0034762D">
        <w:t>.</w:t>
      </w:r>
      <w:r w:rsidR="00636B3D">
        <w:t xml:space="preserve"> This means retaining 2</w:t>
      </w:r>
      <w:r w:rsidR="00AA5B97">
        <w:noBreakHyphen/>
      </w:r>
      <w:r w:rsidR="00636B3D">
        <w:t>digit NACE Rev 2 industry codes 10</w:t>
      </w:r>
      <w:r w:rsidR="00AA5B97">
        <w:noBreakHyphen/>
      </w:r>
      <w:r w:rsidR="00636B3D">
        <w:t>33 and 45</w:t>
      </w:r>
      <w:r w:rsidR="00AA5B97">
        <w:noBreakHyphen/>
      </w:r>
      <w:r w:rsidR="00636B3D">
        <w:t>82 (excluding 64</w:t>
      </w:r>
      <w:r w:rsidR="00AA5B97">
        <w:noBreakHyphen/>
      </w:r>
      <w:r w:rsidR="00636B3D">
        <w:t>66)</w:t>
      </w:r>
      <w:r w:rsidR="00984E70">
        <w:t>,</w:t>
      </w:r>
      <w:r w:rsidR="00667E0E">
        <w:t xml:space="preserve"> for which we have international comparator data</w:t>
      </w:r>
      <w:r w:rsidR="00636B3D">
        <w:t>.</w:t>
      </w:r>
      <w:r w:rsidR="00667E0E">
        <w:t xml:space="preserve"> This covers just under half of gross value added in the Australian economy</w:t>
      </w:r>
      <w:r w:rsidR="00C87EE9">
        <w:t>,</w:t>
      </w:r>
      <w:r w:rsidR="007340A1">
        <w:t xml:space="preserve"> and captures manufacturing, goods distribution and retailing, and business and household services</w:t>
      </w:r>
      <w:r w:rsidR="00667E0E">
        <w:t>.</w:t>
      </w:r>
      <w:r w:rsidR="00636B3D">
        <w:t xml:space="preserve"> We confine our analysis to the 2002</w:t>
      </w:r>
      <w:r w:rsidR="00AA5B97">
        <w:noBreakHyphen/>
      </w:r>
      <w:r w:rsidR="00636B3D">
        <w:t>201</w:t>
      </w:r>
      <w:r w:rsidR="00ED5BA5">
        <w:t>6</w:t>
      </w:r>
      <w:r w:rsidR="00636B3D">
        <w:t xml:space="preserve"> period, when we have both Australian and global frontier data.</w:t>
      </w:r>
    </w:p>
    <w:p w14:paraId="6CA10186" w14:textId="3BD6D9CA" w:rsidR="00643C05" w:rsidRDefault="00643C05" w:rsidP="007F40D6">
      <w:pPr>
        <w:jc w:val="both"/>
      </w:pPr>
      <w:r>
        <w:t>It is worth highlighting that Australia</w:t>
      </w:r>
      <w:r w:rsidR="00984E70">
        <w:t>n firms</w:t>
      </w:r>
      <w:r w:rsidR="00AA5B97">
        <w:t>’</w:t>
      </w:r>
      <w:r>
        <w:t xml:space="preserve"> productivity performance may have been stronger in some of the excluded sectors. For example, many of Australia</w:t>
      </w:r>
      <w:r w:rsidR="00AA5B97">
        <w:t>’</w:t>
      </w:r>
      <w:r>
        <w:t xml:space="preserve">s mining businesses </w:t>
      </w:r>
      <w:r w:rsidR="007F40D6">
        <w:t xml:space="preserve">are </w:t>
      </w:r>
      <w:r>
        <w:t>global</w:t>
      </w:r>
      <w:r w:rsidR="00984E70">
        <w:t xml:space="preserve"> </w:t>
      </w:r>
      <w:r>
        <w:t>leaders and may have had strong productivity growth over the period.</w:t>
      </w:r>
    </w:p>
    <w:p w14:paraId="0FF35860" w14:textId="423F35D4" w:rsidR="00636B3D" w:rsidRDefault="00636B3D" w:rsidP="007F40D6">
      <w:pPr>
        <w:jc w:val="both"/>
      </w:pPr>
      <w:r>
        <w:t xml:space="preserve">After cleaning the data, the sample is an unbalanced panel of </w:t>
      </w:r>
      <w:r w:rsidR="00FF7E11">
        <w:t>1,372,576</w:t>
      </w:r>
      <w:r>
        <w:t xml:space="preserve"> observations, with an average of around 90,000</w:t>
      </w:r>
      <w:r w:rsidR="00AA5B97">
        <w:noBreakHyphen/>
      </w:r>
      <w:r>
        <w:t xml:space="preserve">100,000 individual firms in each </w:t>
      </w:r>
      <w:r w:rsidR="003F1CC8">
        <w:t>year</w:t>
      </w:r>
      <w:r>
        <w:t>.</w:t>
      </w:r>
    </w:p>
    <w:p w14:paraId="71F0AB58" w14:textId="230F6234" w:rsidR="00787536" w:rsidRDefault="00436D6C" w:rsidP="00C87EE9">
      <w:pPr>
        <w:pStyle w:val="Heading3"/>
      </w:pPr>
      <w:r>
        <w:t>3</w:t>
      </w:r>
      <w:r w:rsidR="00787536">
        <w:t>.</w:t>
      </w:r>
      <w:r>
        <w:t>4</w:t>
      </w:r>
      <w:r w:rsidR="00787536">
        <w:t xml:space="preserve">. </w:t>
      </w:r>
      <w:r w:rsidR="00777B4C">
        <w:t>Descriptive statistics</w:t>
      </w:r>
    </w:p>
    <w:p w14:paraId="069A8CEA" w14:textId="33E46FD2" w:rsidR="00ED5BA5" w:rsidRDefault="009E4559" w:rsidP="000446BE">
      <w:pPr>
        <w:jc w:val="both"/>
      </w:pPr>
      <w:r>
        <w:t xml:space="preserve">As a first step, we plot </w:t>
      </w:r>
      <w:r w:rsidR="00ED5BA5">
        <w:t>unweighted</w:t>
      </w:r>
      <w:r w:rsidR="00AA5B97">
        <w:noBreakHyphen/>
      </w:r>
      <w:r>
        <w:t xml:space="preserve">average productivity of </w:t>
      </w:r>
      <w:r w:rsidR="00984E70">
        <w:t>firms in the</w:t>
      </w:r>
      <w:r>
        <w:t xml:space="preserve"> global frontier, the Australian frontier, and Australian laggards, to </w:t>
      </w:r>
      <w:r w:rsidR="003D7699">
        <w:t>understand</w:t>
      </w:r>
      <w:r>
        <w:t xml:space="preserve"> of how Australian firms fair relative to the technological frontier.</w:t>
      </w:r>
      <w:r w:rsidR="006D2C31">
        <w:t xml:space="preserve"> Figure 1 shows a growing gap between the </w:t>
      </w:r>
      <w:r w:rsidR="00984E70">
        <w:t xml:space="preserve">productivity of the </w:t>
      </w:r>
      <w:r w:rsidR="006D2C31">
        <w:t xml:space="preserve">average global frontier firm and the average Australian firm. </w:t>
      </w:r>
      <w:r w:rsidR="00ED5BA5">
        <w:t xml:space="preserve">While productivity </w:t>
      </w:r>
      <w:r w:rsidR="00984E70">
        <w:t xml:space="preserve">of those firms in the global frontier </w:t>
      </w:r>
      <w:r w:rsidR="00ED5BA5">
        <w:t xml:space="preserve">60 per cent </w:t>
      </w:r>
      <w:r w:rsidR="00984E70">
        <w:t>higher in 2016 compared to 2002</w:t>
      </w:r>
      <w:r w:rsidR="00ED5BA5">
        <w:t>,</w:t>
      </w:r>
      <w:r w:rsidR="00AC32BB">
        <w:t xml:space="preserve"> </w:t>
      </w:r>
      <w:r w:rsidR="004C3FAC">
        <w:t>Australian</w:t>
      </w:r>
      <w:r w:rsidR="00AC32BB">
        <w:t xml:space="preserve"> frontier firms</w:t>
      </w:r>
      <w:r w:rsidR="00AA5B97">
        <w:t>’</w:t>
      </w:r>
      <w:r w:rsidR="00984E70">
        <w:t xml:space="preserve"> productivity is only</w:t>
      </w:r>
      <w:r w:rsidR="00AC32BB">
        <w:t xml:space="preserve"> 25 per cent</w:t>
      </w:r>
      <w:r w:rsidR="00984E70">
        <w:t xml:space="preserve"> higher</w:t>
      </w:r>
      <w:r w:rsidR="00AC32BB">
        <w:t xml:space="preserve">, and other </w:t>
      </w:r>
      <w:r w:rsidR="00AA5B97">
        <w:lastRenderedPageBreak/>
        <w:t>‘</w:t>
      </w:r>
      <w:r w:rsidR="00AC32BB">
        <w:t>laggard</w:t>
      </w:r>
      <w:r w:rsidR="00AA5B97">
        <w:t>’</w:t>
      </w:r>
      <w:r w:rsidR="00AC32BB">
        <w:t xml:space="preserve"> firms 15 per cent</w:t>
      </w:r>
      <w:r w:rsidR="00984E70">
        <w:t xml:space="preserve"> higher</w:t>
      </w:r>
      <w:r w:rsidR="00AC32BB">
        <w:t>.</w:t>
      </w:r>
      <w:r w:rsidR="00394178">
        <w:rPr>
          <w:rStyle w:val="FootnoteReference"/>
        </w:rPr>
        <w:footnoteReference w:id="7"/>
      </w:r>
      <w:r w:rsidR="00984E70">
        <w:t xml:space="preserve"> It is worth reiterating here that the firms that make up the Australian and global frontier are allowed to change, so we are showing the average productivity of firms in each of these groups over time, rather than tracking the productivity growth of any given firms. </w:t>
      </w:r>
    </w:p>
    <w:p w14:paraId="52D26E4F" w14:textId="77777777" w:rsidR="00595366" w:rsidRDefault="00834F90" w:rsidP="00A95463">
      <w:pPr>
        <w:pStyle w:val="FigureHeading"/>
      </w:pPr>
      <w:r>
        <w:rPr>
          <w:noProof/>
        </w:rPr>
        <w:t xml:space="preserve">Figure 1: Labour </w:t>
      </w:r>
      <w:r w:rsidR="004E00D4">
        <w:rPr>
          <w:noProof/>
        </w:rPr>
        <w:t>p</w:t>
      </w:r>
      <w:r>
        <w:rPr>
          <w:noProof/>
        </w:rPr>
        <w:t xml:space="preserve">roductivity </w:t>
      </w:r>
      <w:r w:rsidR="004E00D4">
        <w:rPr>
          <w:noProof/>
        </w:rPr>
        <w:t>d</w:t>
      </w:r>
      <w:r>
        <w:rPr>
          <w:noProof/>
        </w:rPr>
        <w:t xml:space="preserve">ipersion </w:t>
      </w:r>
      <w:r w:rsidR="00262059">
        <w:rPr>
          <w:noProof/>
        </w:rPr>
        <w:t>–</w:t>
      </w:r>
      <w:r>
        <w:rPr>
          <w:noProof/>
        </w:rPr>
        <w:t xml:space="preserve"> </w:t>
      </w:r>
      <w:r w:rsidR="004E00D4">
        <w:rPr>
          <w:noProof/>
        </w:rPr>
        <w:t>b</w:t>
      </w:r>
      <w:r>
        <w:rPr>
          <w:noProof/>
        </w:rPr>
        <w:t xml:space="preserve">usiness </w:t>
      </w:r>
      <w:r w:rsidR="004E00D4">
        <w:rPr>
          <w:noProof/>
        </w:rPr>
        <w:t>s</w:t>
      </w:r>
      <w:r>
        <w:rPr>
          <w:noProof/>
        </w:rPr>
        <w:t>ector</w:t>
      </w:r>
      <w:r w:rsidRPr="00834F90">
        <w:t xml:space="preserve"> </w:t>
      </w:r>
    </w:p>
    <w:p w14:paraId="74F0E229" w14:textId="53F67B3C" w:rsidR="00573F1A" w:rsidRDefault="00793BDB" w:rsidP="00E31AFE">
      <w:pPr>
        <w:pStyle w:val="Figuregraphic"/>
        <w:spacing w:after="0"/>
      </w:pPr>
      <w:r>
        <w:rPr>
          <w:noProof/>
        </w:rPr>
        <w:drawing>
          <wp:inline distT="0" distB="0" distL="0" distR="0" wp14:anchorId="1410B2EB" wp14:editId="7FDB26D7">
            <wp:extent cx="5584190" cy="2524125"/>
            <wp:effectExtent l="0" t="0" r="0" b="9525"/>
            <wp:docPr id="1" name="Picture 1" descr="This chart shows the increase in productivity across three groups – the global frontier, Australian frontier and other Australian firms – indexed to 1 in 2002. It shows that the global frontier has grown most strongly, increasing 60 per cent over the period to 2016. Australian frontier and other firms have improved more slowly, by around 25 and 15 per cent,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chart shows the increase in productivity across three groups – the global frontier, Australian frontier and other Australian firms – indexed to 1 in 2002. It shows that the global frontier has grown most strongly, increasing 60 per cent over the period to 2016. Australian frontier and other firms have improved more slowly, by around 25 and 15 per cent, respectivel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4190" cy="2524125"/>
                    </a:xfrm>
                    <a:prstGeom prst="rect">
                      <a:avLst/>
                    </a:prstGeom>
                    <a:noFill/>
                  </pic:spPr>
                </pic:pic>
              </a:graphicData>
            </a:graphic>
          </wp:inline>
        </w:drawing>
      </w:r>
    </w:p>
    <w:p w14:paraId="58214610" w14:textId="2F68F2E3" w:rsidR="00D82B97" w:rsidRPr="003D0E71" w:rsidRDefault="00D82B97" w:rsidP="00967496">
      <w:pPr>
        <w:rPr>
          <w:sz w:val="16"/>
          <w:szCs w:val="16"/>
        </w:rPr>
      </w:pPr>
      <w:r w:rsidRPr="003D0E71">
        <w:rPr>
          <w:sz w:val="16"/>
          <w:szCs w:val="16"/>
        </w:rPr>
        <w:t xml:space="preserve">Notes: </w:t>
      </w:r>
      <w:r w:rsidR="005F6327" w:rsidRPr="003D0E71">
        <w:rPr>
          <w:sz w:val="16"/>
          <w:szCs w:val="16"/>
        </w:rPr>
        <w:t xml:space="preserve">Figure 1 </w:t>
      </w:r>
      <w:bookmarkStart w:id="3" w:name="_Hlk86240953"/>
      <w:r w:rsidR="005F6327" w:rsidRPr="003D0E71">
        <w:rPr>
          <w:sz w:val="16"/>
          <w:szCs w:val="16"/>
        </w:rPr>
        <w:t>plots average productivity for the global frontier, Australian frontier, and Australian laggards (defined as all Australian firms not classified as a frontier firm) for the business sector. The business sector is defined here as the manufacturing sector plus the services sector (NACE industry codes 10</w:t>
      </w:r>
      <w:r w:rsidR="00AA5B97">
        <w:rPr>
          <w:sz w:val="16"/>
          <w:szCs w:val="16"/>
        </w:rPr>
        <w:noBreakHyphen/>
      </w:r>
      <w:r w:rsidR="005F6327" w:rsidRPr="003D0E71">
        <w:rPr>
          <w:sz w:val="16"/>
          <w:szCs w:val="16"/>
        </w:rPr>
        <w:t>33, 45</w:t>
      </w:r>
      <w:r w:rsidR="00AA5B97">
        <w:rPr>
          <w:sz w:val="16"/>
          <w:szCs w:val="16"/>
        </w:rPr>
        <w:noBreakHyphen/>
      </w:r>
      <w:r w:rsidR="005F6327" w:rsidRPr="003D0E71">
        <w:rPr>
          <w:sz w:val="16"/>
          <w:szCs w:val="16"/>
        </w:rPr>
        <w:t>82, excluding 64</w:t>
      </w:r>
      <w:r w:rsidR="00AA5B97">
        <w:rPr>
          <w:sz w:val="16"/>
          <w:szCs w:val="16"/>
        </w:rPr>
        <w:noBreakHyphen/>
      </w:r>
      <w:r w:rsidR="005F6327" w:rsidRPr="003D0E71">
        <w:rPr>
          <w:sz w:val="16"/>
          <w:szCs w:val="16"/>
        </w:rPr>
        <w:t xml:space="preserve">66). See </w:t>
      </w:r>
      <w:r w:rsidR="004C3FAC" w:rsidRPr="003D0E71">
        <w:rPr>
          <w:sz w:val="16"/>
          <w:szCs w:val="16"/>
        </w:rPr>
        <w:t>3</w:t>
      </w:r>
      <w:r w:rsidR="005F6327" w:rsidRPr="003D0E71">
        <w:rPr>
          <w:sz w:val="16"/>
          <w:szCs w:val="16"/>
        </w:rPr>
        <w:t xml:space="preserve">.2 for details on frontier definition. </w:t>
      </w:r>
      <w:r w:rsidR="004C3FAC" w:rsidRPr="003D0E71">
        <w:rPr>
          <w:sz w:val="16"/>
          <w:szCs w:val="16"/>
        </w:rPr>
        <w:t>Indexed to 2002=1, so that t</w:t>
      </w:r>
      <w:r w:rsidR="005F6327" w:rsidRPr="003D0E71">
        <w:rPr>
          <w:sz w:val="16"/>
          <w:szCs w:val="16"/>
        </w:rPr>
        <w:t xml:space="preserve">he vertical axis shows </w:t>
      </w:r>
      <w:r w:rsidR="004C3FAC" w:rsidRPr="003D0E71">
        <w:rPr>
          <w:sz w:val="16"/>
          <w:szCs w:val="16"/>
        </w:rPr>
        <w:t xml:space="preserve">cumulative </w:t>
      </w:r>
      <w:r w:rsidR="005F6327" w:rsidRPr="003D0E71">
        <w:rPr>
          <w:sz w:val="16"/>
          <w:szCs w:val="16"/>
        </w:rPr>
        <w:t>productivity growth. For example, if the global frontier series reaches 1.5 by 2013, this means that average global frontier firm productivity has grown by 50</w:t>
      </w:r>
      <w:r w:rsidR="004C3FAC" w:rsidRPr="003D0E71">
        <w:rPr>
          <w:sz w:val="16"/>
          <w:szCs w:val="16"/>
        </w:rPr>
        <w:t xml:space="preserve"> per cent</w:t>
      </w:r>
      <w:r w:rsidR="005F6327" w:rsidRPr="003D0E71">
        <w:rPr>
          <w:sz w:val="16"/>
          <w:szCs w:val="16"/>
        </w:rPr>
        <w:t xml:space="preserve"> relative to its 2002 level.</w:t>
      </w:r>
      <w:bookmarkEnd w:id="3"/>
    </w:p>
    <w:p w14:paraId="7E34266D" w14:textId="728B1F61" w:rsidR="00AC31EA" w:rsidRPr="00426ADC" w:rsidRDefault="00AC32BB" w:rsidP="000446BE">
      <w:pPr>
        <w:jc w:val="both"/>
      </w:pPr>
      <w:r>
        <w:t>As seen in Figures 2</w:t>
      </w:r>
      <w:r w:rsidR="00AA5B97">
        <w:noBreakHyphen/>
      </w:r>
      <w:r>
        <w:t xml:space="preserve">3, </w:t>
      </w:r>
      <w:r w:rsidR="00984E70">
        <w:t>the growing divergence</w:t>
      </w:r>
      <w:r>
        <w:t xml:space="preserve"> is particularly striking in the services sector, </w:t>
      </w:r>
      <w:r w:rsidR="000446BE">
        <w:t>but</w:t>
      </w:r>
      <w:r>
        <w:t xml:space="preserve"> not as pronounced in the manufacturing sector</w:t>
      </w:r>
      <w:r w:rsidR="00394178">
        <w:t xml:space="preserve">, where growth rates are far more similar </w:t>
      </w:r>
      <w:r w:rsidR="00984E70">
        <w:t xml:space="preserve">between Australian firms and the global frontier </w:t>
      </w:r>
      <w:r w:rsidR="00394178">
        <w:t>from around 2009 onwards</w:t>
      </w:r>
      <w:r>
        <w:t xml:space="preserve">. This </w:t>
      </w:r>
      <w:r w:rsidR="000446BE">
        <w:t>could be</w:t>
      </w:r>
      <w:r>
        <w:t xml:space="preserve"> consistent with </w:t>
      </w:r>
      <w:r w:rsidR="004C3FAC">
        <w:t>t</w:t>
      </w:r>
      <w:r>
        <w:t>he greater competitive pressures faced by manufacturing firms, given the high degree of import and export competition.</w:t>
      </w:r>
    </w:p>
    <w:p w14:paraId="00E4B1F6" w14:textId="77777777" w:rsidR="00595366" w:rsidRDefault="00DC1531" w:rsidP="00A95463">
      <w:pPr>
        <w:pStyle w:val="FigureHeading"/>
      </w:pPr>
      <w:r>
        <w:rPr>
          <w:noProof/>
        </w:rPr>
        <w:t xml:space="preserve">Figure 2: Labour </w:t>
      </w:r>
      <w:r w:rsidR="004E00D4">
        <w:rPr>
          <w:noProof/>
        </w:rPr>
        <w:t>p</w:t>
      </w:r>
      <w:r>
        <w:rPr>
          <w:noProof/>
        </w:rPr>
        <w:t xml:space="preserve">roductivity </w:t>
      </w:r>
      <w:r w:rsidR="004E00D4">
        <w:rPr>
          <w:noProof/>
        </w:rPr>
        <w:t>d</w:t>
      </w:r>
      <w:r>
        <w:rPr>
          <w:noProof/>
        </w:rPr>
        <w:t xml:space="preserve">ipersion </w:t>
      </w:r>
      <w:r w:rsidR="005B6F33">
        <w:rPr>
          <w:noProof/>
        </w:rPr>
        <w:t>–</w:t>
      </w:r>
      <w:r>
        <w:rPr>
          <w:noProof/>
        </w:rPr>
        <w:t xml:space="preserve"> </w:t>
      </w:r>
      <w:r w:rsidR="004E00D4">
        <w:rPr>
          <w:noProof/>
        </w:rPr>
        <w:t>m</w:t>
      </w:r>
      <w:r>
        <w:rPr>
          <w:noProof/>
        </w:rPr>
        <w:t xml:space="preserve">anufacturing </w:t>
      </w:r>
      <w:r w:rsidR="004E00D4">
        <w:rPr>
          <w:noProof/>
        </w:rPr>
        <w:t>s</w:t>
      </w:r>
      <w:r>
        <w:rPr>
          <w:noProof/>
        </w:rPr>
        <w:t>ector</w:t>
      </w:r>
      <w:r w:rsidRPr="00834F90">
        <w:t xml:space="preserve"> </w:t>
      </w:r>
    </w:p>
    <w:p w14:paraId="33C00456" w14:textId="56ED3E95" w:rsidR="00573F1A" w:rsidRDefault="005A4E9F" w:rsidP="00E31AFE">
      <w:pPr>
        <w:pStyle w:val="Figuregraphic"/>
        <w:spacing w:after="0"/>
      </w:pPr>
      <w:r w:rsidRPr="005A4E9F">
        <w:rPr>
          <w:noProof/>
        </w:rPr>
        <w:drawing>
          <wp:inline distT="0" distB="0" distL="0" distR="0" wp14:anchorId="23D01A74" wp14:editId="08318654">
            <wp:extent cx="5534025" cy="2477770"/>
            <wp:effectExtent l="0" t="0" r="9525" b="0"/>
            <wp:docPr id="3" name="Picture 3" descr="This chart shows the increase in productivity across three groups – the global frontier, Australian frontier and other Australian firms – indexed to 1 in 2002. It focuses on the services sector. It shows that the global frontier has grown most strongly, increasing 60 per cent over the period to 2016. Australian frontier and other firms have improved more slowly, by around 30 and 20 per cent, respectively. The divergence between the global frontier and Australian firms therefore grew less in the manufacturing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chart shows the increase in productivity across three groups – the global frontier, Australian frontier and other Australian firms – indexed to 1 in 2002. It focuses on the services sector. It shows that the global frontier has grown most strongly, increasing 60 per cent over the period to 2016. Australian frontier and other firms have improved more slowly, by around 30 and 20 per cent, respectively. The divergence between the global frontier and Australian firms therefore grew less in the manufacturing sector."/>
                    <pic:cNvPicPr>
                      <a:picLocks noChangeAspect="1" noChangeArrowheads="1"/>
                    </pic:cNvPicPr>
                  </pic:nvPicPr>
                  <pic:blipFill rotWithShape="1">
                    <a:blip r:embed="rId27">
                      <a:extLst>
                        <a:ext uri="{28A0092B-C50C-407E-A947-70E740481C1C}">
                          <a14:useLocalDpi xmlns:a14="http://schemas.microsoft.com/office/drawing/2010/main" val="0"/>
                        </a:ext>
                      </a:extLst>
                    </a:blip>
                    <a:srcRect t="3344" r="6270"/>
                    <a:stretch/>
                  </pic:blipFill>
                  <pic:spPr bwMode="auto">
                    <a:xfrm>
                      <a:off x="0" y="0"/>
                      <a:ext cx="5534025" cy="2477770"/>
                    </a:xfrm>
                    <a:prstGeom prst="rect">
                      <a:avLst/>
                    </a:prstGeom>
                    <a:noFill/>
                    <a:ln>
                      <a:noFill/>
                    </a:ln>
                    <a:extLst>
                      <a:ext uri="{53640926-AAD7-44D8-BBD7-CCE9431645EC}">
                        <a14:shadowObscured xmlns:a14="http://schemas.microsoft.com/office/drawing/2010/main"/>
                      </a:ext>
                    </a:extLst>
                  </pic:spPr>
                </pic:pic>
              </a:graphicData>
            </a:graphic>
          </wp:inline>
        </w:drawing>
      </w:r>
    </w:p>
    <w:p w14:paraId="687321F2" w14:textId="4C09910B" w:rsidR="005F6327" w:rsidRDefault="00426ADC" w:rsidP="00967496">
      <w:pPr>
        <w:rPr>
          <w:sz w:val="16"/>
          <w:szCs w:val="16"/>
        </w:rPr>
      </w:pPr>
      <w:r w:rsidRPr="003D0E71">
        <w:rPr>
          <w:sz w:val="16"/>
          <w:szCs w:val="16"/>
        </w:rPr>
        <w:t xml:space="preserve">Notes: </w:t>
      </w:r>
      <w:r w:rsidR="004C3FAC" w:rsidRPr="003D0E71">
        <w:rPr>
          <w:sz w:val="16"/>
          <w:szCs w:val="16"/>
        </w:rPr>
        <w:t>See Figure 1. M</w:t>
      </w:r>
      <w:r w:rsidR="005F6327" w:rsidRPr="003D0E71">
        <w:rPr>
          <w:sz w:val="16"/>
          <w:szCs w:val="16"/>
        </w:rPr>
        <w:t>anufacturing sector</w:t>
      </w:r>
      <w:r w:rsidR="004C3FAC" w:rsidRPr="003D0E71">
        <w:rPr>
          <w:sz w:val="16"/>
          <w:szCs w:val="16"/>
        </w:rPr>
        <w:t xml:space="preserve"> defined as </w:t>
      </w:r>
      <w:r w:rsidR="005F6327" w:rsidRPr="003D0E71">
        <w:rPr>
          <w:sz w:val="16"/>
          <w:szCs w:val="16"/>
        </w:rPr>
        <w:t>NACE industry codes 10</w:t>
      </w:r>
      <w:r w:rsidR="00AA5B97">
        <w:rPr>
          <w:sz w:val="16"/>
          <w:szCs w:val="16"/>
        </w:rPr>
        <w:noBreakHyphen/>
      </w:r>
      <w:r w:rsidR="005F6327" w:rsidRPr="003D0E71">
        <w:rPr>
          <w:sz w:val="16"/>
          <w:szCs w:val="16"/>
        </w:rPr>
        <w:t xml:space="preserve">33. </w:t>
      </w:r>
    </w:p>
    <w:p w14:paraId="61CB7785" w14:textId="77777777" w:rsidR="008A5C91" w:rsidRPr="003D0E71" w:rsidRDefault="008A5C91" w:rsidP="00732E4F">
      <w:pPr>
        <w:pStyle w:val="SingleParagraph"/>
      </w:pPr>
    </w:p>
    <w:p w14:paraId="6EDC0F62" w14:textId="77777777" w:rsidR="00595366" w:rsidRDefault="00DC1531" w:rsidP="00A95463">
      <w:pPr>
        <w:pStyle w:val="FigureHeading"/>
      </w:pPr>
      <w:r>
        <w:rPr>
          <w:noProof/>
        </w:rPr>
        <w:lastRenderedPageBreak/>
        <w:t xml:space="preserve">Figure </w:t>
      </w:r>
      <w:r w:rsidR="006D2C31">
        <w:rPr>
          <w:noProof/>
        </w:rPr>
        <w:t>3</w:t>
      </w:r>
      <w:r>
        <w:rPr>
          <w:noProof/>
        </w:rPr>
        <w:t xml:space="preserve">: Labour </w:t>
      </w:r>
      <w:r w:rsidR="004E00D4">
        <w:rPr>
          <w:noProof/>
        </w:rPr>
        <w:t>p</w:t>
      </w:r>
      <w:r>
        <w:rPr>
          <w:noProof/>
        </w:rPr>
        <w:t xml:space="preserve">roductivity </w:t>
      </w:r>
      <w:r w:rsidR="004E00D4">
        <w:rPr>
          <w:noProof/>
        </w:rPr>
        <w:t>d</w:t>
      </w:r>
      <w:r>
        <w:rPr>
          <w:noProof/>
        </w:rPr>
        <w:t xml:space="preserve">ipersion </w:t>
      </w:r>
      <w:r w:rsidR="005B6F33">
        <w:rPr>
          <w:noProof/>
        </w:rPr>
        <w:t>–</w:t>
      </w:r>
      <w:r>
        <w:rPr>
          <w:noProof/>
        </w:rPr>
        <w:t xml:space="preserve"> </w:t>
      </w:r>
      <w:r w:rsidR="004E00D4">
        <w:rPr>
          <w:noProof/>
        </w:rPr>
        <w:t>s</w:t>
      </w:r>
      <w:r>
        <w:rPr>
          <w:noProof/>
        </w:rPr>
        <w:t xml:space="preserve">ervices </w:t>
      </w:r>
      <w:r w:rsidR="004E00D4">
        <w:rPr>
          <w:noProof/>
        </w:rPr>
        <w:t>s</w:t>
      </w:r>
      <w:r>
        <w:rPr>
          <w:noProof/>
        </w:rPr>
        <w:t>ector</w:t>
      </w:r>
      <w:r w:rsidRPr="00834F90">
        <w:t xml:space="preserve"> </w:t>
      </w:r>
    </w:p>
    <w:p w14:paraId="38A10659" w14:textId="016043A5" w:rsidR="00573F1A" w:rsidRDefault="009630FD" w:rsidP="00E31AFE">
      <w:pPr>
        <w:pStyle w:val="Figuregraphic"/>
        <w:spacing w:after="0"/>
      </w:pPr>
      <w:r w:rsidRPr="009630FD">
        <w:rPr>
          <w:noProof/>
        </w:rPr>
        <w:drawing>
          <wp:inline distT="0" distB="0" distL="0" distR="0" wp14:anchorId="4DC063B1" wp14:editId="4ECE4AD3">
            <wp:extent cx="5634990" cy="2604770"/>
            <wp:effectExtent l="0" t="0" r="3810" b="0"/>
            <wp:docPr id="5" name="Picture 5" descr="This chart shows the increase in productivity across three groups – the global frontier, Australian frontier and other Australian firms – indexed to 1 in 2002. It focuses on the services sector. It shows that the global frontier has grown most strongly, increasing 75 per cent over the period to 2016. Australian frontier and other firms have improved more slowly, by around 30 and 10 per cent, respectively. The divergence between the global frontier and Australian firms therefore grew more in the services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chart shows the increase in productivity across three groups – the global frontier, Australian frontier and other Australian firms – indexed to 1 in 2002. It focuses on the services sector. It shows that the global frontier has grown most strongly, increasing 75 per cent over the period to 2016. Australian frontier and other firms have improved more slowly, by around 30 and 10 per cent, respectively. The divergence between the global frontier and Australian firms therefore grew more in the services secto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4990" cy="2604770"/>
                    </a:xfrm>
                    <a:prstGeom prst="rect">
                      <a:avLst/>
                    </a:prstGeom>
                    <a:noFill/>
                    <a:ln>
                      <a:noFill/>
                    </a:ln>
                  </pic:spPr>
                </pic:pic>
              </a:graphicData>
            </a:graphic>
          </wp:inline>
        </w:drawing>
      </w:r>
    </w:p>
    <w:p w14:paraId="147D4419" w14:textId="639C76C8" w:rsidR="00A70A82" w:rsidRPr="003D0E71" w:rsidRDefault="00426ADC" w:rsidP="00A70A82">
      <w:pPr>
        <w:rPr>
          <w:sz w:val="16"/>
          <w:szCs w:val="16"/>
        </w:rPr>
      </w:pPr>
      <w:r w:rsidRPr="003D0E71">
        <w:rPr>
          <w:sz w:val="16"/>
          <w:szCs w:val="16"/>
        </w:rPr>
        <w:t xml:space="preserve">Notes: </w:t>
      </w:r>
      <w:r w:rsidR="004C3FAC" w:rsidRPr="003D0E71">
        <w:rPr>
          <w:sz w:val="16"/>
          <w:szCs w:val="16"/>
        </w:rPr>
        <w:t>See Figure 1. S</w:t>
      </w:r>
      <w:r w:rsidR="00A70A82" w:rsidRPr="003D0E71">
        <w:rPr>
          <w:sz w:val="16"/>
          <w:szCs w:val="16"/>
        </w:rPr>
        <w:t xml:space="preserve">ervices sector </w:t>
      </w:r>
      <w:r w:rsidR="004C3FAC" w:rsidRPr="003D0E71">
        <w:rPr>
          <w:sz w:val="16"/>
          <w:szCs w:val="16"/>
        </w:rPr>
        <w:t xml:space="preserve">defined as </w:t>
      </w:r>
      <w:r w:rsidR="00A70A82" w:rsidRPr="003D0E71">
        <w:rPr>
          <w:sz w:val="16"/>
          <w:szCs w:val="16"/>
        </w:rPr>
        <w:t>NACE industry codes 45</w:t>
      </w:r>
      <w:r w:rsidR="00AA5B97">
        <w:rPr>
          <w:sz w:val="16"/>
          <w:szCs w:val="16"/>
        </w:rPr>
        <w:noBreakHyphen/>
      </w:r>
      <w:r w:rsidR="00A70A82" w:rsidRPr="003D0E71">
        <w:rPr>
          <w:sz w:val="16"/>
          <w:szCs w:val="16"/>
        </w:rPr>
        <w:t>82, excluding 64</w:t>
      </w:r>
      <w:r w:rsidR="00AA5B97">
        <w:rPr>
          <w:sz w:val="16"/>
          <w:szCs w:val="16"/>
        </w:rPr>
        <w:noBreakHyphen/>
      </w:r>
      <w:r w:rsidR="00A70A82" w:rsidRPr="003D0E71">
        <w:rPr>
          <w:sz w:val="16"/>
          <w:szCs w:val="16"/>
        </w:rPr>
        <w:t>66</w:t>
      </w:r>
      <w:r w:rsidR="000446BE" w:rsidRPr="003D0E71">
        <w:rPr>
          <w:sz w:val="16"/>
          <w:szCs w:val="16"/>
        </w:rPr>
        <w:t>.</w:t>
      </w:r>
    </w:p>
    <w:p w14:paraId="31E60779" w14:textId="586EF94D" w:rsidR="009E4559" w:rsidRDefault="00AC32BB" w:rsidP="000446BE">
      <w:pPr>
        <w:jc w:val="both"/>
      </w:pPr>
      <w:r>
        <w:t>While instructive, these results don</w:t>
      </w:r>
      <w:r w:rsidR="00AA5B97">
        <w:t>’</w:t>
      </w:r>
      <w:r>
        <w:t xml:space="preserve">t show us whether something has changed, or whether </w:t>
      </w:r>
      <w:r w:rsidR="004C3FAC">
        <w:t xml:space="preserve">it is normal for </w:t>
      </w:r>
      <w:r w:rsidR="00984E70">
        <w:t>productivity at the frontier</w:t>
      </w:r>
      <w:r w:rsidR="004C3FAC">
        <w:t xml:space="preserve"> </w:t>
      </w:r>
      <w:r w:rsidR="00984E70">
        <w:t>to diverge from</w:t>
      </w:r>
      <w:r w:rsidR="004C3FAC">
        <w:t xml:space="preserve"> that of Australian firms.</w:t>
      </w:r>
      <w:r>
        <w:t xml:space="preserve"> Assuming there is some change, </w:t>
      </w:r>
      <w:r w:rsidR="004C3FAC">
        <w:t xml:space="preserve">the results also </w:t>
      </w:r>
      <w:r>
        <w:t>don</w:t>
      </w:r>
      <w:r w:rsidR="00AA5B97">
        <w:t>’</w:t>
      </w:r>
      <w:r>
        <w:t>t indicate whether this reflects faster growth at the frontier, a benign explanation, or slower convergence for Australian firms, a more pernicious explanation</w:t>
      </w:r>
      <w:r w:rsidR="00FB1406">
        <w:t xml:space="preserve">. And finally, </w:t>
      </w:r>
      <w:r w:rsidR="004C3FAC">
        <w:t>the results</w:t>
      </w:r>
      <w:r w:rsidR="00FB1406">
        <w:t xml:space="preserve"> don</w:t>
      </w:r>
      <w:r w:rsidR="00AA5B97">
        <w:t>’</w:t>
      </w:r>
      <w:r w:rsidR="00FB1406">
        <w:t xml:space="preserve">t provide any evidence </w:t>
      </w:r>
      <w:r w:rsidR="004C3FAC">
        <w:t>on</w:t>
      </w:r>
      <w:r w:rsidR="00FB1406">
        <w:t xml:space="preserve"> what may be driving the change</w:t>
      </w:r>
      <w:r w:rsidR="009E4559">
        <w:t xml:space="preserve">. </w:t>
      </w:r>
      <w:r w:rsidR="000446BE">
        <w:t>T</w:t>
      </w:r>
      <w:r w:rsidR="00FB1406">
        <w:t>o answer these</w:t>
      </w:r>
      <w:r w:rsidR="00FC1887">
        <w:t xml:space="preserve"> more important</w:t>
      </w:r>
      <w:r w:rsidR="00FB1406">
        <w:t xml:space="preserve"> questions directly, we now turn to an econometric model.</w:t>
      </w:r>
    </w:p>
    <w:p w14:paraId="57C296DF" w14:textId="50981604" w:rsidR="00436D6C" w:rsidRDefault="00436D6C" w:rsidP="00436D6C">
      <w:pPr>
        <w:pStyle w:val="Heading2"/>
      </w:pPr>
      <w:r>
        <w:t xml:space="preserve">Econometric </w:t>
      </w:r>
      <w:r w:rsidR="00340568">
        <w:t>specification</w:t>
      </w:r>
    </w:p>
    <w:p w14:paraId="543094F1" w14:textId="659854A3" w:rsidR="00787536" w:rsidRDefault="00136BC2" w:rsidP="00787536">
      <w:pPr>
        <w:rPr>
          <w:lang w:val="en-US" w:eastAsia="en-AU"/>
        </w:rPr>
      </w:pPr>
      <w:r>
        <w:rPr>
          <w:lang w:val="en-US" w:eastAsia="en-AU"/>
        </w:rPr>
        <w:t>E</w:t>
      </w:r>
      <w:r w:rsidR="00DA4AB7">
        <w:rPr>
          <w:lang w:val="en-US" w:eastAsia="en-AU"/>
        </w:rPr>
        <w:t>conomic models tend to predict that, in</w:t>
      </w:r>
      <w:r w:rsidR="00787536">
        <w:rPr>
          <w:lang w:val="en-US" w:eastAsia="en-AU"/>
        </w:rPr>
        <w:t xml:space="preserve"> a competitive economy, </w:t>
      </w:r>
      <w:r w:rsidR="00DA4AB7">
        <w:rPr>
          <w:lang w:val="en-US" w:eastAsia="en-AU"/>
        </w:rPr>
        <w:t xml:space="preserve">firms further from the frontier should have faster </w:t>
      </w:r>
      <w:proofErr w:type="spellStart"/>
      <w:r w:rsidR="00DA4AB7">
        <w:rPr>
          <w:lang w:val="en-US" w:eastAsia="en-AU"/>
        </w:rPr>
        <w:t>labour</w:t>
      </w:r>
      <w:proofErr w:type="spellEnd"/>
      <w:r w:rsidR="00DA4AB7">
        <w:rPr>
          <w:lang w:val="en-US" w:eastAsia="en-AU"/>
        </w:rPr>
        <w:t xml:space="preserve"> productivity</w:t>
      </w:r>
      <w:r w:rsidR="00FC1887">
        <w:rPr>
          <w:lang w:val="en-US" w:eastAsia="en-AU"/>
        </w:rPr>
        <w:t xml:space="preserve"> growth</w:t>
      </w:r>
      <w:r w:rsidR="004C3FAC">
        <w:rPr>
          <w:lang w:val="en-US" w:eastAsia="en-AU"/>
        </w:rPr>
        <w:t xml:space="preserve">, allowing them to </w:t>
      </w:r>
      <w:r w:rsidR="00DA4AB7">
        <w:rPr>
          <w:lang w:val="en-US" w:eastAsia="en-AU"/>
        </w:rPr>
        <w:t>converge towards the frontier</w:t>
      </w:r>
      <w:r w:rsidR="00787536">
        <w:rPr>
          <w:lang w:val="en-US" w:eastAsia="en-AU"/>
        </w:rPr>
        <w:t xml:space="preserve">. </w:t>
      </w:r>
      <w:r w:rsidR="00DA4AB7">
        <w:rPr>
          <w:lang w:val="en-US" w:eastAsia="en-AU"/>
        </w:rPr>
        <w:t>This generally reflects two factors</w:t>
      </w:r>
      <w:r w:rsidR="00787536">
        <w:rPr>
          <w:lang w:val="en-US" w:eastAsia="en-AU"/>
        </w:rPr>
        <w:t>:</w:t>
      </w:r>
    </w:p>
    <w:p w14:paraId="66CED22A" w14:textId="1631AAD4" w:rsidR="00787536" w:rsidRDefault="00CA4AC3" w:rsidP="00787536">
      <w:pPr>
        <w:pStyle w:val="OutlineNumbered1"/>
        <w:rPr>
          <w:lang w:val="en-US" w:eastAsia="en-AU"/>
        </w:rPr>
      </w:pPr>
      <w:r>
        <w:rPr>
          <w:lang w:val="en-US" w:eastAsia="en-AU"/>
        </w:rPr>
        <w:t>F</w:t>
      </w:r>
      <w:r w:rsidR="00787536">
        <w:rPr>
          <w:lang w:val="en-US" w:eastAsia="en-AU"/>
        </w:rPr>
        <w:t xml:space="preserve">irms further behind the frontier have a larger stock of unexploited technology and knowledge to </w:t>
      </w:r>
      <w:proofErr w:type="spellStart"/>
      <w:proofErr w:type="gramStart"/>
      <w:r w:rsidR="00787536">
        <w:rPr>
          <w:lang w:val="en-US" w:eastAsia="en-AU"/>
        </w:rPr>
        <w:t>utili</w:t>
      </w:r>
      <w:r w:rsidR="000446BE">
        <w:rPr>
          <w:lang w:val="en-US" w:eastAsia="en-AU"/>
        </w:rPr>
        <w:t>s</w:t>
      </w:r>
      <w:r w:rsidR="00787536">
        <w:rPr>
          <w:lang w:val="en-US" w:eastAsia="en-AU"/>
        </w:rPr>
        <w:t>e</w:t>
      </w:r>
      <w:proofErr w:type="spellEnd"/>
      <w:r w:rsidR="00787536">
        <w:rPr>
          <w:lang w:val="en-US" w:eastAsia="en-AU"/>
        </w:rPr>
        <w:t>;</w:t>
      </w:r>
      <w:proofErr w:type="gramEnd"/>
    </w:p>
    <w:p w14:paraId="276195B0" w14:textId="0A734D9A" w:rsidR="00787536" w:rsidRPr="006A07B9" w:rsidRDefault="00787536" w:rsidP="00787536">
      <w:pPr>
        <w:pStyle w:val="OutlineNumbered1"/>
        <w:rPr>
          <w:lang w:val="en-US" w:eastAsia="en-AU"/>
        </w:rPr>
      </w:pPr>
      <w:r>
        <w:rPr>
          <w:lang w:val="en-US" w:eastAsia="en-AU"/>
        </w:rPr>
        <w:t>Over time competitive pressures should force firms to either adopt technolog</w:t>
      </w:r>
      <w:r w:rsidR="000446BE">
        <w:rPr>
          <w:lang w:val="en-US" w:eastAsia="en-AU"/>
        </w:rPr>
        <w:t>ies</w:t>
      </w:r>
      <w:r>
        <w:rPr>
          <w:lang w:val="en-US" w:eastAsia="en-AU"/>
        </w:rPr>
        <w:t xml:space="preserve"> and become more productive or exit the market.</w:t>
      </w:r>
    </w:p>
    <w:p w14:paraId="59597AB7" w14:textId="23E129FD" w:rsidR="00DA3918" w:rsidRDefault="00DA3918" w:rsidP="000446BE">
      <w:pPr>
        <w:jc w:val="both"/>
        <w:rPr>
          <w:lang w:val="en-US" w:eastAsia="en-AU"/>
        </w:rPr>
      </w:pPr>
      <w:r>
        <w:rPr>
          <w:lang w:val="en-US" w:eastAsia="en-AU"/>
        </w:rPr>
        <w:t xml:space="preserve">To test for this </w:t>
      </w:r>
      <w:r w:rsidR="002A4C60">
        <w:rPr>
          <w:lang w:val="en-US" w:eastAsia="en-AU"/>
        </w:rPr>
        <w:t>convergence</w:t>
      </w:r>
      <w:r w:rsidR="00DA4AB7">
        <w:rPr>
          <w:lang w:val="en-US" w:eastAsia="en-AU"/>
        </w:rPr>
        <w:t>, we adopt an econometric specification based on Aghion and Howitt</w:t>
      </w:r>
      <w:r w:rsidR="00AA5B97">
        <w:rPr>
          <w:lang w:val="en-US" w:eastAsia="en-AU"/>
        </w:rPr>
        <w:t>’</w:t>
      </w:r>
      <w:r w:rsidR="000446BE">
        <w:rPr>
          <w:lang w:val="en-US" w:eastAsia="en-AU"/>
        </w:rPr>
        <w:t>s</w:t>
      </w:r>
      <w:r w:rsidR="00DA4AB7">
        <w:rPr>
          <w:lang w:val="en-US" w:eastAsia="en-AU"/>
        </w:rPr>
        <w:t xml:space="preserve"> (1998) neo</w:t>
      </w:r>
      <w:r w:rsidR="00AA5B97">
        <w:rPr>
          <w:lang w:val="en-US" w:eastAsia="en-AU"/>
        </w:rPr>
        <w:noBreakHyphen/>
      </w:r>
      <w:r w:rsidR="00DA4AB7">
        <w:rPr>
          <w:lang w:val="en-US" w:eastAsia="en-AU"/>
        </w:rPr>
        <w:t>Schumpeterian growth framework, which has been used in several empirical papers (Griffith et al, 2009; Andrews et al, 201</w:t>
      </w:r>
      <w:r w:rsidR="004C3FAC">
        <w:rPr>
          <w:lang w:val="en-US" w:eastAsia="en-AU"/>
        </w:rPr>
        <w:t>9</w:t>
      </w:r>
      <w:r w:rsidR="00DA4AB7">
        <w:rPr>
          <w:lang w:val="en-US" w:eastAsia="en-AU"/>
        </w:rPr>
        <w:t xml:space="preserve">; Conway et al, 2016). We model </w:t>
      </w:r>
      <w:r w:rsidR="004C3FAC">
        <w:rPr>
          <w:lang w:val="en-US" w:eastAsia="en-AU"/>
        </w:rPr>
        <w:t xml:space="preserve">firm </w:t>
      </w:r>
      <w:r w:rsidR="00461EA9">
        <w:rPr>
          <w:lang w:val="en-US" w:eastAsia="en-AU"/>
        </w:rPr>
        <w:t>productivity growth</w:t>
      </w:r>
      <w:r>
        <w:rPr>
          <w:lang w:val="en-US" w:eastAsia="en-AU"/>
        </w:rPr>
        <w:t xml:space="preserve"> as a function of firm</w:t>
      </w:r>
      <w:r w:rsidR="00AA5B97">
        <w:rPr>
          <w:lang w:val="en-US" w:eastAsia="en-AU"/>
        </w:rPr>
        <w:noBreakHyphen/>
      </w:r>
      <w:r>
        <w:rPr>
          <w:lang w:val="en-US" w:eastAsia="en-AU"/>
        </w:rPr>
        <w:t xml:space="preserve">level characteristics such as firm age, size and industry, </w:t>
      </w:r>
      <w:r w:rsidR="000446BE">
        <w:rPr>
          <w:lang w:val="en-US" w:eastAsia="en-AU"/>
        </w:rPr>
        <w:t xml:space="preserve">productivity </w:t>
      </w:r>
      <w:r w:rsidR="00A52696">
        <w:rPr>
          <w:lang w:val="en-US" w:eastAsia="en-AU"/>
        </w:rPr>
        <w:t xml:space="preserve">growth at the </w:t>
      </w:r>
      <w:r w:rsidR="000446BE">
        <w:rPr>
          <w:lang w:val="en-US" w:eastAsia="en-AU"/>
        </w:rPr>
        <w:t xml:space="preserve">global </w:t>
      </w:r>
      <w:r w:rsidR="00A52696">
        <w:rPr>
          <w:lang w:val="en-US" w:eastAsia="en-AU"/>
        </w:rPr>
        <w:t>industry frontier</w:t>
      </w:r>
      <w:r w:rsidR="00DA4AB7">
        <w:rPr>
          <w:lang w:val="en-US" w:eastAsia="en-AU"/>
        </w:rPr>
        <w:t>,</w:t>
      </w:r>
      <w:r w:rsidR="00A52696">
        <w:rPr>
          <w:lang w:val="en-US" w:eastAsia="en-AU"/>
        </w:rPr>
        <w:t xml:space="preserve"> and most importantly</w:t>
      </w:r>
      <w:r>
        <w:rPr>
          <w:lang w:val="en-US" w:eastAsia="en-AU"/>
        </w:rPr>
        <w:t xml:space="preserve"> a firm</w:t>
      </w:r>
      <w:r w:rsidR="00AA5B97">
        <w:rPr>
          <w:lang w:val="en-US" w:eastAsia="en-AU"/>
        </w:rPr>
        <w:t>’</w:t>
      </w:r>
      <w:r>
        <w:rPr>
          <w:lang w:val="en-US" w:eastAsia="en-AU"/>
        </w:rPr>
        <w:t>s distance from the global industry frontier</w:t>
      </w:r>
      <w:r w:rsidR="00DA4AB7">
        <w:rPr>
          <w:lang w:val="en-US" w:eastAsia="en-AU"/>
        </w:rPr>
        <w:t>:</w:t>
      </w:r>
    </w:p>
    <w:p w14:paraId="58C5B0BF" w14:textId="7E33B4C8" w:rsidR="00A52696" w:rsidRPr="00DA3918" w:rsidRDefault="00461EA9" w:rsidP="00DA3918">
      <w:pPr>
        <w:rPr>
          <w:lang w:val="en-US" w:eastAsia="en-AU"/>
        </w:rPr>
      </w:pPr>
      <m:oMathPara>
        <m:oMath>
          <m:r>
            <w:rPr>
              <w:rFonts w:ascii="Cambria Math" w:hAnsi="Cambria Math"/>
            </w:rPr>
            <m:t>∆</m:t>
          </m:r>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color w:val="auto"/>
                    </w:rPr>
                  </m:ctrlPr>
                </m:sSubPr>
                <m:e>
                  <m:r>
                    <w:rPr>
                      <w:rFonts w:ascii="Cambria Math" w:hAnsi="Cambria Math"/>
                    </w:rPr>
                    <m:t>LP</m:t>
                  </m:r>
                </m:e>
                <m:sub>
                  <m:r>
                    <w:rPr>
                      <w:rFonts w:ascii="Cambria Math" w:hAnsi="Cambria Math"/>
                    </w:rPr>
                    <m:t>ijt</m:t>
                  </m:r>
                </m:sub>
              </m:sSub>
            </m:e>
          </m:func>
          <m:r>
            <w:rPr>
              <w:rFonts w:ascii="Cambria Math" w:hAnsi="Cambria Math"/>
            </w:rPr>
            <m:t xml:space="preserve">= </m:t>
          </m:r>
          <m:sSub>
            <m:sSubPr>
              <m:ctrlPr>
                <w:rPr>
                  <w:rFonts w:ascii="Cambria Math" w:hAnsi="Cambria Math"/>
                  <w:i/>
                  <w:color w:val="auto"/>
                </w:rPr>
              </m:ctrlPr>
            </m:sSubPr>
            <m:e>
              <m:r>
                <w:rPr>
                  <w:rFonts w:ascii="Cambria Math" w:hAnsi="Cambria Math"/>
                </w:rPr>
                <m:t>β</m:t>
              </m:r>
            </m:e>
            <m:sub>
              <m:r>
                <w:rPr>
                  <w:rFonts w:ascii="Cambria Math" w:hAnsi="Cambria Math"/>
                </w:rPr>
                <m:t>0</m:t>
              </m:r>
            </m:sub>
          </m:sSub>
          <m:r>
            <w:rPr>
              <w:rFonts w:ascii="Cambria Math" w:hAnsi="Cambria Math"/>
            </w:rPr>
            <m:t xml:space="preserve">+ </m:t>
          </m:r>
          <m:sSub>
            <m:sSubPr>
              <m:ctrlPr>
                <w:rPr>
                  <w:rFonts w:ascii="Cambria Math" w:hAnsi="Cambria Math"/>
                  <w:i/>
                  <w:color w:val="auto"/>
                </w:rPr>
              </m:ctrlPr>
            </m:sSubPr>
            <m:e>
              <m:r>
                <w:rPr>
                  <w:rFonts w:ascii="Cambria Math" w:hAnsi="Cambria Math"/>
                </w:rPr>
                <m:t>β</m:t>
              </m:r>
            </m:e>
            <m:sub>
              <m:r>
                <w:rPr>
                  <w:rFonts w:ascii="Cambria Math" w:hAnsi="Cambria Math"/>
                </w:rPr>
                <m:t>1</m:t>
              </m:r>
            </m:sub>
          </m:sSub>
          <m:r>
            <w:rPr>
              <w:rFonts w:ascii="Cambria Math" w:hAnsi="Cambria Math"/>
            </w:rPr>
            <m:t>∆ ln</m:t>
          </m:r>
          <m:sSubSup>
            <m:sSubSupPr>
              <m:ctrlPr>
                <w:rPr>
                  <w:rFonts w:ascii="Cambria Math" w:hAnsi="Cambria Math"/>
                  <w:i/>
                  <w:color w:val="auto"/>
                </w:rPr>
              </m:ctrlPr>
            </m:sSubSupPr>
            <m:e>
              <m:r>
                <w:rPr>
                  <w:rFonts w:ascii="Cambria Math" w:hAnsi="Cambria Math"/>
                </w:rPr>
                <m:t>LP</m:t>
              </m:r>
            </m:e>
            <m:sub>
              <m:r>
                <w:rPr>
                  <w:rFonts w:ascii="Cambria Math" w:hAnsi="Cambria Math"/>
                </w:rPr>
                <m:t>jt</m:t>
              </m:r>
            </m:sub>
            <m:sup>
              <m:r>
                <w:rPr>
                  <w:rFonts w:ascii="Cambria Math" w:hAnsi="Cambria Math"/>
                </w:rPr>
                <m:t>F</m:t>
              </m:r>
            </m:sup>
          </m:sSubSup>
          <m:r>
            <w:rPr>
              <w:rFonts w:ascii="Cambria Math" w:eastAsiaTheme="minorEastAsia" w:hAnsi="Cambria Math"/>
            </w:rPr>
            <m:t xml:space="preserve">+ </m:t>
          </m:r>
          <m:sSub>
            <m:sSubPr>
              <m:ctrlPr>
                <w:rPr>
                  <w:rFonts w:ascii="Cambria Math" w:eastAsiaTheme="minorEastAsia" w:hAnsi="Cambria Math"/>
                  <w:i/>
                  <w:color w:val="auto"/>
                </w:rPr>
              </m:ctrlPr>
            </m:sSubPr>
            <m:e>
              <m:r>
                <w:rPr>
                  <w:rFonts w:ascii="Cambria Math" w:eastAsiaTheme="minorEastAsia" w:hAnsi="Cambria Math"/>
                </w:rPr>
                <m:t>β</m:t>
              </m:r>
            </m:e>
            <m:sub>
              <m:r>
                <w:rPr>
                  <w:rFonts w:ascii="Cambria Math" w:eastAsiaTheme="minorEastAsia" w:hAnsi="Cambria Math"/>
                </w:rPr>
                <m:t>2</m:t>
              </m:r>
            </m:sub>
          </m:sSub>
          <m:func>
            <m:funcPr>
              <m:ctrlPr>
                <w:rPr>
                  <w:rFonts w:ascii="Cambria Math" w:eastAsiaTheme="minorEastAsia" w:hAnsi="Cambria Math"/>
                  <w:i/>
                </w:rPr>
              </m:ctrlPr>
            </m:funcPr>
            <m:fName>
              <m:r>
                <m:rPr>
                  <m:sty m:val="p"/>
                </m:rPr>
                <w:rPr>
                  <w:rFonts w:ascii="Cambria Math" w:eastAsiaTheme="minorEastAsia" w:hAnsi="Cambria Math"/>
                </w:rPr>
                <m:t>ln</m:t>
              </m:r>
            </m:fName>
            <m:e>
              <m:sSub>
                <m:sSubPr>
                  <m:ctrlPr>
                    <w:rPr>
                      <w:rFonts w:ascii="Cambria Math" w:eastAsiaTheme="minorEastAsia" w:hAnsi="Cambria Math"/>
                      <w:i/>
                      <w:color w:val="auto"/>
                    </w:rPr>
                  </m:ctrlPr>
                </m:sSubPr>
                <m:e>
                  <m:f>
                    <m:fPr>
                      <m:ctrlPr>
                        <w:rPr>
                          <w:rFonts w:ascii="Cambria Math" w:eastAsiaTheme="minorEastAsia" w:hAnsi="Cambria Math"/>
                          <w:i/>
                          <w:color w:val="auto"/>
                        </w:rPr>
                      </m:ctrlPr>
                    </m:fPr>
                    <m:num>
                      <m:sSubSup>
                        <m:sSubSupPr>
                          <m:ctrlPr>
                            <w:rPr>
                              <w:rFonts w:ascii="Cambria Math" w:hAnsi="Cambria Math"/>
                              <w:i/>
                              <w:color w:val="auto"/>
                            </w:rPr>
                          </m:ctrlPr>
                        </m:sSubSupPr>
                        <m:e>
                          <m:r>
                            <w:rPr>
                              <w:rFonts w:ascii="Cambria Math" w:hAnsi="Cambria Math"/>
                            </w:rPr>
                            <m:t>LP</m:t>
                          </m:r>
                        </m:e>
                        <m:sub>
                          <m:r>
                            <w:rPr>
                              <w:rFonts w:ascii="Cambria Math" w:hAnsi="Cambria Math"/>
                            </w:rPr>
                            <m:t>j</m:t>
                          </m:r>
                        </m:sub>
                        <m:sup>
                          <m:r>
                            <w:rPr>
                              <w:rFonts w:ascii="Cambria Math" w:hAnsi="Cambria Math"/>
                            </w:rPr>
                            <m:t>F</m:t>
                          </m:r>
                        </m:sup>
                      </m:sSubSup>
                    </m:num>
                    <m:den>
                      <m:sSub>
                        <m:sSubPr>
                          <m:ctrlPr>
                            <w:rPr>
                              <w:rFonts w:ascii="Cambria Math" w:eastAsiaTheme="minorEastAsia" w:hAnsi="Cambria Math"/>
                              <w:i/>
                              <w:color w:val="auto"/>
                            </w:rPr>
                          </m:ctrlPr>
                        </m:sSubPr>
                        <m:e>
                          <m:r>
                            <w:rPr>
                              <w:rFonts w:ascii="Cambria Math" w:eastAsiaTheme="minorEastAsia" w:hAnsi="Cambria Math"/>
                            </w:rPr>
                            <m:t>LP</m:t>
                          </m:r>
                        </m:e>
                        <m:sub>
                          <m:r>
                            <w:rPr>
                              <w:rFonts w:ascii="Cambria Math" w:eastAsiaTheme="minorEastAsia" w:hAnsi="Cambria Math"/>
                            </w:rPr>
                            <m:t>ij</m:t>
                          </m:r>
                        </m:sub>
                      </m:sSub>
                    </m:den>
                  </m:f>
                </m:e>
                <m:sub>
                  <m:r>
                    <w:rPr>
                      <w:rFonts w:ascii="Cambria Math" w:eastAsiaTheme="minorEastAsia" w:hAnsi="Cambria Math"/>
                    </w:rPr>
                    <m:t>t-1</m:t>
                  </m:r>
                </m:sub>
              </m:sSub>
              <m:r>
                <w:rPr>
                  <w:rFonts w:ascii="Cambria Math" w:eastAsiaTheme="minorEastAsia" w:hAnsi="Cambria Math"/>
                </w:rPr>
                <m:t xml:space="preserve">+ </m:t>
              </m:r>
              <m:sSub>
                <m:sSubPr>
                  <m:ctrlPr>
                    <w:rPr>
                      <w:rFonts w:ascii="Cambria Math" w:eastAsiaTheme="minorEastAsia" w:hAnsi="Cambria Math"/>
                      <w:i/>
                      <w:color w:val="auto"/>
                    </w:rPr>
                  </m:ctrlPr>
                </m:sSubPr>
                <m:e>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i,t</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j</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t</m:t>
                      </m:r>
                    </m:sub>
                  </m:sSub>
                  <m:r>
                    <w:rPr>
                      <w:rFonts w:ascii="Cambria Math" w:eastAsiaTheme="minorEastAsia" w:hAnsi="Cambria Math"/>
                    </w:rPr>
                    <m:t>+ ε</m:t>
                  </m:r>
                </m:e>
                <m:sub>
                  <m:r>
                    <w:rPr>
                      <w:rFonts w:ascii="Cambria Math" w:eastAsiaTheme="minorEastAsia" w:hAnsi="Cambria Math"/>
                    </w:rPr>
                    <m:t>ijt</m:t>
                  </m:r>
                </m:sub>
              </m:sSub>
            </m:e>
          </m:func>
        </m:oMath>
      </m:oMathPara>
    </w:p>
    <w:p w14:paraId="0C7BF12F" w14:textId="7FF18994" w:rsidR="00D70EBE" w:rsidRDefault="00461EA9" w:rsidP="000446BE">
      <w:pPr>
        <w:jc w:val="both"/>
      </w:pPr>
      <w:r>
        <w:t xml:space="preserve">Here, </w:t>
      </w:r>
      <m:oMath>
        <m:r>
          <w:rPr>
            <w:rFonts w:ascii="Cambria Math" w:hAnsi="Cambria Math"/>
          </w:rPr>
          <m:t>∆</m:t>
        </m:r>
        <m:func>
          <m:funcPr>
            <m:ctrlPr>
              <w:rPr>
                <w:rFonts w:ascii="Cambria Math" w:hAnsi="Cambria Math"/>
                <w:i/>
              </w:rPr>
            </m:ctrlPr>
          </m:funcPr>
          <m:fName>
            <m:r>
              <m:rPr>
                <m:sty m:val="p"/>
              </m:rPr>
              <w:rPr>
                <w:rFonts w:ascii="Cambria Math" w:hAnsi="Cambria Math"/>
              </w:rPr>
              <m:t>ln</m:t>
            </m:r>
          </m:fName>
          <m:e>
            <m:sSub>
              <m:sSubPr>
                <m:ctrlPr>
                  <w:rPr>
                    <w:rFonts w:ascii="Cambria Math" w:hAnsi="Cambria Math"/>
                    <w:i/>
                  </w:rPr>
                </m:ctrlPr>
              </m:sSubPr>
              <m:e>
                <m:r>
                  <w:rPr>
                    <w:rFonts w:ascii="Cambria Math" w:hAnsi="Cambria Math"/>
                  </w:rPr>
                  <m:t>LP</m:t>
                </m:r>
              </m:e>
              <m:sub>
                <m:r>
                  <w:rPr>
                    <w:rFonts w:ascii="Cambria Math" w:hAnsi="Cambria Math"/>
                  </w:rPr>
                  <m:t>ijt</m:t>
                </m:r>
              </m:sub>
            </m:sSub>
          </m:e>
        </m:func>
      </m:oMath>
      <w:r>
        <w:t xml:space="preserve"> denotes </w:t>
      </w:r>
      <w:r w:rsidR="00321895">
        <w:t xml:space="preserve">labour </w:t>
      </w:r>
      <w:r>
        <w:t xml:space="preserve">productivity growth of firm </w:t>
      </w:r>
      <w:proofErr w:type="spellStart"/>
      <w:r>
        <w:t>i</w:t>
      </w:r>
      <w:proofErr w:type="spellEnd"/>
      <w:r w:rsidR="000B1C5E">
        <w:t xml:space="preserve"> in industry j at time t, </w:t>
      </w:r>
      <w:r>
        <w:t xml:space="preserve"> </w:t>
      </w:r>
      <m:oMath>
        <m:r>
          <w:rPr>
            <w:rFonts w:ascii="Cambria Math" w:hAnsi="Cambria Math"/>
          </w:rPr>
          <m:t>∆ ln</m:t>
        </m:r>
        <m:sSubSup>
          <m:sSubSupPr>
            <m:ctrlPr>
              <w:rPr>
                <w:rFonts w:ascii="Cambria Math" w:hAnsi="Cambria Math"/>
                <w:i/>
              </w:rPr>
            </m:ctrlPr>
          </m:sSubSupPr>
          <m:e>
            <m:r>
              <w:rPr>
                <w:rFonts w:ascii="Cambria Math" w:hAnsi="Cambria Math"/>
              </w:rPr>
              <m:t>LP</m:t>
            </m:r>
          </m:e>
          <m:sub>
            <m:r>
              <w:rPr>
                <w:rFonts w:ascii="Cambria Math" w:hAnsi="Cambria Math"/>
              </w:rPr>
              <m:t>jt</m:t>
            </m:r>
          </m:sub>
          <m:sup>
            <m:r>
              <w:rPr>
                <w:rFonts w:ascii="Cambria Math" w:hAnsi="Cambria Math"/>
              </w:rPr>
              <m:t>F</m:t>
            </m:r>
          </m:sup>
        </m:sSubSup>
      </m:oMath>
      <w:r>
        <w:t xml:space="preserve"> denotes productivity growth at the global industry frontier</w:t>
      </w:r>
      <w:r w:rsidR="00ED3AEF">
        <w:t xml:space="preserve">, </w:t>
      </w:r>
      <w:r>
        <w:t xml:space="preserve">and </w:t>
      </w:r>
      <m:oMath>
        <m:sSub>
          <m:sSubPr>
            <m:ctrlPr>
              <w:rPr>
                <w:rFonts w:ascii="Cambria Math" w:hAnsi="Cambria Math"/>
                <w:i/>
              </w:rPr>
            </m:ctrlPr>
          </m:sSubPr>
          <m:e>
            <m:r>
              <w:rPr>
                <w:rFonts w:ascii="Cambria Math" w:hAnsi="Cambria Math"/>
              </w:rPr>
              <m:t xml:space="preserve">ln </m:t>
            </m:r>
            <m:f>
              <m:fPr>
                <m:ctrlPr>
                  <w:rPr>
                    <w:rFonts w:ascii="Cambria Math" w:hAnsi="Cambria Math"/>
                    <w:i/>
                  </w:rPr>
                </m:ctrlPr>
              </m:fPr>
              <m:num>
                <m:sSubSup>
                  <m:sSubSupPr>
                    <m:ctrlPr>
                      <w:rPr>
                        <w:rFonts w:ascii="Cambria Math" w:hAnsi="Cambria Math"/>
                        <w:i/>
                        <w:color w:val="auto"/>
                      </w:rPr>
                    </m:ctrlPr>
                  </m:sSubSupPr>
                  <m:e>
                    <m:r>
                      <w:rPr>
                        <w:rFonts w:ascii="Cambria Math" w:hAnsi="Cambria Math"/>
                      </w:rPr>
                      <m:t>LP</m:t>
                    </m:r>
                  </m:e>
                  <m:sub>
                    <m:r>
                      <w:rPr>
                        <w:rFonts w:ascii="Cambria Math" w:hAnsi="Cambria Math"/>
                      </w:rPr>
                      <m:t>j</m:t>
                    </m:r>
                  </m:sub>
                  <m:sup>
                    <m:r>
                      <w:rPr>
                        <w:rFonts w:ascii="Cambria Math" w:hAnsi="Cambria Math"/>
                      </w:rPr>
                      <m:t>F</m:t>
                    </m:r>
                  </m:sup>
                </m:sSubSup>
              </m:num>
              <m:den>
                <m:sSub>
                  <m:sSubPr>
                    <m:ctrlPr>
                      <w:rPr>
                        <w:rFonts w:ascii="Cambria Math" w:hAnsi="Cambria Math"/>
                        <w:i/>
                      </w:rPr>
                    </m:ctrlPr>
                  </m:sSubPr>
                  <m:e>
                    <m:r>
                      <w:rPr>
                        <w:rFonts w:ascii="Cambria Math" w:hAnsi="Cambria Math"/>
                      </w:rPr>
                      <m:t>LP</m:t>
                    </m:r>
                  </m:e>
                  <m:sub>
                    <m:r>
                      <w:rPr>
                        <w:rFonts w:ascii="Cambria Math" w:hAnsi="Cambria Math"/>
                      </w:rPr>
                      <m:t>ij</m:t>
                    </m:r>
                  </m:sub>
                </m:sSub>
              </m:den>
            </m:f>
          </m:e>
          <m:sub>
            <m:r>
              <w:rPr>
                <w:rFonts w:ascii="Cambria Math" w:hAnsi="Cambria Math"/>
              </w:rPr>
              <m:t>t-1</m:t>
            </m:r>
          </m:sub>
        </m:sSub>
      </m:oMath>
      <w:r>
        <w:t>denotes the firm</w:t>
      </w:r>
      <w:r w:rsidR="00AA5B97">
        <w:t>’</w:t>
      </w:r>
      <w:r>
        <w:t>s distance from the global industry frontier in time t</w:t>
      </w:r>
      <w:r w:rsidR="00AA5B97">
        <w:noBreakHyphen/>
      </w:r>
      <w:r>
        <w:t>1.</w:t>
      </w:r>
      <w:r w:rsidR="00EB2F42">
        <w:t xml:space="preserv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i,t</m:t>
            </m:r>
          </m:sub>
        </m:sSub>
      </m:oMath>
      <w:r>
        <w:t xml:space="preserve"> represents a vector of controls for firm age and size</w:t>
      </w:r>
      <w:r w:rsidR="00EB2F42">
        <w:t xml:space="preserve">. </w:t>
      </w:r>
      <m:oMath>
        <m:sSub>
          <m:sSubPr>
            <m:ctrlPr>
              <w:rPr>
                <w:rFonts w:ascii="Cambria Math" w:hAnsi="Cambria Math"/>
                <w:i/>
              </w:rPr>
            </m:ctrlPr>
          </m:sSubPr>
          <m:e>
            <m:r>
              <w:rPr>
                <w:rFonts w:ascii="Cambria Math" w:hAnsi="Cambria Math"/>
              </w:rPr>
              <m:t>δ</m:t>
            </m:r>
          </m:e>
          <m:sub>
            <m:r>
              <w:rPr>
                <w:rFonts w:ascii="Cambria Math" w:hAnsi="Cambria Math"/>
              </w:rPr>
              <m:t>j</m:t>
            </m:r>
          </m:sub>
        </m:sSub>
      </m:oMath>
      <w:r w:rsidR="00EB2F42">
        <w:t xml:space="preserve">are industry fixed effects </w:t>
      </w:r>
      <w:r w:rsidR="00ED3AEF">
        <w:t>that</w:t>
      </w:r>
      <w:r w:rsidR="00EB2F42">
        <w:t xml:space="preserve"> control for time</w:t>
      </w:r>
      <w:r w:rsidR="00AA5B97">
        <w:noBreakHyphen/>
      </w:r>
      <w:r w:rsidR="00EB2F42">
        <w:t xml:space="preserve">invariant factors affecting productivity growth of firms in a particular </w:t>
      </w:r>
      <w:r w:rsidR="00EB2F42">
        <w:lastRenderedPageBreak/>
        <w:t xml:space="preserve">industry. </w:t>
      </w:r>
      <m:oMath>
        <m:sSub>
          <m:sSubPr>
            <m:ctrlPr>
              <w:rPr>
                <w:rFonts w:ascii="Cambria Math" w:hAnsi="Cambria Math"/>
                <w:i/>
              </w:rPr>
            </m:ctrlPr>
          </m:sSubPr>
          <m:e>
            <m:r>
              <w:rPr>
                <w:rFonts w:ascii="Cambria Math" w:hAnsi="Cambria Math"/>
              </w:rPr>
              <m:t>ω</m:t>
            </m:r>
          </m:e>
          <m:sub>
            <m:r>
              <w:rPr>
                <w:rFonts w:ascii="Cambria Math" w:hAnsi="Cambria Math"/>
              </w:rPr>
              <m:t>t</m:t>
            </m:r>
          </m:sub>
        </m:sSub>
      </m:oMath>
      <w:r w:rsidR="00EB2F42">
        <w:t xml:space="preserve"> are year fixed effects </w:t>
      </w:r>
      <w:r w:rsidR="00D70EBE">
        <w:t>that</w:t>
      </w:r>
      <w:r w:rsidR="00EB2F42">
        <w:t xml:space="preserve"> control for shocks in a period affecting </w:t>
      </w:r>
      <w:r w:rsidR="00D70EBE">
        <w:t>all firms, such as the business cycle</w:t>
      </w:r>
      <w:r w:rsidR="00EB2F42">
        <w:t>.</w:t>
      </w:r>
      <w:r w:rsidRPr="00CE177B">
        <w:t xml:space="preserve"> </w:t>
      </w:r>
      <m:oMath>
        <m:sSub>
          <m:sSubPr>
            <m:ctrlPr>
              <w:rPr>
                <w:rFonts w:ascii="Cambria Math" w:hAnsi="Cambria Math"/>
                <w:i/>
              </w:rPr>
            </m:ctrlPr>
          </m:sSubPr>
          <m:e>
            <m:r>
              <w:rPr>
                <w:rFonts w:ascii="Cambria Math" w:hAnsi="Cambria Math"/>
              </w:rPr>
              <m:t>ε</m:t>
            </m:r>
          </m:e>
          <m:sub>
            <m:r>
              <w:rPr>
                <w:rFonts w:ascii="Cambria Math" w:hAnsi="Cambria Math"/>
              </w:rPr>
              <m:t>ijt</m:t>
            </m:r>
          </m:sub>
        </m:sSub>
      </m:oMath>
      <w:r w:rsidR="000B1C5E" w:rsidRPr="00CE177B">
        <w:t xml:space="preserve"> is the</w:t>
      </w:r>
      <w:r w:rsidRPr="00CE177B">
        <w:t xml:space="preserve"> idiosyncratic error term.</w:t>
      </w:r>
      <w:r w:rsidR="000B1C5E" w:rsidRPr="00CE177B">
        <w:t xml:space="preserve"> </w:t>
      </w:r>
    </w:p>
    <w:p w14:paraId="331A694D" w14:textId="11F22848" w:rsidR="00EB2F42" w:rsidRDefault="00CE177B" w:rsidP="000446BE">
      <w:pPr>
        <w:jc w:val="both"/>
      </w:pPr>
      <w:r>
        <w:t xml:space="preserve">We then add to the </w:t>
      </w:r>
      <w:r w:rsidR="003B065F">
        <w:t>model</w:t>
      </w:r>
      <w:r w:rsidR="004938C7">
        <w:t xml:space="preserve"> by </w:t>
      </w:r>
      <w:r>
        <w:t>introducing industry</w:t>
      </w:r>
      <w:r w:rsidR="00AA5B97">
        <w:noBreakHyphen/>
      </w:r>
      <w:r>
        <w:t xml:space="preserve">year fixed effects </w:t>
      </w:r>
      <m:oMath>
        <m:sSub>
          <m:sSubPr>
            <m:ctrlPr>
              <w:rPr>
                <w:rFonts w:ascii="Cambria Math" w:hAnsi="Cambria Math"/>
                <w:i/>
              </w:rPr>
            </m:ctrlPr>
          </m:sSubPr>
          <m:e>
            <m:r>
              <w:rPr>
                <w:rFonts w:ascii="Cambria Math" w:hAnsi="Cambria Math"/>
              </w:rPr>
              <m:t>φ</m:t>
            </m:r>
          </m:e>
          <m:sub>
            <m:r>
              <w:rPr>
                <w:rFonts w:ascii="Cambria Math" w:hAnsi="Cambria Math"/>
              </w:rPr>
              <m:t>jt</m:t>
            </m:r>
          </m:sub>
        </m:sSub>
      </m:oMath>
      <w:r>
        <w:t xml:space="preserve"> to control for industry</w:t>
      </w:r>
      <w:r w:rsidR="00AA5B97">
        <w:noBreakHyphen/>
      </w:r>
      <w:r>
        <w:t xml:space="preserve">specific shocks affecting </w:t>
      </w:r>
      <w:r w:rsidR="00ED3AEF">
        <w:t xml:space="preserve">all </w:t>
      </w:r>
      <w:r w:rsidR="00D70EBE">
        <w:t xml:space="preserve">firms in </w:t>
      </w:r>
      <w:r w:rsidR="000446BE">
        <w:t>that</w:t>
      </w:r>
      <w:r w:rsidR="00D70EBE">
        <w:t xml:space="preserve"> industry in a particular period</w:t>
      </w:r>
      <w:r>
        <w:t>. The introduction of industry</w:t>
      </w:r>
      <w:r w:rsidR="00AA5B97">
        <w:noBreakHyphen/>
      </w:r>
      <w:r>
        <w:t xml:space="preserve">year fixed effects </w:t>
      </w:r>
      <w:proofErr w:type="gramStart"/>
      <w:r>
        <w:t>sweeps</w:t>
      </w:r>
      <w:proofErr w:type="gramEnd"/>
      <w:r>
        <w:t xml:space="preserve"> out the global frontier growth term </w:t>
      </w:r>
      <m:oMath>
        <m:r>
          <w:rPr>
            <w:rFonts w:ascii="Cambria Math" w:hAnsi="Cambria Math"/>
          </w:rPr>
          <m:t>∆ ln</m:t>
        </m:r>
        <m:sSubSup>
          <m:sSubSupPr>
            <m:ctrlPr>
              <w:rPr>
                <w:rFonts w:ascii="Cambria Math" w:hAnsi="Cambria Math"/>
                <w:i/>
              </w:rPr>
            </m:ctrlPr>
          </m:sSubSupPr>
          <m:e>
            <m:r>
              <w:rPr>
                <w:rFonts w:ascii="Cambria Math" w:hAnsi="Cambria Math"/>
              </w:rPr>
              <m:t>LP</m:t>
            </m:r>
          </m:e>
          <m:sub>
            <m:r>
              <w:rPr>
                <w:rFonts w:ascii="Cambria Math" w:hAnsi="Cambria Math"/>
              </w:rPr>
              <m:t>jt</m:t>
            </m:r>
          </m:sub>
          <m:sup>
            <m:r>
              <w:rPr>
                <w:rFonts w:ascii="Cambria Math" w:hAnsi="Cambria Math"/>
              </w:rPr>
              <m:t>F</m:t>
            </m:r>
          </m:sup>
        </m:sSubSup>
      </m:oMath>
      <w:r>
        <w:t>, so that we estimate the model:</w:t>
      </w:r>
    </w:p>
    <w:p w14:paraId="1746879E" w14:textId="51553D97" w:rsidR="00EB2F42" w:rsidRPr="00C87EE9" w:rsidRDefault="00CE177B" w:rsidP="00C87EE9">
      <w:pPr>
        <w:pStyle w:val="Heading3"/>
        <w:rPr>
          <w:rFonts w:ascii="Calibri" w:hAnsi="Calibri"/>
        </w:rPr>
      </w:pPr>
      <m:oMathPara>
        <m:oMath>
          <m:r>
            <m:rPr>
              <m:sty m:val="p"/>
            </m:rPr>
            <w:rPr>
              <w:rFonts w:ascii="Cambria Math" w:hAnsi="Cambria Math"/>
            </w:rPr>
            <m:t>∆</m:t>
          </m:r>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LP</m:t>
                  </m:r>
                </m:e>
                <m:sub>
                  <m:r>
                    <w:rPr>
                      <w:rFonts w:ascii="Cambria Math" w:hAnsi="Cambria Math"/>
                    </w:rPr>
                    <m:t>ijt</m:t>
                  </m:r>
                </m:sub>
              </m:sSub>
            </m:e>
          </m:func>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f>
                    <m:fPr>
                      <m:ctrlPr>
                        <w:rPr>
                          <w:rFonts w:ascii="Cambria Math" w:hAnsi="Cambria Math"/>
                        </w:rPr>
                      </m:ctrlPr>
                    </m:fPr>
                    <m:num>
                      <m:sSubSup>
                        <m:sSubSupPr>
                          <m:ctrlPr>
                            <w:rPr>
                              <w:rFonts w:ascii="Cambria Math" w:hAnsi="Cambria Math"/>
                            </w:rPr>
                          </m:ctrlPr>
                        </m:sSubSupPr>
                        <m:e>
                          <m:r>
                            <w:rPr>
                              <w:rFonts w:ascii="Cambria Math" w:hAnsi="Cambria Math"/>
                            </w:rPr>
                            <m:t>LP</m:t>
                          </m:r>
                        </m:e>
                        <m:sub>
                          <m:r>
                            <w:rPr>
                              <w:rFonts w:ascii="Cambria Math" w:hAnsi="Cambria Math"/>
                            </w:rPr>
                            <m:t>j</m:t>
                          </m:r>
                        </m:sub>
                        <m:sup>
                          <m:r>
                            <w:rPr>
                              <w:rFonts w:ascii="Cambria Math" w:hAnsi="Cambria Math"/>
                            </w:rPr>
                            <m:t>F</m:t>
                          </m:r>
                        </m:sup>
                      </m:sSubSup>
                    </m:num>
                    <m:den>
                      <m:sSub>
                        <m:sSubPr>
                          <m:ctrlPr>
                            <w:rPr>
                              <w:rFonts w:ascii="Cambria Math" w:hAnsi="Cambria Math"/>
                            </w:rPr>
                          </m:ctrlPr>
                        </m:sSubPr>
                        <m:e>
                          <m:r>
                            <w:rPr>
                              <w:rFonts w:ascii="Cambria Math" w:hAnsi="Cambria Math"/>
                            </w:rPr>
                            <m:t>LP</m:t>
                          </m:r>
                        </m:e>
                        <m:sub>
                          <m:r>
                            <w:rPr>
                              <w:rFonts w:ascii="Cambria Math" w:hAnsi="Cambria Math"/>
                            </w:rPr>
                            <m:t>ij</m:t>
                          </m:r>
                        </m:sub>
                      </m:sSub>
                    </m:den>
                  </m:f>
                </m:e>
                <m:sub>
                  <m:r>
                    <w:rPr>
                      <w:rFonts w:ascii="Cambria Math" w:hAnsi="Cambria Math"/>
                    </w:rPr>
                    <m:t>t</m:t>
                  </m:r>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γ</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φ</m:t>
                      </m:r>
                    </m:e>
                    <m:sub>
                      <m:r>
                        <w:rPr>
                          <w:rFonts w:ascii="Cambria Math" w:hAnsi="Cambria Math"/>
                        </w:rPr>
                        <m:t>jt</m:t>
                      </m:r>
                    </m:sub>
                  </m:sSub>
                  <m:r>
                    <m:rPr>
                      <m:sty m:val="p"/>
                    </m:rPr>
                    <w:rPr>
                      <w:rFonts w:ascii="Cambria Math" w:hAnsi="Cambria Math"/>
                    </w:rPr>
                    <m:t xml:space="preserve">+ </m:t>
                  </m:r>
                  <m:r>
                    <w:rPr>
                      <w:rFonts w:ascii="Cambria Math" w:hAnsi="Cambria Math"/>
                    </w:rPr>
                    <m:t>ε</m:t>
                  </m:r>
                </m:e>
                <m:sub>
                  <m:r>
                    <w:rPr>
                      <w:rFonts w:ascii="Cambria Math" w:hAnsi="Cambria Math"/>
                    </w:rPr>
                    <m:t>ijt</m:t>
                  </m:r>
                </m:sub>
              </m:sSub>
            </m:e>
          </m:func>
        </m:oMath>
      </m:oMathPara>
    </w:p>
    <w:p w14:paraId="07CD674F" w14:textId="084792F7" w:rsidR="000B1C5E" w:rsidRPr="000B1C5E" w:rsidRDefault="000B1C5E" w:rsidP="000446BE">
      <w:pPr>
        <w:jc w:val="both"/>
        <w:rPr>
          <w:lang w:eastAsia="en-AU"/>
        </w:rPr>
      </w:pPr>
      <w:r>
        <w:rPr>
          <w:lang w:eastAsia="en-AU"/>
        </w:rPr>
        <w:t>The coefficient</w:t>
      </w:r>
      <w:r w:rsidR="00D70EBE">
        <w:rPr>
          <w:lang w:eastAsia="en-AU"/>
        </w:rPr>
        <w:t xml:space="preserve"> of interest is the coefficient</w:t>
      </w:r>
      <w:r>
        <w:rPr>
          <w:lang w:eastAsia="en-AU"/>
        </w:rPr>
        <w:t xml:space="preserve"> </w:t>
      </w:r>
      <w:r w:rsidR="004B0255">
        <w:rPr>
          <w:lang w:eastAsia="en-AU"/>
        </w:rPr>
        <w:t>on the distance to frontier term,</w:t>
      </w:r>
      <w:r>
        <w:rPr>
          <w:lang w:eastAsia="en-AU"/>
        </w:rPr>
        <w:t xml:space="preserve"> </w:t>
      </w:r>
      <m:oMath>
        <m:sSub>
          <m:sSubPr>
            <m:ctrlPr>
              <w:rPr>
                <w:rFonts w:ascii="Cambria Math" w:hAnsi="Cambria Math"/>
                <w:i/>
                <w:lang w:eastAsia="en-AU"/>
              </w:rPr>
            </m:ctrlPr>
          </m:sSubPr>
          <m:e>
            <m:r>
              <w:rPr>
                <w:rFonts w:ascii="Cambria Math" w:hAnsi="Cambria Math"/>
                <w:lang w:eastAsia="en-AU"/>
              </w:rPr>
              <m:t>β</m:t>
            </m:r>
          </m:e>
          <m:sub>
            <m:r>
              <w:rPr>
                <w:rFonts w:ascii="Cambria Math" w:hAnsi="Cambria Math"/>
                <w:lang w:eastAsia="en-AU"/>
              </w:rPr>
              <m:t>1</m:t>
            </m:r>
          </m:sub>
        </m:sSub>
      </m:oMath>
      <w:r w:rsidR="00D70EBE">
        <w:rPr>
          <w:rFonts w:eastAsiaTheme="minorEastAsia"/>
          <w:lang w:eastAsia="en-AU"/>
        </w:rPr>
        <w:t xml:space="preserve"> </w:t>
      </w:r>
      <w:r w:rsidR="005B6F33">
        <w:rPr>
          <w:noProof/>
        </w:rPr>
        <w:t>–</w:t>
      </w:r>
      <w:r w:rsidR="00D70EBE">
        <w:rPr>
          <w:rFonts w:eastAsiaTheme="minorEastAsia"/>
          <w:lang w:eastAsia="en-AU"/>
        </w:rPr>
        <w:t xml:space="preserve"> the speed of convergence</w:t>
      </w:r>
      <w:r>
        <w:rPr>
          <w:rFonts w:eastAsiaTheme="minorEastAsia"/>
          <w:lang w:eastAsia="en-AU"/>
        </w:rPr>
        <w:t xml:space="preserve">. A positive </w:t>
      </w:r>
      <w:r w:rsidR="00ED3AEF">
        <w:rPr>
          <w:rFonts w:eastAsiaTheme="minorEastAsia"/>
          <w:lang w:eastAsia="en-AU"/>
        </w:rPr>
        <w:t>coefficient</w:t>
      </w:r>
      <w:r>
        <w:rPr>
          <w:rFonts w:eastAsiaTheme="minorEastAsia"/>
          <w:lang w:eastAsia="en-AU"/>
        </w:rPr>
        <w:t xml:space="preserve"> me</w:t>
      </w:r>
      <w:r w:rsidR="004B0255">
        <w:rPr>
          <w:rFonts w:eastAsiaTheme="minorEastAsia"/>
          <w:lang w:eastAsia="en-AU"/>
        </w:rPr>
        <w:t xml:space="preserve">ans that firms further from the frontier grow faster than firms close to the frontier. </w:t>
      </w:r>
    </w:p>
    <w:p w14:paraId="341B646B" w14:textId="57F7D5F5" w:rsidR="00A55267" w:rsidRDefault="00A55267" w:rsidP="000446BE">
      <w:pPr>
        <w:jc w:val="both"/>
        <w:rPr>
          <w:lang w:eastAsia="en-AU"/>
        </w:rPr>
      </w:pPr>
      <w:r>
        <w:rPr>
          <w:lang w:eastAsia="en-AU"/>
        </w:rPr>
        <w:t>We can then extend the baseline model by interacting various firm</w:t>
      </w:r>
      <w:r w:rsidR="00AA5B97">
        <w:rPr>
          <w:lang w:eastAsia="en-AU"/>
        </w:rPr>
        <w:noBreakHyphen/>
      </w:r>
      <w:r>
        <w:rPr>
          <w:lang w:eastAsia="en-AU"/>
        </w:rPr>
        <w:t>level and industry</w:t>
      </w:r>
      <w:r w:rsidR="00AA5B97">
        <w:rPr>
          <w:lang w:eastAsia="en-AU"/>
        </w:rPr>
        <w:noBreakHyphen/>
      </w:r>
      <w:r>
        <w:rPr>
          <w:lang w:eastAsia="en-AU"/>
        </w:rPr>
        <w:t>level characteristics with the distance to frontier term, to identify possible factors influencing this speed of convergence.</w:t>
      </w:r>
    </w:p>
    <w:p w14:paraId="19E83A9C" w14:textId="3A696420" w:rsidR="00A55267" w:rsidRPr="00D70EBE" w:rsidRDefault="00A55267" w:rsidP="00A55267">
      <w:pPr>
        <w:rPr>
          <w:rFonts w:eastAsiaTheme="minorEastAsia"/>
          <w:lang w:eastAsia="en-AU"/>
        </w:rPr>
      </w:pPr>
      <m:oMathPara>
        <m:oMath>
          <m:r>
            <m:rPr>
              <m:sty m:val="p"/>
            </m:rPr>
            <w:rPr>
              <w:rFonts w:ascii="Cambria Math" w:hAnsi="Cambria Math"/>
              <w:lang w:eastAsia="en-AU"/>
            </w:rPr>
            <m:t>∆</m:t>
          </m:r>
          <m:func>
            <m:funcPr>
              <m:ctrlPr>
                <w:rPr>
                  <w:rFonts w:ascii="Cambria Math" w:hAnsi="Cambria Math"/>
                  <w:lang w:eastAsia="en-AU"/>
                </w:rPr>
              </m:ctrlPr>
            </m:funcPr>
            <m:fName>
              <m:r>
                <m:rPr>
                  <m:sty m:val="p"/>
                </m:rPr>
                <w:rPr>
                  <w:rFonts w:ascii="Cambria Math" w:hAnsi="Cambria Math"/>
                  <w:lang w:eastAsia="en-AU"/>
                </w:rPr>
                <m:t>ln</m:t>
              </m:r>
            </m:fName>
            <m:e>
              <m:sSub>
                <m:sSubPr>
                  <m:ctrlPr>
                    <w:rPr>
                      <w:rFonts w:ascii="Cambria Math" w:hAnsi="Cambria Math"/>
                      <w:lang w:eastAsia="en-AU"/>
                    </w:rPr>
                  </m:ctrlPr>
                </m:sSubPr>
                <m:e>
                  <m:r>
                    <w:rPr>
                      <w:rFonts w:ascii="Cambria Math" w:hAnsi="Cambria Math"/>
                      <w:lang w:eastAsia="en-AU"/>
                    </w:rPr>
                    <m:t>LP</m:t>
                  </m:r>
                </m:e>
                <m:sub>
                  <m:r>
                    <w:rPr>
                      <w:rFonts w:ascii="Cambria Math" w:hAnsi="Cambria Math"/>
                      <w:lang w:eastAsia="en-AU"/>
                    </w:rPr>
                    <m:t>ijt</m:t>
                  </m:r>
                </m:sub>
              </m:sSub>
            </m:e>
          </m:func>
          <m:r>
            <m:rPr>
              <m:sty m:val="p"/>
            </m:rPr>
            <w:rPr>
              <w:rFonts w:ascii="Cambria Math" w:hAnsi="Cambria Math"/>
              <w:lang w:eastAsia="en-AU"/>
            </w:rPr>
            <m:t xml:space="preserve">= </m:t>
          </m:r>
          <m:sSub>
            <m:sSubPr>
              <m:ctrlPr>
                <w:rPr>
                  <w:rFonts w:ascii="Cambria Math" w:hAnsi="Cambria Math"/>
                  <w:lang w:eastAsia="en-AU"/>
                </w:rPr>
              </m:ctrlPr>
            </m:sSubPr>
            <m:e>
              <m:r>
                <w:rPr>
                  <w:rFonts w:ascii="Cambria Math" w:hAnsi="Cambria Math"/>
                  <w:lang w:eastAsia="en-AU"/>
                </w:rPr>
                <m:t>β</m:t>
              </m:r>
            </m:e>
            <m:sub>
              <m:r>
                <m:rPr>
                  <m:sty m:val="p"/>
                </m:rPr>
                <w:rPr>
                  <w:rFonts w:ascii="Cambria Math" w:hAnsi="Cambria Math"/>
                  <w:lang w:eastAsia="en-AU"/>
                </w:rPr>
                <m:t>0</m:t>
              </m:r>
            </m:sub>
          </m:sSub>
          <m:r>
            <m:rPr>
              <m:sty m:val="p"/>
            </m:rPr>
            <w:rPr>
              <w:rFonts w:ascii="Cambria Math" w:hAnsi="Cambria Math"/>
              <w:lang w:eastAsia="en-AU"/>
            </w:rPr>
            <m:t xml:space="preserve">+ </m:t>
          </m:r>
          <m:sSub>
            <m:sSubPr>
              <m:ctrlPr>
                <w:rPr>
                  <w:rFonts w:ascii="Cambria Math" w:hAnsi="Cambria Math"/>
                  <w:lang w:eastAsia="en-AU"/>
                </w:rPr>
              </m:ctrlPr>
            </m:sSubPr>
            <m:e>
              <m:r>
                <w:rPr>
                  <w:rFonts w:ascii="Cambria Math" w:hAnsi="Cambria Math"/>
                  <w:lang w:eastAsia="en-AU"/>
                </w:rPr>
                <m:t>β</m:t>
              </m:r>
            </m:e>
            <m:sub>
              <m:r>
                <m:rPr>
                  <m:sty m:val="p"/>
                </m:rPr>
                <w:rPr>
                  <w:rFonts w:ascii="Cambria Math" w:hAnsi="Cambria Math"/>
                  <w:lang w:eastAsia="en-AU"/>
                </w:rPr>
                <m:t>1</m:t>
              </m:r>
            </m:sub>
          </m:sSub>
          <m:func>
            <m:funcPr>
              <m:ctrlPr>
                <w:rPr>
                  <w:rFonts w:ascii="Cambria Math" w:hAnsi="Cambria Math"/>
                  <w:lang w:eastAsia="en-AU"/>
                </w:rPr>
              </m:ctrlPr>
            </m:funcPr>
            <m:fName>
              <m:r>
                <m:rPr>
                  <m:sty m:val="p"/>
                </m:rPr>
                <w:rPr>
                  <w:rFonts w:ascii="Cambria Math" w:hAnsi="Cambria Math"/>
                  <w:lang w:eastAsia="en-AU"/>
                </w:rPr>
                <m:t>ln</m:t>
              </m:r>
            </m:fName>
            <m:e>
              <m:sSub>
                <m:sSubPr>
                  <m:ctrlPr>
                    <w:rPr>
                      <w:rFonts w:ascii="Cambria Math" w:hAnsi="Cambria Math"/>
                      <w:lang w:eastAsia="en-AU"/>
                    </w:rPr>
                  </m:ctrlPr>
                </m:sSubPr>
                <m:e>
                  <m:f>
                    <m:fPr>
                      <m:ctrlPr>
                        <w:rPr>
                          <w:rFonts w:ascii="Cambria Math" w:hAnsi="Cambria Math"/>
                          <w:lang w:eastAsia="en-AU"/>
                        </w:rPr>
                      </m:ctrlPr>
                    </m:fPr>
                    <m:num>
                      <m:sSubSup>
                        <m:sSubSupPr>
                          <m:ctrlPr>
                            <w:rPr>
                              <w:rFonts w:ascii="Cambria Math" w:hAnsi="Cambria Math"/>
                              <w:i/>
                              <w:color w:val="auto"/>
                            </w:rPr>
                          </m:ctrlPr>
                        </m:sSubSupPr>
                        <m:e>
                          <m:r>
                            <w:rPr>
                              <w:rFonts w:ascii="Cambria Math" w:hAnsi="Cambria Math"/>
                            </w:rPr>
                            <m:t>LP</m:t>
                          </m:r>
                        </m:e>
                        <m:sub>
                          <m:r>
                            <w:rPr>
                              <w:rFonts w:ascii="Cambria Math" w:hAnsi="Cambria Math"/>
                            </w:rPr>
                            <m:t>j</m:t>
                          </m:r>
                        </m:sub>
                        <m:sup>
                          <m:r>
                            <w:rPr>
                              <w:rFonts w:ascii="Cambria Math" w:hAnsi="Cambria Math"/>
                            </w:rPr>
                            <m:t>F</m:t>
                          </m:r>
                        </m:sup>
                      </m:sSubSup>
                    </m:num>
                    <m:den>
                      <m:sSub>
                        <m:sSubPr>
                          <m:ctrlPr>
                            <w:rPr>
                              <w:rFonts w:ascii="Cambria Math" w:hAnsi="Cambria Math"/>
                              <w:lang w:eastAsia="en-AU"/>
                            </w:rPr>
                          </m:ctrlPr>
                        </m:sSubPr>
                        <m:e>
                          <m:r>
                            <w:rPr>
                              <w:rFonts w:ascii="Cambria Math" w:hAnsi="Cambria Math"/>
                              <w:lang w:eastAsia="en-AU"/>
                            </w:rPr>
                            <m:t>LP</m:t>
                          </m:r>
                        </m:e>
                        <m:sub>
                          <m:r>
                            <w:rPr>
                              <w:rFonts w:ascii="Cambria Math" w:hAnsi="Cambria Math"/>
                              <w:lang w:eastAsia="en-AU"/>
                            </w:rPr>
                            <m:t>ij</m:t>
                          </m:r>
                        </m:sub>
                      </m:sSub>
                    </m:den>
                  </m:f>
                </m:e>
                <m:sub>
                  <m:r>
                    <w:rPr>
                      <w:rFonts w:ascii="Cambria Math" w:hAnsi="Cambria Math"/>
                      <w:lang w:eastAsia="en-AU"/>
                    </w:rPr>
                    <m:t>t</m:t>
                  </m:r>
                  <m:r>
                    <m:rPr>
                      <m:sty m:val="p"/>
                    </m:rPr>
                    <w:rPr>
                      <w:rFonts w:ascii="Cambria Math" w:hAnsi="Cambria Math"/>
                      <w:lang w:eastAsia="en-AU"/>
                    </w:rPr>
                    <m:t>-1</m:t>
                  </m:r>
                </m:sub>
              </m:sSub>
              <m:sSub>
                <m:sSubPr>
                  <m:ctrlPr>
                    <w:rPr>
                      <w:rFonts w:ascii="Cambria Math" w:hAnsi="Cambria Math"/>
                      <w:lang w:eastAsia="en-AU"/>
                    </w:rPr>
                  </m:ctrlPr>
                </m:sSubPr>
                <m:e>
                  <m:r>
                    <m:rPr>
                      <m:sty m:val="p"/>
                    </m:rPr>
                    <w:rPr>
                      <w:rFonts w:ascii="Cambria Math" w:hAnsi="Cambria Math"/>
                      <w:lang w:eastAsia="en-AU"/>
                    </w:rPr>
                    <m:t xml:space="preserve">+ </m:t>
                  </m:r>
                  <m:sSub>
                    <m:sSubPr>
                      <m:ctrlPr>
                        <w:rPr>
                          <w:rFonts w:ascii="Cambria Math" w:hAnsi="Cambria Math"/>
                          <w:lang w:eastAsia="en-AU"/>
                        </w:rPr>
                      </m:ctrlPr>
                    </m:sSubPr>
                    <m:e>
                      <m:r>
                        <w:rPr>
                          <w:rFonts w:ascii="Cambria Math" w:hAnsi="Cambria Math"/>
                          <w:lang w:eastAsia="en-AU"/>
                        </w:rPr>
                        <m:t>β</m:t>
                      </m:r>
                    </m:e>
                    <m:sub>
                      <m:r>
                        <w:rPr>
                          <w:rFonts w:ascii="Cambria Math" w:hAnsi="Cambria Math"/>
                          <w:lang w:eastAsia="en-AU"/>
                        </w:rPr>
                        <m:t>2</m:t>
                      </m:r>
                    </m:sub>
                  </m:sSub>
                  <m:sSub>
                    <m:sSubPr>
                      <m:ctrlPr>
                        <w:rPr>
                          <w:rFonts w:ascii="Cambria Math" w:hAnsi="Cambria Math"/>
                          <w:lang w:eastAsia="en-AU"/>
                        </w:rPr>
                      </m:ctrlPr>
                    </m:sSubPr>
                    <m:e>
                      <m:r>
                        <w:rPr>
                          <w:rFonts w:ascii="Cambria Math" w:hAnsi="Cambria Math"/>
                          <w:lang w:eastAsia="en-AU"/>
                        </w:rPr>
                        <m:t>W</m:t>
                      </m:r>
                    </m:e>
                    <m:sub>
                      <m:r>
                        <w:rPr>
                          <w:rFonts w:ascii="Cambria Math" w:hAnsi="Cambria Math"/>
                          <w:lang w:eastAsia="en-AU"/>
                        </w:rPr>
                        <m:t>ijt</m:t>
                      </m:r>
                    </m:sub>
                  </m:sSub>
                  <m:r>
                    <m:rPr>
                      <m:sty m:val="p"/>
                    </m:rPr>
                    <w:rPr>
                      <w:rFonts w:ascii="Cambria Math" w:hAnsi="Cambria Math"/>
                      <w:lang w:eastAsia="en-AU"/>
                    </w:rPr>
                    <m:t>ln</m:t>
                  </m:r>
                  <m:sSub>
                    <m:sSubPr>
                      <m:ctrlPr>
                        <w:rPr>
                          <w:rFonts w:ascii="Cambria Math" w:hAnsi="Cambria Math"/>
                          <w:lang w:eastAsia="en-AU"/>
                        </w:rPr>
                      </m:ctrlPr>
                    </m:sSubPr>
                    <m:e>
                      <m:f>
                        <m:fPr>
                          <m:ctrlPr>
                            <w:rPr>
                              <w:rFonts w:ascii="Cambria Math" w:hAnsi="Cambria Math"/>
                              <w:lang w:eastAsia="en-AU"/>
                            </w:rPr>
                          </m:ctrlPr>
                        </m:fPr>
                        <m:num>
                          <m:sSubSup>
                            <m:sSubSupPr>
                              <m:ctrlPr>
                                <w:rPr>
                                  <w:rFonts w:ascii="Cambria Math" w:hAnsi="Cambria Math"/>
                                  <w:i/>
                                  <w:color w:val="auto"/>
                                </w:rPr>
                              </m:ctrlPr>
                            </m:sSubSupPr>
                            <m:e>
                              <m:r>
                                <w:rPr>
                                  <w:rFonts w:ascii="Cambria Math" w:hAnsi="Cambria Math"/>
                                </w:rPr>
                                <m:t>LP</m:t>
                              </m:r>
                            </m:e>
                            <m:sub>
                              <m:r>
                                <w:rPr>
                                  <w:rFonts w:ascii="Cambria Math" w:hAnsi="Cambria Math"/>
                                </w:rPr>
                                <m:t>j</m:t>
                              </m:r>
                            </m:sub>
                            <m:sup>
                              <m:r>
                                <w:rPr>
                                  <w:rFonts w:ascii="Cambria Math" w:hAnsi="Cambria Math"/>
                                </w:rPr>
                                <m:t>F</m:t>
                              </m:r>
                            </m:sup>
                          </m:sSubSup>
                        </m:num>
                        <m:den>
                          <m:sSub>
                            <m:sSubPr>
                              <m:ctrlPr>
                                <w:rPr>
                                  <w:rFonts w:ascii="Cambria Math" w:hAnsi="Cambria Math"/>
                                  <w:lang w:eastAsia="en-AU"/>
                                </w:rPr>
                              </m:ctrlPr>
                            </m:sSubPr>
                            <m:e>
                              <m:r>
                                <w:rPr>
                                  <w:rFonts w:ascii="Cambria Math" w:hAnsi="Cambria Math"/>
                                  <w:lang w:eastAsia="en-AU"/>
                                </w:rPr>
                                <m:t>LP</m:t>
                              </m:r>
                            </m:e>
                            <m:sub>
                              <m:r>
                                <w:rPr>
                                  <w:rFonts w:ascii="Cambria Math" w:hAnsi="Cambria Math"/>
                                  <w:lang w:eastAsia="en-AU"/>
                                </w:rPr>
                                <m:t>ij</m:t>
                              </m:r>
                            </m:sub>
                          </m:sSub>
                        </m:den>
                      </m:f>
                    </m:e>
                    <m:sub>
                      <m:r>
                        <w:rPr>
                          <w:rFonts w:ascii="Cambria Math" w:hAnsi="Cambria Math"/>
                          <w:lang w:eastAsia="en-AU"/>
                        </w:rPr>
                        <m:t>t</m:t>
                      </m:r>
                      <m:r>
                        <m:rPr>
                          <m:sty m:val="p"/>
                        </m:rPr>
                        <w:rPr>
                          <w:rFonts w:ascii="Cambria Math" w:hAnsi="Cambria Math"/>
                          <w:lang w:eastAsia="en-AU"/>
                        </w:rPr>
                        <m:t>-1</m:t>
                      </m:r>
                    </m:sub>
                  </m:sSub>
                  <m:r>
                    <m:rPr>
                      <m:sty m:val="p"/>
                    </m:rPr>
                    <w:rPr>
                      <w:rFonts w:ascii="Cambria Math" w:hAnsi="Cambria Math"/>
                      <w:lang w:eastAsia="en-AU"/>
                    </w:rPr>
                    <m:t xml:space="preserve">+ </m:t>
                  </m:r>
                  <m:sSub>
                    <m:sSubPr>
                      <m:ctrlPr>
                        <w:rPr>
                          <w:rFonts w:ascii="Cambria Math" w:hAnsi="Cambria Math"/>
                          <w:lang w:eastAsia="en-AU"/>
                        </w:rPr>
                      </m:ctrlPr>
                    </m:sSubPr>
                    <m:e>
                      <m:r>
                        <w:rPr>
                          <w:rFonts w:ascii="Cambria Math" w:hAnsi="Cambria Math"/>
                          <w:lang w:eastAsia="en-AU"/>
                        </w:rPr>
                        <m:t>β</m:t>
                      </m:r>
                    </m:e>
                    <m:sub>
                      <m:r>
                        <w:rPr>
                          <w:rFonts w:ascii="Cambria Math" w:hAnsi="Cambria Math"/>
                          <w:lang w:eastAsia="en-AU"/>
                        </w:rPr>
                        <m:t>3</m:t>
                      </m:r>
                    </m:sub>
                  </m:sSub>
                  <m:sSub>
                    <m:sSubPr>
                      <m:ctrlPr>
                        <w:rPr>
                          <w:rFonts w:ascii="Cambria Math" w:hAnsi="Cambria Math"/>
                          <w:lang w:eastAsia="en-AU"/>
                        </w:rPr>
                      </m:ctrlPr>
                    </m:sSubPr>
                    <m:e>
                      <m:r>
                        <w:rPr>
                          <w:rFonts w:ascii="Cambria Math" w:hAnsi="Cambria Math"/>
                          <w:lang w:eastAsia="en-AU"/>
                        </w:rPr>
                        <m:t>W</m:t>
                      </m:r>
                    </m:e>
                    <m:sub>
                      <m:r>
                        <w:rPr>
                          <w:rFonts w:ascii="Cambria Math" w:hAnsi="Cambria Math"/>
                          <w:lang w:eastAsia="en-AU"/>
                        </w:rPr>
                        <m:t>ijt</m:t>
                      </m:r>
                    </m:sub>
                  </m:sSub>
                  <m:r>
                    <m:rPr>
                      <m:sty m:val="p"/>
                    </m:rPr>
                    <w:rPr>
                      <w:rFonts w:ascii="Cambria Math" w:hAnsi="Cambria Math"/>
                      <w:lang w:eastAsia="en-AU"/>
                    </w:rPr>
                    <m:t xml:space="preserve">+ </m:t>
                  </m:r>
                  <m:sSub>
                    <m:sSubPr>
                      <m:ctrlPr>
                        <w:rPr>
                          <w:rFonts w:ascii="Cambria Math" w:hAnsi="Cambria Math"/>
                          <w:lang w:eastAsia="en-AU"/>
                        </w:rPr>
                      </m:ctrlPr>
                    </m:sSubPr>
                    <m:e>
                      <m:r>
                        <w:rPr>
                          <w:rFonts w:ascii="Cambria Math" w:hAnsi="Cambria Math"/>
                          <w:lang w:eastAsia="en-AU"/>
                        </w:rPr>
                        <m:t>γ</m:t>
                      </m:r>
                    </m:e>
                    <m:sub>
                      <m:r>
                        <w:rPr>
                          <w:rFonts w:ascii="Cambria Math" w:hAnsi="Cambria Math"/>
                          <w:lang w:eastAsia="en-AU"/>
                        </w:rPr>
                        <m:t>i,t</m:t>
                      </m:r>
                    </m:sub>
                  </m:sSub>
                  <m:r>
                    <w:rPr>
                      <w:rFonts w:ascii="Cambria Math" w:hAnsi="Cambria Math"/>
                      <w:lang w:eastAsia="en-AU"/>
                    </w:rPr>
                    <m:t>+</m:t>
                  </m:r>
                  <m:sSub>
                    <m:sSubPr>
                      <m:ctrlPr>
                        <w:rPr>
                          <w:rFonts w:ascii="Cambria Math" w:hAnsi="Cambria Math"/>
                          <w:lang w:eastAsia="en-AU"/>
                        </w:rPr>
                      </m:ctrlPr>
                    </m:sSubPr>
                    <m:e>
                      <m:r>
                        <w:rPr>
                          <w:rFonts w:ascii="Cambria Math" w:hAnsi="Cambria Math"/>
                          <w:lang w:eastAsia="en-AU"/>
                        </w:rPr>
                        <m:t xml:space="preserve"> φ</m:t>
                      </m:r>
                    </m:e>
                    <m:sub>
                      <m:r>
                        <w:rPr>
                          <w:rFonts w:ascii="Cambria Math" w:hAnsi="Cambria Math"/>
                          <w:lang w:eastAsia="en-AU"/>
                        </w:rPr>
                        <m:t>jt</m:t>
                      </m:r>
                    </m:sub>
                  </m:sSub>
                  <m:r>
                    <m:rPr>
                      <m:sty m:val="p"/>
                    </m:rPr>
                    <w:rPr>
                      <w:rFonts w:ascii="Cambria Math" w:hAnsi="Cambria Math"/>
                      <w:lang w:eastAsia="en-AU"/>
                    </w:rPr>
                    <m:t xml:space="preserve">+ </m:t>
                  </m:r>
                  <m:r>
                    <w:rPr>
                      <w:rFonts w:ascii="Cambria Math" w:hAnsi="Cambria Math"/>
                      <w:lang w:eastAsia="en-AU"/>
                    </w:rPr>
                    <m:t>ε</m:t>
                  </m:r>
                </m:e>
                <m:sub>
                  <m:r>
                    <w:rPr>
                      <w:rFonts w:ascii="Cambria Math" w:hAnsi="Cambria Math"/>
                      <w:lang w:eastAsia="en-AU"/>
                    </w:rPr>
                    <m:t>ijt</m:t>
                  </m:r>
                </m:sub>
              </m:sSub>
            </m:e>
          </m:func>
        </m:oMath>
      </m:oMathPara>
    </w:p>
    <w:p w14:paraId="3D1307A1" w14:textId="01C9DA89" w:rsidR="00D70EBE" w:rsidRPr="00A55267" w:rsidRDefault="00D70EBE" w:rsidP="00C26278">
      <w:pPr>
        <w:jc w:val="both"/>
        <w:rPr>
          <w:lang w:eastAsia="en-AU"/>
        </w:rPr>
      </w:pPr>
      <w:r>
        <w:rPr>
          <w:rFonts w:eastAsiaTheme="minorEastAsia"/>
          <w:lang w:eastAsia="en-AU"/>
        </w:rPr>
        <w:t>In this case</w:t>
      </w:r>
      <m:oMath>
        <m:r>
          <m:rPr>
            <m:sty m:val="p"/>
          </m:rPr>
          <w:rPr>
            <w:rFonts w:ascii="Cambria Math" w:hAnsi="Cambria Math"/>
            <w:lang w:eastAsia="en-AU"/>
          </w:rPr>
          <m:t xml:space="preserve"> </m:t>
        </m:r>
        <m:sSub>
          <m:sSubPr>
            <m:ctrlPr>
              <w:rPr>
                <w:rFonts w:ascii="Cambria Math" w:hAnsi="Cambria Math"/>
                <w:lang w:eastAsia="en-AU"/>
              </w:rPr>
            </m:ctrlPr>
          </m:sSubPr>
          <m:e>
            <m:r>
              <w:rPr>
                <w:rFonts w:ascii="Cambria Math" w:hAnsi="Cambria Math"/>
                <w:lang w:eastAsia="en-AU"/>
              </w:rPr>
              <m:t>β</m:t>
            </m:r>
          </m:e>
          <m:sub>
            <m:r>
              <w:rPr>
                <w:rFonts w:ascii="Cambria Math" w:hAnsi="Cambria Math"/>
                <w:lang w:eastAsia="en-AU"/>
              </w:rPr>
              <m:t>2</m:t>
            </m:r>
          </m:sub>
        </m:sSub>
      </m:oMath>
      <w:r>
        <w:rPr>
          <w:rFonts w:eastAsiaTheme="minorEastAsia"/>
          <w:lang w:eastAsia="en-AU"/>
        </w:rPr>
        <w:t xml:space="preserve"> becomes the coefficient of interest. A positive </w:t>
      </w:r>
      <m:oMath>
        <m:r>
          <m:rPr>
            <m:sty m:val="p"/>
          </m:rPr>
          <w:rPr>
            <w:rFonts w:ascii="Cambria Math" w:hAnsi="Cambria Math"/>
            <w:lang w:eastAsia="en-AU"/>
          </w:rPr>
          <m:t xml:space="preserve"> </m:t>
        </m:r>
        <m:sSub>
          <m:sSubPr>
            <m:ctrlPr>
              <w:rPr>
                <w:rFonts w:ascii="Cambria Math" w:hAnsi="Cambria Math"/>
                <w:lang w:eastAsia="en-AU"/>
              </w:rPr>
            </m:ctrlPr>
          </m:sSubPr>
          <m:e>
            <m:r>
              <w:rPr>
                <w:rFonts w:ascii="Cambria Math" w:hAnsi="Cambria Math"/>
                <w:lang w:eastAsia="en-AU"/>
              </w:rPr>
              <m:t>β</m:t>
            </m:r>
          </m:e>
          <m:sub>
            <m:r>
              <w:rPr>
                <w:rFonts w:ascii="Cambria Math" w:hAnsi="Cambria Math"/>
                <w:lang w:eastAsia="en-AU"/>
              </w:rPr>
              <m:t>2</m:t>
            </m:r>
          </m:sub>
        </m:sSub>
      </m:oMath>
      <w:r>
        <w:rPr>
          <w:rFonts w:eastAsiaTheme="minorEastAsia"/>
          <w:lang w:eastAsia="en-AU"/>
        </w:rPr>
        <w:t xml:space="preserve"> will indicate convergence is faster for firms, industries, or periods with a higher  </w:t>
      </w:r>
      <m:oMath>
        <m:sSub>
          <m:sSubPr>
            <m:ctrlPr>
              <w:rPr>
                <w:rFonts w:ascii="Cambria Math" w:hAnsi="Cambria Math"/>
                <w:lang w:eastAsia="en-AU"/>
              </w:rPr>
            </m:ctrlPr>
          </m:sSubPr>
          <m:e>
            <m:r>
              <w:rPr>
                <w:rFonts w:ascii="Cambria Math" w:hAnsi="Cambria Math"/>
                <w:lang w:eastAsia="en-AU"/>
              </w:rPr>
              <m:t>W</m:t>
            </m:r>
          </m:e>
          <m:sub>
            <m:r>
              <w:rPr>
                <w:rFonts w:ascii="Cambria Math" w:hAnsi="Cambria Math"/>
                <w:lang w:eastAsia="en-AU"/>
              </w:rPr>
              <m:t>ijt</m:t>
            </m:r>
          </m:sub>
        </m:sSub>
      </m:oMath>
      <w:r>
        <w:rPr>
          <w:rFonts w:eastAsiaTheme="minorEastAsia"/>
          <w:lang w:eastAsia="en-AU"/>
        </w:rPr>
        <w:t>, and a negative coefficient indicates it is slower.</w:t>
      </w:r>
    </w:p>
    <w:p w14:paraId="7D1D2F10" w14:textId="42733C08" w:rsidR="00DB0225" w:rsidRDefault="00255386" w:rsidP="00787536">
      <w:pPr>
        <w:pStyle w:val="Heading2"/>
      </w:pPr>
      <w:r>
        <w:t xml:space="preserve"> </w:t>
      </w:r>
      <w:r w:rsidR="00DB0225">
        <w:t>Results</w:t>
      </w:r>
    </w:p>
    <w:p w14:paraId="59D2CA6F" w14:textId="2D451CAA" w:rsidR="005E0462" w:rsidRPr="005E0462" w:rsidRDefault="005E0462" w:rsidP="005E0462">
      <w:r>
        <w:t>This section provides the result from the regression analysis. the key findings are that, while firms further from the global frontier do grow more quickly and display a degree of convergence, the rate of convergence has slowed. This has been more notable amongst incumbent firms, and in sectors with declining competition and dynamism.</w:t>
      </w:r>
    </w:p>
    <w:p w14:paraId="1AFEA0CB" w14:textId="63E32062" w:rsidR="00136BC2" w:rsidRDefault="005330BB" w:rsidP="00C87EE9">
      <w:pPr>
        <w:pStyle w:val="Heading3"/>
      </w:pPr>
      <w:r>
        <w:t>5</w:t>
      </w:r>
      <w:r w:rsidR="008D2FDA">
        <w:t xml:space="preserve">.1. Baseline </w:t>
      </w:r>
      <w:r w:rsidR="004E00D4">
        <w:t>m</w:t>
      </w:r>
      <w:r w:rsidR="008D2FDA">
        <w:t>odel</w:t>
      </w:r>
    </w:p>
    <w:p w14:paraId="0DF6C7C7" w14:textId="4D967AE5" w:rsidR="00AC31EA" w:rsidRDefault="00623699" w:rsidP="00C26278">
      <w:pPr>
        <w:jc w:val="both"/>
      </w:pPr>
      <w:r>
        <w:t xml:space="preserve">Column 1 of </w:t>
      </w:r>
      <w:r w:rsidR="0003545F">
        <w:t xml:space="preserve">Table </w:t>
      </w:r>
      <w:r w:rsidR="003D0E71">
        <w:t>1</w:t>
      </w:r>
      <w:r w:rsidR="00EA4CB3">
        <w:t xml:space="preserve"> shows the results for the baseline specification. </w:t>
      </w:r>
      <w:r w:rsidR="00A5712B">
        <w:t>T</w:t>
      </w:r>
      <w:r w:rsidR="00EA4CB3">
        <w:t>he coefficient on the distance from frontier term in the baseline specification is positive and significant, meaning that firms further behind the global frontier experience stronger productivity growth.</w:t>
      </w:r>
      <w:r w:rsidR="003B065F">
        <w:t xml:space="preserve"> This result is consistent with similar studies in the United Kingdom (Griffith et al. 2009), New Zealand (Conway et al. 2016) and using cross</w:t>
      </w:r>
      <w:r w:rsidR="00AA5B97">
        <w:noBreakHyphen/>
      </w:r>
      <w:r w:rsidR="003B065F">
        <w:t>country data (Andrews et al. 201</w:t>
      </w:r>
      <w:r w:rsidR="00C6037A">
        <w:t>9</w:t>
      </w:r>
      <w:r w:rsidR="003B065F">
        <w:t>)</w:t>
      </w:r>
      <w:r w:rsidR="006312E0">
        <w:t>.</w:t>
      </w:r>
      <w:r w:rsidR="00642134">
        <w:t xml:space="preserve"> </w:t>
      </w:r>
    </w:p>
    <w:p w14:paraId="7E6A3911" w14:textId="77777777" w:rsidR="00AC31EA" w:rsidRDefault="00AC31EA">
      <w:pPr>
        <w:spacing w:after="200" w:line="276" w:lineRule="auto"/>
      </w:pPr>
      <w:r>
        <w:br w:type="page"/>
      </w:r>
    </w:p>
    <w:tbl>
      <w:tblPr>
        <w:tblW w:w="5000" w:type="pct"/>
        <w:jc w:val="center"/>
        <w:tblCellMar>
          <w:left w:w="0" w:type="dxa"/>
          <w:right w:w="28" w:type="dxa"/>
        </w:tblCellMar>
        <w:tblLook w:val="04A0" w:firstRow="1" w:lastRow="0" w:firstColumn="1" w:lastColumn="0" w:noHBand="0" w:noVBand="1"/>
      </w:tblPr>
      <w:tblGrid>
        <w:gridCol w:w="3239"/>
        <w:gridCol w:w="997"/>
        <w:gridCol w:w="1057"/>
        <w:gridCol w:w="967"/>
        <w:gridCol w:w="1021"/>
        <w:gridCol w:w="996"/>
        <w:gridCol w:w="1021"/>
      </w:tblGrid>
      <w:tr w:rsidR="00504D8F" w:rsidRPr="00504D8F" w14:paraId="58059841" w14:textId="77777777" w:rsidTr="000B40A3">
        <w:trPr>
          <w:trHeight w:val="300"/>
          <w:jc w:val="center"/>
        </w:trPr>
        <w:tc>
          <w:tcPr>
            <w:tcW w:w="9298" w:type="dxa"/>
            <w:gridSpan w:val="7"/>
            <w:tcBorders>
              <w:top w:val="nil"/>
              <w:left w:val="nil"/>
              <w:bottom w:val="nil"/>
              <w:right w:val="nil"/>
            </w:tcBorders>
            <w:shd w:val="clear" w:color="auto" w:fill="auto"/>
            <w:noWrap/>
            <w:vAlign w:val="bottom"/>
            <w:hideMark/>
          </w:tcPr>
          <w:p w14:paraId="6A444485" w14:textId="77F1A145" w:rsidR="00504D8F" w:rsidRPr="00504D8F" w:rsidRDefault="00426ADC" w:rsidP="008A5C91">
            <w:pPr>
              <w:pStyle w:val="TableMainHeading"/>
              <w:rPr>
                <w:bCs/>
                <w:color w:val="000000"/>
              </w:rPr>
            </w:pPr>
            <w:r>
              <w:rPr>
                <w:noProof/>
              </w:rPr>
              <w:lastRenderedPageBreak/>
              <w:t xml:space="preserve">Table </w:t>
            </w:r>
            <w:r w:rsidR="003D0E71">
              <w:rPr>
                <w:noProof/>
              </w:rPr>
              <w:t>1</w:t>
            </w:r>
            <w:r w:rsidR="00504D8F" w:rsidRPr="00504D8F">
              <w:rPr>
                <w:noProof/>
              </w:rPr>
              <w:t xml:space="preserve"> </w:t>
            </w:r>
            <w:r w:rsidR="00262059">
              <w:rPr>
                <w:noProof/>
              </w:rPr>
              <w:t>–</w:t>
            </w:r>
            <w:r w:rsidR="00504D8F" w:rsidRPr="00504D8F">
              <w:rPr>
                <w:noProof/>
              </w:rPr>
              <w:t xml:space="preserve"> Baseline </w:t>
            </w:r>
            <w:r w:rsidR="004E00D4">
              <w:rPr>
                <w:noProof/>
              </w:rPr>
              <w:t>m</w:t>
            </w:r>
            <w:r w:rsidR="00504D8F" w:rsidRPr="00504D8F">
              <w:rPr>
                <w:noProof/>
              </w:rPr>
              <w:t>odel</w:t>
            </w:r>
          </w:p>
        </w:tc>
      </w:tr>
      <w:tr w:rsidR="00504D8F" w:rsidRPr="00601C60" w14:paraId="7A9C27D2" w14:textId="77777777" w:rsidTr="000B40A3">
        <w:trPr>
          <w:trHeight w:val="300"/>
          <w:jc w:val="center"/>
        </w:trPr>
        <w:tc>
          <w:tcPr>
            <w:tcW w:w="3251" w:type="dxa"/>
            <w:tcBorders>
              <w:top w:val="single" w:sz="4" w:space="0" w:color="auto"/>
              <w:left w:val="nil"/>
              <w:bottom w:val="nil"/>
              <w:right w:val="nil"/>
            </w:tcBorders>
            <w:shd w:val="clear" w:color="auto" w:fill="auto"/>
            <w:noWrap/>
            <w:vAlign w:val="center"/>
            <w:hideMark/>
          </w:tcPr>
          <w:p w14:paraId="69AECBB4" w14:textId="77777777" w:rsidR="00504D8F" w:rsidRPr="00601C60" w:rsidRDefault="00504D8F" w:rsidP="00504D8F">
            <w:pPr>
              <w:spacing w:after="0"/>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2050" w:type="dxa"/>
            <w:gridSpan w:val="2"/>
            <w:tcBorders>
              <w:top w:val="single" w:sz="4" w:space="0" w:color="auto"/>
              <w:left w:val="nil"/>
              <w:bottom w:val="nil"/>
              <w:right w:val="nil"/>
            </w:tcBorders>
            <w:shd w:val="clear" w:color="auto" w:fill="auto"/>
            <w:noWrap/>
            <w:vAlign w:val="center"/>
            <w:hideMark/>
          </w:tcPr>
          <w:p w14:paraId="71C9AD47" w14:textId="77777777" w:rsidR="00504D8F" w:rsidRPr="00601C60" w:rsidRDefault="00504D8F" w:rsidP="008A5C91">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Business Sector</w:t>
            </w:r>
          </w:p>
        </w:tc>
        <w:tc>
          <w:tcPr>
            <w:tcW w:w="1984" w:type="dxa"/>
            <w:gridSpan w:val="2"/>
            <w:tcBorders>
              <w:top w:val="single" w:sz="4" w:space="0" w:color="auto"/>
              <w:left w:val="nil"/>
              <w:bottom w:val="nil"/>
              <w:right w:val="nil"/>
            </w:tcBorders>
            <w:shd w:val="clear" w:color="auto" w:fill="auto"/>
            <w:noWrap/>
            <w:vAlign w:val="center"/>
            <w:hideMark/>
          </w:tcPr>
          <w:p w14:paraId="6109646B" w14:textId="77777777" w:rsidR="00504D8F" w:rsidRPr="00601C60" w:rsidRDefault="00504D8F" w:rsidP="008A5C91">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Manufacturing</w:t>
            </w:r>
          </w:p>
        </w:tc>
        <w:tc>
          <w:tcPr>
            <w:tcW w:w="2013" w:type="dxa"/>
            <w:gridSpan w:val="2"/>
            <w:tcBorders>
              <w:top w:val="single" w:sz="4" w:space="0" w:color="auto"/>
              <w:left w:val="nil"/>
              <w:bottom w:val="nil"/>
              <w:right w:val="nil"/>
            </w:tcBorders>
            <w:shd w:val="clear" w:color="auto" w:fill="auto"/>
            <w:noWrap/>
            <w:vAlign w:val="center"/>
            <w:hideMark/>
          </w:tcPr>
          <w:p w14:paraId="405E3ECD" w14:textId="77777777" w:rsidR="00504D8F" w:rsidRPr="00601C60" w:rsidRDefault="00504D8F" w:rsidP="008A5C91">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Services</w:t>
            </w:r>
          </w:p>
        </w:tc>
      </w:tr>
      <w:tr w:rsidR="00504D8F" w:rsidRPr="00601C60" w14:paraId="10BC1F0C" w14:textId="77777777" w:rsidTr="000B40A3">
        <w:trPr>
          <w:trHeight w:val="300"/>
          <w:jc w:val="center"/>
        </w:trPr>
        <w:tc>
          <w:tcPr>
            <w:tcW w:w="3251" w:type="dxa"/>
            <w:tcBorders>
              <w:top w:val="nil"/>
              <w:left w:val="nil"/>
              <w:bottom w:val="single" w:sz="4" w:space="0" w:color="auto"/>
              <w:right w:val="nil"/>
            </w:tcBorders>
            <w:shd w:val="clear" w:color="auto" w:fill="auto"/>
            <w:noWrap/>
            <w:vAlign w:val="center"/>
            <w:hideMark/>
          </w:tcPr>
          <w:p w14:paraId="53B08BF7" w14:textId="77777777" w:rsidR="00504D8F" w:rsidRPr="00601C60" w:rsidRDefault="00504D8F" w:rsidP="00504D8F">
            <w:pPr>
              <w:spacing w:after="0"/>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995" w:type="dxa"/>
            <w:tcBorders>
              <w:top w:val="nil"/>
              <w:left w:val="nil"/>
              <w:bottom w:val="single" w:sz="4" w:space="0" w:color="auto"/>
              <w:right w:val="nil"/>
            </w:tcBorders>
            <w:shd w:val="clear" w:color="auto" w:fill="auto"/>
            <w:noWrap/>
            <w:vAlign w:val="center"/>
            <w:hideMark/>
          </w:tcPr>
          <w:p w14:paraId="36F65321" w14:textId="77777777" w:rsidR="00504D8F" w:rsidRPr="00601C60" w:rsidRDefault="00504D8F" w:rsidP="008A5C91">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w:t>
            </w:r>
          </w:p>
        </w:tc>
        <w:tc>
          <w:tcPr>
            <w:tcW w:w="1055" w:type="dxa"/>
            <w:tcBorders>
              <w:top w:val="nil"/>
              <w:left w:val="nil"/>
              <w:bottom w:val="single" w:sz="4" w:space="0" w:color="auto"/>
              <w:right w:val="nil"/>
            </w:tcBorders>
            <w:shd w:val="clear" w:color="auto" w:fill="auto"/>
            <w:noWrap/>
            <w:vAlign w:val="center"/>
            <w:hideMark/>
          </w:tcPr>
          <w:p w14:paraId="22DFEF02" w14:textId="77777777" w:rsidR="00504D8F" w:rsidRPr="00601C60" w:rsidRDefault="00504D8F" w:rsidP="008A5C91">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(2)</w:t>
            </w:r>
          </w:p>
        </w:tc>
        <w:tc>
          <w:tcPr>
            <w:tcW w:w="965" w:type="dxa"/>
            <w:tcBorders>
              <w:top w:val="nil"/>
              <w:left w:val="nil"/>
              <w:bottom w:val="single" w:sz="4" w:space="0" w:color="auto"/>
              <w:right w:val="nil"/>
            </w:tcBorders>
            <w:shd w:val="clear" w:color="auto" w:fill="auto"/>
            <w:noWrap/>
            <w:vAlign w:val="center"/>
            <w:hideMark/>
          </w:tcPr>
          <w:p w14:paraId="03E0E749" w14:textId="77777777" w:rsidR="00504D8F" w:rsidRPr="00601C60" w:rsidRDefault="00504D8F" w:rsidP="008A5C91">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(3)</w:t>
            </w:r>
          </w:p>
        </w:tc>
        <w:tc>
          <w:tcPr>
            <w:tcW w:w="1019" w:type="dxa"/>
            <w:tcBorders>
              <w:top w:val="nil"/>
              <w:left w:val="nil"/>
              <w:bottom w:val="single" w:sz="4" w:space="0" w:color="auto"/>
              <w:right w:val="nil"/>
            </w:tcBorders>
            <w:shd w:val="clear" w:color="auto" w:fill="auto"/>
            <w:noWrap/>
            <w:vAlign w:val="center"/>
            <w:hideMark/>
          </w:tcPr>
          <w:p w14:paraId="6615A0E7" w14:textId="77777777" w:rsidR="00504D8F" w:rsidRPr="00601C60" w:rsidRDefault="00504D8F" w:rsidP="008A5C91">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(4)</w:t>
            </w:r>
          </w:p>
        </w:tc>
        <w:tc>
          <w:tcPr>
            <w:tcW w:w="994" w:type="dxa"/>
            <w:tcBorders>
              <w:top w:val="nil"/>
              <w:left w:val="nil"/>
              <w:bottom w:val="single" w:sz="4" w:space="0" w:color="auto"/>
              <w:right w:val="nil"/>
            </w:tcBorders>
            <w:shd w:val="clear" w:color="auto" w:fill="auto"/>
            <w:noWrap/>
            <w:vAlign w:val="center"/>
            <w:hideMark/>
          </w:tcPr>
          <w:p w14:paraId="66CA9F66" w14:textId="77777777" w:rsidR="00504D8F" w:rsidRPr="00601C60" w:rsidRDefault="00504D8F" w:rsidP="008A5C91">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(5)</w:t>
            </w:r>
          </w:p>
        </w:tc>
        <w:tc>
          <w:tcPr>
            <w:tcW w:w="1019" w:type="dxa"/>
            <w:tcBorders>
              <w:top w:val="nil"/>
              <w:left w:val="nil"/>
              <w:bottom w:val="single" w:sz="4" w:space="0" w:color="auto"/>
              <w:right w:val="nil"/>
            </w:tcBorders>
            <w:shd w:val="clear" w:color="auto" w:fill="auto"/>
            <w:noWrap/>
            <w:vAlign w:val="center"/>
            <w:hideMark/>
          </w:tcPr>
          <w:p w14:paraId="0651F1F6" w14:textId="77777777" w:rsidR="00504D8F" w:rsidRPr="00601C60" w:rsidRDefault="00504D8F" w:rsidP="008A5C91">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(6)</w:t>
            </w:r>
          </w:p>
        </w:tc>
      </w:tr>
      <w:tr w:rsidR="00504D8F" w:rsidRPr="00601C60" w14:paraId="3B6E2609" w14:textId="77777777" w:rsidTr="000B40A3">
        <w:trPr>
          <w:trHeight w:val="300"/>
          <w:jc w:val="center"/>
        </w:trPr>
        <w:tc>
          <w:tcPr>
            <w:tcW w:w="3251" w:type="dxa"/>
            <w:tcBorders>
              <w:top w:val="nil"/>
              <w:left w:val="nil"/>
              <w:bottom w:val="nil"/>
              <w:right w:val="nil"/>
            </w:tcBorders>
            <w:shd w:val="clear" w:color="auto" w:fill="D5E2F1"/>
            <w:noWrap/>
            <w:vAlign w:val="center"/>
            <w:hideMark/>
          </w:tcPr>
          <w:p w14:paraId="1BFFB713" w14:textId="2E571F95" w:rsidR="00504D8F" w:rsidRPr="00601C60" w:rsidRDefault="00504D8F" w:rsidP="008A5C91">
            <w:pPr>
              <w:pStyle w:val="TableColumnHeadingBase"/>
            </w:pPr>
            <w:r w:rsidRPr="00601C60">
              <w:t xml:space="preserve">Distance </w:t>
            </w:r>
            <w:r w:rsidR="008A5C91">
              <w:t>f</w:t>
            </w:r>
            <w:r w:rsidRPr="00601C60">
              <w:t xml:space="preserve">rom </w:t>
            </w:r>
            <w:r w:rsidR="008A5C91">
              <w:t>f</w:t>
            </w:r>
            <w:r w:rsidRPr="00601C60">
              <w:t>rontier</w:t>
            </w:r>
          </w:p>
        </w:tc>
        <w:tc>
          <w:tcPr>
            <w:tcW w:w="995" w:type="dxa"/>
            <w:tcBorders>
              <w:top w:val="nil"/>
              <w:left w:val="nil"/>
              <w:bottom w:val="nil"/>
              <w:right w:val="nil"/>
            </w:tcBorders>
            <w:shd w:val="clear" w:color="auto" w:fill="D5E2F1"/>
            <w:noWrap/>
            <w:vAlign w:val="center"/>
            <w:hideMark/>
          </w:tcPr>
          <w:p w14:paraId="3C1F11B8" w14:textId="348D892A" w:rsidR="00504D8F" w:rsidRPr="00601C60" w:rsidRDefault="00DC1531"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0.423</w:t>
            </w:r>
            <w:r w:rsidR="00504D8F" w:rsidRPr="00601C60">
              <w:rPr>
                <w:rFonts w:asciiTheme="majorHAnsi" w:eastAsia="Times New Roman" w:hAnsiTheme="majorHAnsi" w:cstheme="majorHAnsi"/>
                <w:color w:val="000000"/>
                <w:sz w:val="16"/>
                <w:szCs w:val="16"/>
                <w:lang w:eastAsia="en-AU"/>
              </w:rPr>
              <w:t>***</w:t>
            </w:r>
          </w:p>
        </w:tc>
        <w:tc>
          <w:tcPr>
            <w:tcW w:w="1055" w:type="dxa"/>
            <w:tcBorders>
              <w:top w:val="nil"/>
              <w:left w:val="nil"/>
              <w:bottom w:val="nil"/>
              <w:right w:val="nil"/>
            </w:tcBorders>
            <w:shd w:val="clear" w:color="auto" w:fill="D5E2F1"/>
            <w:noWrap/>
            <w:vAlign w:val="center"/>
            <w:hideMark/>
          </w:tcPr>
          <w:p w14:paraId="0EF79411"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0.443***</w:t>
            </w:r>
          </w:p>
        </w:tc>
        <w:tc>
          <w:tcPr>
            <w:tcW w:w="965" w:type="dxa"/>
            <w:tcBorders>
              <w:top w:val="nil"/>
              <w:left w:val="nil"/>
              <w:bottom w:val="nil"/>
              <w:right w:val="nil"/>
            </w:tcBorders>
            <w:shd w:val="clear" w:color="auto" w:fill="D5E2F1"/>
            <w:noWrap/>
            <w:vAlign w:val="center"/>
            <w:hideMark/>
          </w:tcPr>
          <w:p w14:paraId="4AF809F2" w14:textId="694811F0"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w:t>
            </w:r>
            <w:r w:rsidR="00DC1531" w:rsidRPr="00601C60">
              <w:rPr>
                <w:rFonts w:asciiTheme="majorHAnsi" w:eastAsia="Times New Roman" w:hAnsiTheme="majorHAnsi" w:cstheme="majorHAnsi"/>
                <w:color w:val="000000"/>
                <w:sz w:val="16"/>
                <w:szCs w:val="16"/>
                <w:lang w:eastAsia="en-AU"/>
              </w:rPr>
              <w:t>68</w:t>
            </w:r>
            <w:r w:rsidRPr="00601C60">
              <w:rPr>
                <w:rFonts w:asciiTheme="majorHAnsi" w:eastAsia="Times New Roman" w:hAnsiTheme="majorHAnsi" w:cstheme="majorHAnsi"/>
                <w:color w:val="000000"/>
                <w:sz w:val="16"/>
                <w:szCs w:val="16"/>
                <w:lang w:eastAsia="en-AU"/>
              </w:rPr>
              <w:t>***</w:t>
            </w:r>
          </w:p>
        </w:tc>
        <w:tc>
          <w:tcPr>
            <w:tcW w:w="1019" w:type="dxa"/>
            <w:tcBorders>
              <w:top w:val="nil"/>
              <w:left w:val="nil"/>
              <w:bottom w:val="nil"/>
              <w:right w:val="nil"/>
            </w:tcBorders>
            <w:shd w:val="clear" w:color="auto" w:fill="D5E2F1"/>
            <w:noWrap/>
            <w:vAlign w:val="center"/>
            <w:hideMark/>
          </w:tcPr>
          <w:p w14:paraId="28A2647A" w14:textId="254EE0AE"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0.48</w:t>
            </w:r>
            <w:r w:rsidR="00BD4AB6" w:rsidRPr="00601C60">
              <w:rPr>
                <w:rFonts w:asciiTheme="majorHAnsi" w:eastAsia="Times New Roman" w:hAnsiTheme="majorHAnsi" w:cstheme="majorHAnsi"/>
                <w:color w:val="000000"/>
                <w:sz w:val="16"/>
                <w:szCs w:val="16"/>
                <w:lang w:eastAsia="en-AU"/>
              </w:rPr>
              <w:t>9</w:t>
            </w:r>
            <w:r w:rsidRPr="00601C60">
              <w:rPr>
                <w:rFonts w:asciiTheme="majorHAnsi" w:eastAsia="Times New Roman" w:hAnsiTheme="majorHAnsi" w:cstheme="majorHAnsi"/>
                <w:color w:val="000000"/>
                <w:sz w:val="16"/>
                <w:szCs w:val="16"/>
                <w:lang w:eastAsia="en-AU"/>
              </w:rPr>
              <w:t>***</w:t>
            </w:r>
          </w:p>
        </w:tc>
        <w:tc>
          <w:tcPr>
            <w:tcW w:w="994" w:type="dxa"/>
            <w:tcBorders>
              <w:top w:val="nil"/>
              <w:left w:val="nil"/>
              <w:bottom w:val="nil"/>
              <w:right w:val="nil"/>
            </w:tcBorders>
            <w:shd w:val="clear" w:color="auto" w:fill="D5E2F1"/>
            <w:noWrap/>
            <w:vAlign w:val="center"/>
            <w:hideMark/>
          </w:tcPr>
          <w:p w14:paraId="78F574CF" w14:textId="5BA36C11"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w:t>
            </w:r>
            <w:r w:rsidR="00DC1531" w:rsidRPr="00601C60">
              <w:rPr>
                <w:rFonts w:asciiTheme="majorHAnsi" w:eastAsia="Times New Roman" w:hAnsiTheme="majorHAnsi" w:cstheme="majorHAnsi"/>
                <w:color w:val="000000"/>
                <w:sz w:val="16"/>
                <w:szCs w:val="16"/>
                <w:lang w:eastAsia="en-AU"/>
              </w:rPr>
              <w:t>09</w:t>
            </w:r>
            <w:r w:rsidRPr="00601C60">
              <w:rPr>
                <w:rFonts w:asciiTheme="majorHAnsi" w:eastAsia="Times New Roman" w:hAnsiTheme="majorHAnsi" w:cstheme="majorHAnsi"/>
                <w:color w:val="000000"/>
                <w:sz w:val="16"/>
                <w:szCs w:val="16"/>
                <w:lang w:eastAsia="en-AU"/>
              </w:rPr>
              <w:t>***</w:t>
            </w:r>
          </w:p>
        </w:tc>
        <w:tc>
          <w:tcPr>
            <w:tcW w:w="1019" w:type="dxa"/>
            <w:tcBorders>
              <w:top w:val="nil"/>
              <w:left w:val="nil"/>
              <w:bottom w:val="nil"/>
              <w:right w:val="nil"/>
            </w:tcBorders>
            <w:shd w:val="clear" w:color="auto" w:fill="D5E2F1"/>
            <w:noWrap/>
            <w:vAlign w:val="center"/>
            <w:hideMark/>
          </w:tcPr>
          <w:p w14:paraId="7B8F16E4" w14:textId="3C531D53"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0.42</w:t>
            </w:r>
            <w:r w:rsidR="00DC1531" w:rsidRPr="00601C60">
              <w:rPr>
                <w:rFonts w:asciiTheme="majorHAnsi" w:eastAsia="Times New Roman" w:hAnsiTheme="majorHAnsi" w:cstheme="majorHAnsi"/>
                <w:color w:val="000000"/>
                <w:sz w:val="16"/>
                <w:szCs w:val="16"/>
                <w:lang w:eastAsia="en-AU"/>
              </w:rPr>
              <w:t>9</w:t>
            </w:r>
            <w:r w:rsidRPr="00601C60">
              <w:rPr>
                <w:rFonts w:asciiTheme="majorHAnsi" w:eastAsia="Times New Roman" w:hAnsiTheme="majorHAnsi" w:cstheme="majorHAnsi"/>
                <w:color w:val="000000"/>
                <w:sz w:val="16"/>
                <w:szCs w:val="16"/>
                <w:lang w:eastAsia="en-AU"/>
              </w:rPr>
              <w:t>***</w:t>
            </w:r>
          </w:p>
        </w:tc>
      </w:tr>
      <w:tr w:rsidR="00504D8F" w:rsidRPr="00601C60" w14:paraId="79451776" w14:textId="77777777" w:rsidTr="000B40A3">
        <w:trPr>
          <w:trHeight w:val="300"/>
          <w:jc w:val="center"/>
        </w:trPr>
        <w:tc>
          <w:tcPr>
            <w:tcW w:w="3251" w:type="dxa"/>
            <w:tcBorders>
              <w:top w:val="nil"/>
              <w:left w:val="nil"/>
              <w:bottom w:val="nil"/>
              <w:right w:val="nil"/>
            </w:tcBorders>
            <w:shd w:val="clear" w:color="auto" w:fill="auto"/>
            <w:noWrap/>
            <w:vAlign w:val="center"/>
            <w:hideMark/>
          </w:tcPr>
          <w:p w14:paraId="0BB5EED4" w14:textId="77777777" w:rsidR="00504D8F" w:rsidRPr="00601C60" w:rsidRDefault="00504D8F" w:rsidP="008A5C91">
            <w:pPr>
              <w:pStyle w:val="TableColumnHeadingBase"/>
            </w:pPr>
          </w:p>
        </w:tc>
        <w:tc>
          <w:tcPr>
            <w:tcW w:w="995" w:type="dxa"/>
            <w:tcBorders>
              <w:top w:val="nil"/>
              <w:left w:val="nil"/>
              <w:bottom w:val="nil"/>
              <w:right w:val="nil"/>
            </w:tcBorders>
            <w:shd w:val="clear" w:color="auto" w:fill="auto"/>
            <w:noWrap/>
            <w:vAlign w:val="center"/>
            <w:hideMark/>
          </w:tcPr>
          <w:p w14:paraId="5D980066" w14:textId="4A14B05B"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2</w:t>
            </w:r>
            <w:r w:rsidRPr="00601C60">
              <w:rPr>
                <w:rFonts w:asciiTheme="majorHAnsi" w:eastAsia="Times New Roman" w:hAnsiTheme="majorHAnsi" w:cstheme="majorHAnsi"/>
                <w:color w:val="000000"/>
                <w:sz w:val="16"/>
                <w:szCs w:val="16"/>
                <w:lang w:eastAsia="en-AU"/>
              </w:rPr>
              <w:t>)</w:t>
            </w:r>
          </w:p>
        </w:tc>
        <w:tc>
          <w:tcPr>
            <w:tcW w:w="1055" w:type="dxa"/>
            <w:tcBorders>
              <w:top w:val="nil"/>
              <w:left w:val="nil"/>
              <w:bottom w:val="nil"/>
              <w:right w:val="nil"/>
            </w:tcBorders>
            <w:shd w:val="clear" w:color="auto" w:fill="auto"/>
            <w:noWrap/>
            <w:vAlign w:val="center"/>
            <w:hideMark/>
          </w:tcPr>
          <w:p w14:paraId="2B542A8A" w14:textId="16BE60FD"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(0.003)</w:t>
            </w:r>
          </w:p>
        </w:tc>
        <w:tc>
          <w:tcPr>
            <w:tcW w:w="965" w:type="dxa"/>
            <w:tcBorders>
              <w:top w:val="nil"/>
              <w:left w:val="nil"/>
              <w:bottom w:val="nil"/>
              <w:right w:val="nil"/>
            </w:tcBorders>
            <w:shd w:val="clear" w:color="auto" w:fill="auto"/>
            <w:noWrap/>
            <w:vAlign w:val="center"/>
            <w:hideMark/>
          </w:tcPr>
          <w:p w14:paraId="56F0AFAC" w14:textId="7BF2973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3</w:t>
            </w:r>
            <w:r w:rsidRPr="00601C60">
              <w:rPr>
                <w:rFonts w:asciiTheme="majorHAnsi" w:eastAsia="Times New Roman" w:hAnsiTheme="majorHAnsi" w:cstheme="majorHAnsi"/>
                <w:color w:val="000000"/>
                <w:sz w:val="16"/>
                <w:szCs w:val="16"/>
                <w:lang w:eastAsia="en-AU"/>
              </w:rPr>
              <w:t>)</w:t>
            </w:r>
          </w:p>
        </w:tc>
        <w:tc>
          <w:tcPr>
            <w:tcW w:w="1019" w:type="dxa"/>
            <w:tcBorders>
              <w:top w:val="nil"/>
              <w:left w:val="nil"/>
              <w:bottom w:val="nil"/>
              <w:right w:val="nil"/>
            </w:tcBorders>
            <w:shd w:val="clear" w:color="auto" w:fill="auto"/>
            <w:noWrap/>
            <w:vAlign w:val="center"/>
            <w:hideMark/>
          </w:tcPr>
          <w:p w14:paraId="6A903485" w14:textId="63A3ABEF"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(0.006)</w:t>
            </w:r>
          </w:p>
        </w:tc>
        <w:tc>
          <w:tcPr>
            <w:tcW w:w="994" w:type="dxa"/>
            <w:tcBorders>
              <w:top w:val="nil"/>
              <w:left w:val="nil"/>
              <w:bottom w:val="nil"/>
              <w:right w:val="nil"/>
            </w:tcBorders>
            <w:shd w:val="clear" w:color="auto" w:fill="auto"/>
            <w:noWrap/>
            <w:vAlign w:val="center"/>
            <w:hideMark/>
          </w:tcPr>
          <w:p w14:paraId="393BC6C1" w14:textId="1DC492BD"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2</w:t>
            </w:r>
            <w:r w:rsidRPr="00601C60">
              <w:rPr>
                <w:rFonts w:asciiTheme="majorHAnsi" w:eastAsia="Times New Roman" w:hAnsiTheme="majorHAnsi" w:cstheme="majorHAnsi"/>
                <w:color w:val="000000"/>
                <w:sz w:val="16"/>
                <w:szCs w:val="16"/>
                <w:lang w:eastAsia="en-AU"/>
              </w:rPr>
              <w:t>)</w:t>
            </w:r>
          </w:p>
        </w:tc>
        <w:tc>
          <w:tcPr>
            <w:tcW w:w="1019" w:type="dxa"/>
            <w:tcBorders>
              <w:top w:val="nil"/>
              <w:left w:val="nil"/>
              <w:bottom w:val="nil"/>
              <w:right w:val="nil"/>
            </w:tcBorders>
            <w:shd w:val="clear" w:color="auto" w:fill="auto"/>
            <w:noWrap/>
            <w:vAlign w:val="center"/>
            <w:hideMark/>
          </w:tcPr>
          <w:p w14:paraId="4544BE4B" w14:textId="4664A44D"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4</w:t>
            </w:r>
            <w:r w:rsidRPr="00601C60">
              <w:rPr>
                <w:rFonts w:asciiTheme="majorHAnsi" w:eastAsia="Times New Roman" w:hAnsiTheme="majorHAnsi" w:cstheme="majorHAnsi"/>
                <w:color w:val="000000"/>
                <w:sz w:val="16"/>
                <w:szCs w:val="16"/>
                <w:lang w:eastAsia="en-AU"/>
              </w:rPr>
              <w:t>)</w:t>
            </w:r>
          </w:p>
        </w:tc>
      </w:tr>
      <w:tr w:rsidR="00504D8F" w:rsidRPr="00601C60" w14:paraId="21900C94" w14:textId="77777777" w:rsidTr="000B40A3">
        <w:trPr>
          <w:trHeight w:val="300"/>
          <w:jc w:val="center"/>
        </w:trPr>
        <w:tc>
          <w:tcPr>
            <w:tcW w:w="3251" w:type="dxa"/>
            <w:tcBorders>
              <w:top w:val="nil"/>
              <w:left w:val="nil"/>
              <w:bottom w:val="nil"/>
              <w:right w:val="nil"/>
            </w:tcBorders>
            <w:shd w:val="clear" w:color="auto" w:fill="D5E2F1"/>
            <w:noWrap/>
            <w:vAlign w:val="center"/>
            <w:hideMark/>
          </w:tcPr>
          <w:p w14:paraId="6AA2105C" w14:textId="070C3396" w:rsidR="00504D8F" w:rsidRPr="00601C60" w:rsidRDefault="00504D8F" w:rsidP="008A5C91">
            <w:pPr>
              <w:pStyle w:val="TableColumnHeadingBase"/>
            </w:pPr>
            <w:r w:rsidRPr="00601C60">
              <w:t xml:space="preserve">Distance </w:t>
            </w:r>
            <w:r w:rsidR="008A5C91">
              <w:t>f</w:t>
            </w:r>
            <w:r w:rsidRPr="00601C60">
              <w:t xml:space="preserve">rom </w:t>
            </w:r>
            <w:r w:rsidR="008A5C91">
              <w:t>f</w:t>
            </w:r>
            <w:r w:rsidRPr="00601C60">
              <w:t>rontier x 2005</w:t>
            </w:r>
            <w:r w:rsidR="00AA5B97">
              <w:noBreakHyphen/>
            </w:r>
            <w:r w:rsidRPr="00601C60">
              <w:t>07</w:t>
            </w:r>
          </w:p>
        </w:tc>
        <w:tc>
          <w:tcPr>
            <w:tcW w:w="995" w:type="dxa"/>
            <w:tcBorders>
              <w:top w:val="nil"/>
              <w:left w:val="nil"/>
              <w:bottom w:val="nil"/>
              <w:right w:val="nil"/>
            </w:tcBorders>
            <w:shd w:val="clear" w:color="auto" w:fill="D5E2F1"/>
            <w:noWrap/>
            <w:vAlign w:val="bottom"/>
            <w:hideMark/>
          </w:tcPr>
          <w:p w14:paraId="665A9B6C"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55" w:type="dxa"/>
            <w:tcBorders>
              <w:top w:val="nil"/>
              <w:left w:val="nil"/>
              <w:bottom w:val="nil"/>
              <w:right w:val="nil"/>
            </w:tcBorders>
            <w:shd w:val="clear" w:color="auto" w:fill="D5E2F1"/>
            <w:noWrap/>
            <w:vAlign w:val="center"/>
            <w:hideMark/>
          </w:tcPr>
          <w:p w14:paraId="3D095DB2" w14:textId="4929E583"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504D8F" w:rsidRPr="00601C60">
              <w:rPr>
                <w:rFonts w:asciiTheme="majorHAnsi" w:eastAsia="Times New Roman" w:hAnsiTheme="majorHAnsi" w:cstheme="majorHAnsi"/>
                <w:color w:val="000000"/>
                <w:sz w:val="16"/>
                <w:szCs w:val="16"/>
                <w:lang w:eastAsia="en-AU"/>
              </w:rPr>
              <w:t>0.009**</w:t>
            </w:r>
          </w:p>
        </w:tc>
        <w:tc>
          <w:tcPr>
            <w:tcW w:w="965" w:type="dxa"/>
            <w:tcBorders>
              <w:top w:val="nil"/>
              <w:left w:val="nil"/>
              <w:bottom w:val="nil"/>
              <w:right w:val="nil"/>
            </w:tcBorders>
            <w:shd w:val="clear" w:color="auto" w:fill="D5E2F1"/>
            <w:noWrap/>
            <w:vAlign w:val="bottom"/>
            <w:hideMark/>
          </w:tcPr>
          <w:p w14:paraId="2B5C38E0"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19" w:type="dxa"/>
            <w:tcBorders>
              <w:top w:val="nil"/>
              <w:left w:val="nil"/>
              <w:bottom w:val="nil"/>
              <w:right w:val="nil"/>
            </w:tcBorders>
            <w:shd w:val="clear" w:color="auto" w:fill="D5E2F1"/>
            <w:noWrap/>
            <w:vAlign w:val="center"/>
            <w:hideMark/>
          </w:tcPr>
          <w:p w14:paraId="0BFEC098" w14:textId="042FFD7B"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504D8F" w:rsidRPr="00601C60">
              <w:rPr>
                <w:rFonts w:asciiTheme="majorHAnsi" w:eastAsia="Times New Roman" w:hAnsiTheme="majorHAnsi" w:cstheme="majorHAnsi"/>
                <w:color w:val="000000"/>
                <w:sz w:val="16"/>
                <w:szCs w:val="16"/>
                <w:lang w:eastAsia="en-AU"/>
              </w:rPr>
              <w:t>0.01</w:t>
            </w:r>
            <w:r w:rsidR="00BD4AB6" w:rsidRPr="00601C60">
              <w:rPr>
                <w:rFonts w:asciiTheme="majorHAnsi" w:eastAsia="Times New Roman" w:hAnsiTheme="majorHAnsi" w:cstheme="majorHAnsi"/>
                <w:color w:val="000000"/>
                <w:sz w:val="16"/>
                <w:szCs w:val="16"/>
                <w:lang w:eastAsia="en-AU"/>
              </w:rPr>
              <w:t>9</w:t>
            </w:r>
            <w:r w:rsidR="00504D8F" w:rsidRPr="00601C60">
              <w:rPr>
                <w:rFonts w:asciiTheme="majorHAnsi" w:eastAsia="Times New Roman" w:hAnsiTheme="majorHAnsi" w:cstheme="majorHAnsi"/>
                <w:color w:val="000000"/>
                <w:sz w:val="16"/>
                <w:szCs w:val="16"/>
                <w:lang w:eastAsia="en-AU"/>
              </w:rPr>
              <w:t>**</w:t>
            </w:r>
          </w:p>
        </w:tc>
        <w:tc>
          <w:tcPr>
            <w:tcW w:w="994" w:type="dxa"/>
            <w:tcBorders>
              <w:top w:val="nil"/>
              <w:left w:val="nil"/>
              <w:bottom w:val="nil"/>
              <w:right w:val="nil"/>
            </w:tcBorders>
            <w:shd w:val="clear" w:color="auto" w:fill="D5E2F1"/>
            <w:noWrap/>
            <w:vAlign w:val="bottom"/>
            <w:hideMark/>
          </w:tcPr>
          <w:p w14:paraId="472F4B2E"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19" w:type="dxa"/>
            <w:tcBorders>
              <w:top w:val="nil"/>
              <w:left w:val="nil"/>
              <w:bottom w:val="nil"/>
              <w:right w:val="nil"/>
            </w:tcBorders>
            <w:shd w:val="clear" w:color="auto" w:fill="D5E2F1"/>
            <w:noWrap/>
            <w:vAlign w:val="center"/>
            <w:hideMark/>
          </w:tcPr>
          <w:p w14:paraId="7C63F3E1" w14:textId="0E43FCD0"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504D8F" w:rsidRPr="00601C60">
              <w:rPr>
                <w:rFonts w:asciiTheme="majorHAnsi" w:eastAsia="Times New Roman" w:hAnsiTheme="majorHAnsi" w:cstheme="majorHAnsi"/>
                <w:color w:val="000000"/>
                <w:sz w:val="16"/>
                <w:szCs w:val="16"/>
                <w:lang w:eastAsia="en-AU"/>
              </w:rPr>
              <w:t>0.006</w:t>
            </w:r>
          </w:p>
        </w:tc>
      </w:tr>
      <w:tr w:rsidR="00504D8F" w:rsidRPr="00601C60" w14:paraId="76997E1E" w14:textId="77777777" w:rsidTr="000B40A3">
        <w:trPr>
          <w:trHeight w:val="300"/>
          <w:jc w:val="center"/>
        </w:trPr>
        <w:tc>
          <w:tcPr>
            <w:tcW w:w="3251" w:type="dxa"/>
            <w:tcBorders>
              <w:top w:val="nil"/>
              <w:left w:val="nil"/>
              <w:bottom w:val="nil"/>
              <w:right w:val="nil"/>
            </w:tcBorders>
            <w:shd w:val="clear" w:color="auto" w:fill="auto"/>
            <w:noWrap/>
            <w:vAlign w:val="center"/>
            <w:hideMark/>
          </w:tcPr>
          <w:p w14:paraId="2E3F5DC3" w14:textId="77777777" w:rsidR="00504D8F" w:rsidRPr="00601C60" w:rsidRDefault="00504D8F" w:rsidP="008A5C91">
            <w:pPr>
              <w:pStyle w:val="TableColumnHeadingBase"/>
            </w:pPr>
          </w:p>
        </w:tc>
        <w:tc>
          <w:tcPr>
            <w:tcW w:w="995" w:type="dxa"/>
            <w:tcBorders>
              <w:top w:val="nil"/>
              <w:left w:val="nil"/>
              <w:bottom w:val="nil"/>
              <w:right w:val="nil"/>
            </w:tcBorders>
            <w:shd w:val="clear" w:color="auto" w:fill="auto"/>
            <w:noWrap/>
            <w:vAlign w:val="bottom"/>
            <w:hideMark/>
          </w:tcPr>
          <w:p w14:paraId="4FFCCD11"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55" w:type="dxa"/>
            <w:tcBorders>
              <w:top w:val="nil"/>
              <w:left w:val="nil"/>
              <w:bottom w:val="nil"/>
              <w:right w:val="nil"/>
            </w:tcBorders>
            <w:shd w:val="clear" w:color="auto" w:fill="auto"/>
            <w:noWrap/>
            <w:vAlign w:val="center"/>
            <w:hideMark/>
          </w:tcPr>
          <w:p w14:paraId="3053ED1A" w14:textId="079C16D9"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(0.004)</w:t>
            </w:r>
          </w:p>
        </w:tc>
        <w:tc>
          <w:tcPr>
            <w:tcW w:w="965" w:type="dxa"/>
            <w:tcBorders>
              <w:top w:val="nil"/>
              <w:left w:val="nil"/>
              <w:bottom w:val="nil"/>
              <w:right w:val="nil"/>
            </w:tcBorders>
            <w:shd w:val="clear" w:color="auto" w:fill="auto"/>
            <w:noWrap/>
            <w:vAlign w:val="bottom"/>
            <w:hideMark/>
          </w:tcPr>
          <w:p w14:paraId="1EBBD5D0"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19" w:type="dxa"/>
            <w:tcBorders>
              <w:top w:val="nil"/>
              <w:left w:val="nil"/>
              <w:bottom w:val="nil"/>
              <w:right w:val="nil"/>
            </w:tcBorders>
            <w:shd w:val="clear" w:color="auto" w:fill="auto"/>
            <w:noWrap/>
            <w:vAlign w:val="center"/>
            <w:hideMark/>
          </w:tcPr>
          <w:p w14:paraId="27065E76" w14:textId="345231CA"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8</w:t>
            </w:r>
            <w:r w:rsidRPr="00601C60">
              <w:rPr>
                <w:rFonts w:asciiTheme="majorHAnsi" w:eastAsia="Times New Roman" w:hAnsiTheme="majorHAnsi" w:cstheme="majorHAnsi"/>
                <w:color w:val="000000"/>
                <w:sz w:val="16"/>
                <w:szCs w:val="16"/>
                <w:lang w:eastAsia="en-AU"/>
              </w:rPr>
              <w:t>)</w:t>
            </w:r>
          </w:p>
        </w:tc>
        <w:tc>
          <w:tcPr>
            <w:tcW w:w="994" w:type="dxa"/>
            <w:tcBorders>
              <w:top w:val="nil"/>
              <w:left w:val="nil"/>
              <w:bottom w:val="nil"/>
              <w:right w:val="nil"/>
            </w:tcBorders>
            <w:shd w:val="clear" w:color="auto" w:fill="auto"/>
            <w:noWrap/>
            <w:vAlign w:val="bottom"/>
            <w:hideMark/>
          </w:tcPr>
          <w:p w14:paraId="3A629CCD"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19" w:type="dxa"/>
            <w:tcBorders>
              <w:top w:val="nil"/>
              <w:left w:val="nil"/>
              <w:bottom w:val="nil"/>
              <w:right w:val="nil"/>
            </w:tcBorders>
            <w:shd w:val="clear" w:color="auto" w:fill="auto"/>
            <w:noWrap/>
            <w:vAlign w:val="center"/>
            <w:hideMark/>
          </w:tcPr>
          <w:p w14:paraId="74262655" w14:textId="06088FA0"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5</w:t>
            </w:r>
            <w:r w:rsidRPr="00601C60">
              <w:rPr>
                <w:rFonts w:asciiTheme="majorHAnsi" w:eastAsia="Times New Roman" w:hAnsiTheme="majorHAnsi" w:cstheme="majorHAnsi"/>
                <w:color w:val="000000"/>
                <w:sz w:val="16"/>
                <w:szCs w:val="16"/>
                <w:lang w:eastAsia="en-AU"/>
              </w:rPr>
              <w:t>)</w:t>
            </w:r>
          </w:p>
        </w:tc>
      </w:tr>
      <w:tr w:rsidR="00504D8F" w:rsidRPr="00601C60" w14:paraId="60B5DDE2" w14:textId="77777777" w:rsidTr="000B40A3">
        <w:trPr>
          <w:trHeight w:val="300"/>
          <w:jc w:val="center"/>
        </w:trPr>
        <w:tc>
          <w:tcPr>
            <w:tcW w:w="3251" w:type="dxa"/>
            <w:tcBorders>
              <w:top w:val="nil"/>
              <w:left w:val="nil"/>
              <w:bottom w:val="nil"/>
              <w:right w:val="nil"/>
            </w:tcBorders>
            <w:shd w:val="clear" w:color="auto" w:fill="D5E2F1"/>
            <w:noWrap/>
            <w:vAlign w:val="center"/>
            <w:hideMark/>
          </w:tcPr>
          <w:p w14:paraId="79882CD2" w14:textId="658AF00B" w:rsidR="00504D8F" w:rsidRPr="00601C60" w:rsidRDefault="00504D8F" w:rsidP="008A5C91">
            <w:pPr>
              <w:pStyle w:val="TableColumnHeadingBase"/>
            </w:pPr>
            <w:r w:rsidRPr="00601C60">
              <w:t xml:space="preserve">Distance </w:t>
            </w:r>
            <w:r w:rsidR="008A5C91">
              <w:t>f</w:t>
            </w:r>
            <w:r w:rsidRPr="00601C60">
              <w:t xml:space="preserve">rom </w:t>
            </w:r>
            <w:r w:rsidR="008A5C91">
              <w:t>f</w:t>
            </w:r>
            <w:r w:rsidRPr="00601C60">
              <w:t>rontier x 2008</w:t>
            </w:r>
            <w:r w:rsidR="00AA5B97">
              <w:noBreakHyphen/>
            </w:r>
            <w:r w:rsidRPr="00601C60">
              <w:t>10</w:t>
            </w:r>
          </w:p>
        </w:tc>
        <w:tc>
          <w:tcPr>
            <w:tcW w:w="995" w:type="dxa"/>
            <w:tcBorders>
              <w:top w:val="nil"/>
              <w:left w:val="nil"/>
              <w:bottom w:val="nil"/>
              <w:right w:val="nil"/>
            </w:tcBorders>
            <w:shd w:val="clear" w:color="auto" w:fill="D5E2F1"/>
            <w:noWrap/>
            <w:vAlign w:val="bottom"/>
            <w:hideMark/>
          </w:tcPr>
          <w:p w14:paraId="782C7217"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55" w:type="dxa"/>
            <w:tcBorders>
              <w:top w:val="nil"/>
              <w:left w:val="nil"/>
              <w:bottom w:val="nil"/>
              <w:right w:val="nil"/>
            </w:tcBorders>
            <w:shd w:val="clear" w:color="auto" w:fill="D5E2F1"/>
            <w:noWrap/>
            <w:vAlign w:val="center"/>
            <w:hideMark/>
          </w:tcPr>
          <w:p w14:paraId="5C21DBA8" w14:textId="7803C333"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504D8F"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5</w:t>
            </w:r>
          </w:p>
        </w:tc>
        <w:tc>
          <w:tcPr>
            <w:tcW w:w="965" w:type="dxa"/>
            <w:tcBorders>
              <w:top w:val="nil"/>
              <w:left w:val="nil"/>
              <w:bottom w:val="nil"/>
              <w:right w:val="nil"/>
            </w:tcBorders>
            <w:shd w:val="clear" w:color="auto" w:fill="D5E2F1"/>
            <w:noWrap/>
            <w:vAlign w:val="bottom"/>
            <w:hideMark/>
          </w:tcPr>
          <w:p w14:paraId="19F4AD40"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19" w:type="dxa"/>
            <w:tcBorders>
              <w:top w:val="nil"/>
              <w:left w:val="nil"/>
              <w:bottom w:val="nil"/>
              <w:right w:val="nil"/>
            </w:tcBorders>
            <w:shd w:val="clear" w:color="auto" w:fill="D5E2F1"/>
            <w:noWrap/>
            <w:vAlign w:val="center"/>
            <w:hideMark/>
          </w:tcPr>
          <w:p w14:paraId="5AA73555" w14:textId="7DC0EB26"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504D8F" w:rsidRPr="00601C60">
              <w:rPr>
                <w:rFonts w:asciiTheme="majorHAnsi" w:eastAsia="Times New Roman" w:hAnsiTheme="majorHAnsi" w:cstheme="majorHAnsi"/>
                <w:color w:val="000000"/>
                <w:sz w:val="16"/>
                <w:szCs w:val="16"/>
                <w:lang w:eastAsia="en-AU"/>
              </w:rPr>
              <w:t>0.01</w:t>
            </w:r>
            <w:r w:rsidR="00BD4AB6" w:rsidRPr="00601C60">
              <w:rPr>
                <w:rFonts w:asciiTheme="majorHAnsi" w:eastAsia="Times New Roman" w:hAnsiTheme="majorHAnsi" w:cstheme="majorHAnsi"/>
                <w:color w:val="000000"/>
                <w:sz w:val="16"/>
                <w:szCs w:val="16"/>
                <w:lang w:eastAsia="en-AU"/>
              </w:rPr>
              <w:t>5</w:t>
            </w:r>
            <w:r w:rsidR="00504D8F" w:rsidRPr="00601C60">
              <w:rPr>
                <w:rFonts w:asciiTheme="majorHAnsi" w:eastAsia="Times New Roman" w:hAnsiTheme="majorHAnsi" w:cstheme="majorHAnsi"/>
                <w:color w:val="000000"/>
                <w:sz w:val="16"/>
                <w:szCs w:val="16"/>
                <w:lang w:eastAsia="en-AU"/>
              </w:rPr>
              <w:t>*</w:t>
            </w:r>
          </w:p>
        </w:tc>
        <w:tc>
          <w:tcPr>
            <w:tcW w:w="994" w:type="dxa"/>
            <w:tcBorders>
              <w:top w:val="nil"/>
              <w:left w:val="nil"/>
              <w:bottom w:val="nil"/>
              <w:right w:val="nil"/>
            </w:tcBorders>
            <w:shd w:val="clear" w:color="auto" w:fill="D5E2F1"/>
            <w:noWrap/>
            <w:vAlign w:val="bottom"/>
            <w:hideMark/>
          </w:tcPr>
          <w:p w14:paraId="5BB5E9D9"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19" w:type="dxa"/>
            <w:tcBorders>
              <w:top w:val="nil"/>
              <w:left w:val="nil"/>
              <w:bottom w:val="nil"/>
              <w:right w:val="nil"/>
            </w:tcBorders>
            <w:shd w:val="clear" w:color="auto" w:fill="D5E2F1"/>
            <w:noWrap/>
            <w:vAlign w:val="center"/>
            <w:hideMark/>
          </w:tcPr>
          <w:p w14:paraId="6CD92037" w14:textId="3324CEF7"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DC1531" w:rsidRPr="00601C60">
              <w:rPr>
                <w:rFonts w:asciiTheme="majorHAnsi" w:eastAsia="Times New Roman" w:hAnsiTheme="majorHAnsi" w:cstheme="majorHAnsi"/>
                <w:color w:val="000000"/>
                <w:sz w:val="16"/>
                <w:szCs w:val="16"/>
                <w:lang w:eastAsia="en-AU"/>
              </w:rPr>
              <w:t>0.001</w:t>
            </w:r>
          </w:p>
        </w:tc>
      </w:tr>
      <w:tr w:rsidR="00504D8F" w:rsidRPr="00601C60" w14:paraId="6F9FFACE" w14:textId="77777777" w:rsidTr="000B40A3">
        <w:trPr>
          <w:trHeight w:val="300"/>
          <w:jc w:val="center"/>
        </w:trPr>
        <w:tc>
          <w:tcPr>
            <w:tcW w:w="3251" w:type="dxa"/>
            <w:tcBorders>
              <w:top w:val="nil"/>
              <w:left w:val="nil"/>
              <w:bottom w:val="nil"/>
              <w:right w:val="nil"/>
            </w:tcBorders>
            <w:shd w:val="clear" w:color="auto" w:fill="auto"/>
            <w:noWrap/>
            <w:vAlign w:val="center"/>
            <w:hideMark/>
          </w:tcPr>
          <w:p w14:paraId="3C0E0357" w14:textId="77777777" w:rsidR="00504D8F" w:rsidRPr="00601C60" w:rsidRDefault="00504D8F" w:rsidP="008A5C91">
            <w:pPr>
              <w:pStyle w:val="TableColumnHeadingBase"/>
            </w:pPr>
          </w:p>
        </w:tc>
        <w:tc>
          <w:tcPr>
            <w:tcW w:w="995" w:type="dxa"/>
            <w:tcBorders>
              <w:top w:val="nil"/>
              <w:left w:val="nil"/>
              <w:bottom w:val="nil"/>
              <w:right w:val="nil"/>
            </w:tcBorders>
            <w:shd w:val="clear" w:color="auto" w:fill="auto"/>
            <w:noWrap/>
            <w:vAlign w:val="bottom"/>
            <w:hideMark/>
          </w:tcPr>
          <w:p w14:paraId="00A2EB17"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55" w:type="dxa"/>
            <w:tcBorders>
              <w:top w:val="nil"/>
              <w:left w:val="nil"/>
              <w:bottom w:val="nil"/>
              <w:right w:val="nil"/>
            </w:tcBorders>
            <w:shd w:val="clear" w:color="auto" w:fill="auto"/>
            <w:noWrap/>
            <w:vAlign w:val="center"/>
            <w:hideMark/>
          </w:tcPr>
          <w:p w14:paraId="0521739A" w14:textId="5175FCCD"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(0.004)</w:t>
            </w:r>
          </w:p>
        </w:tc>
        <w:tc>
          <w:tcPr>
            <w:tcW w:w="965" w:type="dxa"/>
            <w:tcBorders>
              <w:top w:val="nil"/>
              <w:left w:val="nil"/>
              <w:bottom w:val="nil"/>
              <w:right w:val="nil"/>
            </w:tcBorders>
            <w:shd w:val="clear" w:color="auto" w:fill="auto"/>
            <w:noWrap/>
            <w:vAlign w:val="bottom"/>
            <w:hideMark/>
          </w:tcPr>
          <w:p w14:paraId="6F5C8ECB"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19" w:type="dxa"/>
            <w:tcBorders>
              <w:top w:val="nil"/>
              <w:left w:val="nil"/>
              <w:bottom w:val="nil"/>
              <w:right w:val="nil"/>
            </w:tcBorders>
            <w:shd w:val="clear" w:color="auto" w:fill="auto"/>
            <w:noWrap/>
            <w:vAlign w:val="center"/>
            <w:hideMark/>
          </w:tcPr>
          <w:p w14:paraId="4CDF01C2" w14:textId="0370833F"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w:t>
            </w:r>
            <w:r w:rsidR="00BD4AB6" w:rsidRPr="00601C60">
              <w:rPr>
                <w:rFonts w:asciiTheme="majorHAnsi" w:eastAsia="Times New Roman" w:hAnsiTheme="majorHAnsi" w:cstheme="majorHAnsi"/>
                <w:color w:val="000000"/>
                <w:sz w:val="16"/>
                <w:szCs w:val="16"/>
                <w:lang w:eastAsia="en-AU"/>
              </w:rPr>
              <w:t>.008</w:t>
            </w:r>
            <w:r w:rsidRPr="00601C60">
              <w:rPr>
                <w:rFonts w:asciiTheme="majorHAnsi" w:eastAsia="Times New Roman" w:hAnsiTheme="majorHAnsi" w:cstheme="majorHAnsi"/>
                <w:color w:val="000000"/>
                <w:sz w:val="16"/>
                <w:szCs w:val="16"/>
                <w:lang w:eastAsia="en-AU"/>
              </w:rPr>
              <w:t>)</w:t>
            </w:r>
          </w:p>
        </w:tc>
        <w:tc>
          <w:tcPr>
            <w:tcW w:w="994" w:type="dxa"/>
            <w:tcBorders>
              <w:top w:val="nil"/>
              <w:left w:val="nil"/>
              <w:bottom w:val="nil"/>
              <w:right w:val="nil"/>
            </w:tcBorders>
            <w:shd w:val="clear" w:color="auto" w:fill="auto"/>
            <w:noWrap/>
            <w:vAlign w:val="bottom"/>
            <w:hideMark/>
          </w:tcPr>
          <w:p w14:paraId="22533B62"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19" w:type="dxa"/>
            <w:tcBorders>
              <w:top w:val="nil"/>
              <w:left w:val="nil"/>
              <w:bottom w:val="nil"/>
              <w:right w:val="nil"/>
            </w:tcBorders>
            <w:shd w:val="clear" w:color="auto" w:fill="auto"/>
            <w:noWrap/>
            <w:vAlign w:val="center"/>
            <w:hideMark/>
          </w:tcPr>
          <w:p w14:paraId="6E19D226" w14:textId="449324AC"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5</w:t>
            </w:r>
            <w:r w:rsidRPr="00601C60">
              <w:rPr>
                <w:rFonts w:asciiTheme="majorHAnsi" w:eastAsia="Times New Roman" w:hAnsiTheme="majorHAnsi" w:cstheme="majorHAnsi"/>
                <w:color w:val="000000"/>
                <w:sz w:val="16"/>
                <w:szCs w:val="16"/>
                <w:lang w:eastAsia="en-AU"/>
              </w:rPr>
              <w:t>)</w:t>
            </w:r>
          </w:p>
        </w:tc>
      </w:tr>
      <w:tr w:rsidR="00504D8F" w:rsidRPr="00601C60" w14:paraId="39520D7F" w14:textId="77777777" w:rsidTr="000B40A3">
        <w:trPr>
          <w:trHeight w:val="300"/>
          <w:jc w:val="center"/>
        </w:trPr>
        <w:tc>
          <w:tcPr>
            <w:tcW w:w="3251" w:type="dxa"/>
            <w:tcBorders>
              <w:top w:val="nil"/>
              <w:left w:val="nil"/>
              <w:bottom w:val="nil"/>
              <w:right w:val="nil"/>
            </w:tcBorders>
            <w:shd w:val="clear" w:color="auto" w:fill="D5E2F1"/>
            <w:noWrap/>
            <w:vAlign w:val="center"/>
            <w:hideMark/>
          </w:tcPr>
          <w:p w14:paraId="6765AC8A" w14:textId="6657D8BF" w:rsidR="00504D8F" w:rsidRPr="00601C60" w:rsidRDefault="00504D8F" w:rsidP="008A5C91">
            <w:pPr>
              <w:pStyle w:val="TableColumnHeadingBase"/>
            </w:pPr>
            <w:r w:rsidRPr="00601C60">
              <w:t xml:space="preserve">Distance </w:t>
            </w:r>
            <w:r w:rsidR="008A5C91">
              <w:t>f</w:t>
            </w:r>
            <w:r w:rsidRPr="00601C60">
              <w:t xml:space="preserve">rom </w:t>
            </w:r>
            <w:r w:rsidR="008A5C91">
              <w:t>f</w:t>
            </w:r>
            <w:r w:rsidRPr="00601C60">
              <w:t>rontier x 2011</w:t>
            </w:r>
            <w:r w:rsidR="00AA5B97">
              <w:noBreakHyphen/>
            </w:r>
            <w:r w:rsidRPr="00601C60">
              <w:t>1</w:t>
            </w:r>
            <w:r w:rsidR="00BA7858" w:rsidRPr="00601C60">
              <w:t>6</w:t>
            </w:r>
          </w:p>
        </w:tc>
        <w:tc>
          <w:tcPr>
            <w:tcW w:w="995" w:type="dxa"/>
            <w:tcBorders>
              <w:top w:val="nil"/>
              <w:left w:val="nil"/>
              <w:bottom w:val="nil"/>
              <w:right w:val="nil"/>
            </w:tcBorders>
            <w:shd w:val="clear" w:color="auto" w:fill="D5E2F1"/>
            <w:noWrap/>
            <w:vAlign w:val="bottom"/>
            <w:hideMark/>
          </w:tcPr>
          <w:p w14:paraId="42992624"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55" w:type="dxa"/>
            <w:tcBorders>
              <w:top w:val="nil"/>
              <w:left w:val="nil"/>
              <w:bottom w:val="nil"/>
              <w:right w:val="nil"/>
            </w:tcBorders>
            <w:shd w:val="clear" w:color="auto" w:fill="D5E2F1"/>
            <w:noWrap/>
            <w:vAlign w:val="center"/>
            <w:hideMark/>
          </w:tcPr>
          <w:p w14:paraId="0858FE29" w14:textId="02F99CCB"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504D8F" w:rsidRPr="00601C60">
              <w:rPr>
                <w:rFonts w:asciiTheme="majorHAnsi" w:eastAsia="Times New Roman" w:hAnsiTheme="majorHAnsi" w:cstheme="majorHAnsi"/>
                <w:color w:val="000000"/>
                <w:sz w:val="16"/>
                <w:szCs w:val="16"/>
                <w:lang w:eastAsia="en-AU"/>
              </w:rPr>
              <w:t>0.03</w:t>
            </w:r>
            <w:r w:rsidR="00DC1531" w:rsidRPr="00601C60">
              <w:rPr>
                <w:rFonts w:asciiTheme="majorHAnsi" w:eastAsia="Times New Roman" w:hAnsiTheme="majorHAnsi" w:cstheme="majorHAnsi"/>
                <w:color w:val="000000"/>
                <w:sz w:val="16"/>
                <w:szCs w:val="16"/>
                <w:lang w:eastAsia="en-AU"/>
              </w:rPr>
              <w:t>9</w:t>
            </w:r>
            <w:r w:rsidR="00504D8F" w:rsidRPr="00601C60">
              <w:rPr>
                <w:rFonts w:asciiTheme="majorHAnsi" w:eastAsia="Times New Roman" w:hAnsiTheme="majorHAnsi" w:cstheme="majorHAnsi"/>
                <w:color w:val="000000"/>
                <w:sz w:val="16"/>
                <w:szCs w:val="16"/>
                <w:lang w:eastAsia="en-AU"/>
              </w:rPr>
              <w:t>***</w:t>
            </w:r>
          </w:p>
        </w:tc>
        <w:tc>
          <w:tcPr>
            <w:tcW w:w="965" w:type="dxa"/>
            <w:tcBorders>
              <w:top w:val="nil"/>
              <w:left w:val="nil"/>
              <w:bottom w:val="nil"/>
              <w:right w:val="nil"/>
            </w:tcBorders>
            <w:shd w:val="clear" w:color="auto" w:fill="D5E2F1"/>
            <w:noWrap/>
            <w:vAlign w:val="bottom"/>
            <w:hideMark/>
          </w:tcPr>
          <w:p w14:paraId="591B1E85"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19" w:type="dxa"/>
            <w:tcBorders>
              <w:top w:val="nil"/>
              <w:left w:val="nil"/>
              <w:bottom w:val="nil"/>
              <w:right w:val="nil"/>
            </w:tcBorders>
            <w:shd w:val="clear" w:color="auto" w:fill="D5E2F1"/>
            <w:noWrap/>
            <w:vAlign w:val="center"/>
            <w:hideMark/>
          </w:tcPr>
          <w:p w14:paraId="006EB3EE" w14:textId="6092B1A0"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504D8F" w:rsidRPr="00601C60">
              <w:rPr>
                <w:rFonts w:asciiTheme="majorHAnsi" w:eastAsia="Times New Roman" w:hAnsiTheme="majorHAnsi" w:cstheme="majorHAnsi"/>
                <w:color w:val="000000"/>
                <w:sz w:val="16"/>
                <w:szCs w:val="16"/>
                <w:lang w:eastAsia="en-AU"/>
              </w:rPr>
              <w:t>0.0</w:t>
            </w:r>
            <w:r w:rsidR="00DC1531" w:rsidRPr="00601C60">
              <w:rPr>
                <w:rFonts w:asciiTheme="majorHAnsi" w:eastAsia="Times New Roman" w:hAnsiTheme="majorHAnsi" w:cstheme="majorHAnsi"/>
                <w:color w:val="000000"/>
                <w:sz w:val="16"/>
                <w:szCs w:val="16"/>
                <w:lang w:eastAsia="en-AU"/>
              </w:rPr>
              <w:t>3</w:t>
            </w:r>
            <w:r w:rsidR="00BD4AB6" w:rsidRPr="00601C60">
              <w:rPr>
                <w:rFonts w:asciiTheme="majorHAnsi" w:eastAsia="Times New Roman" w:hAnsiTheme="majorHAnsi" w:cstheme="majorHAnsi"/>
                <w:color w:val="000000"/>
                <w:sz w:val="16"/>
                <w:szCs w:val="16"/>
                <w:lang w:eastAsia="en-AU"/>
              </w:rPr>
              <w:t>1</w:t>
            </w:r>
            <w:r w:rsidR="00504D8F" w:rsidRPr="00601C60">
              <w:rPr>
                <w:rFonts w:asciiTheme="majorHAnsi" w:eastAsia="Times New Roman" w:hAnsiTheme="majorHAnsi" w:cstheme="majorHAnsi"/>
                <w:color w:val="000000"/>
                <w:sz w:val="16"/>
                <w:szCs w:val="16"/>
                <w:lang w:eastAsia="en-AU"/>
              </w:rPr>
              <w:t>***</w:t>
            </w:r>
          </w:p>
        </w:tc>
        <w:tc>
          <w:tcPr>
            <w:tcW w:w="994" w:type="dxa"/>
            <w:tcBorders>
              <w:top w:val="nil"/>
              <w:left w:val="nil"/>
              <w:bottom w:val="nil"/>
              <w:right w:val="nil"/>
            </w:tcBorders>
            <w:shd w:val="clear" w:color="auto" w:fill="D5E2F1"/>
            <w:noWrap/>
            <w:vAlign w:val="bottom"/>
            <w:hideMark/>
          </w:tcPr>
          <w:p w14:paraId="31F95C3F"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019" w:type="dxa"/>
            <w:tcBorders>
              <w:top w:val="nil"/>
              <w:left w:val="nil"/>
              <w:bottom w:val="nil"/>
              <w:right w:val="nil"/>
            </w:tcBorders>
            <w:shd w:val="clear" w:color="auto" w:fill="D5E2F1"/>
            <w:noWrap/>
            <w:vAlign w:val="center"/>
            <w:hideMark/>
          </w:tcPr>
          <w:p w14:paraId="4654ABDD" w14:textId="1E1D5123" w:rsidR="00504D8F"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504D8F" w:rsidRPr="00601C60">
              <w:rPr>
                <w:rFonts w:asciiTheme="majorHAnsi" w:eastAsia="Times New Roman" w:hAnsiTheme="majorHAnsi" w:cstheme="majorHAnsi"/>
                <w:color w:val="000000"/>
                <w:sz w:val="16"/>
                <w:szCs w:val="16"/>
                <w:lang w:eastAsia="en-AU"/>
              </w:rPr>
              <w:t>0.0</w:t>
            </w:r>
            <w:r w:rsidR="00DC1531" w:rsidRPr="00601C60">
              <w:rPr>
                <w:rFonts w:asciiTheme="majorHAnsi" w:eastAsia="Times New Roman" w:hAnsiTheme="majorHAnsi" w:cstheme="majorHAnsi"/>
                <w:color w:val="000000"/>
                <w:sz w:val="16"/>
                <w:szCs w:val="16"/>
                <w:lang w:eastAsia="en-AU"/>
              </w:rPr>
              <w:t>4</w:t>
            </w:r>
            <w:r w:rsidR="00BD4AB6" w:rsidRPr="00601C60">
              <w:rPr>
                <w:rFonts w:asciiTheme="majorHAnsi" w:eastAsia="Times New Roman" w:hAnsiTheme="majorHAnsi" w:cstheme="majorHAnsi"/>
                <w:color w:val="000000"/>
                <w:sz w:val="16"/>
                <w:szCs w:val="16"/>
                <w:lang w:eastAsia="en-AU"/>
              </w:rPr>
              <w:t>1</w:t>
            </w:r>
            <w:r w:rsidR="00504D8F" w:rsidRPr="00601C60">
              <w:rPr>
                <w:rFonts w:asciiTheme="majorHAnsi" w:eastAsia="Times New Roman" w:hAnsiTheme="majorHAnsi" w:cstheme="majorHAnsi"/>
                <w:color w:val="000000"/>
                <w:sz w:val="16"/>
                <w:szCs w:val="16"/>
                <w:lang w:eastAsia="en-AU"/>
              </w:rPr>
              <w:t>***</w:t>
            </w:r>
          </w:p>
        </w:tc>
      </w:tr>
      <w:tr w:rsidR="00504D8F" w:rsidRPr="00601C60" w14:paraId="63C2CBEE" w14:textId="77777777" w:rsidTr="000B40A3">
        <w:trPr>
          <w:trHeight w:val="300"/>
          <w:jc w:val="center"/>
        </w:trPr>
        <w:tc>
          <w:tcPr>
            <w:tcW w:w="3251" w:type="dxa"/>
            <w:tcBorders>
              <w:top w:val="nil"/>
              <w:left w:val="nil"/>
              <w:bottom w:val="nil"/>
              <w:right w:val="nil"/>
            </w:tcBorders>
            <w:shd w:val="clear" w:color="auto" w:fill="auto"/>
            <w:noWrap/>
            <w:vAlign w:val="bottom"/>
            <w:hideMark/>
          </w:tcPr>
          <w:p w14:paraId="1BDC98F5" w14:textId="77777777" w:rsidR="00504D8F" w:rsidRPr="00601C60" w:rsidRDefault="00504D8F" w:rsidP="008A5C91">
            <w:pPr>
              <w:pStyle w:val="TableColumnHeadingBase"/>
            </w:pPr>
          </w:p>
        </w:tc>
        <w:tc>
          <w:tcPr>
            <w:tcW w:w="995" w:type="dxa"/>
            <w:tcBorders>
              <w:top w:val="nil"/>
              <w:left w:val="nil"/>
              <w:bottom w:val="nil"/>
              <w:right w:val="nil"/>
            </w:tcBorders>
            <w:shd w:val="clear" w:color="auto" w:fill="auto"/>
            <w:noWrap/>
            <w:vAlign w:val="center"/>
            <w:hideMark/>
          </w:tcPr>
          <w:p w14:paraId="78E49DFB"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55" w:type="dxa"/>
            <w:tcBorders>
              <w:top w:val="nil"/>
              <w:left w:val="nil"/>
              <w:bottom w:val="nil"/>
              <w:right w:val="nil"/>
            </w:tcBorders>
            <w:shd w:val="clear" w:color="auto" w:fill="auto"/>
            <w:noWrap/>
            <w:vAlign w:val="center"/>
            <w:hideMark/>
          </w:tcPr>
          <w:p w14:paraId="758DA21D" w14:textId="0681322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BD4AB6" w:rsidRPr="00601C60">
              <w:rPr>
                <w:rFonts w:asciiTheme="majorHAnsi" w:eastAsia="Times New Roman" w:hAnsiTheme="majorHAnsi" w:cstheme="majorHAnsi"/>
                <w:color w:val="000000"/>
                <w:sz w:val="16"/>
                <w:szCs w:val="16"/>
                <w:lang w:eastAsia="en-AU"/>
              </w:rPr>
              <w:t>4</w:t>
            </w:r>
            <w:r w:rsidRPr="00601C60">
              <w:rPr>
                <w:rFonts w:asciiTheme="majorHAnsi" w:eastAsia="Times New Roman" w:hAnsiTheme="majorHAnsi" w:cstheme="majorHAnsi"/>
                <w:color w:val="000000"/>
                <w:sz w:val="16"/>
                <w:szCs w:val="16"/>
                <w:lang w:eastAsia="en-AU"/>
              </w:rPr>
              <w:t>)</w:t>
            </w:r>
          </w:p>
        </w:tc>
        <w:tc>
          <w:tcPr>
            <w:tcW w:w="965" w:type="dxa"/>
            <w:tcBorders>
              <w:top w:val="nil"/>
              <w:left w:val="nil"/>
              <w:bottom w:val="nil"/>
              <w:right w:val="nil"/>
            </w:tcBorders>
            <w:shd w:val="clear" w:color="auto" w:fill="auto"/>
            <w:noWrap/>
            <w:vAlign w:val="center"/>
            <w:hideMark/>
          </w:tcPr>
          <w:p w14:paraId="55911D28"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19" w:type="dxa"/>
            <w:tcBorders>
              <w:top w:val="nil"/>
              <w:left w:val="nil"/>
              <w:bottom w:val="nil"/>
              <w:right w:val="nil"/>
            </w:tcBorders>
            <w:shd w:val="clear" w:color="auto" w:fill="auto"/>
            <w:noWrap/>
            <w:vAlign w:val="center"/>
            <w:hideMark/>
          </w:tcPr>
          <w:p w14:paraId="3B1873A7" w14:textId="3D6626A1"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(0.007)</w:t>
            </w:r>
          </w:p>
        </w:tc>
        <w:tc>
          <w:tcPr>
            <w:tcW w:w="994" w:type="dxa"/>
            <w:tcBorders>
              <w:top w:val="nil"/>
              <w:left w:val="nil"/>
              <w:bottom w:val="nil"/>
              <w:right w:val="nil"/>
            </w:tcBorders>
            <w:shd w:val="clear" w:color="auto" w:fill="auto"/>
            <w:noWrap/>
            <w:vAlign w:val="center"/>
            <w:hideMark/>
          </w:tcPr>
          <w:p w14:paraId="3419ABA1"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p>
        </w:tc>
        <w:tc>
          <w:tcPr>
            <w:tcW w:w="1019" w:type="dxa"/>
            <w:tcBorders>
              <w:top w:val="nil"/>
              <w:left w:val="nil"/>
              <w:bottom w:val="nil"/>
              <w:right w:val="nil"/>
            </w:tcBorders>
            <w:shd w:val="clear" w:color="auto" w:fill="auto"/>
            <w:noWrap/>
            <w:vAlign w:val="center"/>
            <w:hideMark/>
          </w:tcPr>
          <w:p w14:paraId="57DA10C9" w14:textId="0609EB1E"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(0.004)</w:t>
            </w:r>
          </w:p>
        </w:tc>
      </w:tr>
      <w:tr w:rsidR="00504D8F" w:rsidRPr="00601C60" w14:paraId="6461847E" w14:textId="77777777" w:rsidTr="000B40A3">
        <w:trPr>
          <w:trHeight w:val="300"/>
          <w:jc w:val="center"/>
        </w:trPr>
        <w:tc>
          <w:tcPr>
            <w:tcW w:w="3251" w:type="dxa"/>
            <w:tcBorders>
              <w:top w:val="dotted" w:sz="4" w:space="0" w:color="auto"/>
              <w:left w:val="nil"/>
              <w:bottom w:val="nil"/>
              <w:right w:val="nil"/>
            </w:tcBorders>
            <w:shd w:val="clear" w:color="auto" w:fill="D5E2F1"/>
            <w:noWrap/>
            <w:vAlign w:val="center"/>
            <w:hideMark/>
          </w:tcPr>
          <w:p w14:paraId="43164C4B" w14:textId="55E60EFC" w:rsidR="00504D8F" w:rsidRPr="00601C60" w:rsidRDefault="00504D8F" w:rsidP="008A5C91">
            <w:pPr>
              <w:pStyle w:val="TableColumnHeadingBase"/>
            </w:pPr>
            <w:r w:rsidRPr="00601C60">
              <w:t>Industry</w:t>
            </w:r>
            <w:r w:rsidR="00AA5B97">
              <w:noBreakHyphen/>
            </w:r>
            <w:r w:rsidR="008A5C91">
              <w:t>y</w:t>
            </w:r>
            <w:r w:rsidRPr="00601C60">
              <w:t xml:space="preserve">ear </w:t>
            </w:r>
            <w:r w:rsidR="008A5C91">
              <w:t>f</w:t>
            </w:r>
            <w:r w:rsidRPr="00601C60">
              <w:t xml:space="preserve">ixed </w:t>
            </w:r>
            <w:r w:rsidR="008A5C91">
              <w:t>e</w:t>
            </w:r>
            <w:r w:rsidRPr="00601C60">
              <w:t>ffects</w:t>
            </w:r>
          </w:p>
        </w:tc>
        <w:tc>
          <w:tcPr>
            <w:tcW w:w="995" w:type="dxa"/>
            <w:tcBorders>
              <w:top w:val="dotted" w:sz="4" w:space="0" w:color="auto"/>
              <w:left w:val="nil"/>
              <w:bottom w:val="nil"/>
              <w:right w:val="nil"/>
            </w:tcBorders>
            <w:shd w:val="clear" w:color="auto" w:fill="D5E2F1"/>
            <w:noWrap/>
            <w:vAlign w:val="center"/>
            <w:hideMark/>
          </w:tcPr>
          <w:p w14:paraId="4979A320"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1055" w:type="dxa"/>
            <w:tcBorders>
              <w:top w:val="dotted" w:sz="4" w:space="0" w:color="auto"/>
              <w:left w:val="nil"/>
              <w:bottom w:val="nil"/>
              <w:right w:val="nil"/>
            </w:tcBorders>
            <w:shd w:val="clear" w:color="auto" w:fill="D5E2F1"/>
            <w:noWrap/>
            <w:vAlign w:val="center"/>
            <w:hideMark/>
          </w:tcPr>
          <w:p w14:paraId="5A73E036"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965" w:type="dxa"/>
            <w:tcBorders>
              <w:top w:val="dotted" w:sz="4" w:space="0" w:color="auto"/>
              <w:left w:val="nil"/>
              <w:bottom w:val="nil"/>
              <w:right w:val="nil"/>
            </w:tcBorders>
            <w:shd w:val="clear" w:color="auto" w:fill="D5E2F1"/>
            <w:noWrap/>
            <w:vAlign w:val="center"/>
            <w:hideMark/>
          </w:tcPr>
          <w:p w14:paraId="2A6D4C70"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1019" w:type="dxa"/>
            <w:tcBorders>
              <w:top w:val="dotted" w:sz="4" w:space="0" w:color="auto"/>
              <w:left w:val="nil"/>
              <w:bottom w:val="nil"/>
              <w:right w:val="nil"/>
            </w:tcBorders>
            <w:shd w:val="clear" w:color="auto" w:fill="D5E2F1"/>
            <w:noWrap/>
            <w:vAlign w:val="center"/>
            <w:hideMark/>
          </w:tcPr>
          <w:p w14:paraId="3E1A2FD7"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994" w:type="dxa"/>
            <w:tcBorders>
              <w:top w:val="dotted" w:sz="4" w:space="0" w:color="auto"/>
              <w:left w:val="nil"/>
              <w:bottom w:val="nil"/>
              <w:right w:val="nil"/>
            </w:tcBorders>
            <w:shd w:val="clear" w:color="auto" w:fill="D5E2F1"/>
            <w:noWrap/>
            <w:vAlign w:val="center"/>
            <w:hideMark/>
          </w:tcPr>
          <w:p w14:paraId="0DAA2C11"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1019" w:type="dxa"/>
            <w:tcBorders>
              <w:top w:val="dotted" w:sz="4" w:space="0" w:color="auto"/>
              <w:left w:val="nil"/>
              <w:bottom w:val="nil"/>
              <w:right w:val="nil"/>
            </w:tcBorders>
            <w:shd w:val="clear" w:color="auto" w:fill="D5E2F1"/>
            <w:noWrap/>
            <w:vAlign w:val="center"/>
            <w:hideMark/>
          </w:tcPr>
          <w:p w14:paraId="54693D4D"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r>
      <w:tr w:rsidR="00504D8F" w:rsidRPr="00601C60" w14:paraId="78DD070B" w14:textId="77777777" w:rsidTr="000B40A3">
        <w:trPr>
          <w:trHeight w:val="300"/>
          <w:jc w:val="center"/>
        </w:trPr>
        <w:tc>
          <w:tcPr>
            <w:tcW w:w="3251" w:type="dxa"/>
            <w:tcBorders>
              <w:top w:val="nil"/>
              <w:left w:val="nil"/>
              <w:bottom w:val="nil"/>
              <w:right w:val="nil"/>
            </w:tcBorders>
            <w:shd w:val="clear" w:color="auto" w:fill="auto"/>
            <w:noWrap/>
            <w:vAlign w:val="center"/>
            <w:hideMark/>
          </w:tcPr>
          <w:p w14:paraId="0C24C798" w14:textId="51C3030A" w:rsidR="00504D8F" w:rsidRPr="00601C60" w:rsidRDefault="00504D8F" w:rsidP="008A5C91">
            <w:pPr>
              <w:pStyle w:val="TableColumnHeadingBase"/>
            </w:pPr>
            <w:r w:rsidRPr="00601C60">
              <w:t xml:space="preserve">Firm </w:t>
            </w:r>
            <w:r w:rsidR="008A5C91">
              <w:t>a</w:t>
            </w:r>
            <w:r w:rsidRPr="00601C60">
              <w:t xml:space="preserve">ge and </w:t>
            </w:r>
            <w:r w:rsidR="008A5C91">
              <w:t>s</w:t>
            </w:r>
            <w:r w:rsidRPr="00601C60">
              <w:t xml:space="preserve">ize </w:t>
            </w:r>
            <w:r w:rsidR="00AE0CC0">
              <w:t>c</w:t>
            </w:r>
            <w:r w:rsidRPr="00601C60">
              <w:t>ontrols</w:t>
            </w:r>
          </w:p>
        </w:tc>
        <w:tc>
          <w:tcPr>
            <w:tcW w:w="995" w:type="dxa"/>
            <w:tcBorders>
              <w:top w:val="nil"/>
              <w:left w:val="nil"/>
              <w:bottom w:val="nil"/>
              <w:right w:val="nil"/>
            </w:tcBorders>
            <w:shd w:val="clear" w:color="auto" w:fill="auto"/>
            <w:noWrap/>
            <w:vAlign w:val="center"/>
            <w:hideMark/>
          </w:tcPr>
          <w:p w14:paraId="7A09C252"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1055" w:type="dxa"/>
            <w:tcBorders>
              <w:top w:val="nil"/>
              <w:left w:val="nil"/>
              <w:bottom w:val="nil"/>
              <w:right w:val="nil"/>
            </w:tcBorders>
            <w:shd w:val="clear" w:color="auto" w:fill="auto"/>
            <w:noWrap/>
            <w:vAlign w:val="center"/>
            <w:hideMark/>
          </w:tcPr>
          <w:p w14:paraId="6370B527"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965" w:type="dxa"/>
            <w:tcBorders>
              <w:top w:val="nil"/>
              <w:left w:val="nil"/>
              <w:bottom w:val="nil"/>
              <w:right w:val="nil"/>
            </w:tcBorders>
            <w:shd w:val="clear" w:color="auto" w:fill="auto"/>
            <w:noWrap/>
            <w:vAlign w:val="center"/>
            <w:hideMark/>
          </w:tcPr>
          <w:p w14:paraId="75E292A0"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1019" w:type="dxa"/>
            <w:tcBorders>
              <w:top w:val="nil"/>
              <w:left w:val="nil"/>
              <w:bottom w:val="nil"/>
              <w:right w:val="nil"/>
            </w:tcBorders>
            <w:shd w:val="clear" w:color="auto" w:fill="auto"/>
            <w:noWrap/>
            <w:vAlign w:val="center"/>
            <w:hideMark/>
          </w:tcPr>
          <w:p w14:paraId="101FEED3"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994" w:type="dxa"/>
            <w:tcBorders>
              <w:top w:val="nil"/>
              <w:left w:val="nil"/>
              <w:bottom w:val="nil"/>
              <w:right w:val="nil"/>
            </w:tcBorders>
            <w:shd w:val="clear" w:color="auto" w:fill="auto"/>
            <w:noWrap/>
            <w:vAlign w:val="center"/>
            <w:hideMark/>
          </w:tcPr>
          <w:p w14:paraId="3419E14E"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1019" w:type="dxa"/>
            <w:tcBorders>
              <w:top w:val="nil"/>
              <w:left w:val="nil"/>
              <w:bottom w:val="nil"/>
              <w:right w:val="nil"/>
            </w:tcBorders>
            <w:shd w:val="clear" w:color="auto" w:fill="auto"/>
            <w:noWrap/>
            <w:vAlign w:val="center"/>
            <w:hideMark/>
          </w:tcPr>
          <w:p w14:paraId="5FE54034" w14:textId="77777777"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r>
      <w:tr w:rsidR="00504D8F" w:rsidRPr="00601C60" w14:paraId="1576D5B7" w14:textId="77777777" w:rsidTr="000B40A3">
        <w:trPr>
          <w:trHeight w:val="300"/>
          <w:jc w:val="center"/>
        </w:trPr>
        <w:tc>
          <w:tcPr>
            <w:tcW w:w="3251" w:type="dxa"/>
            <w:tcBorders>
              <w:top w:val="nil"/>
              <w:left w:val="nil"/>
              <w:bottom w:val="nil"/>
              <w:right w:val="nil"/>
            </w:tcBorders>
            <w:shd w:val="clear" w:color="auto" w:fill="D5E2F1"/>
            <w:noWrap/>
            <w:vAlign w:val="center"/>
            <w:hideMark/>
          </w:tcPr>
          <w:p w14:paraId="52643060" w14:textId="3E9DCDCA" w:rsidR="00504D8F" w:rsidRPr="00601C60" w:rsidRDefault="00504D8F" w:rsidP="008A5C91">
            <w:pPr>
              <w:pStyle w:val="TableColumnHeadingBase"/>
            </w:pPr>
            <w:r w:rsidRPr="00601C60">
              <w:t>R</w:t>
            </w:r>
            <w:r w:rsidR="00AA5B97">
              <w:noBreakHyphen/>
            </w:r>
            <w:r w:rsidRPr="00601C60">
              <w:t>squared</w:t>
            </w:r>
          </w:p>
        </w:tc>
        <w:tc>
          <w:tcPr>
            <w:tcW w:w="995" w:type="dxa"/>
            <w:tcBorders>
              <w:top w:val="nil"/>
              <w:left w:val="nil"/>
              <w:bottom w:val="nil"/>
              <w:right w:val="nil"/>
            </w:tcBorders>
            <w:shd w:val="clear" w:color="auto" w:fill="D5E2F1"/>
            <w:noWrap/>
            <w:vAlign w:val="center"/>
            <w:hideMark/>
          </w:tcPr>
          <w:p w14:paraId="68A0A49F" w14:textId="34594C47" w:rsidR="00504D8F" w:rsidRPr="00601C60" w:rsidRDefault="00DC1531"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0.209</w:t>
            </w:r>
          </w:p>
        </w:tc>
        <w:tc>
          <w:tcPr>
            <w:tcW w:w="1055" w:type="dxa"/>
            <w:tcBorders>
              <w:top w:val="nil"/>
              <w:left w:val="nil"/>
              <w:bottom w:val="nil"/>
              <w:right w:val="nil"/>
            </w:tcBorders>
            <w:shd w:val="clear" w:color="auto" w:fill="D5E2F1"/>
            <w:noWrap/>
            <w:vAlign w:val="center"/>
            <w:hideMark/>
          </w:tcPr>
          <w:p w14:paraId="75D8481E" w14:textId="20E4DE25"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w:t>
            </w:r>
            <w:r w:rsidR="00DC1531" w:rsidRPr="00601C60">
              <w:rPr>
                <w:rFonts w:asciiTheme="majorHAnsi" w:eastAsia="Times New Roman" w:hAnsiTheme="majorHAnsi" w:cstheme="majorHAnsi"/>
                <w:color w:val="000000"/>
                <w:sz w:val="16"/>
                <w:szCs w:val="16"/>
                <w:lang w:eastAsia="en-AU"/>
              </w:rPr>
              <w:t>09</w:t>
            </w:r>
          </w:p>
        </w:tc>
        <w:tc>
          <w:tcPr>
            <w:tcW w:w="965" w:type="dxa"/>
            <w:tcBorders>
              <w:top w:val="nil"/>
              <w:left w:val="nil"/>
              <w:bottom w:val="nil"/>
              <w:right w:val="nil"/>
            </w:tcBorders>
            <w:shd w:val="clear" w:color="auto" w:fill="D5E2F1"/>
            <w:noWrap/>
            <w:vAlign w:val="center"/>
            <w:hideMark/>
          </w:tcPr>
          <w:p w14:paraId="0553975F" w14:textId="4B29C5BD"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0.23</w:t>
            </w:r>
            <w:r w:rsidR="00DC1531" w:rsidRPr="00601C60">
              <w:rPr>
                <w:rFonts w:asciiTheme="majorHAnsi" w:eastAsia="Times New Roman" w:hAnsiTheme="majorHAnsi" w:cstheme="majorHAnsi"/>
                <w:color w:val="000000"/>
                <w:sz w:val="16"/>
                <w:szCs w:val="16"/>
                <w:lang w:eastAsia="en-AU"/>
              </w:rPr>
              <w:t>0</w:t>
            </w:r>
          </w:p>
        </w:tc>
        <w:tc>
          <w:tcPr>
            <w:tcW w:w="1019" w:type="dxa"/>
            <w:tcBorders>
              <w:top w:val="nil"/>
              <w:left w:val="nil"/>
              <w:bottom w:val="nil"/>
              <w:right w:val="nil"/>
            </w:tcBorders>
            <w:shd w:val="clear" w:color="auto" w:fill="D5E2F1"/>
            <w:noWrap/>
            <w:vAlign w:val="center"/>
            <w:hideMark/>
          </w:tcPr>
          <w:p w14:paraId="72E2BD59" w14:textId="41A49496"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w:t>
            </w:r>
            <w:r w:rsidR="00BD4AB6" w:rsidRPr="00601C60">
              <w:rPr>
                <w:rFonts w:asciiTheme="majorHAnsi" w:eastAsia="Times New Roman" w:hAnsiTheme="majorHAnsi" w:cstheme="majorHAnsi"/>
                <w:color w:val="000000"/>
                <w:sz w:val="16"/>
                <w:szCs w:val="16"/>
                <w:lang w:eastAsia="en-AU"/>
              </w:rPr>
              <w:t>30</w:t>
            </w:r>
          </w:p>
        </w:tc>
        <w:tc>
          <w:tcPr>
            <w:tcW w:w="994" w:type="dxa"/>
            <w:tcBorders>
              <w:top w:val="nil"/>
              <w:left w:val="nil"/>
              <w:bottom w:val="nil"/>
              <w:right w:val="nil"/>
            </w:tcBorders>
            <w:shd w:val="clear" w:color="auto" w:fill="D5E2F1"/>
            <w:noWrap/>
            <w:vAlign w:val="center"/>
            <w:hideMark/>
          </w:tcPr>
          <w:p w14:paraId="7F86F51E" w14:textId="6F1C6B79"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0.20</w:t>
            </w:r>
            <w:r w:rsidR="00DC1531" w:rsidRPr="00601C60">
              <w:rPr>
                <w:rFonts w:asciiTheme="majorHAnsi" w:eastAsia="Times New Roman" w:hAnsiTheme="majorHAnsi" w:cstheme="majorHAnsi"/>
                <w:color w:val="000000"/>
                <w:sz w:val="16"/>
                <w:szCs w:val="16"/>
                <w:lang w:eastAsia="en-AU"/>
              </w:rPr>
              <w:t>3</w:t>
            </w:r>
          </w:p>
        </w:tc>
        <w:tc>
          <w:tcPr>
            <w:tcW w:w="1019" w:type="dxa"/>
            <w:tcBorders>
              <w:top w:val="nil"/>
              <w:left w:val="nil"/>
              <w:bottom w:val="nil"/>
              <w:right w:val="nil"/>
            </w:tcBorders>
            <w:shd w:val="clear" w:color="auto" w:fill="D5E2F1"/>
            <w:noWrap/>
            <w:vAlign w:val="center"/>
            <w:hideMark/>
          </w:tcPr>
          <w:p w14:paraId="77766E6A" w14:textId="0444FFFD"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0.20</w:t>
            </w:r>
            <w:r w:rsidR="00DC1531" w:rsidRPr="00601C60">
              <w:rPr>
                <w:rFonts w:asciiTheme="majorHAnsi" w:eastAsia="Times New Roman" w:hAnsiTheme="majorHAnsi" w:cstheme="majorHAnsi"/>
                <w:color w:val="000000"/>
                <w:sz w:val="16"/>
                <w:szCs w:val="16"/>
                <w:lang w:eastAsia="en-AU"/>
              </w:rPr>
              <w:t>3</w:t>
            </w:r>
          </w:p>
        </w:tc>
      </w:tr>
      <w:tr w:rsidR="00504D8F" w:rsidRPr="00601C60" w14:paraId="19153B6B" w14:textId="77777777" w:rsidTr="000B40A3">
        <w:trPr>
          <w:trHeight w:val="300"/>
          <w:jc w:val="center"/>
        </w:trPr>
        <w:tc>
          <w:tcPr>
            <w:tcW w:w="3251" w:type="dxa"/>
            <w:tcBorders>
              <w:top w:val="nil"/>
              <w:left w:val="nil"/>
              <w:bottom w:val="single" w:sz="4" w:space="0" w:color="auto"/>
              <w:right w:val="nil"/>
            </w:tcBorders>
            <w:shd w:val="clear" w:color="auto" w:fill="auto"/>
            <w:noWrap/>
            <w:vAlign w:val="center"/>
            <w:hideMark/>
          </w:tcPr>
          <w:p w14:paraId="0AF1950A" w14:textId="77777777" w:rsidR="00504D8F" w:rsidRPr="00601C60" w:rsidRDefault="00504D8F" w:rsidP="008A5C91">
            <w:pPr>
              <w:pStyle w:val="TableColumnHeadingBase"/>
            </w:pPr>
            <w:r w:rsidRPr="00601C60">
              <w:t>Observations</w:t>
            </w:r>
          </w:p>
        </w:tc>
        <w:tc>
          <w:tcPr>
            <w:tcW w:w="995" w:type="dxa"/>
            <w:tcBorders>
              <w:top w:val="nil"/>
              <w:left w:val="nil"/>
              <w:bottom w:val="single" w:sz="4" w:space="0" w:color="auto"/>
              <w:right w:val="nil"/>
            </w:tcBorders>
            <w:shd w:val="clear" w:color="auto" w:fill="auto"/>
            <w:noWrap/>
            <w:vAlign w:val="center"/>
            <w:hideMark/>
          </w:tcPr>
          <w:p w14:paraId="70EF6604" w14:textId="4DCFC131" w:rsidR="00504D8F" w:rsidRPr="00601C60" w:rsidRDefault="00504D8F"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w:t>
            </w:r>
            <w:r w:rsidR="00DC1531" w:rsidRPr="00601C60">
              <w:rPr>
                <w:rFonts w:asciiTheme="majorHAnsi" w:eastAsia="Times New Roman" w:hAnsiTheme="majorHAnsi" w:cstheme="majorHAnsi"/>
                <w:color w:val="000000"/>
                <w:sz w:val="16"/>
                <w:szCs w:val="16"/>
                <w:lang w:eastAsia="en-AU"/>
              </w:rPr>
              <w:t>372,576</w:t>
            </w:r>
          </w:p>
        </w:tc>
        <w:tc>
          <w:tcPr>
            <w:tcW w:w="1055" w:type="dxa"/>
            <w:tcBorders>
              <w:top w:val="nil"/>
              <w:left w:val="nil"/>
              <w:bottom w:val="single" w:sz="4" w:space="0" w:color="auto"/>
              <w:right w:val="nil"/>
            </w:tcBorders>
            <w:shd w:val="clear" w:color="auto" w:fill="auto"/>
            <w:noWrap/>
            <w:vAlign w:val="center"/>
            <w:hideMark/>
          </w:tcPr>
          <w:p w14:paraId="2B2988F0" w14:textId="494CF5E7" w:rsidR="00504D8F" w:rsidRPr="00601C60" w:rsidRDefault="00DC1531"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1,372,576</w:t>
            </w:r>
          </w:p>
        </w:tc>
        <w:tc>
          <w:tcPr>
            <w:tcW w:w="965" w:type="dxa"/>
            <w:tcBorders>
              <w:top w:val="nil"/>
              <w:left w:val="nil"/>
              <w:bottom w:val="single" w:sz="4" w:space="0" w:color="auto"/>
              <w:right w:val="nil"/>
            </w:tcBorders>
            <w:shd w:val="clear" w:color="auto" w:fill="auto"/>
            <w:noWrap/>
            <w:vAlign w:val="center"/>
            <w:hideMark/>
          </w:tcPr>
          <w:p w14:paraId="73771ECC" w14:textId="53A8407E" w:rsidR="00504D8F" w:rsidRPr="00601C60" w:rsidRDefault="00DC1531"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331,415</w:t>
            </w:r>
          </w:p>
        </w:tc>
        <w:tc>
          <w:tcPr>
            <w:tcW w:w="1019" w:type="dxa"/>
            <w:tcBorders>
              <w:top w:val="nil"/>
              <w:left w:val="nil"/>
              <w:bottom w:val="single" w:sz="4" w:space="0" w:color="auto"/>
              <w:right w:val="nil"/>
            </w:tcBorders>
            <w:shd w:val="clear" w:color="auto" w:fill="auto"/>
            <w:noWrap/>
            <w:vAlign w:val="center"/>
            <w:hideMark/>
          </w:tcPr>
          <w:p w14:paraId="3BE5807B" w14:textId="1D822ACA" w:rsidR="00504D8F" w:rsidRPr="00601C60" w:rsidRDefault="00DC1531"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331,415</w:t>
            </w:r>
          </w:p>
        </w:tc>
        <w:tc>
          <w:tcPr>
            <w:tcW w:w="994" w:type="dxa"/>
            <w:tcBorders>
              <w:top w:val="nil"/>
              <w:left w:val="nil"/>
              <w:bottom w:val="single" w:sz="4" w:space="0" w:color="auto"/>
              <w:right w:val="nil"/>
            </w:tcBorders>
            <w:shd w:val="clear" w:color="auto" w:fill="auto"/>
            <w:noWrap/>
            <w:vAlign w:val="center"/>
            <w:hideMark/>
          </w:tcPr>
          <w:p w14:paraId="6E7EB8A3" w14:textId="3D219C2B" w:rsidR="00504D8F" w:rsidRPr="00601C60" w:rsidRDefault="00DC1531"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1,041,161</w:t>
            </w:r>
          </w:p>
        </w:tc>
        <w:tc>
          <w:tcPr>
            <w:tcW w:w="1019" w:type="dxa"/>
            <w:tcBorders>
              <w:top w:val="nil"/>
              <w:left w:val="nil"/>
              <w:bottom w:val="single" w:sz="4" w:space="0" w:color="auto"/>
              <w:right w:val="nil"/>
            </w:tcBorders>
            <w:shd w:val="clear" w:color="auto" w:fill="auto"/>
            <w:noWrap/>
            <w:vAlign w:val="center"/>
            <w:hideMark/>
          </w:tcPr>
          <w:p w14:paraId="0E7E29C6" w14:textId="28422DFB" w:rsidR="00504D8F" w:rsidRPr="00601C60" w:rsidRDefault="00DC1531"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1,041,161</w:t>
            </w:r>
          </w:p>
        </w:tc>
      </w:tr>
      <w:tr w:rsidR="00504D8F" w:rsidRPr="00504D8F" w14:paraId="1B9E67A7" w14:textId="77777777" w:rsidTr="000B40A3">
        <w:trPr>
          <w:trHeight w:val="509"/>
          <w:jc w:val="center"/>
        </w:trPr>
        <w:tc>
          <w:tcPr>
            <w:tcW w:w="9298" w:type="dxa"/>
            <w:gridSpan w:val="7"/>
            <w:vMerge w:val="restart"/>
            <w:tcBorders>
              <w:top w:val="single" w:sz="4" w:space="0" w:color="auto"/>
              <w:left w:val="nil"/>
              <w:bottom w:val="nil"/>
              <w:right w:val="nil"/>
            </w:tcBorders>
            <w:shd w:val="clear" w:color="auto" w:fill="auto"/>
            <w:hideMark/>
          </w:tcPr>
          <w:p w14:paraId="5E952AF8" w14:textId="6E347D4B" w:rsidR="00504D8F" w:rsidRPr="00504D8F" w:rsidRDefault="00504D8F" w:rsidP="00504D8F">
            <w:pPr>
              <w:spacing w:after="0"/>
              <w:rPr>
                <w:rFonts w:eastAsia="Times New Roman" w:cs="Times New Roman"/>
                <w:color w:val="000000"/>
                <w:sz w:val="18"/>
                <w:szCs w:val="18"/>
                <w:lang w:eastAsia="en-AU"/>
              </w:rPr>
            </w:pPr>
            <w:r w:rsidRPr="003D0E71">
              <w:rPr>
                <w:rFonts w:eastAsia="Times New Roman" w:cs="Times New Roman"/>
                <w:color w:val="000000"/>
                <w:sz w:val="16"/>
                <w:szCs w:val="16"/>
                <w:lang w:eastAsia="en-AU"/>
              </w:rPr>
              <w:t xml:space="preserve">Notes: Column 1 displays the results for the baseline specification, where the log of firm productivity growth is modelled as a function of the log of distance from the global frontier, with controls for firm age, </w:t>
            </w:r>
            <w:proofErr w:type="gramStart"/>
            <w:r w:rsidRPr="003D0E71">
              <w:rPr>
                <w:rFonts w:eastAsia="Times New Roman" w:cs="Times New Roman"/>
                <w:color w:val="000000"/>
                <w:sz w:val="16"/>
                <w:szCs w:val="16"/>
                <w:lang w:eastAsia="en-AU"/>
              </w:rPr>
              <w:t>size</w:t>
            </w:r>
            <w:proofErr w:type="gramEnd"/>
            <w:r w:rsidRPr="003D0E71">
              <w:rPr>
                <w:rFonts w:eastAsia="Times New Roman" w:cs="Times New Roman"/>
                <w:color w:val="000000"/>
                <w:sz w:val="16"/>
                <w:szCs w:val="16"/>
                <w:lang w:eastAsia="en-AU"/>
              </w:rPr>
              <w:t xml:space="preserve"> and industry</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year. Column 2 displays the results for the baseline model with additional dummy variables for the 2005</w:t>
            </w:r>
            <w:r w:rsidR="00AA5B97">
              <w:rPr>
                <w:rFonts w:ascii="Arial" w:eastAsia="Times New Roman" w:hAnsi="Arial" w:cs="Arial"/>
                <w:color w:val="000000"/>
                <w:sz w:val="16"/>
                <w:szCs w:val="16"/>
                <w:lang w:eastAsia="en-AU"/>
              </w:rPr>
              <w:noBreakHyphen/>
            </w:r>
            <w:r w:rsidRPr="003D0E71">
              <w:rPr>
                <w:rFonts w:eastAsia="Times New Roman" w:cs="Times New Roman"/>
                <w:color w:val="000000"/>
                <w:sz w:val="16"/>
                <w:szCs w:val="16"/>
                <w:lang w:eastAsia="en-AU"/>
              </w:rPr>
              <w:t>07, 2008</w:t>
            </w:r>
            <w:r w:rsidR="00AA5B97">
              <w:rPr>
                <w:rFonts w:ascii="Arial" w:eastAsia="Times New Roman" w:hAnsi="Arial" w:cs="Arial"/>
                <w:color w:val="000000"/>
                <w:sz w:val="16"/>
                <w:szCs w:val="16"/>
                <w:lang w:eastAsia="en-AU"/>
              </w:rPr>
              <w:noBreakHyphen/>
            </w:r>
            <w:r w:rsidRPr="003D0E71">
              <w:rPr>
                <w:rFonts w:eastAsia="Times New Roman" w:cs="Times New Roman"/>
                <w:color w:val="000000"/>
                <w:sz w:val="16"/>
                <w:szCs w:val="16"/>
                <w:lang w:eastAsia="en-AU"/>
              </w:rPr>
              <w:t>10, and 2011</w:t>
            </w:r>
            <w:r w:rsidR="00AA5B97">
              <w:rPr>
                <w:rFonts w:ascii="Arial" w:eastAsia="Times New Roman" w:hAnsi="Arial" w:cs="Arial"/>
                <w:color w:val="000000"/>
                <w:sz w:val="16"/>
                <w:szCs w:val="16"/>
                <w:lang w:eastAsia="en-AU"/>
              </w:rPr>
              <w:noBreakHyphen/>
            </w:r>
            <w:r w:rsidRPr="003D0E71">
              <w:rPr>
                <w:rFonts w:eastAsia="Times New Roman" w:cs="Times New Roman"/>
                <w:color w:val="000000"/>
                <w:sz w:val="16"/>
                <w:szCs w:val="16"/>
                <w:lang w:eastAsia="en-AU"/>
              </w:rPr>
              <w:t>14 periods interacted with the distance from frontier term. Columns 3</w:t>
            </w:r>
            <w:r w:rsidR="00AA5B97">
              <w:rPr>
                <w:rFonts w:ascii="Arial" w:eastAsia="Times New Roman" w:hAnsi="Arial" w:cs="Arial"/>
                <w:color w:val="000000"/>
                <w:sz w:val="16"/>
                <w:szCs w:val="16"/>
                <w:lang w:eastAsia="en-AU"/>
              </w:rPr>
              <w:noBreakHyphen/>
            </w:r>
            <w:r w:rsidRPr="003D0E71">
              <w:rPr>
                <w:rFonts w:eastAsia="Times New Roman" w:cs="Times New Roman"/>
                <w:color w:val="000000"/>
                <w:sz w:val="16"/>
                <w:szCs w:val="16"/>
                <w:lang w:eastAsia="en-AU"/>
              </w:rPr>
              <w:t>4 and 5</w:t>
            </w:r>
            <w:r w:rsidR="00AA5B97">
              <w:rPr>
                <w:rFonts w:ascii="Arial" w:eastAsia="Times New Roman" w:hAnsi="Arial" w:cs="Arial"/>
                <w:color w:val="000000"/>
                <w:sz w:val="16"/>
                <w:szCs w:val="16"/>
                <w:lang w:eastAsia="en-AU"/>
              </w:rPr>
              <w:noBreakHyphen/>
            </w:r>
            <w:r w:rsidRPr="003D0E71">
              <w:rPr>
                <w:rFonts w:eastAsia="Times New Roman" w:cs="Times New Roman"/>
                <w:color w:val="000000"/>
                <w:sz w:val="16"/>
                <w:szCs w:val="16"/>
                <w:lang w:eastAsia="en-AU"/>
              </w:rPr>
              <w:t>6 estimate the same specification separately for the manufacturing sector (NACE codes 10</w:t>
            </w:r>
            <w:r w:rsidR="00AA5B97">
              <w:rPr>
                <w:rFonts w:ascii="Arial" w:eastAsia="Times New Roman" w:hAnsi="Arial" w:cs="Arial"/>
                <w:color w:val="000000"/>
                <w:sz w:val="16"/>
                <w:szCs w:val="16"/>
                <w:lang w:eastAsia="en-AU"/>
              </w:rPr>
              <w:noBreakHyphen/>
            </w:r>
            <w:r w:rsidRPr="003D0E71">
              <w:rPr>
                <w:rFonts w:eastAsia="Times New Roman" w:cs="Times New Roman"/>
                <w:color w:val="000000"/>
                <w:sz w:val="16"/>
                <w:szCs w:val="16"/>
                <w:lang w:eastAsia="en-AU"/>
              </w:rPr>
              <w:t>33) and the services sector (NACE codes 45</w:t>
            </w:r>
            <w:r w:rsidR="00AA5B97">
              <w:rPr>
                <w:rFonts w:ascii="Arial" w:eastAsia="Times New Roman" w:hAnsi="Arial" w:cs="Arial"/>
                <w:color w:val="000000"/>
                <w:sz w:val="16"/>
                <w:szCs w:val="16"/>
                <w:lang w:eastAsia="en-AU"/>
              </w:rPr>
              <w:noBreakHyphen/>
            </w:r>
            <w:r w:rsidRPr="003D0E71">
              <w:rPr>
                <w:rFonts w:eastAsia="Times New Roman" w:cs="Times New Roman"/>
                <w:color w:val="000000"/>
                <w:sz w:val="16"/>
                <w:szCs w:val="16"/>
                <w:lang w:eastAsia="en-AU"/>
              </w:rPr>
              <w:t>82, excluding 64</w:t>
            </w:r>
            <w:r w:rsidR="00AA5B97">
              <w:rPr>
                <w:rFonts w:ascii="Arial" w:eastAsia="Times New Roman" w:hAnsi="Arial" w:cs="Arial"/>
                <w:color w:val="000000"/>
                <w:sz w:val="16"/>
                <w:szCs w:val="16"/>
                <w:lang w:eastAsia="en-AU"/>
              </w:rPr>
              <w:noBreakHyphen/>
            </w:r>
            <w:r w:rsidRPr="003D0E71">
              <w:rPr>
                <w:rFonts w:eastAsia="Times New Roman" w:cs="Times New Roman"/>
                <w:color w:val="000000"/>
                <w:sz w:val="16"/>
                <w:szCs w:val="16"/>
                <w:lang w:eastAsia="en-AU"/>
              </w:rPr>
              <w:t>66), respectively. Standard errors are clustered at the firm</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 xml:space="preserve">level and are shown in brackets underneath each estimate. * </w:t>
            </w:r>
            <w:proofErr w:type="gramStart"/>
            <w:r w:rsidRPr="003D0E71">
              <w:rPr>
                <w:rFonts w:eastAsia="Times New Roman" w:cs="Times New Roman"/>
                <w:color w:val="000000"/>
                <w:sz w:val="16"/>
                <w:szCs w:val="16"/>
                <w:lang w:eastAsia="en-AU"/>
              </w:rPr>
              <w:t>significant</w:t>
            </w:r>
            <w:proofErr w:type="gramEnd"/>
            <w:r w:rsidRPr="003D0E71">
              <w:rPr>
                <w:rFonts w:eastAsia="Times New Roman" w:cs="Times New Roman"/>
                <w:color w:val="000000"/>
                <w:sz w:val="16"/>
                <w:szCs w:val="16"/>
                <w:lang w:eastAsia="en-AU"/>
              </w:rPr>
              <w:t xml:space="preserve"> at 10% level, ** significant at 5% level, *** significant at 1% level.</w:t>
            </w:r>
          </w:p>
        </w:tc>
      </w:tr>
      <w:tr w:rsidR="00504D8F" w:rsidRPr="00504D8F" w14:paraId="0ED20B54" w14:textId="77777777" w:rsidTr="000B40A3">
        <w:trPr>
          <w:trHeight w:val="509"/>
          <w:jc w:val="center"/>
        </w:trPr>
        <w:tc>
          <w:tcPr>
            <w:tcW w:w="9298" w:type="dxa"/>
            <w:gridSpan w:val="7"/>
            <w:vMerge/>
            <w:tcBorders>
              <w:top w:val="single" w:sz="4" w:space="0" w:color="auto"/>
              <w:left w:val="nil"/>
              <w:bottom w:val="nil"/>
              <w:right w:val="nil"/>
            </w:tcBorders>
            <w:vAlign w:val="center"/>
            <w:hideMark/>
          </w:tcPr>
          <w:p w14:paraId="26FB394D" w14:textId="77777777" w:rsidR="00504D8F" w:rsidRPr="00504D8F" w:rsidRDefault="00504D8F" w:rsidP="00504D8F">
            <w:pPr>
              <w:spacing w:after="0"/>
              <w:rPr>
                <w:rFonts w:eastAsia="Times New Roman" w:cs="Times New Roman"/>
                <w:color w:val="000000"/>
                <w:sz w:val="18"/>
                <w:szCs w:val="18"/>
                <w:lang w:eastAsia="en-AU"/>
              </w:rPr>
            </w:pPr>
          </w:p>
        </w:tc>
      </w:tr>
      <w:tr w:rsidR="00504D8F" w:rsidRPr="00504D8F" w14:paraId="1EC923DF" w14:textId="77777777" w:rsidTr="000B40A3">
        <w:trPr>
          <w:trHeight w:val="509"/>
          <w:jc w:val="center"/>
        </w:trPr>
        <w:tc>
          <w:tcPr>
            <w:tcW w:w="9298" w:type="dxa"/>
            <w:gridSpan w:val="7"/>
            <w:vMerge/>
            <w:tcBorders>
              <w:top w:val="single" w:sz="4" w:space="0" w:color="auto"/>
              <w:left w:val="nil"/>
              <w:bottom w:val="nil"/>
              <w:right w:val="nil"/>
            </w:tcBorders>
            <w:vAlign w:val="center"/>
            <w:hideMark/>
          </w:tcPr>
          <w:p w14:paraId="2B094C84" w14:textId="77777777" w:rsidR="00504D8F" w:rsidRPr="00504D8F" w:rsidRDefault="00504D8F" w:rsidP="00504D8F">
            <w:pPr>
              <w:spacing w:after="0"/>
              <w:rPr>
                <w:rFonts w:eastAsia="Times New Roman" w:cs="Times New Roman"/>
                <w:color w:val="000000"/>
                <w:sz w:val="18"/>
                <w:szCs w:val="18"/>
                <w:lang w:eastAsia="en-AU"/>
              </w:rPr>
            </w:pPr>
          </w:p>
        </w:tc>
      </w:tr>
    </w:tbl>
    <w:p w14:paraId="6FD42CA9" w14:textId="65CB532D" w:rsidR="00642134" w:rsidRDefault="00426ADC" w:rsidP="00C26278">
      <w:pPr>
        <w:jc w:val="both"/>
      </w:pPr>
      <w:r>
        <w:t xml:space="preserve">In Column 2 of Table </w:t>
      </w:r>
      <w:r w:rsidR="00CA4AC3">
        <w:t>1</w:t>
      </w:r>
      <w:r w:rsidR="00642134">
        <w:t>, we measure how this convergence speed has changed over time, interacting the distance to frontier term with dummy variables for the 2005</w:t>
      </w:r>
      <w:r w:rsidR="00AA5B97">
        <w:rPr>
          <w:rFonts w:ascii="Arial" w:eastAsia="Times New Roman" w:hAnsi="Arial" w:cs="Arial"/>
          <w:color w:val="000000"/>
          <w:sz w:val="16"/>
          <w:szCs w:val="16"/>
          <w:lang w:eastAsia="en-AU"/>
        </w:rPr>
        <w:noBreakHyphen/>
      </w:r>
      <w:r w:rsidR="00642134">
        <w:t>07, 2008</w:t>
      </w:r>
      <w:r w:rsidR="00AA5B97">
        <w:rPr>
          <w:rFonts w:ascii="Arial" w:eastAsia="Times New Roman" w:hAnsi="Arial" w:cs="Arial"/>
          <w:color w:val="000000"/>
          <w:sz w:val="16"/>
          <w:szCs w:val="16"/>
          <w:lang w:eastAsia="en-AU"/>
        </w:rPr>
        <w:noBreakHyphen/>
      </w:r>
      <w:r w:rsidR="00642134">
        <w:t>10, and 2011</w:t>
      </w:r>
      <w:r w:rsidR="00AA5B97">
        <w:rPr>
          <w:rFonts w:ascii="Arial" w:eastAsia="Times New Roman" w:hAnsi="Arial" w:cs="Arial"/>
          <w:color w:val="000000"/>
          <w:sz w:val="16"/>
          <w:szCs w:val="16"/>
          <w:lang w:eastAsia="en-AU"/>
        </w:rPr>
        <w:noBreakHyphen/>
      </w:r>
      <w:r w:rsidR="00642134">
        <w:t>1</w:t>
      </w:r>
      <w:r w:rsidR="00FF7E11">
        <w:t>6</w:t>
      </w:r>
      <w:r w:rsidR="00642134">
        <w:t xml:space="preserve"> periods. The </w:t>
      </w:r>
      <w:r w:rsidR="006312E0">
        <w:t>coefficient on the</w:t>
      </w:r>
      <w:r w:rsidR="00FF7E11">
        <w:t xml:space="preserve"> </w:t>
      </w:r>
      <w:r w:rsidR="00BF2303">
        <w:t>non</w:t>
      </w:r>
      <w:r w:rsidR="00AA5B97">
        <w:noBreakHyphen/>
      </w:r>
      <w:r w:rsidR="00BF2303">
        <w:t>interacted</w:t>
      </w:r>
      <w:r w:rsidR="006312E0">
        <w:t xml:space="preserve"> </w:t>
      </w:r>
      <w:r w:rsidR="00642134">
        <w:t xml:space="preserve">distance to frontier term in Column 2 </w:t>
      </w:r>
      <w:r w:rsidR="001A1D48">
        <w:t>can</w:t>
      </w:r>
      <w:r w:rsidR="00642134">
        <w:t xml:space="preserve"> now</w:t>
      </w:r>
      <w:r w:rsidR="00036710">
        <w:t xml:space="preserve"> be</w:t>
      </w:r>
      <w:r w:rsidR="00642134">
        <w:t xml:space="preserve"> interpreted as the convergence speed in the base period (2002</w:t>
      </w:r>
      <w:r w:rsidR="00AA5B97">
        <w:rPr>
          <w:rFonts w:ascii="Arial" w:eastAsia="Times New Roman" w:hAnsi="Arial" w:cs="Arial"/>
          <w:color w:val="000000"/>
          <w:sz w:val="16"/>
          <w:szCs w:val="16"/>
          <w:lang w:eastAsia="en-AU"/>
        </w:rPr>
        <w:noBreakHyphen/>
      </w:r>
      <w:r w:rsidR="00642134">
        <w:t>04).</w:t>
      </w:r>
      <w:r w:rsidR="006312E0">
        <w:t xml:space="preserve"> The coefficients on these dummy variables are negative and significant (except in the 2008</w:t>
      </w:r>
      <w:r w:rsidR="00AA5B97">
        <w:rPr>
          <w:rFonts w:ascii="Arial" w:eastAsia="Times New Roman" w:hAnsi="Arial" w:cs="Arial"/>
          <w:color w:val="000000"/>
          <w:sz w:val="16"/>
          <w:szCs w:val="16"/>
          <w:lang w:eastAsia="en-AU"/>
        </w:rPr>
        <w:noBreakHyphen/>
      </w:r>
      <w:r w:rsidR="006312E0">
        <w:t xml:space="preserve">10 period), which implies that the speed of convergence has slowed over the sample. Specifically, the speed of convergence estimate at the start of the sample period is </w:t>
      </w:r>
      <w:proofErr w:type="gramStart"/>
      <w:r w:rsidR="006312E0">
        <w:t xml:space="preserve">0.443, </w:t>
      </w:r>
      <w:r w:rsidR="00CA4AC3">
        <w:t>but</w:t>
      </w:r>
      <w:proofErr w:type="gramEnd"/>
      <w:r w:rsidR="006312E0">
        <w:t xml:space="preserve"> is </w:t>
      </w:r>
      <w:r w:rsidR="00CA4AC3">
        <w:t>around</w:t>
      </w:r>
      <w:r w:rsidR="00FF7E11">
        <w:t xml:space="preserve"> 9 per cent</w:t>
      </w:r>
      <w:r w:rsidR="006312E0">
        <w:t xml:space="preserve"> </w:t>
      </w:r>
      <w:r w:rsidR="00CA4AC3">
        <w:t>lower</w:t>
      </w:r>
      <w:r w:rsidR="006312E0">
        <w:t xml:space="preserve"> in the final period.</w:t>
      </w:r>
      <w:r w:rsidR="00A76B6B">
        <w:t xml:space="preserve"> This result is concerning</w:t>
      </w:r>
      <w:r w:rsidR="00BF2303">
        <w:t>,</w:t>
      </w:r>
      <w:r w:rsidR="00A76B6B">
        <w:t xml:space="preserve"> as it </w:t>
      </w:r>
      <w:r w:rsidR="00BF2303">
        <w:t xml:space="preserve">suggests that firms </w:t>
      </w:r>
      <w:r w:rsidR="00CA4AC3">
        <w:t>now adopt</w:t>
      </w:r>
      <w:r w:rsidR="00BF2303">
        <w:t xml:space="preserve"> world</w:t>
      </w:r>
      <w:r w:rsidR="00AA5B97">
        <w:noBreakHyphen/>
      </w:r>
      <w:r w:rsidR="00BF2303">
        <w:t>leading technologies and approaches</w:t>
      </w:r>
      <w:r w:rsidR="00CA4AC3">
        <w:t>, and converge to the global frontier, more slowly</w:t>
      </w:r>
      <w:r w:rsidR="00A76B6B">
        <w:t>.</w:t>
      </w:r>
      <w:r w:rsidR="00FC1887">
        <w:t xml:space="preserve"> </w:t>
      </w:r>
    </w:p>
    <w:p w14:paraId="39C2530B" w14:textId="1032EDD8" w:rsidR="00255386" w:rsidRDefault="00426ADC" w:rsidP="00C26278">
      <w:pPr>
        <w:jc w:val="both"/>
      </w:pPr>
      <w:r>
        <w:t>Columns 3</w:t>
      </w:r>
      <w:r w:rsidR="00AA5B97">
        <w:rPr>
          <w:rFonts w:ascii="Arial" w:eastAsia="Times New Roman" w:hAnsi="Arial" w:cs="Arial"/>
          <w:color w:val="000000"/>
          <w:sz w:val="16"/>
          <w:szCs w:val="16"/>
          <w:lang w:eastAsia="en-AU"/>
        </w:rPr>
        <w:noBreakHyphen/>
      </w:r>
      <w:r>
        <w:t xml:space="preserve">6 of Table </w:t>
      </w:r>
      <w:r w:rsidR="00CA4AC3">
        <w:t>1</w:t>
      </w:r>
      <w:r w:rsidR="00864DCE">
        <w:t xml:space="preserve"> show</w:t>
      </w:r>
      <w:r w:rsidR="00522A99">
        <w:t xml:space="preserve"> that, as well as having a lower baseline convergence speed,</w:t>
      </w:r>
      <w:r w:rsidR="00255386">
        <w:t xml:space="preserve"> </w:t>
      </w:r>
      <w:r w:rsidR="00522A99">
        <w:t>the services sector has seen a more pronounced convergence slowdown than the manufacturing sector</w:t>
      </w:r>
      <w:r w:rsidR="00255386">
        <w:t>. This is consistent with the pattern that emerged in Figure</w:t>
      </w:r>
      <w:r w:rsidR="004A7482">
        <w:t>s</w:t>
      </w:r>
      <w:r w:rsidR="00255386">
        <w:t xml:space="preserve"> </w:t>
      </w:r>
      <w:r w:rsidR="00F22140">
        <w:t>2</w:t>
      </w:r>
      <w:r w:rsidR="00AA5B97">
        <w:rPr>
          <w:rFonts w:ascii="Arial" w:eastAsia="Times New Roman" w:hAnsi="Arial" w:cs="Arial"/>
          <w:color w:val="000000"/>
          <w:sz w:val="16"/>
          <w:szCs w:val="16"/>
          <w:lang w:eastAsia="en-AU"/>
        </w:rPr>
        <w:noBreakHyphen/>
      </w:r>
      <w:r w:rsidR="00F22140">
        <w:t>3</w:t>
      </w:r>
      <w:r w:rsidR="00255386">
        <w:t xml:space="preserve"> in our </w:t>
      </w:r>
      <w:r w:rsidR="00340568">
        <w:t>graphical</w:t>
      </w:r>
      <w:r w:rsidR="00255386">
        <w:t xml:space="preserve"> results.</w:t>
      </w:r>
    </w:p>
    <w:p w14:paraId="4E2C7749" w14:textId="3CB5C8DB" w:rsidR="006560A5" w:rsidRDefault="006560A5" w:rsidP="00C26278">
      <w:pPr>
        <w:jc w:val="both"/>
      </w:pPr>
      <w:r>
        <w:t xml:space="preserve">The next sections examine the role of declining economic dynamism and competition in contributing to </w:t>
      </w:r>
      <w:r w:rsidR="00CA4AC3">
        <w:t>the slowdown in</w:t>
      </w:r>
      <w:r>
        <w:t xml:space="preserve"> convergence. We focus on these metrics for two broad reasons.</w:t>
      </w:r>
    </w:p>
    <w:p w14:paraId="47CAB81C" w14:textId="6597B2C7" w:rsidR="006560A5" w:rsidRDefault="006560A5" w:rsidP="00A14945">
      <w:pPr>
        <w:widowControl w:val="0"/>
        <w:jc w:val="both"/>
      </w:pPr>
      <w:r>
        <w:t>First, theory suggest</w:t>
      </w:r>
      <w:r w:rsidR="00FC1887">
        <w:t>s</w:t>
      </w:r>
      <w:r>
        <w:t xml:space="preserve"> that declining dynamism and competitive pressures could contribute to </w:t>
      </w:r>
      <w:r w:rsidR="004B104B">
        <w:t xml:space="preserve">slower </w:t>
      </w:r>
      <w:r w:rsidR="00FE4B7F">
        <w:t xml:space="preserve">diffusion of technologies and </w:t>
      </w:r>
      <w:r w:rsidR="00F75477">
        <w:t>productivity</w:t>
      </w:r>
      <w:r w:rsidR="00FE4B7F">
        <w:t xml:space="preserve"> convergence:</w:t>
      </w:r>
    </w:p>
    <w:p w14:paraId="68DF0D5D" w14:textId="6040B5C0" w:rsidR="006560A5" w:rsidRDefault="00FE4B7F" w:rsidP="00A14945">
      <w:pPr>
        <w:pStyle w:val="Bullet"/>
        <w:keepNext w:val="0"/>
        <w:widowControl w:val="0"/>
      </w:pPr>
      <w:r>
        <w:t xml:space="preserve">New firms may be more likely to </w:t>
      </w:r>
      <w:r w:rsidR="00F75477">
        <w:t xml:space="preserve">adopt and invest in newer technologies, as they have no existing </w:t>
      </w:r>
      <w:r w:rsidR="00AA5B97">
        <w:t>‘</w:t>
      </w:r>
      <w:r w:rsidR="00F75477">
        <w:t>vintage</w:t>
      </w:r>
      <w:r w:rsidR="00AA5B97">
        <w:t>’</w:t>
      </w:r>
      <w:r w:rsidR="00F75477">
        <w:t xml:space="preserve"> capital that they would need to replace. The entry of young firms can also provide an opportunity for existing firms to sell vintage capital and adopt new technologies (</w:t>
      </w:r>
      <w:r w:rsidR="00F75477" w:rsidRPr="00C80862">
        <w:t>Ma,</w:t>
      </w:r>
      <w:r w:rsidR="00461BCE">
        <w:t xml:space="preserve"> </w:t>
      </w:r>
      <w:proofErr w:type="spellStart"/>
      <w:r w:rsidR="00F75477" w:rsidRPr="00C80862">
        <w:t>Murfin</w:t>
      </w:r>
      <w:proofErr w:type="spellEnd"/>
      <w:r w:rsidR="00F75477" w:rsidRPr="00C80862">
        <w:t xml:space="preserve"> and Pratt 2021</w:t>
      </w:r>
      <w:r w:rsidR="00F75477">
        <w:t>).</w:t>
      </w:r>
      <w:r w:rsidR="00022667">
        <w:t xml:space="preserve"> Previous work has </w:t>
      </w:r>
      <w:r w:rsidR="007461FE">
        <w:t>shown</w:t>
      </w:r>
      <w:r w:rsidR="00022667">
        <w:t xml:space="preserve"> faster convergence amongst young firms (</w:t>
      </w:r>
      <w:proofErr w:type="spellStart"/>
      <w:r w:rsidR="00022667">
        <w:t>Berlingieri</w:t>
      </w:r>
      <w:proofErr w:type="spellEnd"/>
      <w:r w:rsidR="00022667">
        <w:t xml:space="preserve"> et al 2020).</w:t>
      </w:r>
    </w:p>
    <w:p w14:paraId="642A0872" w14:textId="4B736D9F" w:rsidR="00F75477" w:rsidRDefault="00F75477" w:rsidP="006560A5">
      <w:pPr>
        <w:pStyle w:val="Bullet"/>
      </w:pPr>
      <w:r>
        <w:lastRenderedPageBreak/>
        <w:t xml:space="preserve">Entry of new firms and competitive pressures on incumbents can force firms to improve or exit, though </w:t>
      </w:r>
      <w:r w:rsidR="004B104B">
        <w:t>increases in competition can</w:t>
      </w:r>
      <w:r>
        <w:t xml:space="preserve"> also lower the </w:t>
      </w:r>
      <w:r w:rsidR="006C2025">
        <w:t>returns</w:t>
      </w:r>
      <w:r>
        <w:t xml:space="preserve"> to innovation (Aghion et al 2005).</w:t>
      </w:r>
    </w:p>
    <w:p w14:paraId="345745F9" w14:textId="5E0CFCB7" w:rsidR="00F75477" w:rsidRDefault="006C2025" w:rsidP="004B104B">
      <w:pPr>
        <w:pStyle w:val="Bullet"/>
        <w:numPr>
          <w:ilvl w:val="0"/>
          <w:numId w:val="0"/>
        </w:numPr>
      </w:pPr>
      <w:r>
        <w:t>Second, empirical evidence highlights the potential role of declining dynamism and competition</w:t>
      </w:r>
      <w:r w:rsidR="004B104B">
        <w:t xml:space="preserve"> in slower convergence and technology diffusion</w:t>
      </w:r>
      <w:r>
        <w:t>:</w:t>
      </w:r>
    </w:p>
    <w:p w14:paraId="13D09998" w14:textId="72B02EAF" w:rsidR="006C2025" w:rsidRDefault="006C2025" w:rsidP="006C2025">
      <w:pPr>
        <w:pStyle w:val="Bullet"/>
      </w:pPr>
      <w:r>
        <w:t>Measures of economic dynamism and competitive pressures have declined over the same period</w:t>
      </w:r>
      <w:r w:rsidR="004B104B">
        <w:t xml:space="preserve"> that</w:t>
      </w:r>
      <w:r>
        <w:t xml:space="preserve"> convergence has slowed (Andrews and Hansell 2021; Hambur 2021).</w:t>
      </w:r>
    </w:p>
    <w:p w14:paraId="0387E6DA" w14:textId="1525F9E3" w:rsidR="006C2025" w:rsidRDefault="006C2025" w:rsidP="006C2025">
      <w:pPr>
        <w:pStyle w:val="Bullet"/>
      </w:pPr>
      <w:r>
        <w:t>Andrews et al (2019) found that convergence tended to be slower in markets with less competition</w:t>
      </w:r>
      <w:r w:rsidR="00AA5B97">
        <w:noBreakHyphen/>
      </w:r>
      <w:r>
        <w:t>friendly market regulations</w:t>
      </w:r>
      <w:r w:rsidR="007461FE">
        <w:t>, based on a</w:t>
      </w:r>
      <w:r w:rsidR="00C26278">
        <w:t xml:space="preserve"> cross</w:t>
      </w:r>
      <w:r w:rsidR="00AA5B97">
        <w:noBreakHyphen/>
      </w:r>
      <w:r w:rsidR="00C26278">
        <w:t>country study</w:t>
      </w:r>
      <w:r>
        <w:t>.</w:t>
      </w:r>
    </w:p>
    <w:p w14:paraId="6EF8AC61" w14:textId="0F1489A8" w:rsidR="008D2FDA" w:rsidRDefault="005330BB" w:rsidP="00C87EE9">
      <w:pPr>
        <w:pStyle w:val="Heading3"/>
      </w:pPr>
      <w:r>
        <w:t>5</w:t>
      </w:r>
      <w:r w:rsidR="008D2FDA">
        <w:t xml:space="preserve">.2. </w:t>
      </w:r>
      <w:r w:rsidR="00BA5B9E">
        <w:t xml:space="preserve">Business </w:t>
      </w:r>
      <w:r w:rsidR="004E00D4">
        <w:t>d</w:t>
      </w:r>
      <w:r w:rsidR="00BA5B9E">
        <w:t>ynamism</w:t>
      </w:r>
      <w:r w:rsidR="00392703">
        <w:t xml:space="preserve">, </w:t>
      </w:r>
      <w:proofErr w:type="gramStart"/>
      <w:r w:rsidR="004E00D4">
        <w:t>c</w:t>
      </w:r>
      <w:r w:rsidR="00392703">
        <w:t>ompetition</w:t>
      </w:r>
      <w:proofErr w:type="gramEnd"/>
      <w:r w:rsidR="00BA5B9E">
        <w:t xml:space="preserve"> and </w:t>
      </w:r>
      <w:r w:rsidR="004E00D4">
        <w:t>c</w:t>
      </w:r>
      <w:r w:rsidR="00BA5B9E">
        <w:t>onvergence</w:t>
      </w:r>
    </w:p>
    <w:p w14:paraId="553F1C96" w14:textId="57BC0B68" w:rsidR="003E3EF6" w:rsidRDefault="003E3EF6" w:rsidP="00C26278">
      <w:pPr>
        <w:jc w:val="both"/>
      </w:pPr>
      <w:r>
        <w:t>We construct measures of firm entry, exit and turnover by 2</w:t>
      </w:r>
      <w:r w:rsidR="00AA5B97">
        <w:noBreakHyphen/>
      </w:r>
      <w:r>
        <w:t xml:space="preserve">digit industry using </w:t>
      </w:r>
      <w:r w:rsidR="004B104B">
        <w:t>BLADE data</w:t>
      </w:r>
      <w:r w:rsidR="00086382">
        <w:t xml:space="preserve">. </w:t>
      </w:r>
      <w:r w:rsidR="006F7475">
        <w:t xml:space="preserve">Each of </w:t>
      </w:r>
      <w:r w:rsidR="007461FE">
        <w:t>measure has declined</w:t>
      </w:r>
      <w:r w:rsidR="006F7475">
        <w:t xml:space="preserve"> over </w:t>
      </w:r>
      <w:r w:rsidR="007461FE">
        <w:t>recent years</w:t>
      </w:r>
      <w:r w:rsidR="006F7475">
        <w:t xml:space="preserve">. For example, the average annual entry rate </w:t>
      </w:r>
      <w:r w:rsidR="007461FE">
        <w:t>fell</w:t>
      </w:r>
      <w:r w:rsidR="006F7475">
        <w:t xml:space="preserve"> from 14</w:t>
      </w:r>
      <w:r w:rsidR="00107C8A">
        <w:t>.5</w:t>
      </w:r>
      <w:r w:rsidR="007461FE">
        <w:t> </w:t>
      </w:r>
      <w:r w:rsidR="006C2025">
        <w:t>per cent</w:t>
      </w:r>
      <w:r w:rsidR="006F7475">
        <w:t xml:space="preserve"> to 11</w:t>
      </w:r>
      <w:r w:rsidR="00107C8A">
        <w:t>.5</w:t>
      </w:r>
      <w:r w:rsidR="006C2025">
        <w:t xml:space="preserve"> per cent</w:t>
      </w:r>
      <w:r w:rsidR="006F7475">
        <w:t xml:space="preserve"> between 200</w:t>
      </w:r>
      <w:r w:rsidR="00107C8A">
        <w:t>4</w:t>
      </w:r>
      <w:r w:rsidR="006F7475">
        <w:t xml:space="preserve"> and 201</w:t>
      </w:r>
      <w:r w:rsidR="00107C8A">
        <w:t>6</w:t>
      </w:r>
      <w:r w:rsidR="006F7475">
        <w:t xml:space="preserve">. </w:t>
      </w:r>
    </w:p>
    <w:p w14:paraId="52D6BE93" w14:textId="05898E7D" w:rsidR="00731120" w:rsidRDefault="00426ADC" w:rsidP="00C26278">
      <w:pPr>
        <w:jc w:val="both"/>
      </w:pPr>
      <w:r>
        <w:t xml:space="preserve">Table </w:t>
      </w:r>
      <w:r w:rsidR="003D0E71">
        <w:t>2</w:t>
      </w:r>
      <w:r w:rsidR="00285EFA">
        <w:t xml:space="preserve"> </w:t>
      </w:r>
      <w:r w:rsidR="00475420">
        <w:t>extends the baseline model by interacting industry</w:t>
      </w:r>
      <w:r w:rsidR="00AA5B97">
        <w:noBreakHyphen/>
      </w:r>
      <w:r w:rsidR="00475420">
        <w:t>level firm turnover</w:t>
      </w:r>
      <w:r w:rsidR="00C26278">
        <w:t>/churn</w:t>
      </w:r>
      <w:r w:rsidR="00475420">
        <w:t>, entry and exit rates with the distance to frontier variable. The results show</w:t>
      </w:r>
      <w:r w:rsidR="00285EFA">
        <w:t xml:space="preserve"> that </w:t>
      </w:r>
      <w:r w:rsidR="006278BA">
        <w:t xml:space="preserve">firms in industries with higher entry, exit and turnover rates converge more quickly </w:t>
      </w:r>
      <w:r w:rsidR="00F27E35">
        <w:t>to the global industry frontier.</w:t>
      </w:r>
      <w:r w:rsidR="000E2B80">
        <w:t xml:space="preserve"> </w:t>
      </w:r>
      <w:r w:rsidR="0003145B">
        <w:t xml:space="preserve">To give a sense of magnitudes, </w:t>
      </w:r>
      <w:r w:rsidR="008F439C">
        <w:t>firms in a low entry industry (10</w:t>
      </w:r>
      <w:r w:rsidR="00A95463" w:rsidRPr="00A95463">
        <w:t>th</w:t>
      </w:r>
      <w:r w:rsidR="008F439C">
        <w:t xml:space="preserve"> percentile of entry distribution</w:t>
      </w:r>
      <w:r w:rsidR="00A95463">
        <w:t xml:space="preserve"> </w:t>
      </w:r>
      <w:r w:rsidR="00C91E39">
        <w:rPr>
          <w:rFonts w:ascii="Arial" w:eastAsia="Times New Roman" w:hAnsi="Arial" w:cs="Arial"/>
          <w:color w:val="000000"/>
          <w:sz w:val="16"/>
          <w:szCs w:val="16"/>
          <w:lang w:eastAsia="en-AU"/>
        </w:rPr>
        <w:t>–</w:t>
      </w:r>
      <w:r w:rsidR="00A95463">
        <w:rPr>
          <w:rFonts w:ascii="Arial" w:eastAsia="Times New Roman" w:hAnsi="Arial" w:cs="Arial"/>
          <w:color w:val="000000"/>
          <w:sz w:val="16"/>
          <w:szCs w:val="16"/>
          <w:lang w:eastAsia="en-AU"/>
        </w:rPr>
        <w:t xml:space="preserve"> </w:t>
      </w:r>
      <w:r w:rsidR="00107C8A">
        <w:t>8 per cent</w:t>
      </w:r>
      <w:r w:rsidR="00C26278">
        <w:t xml:space="preserve"> entry rate</w:t>
      </w:r>
      <w:r w:rsidR="008F439C">
        <w:t xml:space="preserve">) </w:t>
      </w:r>
      <w:r w:rsidR="0003145B">
        <w:t>would have a convergence speed that was</w:t>
      </w:r>
      <w:r w:rsidR="008F439C">
        <w:t xml:space="preserve"> speed </w:t>
      </w:r>
      <w:r w:rsidR="00107C8A">
        <w:t>4.8</w:t>
      </w:r>
      <w:r w:rsidR="008F439C">
        <w:t xml:space="preserve"> percentage points</w:t>
      </w:r>
      <w:r w:rsidR="0003145B">
        <w:t>, or about 10 per cent,</w:t>
      </w:r>
      <w:r w:rsidR="008F439C">
        <w:t xml:space="preserve"> faster if </w:t>
      </w:r>
      <w:r w:rsidR="0003145B">
        <w:t>their entry rate increased to be in line with a high entry industry</w:t>
      </w:r>
      <w:r w:rsidR="008F439C">
        <w:t xml:space="preserve"> (</w:t>
      </w:r>
      <w:r w:rsidR="00107C8A">
        <w:t>9</w:t>
      </w:r>
      <w:r w:rsidR="008F439C">
        <w:t>0</w:t>
      </w:r>
      <w:r w:rsidR="008F439C" w:rsidRPr="00A95463">
        <w:t>th</w:t>
      </w:r>
      <w:r w:rsidR="004B104B">
        <w:t> </w:t>
      </w:r>
      <w:r w:rsidR="008F439C">
        <w:t>percentile of the entry distribution</w:t>
      </w:r>
      <w:r w:rsidR="00A95463">
        <w:t xml:space="preserve"> </w:t>
      </w:r>
      <w:r w:rsidR="00C91E39">
        <w:t>–</w:t>
      </w:r>
      <w:r w:rsidR="00A95463">
        <w:t xml:space="preserve"> </w:t>
      </w:r>
      <w:r w:rsidR="00107C8A">
        <w:t>16 per cent</w:t>
      </w:r>
      <w:r w:rsidR="00C26278">
        <w:t xml:space="preserve"> entry rate</w:t>
      </w:r>
      <w:r w:rsidR="008F439C">
        <w:t>).</w:t>
      </w:r>
      <w:r w:rsidR="000E250A">
        <w:t xml:space="preserve"> </w:t>
      </w:r>
    </w:p>
    <w:p w14:paraId="5B75977C" w14:textId="249165AD" w:rsidR="00CF4A07" w:rsidRPr="00504D8F" w:rsidRDefault="00CF4A07" w:rsidP="008A5C91">
      <w:pPr>
        <w:pStyle w:val="TableMainHeading"/>
        <w:rPr>
          <w:bCs/>
          <w:color w:val="000000"/>
        </w:rPr>
      </w:pPr>
      <w:r>
        <w:rPr>
          <w:noProof/>
        </w:rPr>
        <w:t xml:space="preserve">Table </w:t>
      </w:r>
      <w:r w:rsidR="003D0E71">
        <w:rPr>
          <w:noProof/>
        </w:rPr>
        <w:t>2</w:t>
      </w:r>
      <w:r w:rsidRPr="00504D8F">
        <w:rPr>
          <w:noProof/>
        </w:rPr>
        <w:t xml:space="preserve"> </w:t>
      </w:r>
      <w:r w:rsidR="005B6F33">
        <w:rPr>
          <w:noProof/>
        </w:rPr>
        <w:t>–</w:t>
      </w:r>
      <w:r>
        <w:rPr>
          <w:noProof/>
        </w:rPr>
        <w:t xml:space="preserve"> Turnover, </w:t>
      </w:r>
      <w:r w:rsidR="004E00D4">
        <w:rPr>
          <w:noProof/>
        </w:rPr>
        <w:t>e</w:t>
      </w:r>
      <w:r>
        <w:rPr>
          <w:noProof/>
        </w:rPr>
        <w:t xml:space="preserve">ntry and </w:t>
      </w:r>
      <w:r w:rsidR="004E00D4">
        <w:rPr>
          <w:noProof/>
        </w:rPr>
        <w:t>e</w:t>
      </w:r>
      <w:r>
        <w:rPr>
          <w:noProof/>
        </w:rPr>
        <w:t xml:space="preserve">xit </w:t>
      </w:r>
      <w:r w:rsidR="004E00D4">
        <w:rPr>
          <w:noProof/>
        </w:rPr>
        <w:t>m</w:t>
      </w:r>
      <w:r>
        <w:rPr>
          <w:noProof/>
        </w:rPr>
        <w:t>odel</w:t>
      </w:r>
    </w:p>
    <w:tbl>
      <w:tblPr>
        <w:tblW w:w="5152" w:type="pct"/>
        <w:tblInd w:w="93" w:type="dxa"/>
        <w:tblCellMar>
          <w:left w:w="0" w:type="dxa"/>
          <w:right w:w="28" w:type="dxa"/>
        </w:tblCellMar>
        <w:tblLook w:val="04A0" w:firstRow="1" w:lastRow="0" w:firstColumn="1" w:lastColumn="0" w:noHBand="0" w:noVBand="1"/>
      </w:tblPr>
      <w:tblGrid>
        <w:gridCol w:w="3815"/>
        <w:gridCol w:w="1062"/>
        <w:gridCol w:w="141"/>
        <w:gridCol w:w="1285"/>
        <w:gridCol w:w="566"/>
        <w:gridCol w:w="1138"/>
        <w:gridCol w:w="429"/>
        <w:gridCol w:w="1177"/>
      </w:tblGrid>
      <w:tr w:rsidR="00B1740D" w:rsidRPr="00B1740D" w14:paraId="24E0E932" w14:textId="77777777" w:rsidTr="000B40A3">
        <w:trPr>
          <w:trHeight w:val="300"/>
        </w:trPr>
        <w:tc>
          <w:tcPr>
            <w:tcW w:w="4869" w:type="dxa"/>
            <w:gridSpan w:val="2"/>
            <w:tcBorders>
              <w:top w:val="single" w:sz="4" w:space="0" w:color="auto"/>
              <w:left w:val="nil"/>
              <w:bottom w:val="nil"/>
              <w:right w:val="nil"/>
            </w:tcBorders>
            <w:shd w:val="clear" w:color="auto" w:fill="auto"/>
            <w:noWrap/>
            <w:vAlign w:val="center"/>
            <w:hideMark/>
          </w:tcPr>
          <w:p w14:paraId="505F0A49" w14:textId="77777777" w:rsidR="00B1740D" w:rsidRPr="00601C60" w:rsidRDefault="00B1740D" w:rsidP="00B1740D">
            <w:pPr>
              <w:spacing w:after="0"/>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 </w:t>
            </w:r>
          </w:p>
        </w:tc>
        <w:tc>
          <w:tcPr>
            <w:tcW w:w="1984" w:type="dxa"/>
            <w:gridSpan w:val="3"/>
            <w:tcBorders>
              <w:top w:val="single" w:sz="4" w:space="0" w:color="auto"/>
              <w:left w:val="nil"/>
              <w:bottom w:val="nil"/>
              <w:right w:val="nil"/>
            </w:tcBorders>
            <w:shd w:val="clear" w:color="auto" w:fill="auto"/>
            <w:noWrap/>
            <w:vAlign w:val="center"/>
            <w:hideMark/>
          </w:tcPr>
          <w:p w14:paraId="691A6C48" w14:textId="77777777" w:rsidR="00B1740D" w:rsidRPr="00601C60" w:rsidRDefault="00B1740D" w:rsidP="00EA7AB8">
            <w:pPr>
              <w:spacing w:after="0"/>
              <w:jc w:val="center"/>
              <w:rPr>
                <w:rFonts w:ascii="Arial" w:eastAsia="Times New Roman" w:hAnsi="Arial" w:cs="Arial"/>
                <w:i/>
                <w:iCs/>
                <w:color w:val="000000"/>
                <w:sz w:val="16"/>
                <w:szCs w:val="16"/>
                <w:lang w:eastAsia="en-AU"/>
              </w:rPr>
            </w:pPr>
            <w:r w:rsidRPr="00601C60">
              <w:rPr>
                <w:rFonts w:ascii="Arial" w:eastAsia="Times New Roman" w:hAnsi="Arial" w:cs="Arial"/>
                <w:i/>
                <w:iCs/>
                <w:color w:val="000000"/>
                <w:sz w:val="16"/>
                <w:szCs w:val="16"/>
                <w:lang w:eastAsia="en-AU"/>
              </w:rPr>
              <w:t>Turnover</w:t>
            </w:r>
          </w:p>
        </w:tc>
        <w:tc>
          <w:tcPr>
            <w:tcW w:w="1559" w:type="dxa"/>
            <w:gridSpan w:val="2"/>
            <w:tcBorders>
              <w:top w:val="single" w:sz="4" w:space="0" w:color="auto"/>
              <w:left w:val="nil"/>
              <w:bottom w:val="nil"/>
              <w:right w:val="nil"/>
            </w:tcBorders>
            <w:shd w:val="clear" w:color="auto" w:fill="auto"/>
            <w:noWrap/>
            <w:vAlign w:val="center"/>
            <w:hideMark/>
          </w:tcPr>
          <w:p w14:paraId="35B8F739" w14:textId="77777777" w:rsidR="00B1740D" w:rsidRPr="00601C60" w:rsidRDefault="00B1740D" w:rsidP="00EA7AB8">
            <w:pPr>
              <w:spacing w:after="0"/>
              <w:jc w:val="center"/>
              <w:rPr>
                <w:rFonts w:ascii="Arial" w:eastAsia="Times New Roman" w:hAnsi="Arial" w:cs="Arial"/>
                <w:i/>
                <w:iCs/>
                <w:color w:val="000000"/>
                <w:sz w:val="16"/>
                <w:szCs w:val="16"/>
                <w:lang w:eastAsia="en-AU"/>
              </w:rPr>
            </w:pPr>
            <w:r w:rsidRPr="00601C60">
              <w:rPr>
                <w:rFonts w:ascii="Arial" w:eastAsia="Times New Roman" w:hAnsi="Arial" w:cs="Arial"/>
                <w:i/>
                <w:iCs/>
                <w:color w:val="000000"/>
                <w:sz w:val="16"/>
                <w:szCs w:val="16"/>
                <w:lang w:eastAsia="en-AU"/>
              </w:rPr>
              <w:t>Entry</w:t>
            </w:r>
          </w:p>
        </w:tc>
        <w:tc>
          <w:tcPr>
            <w:tcW w:w="1169" w:type="dxa"/>
            <w:tcBorders>
              <w:top w:val="single" w:sz="4" w:space="0" w:color="auto"/>
              <w:left w:val="nil"/>
              <w:bottom w:val="nil"/>
              <w:right w:val="nil"/>
            </w:tcBorders>
            <w:shd w:val="clear" w:color="auto" w:fill="auto"/>
            <w:noWrap/>
            <w:vAlign w:val="center"/>
            <w:hideMark/>
          </w:tcPr>
          <w:p w14:paraId="13F12338" w14:textId="77777777" w:rsidR="00B1740D" w:rsidRPr="00601C60" w:rsidRDefault="00B1740D" w:rsidP="00EA7AB8">
            <w:pPr>
              <w:spacing w:after="0"/>
              <w:jc w:val="center"/>
              <w:rPr>
                <w:rFonts w:ascii="Arial" w:eastAsia="Times New Roman" w:hAnsi="Arial" w:cs="Arial"/>
                <w:i/>
                <w:iCs/>
                <w:color w:val="000000"/>
                <w:sz w:val="16"/>
                <w:szCs w:val="16"/>
                <w:lang w:eastAsia="en-AU"/>
              </w:rPr>
            </w:pPr>
            <w:r w:rsidRPr="00601C60">
              <w:rPr>
                <w:rFonts w:ascii="Arial" w:eastAsia="Times New Roman" w:hAnsi="Arial" w:cs="Arial"/>
                <w:i/>
                <w:iCs/>
                <w:color w:val="000000"/>
                <w:sz w:val="16"/>
                <w:szCs w:val="16"/>
                <w:lang w:eastAsia="en-AU"/>
              </w:rPr>
              <w:t>Exit</w:t>
            </w:r>
          </w:p>
        </w:tc>
      </w:tr>
      <w:tr w:rsidR="00B1740D" w:rsidRPr="00B1740D" w14:paraId="0AB5A47D" w14:textId="77777777" w:rsidTr="000B40A3">
        <w:trPr>
          <w:trHeight w:val="300"/>
        </w:trPr>
        <w:tc>
          <w:tcPr>
            <w:tcW w:w="5010" w:type="dxa"/>
            <w:gridSpan w:val="3"/>
            <w:tcBorders>
              <w:top w:val="nil"/>
              <w:left w:val="nil"/>
              <w:bottom w:val="single" w:sz="4" w:space="0" w:color="auto"/>
              <w:right w:val="nil"/>
            </w:tcBorders>
            <w:shd w:val="clear" w:color="auto" w:fill="auto"/>
            <w:noWrap/>
            <w:vAlign w:val="center"/>
            <w:hideMark/>
          </w:tcPr>
          <w:p w14:paraId="635EF270" w14:textId="77777777" w:rsidR="00B1740D" w:rsidRPr="00601C60" w:rsidRDefault="00B1740D" w:rsidP="00B1740D">
            <w:pPr>
              <w:spacing w:after="0"/>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 </w:t>
            </w:r>
          </w:p>
        </w:tc>
        <w:tc>
          <w:tcPr>
            <w:tcW w:w="1843" w:type="dxa"/>
            <w:gridSpan w:val="2"/>
            <w:tcBorders>
              <w:top w:val="nil"/>
              <w:left w:val="nil"/>
              <w:bottom w:val="single" w:sz="4" w:space="0" w:color="auto"/>
              <w:right w:val="nil"/>
            </w:tcBorders>
            <w:shd w:val="clear" w:color="auto" w:fill="auto"/>
            <w:noWrap/>
            <w:vAlign w:val="center"/>
            <w:hideMark/>
          </w:tcPr>
          <w:p w14:paraId="4C879345" w14:textId="77777777" w:rsidR="00B1740D" w:rsidRPr="00601C60" w:rsidRDefault="00B1740D" w:rsidP="00EA7AB8">
            <w:pPr>
              <w:spacing w:after="0"/>
              <w:jc w:val="center"/>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(1)</w:t>
            </w:r>
          </w:p>
        </w:tc>
        <w:tc>
          <w:tcPr>
            <w:tcW w:w="1559" w:type="dxa"/>
            <w:gridSpan w:val="2"/>
            <w:tcBorders>
              <w:top w:val="nil"/>
              <w:left w:val="nil"/>
              <w:bottom w:val="single" w:sz="4" w:space="0" w:color="auto"/>
              <w:right w:val="nil"/>
            </w:tcBorders>
            <w:shd w:val="clear" w:color="auto" w:fill="auto"/>
            <w:noWrap/>
            <w:vAlign w:val="center"/>
            <w:hideMark/>
          </w:tcPr>
          <w:p w14:paraId="08299D14" w14:textId="77777777" w:rsidR="00B1740D" w:rsidRPr="00601C60" w:rsidRDefault="00B1740D" w:rsidP="00EA7AB8">
            <w:pPr>
              <w:spacing w:after="0"/>
              <w:jc w:val="center"/>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(2)</w:t>
            </w:r>
          </w:p>
        </w:tc>
        <w:tc>
          <w:tcPr>
            <w:tcW w:w="1169" w:type="dxa"/>
            <w:tcBorders>
              <w:top w:val="nil"/>
              <w:left w:val="nil"/>
              <w:bottom w:val="single" w:sz="4" w:space="0" w:color="auto"/>
              <w:right w:val="nil"/>
            </w:tcBorders>
            <w:shd w:val="clear" w:color="auto" w:fill="auto"/>
            <w:noWrap/>
            <w:vAlign w:val="center"/>
            <w:hideMark/>
          </w:tcPr>
          <w:p w14:paraId="3F7BC808" w14:textId="77777777" w:rsidR="00B1740D" w:rsidRPr="00601C60" w:rsidRDefault="00B1740D" w:rsidP="00EA7AB8">
            <w:pPr>
              <w:spacing w:after="0"/>
              <w:jc w:val="center"/>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(3)</w:t>
            </w:r>
          </w:p>
        </w:tc>
      </w:tr>
      <w:tr w:rsidR="00B1740D" w:rsidRPr="00B1740D" w14:paraId="3273E2A2" w14:textId="77777777" w:rsidTr="000B40A3">
        <w:trPr>
          <w:trHeight w:val="300"/>
        </w:trPr>
        <w:tc>
          <w:tcPr>
            <w:tcW w:w="5010" w:type="dxa"/>
            <w:gridSpan w:val="3"/>
            <w:tcBorders>
              <w:top w:val="nil"/>
              <w:left w:val="nil"/>
              <w:bottom w:val="nil"/>
              <w:right w:val="nil"/>
            </w:tcBorders>
            <w:shd w:val="clear" w:color="auto" w:fill="D5E2F1"/>
            <w:noWrap/>
            <w:vAlign w:val="center"/>
            <w:hideMark/>
          </w:tcPr>
          <w:p w14:paraId="7574111F" w14:textId="720C3BA5" w:rsidR="00B1740D" w:rsidRPr="00601C60" w:rsidRDefault="00B1740D" w:rsidP="00EA7AB8">
            <w:pPr>
              <w:pStyle w:val="TableColumnHeadingBase"/>
            </w:pPr>
            <w:r w:rsidRPr="00601C60">
              <w:t xml:space="preserve">Distance </w:t>
            </w:r>
            <w:r w:rsidR="00C642AE">
              <w:t>f</w:t>
            </w:r>
            <w:r w:rsidRPr="00601C60">
              <w:t xml:space="preserve">rom </w:t>
            </w:r>
            <w:r w:rsidR="00C642AE">
              <w:t>f</w:t>
            </w:r>
            <w:r w:rsidRPr="00601C60">
              <w:t>rontier</w:t>
            </w:r>
          </w:p>
        </w:tc>
        <w:tc>
          <w:tcPr>
            <w:tcW w:w="1277" w:type="dxa"/>
            <w:tcBorders>
              <w:top w:val="nil"/>
              <w:left w:val="nil"/>
              <w:bottom w:val="nil"/>
              <w:right w:val="nil"/>
            </w:tcBorders>
            <w:shd w:val="clear" w:color="auto" w:fill="D5E2F1"/>
            <w:noWrap/>
            <w:vAlign w:val="center"/>
            <w:hideMark/>
          </w:tcPr>
          <w:p w14:paraId="00C1B792" w14:textId="36CFC0F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0.4</w:t>
            </w:r>
            <w:r w:rsidR="006E1304" w:rsidRPr="00601C60">
              <w:rPr>
                <w:rFonts w:ascii="Arial" w:eastAsia="Times New Roman" w:hAnsi="Arial" w:cs="Arial"/>
                <w:color w:val="000000"/>
                <w:sz w:val="16"/>
                <w:szCs w:val="16"/>
                <w:lang w:eastAsia="en-AU"/>
              </w:rPr>
              <w:t>18</w:t>
            </w:r>
            <w:r w:rsidRPr="00601C60">
              <w:rPr>
                <w:rFonts w:ascii="Arial" w:eastAsia="Times New Roman" w:hAnsi="Arial" w:cs="Arial"/>
                <w:color w:val="000000"/>
                <w:sz w:val="16"/>
                <w:szCs w:val="16"/>
                <w:lang w:eastAsia="en-AU"/>
              </w:rPr>
              <w:t>***</w:t>
            </w:r>
          </w:p>
        </w:tc>
        <w:tc>
          <w:tcPr>
            <w:tcW w:w="1700" w:type="dxa"/>
            <w:gridSpan w:val="2"/>
            <w:tcBorders>
              <w:top w:val="nil"/>
              <w:left w:val="nil"/>
              <w:bottom w:val="nil"/>
              <w:right w:val="nil"/>
            </w:tcBorders>
            <w:shd w:val="clear" w:color="auto" w:fill="D5E2F1"/>
            <w:noWrap/>
            <w:vAlign w:val="center"/>
            <w:hideMark/>
          </w:tcPr>
          <w:p w14:paraId="22ABFF55" w14:textId="681E9C1A"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0.4</w:t>
            </w:r>
            <w:r w:rsidR="006E1304" w:rsidRPr="00601C60">
              <w:rPr>
                <w:rFonts w:ascii="Arial" w:eastAsia="Times New Roman" w:hAnsi="Arial" w:cs="Arial"/>
                <w:color w:val="000000"/>
                <w:sz w:val="16"/>
                <w:szCs w:val="16"/>
                <w:lang w:eastAsia="en-AU"/>
              </w:rPr>
              <w:t>15</w:t>
            </w:r>
            <w:r w:rsidRPr="00601C60">
              <w:rPr>
                <w:rFonts w:ascii="Arial" w:eastAsia="Times New Roman" w:hAnsi="Arial" w:cs="Arial"/>
                <w:color w:val="000000"/>
                <w:sz w:val="16"/>
                <w:szCs w:val="16"/>
                <w:lang w:eastAsia="en-AU"/>
              </w:rPr>
              <w:t>***</w:t>
            </w:r>
          </w:p>
        </w:tc>
        <w:tc>
          <w:tcPr>
            <w:tcW w:w="1594" w:type="dxa"/>
            <w:gridSpan w:val="2"/>
            <w:tcBorders>
              <w:top w:val="nil"/>
              <w:left w:val="nil"/>
              <w:bottom w:val="nil"/>
              <w:right w:val="nil"/>
            </w:tcBorders>
            <w:shd w:val="clear" w:color="auto" w:fill="D5E2F1"/>
            <w:noWrap/>
            <w:vAlign w:val="center"/>
            <w:hideMark/>
          </w:tcPr>
          <w:p w14:paraId="3B6F2890" w14:textId="22E5379E"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0.42</w:t>
            </w:r>
            <w:r w:rsidR="00077256" w:rsidRPr="00601C60">
              <w:rPr>
                <w:rFonts w:ascii="Arial" w:eastAsia="Times New Roman" w:hAnsi="Arial" w:cs="Arial"/>
                <w:color w:val="000000"/>
                <w:sz w:val="16"/>
                <w:szCs w:val="16"/>
                <w:lang w:eastAsia="en-AU"/>
              </w:rPr>
              <w:t>3</w:t>
            </w:r>
            <w:r w:rsidRPr="00601C60">
              <w:rPr>
                <w:rFonts w:ascii="Arial" w:eastAsia="Times New Roman" w:hAnsi="Arial" w:cs="Arial"/>
                <w:color w:val="000000"/>
                <w:sz w:val="16"/>
                <w:szCs w:val="16"/>
                <w:lang w:eastAsia="en-AU"/>
              </w:rPr>
              <w:t>***</w:t>
            </w:r>
          </w:p>
        </w:tc>
      </w:tr>
      <w:tr w:rsidR="00B1740D" w:rsidRPr="00B1740D" w14:paraId="483ED1AB" w14:textId="77777777" w:rsidTr="000B40A3">
        <w:trPr>
          <w:trHeight w:val="300"/>
        </w:trPr>
        <w:tc>
          <w:tcPr>
            <w:tcW w:w="5010" w:type="dxa"/>
            <w:gridSpan w:val="3"/>
            <w:tcBorders>
              <w:top w:val="nil"/>
              <w:left w:val="nil"/>
              <w:bottom w:val="nil"/>
              <w:right w:val="nil"/>
            </w:tcBorders>
            <w:shd w:val="clear" w:color="auto" w:fill="auto"/>
            <w:noWrap/>
            <w:vAlign w:val="center"/>
            <w:hideMark/>
          </w:tcPr>
          <w:p w14:paraId="22CA3992" w14:textId="77777777" w:rsidR="00B1740D" w:rsidRPr="00601C60" w:rsidRDefault="00B1740D" w:rsidP="00EA7AB8">
            <w:pPr>
              <w:pStyle w:val="TableColumnHeadingBase"/>
            </w:pPr>
          </w:p>
        </w:tc>
        <w:tc>
          <w:tcPr>
            <w:tcW w:w="1277" w:type="dxa"/>
            <w:tcBorders>
              <w:top w:val="nil"/>
              <w:left w:val="nil"/>
              <w:bottom w:val="nil"/>
              <w:right w:val="nil"/>
            </w:tcBorders>
            <w:shd w:val="clear" w:color="auto" w:fill="auto"/>
            <w:vAlign w:val="center"/>
            <w:hideMark/>
          </w:tcPr>
          <w:p w14:paraId="430F4BEA" w14:textId="5E0E6B92" w:rsidR="00B1740D" w:rsidRPr="00601C60" w:rsidRDefault="00B1740D" w:rsidP="00601C60">
            <w:pPr>
              <w:spacing w:after="0"/>
              <w:jc w:val="right"/>
              <w:rPr>
                <w:rFonts w:ascii="Arial" w:eastAsia="Times New Roman" w:hAnsi="Arial" w:cs="Arial"/>
                <w:color w:val="auto"/>
                <w:sz w:val="16"/>
                <w:szCs w:val="16"/>
                <w:lang w:eastAsia="en-AU"/>
              </w:rPr>
            </w:pPr>
            <w:r w:rsidRPr="00601C60">
              <w:rPr>
                <w:rFonts w:ascii="Arial" w:eastAsia="Times New Roman" w:hAnsi="Arial" w:cs="Arial"/>
                <w:color w:val="auto"/>
                <w:sz w:val="16"/>
                <w:szCs w:val="16"/>
                <w:lang w:eastAsia="en-AU"/>
              </w:rPr>
              <w:t>(0.01</w:t>
            </w:r>
            <w:r w:rsidR="006E1304" w:rsidRPr="00601C60">
              <w:rPr>
                <w:rFonts w:ascii="Arial" w:eastAsia="Times New Roman" w:hAnsi="Arial" w:cs="Arial"/>
                <w:color w:val="auto"/>
                <w:sz w:val="16"/>
                <w:szCs w:val="16"/>
                <w:lang w:eastAsia="en-AU"/>
              </w:rPr>
              <w:t>1</w:t>
            </w:r>
            <w:r w:rsidRPr="00601C60">
              <w:rPr>
                <w:rFonts w:ascii="Arial" w:eastAsia="Times New Roman" w:hAnsi="Arial" w:cs="Arial"/>
                <w:color w:val="auto"/>
                <w:sz w:val="16"/>
                <w:szCs w:val="16"/>
                <w:lang w:eastAsia="en-AU"/>
              </w:rPr>
              <w:t>)</w:t>
            </w:r>
          </w:p>
        </w:tc>
        <w:tc>
          <w:tcPr>
            <w:tcW w:w="1700" w:type="dxa"/>
            <w:gridSpan w:val="2"/>
            <w:tcBorders>
              <w:top w:val="nil"/>
              <w:left w:val="nil"/>
              <w:bottom w:val="nil"/>
              <w:right w:val="nil"/>
            </w:tcBorders>
            <w:shd w:val="clear" w:color="auto" w:fill="auto"/>
            <w:vAlign w:val="center"/>
            <w:hideMark/>
          </w:tcPr>
          <w:p w14:paraId="3CE01A7D" w14:textId="1B821B7D" w:rsidR="00B1740D" w:rsidRPr="00601C60" w:rsidRDefault="00B1740D" w:rsidP="00601C60">
            <w:pPr>
              <w:spacing w:after="0"/>
              <w:jc w:val="right"/>
              <w:rPr>
                <w:rFonts w:ascii="Arial" w:eastAsia="Times New Roman" w:hAnsi="Arial" w:cs="Arial"/>
                <w:color w:val="auto"/>
                <w:sz w:val="16"/>
                <w:szCs w:val="16"/>
                <w:lang w:eastAsia="en-AU"/>
              </w:rPr>
            </w:pPr>
            <w:r w:rsidRPr="00601C60">
              <w:rPr>
                <w:rFonts w:ascii="Arial" w:eastAsia="Times New Roman" w:hAnsi="Arial" w:cs="Arial"/>
                <w:color w:val="auto"/>
                <w:sz w:val="16"/>
                <w:szCs w:val="16"/>
                <w:lang w:eastAsia="en-AU"/>
              </w:rPr>
              <w:t>(0.01</w:t>
            </w:r>
            <w:r w:rsidR="006E1304" w:rsidRPr="00601C60">
              <w:rPr>
                <w:rFonts w:ascii="Arial" w:eastAsia="Times New Roman" w:hAnsi="Arial" w:cs="Arial"/>
                <w:color w:val="auto"/>
                <w:sz w:val="16"/>
                <w:szCs w:val="16"/>
                <w:lang w:eastAsia="en-AU"/>
              </w:rPr>
              <w:t>2</w:t>
            </w:r>
            <w:r w:rsidRPr="00601C60">
              <w:rPr>
                <w:rFonts w:ascii="Arial" w:eastAsia="Times New Roman" w:hAnsi="Arial" w:cs="Arial"/>
                <w:color w:val="auto"/>
                <w:sz w:val="16"/>
                <w:szCs w:val="16"/>
                <w:lang w:eastAsia="en-AU"/>
              </w:rPr>
              <w:t>)</w:t>
            </w:r>
          </w:p>
        </w:tc>
        <w:tc>
          <w:tcPr>
            <w:tcW w:w="1594" w:type="dxa"/>
            <w:gridSpan w:val="2"/>
            <w:tcBorders>
              <w:top w:val="nil"/>
              <w:left w:val="nil"/>
              <w:bottom w:val="nil"/>
              <w:right w:val="nil"/>
            </w:tcBorders>
            <w:shd w:val="clear" w:color="auto" w:fill="auto"/>
            <w:vAlign w:val="center"/>
            <w:hideMark/>
          </w:tcPr>
          <w:p w14:paraId="7C64F603" w14:textId="2F24F996" w:rsidR="00B1740D" w:rsidRPr="00601C60" w:rsidRDefault="00B1740D" w:rsidP="00601C60">
            <w:pPr>
              <w:spacing w:after="0"/>
              <w:jc w:val="right"/>
              <w:rPr>
                <w:rFonts w:ascii="Arial" w:eastAsia="Times New Roman" w:hAnsi="Arial" w:cs="Arial"/>
                <w:color w:val="auto"/>
                <w:sz w:val="16"/>
                <w:szCs w:val="16"/>
                <w:lang w:eastAsia="en-AU"/>
              </w:rPr>
            </w:pPr>
            <w:r w:rsidRPr="00601C60">
              <w:rPr>
                <w:rFonts w:ascii="Arial" w:eastAsia="Times New Roman" w:hAnsi="Arial" w:cs="Arial"/>
                <w:color w:val="auto"/>
                <w:sz w:val="16"/>
                <w:szCs w:val="16"/>
                <w:lang w:eastAsia="en-AU"/>
              </w:rPr>
              <w:t>(0.01</w:t>
            </w:r>
            <w:r w:rsidR="006E1304" w:rsidRPr="00601C60">
              <w:rPr>
                <w:rFonts w:ascii="Arial" w:eastAsia="Times New Roman" w:hAnsi="Arial" w:cs="Arial"/>
                <w:color w:val="auto"/>
                <w:sz w:val="16"/>
                <w:szCs w:val="16"/>
                <w:lang w:eastAsia="en-AU"/>
              </w:rPr>
              <w:t>2</w:t>
            </w:r>
            <w:r w:rsidRPr="00601C60">
              <w:rPr>
                <w:rFonts w:ascii="Arial" w:eastAsia="Times New Roman" w:hAnsi="Arial" w:cs="Arial"/>
                <w:color w:val="auto"/>
                <w:sz w:val="16"/>
                <w:szCs w:val="16"/>
                <w:lang w:eastAsia="en-AU"/>
              </w:rPr>
              <w:t>)</w:t>
            </w:r>
          </w:p>
        </w:tc>
      </w:tr>
      <w:tr w:rsidR="00B1740D" w:rsidRPr="00B1740D" w14:paraId="173019F9" w14:textId="77777777" w:rsidTr="000B40A3">
        <w:trPr>
          <w:trHeight w:val="300"/>
        </w:trPr>
        <w:tc>
          <w:tcPr>
            <w:tcW w:w="5010" w:type="dxa"/>
            <w:gridSpan w:val="3"/>
            <w:tcBorders>
              <w:top w:val="nil"/>
              <w:left w:val="nil"/>
              <w:bottom w:val="nil"/>
              <w:right w:val="nil"/>
            </w:tcBorders>
            <w:shd w:val="clear" w:color="auto" w:fill="D5E2F1"/>
            <w:noWrap/>
            <w:vAlign w:val="center"/>
            <w:hideMark/>
          </w:tcPr>
          <w:p w14:paraId="2CFE5B46" w14:textId="4C8D1C4A" w:rsidR="00B1740D" w:rsidRPr="00601C60" w:rsidRDefault="00B1740D" w:rsidP="00EA7AB8">
            <w:pPr>
              <w:pStyle w:val="TableColumnHeadingBase"/>
            </w:pPr>
            <w:r w:rsidRPr="00601C60">
              <w:t xml:space="preserve">Turnover </w:t>
            </w:r>
            <w:r w:rsidR="00C642AE">
              <w:t>r</w:t>
            </w:r>
            <w:r w:rsidRPr="00601C60">
              <w:t xml:space="preserve">ate x </w:t>
            </w:r>
            <w:r w:rsidR="00C642AE">
              <w:t>d</w:t>
            </w:r>
            <w:r w:rsidRPr="00601C60">
              <w:t xml:space="preserve">istance </w:t>
            </w:r>
            <w:r w:rsidR="00C642AE">
              <w:t>f</w:t>
            </w:r>
            <w:r w:rsidRPr="00601C60">
              <w:t xml:space="preserve">rom </w:t>
            </w:r>
            <w:r w:rsidR="00C642AE">
              <w:t>f</w:t>
            </w:r>
            <w:r w:rsidRPr="00601C60">
              <w:t>rontier</w:t>
            </w:r>
          </w:p>
        </w:tc>
        <w:tc>
          <w:tcPr>
            <w:tcW w:w="1277" w:type="dxa"/>
            <w:tcBorders>
              <w:top w:val="nil"/>
              <w:left w:val="nil"/>
              <w:bottom w:val="nil"/>
              <w:right w:val="nil"/>
            </w:tcBorders>
            <w:shd w:val="clear" w:color="auto" w:fill="D5E2F1"/>
            <w:noWrap/>
            <w:vAlign w:val="bottom"/>
            <w:hideMark/>
          </w:tcPr>
          <w:p w14:paraId="35005137" w14:textId="02B52FD1"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0.0</w:t>
            </w:r>
            <w:r w:rsidR="006E1304" w:rsidRPr="00601C60">
              <w:rPr>
                <w:rFonts w:ascii="Arial" w:eastAsia="Times New Roman" w:hAnsi="Arial" w:cs="Arial"/>
                <w:color w:val="000000"/>
                <w:sz w:val="16"/>
                <w:szCs w:val="16"/>
                <w:lang w:eastAsia="en-AU"/>
              </w:rPr>
              <w:t>06</w:t>
            </w:r>
            <w:r w:rsidRPr="00601C60">
              <w:rPr>
                <w:rFonts w:ascii="Arial" w:eastAsia="Times New Roman" w:hAnsi="Arial" w:cs="Arial"/>
                <w:color w:val="000000"/>
                <w:sz w:val="16"/>
                <w:szCs w:val="16"/>
                <w:lang w:eastAsia="en-AU"/>
              </w:rPr>
              <w:t>***</w:t>
            </w:r>
          </w:p>
        </w:tc>
        <w:tc>
          <w:tcPr>
            <w:tcW w:w="1700" w:type="dxa"/>
            <w:gridSpan w:val="2"/>
            <w:tcBorders>
              <w:top w:val="nil"/>
              <w:left w:val="nil"/>
              <w:bottom w:val="nil"/>
              <w:right w:val="nil"/>
            </w:tcBorders>
            <w:shd w:val="clear" w:color="auto" w:fill="D5E2F1"/>
            <w:noWrap/>
            <w:vAlign w:val="center"/>
            <w:hideMark/>
          </w:tcPr>
          <w:p w14:paraId="68387B14"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 </w:t>
            </w:r>
          </w:p>
        </w:tc>
        <w:tc>
          <w:tcPr>
            <w:tcW w:w="1594" w:type="dxa"/>
            <w:gridSpan w:val="2"/>
            <w:tcBorders>
              <w:top w:val="nil"/>
              <w:left w:val="nil"/>
              <w:bottom w:val="nil"/>
              <w:right w:val="nil"/>
            </w:tcBorders>
            <w:shd w:val="clear" w:color="auto" w:fill="D5E2F1"/>
            <w:noWrap/>
            <w:vAlign w:val="bottom"/>
            <w:hideMark/>
          </w:tcPr>
          <w:p w14:paraId="59D68EC6"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 </w:t>
            </w:r>
          </w:p>
        </w:tc>
      </w:tr>
      <w:tr w:rsidR="00B1740D" w:rsidRPr="00B1740D" w14:paraId="449A10A1" w14:textId="77777777" w:rsidTr="000B40A3">
        <w:trPr>
          <w:trHeight w:val="300"/>
        </w:trPr>
        <w:tc>
          <w:tcPr>
            <w:tcW w:w="5010" w:type="dxa"/>
            <w:gridSpan w:val="3"/>
            <w:tcBorders>
              <w:top w:val="nil"/>
              <w:left w:val="nil"/>
              <w:bottom w:val="nil"/>
              <w:right w:val="nil"/>
            </w:tcBorders>
            <w:shd w:val="clear" w:color="auto" w:fill="auto"/>
            <w:noWrap/>
            <w:vAlign w:val="center"/>
            <w:hideMark/>
          </w:tcPr>
          <w:p w14:paraId="2B612958" w14:textId="77777777" w:rsidR="00B1740D" w:rsidRPr="00601C60" w:rsidRDefault="00B1740D" w:rsidP="00EA7AB8">
            <w:pPr>
              <w:pStyle w:val="TableColumnHeadingBase"/>
            </w:pPr>
          </w:p>
        </w:tc>
        <w:tc>
          <w:tcPr>
            <w:tcW w:w="1277" w:type="dxa"/>
            <w:tcBorders>
              <w:top w:val="nil"/>
              <w:left w:val="nil"/>
              <w:bottom w:val="nil"/>
              <w:right w:val="nil"/>
            </w:tcBorders>
            <w:shd w:val="clear" w:color="auto" w:fill="auto"/>
            <w:noWrap/>
            <w:vAlign w:val="bottom"/>
            <w:hideMark/>
          </w:tcPr>
          <w:p w14:paraId="497BDE2C" w14:textId="002BCD29"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(0.00</w:t>
            </w:r>
            <w:r w:rsidR="006E1304" w:rsidRPr="00601C60">
              <w:rPr>
                <w:rFonts w:ascii="Arial" w:eastAsia="Times New Roman" w:hAnsi="Arial" w:cs="Arial"/>
                <w:color w:val="000000"/>
                <w:sz w:val="16"/>
                <w:szCs w:val="16"/>
                <w:lang w:eastAsia="en-AU"/>
              </w:rPr>
              <w:t>1</w:t>
            </w:r>
            <w:r w:rsidRPr="00601C60">
              <w:rPr>
                <w:rFonts w:ascii="Arial" w:eastAsia="Times New Roman" w:hAnsi="Arial" w:cs="Arial"/>
                <w:color w:val="000000"/>
                <w:sz w:val="16"/>
                <w:szCs w:val="16"/>
                <w:lang w:eastAsia="en-AU"/>
              </w:rPr>
              <w:t>)</w:t>
            </w:r>
          </w:p>
        </w:tc>
        <w:tc>
          <w:tcPr>
            <w:tcW w:w="1700" w:type="dxa"/>
            <w:gridSpan w:val="2"/>
            <w:tcBorders>
              <w:top w:val="nil"/>
              <w:left w:val="nil"/>
              <w:bottom w:val="nil"/>
              <w:right w:val="nil"/>
            </w:tcBorders>
            <w:shd w:val="clear" w:color="auto" w:fill="auto"/>
            <w:noWrap/>
            <w:vAlign w:val="center"/>
            <w:hideMark/>
          </w:tcPr>
          <w:p w14:paraId="30072995" w14:textId="77777777" w:rsidR="00B1740D" w:rsidRPr="00601C60" w:rsidRDefault="00B1740D" w:rsidP="00601C60">
            <w:pPr>
              <w:spacing w:after="0"/>
              <w:jc w:val="right"/>
              <w:rPr>
                <w:rFonts w:ascii="Arial" w:eastAsia="Times New Roman" w:hAnsi="Arial" w:cs="Arial"/>
                <w:color w:val="000000"/>
                <w:sz w:val="16"/>
                <w:szCs w:val="16"/>
                <w:lang w:eastAsia="en-AU"/>
              </w:rPr>
            </w:pPr>
          </w:p>
        </w:tc>
        <w:tc>
          <w:tcPr>
            <w:tcW w:w="1594" w:type="dxa"/>
            <w:gridSpan w:val="2"/>
            <w:tcBorders>
              <w:top w:val="nil"/>
              <w:left w:val="nil"/>
              <w:bottom w:val="nil"/>
              <w:right w:val="nil"/>
            </w:tcBorders>
            <w:shd w:val="clear" w:color="auto" w:fill="auto"/>
            <w:noWrap/>
            <w:vAlign w:val="bottom"/>
            <w:hideMark/>
          </w:tcPr>
          <w:p w14:paraId="1DD30CAD" w14:textId="77777777" w:rsidR="00B1740D" w:rsidRPr="00601C60" w:rsidRDefault="00B1740D" w:rsidP="00601C60">
            <w:pPr>
              <w:spacing w:after="0"/>
              <w:jc w:val="right"/>
              <w:rPr>
                <w:rFonts w:ascii="Arial" w:eastAsia="Times New Roman" w:hAnsi="Arial" w:cs="Arial"/>
                <w:color w:val="000000"/>
                <w:sz w:val="16"/>
                <w:szCs w:val="16"/>
                <w:lang w:eastAsia="en-AU"/>
              </w:rPr>
            </w:pPr>
          </w:p>
        </w:tc>
      </w:tr>
      <w:tr w:rsidR="00B1740D" w:rsidRPr="00B1740D" w14:paraId="2CE5355D" w14:textId="77777777" w:rsidTr="000B40A3">
        <w:trPr>
          <w:trHeight w:val="300"/>
        </w:trPr>
        <w:tc>
          <w:tcPr>
            <w:tcW w:w="5010" w:type="dxa"/>
            <w:gridSpan w:val="3"/>
            <w:tcBorders>
              <w:top w:val="nil"/>
              <w:left w:val="nil"/>
              <w:bottom w:val="nil"/>
              <w:right w:val="nil"/>
            </w:tcBorders>
            <w:shd w:val="clear" w:color="auto" w:fill="D5E2F1"/>
            <w:noWrap/>
            <w:vAlign w:val="center"/>
            <w:hideMark/>
          </w:tcPr>
          <w:p w14:paraId="657CCAC6" w14:textId="366EC323" w:rsidR="00B1740D" w:rsidRPr="00601C60" w:rsidRDefault="00B1740D" w:rsidP="00EA7AB8">
            <w:pPr>
              <w:pStyle w:val="TableColumnHeadingBase"/>
            </w:pPr>
            <w:r w:rsidRPr="00601C60">
              <w:t xml:space="preserve">Entry </w:t>
            </w:r>
            <w:r w:rsidR="00C642AE">
              <w:t>r</w:t>
            </w:r>
            <w:r w:rsidRPr="00601C60">
              <w:t xml:space="preserve">ate x </w:t>
            </w:r>
            <w:r w:rsidR="00C642AE">
              <w:t>d</w:t>
            </w:r>
            <w:r w:rsidRPr="00601C60">
              <w:t xml:space="preserve">istance </w:t>
            </w:r>
            <w:r w:rsidR="00C642AE">
              <w:t>f</w:t>
            </w:r>
            <w:r w:rsidRPr="00601C60">
              <w:t xml:space="preserve">rom </w:t>
            </w:r>
            <w:r w:rsidR="00C642AE">
              <w:t>f</w:t>
            </w:r>
            <w:r w:rsidRPr="00601C60">
              <w:t>rontier</w:t>
            </w:r>
          </w:p>
        </w:tc>
        <w:tc>
          <w:tcPr>
            <w:tcW w:w="1277" w:type="dxa"/>
            <w:tcBorders>
              <w:top w:val="nil"/>
              <w:left w:val="nil"/>
              <w:bottom w:val="nil"/>
              <w:right w:val="nil"/>
            </w:tcBorders>
            <w:shd w:val="clear" w:color="auto" w:fill="D5E2F1"/>
            <w:noWrap/>
            <w:vAlign w:val="bottom"/>
            <w:hideMark/>
          </w:tcPr>
          <w:p w14:paraId="7F7C0968"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 </w:t>
            </w:r>
          </w:p>
        </w:tc>
        <w:tc>
          <w:tcPr>
            <w:tcW w:w="1700" w:type="dxa"/>
            <w:gridSpan w:val="2"/>
            <w:tcBorders>
              <w:top w:val="nil"/>
              <w:left w:val="nil"/>
              <w:bottom w:val="nil"/>
              <w:right w:val="nil"/>
            </w:tcBorders>
            <w:shd w:val="clear" w:color="auto" w:fill="D5E2F1"/>
            <w:noWrap/>
            <w:vAlign w:val="center"/>
            <w:hideMark/>
          </w:tcPr>
          <w:p w14:paraId="5481E82C" w14:textId="6CE714EB"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0.00</w:t>
            </w:r>
            <w:r w:rsidR="00077256" w:rsidRPr="00601C60">
              <w:rPr>
                <w:rFonts w:ascii="Arial" w:eastAsia="Times New Roman" w:hAnsi="Arial" w:cs="Arial"/>
                <w:color w:val="000000"/>
                <w:sz w:val="16"/>
                <w:szCs w:val="16"/>
                <w:lang w:eastAsia="en-AU"/>
              </w:rPr>
              <w:t>9</w:t>
            </w:r>
            <w:r w:rsidRPr="00601C60">
              <w:rPr>
                <w:rFonts w:ascii="Arial" w:eastAsia="Times New Roman" w:hAnsi="Arial" w:cs="Arial"/>
                <w:color w:val="000000"/>
                <w:sz w:val="16"/>
                <w:szCs w:val="16"/>
                <w:lang w:eastAsia="en-AU"/>
              </w:rPr>
              <w:t>**</w:t>
            </w:r>
          </w:p>
        </w:tc>
        <w:tc>
          <w:tcPr>
            <w:tcW w:w="1594" w:type="dxa"/>
            <w:gridSpan w:val="2"/>
            <w:tcBorders>
              <w:top w:val="nil"/>
              <w:left w:val="nil"/>
              <w:bottom w:val="nil"/>
              <w:right w:val="nil"/>
            </w:tcBorders>
            <w:shd w:val="clear" w:color="auto" w:fill="D5E2F1"/>
            <w:noWrap/>
            <w:vAlign w:val="bottom"/>
            <w:hideMark/>
          </w:tcPr>
          <w:p w14:paraId="16B4B089"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 </w:t>
            </w:r>
          </w:p>
        </w:tc>
      </w:tr>
      <w:tr w:rsidR="00B1740D" w:rsidRPr="00B1740D" w14:paraId="4B096A92" w14:textId="77777777" w:rsidTr="000B40A3">
        <w:trPr>
          <w:trHeight w:val="300"/>
        </w:trPr>
        <w:tc>
          <w:tcPr>
            <w:tcW w:w="3807" w:type="dxa"/>
            <w:tcBorders>
              <w:top w:val="nil"/>
              <w:left w:val="nil"/>
              <w:bottom w:val="nil"/>
              <w:right w:val="nil"/>
            </w:tcBorders>
            <w:shd w:val="clear" w:color="auto" w:fill="auto"/>
            <w:noWrap/>
            <w:vAlign w:val="center"/>
            <w:hideMark/>
          </w:tcPr>
          <w:p w14:paraId="703CF019" w14:textId="77777777" w:rsidR="00B1740D" w:rsidRPr="00601C60" w:rsidRDefault="00B1740D" w:rsidP="00EA7AB8">
            <w:pPr>
              <w:pStyle w:val="TableColumnHeadingBase"/>
            </w:pPr>
          </w:p>
        </w:tc>
        <w:tc>
          <w:tcPr>
            <w:tcW w:w="2480" w:type="dxa"/>
            <w:gridSpan w:val="3"/>
            <w:tcBorders>
              <w:top w:val="nil"/>
              <w:left w:val="nil"/>
              <w:bottom w:val="nil"/>
              <w:right w:val="nil"/>
            </w:tcBorders>
            <w:shd w:val="clear" w:color="auto" w:fill="auto"/>
            <w:noWrap/>
            <w:vAlign w:val="bottom"/>
            <w:hideMark/>
          </w:tcPr>
          <w:p w14:paraId="6CD3DB93" w14:textId="77777777" w:rsidR="00B1740D" w:rsidRPr="00601C60" w:rsidRDefault="00B1740D" w:rsidP="00601C60">
            <w:pPr>
              <w:spacing w:after="0"/>
              <w:jc w:val="right"/>
              <w:rPr>
                <w:rFonts w:ascii="Arial" w:eastAsia="Times New Roman" w:hAnsi="Arial" w:cs="Arial"/>
                <w:color w:val="000000"/>
                <w:sz w:val="16"/>
                <w:szCs w:val="16"/>
                <w:lang w:eastAsia="en-AU"/>
              </w:rPr>
            </w:pPr>
          </w:p>
        </w:tc>
        <w:tc>
          <w:tcPr>
            <w:tcW w:w="1700" w:type="dxa"/>
            <w:gridSpan w:val="2"/>
            <w:tcBorders>
              <w:top w:val="nil"/>
              <w:left w:val="nil"/>
              <w:bottom w:val="nil"/>
              <w:right w:val="nil"/>
            </w:tcBorders>
            <w:shd w:val="clear" w:color="auto" w:fill="auto"/>
            <w:noWrap/>
            <w:vAlign w:val="center"/>
            <w:hideMark/>
          </w:tcPr>
          <w:p w14:paraId="169B9735" w14:textId="546479A3"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(0.00</w:t>
            </w:r>
            <w:r w:rsidR="006E1304" w:rsidRPr="00601C60">
              <w:rPr>
                <w:rFonts w:ascii="Arial" w:eastAsia="Times New Roman" w:hAnsi="Arial" w:cs="Arial"/>
                <w:color w:val="000000"/>
                <w:sz w:val="16"/>
                <w:szCs w:val="16"/>
                <w:lang w:eastAsia="en-AU"/>
              </w:rPr>
              <w:t>3</w:t>
            </w:r>
            <w:r w:rsidRPr="00601C60">
              <w:rPr>
                <w:rFonts w:ascii="Arial" w:eastAsia="Times New Roman" w:hAnsi="Arial" w:cs="Arial"/>
                <w:color w:val="000000"/>
                <w:sz w:val="16"/>
                <w:szCs w:val="16"/>
                <w:lang w:eastAsia="en-AU"/>
              </w:rPr>
              <w:t>)</w:t>
            </w:r>
          </w:p>
        </w:tc>
        <w:tc>
          <w:tcPr>
            <w:tcW w:w="1594" w:type="dxa"/>
            <w:gridSpan w:val="2"/>
            <w:tcBorders>
              <w:top w:val="nil"/>
              <w:left w:val="nil"/>
              <w:bottom w:val="nil"/>
              <w:right w:val="nil"/>
            </w:tcBorders>
            <w:shd w:val="clear" w:color="auto" w:fill="auto"/>
            <w:noWrap/>
            <w:vAlign w:val="bottom"/>
            <w:hideMark/>
          </w:tcPr>
          <w:p w14:paraId="6A048905" w14:textId="77777777" w:rsidR="00B1740D" w:rsidRPr="00601C60" w:rsidRDefault="00B1740D" w:rsidP="00601C60">
            <w:pPr>
              <w:spacing w:after="0"/>
              <w:jc w:val="right"/>
              <w:rPr>
                <w:rFonts w:ascii="Arial" w:eastAsia="Times New Roman" w:hAnsi="Arial" w:cs="Arial"/>
                <w:color w:val="000000"/>
                <w:sz w:val="16"/>
                <w:szCs w:val="16"/>
                <w:lang w:eastAsia="en-AU"/>
              </w:rPr>
            </w:pPr>
          </w:p>
        </w:tc>
      </w:tr>
      <w:tr w:rsidR="00B1740D" w:rsidRPr="00B1740D" w14:paraId="2C3F84A9" w14:textId="77777777" w:rsidTr="000B40A3">
        <w:trPr>
          <w:trHeight w:val="300"/>
        </w:trPr>
        <w:tc>
          <w:tcPr>
            <w:tcW w:w="3807" w:type="dxa"/>
            <w:tcBorders>
              <w:top w:val="nil"/>
              <w:left w:val="nil"/>
              <w:bottom w:val="nil"/>
              <w:right w:val="nil"/>
            </w:tcBorders>
            <w:shd w:val="clear" w:color="auto" w:fill="D5E2F1"/>
            <w:noWrap/>
            <w:vAlign w:val="center"/>
            <w:hideMark/>
          </w:tcPr>
          <w:p w14:paraId="434A3024" w14:textId="383128BF" w:rsidR="00B1740D" w:rsidRPr="00601C60" w:rsidRDefault="00B1740D" w:rsidP="00EA7AB8">
            <w:pPr>
              <w:pStyle w:val="TableColumnHeadingBase"/>
            </w:pPr>
            <w:r w:rsidRPr="00601C60">
              <w:t xml:space="preserve">Exit </w:t>
            </w:r>
            <w:r w:rsidR="00C642AE">
              <w:t>r</w:t>
            </w:r>
            <w:r w:rsidRPr="00601C60">
              <w:t xml:space="preserve">ate x </w:t>
            </w:r>
            <w:r w:rsidR="00C642AE">
              <w:t>d</w:t>
            </w:r>
            <w:r w:rsidRPr="00601C60">
              <w:t xml:space="preserve">istance </w:t>
            </w:r>
            <w:r w:rsidR="00C642AE">
              <w:t>f</w:t>
            </w:r>
            <w:r w:rsidRPr="00601C60">
              <w:t xml:space="preserve">rom </w:t>
            </w:r>
            <w:r w:rsidR="00C642AE">
              <w:t>f</w:t>
            </w:r>
            <w:r w:rsidRPr="00601C60">
              <w:t>rontier</w:t>
            </w:r>
          </w:p>
        </w:tc>
        <w:tc>
          <w:tcPr>
            <w:tcW w:w="2480" w:type="dxa"/>
            <w:gridSpan w:val="3"/>
            <w:tcBorders>
              <w:top w:val="nil"/>
              <w:left w:val="nil"/>
              <w:bottom w:val="nil"/>
              <w:right w:val="nil"/>
            </w:tcBorders>
            <w:shd w:val="clear" w:color="auto" w:fill="D5E2F1"/>
            <w:noWrap/>
            <w:vAlign w:val="bottom"/>
            <w:hideMark/>
          </w:tcPr>
          <w:p w14:paraId="1025AB66"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 </w:t>
            </w:r>
          </w:p>
        </w:tc>
        <w:tc>
          <w:tcPr>
            <w:tcW w:w="1700" w:type="dxa"/>
            <w:gridSpan w:val="2"/>
            <w:tcBorders>
              <w:top w:val="nil"/>
              <w:left w:val="nil"/>
              <w:bottom w:val="nil"/>
              <w:right w:val="nil"/>
            </w:tcBorders>
            <w:shd w:val="clear" w:color="auto" w:fill="D5E2F1"/>
            <w:noWrap/>
            <w:vAlign w:val="center"/>
            <w:hideMark/>
          </w:tcPr>
          <w:p w14:paraId="102D2520"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 </w:t>
            </w:r>
          </w:p>
        </w:tc>
        <w:tc>
          <w:tcPr>
            <w:tcW w:w="1594" w:type="dxa"/>
            <w:gridSpan w:val="2"/>
            <w:tcBorders>
              <w:top w:val="nil"/>
              <w:left w:val="nil"/>
              <w:bottom w:val="nil"/>
              <w:right w:val="nil"/>
            </w:tcBorders>
            <w:shd w:val="clear" w:color="auto" w:fill="D5E2F1"/>
            <w:noWrap/>
            <w:vAlign w:val="bottom"/>
            <w:hideMark/>
          </w:tcPr>
          <w:p w14:paraId="2EF5F187" w14:textId="372A5420"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0.014</w:t>
            </w:r>
            <w:r w:rsidR="00077256" w:rsidRPr="00601C60">
              <w:rPr>
                <w:rFonts w:ascii="Arial" w:eastAsia="Times New Roman" w:hAnsi="Arial" w:cs="Arial"/>
                <w:color w:val="000000"/>
                <w:sz w:val="16"/>
                <w:szCs w:val="16"/>
                <w:lang w:eastAsia="en-AU"/>
              </w:rPr>
              <w:t>6</w:t>
            </w:r>
            <w:r w:rsidRPr="00601C60">
              <w:rPr>
                <w:rFonts w:ascii="Arial" w:eastAsia="Times New Roman" w:hAnsi="Arial" w:cs="Arial"/>
                <w:color w:val="000000"/>
                <w:sz w:val="16"/>
                <w:szCs w:val="16"/>
                <w:lang w:eastAsia="en-AU"/>
              </w:rPr>
              <w:t>***</w:t>
            </w:r>
          </w:p>
        </w:tc>
      </w:tr>
      <w:tr w:rsidR="00B1740D" w:rsidRPr="00B1740D" w14:paraId="2CF8DDB9" w14:textId="77777777" w:rsidTr="000B40A3">
        <w:trPr>
          <w:trHeight w:val="300"/>
        </w:trPr>
        <w:tc>
          <w:tcPr>
            <w:tcW w:w="3807" w:type="dxa"/>
            <w:tcBorders>
              <w:top w:val="nil"/>
              <w:left w:val="nil"/>
              <w:bottom w:val="nil"/>
              <w:right w:val="nil"/>
            </w:tcBorders>
            <w:shd w:val="clear" w:color="auto" w:fill="auto"/>
            <w:noWrap/>
            <w:vAlign w:val="bottom"/>
            <w:hideMark/>
          </w:tcPr>
          <w:p w14:paraId="1BD11F37" w14:textId="77777777" w:rsidR="00B1740D" w:rsidRPr="00601C60" w:rsidRDefault="00B1740D" w:rsidP="00EA7AB8">
            <w:pPr>
              <w:pStyle w:val="TableColumnHeadingBase"/>
              <w:rPr>
                <w:rFonts w:cs="Times New Roman"/>
              </w:rPr>
            </w:pPr>
          </w:p>
        </w:tc>
        <w:tc>
          <w:tcPr>
            <w:tcW w:w="2480" w:type="dxa"/>
            <w:gridSpan w:val="3"/>
            <w:tcBorders>
              <w:top w:val="nil"/>
              <w:left w:val="nil"/>
              <w:bottom w:val="nil"/>
              <w:right w:val="nil"/>
            </w:tcBorders>
            <w:shd w:val="clear" w:color="auto" w:fill="auto"/>
            <w:noWrap/>
            <w:vAlign w:val="center"/>
            <w:hideMark/>
          </w:tcPr>
          <w:p w14:paraId="40A72FF6" w14:textId="77777777" w:rsidR="00B1740D" w:rsidRPr="00601C60" w:rsidRDefault="00B1740D" w:rsidP="00601C60">
            <w:pPr>
              <w:spacing w:after="0"/>
              <w:jc w:val="right"/>
              <w:rPr>
                <w:rFonts w:ascii="Arial" w:eastAsia="Times New Roman" w:hAnsi="Arial" w:cs="Arial"/>
                <w:color w:val="000000"/>
                <w:sz w:val="16"/>
                <w:szCs w:val="16"/>
                <w:lang w:eastAsia="en-AU"/>
              </w:rPr>
            </w:pPr>
          </w:p>
        </w:tc>
        <w:tc>
          <w:tcPr>
            <w:tcW w:w="1700" w:type="dxa"/>
            <w:gridSpan w:val="2"/>
            <w:tcBorders>
              <w:top w:val="nil"/>
              <w:left w:val="nil"/>
              <w:bottom w:val="nil"/>
              <w:right w:val="nil"/>
            </w:tcBorders>
            <w:shd w:val="clear" w:color="auto" w:fill="auto"/>
            <w:noWrap/>
            <w:vAlign w:val="center"/>
            <w:hideMark/>
          </w:tcPr>
          <w:p w14:paraId="68E7C5EF" w14:textId="77777777" w:rsidR="00B1740D" w:rsidRPr="00601C60" w:rsidRDefault="00B1740D" w:rsidP="00601C60">
            <w:pPr>
              <w:spacing w:after="0"/>
              <w:jc w:val="right"/>
              <w:rPr>
                <w:rFonts w:ascii="Arial" w:eastAsia="Times New Roman" w:hAnsi="Arial" w:cs="Arial"/>
                <w:color w:val="000000"/>
                <w:sz w:val="16"/>
                <w:szCs w:val="16"/>
                <w:lang w:eastAsia="en-AU"/>
              </w:rPr>
            </w:pPr>
          </w:p>
        </w:tc>
        <w:tc>
          <w:tcPr>
            <w:tcW w:w="1594" w:type="dxa"/>
            <w:gridSpan w:val="2"/>
            <w:tcBorders>
              <w:top w:val="nil"/>
              <w:left w:val="nil"/>
              <w:bottom w:val="nil"/>
              <w:right w:val="nil"/>
            </w:tcBorders>
            <w:shd w:val="clear" w:color="auto" w:fill="auto"/>
            <w:noWrap/>
            <w:vAlign w:val="center"/>
            <w:hideMark/>
          </w:tcPr>
          <w:p w14:paraId="1EA14C4D" w14:textId="246FD052"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(0.003</w:t>
            </w:r>
            <w:r w:rsidR="00077256" w:rsidRPr="00601C60">
              <w:rPr>
                <w:rFonts w:ascii="Arial" w:eastAsia="Times New Roman" w:hAnsi="Arial" w:cs="Arial"/>
                <w:color w:val="000000"/>
                <w:sz w:val="16"/>
                <w:szCs w:val="16"/>
                <w:lang w:eastAsia="en-AU"/>
              </w:rPr>
              <w:t>46</w:t>
            </w:r>
            <w:r w:rsidRPr="00601C60">
              <w:rPr>
                <w:rFonts w:ascii="Arial" w:eastAsia="Times New Roman" w:hAnsi="Arial" w:cs="Arial"/>
                <w:color w:val="000000"/>
                <w:sz w:val="16"/>
                <w:szCs w:val="16"/>
                <w:lang w:eastAsia="en-AU"/>
              </w:rPr>
              <w:t>)</w:t>
            </w:r>
          </w:p>
        </w:tc>
      </w:tr>
      <w:tr w:rsidR="00B1740D" w:rsidRPr="00B1740D" w14:paraId="5D5C9E23" w14:textId="77777777" w:rsidTr="000B40A3">
        <w:trPr>
          <w:trHeight w:val="300"/>
        </w:trPr>
        <w:tc>
          <w:tcPr>
            <w:tcW w:w="3807" w:type="dxa"/>
            <w:tcBorders>
              <w:top w:val="dotted" w:sz="4" w:space="0" w:color="auto"/>
              <w:left w:val="nil"/>
              <w:bottom w:val="nil"/>
              <w:right w:val="nil"/>
            </w:tcBorders>
            <w:shd w:val="clear" w:color="auto" w:fill="D5E2F1"/>
            <w:noWrap/>
            <w:vAlign w:val="center"/>
            <w:hideMark/>
          </w:tcPr>
          <w:p w14:paraId="625EBB13" w14:textId="67C8D71A" w:rsidR="00B1740D" w:rsidRPr="00601C60" w:rsidRDefault="00B1740D" w:rsidP="00EA7AB8">
            <w:pPr>
              <w:pStyle w:val="TableColumnHeadingBase"/>
            </w:pPr>
            <w:r w:rsidRPr="00601C60">
              <w:t>Industry</w:t>
            </w:r>
            <w:r w:rsidR="00AA5B97">
              <w:noBreakHyphen/>
            </w:r>
            <w:r w:rsidR="00C642AE">
              <w:t>y</w:t>
            </w:r>
            <w:r w:rsidRPr="00601C60">
              <w:t xml:space="preserve">ear </w:t>
            </w:r>
            <w:r w:rsidR="00C642AE">
              <w:t>f</w:t>
            </w:r>
            <w:r w:rsidRPr="00601C60">
              <w:t xml:space="preserve">ixed </w:t>
            </w:r>
            <w:r w:rsidR="00C642AE">
              <w:t>e</w:t>
            </w:r>
            <w:r w:rsidRPr="00601C60">
              <w:t>ffects</w:t>
            </w:r>
          </w:p>
        </w:tc>
        <w:tc>
          <w:tcPr>
            <w:tcW w:w="2480" w:type="dxa"/>
            <w:gridSpan w:val="3"/>
            <w:tcBorders>
              <w:top w:val="dotted" w:sz="4" w:space="0" w:color="auto"/>
              <w:left w:val="nil"/>
              <w:bottom w:val="nil"/>
              <w:right w:val="nil"/>
            </w:tcBorders>
            <w:shd w:val="clear" w:color="auto" w:fill="D5E2F1"/>
            <w:noWrap/>
            <w:vAlign w:val="center"/>
            <w:hideMark/>
          </w:tcPr>
          <w:p w14:paraId="673BC2EF"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Yes</w:t>
            </w:r>
          </w:p>
        </w:tc>
        <w:tc>
          <w:tcPr>
            <w:tcW w:w="1700" w:type="dxa"/>
            <w:gridSpan w:val="2"/>
            <w:tcBorders>
              <w:top w:val="dotted" w:sz="4" w:space="0" w:color="auto"/>
              <w:left w:val="nil"/>
              <w:bottom w:val="nil"/>
              <w:right w:val="nil"/>
            </w:tcBorders>
            <w:shd w:val="clear" w:color="auto" w:fill="D5E2F1"/>
            <w:noWrap/>
            <w:vAlign w:val="center"/>
            <w:hideMark/>
          </w:tcPr>
          <w:p w14:paraId="7AB22E67"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Yes</w:t>
            </w:r>
          </w:p>
        </w:tc>
        <w:tc>
          <w:tcPr>
            <w:tcW w:w="1594" w:type="dxa"/>
            <w:gridSpan w:val="2"/>
            <w:tcBorders>
              <w:top w:val="dotted" w:sz="4" w:space="0" w:color="auto"/>
              <w:left w:val="nil"/>
              <w:bottom w:val="nil"/>
              <w:right w:val="nil"/>
            </w:tcBorders>
            <w:shd w:val="clear" w:color="auto" w:fill="D5E2F1"/>
            <w:noWrap/>
            <w:vAlign w:val="center"/>
            <w:hideMark/>
          </w:tcPr>
          <w:p w14:paraId="20AB0E9F"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Yes</w:t>
            </w:r>
          </w:p>
        </w:tc>
      </w:tr>
      <w:tr w:rsidR="00B1740D" w:rsidRPr="00B1740D" w14:paraId="10D3755C" w14:textId="77777777" w:rsidTr="000B40A3">
        <w:trPr>
          <w:trHeight w:val="300"/>
        </w:trPr>
        <w:tc>
          <w:tcPr>
            <w:tcW w:w="3807" w:type="dxa"/>
            <w:tcBorders>
              <w:top w:val="nil"/>
              <w:left w:val="nil"/>
              <w:bottom w:val="nil"/>
              <w:right w:val="nil"/>
            </w:tcBorders>
            <w:shd w:val="clear" w:color="auto" w:fill="auto"/>
            <w:noWrap/>
            <w:vAlign w:val="center"/>
            <w:hideMark/>
          </w:tcPr>
          <w:p w14:paraId="452B7D48" w14:textId="51216265" w:rsidR="00B1740D" w:rsidRPr="00601C60" w:rsidRDefault="00B1740D" w:rsidP="00EA7AB8">
            <w:pPr>
              <w:pStyle w:val="TableColumnHeadingBase"/>
            </w:pPr>
            <w:r w:rsidRPr="00601C60">
              <w:t xml:space="preserve">Firm </w:t>
            </w:r>
            <w:r w:rsidR="00C642AE">
              <w:t>a</w:t>
            </w:r>
            <w:r w:rsidRPr="00601C60">
              <w:t xml:space="preserve">ge and </w:t>
            </w:r>
            <w:r w:rsidR="00C642AE">
              <w:t>s</w:t>
            </w:r>
            <w:r w:rsidRPr="00601C60">
              <w:t xml:space="preserve">ize </w:t>
            </w:r>
            <w:r w:rsidR="00C642AE">
              <w:t>c</w:t>
            </w:r>
            <w:r w:rsidRPr="00601C60">
              <w:t>ontrols</w:t>
            </w:r>
          </w:p>
        </w:tc>
        <w:tc>
          <w:tcPr>
            <w:tcW w:w="2480" w:type="dxa"/>
            <w:gridSpan w:val="3"/>
            <w:tcBorders>
              <w:top w:val="nil"/>
              <w:left w:val="nil"/>
              <w:bottom w:val="nil"/>
              <w:right w:val="nil"/>
            </w:tcBorders>
            <w:shd w:val="clear" w:color="auto" w:fill="auto"/>
            <w:noWrap/>
            <w:vAlign w:val="center"/>
            <w:hideMark/>
          </w:tcPr>
          <w:p w14:paraId="30720175"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Yes</w:t>
            </w:r>
          </w:p>
        </w:tc>
        <w:tc>
          <w:tcPr>
            <w:tcW w:w="1700" w:type="dxa"/>
            <w:gridSpan w:val="2"/>
            <w:tcBorders>
              <w:top w:val="nil"/>
              <w:left w:val="nil"/>
              <w:bottom w:val="nil"/>
              <w:right w:val="nil"/>
            </w:tcBorders>
            <w:shd w:val="clear" w:color="auto" w:fill="auto"/>
            <w:noWrap/>
            <w:vAlign w:val="center"/>
            <w:hideMark/>
          </w:tcPr>
          <w:p w14:paraId="20AEB83A"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Yes</w:t>
            </w:r>
          </w:p>
        </w:tc>
        <w:tc>
          <w:tcPr>
            <w:tcW w:w="1594" w:type="dxa"/>
            <w:gridSpan w:val="2"/>
            <w:tcBorders>
              <w:top w:val="nil"/>
              <w:left w:val="nil"/>
              <w:bottom w:val="nil"/>
              <w:right w:val="nil"/>
            </w:tcBorders>
            <w:shd w:val="clear" w:color="auto" w:fill="auto"/>
            <w:noWrap/>
            <w:vAlign w:val="center"/>
            <w:hideMark/>
          </w:tcPr>
          <w:p w14:paraId="69DE50ED" w14:textId="77777777"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Yes</w:t>
            </w:r>
          </w:p>
        </w:tc>
      </w:tr>
      <w:tr w:rsidR="00B1740D" w:rsidRPr="00B1740D" w14:paraId="5E83BBE0" w14:textId="77777777" w:rsidTr="000B40A3">
        <w:trPr>
          <w:trHeight w:val="300"/>
        </w:trPr>
        <w:tc>
          <w:tcPr>
            <w:tcW w:w="3807" w:type="dxa"/>
            <w:tcBorders>
              <w:top w:val="nil"/>
              <w:left w:val="nil"/>
              <w:bottom w:val="nil"/>
              <w:right w:val="nil"/>
            </w:tcBorders>
            <w:shd w:val="clear" w:color="auto" w:fill="D5E2F1"/>
            <w:noWrap/>
            <w:vAlign w:val="center"/>
            <w:hideMark/>
          </w:tcPr>
          <w:p w14:paraId="1B49F50F" w14:textId="1A126743" w:rsidR="00B1740D" w:rsidRPr="00601C60" w:rsidRDefault="00B1740D" w:rsidP="00EA7AB8">
            <w:pPr>
              <w:pStyle w:val="TableColumnHeadingBase"/>
            </w:pPr>
            <w:r w:rsidRPr="00601C60">
              <w:t>R</w:t>
            </w:r>
            <w:r w:rsidR="00AA5B97">
              <w:noBreakHyphen/>
            </w:r>
            <w:r w:rsidRPr="00601C60">
              <w:t>squared</w:t>
            </w:r>
          </w:p>
        </w:tc>
        <w:tc>
          <w:tcPr>
            <w:tcW w:w="2480" w:type="dxa"/>
            <w:gridSpan w:val="3"/>
            <w:tcBorders>
              <w:top w:val="nil"/>
              <w:left w:val="nil"/>
              <w:bottom w:val="nil"/>
              <w:right w:val="nil"/>
            </w:tcBorders>
            <w:shd w:val="clear" w:color="auto" w:fill="D5E2F1"/>
            <w:noWrap/>
            <w:vAlign w:val="center"/>
            <w:hideMark/>
          </w:tcPr>
          <w:p w14:paraId="7F4B017C" w14:textId="2564EA08" w:rsidR="00B1740D" w:rsidRPr="00601C60" w:rsidRDefault="00077256"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0.210</w:t>
            </w:r>
          </w:p>
        </w:tc>
        <w:tc>
          <w:tcPr>
            <w:tcW w:w="1700" w:type="dxa"/>
            <w:gridSpan w:val="2"/>
            <w:tcBorders>
              <w:top w:val="nil"/>
              <w:left w:val="nil"/>
              <w:bottom w:val="nil"/>
              <w:right w:val="nil"/>
            </w:tcBorders>
            <w:shd w:val="clear" w:color="auto" w:fill="D5E2F1"/>
            <w:noWrap/>
            <w:vAlign w:val="center"/>
            <w:hideMark/>
          </w:tcPr>
          <w:p w14:paraId="7B84E55C" w14:textId="3393E50F" w:rsidR="00B1740D" w:rsidRPr="00601C60" w:rsidRDefault="00077256"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0.210</w:t>
            </w:r>
          </w:p>
        </w:tc>
        <w:tc>
          <w:tcPr>
            <w:tcW w:w="1594" w:type="dxa"/>
            <w:gridSpan w:val="2"/>
            <w:tcBorders>
              <w:top w:val="nil"/>
              <w:left w:val="nil"/>
              <w:bottom w:val="nil"/>
              <w:right w:val="nil"/>
            </w:tcBorders>
            <w:shd w:val="clear" w:color="auto" w:fill="D5E2F1"/>
            <w:noWrap/>
            <w:vAlign w:val="center"/>
            <w:hideMark/>
          </w:tcPr>
          <w:p w14:paraId="345FE93E" w14:textId="517AE5D5" w:rsidR="00B1740D" w:rsidRPr="00601C60" w:rsidRDefault="00077256"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0.210</w:t>
            </w:r>
          </w:p>
        </w:tc>
      </w:tr>
      <w:tr w:rsidR="00B1740D" w:rsidRPr="00B1740D" w14:paraId="25D30AD6" w14:textId="77777777" w:rsidTr="000B40A3">
        <w:trPr>
          <w:trHeight w:val="300"/>
        </w:trPr>
        <w:tc>
          <w:tcPr>
            <w:tcW w:w="3807" w:type="dxa"/>
            <w:tcBorders>
              <w:top w:val="nil"/>
              <w:left w:val="nil"/>
              <w:bottom w:val="single" w:sz="4" w:space="0" w:color="auto"/>
              <w:right w:val="nil"/>
            </w:tcBorders>
            <w:shd w:val="clear" w:color="auto" w:fill="auto"/>
            <w:noWrap/>
            <w:vAlign w:val="center"/>
            <w:hideMark/>
          </w:tcPr>
          <w:p w14:paraId="7ECB5DBB" w14:textId="77777777" w:rsidR="00B1740D" w:rsidRPr="00601C60" w:rsidRDefault="00B1740D" w:rsidP="00EA7AB8">
            <w:pPr>
              <w:pStyle w:val="TableColumnHeadingBase"/>
            </w:pPr>
            <w:r w:rsidRPr="00601C60">
              <w:t>Observations</w:t>
            </w:r>
          </w:p>
        </w:tc>
        <w:tc>
          <w:tcPr>
            <w:tcW w:w="2480" w:type="dxa"/>
            <w:gridSpan w:val="3"/>
            <w:tcBorders>
              <w:top w:val="nil"/>
              <w:left w:val="nil"/>
              <w:bottom w:val="single" w:sz="4" w:space="0" w:color="auto"/>
              <w:right w:val="nil"/>
            </w:tcBorders>
            <w:shd w:val="clear" w:color="auto" w:fill="auto"/>
            <w:noWrap/>
            <w:vAlign w:val="center"/>
            <w:hideMark/>
          </w:tcPr>
          <w:p w14:paraId="5AD7DB93" w14:textId="44E6B490" w:rsidR="00B1740D" w:rsidRPr="00601C60" w:rsidRDefault="00B1740D"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1,</w:t>
            </w:r>
            <w:r w:rsidR="00077256" w:rsidRPr="00601C60">
              <w:rPr>
                <w:rFonts w:ascii="Arial" w:eastAsia="Times New Roman" w:hAnsi="Arial" w:cs="Arial"/>
                <w:color w:val="000000"/>
                <w:sz w:val="16"/>
                <w:szCs w:val="16"/>
                <w:lang w:eastAsia="en-AU"/>
              </w:rPr>
              <w:t>372,576</w:t>
            </w:r>
          </w:p>
        </w:tc>
        <w:tc>
          <w:tcPr>
            <w:tcW w:w="1700" w:type="dxa"/>
            <w:gridSpan w:val="2"/>
            <w:tcBorders>
              <w:top w:val="nil"/>
              <w:left w:val="nil"/>
              <w:bottom w:val="single" w:sz="4" w:space="0" w:color="auto"/>
              <w:right w:val="nil"/>
            </w:tcBorders>
            <w:shd w:val="clear" w:color="auto" w:fill="auto"/>
            <w:noWrap/>
            <w:vAlign w:val="center"/>
            <w:hideMark/>
          </w:tcPr>
          <w:p w14:paraId="260F6DFF" w14:textId="4670308A" w:rsidR="00B1740D" w:rsidRPr="00601C60" w:rsidRDefault="00077256"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1,372,576</w:t>
            </w:r>
          </w:p>
        </w:tc>
        <w:tc>
          <w:tcPr>
            <w:tcW w:w="1594" w:type="dxa"/>
            <w:gridSpan w:val="2"/>
            <w:tcBorders>
              <w:top w:val="nil"/>
              <w:left w:val="nil"/>
              <w:bottom w:val="single" w:sz="4" w:space="0" w:color="auto"/>
              <w:right w:val="nil"/>
            </w:tcBorders>
            <w:shd w:val="clear" w:color="auto" w:fill="auto"/>
            <w:noWrap/>
            <w:vAlign w:val="center"/>
            <w:hideMark/>
          </w:tcPr>
          <w:p w14:paraId="38FB9013" w14:textId="5E7DE93D" w:rsidR="00B1740D" w:rsidRPr="00601C60" w:rsidRDefault="00077256" w:rsidP="00601C60">
            <w:pPr>
              <w:spacing w:after="0"/>
              <w:jc w:val="right"/>
              <w:rPr>
                <w:rFonts w:ascii="Arial" w:eastAsia="Times New Roman" w:hAnsi="Arial" w:cs="Arial"/>
                <w:color w:val="000000"/>
                <w:sz w:val="16"/>
                <w:szCs w:val="16"/>
                <w:lang w:eastAsia="en-AU"/>
              </w:rPr>
            </w:pPr>
            <w:r w:rsidRPr="00601C60">
              <w:rPr>
                <w:rFonts w:ascii="Arial" w:eastAsia="Times New Roman" w:hAnsi="Arial" w:cs="Arial"/>
                <w:color w:val="000000"/>
                <w:sz w:val="16"/>
                <w:szCs w:val="16"/>
                <w:lang w:eastAsia="en-AU"/>
              </w:rPr>
              <w:t>1,372,576</w:t>
            </w:r>
          </w:p>
        </w:tc>
      </w:tr>
      <w:tr w:rsidR="00B1740D" w:rsidRPr="00B1740D" w14:paraId="18FEA63F" w14:textId="77777777" w:rsidTr="000B40A3">
        <w:trPr>
          <w:trHeight w:val="509"/>
        </w:trPr>
        <w:tc>
          <w:tcPr>
            <w:tcW w:w="9581" w:type="dxa"/>
            <w:gridSpan w:val="8"/>
            <w:vMerge w:val="restart"/>
            <w:tcBorders>
              <w:top w:val="single" w:sz="4" w:space="0" w:color="auto"/>
              <w:left w:val="nil"/>
              <w:bottom w:val="nil"/>
              <w:right w:val="nil"/>
            </w:tcBorders>
            <w:shd w:val="clear" w:color="auto" w:fill="auto"/>
            <w:hideMark/>
          </w:tcPr>
          <w:p w14:paraId="2C5376BB" w14:textId="1133C93C" w:rsidR="00B1740D" w:rsidRPr="00B1740D" w:rsidRDefault="00426ADC" w:rsidP="00B1740D">
            <w:pPr>
              <w:spacing w:after="0"/>
              <w:rPr>
                <w:rFonts w:eastAsia="Times New Roman" w:cs="Times New Roman"/>
                <w:color w:val="000000"/>
                <w:sz w:val="18"/>
                <w:szCs w:val="18"/>
                <w:lang w:eastAsia="en-AU"/>
              </w:rPr>
            </w:pPr>
            <w:r w:rsidRPr="003D0E71">
              <w:rPr>
                <w:rFonts w:eastAsia="Times New Roman" w:cs="Times New Roman"/>
                <w:color w:val="000000"/>
                <w:sz w:val="16"/>
                <w:szCs w:val="16"/>
                <w:lang w:eastAsia="en-AU"/>
              </w:rPr>
              <w:t>Notes: Table 3</w:t>
            </w:r>
            <w:r w:rsidR="00B1740D" w:rsidRPr="003D0E71">
              <w:rPr>
                <w:rFonts w:eastAsia="Times New Roman" w:cs="Times New Roman"/>
                <w:color w:val="000000"/>
                <w:sz w:val="16"/>
                <w:szCs w:val="16"/>
                <w:lang w:eastAsia="en-AU"/>
              </w:rPr>
              <w:t xml:space="preserve"> extends the baseline model by interacting industry</w:t>
            </w:r>
            <w:r w:rsidR="00AA5B97">
              <w:rPr>
                <w:rFonts w:eastAsia="Times New Roman" w:cs="Times New Roman"/>
                <w:color w:val="000000"/>
                <w:sz w:val="16"/>
                <w:szCs w:val="16"/>
                <w:lang w:eastAsia="en-AU"/>
              </w:rPr>
              <w:noBreakHyphen/>
            </w:r>
            <w:r w:rsidR="00B1740D" w:rsidRPr="003D0E71">
              <w:rPr>
                <w:rFonts w:eastAsia="Times New Roman" w:cs="Times New Roman"/>
                <w:color w:val="000000"/>
                <w:sz w:val="16"/>
                <w:szCs w:val="16"/>
                <w:lang w:eastAsia="en-AU"/>
              </w:rPr>
              <w:t>level firm turnover, entry, and exit rates with the distance from frontier term. The coefficients on the interaction terms estimate the additional convergence speed associated with a 1 percentage point increase in turnover, entry and exit rates. The interpretation of the coefficient on the distance to frontier term is slightly different in Table 2, as the distance to frontier variable and the turnover, entry and exit rates have been demeaned for ease of interpretation. For example, Column 2 implies that an industry with the average firm entry rate has an estimated convergence speed of 0.4</w:t>
            </w:r>
            <w:r w:rsidR="004B104B" w:rsidRPr="003D0E71">
              <w:rPr>
                <w:rFonts w:eastAsia="Times New Roman" w:cs="Times New Roman"/>
                <w:color w:val="000000"/>
                <w:sz w:val="16"/>
                <w:szCs w:val="16"/>
                <w:lang w:eastAsia="en-AU"/>
              </w:rPr>
              <w:t>15</w:t>
            </w:r>
            <w:r w:rsidR="00B1740D" w:rsidRPr="003D0E71">
              <w:rPr>
                <w:rFonts w:eastAsia="Times New Roman" w:cs="Times New Roman"/>
                <w:color w:val="000000"/>
                <w:sz w:val="16"/>
                <w:szCs w:val="16"/>
                <w:lang w:eastAsia="en-AU"/>
              </w:rPr>
              <w:t>. Standard errors are clustered at the industry</w:t>
            </w:r>
            <w:r w:rsidR="00AA5B97">
              <w:rPr>
                <w:rFonts w:eastAsia="Times New Roman" w:cs="Times New Roman"/>
                <w:color w:val="000000"/>
                <w:sz w:val="16"/>
                <w:szCs w:val="16"/>
                <w:lang w:eastAsia="en-AU"/>
              </w:rPr>
              <w:noBreakHyphen/>
            </w:r>
            <w:r w:rsidR="00B1740D" w:rsidRPr="003D0E71">
              <w:rPr>
                <w:rFonts w:eastAsia="Times New Roman" w:cs="Times New Roman"/>
                <w:color w:val="000000"/>
                <w:sz w:val="16"/>
                <w:szCs w:val="16"/>
                <w:lang w:eastAsia="en-AU"/>
              </w:rPr>
              <w:t>level and are shown in brackets underneath each estimate. *</w:t>
            </w:r>
            <w:proofErr w:type="gramStart"/>
            <w:r w:rsidR="00B1740D" w:rsidRPr="003D0E71">
              <w:rPr>
                <w:rFonts w:eastAsia="Times New Roman" w:cs="Times New Roman"/>
                <w:color w:val="000000"/>
                <w:sz w:val="16"/>
                <w:szCs w:val="16"/>
                <w:lang w:eastAsia="en-AU"/>
              </w:rPr>
              <w:t>significant</w:t>
            </w:r>
            <w:proofErr w:type="gramEnd"/>
            <w:r w:rsidR="00B1740D" w:rsidRPr="003D0E71">
              <w:rPr>
                <w:rFonts w:eastAsia="Times New Roman" w:cs="Times New Roman"/>
                <w:color w:val="000000"/>
                <w:sz w:val="16"/>
                <w:szCs w:val="16"/>
                <w:lang w:eastAsia="en-AU"/>
              </w:rPr>
              <w:t xml:space="preserve"> at 10% level, ** significant at 5% level, *** significant at 1% level.</w:t>
            </w:r>
          </w:p>
        </w:tc>
      </w:tr>
      <w:tr w:rsidR="00B1740D" w:rsidRPr="00B1740D" w14:paraId="3A4ED9AB" w14:textId="77777777" w:rsidTr="000B40A3">
        <w:trPr>
          <w:trHeight w:val="509"/>
        </w:trPr>
        <w:tc>
          <w:tcPr>
            <w:tcW w:w="9581" w:type="dxa"/>
            <w:gridSpan w:val="8"/>
            <w:vMerge/>
            <w:tcBorders>
              <w:top w:val="single" w:sz="4" w:space="0" w:color="auto"/>
              <w:left w:val="nil"/>
              <w:bottom w:val="nil"/>
              <w:right w:val="nil"/>
            </w:tcBorders>
            <w:vAlign w:val="center"/>
            <w:hideMark/>
          </w:tcPr>
          <w:p w14:paraId="7C3C8F35" w14:textId="77777777" w:rsidR="00B1740D" w:rsidRPr="00B1740D" w:rsidRDefault="00B1740D" w:rsidP="00B1740D">
            <w:pPr>
              <w:spacing w:after="0"/>
              <w:rPr>
                <w:rFonts w:eastAsia="Times New Roman" w:cs="Times New Roman"/>
                <w:color w:val="000000"/>
                <w:sz w:val="18"/>
                <w:szCs w:val="18"/>
                <w:lang w:eastAsia="en-AU"/>
              </w:rPr>
            </w:pPr>
          </w:p>
        </w:tc>
      </w:tr>
      <w:tr w:rsidR="00B1740D" w:rsidRPr="00B1740D" w14:paraId="11229D5B" w14:textId="77777777" w:rsidTr="000B40A3">
        <w:trPr>
          <w:trHeight w:val="509"/>
        </w:trPr>
        <w:tc>
          <w:tcPr>
            <w:tcW w:w="9581" w:type="dxa"/>
            <w:gridSpan w:val="8"/>
            <w:vMerge/>
            <w:tcBorders>
              <w:top w:val="single" w:sz="4" w:space="0" w:color="auto"/>
              <w:left w:val="nil"/>
              <w:bottom w:val="nil"/>
              <w:right w:val="nil"/>
            </w:tcBorders>
            <w:vAlign w:val="center"/>
            <w:hideMark/>
          </w:tcPr>
          <w:p w14:paraId="7E0140DF" w14:textId="77777777" w:rsidR="00B1740D" w:rsidRPr="00B1740D" w:rsidRDefault="00B1740D" w:rsidP="00B1740D">
            <w:pPr>
              <w:spacing w:after="0"/>
              <w:rPr>
                <w:rFonts w:eastAsia="Times New Roman" w:cs="Times New Roman"/>
                <w:color w:val="000000"/>
                <w:sz w:val="18"/>
                <w:szCs w:val="18"/>
                <w:lang w:eastAsia="en-AU"/>
              </w:rPr>
            </w:pPr>
          </w:p>
        </w:tc>
      </w:tr>
    </w:tbl>
    <w:p w14:paraId="0744BBCD" w14:textId="5EAE28B4" w:rsidR="00036710" w:rsidRDefault="00475420" w:rsidP="00C26278">
      <w:pPr>
        <w:jc w:val="both"/>
      </w:pPr>
      <w:r>
        <w:t>We previously posited that young firms are likely to converge more quickly to the global frontier than mature firms</w:t>
      </w:r>
      <w:r w:rsidR="004B104B">
        <w:t xml:space="preserve">, given they can adopt new technologies from a blank slate. </w:t>
      </w:r>
      <w:r>
        <w:t>T</w:t>
      </w:r>
      <w:r w:rsidR="003F5A58">
        <w:t xml:space="preserve">able </w:t>
      </w:r>
      <w:r w:rsidR="003D0E71">
        <w:t>3</w:t>
      </w:r>
      <w:r w:rsidR="003F5A58">
        <w:t xml:space="preserve"> confirms </w:t>
      </w:r>
      <w:r w:rsidR="00525DDE">
        <w:t>this assertion:</w:t>
      </w:r>
      <w:r w:rsidR="003F5A58">
        <w:t xml:space="preserve"> </w:t>
      </w:r>
      <w:r w:rsidR="003F5A58">
        <w:lastRenderedPageBreak/>
        <w:t xml:space="preserve">within size categories, young firms do converge </w:t>
      </w:r>
      <w:r w:rsidR="00107C8A">
        <w:t>more quickly</w:t>
      </w:r>
      <w:r w:rsidR="003F5A58">
        <w:t xml:space="preserve"> to the global frontier than mature firms.</w:t>
      </w:r>
      <w:r w:rsidR="0018403B">
        <w:rPr>
          <w:rStyle w:val="FootnoteReference"/>
        </w:rPr>
        <w:footnoteReference w:id="8"/>
      </w:r>
      <w:r w:rsidR="008B49AC">
        <w:t xml:space="preserve"> Moreover, while smaller firms converge more quickly</w:t>
      </w:r>
      <w:r w:rsidR="0003145B">
        <w:t xml:space="preserve"> than large firms</w:t>
      </w:r>
      <w:r w:rsidR="008B49AC">
        <w:t xml:space="preserve">, firm age has a larger impact on </w:t>
      </w:r>
      <w:r w:rsidR="0003145B">
        <w:t xml:space="preserve">the rate of convergence. This is </w:t>
      </w:r>
      <w:r w:rsidR="00410870">
        <w:t xml:space="preserve">evident </w:t>
      </w:r>
      <w:r w:rsidR="0003145B">
        <w:t xml:space="preserve">as the coefficient </w:t>
      </w:r>
      <w:r w:rsidR="00410870">
        <w:t xml:space="preserve">on the interaction between age and frontier </w:t>
      </w:r>
      <w:r w:rsidR="0003145B">
        <w:t xml:space="preserve">are large, compared to the gap between the </w:t>
      </w:r>
      <w:r w:rsidR="00410870">
        <w:t xml:space="preserve">coefficients on </w:t>
      </w:r>
      <w:r w:rsidR="0003145B">
        <w:t>un</w:t>
      </w:r>
      <w:r w:rsidR="00AA5B97">
        <w:noBreakHyphen/>
      </w:r>
      <w:r w:rsidR="0003145B">
        <w:t xml:space="preserve">interacted distance to the </w:t>
      </w:r>
      <w:r w:rsidR="00410870">
        <w:t xml:space="preserve">frontier </w:t>
      </w:r>
      <w:r w:rsidR="0003145B">
        <w:t xml:space="preserve">variables </w:t>
      </w:r>
      <w:r w:rsidR="00410870">
        <w:t>across columns (particularly for small and medium firms)</w:t>
      </w:r>
      <w:r w:rsidR="008B49AC">
        <w:t>.</w:t>
      </w:r>
    </w:p>
    <w:tbl>
      <w:tblPr>
        <w:tblW w:w="5000" w:type="pct"/>
        <w:jc w:val="center"/>
        <w:tblCellMar>
          <w:left w:w="0" w:type="dxa"/>
          <w:right w:w="28" w:type="dxa"/>
        </w:tblCellMar>
        <w:tblLook w:val="04A0" w:firstRow="1" w:lastRow="0" w:firstColumn="1" w:lastColumn="0" w:noHBand="0" w:noVBand="1"/>
      </w:tblPr>
      <w:tblGrid>
        <w:gridCol w:w="3269"/>
        <w:gridCol w:w="837"/>
        <w:gridCol w:w="1067"/>
        <w:gridCol w:w="212"/>
        <w:gridCol w:w="1798"/>
        <w:gridCol w:w="1035"/>
        <w:gridCol w:w="1080"/>
      </w:tblGrid>
      <w:tr w:rsidR="00C37365" w:rsidRPr="00C37365" w14:paraId="2201E97D" w14:textId="77777777" w:rsidTr="000B40A3">
        <w:trPr>
          <w:trHeight w:val="300"/>
          <w:jc w:val="center"/>
        </w:trPr>
        <w:tc>
          <w:tcPr>
            <w:tcW w:w="9298" w:type="dxa"/>
            <w:gridSpan w:val="7"/>
            <w:tcBorders>
              <w:top w:val="nil"/>
              <w:left w:val="nil"/>
              <w:bottom w:val="nil"/>
              <w:right w:val="nil"/>
            </w:tcBorders>
            <w:shd w:val="clear" w:color="auto" w:fill="auto"/>
            <w:noWrap/>
            <w:vAlign w:val="bottom"/>
            <w:hideMark/>
          </w:tcPr>
          <w:p w14:paraId="59AB7705" w14:textId="1DA602CD" w:rsidR="00C37365" w:rsidRPr="00C37365" w:rsidRDefault="00426ADC" w:rsidP="008A5C91">
            <w:pPr>
              <w:pStyle w:val="TableMainHeading"/>
            </w:pPr>
            <w:r>
              <w:t xml:space="preserve">Table </w:t>
            </w:r>
            <w:r w:rsidR="003D0E71">
              <w:t>3</w:t>
            </w:r>
            <w:r w:rsidR="00C37365" w:rsidRPr="00C37365">
              <w:t xml:space="preserve"> </w:t>
            </w:r>
            <w:r w:rsidR="005B6F33">
              <w:rPr>
                <w:noProof/>
              </w:rPr>
              <w:t>–</w:t>
            </w:r>
            <w:r w:rsidR="00C37365" w:rsidRPr="00C37365">
              <w:t xml:space="preserve"> Convergence and firm age</w:t>
            </w:r>
          </w:p>
        </w:tc>
      </w:tr>
      <w:tr w:rsidR="00C37365" w:rsidRPr="00C37365" w14:paraId="0275DC88" w14:textId="77777777" w:rsidTr="000B40A3">
        <w:trPr>
          <w:trHeight w:val="300"/>
          <w:jc w:val="center"/>
        </w:trPr>
        <w:tc>
          <w:tcPr>
            <w:tcW w:w="4111" w:type="dxa"/>
            <w:gridSpan w:val="2"/>
            <w:tcBorders>
              <w:top w:val="single" w:sz="4" w:space="0" w:color="auto"/>
              <w:left w:val="nil"/>
              <w:bottom w:val="nil"/>
              <w:right w:val="nil"/>
            </w:tcBorders>
            <w:shd w:val="clear" w:color="auto" w:fill="auto"/>
            <w:noWrap/>
            <w:vAlign w:val="center"/>
            <w:hideMark/>
          </w:tcPr>
          <w:p w14:paraId="3E671EC0" w14:textId="77777777" w:rsidR="00C37365" w:rsidRPr="00601C60" w:rsidRDefault="00C37365" w:rsidP="00C37365">
            <w:pPr>
              <w:spacing w:after="0"/>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276" w:type="dxa"/>
            <w:gridSpan w:val="2"/>
            <w:tcBorders>
              <w:top w:val="single" w:sz="4" w:space="0" w:color="auto"/>
              <w:left w:val="nil"/>
              <w:bottom w:val="nil"/>
              <w:right w:val="nil"/>
            </w:tcBorders>
            <w:shd w:val="clear" w:color="auto" w:fill="auto"/>
            <w:noWrap/>
            <w:vAlign w:val="center"/>
            <w:hideMark/>
          </w:tcPr>
          <w:p w14:paraId="15138A63" w14:textId="77777777" w:rsidR="00C37365" w:rsidRPr="00601C60" w:rsidRDefault="00C37365" w:rsidP="00C37365">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Small</w:t>
            </w:r>
          </w:p>
        </w:tc>
        <w:tc>
          <w:tcPr>
            <w:tcW w:w="2835" w:type="dxa"/>
            <w:gridSpan w:val="2"/>
            <w:tcBorders>
              <w:top w:val="single" w:sz="4" w:space="0" w:color="auto"/>
              <w:left w:val="nil"/>
              <w:bottom w:val="nil"/>
              <w:right w:val="nil"/>
            </w:tcBorders>
            <w:shd w:val="clear" w:color="auto" w:fill="auto"/>
            <w:noWrap/>
            <w:vAlign w:val="center"/>
            <w:hideMark/>
          </w:tcPr>
          <w:p w14:paraId="29B0BB41" w14:textId="77777777" w:rsidR="00C37365" w:rsidRPr="00601C60" w:rsidRDefault="00C37365" w:rsidP="00C37365">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Medium</w:t>
            </w:r>
          </w:p>
        </w:tc>
        <w:tc>
          <w:tcPr>
            <w:tcW w:w="1076" w:type="dxa"/>
            <w:tcBorders>
              <w:top w:val="single" w:sz="4" w:space="0" w:color="auto"/>
              <w:left w:val="nil"/>
              <w:bottom w:val="nil"/>
              <w:right w:val="nil"/>
            </w:tcBorders>
            <w:shd w:val="clear" w:color="auto" w:fill="auto"/>
            <w:noWrap/>
            <w:vAlign w:val="center"/>
            <w:hideMark/>
          </w:tcPr>
          <w:p w14:paraId="7C0C646E" w14:textId="77777777" w:rsidR="00C37365" w:rsidRPr="00601C60" w:rsidRDefault="00C37365" w:rsidP="00C37365">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Large</w:t>
            </w:r>
          </w:p>
        </w:tc>
      </w:tr>
      <w:tr w:rsidR="00C37365" w:rsidRPr="00C37365" w14:paraId="267BE9A6" w14:textId="77777777" w:rsidTr="000B40A3">
        <w:trPr>
          <w:trHeight w:val="300"/>
          <w:jc w:val="center"/>
        </w:trPr>
        <w:tc>
          <w:tcPr>
            <w:tcW w:w="4111" w:type="dxa"/>
            <w:gridSpan w:val="2"/>
            <w:tcBorders>
              <w:top w:val="nil"/>
              <w:left w:val="nil"/>
              <w:bottom w:val="single" w:sz="4" w:space="0" w:color="auto"/>
              <w:right w:val="nil"/>
            </w:tcBorders>
            <w:shd w:val="clear" w:color="auto" w:fill="auto"/>
            <w:noWrap/>
            <w:vAlign w:val="center"/>
            <w:hideMark/>
          </w:tcPr>
          <w:p w14:paraId="7E99F796" w14:textId="77777777" w:rsidR="00C37365" w:rsidRPr="00601C60" w:rsidRDefault="00C37365" w:rsidP="00C37365">
            <w:pPr>
              <w:spacing w:after="0"/>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276" w:type="dxa"/>
            <w:gridSpan w:val="2"/>
            <w:tcBorders>
              <w:top w:val="nil"/>
              <w:left w:val="nil"/>
              <w:bottom w:val="single" w:sz="4" w:space="0" w:color="auto"/>
              <w:right w:val="nil"/>
            </w:tcBorders>
            <w:shd w:val="clear" w:color="auto" w:fill="auto"/>
            <w:noWrap/>
            <w:vAlign w:val="center"/>
            <w:hideMark/>
          </w:tcPr>
          <w:p w14:paraId="73BC3FCF" w14:textId="77777777" w:rsidR="00C37365" w:rsidRPr="00601C60" w:rsidRDefault="00C37365" w:rsidP="00C37365">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w:t>
            </w:r>
          </w:p>
        </w:tc>
        <w:tc>
          <w:tcPr>
            <w:tcW w:w="2835" w:type="dxa"/>
            <w:gridSpan w:val="2"/>
            <w:tcBorders>
              <w:top w:val="nil"/>
              <w:left w:val="nil"/>
              <w:bottom w:val="single" w:sz="4" w:space="0" w:color="auto"/>
              <w:right w:val="nil"/>
            </w:tcBorders>
            <w:shd w:val="clear" w:color="auto" w:fill="auto"/>
            <w:noWrap/>
            <w:vAlign w:val="center"/>
            <w:hideMark/>
          </w:tcPr>
          <w:p w14:paraId="17E8E4F5" w14:textId="77777777" w:rsidR="00C37365" w:rsidRPr="00601C60" w:rsidRDefault="00C37365" w:rsidP="00C37365">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(2)</w:t>
            </w:r>
          </w:p>
        </w:tc>
        <w:tc>
          <w:tcPr>
            <w:tcW w:w="1076" w:type="dxa"/>
            <w:tcBorders>
              <w:top w:val="nil"/>
              <w:left w:val="nil"/>
              <w:bottom w:val="single" w:sz="4" w:space="0" w:color="auto"/>
              <w:right w:val="nil"/>
            </w:tcBorders>
            <w:shd w:val="clear" w:color="auto" w:fill="auto"/>
            <w:noWrap/>
            <w:vAlign w:val="center"/>
            <w:hideMark/>
          </w:tcPr>
          <w:p w14:paraId="5CA44F1D" w14:textId="77777777" w:rsidR="00C37365" w:rsidRPr="00601C60" w:rsidRDefault="00C37365" w:rsidP="00C37365">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(3)</w:t>
            </w:r>
          </w:p>
        </w:tc>
      </w:tr>
      <w:tr w:rsidR="00C37365" w:rsidRPr="00C37365" w14:paraId="3D138854" w14:textId="77777777" w:rsidTr="000B40A3">
        <w:trPr>
          <w:trHeight w:val="300"/>
          <w:jc w:val="center"/>
        </w:trPr>
        <w:tc>
          <w:tcPr>
            <w:tcW w:w="3271" w:type="dxa"/>
            <w:tcBorders>
              <w:top w:val="nil"/>
              <w:left w:val="nil"/>
              <w:bottom w:val="nil"/>
              <w:right w:val="nil"/>
            </w:tcBorders>
            <w:shd w:val="clear" w:color="auto" w:fill="D5E2F1"/>
            <w:noWrap/>
            <w:vAlign w:val="center"/>
            <w:hideMark/>
          </w:tcPr>
          <w:p w14:paraId="7ABF3E2C" w14:textId="78787D77" w:rsidR="00C37365" w:rsidRPr="00601C60" w:rsidRDefault="00C37365" w:rsidP="00C642AE">
            <w:pPr>
              <w:pStyle w:val="TableColumnHeadingBase"/>
              <w:rPr>
                <w:lang w:eastAsia="en-AU"/>
              </w:rPr>
            </w:pPr>
            <w:r w:rsidRPr="00601C60">
              <w:rPr>
                <w:lang w:eastAsia="en-AU"/>
              </w:rPr>
              <w:t xml:space="preserve">Distance </w:t>
            </w:r>
            <w:r w:rsidR="00C642AE">
              <w:rPr>
                <w:lang w:eastAsia="en-AU"/>
              </w:rPr>
              <w:t>f</w:t>
            </w:r>
            <w:r w:rsidRPr="00601C60">
              <w:rPr>
                <w:lang w:eastAsia="en-AU"/>
              </w:rPr>
              <w:t xml:space="preserve">rom </w:t>
            </w:r>
            <w:r w:rsidR="00EA7383">
              <w:rPr>
                <w:lang w:eastAsia="en-AU"/>
              </w:rPr>
              <w:t>f</w:t>
            </w:r>
            <w:r w:rsidRPr="00601C60">
              <w:rPr>
                <w:lang w:eastAsia="en-AU"/>
              </w:rPr>
              <w:t>rontier</w:t>
            </w:r>
          </w:p>
        </w:tc>
        <w:tc>
          <w:tcPr>
            <w:tcW w:w="1904" w:type="dxa"/>
            <w:gridSpan w:val="2"/>
            <w:tcBorders>
              <w:top w:val="nil"/>
              <w:left w:val="nil"/>
              <w:bottom w:val="nil"/>
              <w:right w:val="nil"/>
            </w:tcBorders>
            <w:shd w:val="clear" w:color="auto" w:fill="D5E2F1"/>
            <w:noWrap/>
            <w:vAlign w:val="center"/>
            <w:hideMark/>
          </w:tcPr>
          <w:p w14:paraId="15C11905" w14:textId="42C24965"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w:t>
            </w:r>
            <w:r w:rsidR="00107C8A" w:rsidRPr="00601C60">
              <w:rPr>
                <w:rFonts w:asciiTheme="majorHAnsi" w:eastAsia="Times New Roman" w:hAnsiTheme="majorHAnsi" w:cstheme="majorHAnsi"/>
                <w:color w:val="000000"/>
                <w:sz w:val="16"/>
                <w:szCs w:val="16"/>
                <w:lang w:eastAsia="en-AU"/>
              </w:rPr>
              <w:t>20</w:t>
            </w:r>
            <w:r w:rsidRPr="00601C60">
              <w:rPr>
                <w:rFonts w:asciiTheme="majorHAnsi" w:eastAsia="Times New Roman" w:hAnsiTheme="majorHAnsi" w:cstheme="majorHAnsi"/>
                <w:color w:val="000000"/>
                <w:sz w:val="16"/>
                <w:szCs w:val="16"/>
                <w:lang w:eastAsia="en-AU"/>
              </w:rPr>
              <w:t>***</w:t>
            </w:r>
          </w:p>
        </w:tc>
        <w:tc>
          <w:tcPr>
            <w:tcW w:w="2012" w:type="dxa"/>
            <w:gridSpan w:val="2"/>
            <w:tcBorders>
              <w:top w:val="nil"/>
              <w:left w:val="nil"/>
              <w:bottom w:val="nil"/>
              <w:right w:val="nil"/>
            </w:tcBorders>
            <w:shd w:val="clear" w:color="auto" w:fill="D5E2F1"/>
            <w:noWrap/>
            <w:vAlign w:val="center"/>
            <w:hideMark/>
          </w:tcPr>
          <w:p w14:paraId="2BE9922F" w14:textId="41CE9E1C"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0.3</w:t>
            </w:r>
            <w:r w:rsidR="00107C8A" w:rsidRPr="00601C60">
              <w:rPr>
                <w:rFonts w:asciiTheme="majorHAnsi" w:eastAsia="Times New Roman" w:hAnsiTheme="majorHAnsi" w:cstheme="majorHAnsi"/>
                <w:color w:val="000000"/>
                <w:sz w:val="16"/>
                <w:szCs w:val="16"/>
                <w:lang w:eastAsia="en-AU"/>
              </w:rPr>
              <w:t>94</w:t>
            </w:r>
            <w:r w:rsidRPr="00601C60">
              <w:rPr>
                <w:rFonts w:asciiTheme="majorHAnsi" w:eastAsia="Times New Roman" w:hAnsiTheme="majorHAnsi" w:cstheme="majorHAnsi"/>
                <w:color w:val="000000"/>
                <w:sz w:val="16"/>
                <w:szCs w:val="16"/>
                <w:lang w:eastAsia="en-AU"/>
              </w:rPr>
              <w:t>***</w:t>
            </w:r>
          </w:p>
        </w:tc>
        <w:tc>
          <w:tcPr>
            <w:tcW w:w="2111" w:type="dxa"/>
            <w:gridSpan w:val="2"/>
            <w:tcBorders>
              <w:top w:val="nil"/>
              <w:left w:val="nil"/>
              <w:bottom w:val="nil"/>
              <w:right w:val="nil"/>
            </w:tcBorders>
            <w:shd w:val="clear" w:color="auto" w:fill="D5E2F1"/>
            <w:noWrap/>
            <w:vAlign w:val="center"/>
            <w:hideMark/>
          </w:tcPr>
          <w:p w14:paraId="3A99E5D9" w14:textId="508C6160" w:rsidR="00C37365" w:rsidRPr="00601C60" w:rsidRDefault="00077256"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0.3</w:t>
            </w:r>
            <w:r w:rsidR="00107C8A" w:rsidRPr="00601C60">
              <w:rPr>
                <w:rFonts w:asciiTheme="majorHAnsi" w:eastAsia="Times New Roman" w:hAnsiTheme="majorHAnsi" w:cstheme="majorHAnsi"/>
                <w:color w:val="000000"/>
                <w:sz w:val="16"/>
                <w:szCs w:val="16"/>
                <w:lang w:eastAsia="en-AU"/>
              </w:rPr>
              <w:t>63</w:t>
            </w:r>
            <w:r w:rsidR="00C37365" w:rsidRPr="00601C60">
              <w:rPr>
                <w:rFonts w:asciiTheme="majorHAnsi" w:eastAsia="Times New Roman" w:hAnsiTheme="majorHAnsi" w:cstheme="majorHAnsi"/>
                <w:color w:val="000000"/>
                <w:sz w:val="16"/>
                <w:szCs w:val="16"/>
                <w:lang w:eastAsia="en-AU"/>
              </w:rPr>
              <w:t>***</w:t>
            </w:r>
          </w:p>
        </w:tc>
      </w:tr>
      <w:tr w:rsidR="00C37365" w:rsidRPr="00C37365" w14:paraId="61BCAA68" w14:textId="77777777" w:rsidTr="000B40A3">
        <w:trPr>
          <w:trHeight w:val="300"/>
          <w:jc w:val="center"/>
        </w:trPr>
        <w:tc>
          <w:tcPr>
            <w:tcW w:w="3271" w:type="dxa"/>
            <w:tcBorders>
              <w:top w:val="nil"/>
              <w:left w:val="nil"/>
              <w:bottom w:val="nil"/>
              <w:right w:val="nil"/>
            </w:tcBorders>
            <w:shd w:val="clear" w:color="auto" w:fill="auto"/>
            <w:noWrap/>
            <w:vAlign w:val="center"/>
            <w:hideMark/>
          </w:tcPr>
          <w:p w14:paraId="3161D7D5" w14:textId="77777777" w:rsidR="00C37365" w:rsidRPr="00601C60" w:rsidRDefault="00C37365" w:rsidP="00C642AE">
            <w:pPr>
              <w:pStyle w:val="TableColumnHeadingBase"/>
              <w:rPr>
                <w:lang w:eastAsia="en-AU"/>
              </w:rPr>
            </w:pPr>
          </w:p>
        </w:tc>
        <w:tc>
          <w:tcPr>
            <w:tcW w:w="1904" w:type="dxa"/>
            <w:gridSpan w:val="2"/>
            <w:tcBorders>
              <w:top w:val="nil"/>
              <w:left w:val="nil"/>
              <w:bottom w:val="nil"/>
              <w:right w:val="nil"/>
            </w:tcBorders>
            <w:shd w:val="clear" w:color="auto" w:fill="auto"/>
            <w:vAlign w:val="center"/>
            <w:hideMark/>
          </w:tcPr>
          <w:p w14:paraId="11A1CDA4" w14:textId="6A864E35" w:rsidR="00C37365" w:rsidRPr="00601C60" w:rsidRDefault="00C37365" w:rsidP="00601C60">
            <w:pPr>
              <w:spacing w:after="0"/>
              <w:jc w:val="right"/>
              <w:rPr>
                <w:rFonts w:asciiTheme="majorHAnsi" w:eastAsia="Times New Roman" w:hAnsiTheme="majorHAnsi" w:cstheme="majorHAnsi"/>
                <w:color w:val="auto"/>
                <w:sz w:val="16"/>
                <w:szCs w:val="16"/>
                <w:lang w:eastAsia="en-AU"/>
              </w:rPr>
            </w:pPr>
            <w:r w:rsidRPr="00601C60">
              <w:rPr>
                <w:rFonts w:asciiTheme="majorHAnsi" w:eastAsia="Times New Roman" w:hAnsiTheme="majorHAnsi" w:cstheme="majorHAnsi"/>
                <w:color w:val="auto"/>
                <w:sz w:val="16"/>
                <w:szCs w:val="16"/>
                <w:lang w:eastAsia="en-AU"/>
              </w:rPr>
              <w:t>(0.00</w:t>
            </w:r>
            <w:r w:rsidR="00107C8A" w:rsidRPr="00601C60">
              <w:rPr>
                <w:rFonts w:asciiTheme="majorHAnsi" w:eastAsia="Times New Roman" w:hAnsiTheme="majorHAnsi" w:cstheme="majorHAnsi"/>
                <w:color w:val="auto"/>
                <w:sz w:val="16"/>
                <w:szCs w:val="16"/>
                <w:lang w:eastAsia="en-AU"/>
              </w:rPr>
              <w:t>2</w:t>
            </w:r>
            <w:r w:rsidRPr="00601C60">
              <w:rPr>
                <w:rFonts w:asciiTheme="majorHAnsi" w:eastAsia="Times New Roman" w:hAnsiTheme="majorHAnsi" w:cstheme="majorHAnsi"/>
                <w:color w:val="auto"/>
                <w:sz w:val="16"/>
                <w:szCs w:val="16"/>
                <w:lang w:eastAsia="en-AU"/>
              </w:rPr>
              <w:t>)</w:t>
            </w:r>
          </w:p>
        </w:tc>
        <w:tc>
          <w:tcPr>
            <w:tcW w:w="2012" w:type="dxa"/>
            <w:gridSpan w:val="2"/>
            <w:tcBorders>
              <w:top w:val="nil"/>
              <w:left w:val="nil"/>
              <w:bottom w:val="nil"/>
              <w:right w:val="nil"/>
            </w:tcBorders>
            <w:shd w:val="clear" w:color="auto" w:fill="auto"/>
            <w:vAlign w:val="center"/>
            <w:hideMark/>
          </w:tcPr>
          <w:p w14:paraId="075AB618" w14:textId="72EDD764" w:rsidR="00C37365" w:rsidRPr="00601C60" w:rsidRDefault="00C37365" w:rsidP="00601C60">
            <w:pPr>
              <w:spacing w:after="0"/>
              <w:jc w:val="right"/>
              <w:rPr>
                <w:rFonts w:asciiTheme="majorHAnsi" w:eastAsia="Times New Roman" w:hAnsiTheme="majorHAnsi" w:cstheme="majorHAnsi"/>
                <w:color w:val="auto"/>
                <w:sz w:val="16"/>
                <w:szCs w:val="16"/>
                <w:lang w:eastAsia="en-AU"/>
              </w:rPr>
            </w:pPr>
            <w:r w:rsidRPr="00601C60">
              <w:rPr>
                <w:rFonts w:asciiTheme="majorHAnsi" w:eastAsia="Times New Roman" w:hAnsiTheme="majorHAnsi" w:cstheme="majorHAnsi"/>
                <w:color w:val="auto"/>
                <w:sz w:val="16"/>
                <w:szCs w:val="16"/>
                <w:lang w:eastAsia="en-AU"/>
              </w:rPr>
              <w:t>(0.00</w:t>
            </w:r>
            <w:r w:rsidR="00107C8A" w:rsidRPr="00601C60">
              <w:rPr>
                <w:rFonts w:asciiTheme="majorHAnsi" w:eastAsia="Times New Roman" w:hAnsiTheme="majorHAnsi" w:cstheme="majorHAnsi"/>
                <w:color w:val="auto"/>
                <w:sz w:val="16"/>
                <w:szCs w:val="16"/>
                <w:lang w:eastAsia="en-AU"/>
              </w:rPr>
              <w:t>4</w:t>
            </w:r>
            <w:r w:rsidRPr="00601C60">
              <w:rPr>
                <w:rFonts w:asciiTheme="majorHAnsi" w:eastAsia="Times New Roman" w:hAnsiTheme="majorHAnsi" w:cstheme="majorHAnsi"/>
                <w:color w:val="auto"/>
                <w:sz w:val="16"/>
                <w:szCs w:val="16"/>
                <w:lang w:eastAsia="en-AU"/>
              </w:rPr>
              <w:t>)</w:t>
            </w:r>
          </w:p>
        </w:tc>
        <w:tc>
          <w:tcPr>
            <w:tcW w:w="2111" w:type="dxa"/>
            <w:gridSpan w:val="2"/>
            <w:tcBorders>
              <w:top w:val="nil"/>
              <w:left w:val="nil"/>
              <w:bottom w:val="nil"/>
              <w:right w:val="nil"/>
            </w:tcBorders>
            <w:shd w:val="clear" w:color="auto" w:fill="auto"/>
            <w:vAlign w:val="center"/>
            <w:hideMark/>
          </w:tcPr>
          <w:p w14:paraId="3E085BF5" w14:textId="29AC0D83" w:rsidR="00C37365" w:rsidRPr="00601C60" w:rsidRDefault="00C37365" w:rsidP="00601C60">
            <w:pPr>
              <w:spacing w:after="0"/>
              <w:jc w:val="right"/>
              <w:rPr>
                <w:rFonts w:asciiTheme="majorHAnsi" w:eastAsia="Times New Roman" w:hAnsiTheme="majorHAnsi" w:cstheme="majorHAnsi"/>
                <w:color w:val="auto"/>
                <w:sz w:val="16"/>
                <w:szCs w:val="16"/>
                <w:lang w:eastAsia="en-AU"/>
              </w:rPr>
            </w:pPr>
            <w:r w:rsidRPr="00601C60">
              <w:rPr>
                <w:rFonts w:asciiTheme="majorHAnsi" w:eastAsia="Times New Roman" w:hAnsiTheme="majorHAnsi" w:cstheme="majorHAnsi"/>
                <w:color w:val="auto"/>
                <w:sz w:val="16"/>
                <w:szCs w:val="16"/>
                <w:lang w:eastAsia="en-AU"/>
              </w:rPr>
              <w:t>(0.0</w:t>
            </w:r>
            <w:r w:rsidR="00077256" w:rsidRPr="00601C60">
              <w:rPr>
                <w:rFonts w:asciiTheme="majorHAnsi" w:eastAsia="Times New Roman" w:hAnsiTheme="majorHAnsi" w:cstheme="majorHAnsi"/>
                <w:color w:val="auto"/>
                <w:sz w:val="16"/>
                <w:szCs w:val="16"/>
                <w:lang w:eastAsia="en-AU"/>
              </w:rPr>
              <w:t>3</w:t>
            </w:r>
            <w:r w:rsidR="00107C8A" w:rsidRPr="00601C60">
              <w:rPr>
                <w:rFonts w:asciiTheme="majorHAnsi" w:eastAsia="Times New Roman" w:hAnsiTheme="majorHAnsi" w:cstheme="majorHAnsi"/>
                <w:color w:val="auto"/>
                <w:sz w:val="16"/>
                <w:szCs w:val="16"/>
                <w:lang w:eastAsia="en-AU"/>
              </w:rPr>
              <w:t>1</w:t>
            </w:r>
            <w:r w:rsidRPr="00601C60">
              <w:rPr>
                <w:rFonts w:asciiTheme="majorHAnsi" w:eastAsia="Times New Roman" w:hAnsiTheme="majorHAnsi" w:cstheme="majorHAnsi"/>
                <w:color w:val="auto"/>
                <w:sz w:val="16"/>
                <w:szCs w:val="16"/>
                <w:lang w:eastAsia="en-AU"/>
              </w:rPr>
              <w:t>)</w:t>
            </w:r>
          </w:p>
        </w:tc>
      </w:tr>
      <w:tr w:rsidR="00C37365" w:rsidRPr="00C37365" w14:paraId="3B8169C8" w14:textId="77777777" w:rsidTr="000B40A3">
        <w:trPr>
          <w:trHeight w:val="300"/>
          <w:jc w:val="center"/>
        </w:trPr>
        <w:tc>
          <w:tcPr>
            <w:tcW w:w="3271" w:type="dxa"/>
            <w:tcBorders>
              <w:top w:val="nil"/>
              <w:left w:val="nil"/>
              <w:bottom w:val="nil"/>
              <w:right w:val="nil"/>
            </w:tcBorders>
            <w:shd w:val="clear" w:color="auto" w:fill="D5E2F1"/>
            <w:noWrap/>
            <w:vAlign w:val="center"/>
            <w:hideMark/>
          </w:tcPr>
          <w:p w14:paraId="1DE240E8" w14:textId="77777777" w:rsidR="00C37365" w:rsidRPr="00601C60" w:rsidRDefault="00C37365" w:rsidP="00C642AE">
            <w:pPr>
              <w:pStyle w:val="TableColumnHeadingBase"/>
              <w:rPr>
                <w:lang w:eastAsia="en-AU"/>
              </w:rPr>
            </w:pPr>
            <w:r w:rsidRPr="00601C60">
              <w:rPr>
                <w:lang w:eastAsia="en-AU"/>
              </w:rPr>
              <w:t>Young</w:t>
            </w:r>
          </w:p>
        </w:tc>
        <w:tc>
          <w:tcPr>
            <w:tcW w:w="1904" w:type="dxa"/>
            <w:gridSpan w:val="2"/>
            <w:tcBorders>
              <w:top w:val="nil"/>
              <w:left w:val="nil"/>
              <w:bottom w:val="nil"/>
              <w:right w:val="nil"/>
            </w:tcBorders>
            <w:shd w:val="clear" w:color="auto" w:fill="D5E2F1"/>
            <w:noWrap/>
            <w:vAlign w:val="bottom"/>
            <w:hideMark/>
          </w:tcPr>
          <w:p w14:paraId="0BE0D80E" w14:textId="0AA30404"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0.01</w:t>
            </w:r>
            <w:r w:rsidR="00107C8A" w:rsidRPr="00601C60">
              <w:rPr>
                <w:rFonts w:asciiTheme="majorHAnsi" w:eastAsia="Times New Roman" w:hAnsiTheme="majorHAnsi" w:cstheme="majorHAnsi"/>
                <w:color w:val="000000"/>
                <w:sz w:val="16"/>
                <w:szCs w:val="16"/>
                <w:lang w:eastAsia="en-AU"/>
              </w:rPr>
              <w:t>2</w:t>
            </w:r>
            <w:r w:rsidRPr="00601C60">
              <w:rPr>
                <w:rFonts w:asciiTheme="majorHAnsi" w:eastAsia="Times New Roman" w:hAnsiTheme="majorHAnsi" w:cstheme="majorHAnsi"/>
                <w:color w:val="000000"/>
                <w:sz w:val="16"/>
                <w:szCs w:val="16"/>
                <w:lang w:eastAsia="en-AU"/>
              </w:rPr>
              <w:t>***</w:t>
            </w:r>
          </w:p>
        </w:tc>
        <w:tc>
          <w:tcPr>
            <w:tcW w:w="2012" w:type="dxa"/>
            <w:gridSpan w:val="2"/>
            <w:tcBorders>
              <w:top w:val="nil"/>
              <w:left w:val="nil"/>
              <w:bottom w:val="nil"/>
              <w:right w:val="nil"/>
            </w:tcBorders>
            <w:shd w:val="clear" w:color="auto" w:fill="D5E2F1"/>
            <w:noWrap/>
            <w:vAlign w:val="center"/>
            <w:hideMark/>
          </w:tcPr>
          <w:p w14:paraId="4BCD4769" w14:textId="261321DD" w:rsidR="00C37365"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C37365" w:rsidRPr="00601C60">
              <w:rPr>
                <w:rFonts w:asciiTheme="majorHAnsi" w:eastAsia="Times New Roman" w:hAnsiTheme="majorHAnsi" w:cstheme="majorHAnsi"/>
                <w:color w:val="000000"/>
                <w:sz w:val="16"/>
                <w:szCs w:val="16"/>
                <w:lang w:eastAsia="en-AU"/>
              </w:rPr>
              <w:t>0.</w:t>
            </w:r>
            <w:r w:rsidR="00077256" w:rsidRPr="00601C60">
              <w:rPr>
                <w:rFonts w:asciiTheme="majorHAnsi" w:eastAsia="Times New Roman" w:hAnsiTheme="majorHAnsi" w:cstheme="majorHAnsi"/>
                <w:color w:val="000000"/>
                <w:sz w:val="16"/>
                <w:szCs w:val="16"/>
                <w:lang w:eastAsia="en-AU"/>
              </w:rPr>
              <w:t>00186</w:t>
            </w:r>
          </w:p>
        </w:tc>
        <w:tc>
          <w:tcPr>
            <w:tcW w:w="2111" w:type="dxa"/>
            <w:gridSpan w:val="2"/>
            <w:tcBorders>
              <w:top w:val="nil"/>
              <w:left w:val="nil"/>
              <w:bottom w:val="nil"/>
              <w:right w:val="nil"/>
            </w:tcBorders>
            <w:shd w:val="clear" w:color="auto" w:fill="D5E2F1"/>
            <w:noWrap/>
            <w:vAlign w:val="bottom"/>
            <w:hideMark/>
          </w:tcPr>
          <w:p w14:paraId="1D395513" w14:textId="6047F8F2"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w:t>
            </w:r>
            <w:r w:rsidR="00107C8A" w:rsidRPr="00601C60">
              <w:rPr>
                <w:rFonts w:asciiTheme="majorHAnsi" w:eastAsia="Times New Roman" w:hAnsiTheme="majorHAnsi" w:cstheme="majorHAnsi"/>
                <w:color w:val="000000"/>
                <w:sz w:val="16"/>
                <w:szCs w:val="16"/>
                <w:lang w:eastAsia="en-AU"/>
              </w:rPr>
              <w:t>26</w:t>
            </w:r>
          </w:p>
        </w:tc>
      </w:tr>
      <w:tr w:rsidR="00C37365" w:rsidRPr="00C37365" w14:paraId="548C320F" w14:textId="77777777" w:rsidTr="000B40A3">
        <w:trPr>
          <w:trHeight w:val="300"/>
          <w:jc w:val="center"/>
        </w:trPr>
        <w:tc>
          <w:tcPr>
            <w:tcW w:w="3271" w:type="dxa"/>
            <w:tcBorders>
              <w:top w:val="nil"/>
              <w:left w:val="nil"/>
              <w:bottom w:val="nil"/>
              <w:right w:val="nil"/>
            </w:tcBorders>
            <w:shd w:val="clear" w:color="auto" w:fill="auto"/>
            <w:noWrap/>
            <w:vAlign w:val="center"/>
            <w:hideMark/>
          </w:tcPr>
          <w:p w14:paraId="6EC3FA1D" w14:textId="77777777" w:rsidR="00C37365" w:rsidRPr="00601C60" w:rsidRDefault="00C37365" w:rsidP="00C642AE">
            <w:pPr>
              <w:pStyle w:val="TableColumnHeadingBase"/>
              <w:rPr>
                <w:lang w:eastAsia="en-AU"/>
              </w:rPr>
            </w:pPr>
          </w:p>
        </w:tc>
        <w:tc>
          <w:tcPr>
            <w:tcW w:w="1904" w:type="dxa"/>
            <w:gridSpan w:val="2"/>
            <w:tcBorders>
              <w:top w:val="nil"/>
              <w:left w:val="nil"/>
              <w:bottom w:val="nil"/>
              <w:right w:val="nil"/>
            </w:tcBorders>
            <w:shd w:val="clear" w:color="auto" w:fill="auto"/>
            <w:noWrap/>
            <w:vAlign w:val="bottom"/>
            <w:hideMark/>
          </w:tcPr>
          <w:p w14:paraId="6F5F3048" w14:textId="185EDAB7"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(0.001)</w:t>
            </w:r>
          </w:p>
        </w:tc>
        <w:tc>
          <w:tcPr>
            <w:tcW w:w="2012" w:type="dxa"/>
            <w:gridSpan w:val="2"/>
            <w:tcBorders>
              <w:top w:val="nil"/>
              <w:left w:val="nil"/>
              <w:bottom w:val="nil"/>
              <w:right w:val="nil"/>
            </w:tcBorders>
            <w:shd w:val="clear" w:color="auto" w:fill="auto"/>
            <w:noWrap/>
            <w:vAlign w:val="center"/>
            <w:hideMark/>
          </w:tcPr>
          <w:p w14:paraId="31CC1CD7" w14:textId="780B67F0"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077256" w:rsidRPr="00601C60">
              <w:rPr>
                <w:rFonts w:asciiTheme="majorHAnsi" w:eastAsia="Times New Roman" w:hAnsiTheme="majorHAnsi" w:cstheme="majorHAnsi"/>
                <w:color w:val="000000"/>
                <w:sz w:val="16"/>
                <w:szCs w:val="16"/>
                <w:lang w:eastAsia="en-AU"/>
              </w:rPr>
              <w:t>283</w:t>
            </w:r>
            <w:r w:rsidRPr="00601C60">
              <w:rPr>
                <w:rFonts w:asciiTheme="majorHAnsi" w:eastAsia="Times New Roman" w:hAnsiTheme="majorHAnsi" w:cstheme="majorHAnsi"/>
                <w:color w:val="000000"/>
                <w:sz w:val="16"/>
                <w:szCs w:val="16"/>
                <w:lang w:eastAsia="en-AU"/>
              </w:rPr>
              <w:t>)</w:t>
            </w:r>
          </w:p>
        </w:tc>
        <w:tc>
          <w:tcPr>
            <w:tcW w:w="2111" w:type="dxa"/>
            <w:gridSpan w:val="2"/>
            <w:tcBorders>
              <w:top w:val="nil"/>
              <w:left w:val="nil"/>
              <w:bottom w:val="nil"/>
              <w:right w:val="nil"/>
            </w:tcBorders>
            <w:shd w:val="clear" w:color="auto" w:fill="auto"/>
            <w:noWrap/>
            <w:vAlign w:val="bottom"/>
            <w:hideMark/>
          </w:tcPr>
          <w:p w14:paraId="7E7B201F" w14:textId="4C1B88BB"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w:t>
            </w:r>
            <w:r w:rsidR="00107C8A" w:rsidRPr="00601C60">
              <w:rPr>
                <w:rFonts w:asciiTheme="majorHAnsi" w:eastAsia="Times New Roman" w:hAnsiTheme="majorHAnsi" w:cstheme="majorHAnsi"/>
                <w:color w:val="000000"/>
                <w:sz w:val="16"/>
                <w:szCs w:val="16"/>
                <w:lang w:eastAsia="en-AU"/>
              </w:rPr>
              <w:t>29</w:t>
            </w:r>
            <w:r w:rsidRPr="00601C60">
              <w:rPr>
                <w:rFonts w:asciiTheme="majorHAnsi" w:eastAsia="Times New Roman" w:hAnsiTheme="majorHAnsi" w:cstheme="majorHAnsi"/>
                <w:color w:val="000000"/>
                <w:sz w:val="16"/>
                <w:szCs w:val="16"/>
                <w:lang w:eastAsia="en-AU"/>
              </w:rPr>
              <w:t>)</w:t>
            </w:r>
          </w:p>
        </w:tc>
      </w:tr>
      <w:tr w:rsidR="00C37365" w:rsidRPr="00C37365" w14:paraId="54A7F767" w14:textId="77777777" w:rsidTr="000B40A3">
        <w:trPr>
          <w:trHeight w:val="300"/>
          <w:jc w:val="center"/>
        </w:trPr>
        <w:tc>
          <w:tcPr>
            <w:tcW w:w="3271" w:type="dxa"/>
            <w:tcBorders>
              <w:top w:val="nil"/>
              <w:left w:val="nil"/>
              <w:bottom w:val="nil"/>
              <w:right w:val="nil"/>
            </w:tcBorders>
            <w:shd w:val="clear" w:color="auto" w:fill="D5E2F1"/>
            <w:noWrap/>
            <w:vAlign w:val="center"/>
            <w:hideMark/>
          </w:tcPr>
          <w:p w14:paraId="21693966" w14:textId="2524F2C0" w:rsidR="00C37365" w:rsidRPr="00601C60" w:rsidRDefault="00C37365" w:rsidP="00C642AE">
            <w:pPr>
              <w:pStyle w:val="TableColumnHeadingBase"/>
              <w:rPr>
                <w:lang w:eastAsia="en-AU"/>
              </w:rPr>
            </w:pPr>
            <w:r w:rsidRPr="00601C60">
              <w:rPr>
                <w:lang w:eastAsia="en-AU"/>
              </w:rPr>
              <w:t xml:space="preserve">Young x </w:t>
            </w:r>
            <w:r w:rsidR="00C642AE">
              <w:rPr>
                <w:lang w:eastAsia="en-AU"/>
              </w:rPr>
              <w:t>d</w:t>
            </w:r>
            <w:r w:rsidRPr="00601C60">
              <w:rPr>
                <w:lang w:eastAsia="en-AU"/>
              </w:rPr>
              <w:t xml:space="preserve">istance </w:t>
            </w:r>
            <w:r w:rsidR="00C642AE">
              <w:rPr>
                <w:lang w:eastAsia="en-AU"/>
              </w:rPr>
              <w:t>f</w:t>
            </w:r>
            <w:r w:rsidRPr="00601C60">
              <w:rPr>
                <w:lang w:eastAsia="en-AU"/>
              </w:rPr>
              <w:t xml:space="preserve">rom </w:t>
            </w:r>
            <w:r w:rsidR="00C642AE">
              <w:rPr>
                <w:lang w:eastAsia="en-AU"/>
              </w:rPr>
              <w:t>f</w:t>
            </w:r>
            <w:r w:rsidRPr="00601C60">
              <w:rPr>
                <w:lang w:eastAsia="en-AU"/>
              </w:rPr>
              <w:t>rontier</w:t>
            </w:r>
          </w:p>
        </w:tc>
        <w:tc>
          <w:tcPr>
            <w:tcW w:w="1904" w:type="dxa"/>
            <w:gridSpan w:val="2"/>
            <w:tcBorders>
              <w:top w:val="nil"/>
              <w:left w:val="nil"/>
              <w:bottom w:val="nil"/>
              <w:right w:val="nil"/>
            </w:tcBorders>
            <w:shd w:val="clear" w:color="auto" w:fill="D5E2F1"/>
            <w:noWrap/>
            <w:vAlign w:val="bottom"/>
            <w:hideMark/>
          </w:tcPr>
          <w:p w14:paraId="5CCBD0A0" w14:textId="05A7D411"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w:t>
            </w:r>
            <w:r w:rsidR="00107C8A" w:rsidRPr="00601C60">
              <w:rPr>
                <w:rFonts w:asciiTheme="majorHAnsi" w:eastAsia="Times New Roman" w:hAnsiTheme="majorHAnsi" w:cstheme="majorHAnsi"/>
                <w:color w:val="000000"/>
                <w:sz w:val="16"/>
                <w:szCs w:val="16"/>
                <w:lang w:eastAsia="en-AU"/>
              </w:rPr>
              <w:t>30</w:t>
            </w:r>
            <w:r w:rsidRPr="00601C60">
              <w:rPr>
                <w:rFonts w:asciiTheme="majorHAnsi" w:eastAsia="Times New Roman" w:hAnsiTheme="majorHAnsi" w:cstheme="majorHAnsi"/>
                <w:color w:val="000000"/>
                <w:sz w:val="16"/>
                <w:szCs w:val="16"/>
                <w:lang w:eastAsia="en-AU"/>
              </w:rPr>
              <w:t>***</w:t>
            </w:r>
          </w:p>
        </w:tc>
        <w:tc>
          <w:tcPr>
            <w:tcW w:w="2012" w:type="dxa"/>
            <w:gridSpan w:val="2"/>
            <w:tcBorders>
              <w:top w:val="nil"/>
              <w:left w:val="nil"/>
              <w:bottom w:val="nil"/>
              <w:right w:val="nil"/>
            </w:tcBorders>
            <w:shd w:val="clear" w:color="auto" w:fill="D5E2F1"/>
            <w:noWrap/>
            <w:vAlign w:val="center"/>
            <w:hideMark/>
          </w:tcPr>
          <w:p w14:paraId="120F6A69" w14:textId="79034AD9"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w:t>
            </w:r>
            <w:r w:rsidR="00107C8A" w:rsidRPr="00601C60">
              <w:rPr>
                <w:rFonts w:asciiTheme="majorHAnsi" w:eastAsia="Times New Roman" w:hAnsiTheme="majorHAnsi" w:cstheme="majorHAnsi"/>
                <w:color w:val="000000"/>
                <w:sz w:val="16"/>
                <w:szCs w:val="16"/>
                <w:lang w:eastAsia="en-AU"/>
              </w:rPr>
              <w:t>037</w:t>
            </w:r>
            <w:r w:rsidR="00077256" w:rsidRPr="00601C60">
              <w:rPr>
                <w:rFonts w:asciiTheme="majorHAnsi" w:eastAsia="Times New Roman" w:hAnsiTheme="majorHAnsi" w:cstheme="majorHAnsi"/>
                <w:color w:val="000000"/>
                <w:sz w:val="16"/>
                <w:szCs w:val="16"/>
                <w:lang w:eastAsia="en-AU"/>
              </w:rPr>
              <w:t>*</w:t>
            </w:r>
            <w:r w:rsidRPr="00601C60">
              <w:rPr>
                <w:rFonts w:asciiTheme="majorHAnsi" w:eastAsia="Times New Roman" w:hAnsiTheme="majorHAnsi" w:cstheme="majorHAnsi"/>
                <w:color w:val="000000"/>
                <w:sz w:val="16"/>
                <w:szCs w:val="16"/>
                <w:lang w:eastAsia="en-AU"/>
              </w:rPr>
              <w:t>**</w:t>
            </w:r>
          </w:p>
        </w:tc>
        <w:tc>
          <w:tcPr>
            <w:tcW w:w="2111" w:type="dxa"/>
            <w:gridSpan w:val="2"/>
            <w:tcBorders>
              <w:top w:val="nil"/>
              <w:left w:val="nil"/>
              <w:bottom w:val="nil"/>
              <w:right w:val="nil"/>
            </w:tcBorders>
            <w:shd w:val="clear" w:color="auto" w:fill="D5E2F1"/>
            <w:noWrap/>
            <w:vAlign w:val="bottom"/>
            <w:hideMark/>
          </w:tcPr>
          <w:p w14:paraId="74720147" w14:textId="3F48133E"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0.1</w:t>
            </w:r>
            <w:r w:rsidR="00107C8A" w:rsidRPr="00601C60">
              <w:rPr>
                <w:rFonts w:asciiTheme="majorHAnsi" w:eastAsia="Times New Roman" w:hAnsiTheme="majorHAnsi" w:cstheme="majorHAnsi"/>
                <w:color w:val="000000"/>
                <w:sz w:val="16"/>
                <w:szCs w:val="16"/>
                <w:lang w:eastAsia="en-AU"/>
              </w:rPr>
              <w:t>33</w:t>
            </w:r>
            <w:r w:rsidRPr="00601C60">
              <w:rPr>
                <w:rFonts w:asciiTheme="majorHAnsi" w:eastAsia="Times New Roman" w:hAnsiTheme="majorHAnsi" w:cstheme="majorHAnsi"/>
                <w:color w:val="000000"/>
                <w:sz w:val="16"/>
                <w:szCs w:val="16"/>
                <w:lang w:eastAsia="en-AU"/>
              </w:rPr>
              <w:t>**</w:t>
            </w:r>
          </w:p>
        </w:tc>
      </w:tr>
      <w:tr w:rsidR="00C37365" w:rsidRPr="00C37365" w14:paraId="5D74684B" w14:textId="77777777" w:rsidTr="000B40A3">
        <w:trPr>
          <w:trHeight w:val="300"/>
          <w:jc w:val="center"/>
        </w:trPr>
        <w:tc>
          <w:tcPr>
            <w:tcW w:w="3271" w:type="dxa"/>
            <w:tcBorders>
              <w:top w:val="nil"/>
              <w:left w:val="nil"/>
              <w:bottom w:val="nil"/>
              <w:right w:val="nil"/>
            </w:tcBorders>
            <w:shd w:val="clear" w:color="auto" w:fill="auto"/>
            <w:noWrap/>
            <w:vAlign w:val="center"/>
            <w:hideMark/>
          </w:tcPr>
          <w:p w14:paraId="4ACB18F0" w14:textId="77777777" w:rsidR="00C37365" w:rsidRPr="00601C60" w:rsidRDefault="00C37365" w:rsidP="00C642AE">
            <w:pPr>
              <w:pStyle w:val="TableColumnHeadingBase"/>
              <w:rPr>
                <w:lang w:eastAsia="en-AU"/>
              </w:rPr>
            </w:pPr>
          </w:p>
        </w:tc>
        <w:tc>
          <w:tcPr>
            <w:tcW w:w="1904" w:type="dxa"/>
            <w:gridSpan w:val="2"/>
            <w:tcBorders>
              <w:top w:val="nil"/>
              <w:left w:val="nil"/>
              <w:bottom w:val="nil"/>
              <w:right w:val="nil"/>
            </w:tcBorders>
            <w:shd w:val="clear" w:color="auto" w:fill="auto"/>
            <w:noWrap/>
            <w:vAlign w:val="bottom"/>
            <w:hideMark/>
          </w:tcPr>
          <w:p w14:paraId="6C8885F4" w14:textId="6F05C9E1"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107C8A" w:rsidRPr="00601C60">
              <w:rPr>
                <w:rFonts w:asciiTheme="majorHAnsi" w:eastAsia="Times New Roman" w:hAnsiTheme="majorHAnsi" w:cstheme="majorHAnsi"/>
                <w:color w:val="000000"/>
                <w:sz w:val="16"/>
                <w:szCs w:val="16"/>
                <w:lang w:eastAsia="en-AU"/>
              </w:rPr>
              <w:t>2</w:t>
            </w:r>
            <w:r w:rsidRPr="00601C60">
              <w:rPr>
                <w:rFonts w:asciiTheme="majorHAnsi" w:eastAsia="Times New Roman" w:hAnsiTheme="majorHAnsi" w:cstheme="majorHAnsi"/>
                <w:color w:val="000000"/>
                <w:sz w:val="16"/>
                <w:szCs w:val="16"/>
                <w:lang w:eastAsia="en-AU"/>
              </w:rPr>
              <w:t>)</w:t>
            </w:r>
          </w:p>
        </w:tc>
        <w:tc>
          <w:tcPr>
            <w:tcW w:w="2012" w:type="dxa"/>
            <w:gridSpan w:val="2"/>
            <w:tcBorders>
              <w:top w:val="nil"/>
              <w:left w:val="nil"/>
              <w:bottom w:val="nil"/>
              <w:right w:val="nil"/>
            </w:tcBorders>
            <w:shd w:val="clear" w:color="auto" w:fill="auto"/>
            <w:noWrap/>
            <w:vAlign w:val="center"/>
            <w:hideMark/>
          </w:tcPr>
          <w:p w14:paraId="4C87C884" w14:textId="54FB562B"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107C8A" w:rsidRPr="00601C60">
              <w:rPr>
                <w:rFonts w:asciiTheme="majorHAnsi" w:eastAsia="Times New Roman" w:hAnsiTheme="majorHAnsi" w:cstheme="majorHAnsi"/>
                <w:color w:val="000000"/>
                <w:sz w:val="16"/>
                <w:szCs w:val="16"/>
                <w:lang w:eastAsia="en-AU"/>
              </w:rPr>
              <w:t>5</w:t>
            </w:r>
            <w:r w:rsidRPr="00601C60">
              <w:rPr>
                <w:rFonts w:asciiTheme="majorHAnsi" w:eastAsia="Times New Roman" w:hAnsiTheme="majorHAnsi" w:cstheme="majorHAnsi"/>
                <w:color w:val="000000"/>
                <w:sz w:val="16"/>
                <w:szCs w:val="16"/>
                <w:lang w:eastAsia="en-AU"/>
              </w:rPr>
              <w:t>)</w:t>
            </w:r>
          </w:p>
        </w:tc>
        <w:tc>
          <w:tcPr>
            <w:tcW w:w="2111" w:type="dxa"/>
            <w:gridSpan w:val="2"/>
            <w:tcBorders>
              <w:top w:val="nil"/>
              <w:left w:val="nil"/>
              <w:bottom w:val="nil"/>
              <w:right w:val="nil"/>
            </w:tcBorders>
            <w:shd w:val="clear" w:color="auto" w:fill="auto"/>
            <w:noWrap/>
            <w:vAlign w:val="bottom"/>
            <w:hideMark/>
          </w:tcPr>
          <w:p w14:paraId="102458EE" w14:textId="77B3BB14"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w:t>
            </w:r>
            <w:r w:rsidR="00077256" w:rsidRPr="00601C60">
              <w:rPr>
                <w:rFonts w:asciiTheme="majorHAnsi" w:eastAsia="Times New Roman" w:hAnsiTheme="majorHAnsi" w:cstheme="majorHAnsi"/>
                <w:color w:val="000000"/>
                <w:sz w:val="16"/>
                <w:szCs w:val="16"/>
                <w:lang w:eastAsia="en-AU"/>
              </w:rPr>
              <w:t>0.0</w:t>
            </w:r>
            <w:r w:rsidR="00107C8A" w:rsidRPr="00601C60">
              <w:rPr>
                <w:rFonts w:asciiTheme="majorHAnsi" w:eastAsia="Times New Roman" w:hAnsiTheme="majorHAnsi" w:cstheme="majorHAnsi"/>
                <w:color w:val="000000"/>
                <w:sz w:val="16"/>
                <w:szCs w:val="16"/>
                <w:lang w:eastAsia="en-AU"/>
              </w:rPr>
              <w:t>58</w:t>
            </w:r>
            <w:r w:rsidRPr="00601C60">
              <w:rPr>
                <w:rFonts w:asciiTheme="majorHAnsi" w:eastAsia="Times New Roman" w:hAnsiTheme="majorHAnsi" w:cstheme="majorHAnsi"/>
                <w:color w:val="000000"/>
                <w:sz w:val="16"/>
                <w:szCs w:val="16"/>
                <w:lang w:eastAsia="en-AU"/>
              </w:rPr>
              <w:t>)</w:t>
            </w:r>
          </w:p>
        </w:tc>
      </w:tr>
      <w:tr w:rsidR="00C37365" w:rsidRPr="00C37365" w14:paraId="742CAC23" w14:textId="77777777" w:rsidTr="000B40A3">
        <w:trPr>
          <w:trHeight w:val="300"/>
          <w:jc w:val="center"/>
        </w:trPr>
        <w:tc>
          <w:tcPr>
            <w:tcW w:w="3271" w:type="dxa"/>
            <w:tcBorders>
              <w:top w:val="dotted" w:sz="4" w:space="0" w:color="auto"/>
              <w:left w:val="nil"/>
              <w:bottom w:val="nil"/>
              <w:right w:val="nil"/>
            </w:tcBorders>
            <w:shd w:val="clear" w:color="auto" w:fill="D5E2F1"/>
            <w:noWrap/>
            <w:vAlign w:val="center"/>
            <w:hideMark/>
          </w:tcPr>
          <w:p w14:paraId="55D1EA2C" w14:textId="6E27FEA0" w:rsidR="00C37365" w:rsidRPr="00601C60" w:rsidRDefault="00C37365" w:rsidP="00C642AE">
            <w:pPr>
              <w:pStyle w:val="TableColumnHeadingBase"/>
              <w:rPr>
                <w:lang w:eastAsia="en-AU"/>
              </w:rPr>
            </w:pPr>
            <w:r w:rsidRPr="00601C60">
              <w:rPr>
                <w:lang w:eastAsia="en-AU"/>
              </w:rPr>
              <w:t>Industry</w:t>
            </w:r>
            <w:r w:rsidR="00AA5B97">
              <w:rPr>
                <w:lang w:eastAsia="en-AU"/>
              </w:rPr>
              <w:noBreakHyphen/>
            </w:r>
            <w:r w:rsidR="00C642AE">
              <w:rPr>
                <w:lang w:eastAsia="en-AU"/>
              </w:rPr>
              <w:t>y</w:t>
            </w:r>
            <w:r w:rsidRPr="00601C60">
              <w:rPr>
                <w:lang w:eastAsia="en-AU"/>
              </w:rPr>
              <w:t xml:space="preserve">ear </w:t>
            </w:r>
            <w:r w:rsidR="00C642AE">
              <w:rPr>
                <w:lang w:eastAsia="en-AU"/>
              </w:rPr>
              <w:t>f</w:t>
            </w:r>
            <w:r w:rsidRPr="00601C60">
              <w:rPr>
                <w:lang w:eastAsia="en-AU"/>
              </w:rPr>
              <w:t xml:space="preserve">ixed </w:t>
            </w:r>
            <w:r w:rsidR="00C642AE">
              <w:rPr>
                <w:lang w:eastAsia="en-AU"/>
              </w:rPr>
              <w:t>e</w:t>
            </w:r>
            <w:r w:rsidRPr="00601C60">
              <w:rPr>
                <w:lang w:eastAsia="en-AU"/>
              </w:rPr>
              <w:t>ffects</w:t>
            </w:r>
          </w:p>
        </w:tc>
        <w:tc>
          <w:tcPr>
            <w:tcW w:w="1904" w:type="dxa"/>
            <w:gridSpan w:val="2"/>
            <w:tcBorders>
              <w:top w:val="dotted" w:sz="4" w:space="0" w:color="auto"/>
              <w:left w:val="nil"/>
              <w:bottom w:val="nil"/>
              <w:right w:val="nil"/>
            </w:tcBorders>
            <w:shd w:val="clear" w:color="auto" w:fill="D5E2F1"/>
            <w:noWrap/>
            <w:vAlign w:val="center"/>
            <w:hideMark/>
          </w:tcPr>
          <w:p w14:paraId="71118D85" w14:textId="77777777"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012" w:type="dxa"/>
            <w:gridSpan w:val="2"/>
            <w:tcBorders>
              <w:top w:val="dotted" w:sz="4" w:space="0" w:color="auto"/>
              <w:left w:val="nil"/>
              <w:bottom w:val="nil"/>
              <w:right w:val="nil"/>
            </w:tcBorders>
            <w:shd w:val="clear" w:color="auto" w:fill="D5E2F1"/>
            <w:noWrap/>
            <w:vAlign w:val="center"/>
            <w:hideMark/>
          </w:tcPr>
          <w:p w14:paraId="496F2AF7" w14:textId="77777777"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111" w:type="dxa"/>
            <w:gridSpan w:val="2"/>
            <w:tcBorders>
              <w:top w:val="dotted" w:sz="4" w:space="0" w:color="auto"/>
              <w:left w:val="nil"/>
              <w:bottom w:val="nil"/>
              <w:right w:val="nil"/>
            </w:tcBorders>
            <w:shd w:val="clear" w:color="auto" w:fill="D5E2F1"/>
            <w:noWrap/>
            <w:vAlign w:val="center"/>
            <w:hideMark/>
          </w:tcPr>
          <w:p w14:paraId="48D0251D" w14:textId="77777777"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r>
      <w:tr w:rsidR="00C37365" w:rsidRPr="00C37365" w14:paraId="26390307" w14:textId="77777777" w:rsidTr="000B40A3">
        <w:trPr>
          <w:trHeight w:val="300"/>
          <w:jc w:val="center"/>
        </w:trPr>
        <w:tc>
          <w:tcPr>
            <w:tcW w:w="3271" w:type="dxa"/>
            <w:tcBorders>
              <w:top w:val="nil"/>
              <w:left w:val="nil"/>
              <w:bottom w:val="nil"/>
              <w:right w:val="nil"/>
            </w:tcBorders>
            <w:shd w:val="clear" w:color="auto" w:fill="auto"/>
            <w:noWrap/>
            <w:vAlign w:val="center"/>
            <w:hideMark/>
          </w:tcPr>
          <w:p w14:paraId="70D4BC6A" w14:textId="652ED322" w:rsidR="00C37365" w:rsidRPr="00601C60" w:rsidRDefault="00C37365" w:rsidP="00C642AE">
            <w:pPr>
              <w:pStyle w:val="TableColumnHeadingBase"/>
              <w:rPr>
                <w:lang w:eastAsia="en-AU"/>
              </w:rPr>
            </w:pPr>
            <w:r w:rsidRPr="00601C60">
              <w:rPr>
                <w:lang w:eastAsia="en-AU"/>
              </w:rPr>
              <w:t xml:space="preserve">Firm </w:t>
            </w:r>
            <w:r w:rsidR="00C642AE">
              <w:rPr>
                <w:lang w:eastAsia="en-AU"/>
              </w:rPr>
              <w:t>a</w:t>
            </w:r>
            <w:r w:rsidRPr="00601C60">
              <w:rPr>
                <w:lang w:eastAsia="en-AU"/>
              </w:rPr>
              <w:t xml:space="preserve">ge and </w:t>
            </w:r>
            <w:r w:rsidR="00C642AE">
              <w:rPr>
                <w:lang w:eastAsia="en-AU"/>
              </w:rPr>
              <w:t>s</w:t>
            </w:r>
            <w:r w:rsidRPr="00601C60">
              <w:rPr>
                <w:lang w:eastAsia="en-AU"/>
              </w:rPr>
              <w:t xml:space="preserve">ize </w:t>
            </w:r>
            <w:r w:rsidR="00C642AE">
              <w:rPr>
                <w:lang w:eastAsia="en-AU"/>
              </w:rPr>
              <w:t>c</w:t>
            </w:r>
            <w:r w:rsidRPr="00601C60">
              <w:rPr>
                <w:lang w:eastAsia="en-AU"/>
              </w:rPr>
              <w:t>ontrols</w:t>
            </w:r>
          </w:p>
        </w:tc>
        <w:tc>
          <w:tcPr>
            <w:tcW w:w="1904" w:type="dxa"/>
            <w:gridSpan w:val="2"/>
            <w:tcBorders>
              <w:top w:val="nil"/>
              <w:left w:val="nil"/>
              <w:bottom w:val="nil"/>
              <w:right w:val="nil"/>
            </w:tcBorders>
            <w:shd w:val="clear" w:color="auto" w:fill="auto"/>
            <w:noWrap/>
            <w:vAlign w:val="center"/>
            <w:hideMark/>
          </w:tcPr>
          <w:p w14:paraId="2C4D1888" w14:textId="77777777"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012" w:type="dxa"/>
            <w:gridSpan w:val="2"/>
            <w:tcBorders>
              <w:top w:val="nil"/>
              <w:left w:val="nil"/>
              <w:bottom w:val="nil"/>
              <w:right w:val="nil"/>
            </w:tcBorders>
            <w:shd w:val="clear" w:color="auto" w:fill="auto"/>
            <w:noWrap/>
            <w:vAlign w:val="center"/>
            <w:hideMark/>
          </w:tcPr>
          <w:p w14:paraId="24B2F425" w14:textId="77777777"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111" w:type="dxa"/>
            <w:gridSpan w:val="2"/>
            <w:tcBorders>
              <w:top w:val="nil"/>
              <w:left w:val="nil"/>
              <w:bottom w:val="nil"/>
              <w:right w:val="nil"/>
            </w:tcBorders>
            <w:shd w:val="clear" w:color="auto" w:fill="auto"/>
            <w:noWrap/>
            <w:vAlign w:val="center"/>
            <w:hideMark/>
          </w:tcPr>
          <w:p w14:paraId="004D0803" w14:textId="77777777" w:rsidR="00C37365" w:rsidRPr="00601C60" w:rsidRDefault="00C37365"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r>
      <w:tr w:rsidR="00C37365" w:rsidRPr="00C37365" w14:paraId="386D3EA0" w14:textId="77777777" w:rsidTr="000B40A3">
        <w:trPr>
          <w:trHeight w:val="300"/>
          <w:jc w:val="center"/>
        </w:trPr>
        <w:tc>
          <w:tcPr>
            <w:tcW w:w="3271" w:type="dxa"/>
            <w:tcBorders>
              <w:top w:val="nil"/>
              <w:left w:val="nil"/>
              <w:bottom w:val="nil"/>
              <w:right w:val="nil"/>
            </w:tcBorders>
            <w:shd w:val="clear" w:color="auto" w:fill="D5E2F1"/>
            <w:noWrap/>
            <w:vAlign w:val="center"/>
            <w:hideMark/>
          </w:tcPr>
          <w:p w14:paraId="7435F643" w14:textId="79AAB29B" w:rsidR="00C37365" w:rsidRPr="00601C60" w:rsidRDefault="00C37365" w:rsidP="00C642AE">
            <w:pPr>
              <w:pStyle w:val="TableColumnHeadingBase"/>
              <w:rPr>
                <w:lang w:eastAsia="en-AU"/>
              </w:rPr>
            </w:pPr>
            <w:r w:rsidRPr="00601C60">
              <w:rPr>
                <w:lang w:eastAsia="en-AU"/>
              </w:rPr>
              <w:t>R</w:t>
            </w:r>
            <w:r w:rsidR="00AA5B97">
              <w:rPr>
                <w:lang w:eastAsia="en-AU"/>
              </w:rPr>
              <w:noBreakHyphen/>
            </w:r>
            <w:r w:rsidRPr="00601C60">
              <w:rPr>
                <w:lang w:eastAsia="en-AU"/>
              </w:rPr>
              <w:t>squared</w:t>
            </w:r>
          </w:p>
        </w:tc>
        <w:tc>
          <w:tcPr>
            <w:tcW w:w="1904" w:type="dxa"/>
            <w:gridSpan w:val="2"/>
            <w:tcBorders>
              <w:top w:val="nil"/>
              <w:left w:val="nil"/>
              <w:bottom w:val="nil"/>
              <w:right w:val="nil"/>
            </w:tcBorders>
            <w:shd w:val="clear" w:color="auto" w:fill="D5E2F1"/>
            <w:noWrap/>
            <w:vAlign w:val="center"/>
            <w:hideMark/>
          </w:tcPr>
          <w:p w14:paraId="553564F2" w14:textId="5DD4B765" w:rsidR="00C37365" w:rsidRPr="00601C60" w:rsidRDefault="00077256"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0.213</w:t>
            </w:r>
          </w:p>
        </w:tc>
        <w:tc>
          <w:tcPr>
            <w:tcW w:w="2012" w:type="dxa"/>
            <w:gridSpan w:val="2"/>
            <w:tcBorders>
              <w:top w:val="nil"/>
              <w:left w:val="nil"/>
              <w:bottom w:val="nil"/>
              <w:right w:val="nil"/>
            </w:tcBorders>
            <w:shd w:val="clear" w:color="auto" w:fill="D5E2F1"/>
            <w:noWrap/>
            <w:vAlign w:val="center"/>
            <w:hideMark/>
          </w:tcPr>
          <w:p w14:paraId="7C6E7472" w14:textId="24F567AF" w:rsidR="00C37365" w:rsidRPr="00601C60" w:rsidRDefault="00077256"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0.199</w:t>
            </w:r>
          </w:p>
        </w:tc>
        <w:tc>
          <w:tcPr>
            <w:tcW w:w="2111" w:type="dxa"/>
            <w:gridSpan w:val="2"/>
            <w:tcBorders>
              <w:top w:val="nil"/>
              <w:left w:val="nil"/>
              <w:bottom w:val="nil"/>
              <w:right w:val="nil"/>
            </w:tcBorders>
            <w:shd w:val="clear" w:color="auto" w:fill="D5E2F1"/>
            <w:noWrap/>
            <w:vAlign w:val="center"/>
            <w:hideMark/>
          </w:tcPr>
          <w:p w14:paraId="34764621" w14:textId="4159DC18" w:rsidR="00C37365" w:rsidRPr="00601C60" w:rsidRDefault="00077256"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0.3</w:t>
            </w:r>
            <w:r w:rsidR="00107C8A" w:rsidRPr="00601C60">
              <w:rPr>
                <w:rFonts w:asciiTheme="majorHAnsi" w:eastAsia="Times New Roman" w:hAnsiTheme="majorHAnsi" w:cstheme="majorHAnsi"/>
                <w:color w:val="000000"/>
                <w:sz w:val="16"/>
                <w:szCs w:val="16"/>
                <w:lang w:eastAsia="en-AU"/>
              </w:rPr>
              <w:t>19</w:t>
            </w:r>
          </w:p>
        </w:tc>
      </w:tr>
      <w:tr w:rsidR="00C37365" w:rsidRPr="00C37365" w14:paraId="0C9AE849" w14:textId="77777777" w:rsidTr="000B40A3">
        <w:trPr>
          <w:trHeight w:val="300"/>
          <w:jc w:val="center"/>
        </w:trPr>
        <w:tc>
          <w:tcPr>
            <w:tcW w:w="3271" w:type="dxa"/>
            <w:tcBorders>
              <w:top w:val="nil"/>
              <w:left w:val="nil"/>
              <w:bottom w:val="single" w:sz="4" w:space="0" w:color="auto"/>
              <w:right w:val="nil"/>
            </w:tcBorders>
            <w:shd w:val="clear" w:color="auto" w:fill="auto"/>
            <w:noWrap/>
            <w:vAlign w:val="center"/>
            <w:hideMark/>
          </w:tcPr>
          <w:p w14:paraId="52084369" w14:textId="77777777" w:rsidR="00C37365" w:rsidRPr="00601C60" w:rsidRDefault="00C37365" w:rsidP="00C642AE">
            <w:pPr>
              <w:pStyle w:val="TableColumnHeadingBase"/>
              <w:rPr>
                <w:lang w:eastAsia="en-AU"/>
              </w:rPr>
            </w:pPr>
            <w:r w:rsidRPr="00601C60">
              <w:rPr>
                <w:lang w:eastAsia="en-AU"/>
              </w:rPr>
              <w:t>Observations</w:t>
            </w:r>
          </w:p>
        </w:tc>
        <w:tc>
          <w:tcPr>
            <w:tcW w:w="1904" w:type="dxa"/>
            <w:gridSpan w:val="2"/>
            <w:tcBorders>
              <w:top w:val="nil"/>
              <w:left w:val="nil"/>
              <w:bottom w:val="single" w:sz="4" w:space="0" w:color="auto"/>
              <w:right w:val="nil"/>
            </w:tcBorders>
            <w:shd w:val="clear" w:color="auto" w:fill="auto"/>
            <w:noWrap/>
            <w:vAlign w:val="center"/>
            <w:hideMark/>
          </w:tcPr>
          <w:p w14:paraId="220EF155" w14:textId="548DF82C" w:rsidR="00C37365" w:rsidRPr="00601C60" w:rsidRDefault="00077256"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1,135,386</w:t>
            </w:r>
          </w:p>
        </w:tc>
        <w:tc>
          <w:tcPr>
            <w:tcW w:w="2012" w:type="dxa"/>
            <w:gridSpan w:val="2"/>
            <w:tcBorders>
              <w:top w:val="nil"/>
              <w:left w:val="nil"/>
              <w:bottom w:val="single" w:sz="4" w:space="0" w:color="auto"/>
              <w:right w:val="nil"/>
            </w:tcBorders>
            <w:shd w:val="clear" w:color="auto" w:fill="auto"/>
            <w:noWrap/>
            <w:vAlign w:val="center"/>
            <w:hideMark/>
          </w:tcPr>
          <w:p w14:paraId="324D09B8" w14:textId="288C03F5" w:rsidR="00C37365" w:rsidRPr="00601C60" w:rsidRDefault="00077256"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234,114</w:t>
            </w:r>
          </w:p>
        </w:tc>
        <w:tc>
          <w:tcPr>
            <w:tcW w:w="2111" w:type="dxa"/>
            <w:gridSpan w:val="2"/>
            <w:tcBorders>
              <w:top w:val="nil"/>
              <w:left w:val="nil"/>
              <w:bottom w:val="single" w:sz="4" w:space="0" w:color="auto"/>
              <w:right w:val="nil"/>
            </w:tcBorders>
            <w:shd w:val="clear" w:color="auto" w:fill="auto"/>
            <w:noWrap/>
            <w:vAlign w:val="center"/>
            <w:hideMark/>
          </w:tcPr>
          <w:p w14:paraId="507AA864" w14:textId="46F046AC" w:rsidR="00C37365" w:rsidRPr="00601C60" w:rsidRDefault="00077256"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3,076</w:t>
            </w:r>
          </w:p>
        </w:tc>
      </w:tr>
      <w:tr w:rsidR="00C37365" w:rsidRPr="00C37365" w14:paraId="51A992E0" w14:textId="77777777" w:rsidTr="000B40A3">
        <w:trPr>
          <w:trHeight w:val="509"/>
          <w:jc w:val="center"/>
        </w:trPr>
        <w:tc>
          <w:tcPr>
            <w:tcW w:w="9298" w:type="dxa"/>
            <w:gridSpan w:val="7"/>
            <w:vMerge w:val="restart"/>
            <w:tcBorders>
              <w:top w:val="single" w:sz="4" w:space="0" w:color="auto"/>
              <w:left w:val="nil"/>
              <w:bottom w:val="nil"/>
              <w:right w:val="nil"/>
            </w:tcBorders>
            <w:shd w:val="clear" w:color="auto" w:fill="auto"/>
            <w:hideMark/>
          </w:tcPr>
          <w:p w14:paraId="2DCDF7D6" w14:textId="6B905CB0" w:rsidR="00C37365" w:rsidRPr="00C37365" w:rsidRDefault="00426ADC" w:rsidP="00C37365">
            <w:pPr>
              <w:spacing w:after="0"/>
              <w:rPr>
                <w:rFonts w:eastAsia="Times New Roman" w:cs="Times New Roman"/>
                <w:color w:val="000000"/>
                <w:sz w:val="18"/>
                <w:szCs w:val="18"/>
                <w:lang w:eastAsia="en-AU"/>
              </w:rPr>
            </w:pPr>
            <w:r w:rsidRPr="003D0E71">
              <w:rPr>
                <w:rFonts w:eastAsia="Times New Roman" w:cs="Times New Roman"/>
                <w:color w:val="000000"/>
                <w:sz w:val="16"/>
                <w:szCs w:val="16"/>
                <w:lang w:eastAsia="en-AU"/>
              </w:rPr>
              <w:t>Notes: Table 4</w:t>
            </w:r>
            <w:r w:rsidR="00C37365" w:rsidRPr="003D0E71">
              <w:rPr>
                <w:rFonts w:eastAsia="Times New Roman" w:cs="Times New Roman"/>
                <w:color w:val="000000"/>
                <w:sz w:val="16"/>
                <w:szCs w:val="16"/>
                <w:lang w:eastAsia="en-AU"/>
              </w:rPr>
              <w:t xml:space="preserve"> extends the baseline model by including a </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young</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 xml:space="preserve"> dummy variable as well as interacting this young dummy variable with the distance from frontier term. A firm is labelled as </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young</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 xml:space="preserve"> if it is less than 5 years old and labelled as </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mature</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 xml:space="preserve"> otherwise. Column 1 runs this model on a sub</w:t>
            </w:r>
            <w:r w:rsidR="00AA5B97">
              <w:rPr>
                <w:rFonts w:eastAsia="Times New Roman" w:cs="Times New Roman"/>
                <w:color w:val="000000"/>
                <w:sz w:val="16"/>
                <w:szCs w:val="16"/>
                <w:lang w:eastAsia="en-AU"/>
              </w:rPr>
              <w:noBreakHyphen/>
            </w:r>
            <w:r w:rsidR="00C37365" w:rsidRPr="003D0E71">
              <w:rPr>
                <w:rFonts w:eastAsia="Times New Roman" w:cs="Times New Roman"/>
                <w:color w:val="000000"/>
                <w:sz w:val="16"/>
                <w:szCs w:val="16"/>
                <w:lang w:eastAsia="en-AU"/>
              </w:rPr>
              <w:t xml:space="preserve">sample of </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small</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 xml:space="preserve"> firms, column 2 runs the model on a sub</w:t>
            </w:r>
            <w:r w:rsidR="00AA5B97">
              <w:rPr>
                <w:rFonts w:eastAsia="Times New Roman" w:cs="Times New Roman"/>
                <w:color w:val="000000"/>
                <w:sz w:val="16"/>
                <w:szCs w:val="16"/>
                <w:lang w:eastAsia="en-AU"/>
              </w:rPr>
              <w:noBreakHyphen/>
            </w:r>
            <w:r w:rsidR="00C37365" w:rsidRPr="003D0E71">
              <w:rPr>
                <w:rFonts w:eastAsia="Times New Roman" w:cs="Times New Roman"/>
                <w:color w:val="000000"/>
                <w:sz w:val="16"/>
                <w:szCs w:val="16"/>
                <w:lang w:eastAsia="en-AU"/>
              </w:rPr>
              <w:t xml:space="preserve">sample of </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medium</w:t>
            </w:r>
            <w:r w:rsidR="00AA5B97">
              <w:rPr>
                <w:rFonts w:eastAsia="Times New Roman" w:cs="Times New Roman"/>
                <w:color w:val="000000"/>
                <w:sz w:val="16"/>
                <w:szCs w:val="16"/>
                <w:lang w:eastAsia="en-AU"/>
              </w:rPr>
              <w:noBreakHyphen/>
            </w:r>
            <w:r w:rsidR="00C37365" w:rsidRPr="003D0E71">
              <w:rPr>
                <w:rFonts w:eastAsia="Times New Roman" w:cs="Times New Roman"/>
                <w:color w:val="000000"/>
                <w:sz w:val="16"/>
                <w:szCs w:val="16"/>
                <w:lang w:eastAsia="en-AU"/>
              </w:rPr>
              <w:t>sized</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 xml:space="preserve"> firms, and column 3 runs the same model on a sub</w:t>
            </w:r>
            <w:r w:rsidR="00AA5B97">
              <w:rPr>
                <w:rFonts w:eastAsia="Times New Roman" w:cs="Times New Roman"/>
                <w:color w:val="000000"/>
                <w:sz w:val="16"/>
                <w:szCs w:val="16"/>
                <w:lang w:eastAsia="en-AU"/>
              </w:rPr>
              <w:noBreakHyphen/>
            </w:r>
            <w:r w:rsidR="00C37365" w:rsidRPr="003D0E71">
              <w:rPr>
                <w:rFonts w:eastAsia="Times New Roman" w:cs="Times New Roman"/>
                <w:color w:val="000000"/>
                <w:sz w:val="16"/>
                <w:szCs w:val="16"/>
                <w:lang w:eastAsia="en-AU"/>
              </w:rPr>
              <w:t xml:space="preserve">sample of </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large</w:t>
            </w:r>
            <w:r w:rsidR="00AA5B97">
              <w:rPr>
                <w:rFonts w:eastAsia="Times New Roman" w:cs="Times New Roman"/>
                <w:color w:val="000000"/>
                <w:sz w:val="16"/>
                <w:szCs w:val="16"/>
                <w:lang w:eastAsia="en-AU"/>
              </w:rPr>
              <w:t>’</w:t>
            </w:r>
            <w:r w:rsidR="00C37365" w:rsidRPr="003D0E71">
              <w:rPr>
                <w:rFonts w:eastAsia="Times New Roman" w:cs="Times New Roman"/>
                <w:color w:val="000000"/>
                <w:sz w:val="16"/>
                <w:szCs w:val="16"/>
                <w:lang w:eastAsia="en-AU"/>
              </w:rPr>
              <w:t xml:space="preserve"> firms. The coefficient on the distance from frontier term can now be interpreted as the convergence speed for mature firms. *</w:t>
            </w:r>
            <w:proofErr w:type="gramStart"/>
            <w:r w:rsidR="00C37365" w:rsidRPr="003D0E71">
              <w:rPr>
                <w:rFonts w:eastAsia="Times New Roman" w:cs="Times New Roman"/>
                <w:color w:val="000000"/>
                <w:sz w:val="16"/>
                <w:szCs w:val="16"/>
                <w:lang w:eastAsia="en-AU"/>
              </w:rPr>
              <w:t>significant</w:t>
            </w:r>
            <w:proofErr w:type="gramEnd"/>
            <w:r w:rsidR="00C37365" w:rsidRPr="003D0E71">
              <w:rPr>
                <w:rFonts w:eastAsia="Times New Roman" w:cs="Times New Roman"/>
                <w:color w:val="000000"/>
                <w:sz w:val="16"/>
                <w:szCs w:val="16"/>
                <w:lang w:eastAsia="en-AU"/>
              </w:rPr>
              <w:t xml:space="preserve"> at 10% level, ** significant at 5% level, *** significant at 1% level.</w:t>
            </w:r>
          </w:p>
        </w:tc>
      </w:tr>
      <w:tr w:rsidR="00C37365" w:rsidRPr="00C37365" w14:paraId="1BD88F9F" w14:textId="77777777" w:rsidTr="000B40A3">
        <w:trPr>
          <w:trHeight w:val="509"/>
          <w:jc w:val="center"/>
        </w:trPr>
        <w:tc>
          <w:tcPr>
            <w:tcW w:w="9298" w:type="dxa"/>
            <w:gridSpan w:val="7"/>
            <w:vMerge/>
            <w:tcBorders>
              <w:top w:val="single" w:sz="4" w:space="0" w:color="auto"/>
              <w:left w:val="nil"/>
              <w:bottom w:val="nil"/>
              <w:right w:val="nil"/>
            </w:tcBorders>
            <w:vAlign w:val="center"/>
            <w:hideMark/>
          </w:tcPr>
          <w:p w14:paraId="717475D0" w14:textId="77777777" w:rsidR="00C37365" w:rsidRPr="00C37365" w:rsidRDefault="00C37365" w:rsidP="00C37365">
            <w:pPr>
              <w:spacing w:after="0"/>
              <w:rPr>
                <w:rFonts w:eastAsia="Times New Roman" w:cs="Times New Roman"/>
                <w:color w:val="000000"/>
                <w:sz w:val="18"/>
                <w:szCs w:val="18"/>
                <w:lang w:eastAsia="en-AU"/>
              </w:rPr>
            </w:pPr>
          </w:p>
        </w:tc>
      </w:tr>
      <w:tr w:rsidR="00C37365" w:rsidRPr="00C37365" w14:paraId="53C3BF09" w14:textId="77777777" w:rsidTr="000B40A3">
        <w:trPr>
          <w:trHeight w:val="509"/>
          <w:jc w:val="center"/>
        </w:trPr>
        <w:tc>
          <w:tcPr>
            <w:tcW w:w="9298" w:type="dxa"/>
            <w:gridSpan w:val="7"/>
            <w:vMerge/>
            <w:tcBorders>
              <w:top w:val="single" w:sz="4" w:space="0" w:color="auto"/>
              <w:left w:val="nil"/>
              <w:bottom w:val="nil"/>
              <w:right w:val="nil"/>
            </w:tcBorders>
            <w:vAlign w:val="center"/>
            <w:hideMark/>
          </w:tcPr>
          <w:p w14:paraId="5E0A7F55" w14:textId="77777777" w:rsidR="00C37365" w:rsidRPr="00C37365" w:rsidRDefault="00C37365" w:rsidP="00C37365">
            <w:pPr>
              <w:spacing w:after="0"/>
              <w:rPr>
                <w:rFonts w:eastAsia="Times New Roman" w:cs="Times New Roman"/>
                <w:color w:val="000000"/>
                <w:sz w:val="18"/>
                <w:szCs w:val="18"/>
                <w:lang w:eastAsia="en-AU"/>
              </w:rPr>
            </w:pPr>
          </w:p>
        </w:tc>
      </w:tr>
    </w:tbl>
    <w:p w14:paraId="42CAA816" w14:textId="0EEC8944" w:rsidR="008B49AC" w:rsidRDefault="008B49AC" w:rsidP="00525DDE">
      <w:pPr>
        <w:jc w:val="both"/>
      </w:pPr>
      <w:r>
        <w:t xml:space="preserve">Given the importance of firm age, a natural question might be, could </w:t>
      </w:r>
      <w:r w:rsidR="00D626D5">
        <w:t>t</w:t>
      </w:r>
      <w:r>
        <w:t xml:space="preserve">he slower rate of convergence simply reflect the declining share of young businesses in the Australian economy </w:t>
      </w:r>
      <w:r w:rsidR="00AB302F">
        <w:t xml:space="preserve">(as documented in </w:t>
      </w:r>
      <w:r>
        <w:t xml:space="preserve">OECD </w:t>
      </w:r>
      <w:r w:rsidR="00AB302F">
        <w:t> </w:t>
      </w:r>
      <w:r>
        <w:t>2021)?</w:t>
      </w:r>
    </w:p>
    <w:p w14:paraId="6BE3ABE4" w14:textId="4B13AE64" w:rsidR="00A95463" w:rsidRDefault="008B49AC" w:rsidP="00525DDE">
      <w:pPr>
        <w:jc w:val="both"/>
      </w:pPr>
      <w:r>
        <w:t>To consider this, we run the model from C</w:t>
      </w:r>
      <w:r w:rsidR="003F5A58">
        <w:t xml:space="preserve">olumn 2 of Table </w:t>
      </w:r>
      <w:r>
        <w:t>1 separately for</w:t>
      </w:r>
      <w:r w:rsidR="003F5A58">
        <w:t xml:space="preserve"> young and mature firms.</w:t>
      </w:r>
      <w:r w:rsidR="00467100">
        <w:t xml:space="preserve"> Table </w:t>
      </w:r>
      <w:r w:rsidR="003D0E71">
        <w:t>4</w:t>
      </w:r>
      <w:r w:rsidR="00467100">
        <w:t xml:space="preserve"> shows </w:t>
      </w:r>
      <w:r>
        <w:t xml:space="preserve">the results. </w:t>
      </w:r>
      <w:r w:rsidR="00F7433E">
        <w:t xml:space="preserve">Focusing only on mature firms there is still evidence of a slowdown in the speed of convergence. This indicates that the earlier results do not simply reflect compositional </w:t>
      </w:r>
      <w:r w:rsidR="00525DDE">
        <w:t>shift</w:t>
      </w:r>
      <w:r w:rsidR="00F7433E">
        <w:t xml:space="preserve"> </w:t>
      </w:r>
      <w:r w:rsidR="00AB302F">
        <w:t xml:space="preserve">in the Australian economy </w:t>
      </w:r>
      <w:r w:rsidR="00F7433E">
        <w:t>away from faster converging young firms</w:t>
      </w:r>
      <w:r w:rsidR="00C52D70">
        <w:t xml:space="preserve">. </w:t>
      </w:r>
      <w:r w:rsidR="00F7433E">
        <w:t>In fact, the slowdown is only evident for older firms.</w:t>
      </w:r>
      <w:r w:rsidR="00D626D5">
        <w:t xml:space="preserve"> </w:t>
      </w:r>
      <w:r w:rsidR="00AB302F">
        <w:t xml:space="preserve">Taken together with the earlier results, this could suggest that </w:t>
      </w:r>
      <w:r w:rsidR="00D626D5">
        <w:t>declining entry rates</w:t>
      </w:r>
      <w:r w:rsidR="00AB302F">
        <w:t xml:space="preserve"> </w:t>
      </w:r>
      <w:r w:rsidR="00D626D5">
        <w:t>have lower</w:t>
      </w:r>
      <w:r w:rsidR="00FC1887">
        <w:t>ed</w:t>
      </w:r>
      <w:r w:rsidR="00D626D5">
        <w:t xml:space="preserve"> the competitive pressures faced by incumbents, thereby lowering their incentives to adopt</w:t>
      </w:r>
      <w:r w:rsidR="00525DDE">
        <w:t xml:space="preserve"> and improve</w:t>
      </w:r>
      <w:r w:rsidR="00D626D5">
        <w:t>.</w:t>
      </w:r>
    </w:p>
    <w:p w14:paraId="4834FA2B" w14:textId="77777777" w:rsidR="00A95463" w:rsidRDefault="00A95463">
      <w:pPr>
        <w:spacing w:after="200" w:line="276" w:lineRule="auto"/>
      </w:pPr>
      <w:r>
        <w:br w:type="page"/>
      </w:r>
    </w:p>
    <w:tbl>
      <w:tblPr>
        <w:tblW w:w="9340" w:type="dxa"/>
        <w:jc w:val="center"/>
        <w:tblCellMar>
          <w:left w:w="0" w:type="dxa"/>
          <w:right w:w="28" w:type="dxa"/>
        </w:tblCellMar>
        <w:tblLook w:val="04A0" w:firstRow="1" w:lastRow="0" w:firstColumn="1" w:lastColumn="0" w:noHBand="0" w:noVBand="1"/>
      </w:tblPr>
      <w:tblGrid>
        <w:gridCol w:w="3238"/>
        <w:gridCol w:w="598"/>
        <w:gridCol w:w="1337"/>
        <w:gridCol w:w="655"/>
        <w:gridCol w:w="1454"/>
        <w:gridCol w:w="822"/>
        <w:gridCol w:w="1268"/>
      </w:tblGrid>
      <w:tr w:rsidR="00C9159F" w:rsidRPr="00084108" w14:paraId="2C2B1CE2" w14:textId="77777777" w:rsidTr="000B40A3">
        <w:trPr>
          <w:trHeight w:val="300"/>
          <w:jc w:val="center"/>
        </w:trPr>
        <w:tc>
          <w:tcPr>
            <w:tcW w:w="9340" w:type="dxa"/>
            <w:gridSpan w:val="7"/>
            <w:tcBorders>
              <w:top w:val="nil"/>
              <w:left w:val="nil"/>
              <w:bottom w:val="nil"/>
              <w:right w:val="nil"/>
            </w:tcBorders>
            <w:shd w:val="clear" w:color="auto" w:fill="auto"/>
            <w:noWrap/>
            <w:vAlign w:val="bottom"/>
            <w:hideMark/>
          </w:tcPr>
          <w:p w14:paraId="06BD6DD4" w14:textId="40AAACF3" w:rsidR="00C9159F" w:rsidRPr="00084108" w:rsidRDefault="00426ADC" w:rsidP="008A5C91">
            <w:pPr>
              <w:pStyle w:val="TableMainHeading"/>
            </w:pPr>
            <w:r w:rsidRPr="00084108">
              <w:lastRenderedPageBreak/>
              <w:t xml:space="preserve">Table </w:t>
            </w:r>
            <w:r w:rsidR="003D0E71">
              <w:t>4</w:t>
            </w:r>
            <w:r w:rsidR="00C9159F" w:rsidRPr="00084108">
              <w:t xml:space="preserve"> </w:t>
            </w:r>
            <w:r w:rsidR="005B6F33">
              <w:rPr>
                <w:noProof/>
              </w:rPr>
              <w:t>–</w:t>
            </w:r>
            <w:r w:rsidR="00C9159F" w:rsidRPr="00084108">
              <w:t xml:space="preserve"> Convergence slowdown on separate samples</w:t>
            </w:r>
          </w:p>
        </w:tc>
      </w:tr>
      <w:tr w:rsidR="00C9159F" w:rsidRPr="00084108" w14:paraId="406F686F" w14:textId="77777777" w:rsidTr="000B40A3">
        <w:trPr>
          <w:trHeight w:val="300"/>
          <w:jc w:val="center"/>
        </w:trPr>
        <w:tc>
          <w:tcPr>
            <w:tcW w:w="3828" w:type="dxa"/>
            <w:gridSpan w:val="2"/>
            <w:tcBorders>
              <w:top w:val="single" w:sz="4" w:space="0" w:color="auto"/>
              <w:left w:val="nil"/>
              <w:bottom w:val="nil"/>
              <w:right w:val="nil"/>
            </w:tcBorders>
            <w:shd w:val="clear" w:color="auto" w:fill="auto"/>
            <w:noWrap/>
            <w:vAlign w:val="center"/>
            <w:hideMark/>
          </w:tcPr>
          <w:p w14:paraId="0CFFCCCB" w14:textId="77777777" w:rsidR="00C9159F" w:rsidRPr="00601C60" w:rsidRDefault="00C9159F" w:rsidP="00C9159F">
            <w:pPr>
              <w:spacing w:after="0"/>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984" w:type="dxa"/>
            <w:gridSpan w:val="2"/>
            <w:tcBorders>
              <w:top w:val="single" w:sz="4" w:space="0" w:color="auto"/>
              <w:left w:val="nil"/>
              <w:bottom w:val="nil"/>
              <w:right w:val="nil"/>
            </w:tcBorders>
            <w:shd w:val="clear" w:color="auto" w:fill="auto"/>
            <w:noWrap/>
            <w:vAlign w:val="center"/>
            <w:hideMark/>
          </w:tcPr>
          <w:p w14:paraId="4C602E2F" w14:textId="77777777" w:rsidR="00C9159F" w:rsidRPr="00601C60" w:rsidRDefault="00C9159F" w:rsidP="00C9159F">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Full Sample</w:t>
            </w:r>
          </w:p>
        </w:tc>
        <w:tc>
          <w:tcPr>
            <w:tcW w:w="2268" w:type="dxa"/>
            <w:gridSpan w:val="2"/>
            <w:tcBorders>
              <w:top w:val="single" w:sz="4" w:space="0" w:color="auto"/>
              <w:left w:val="nil"/>
              <w:bottom w:val="nil"/>
              <w:right w:val="nil"/>
            </w:tcBorders>
            <w:shd w:val="clear" w:color="auto" w:fill="auto"/>
            <w:noWrap/>
            <w:vAlign w:val="center"/>
            <w:hideMark/>
          </w:tcPr>
          <w:p w14:paraId="20D8A1E2" w14:textId="77777777" w:rsidR="00C9159F" w:rsidRPr="00601C60" w:rsidRDefault="00C9159F" w:rsidP="00C9159F">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Mature Firms</w:t>
            </w:r>
          </w:p>
        </w:tc>
        <w:tc>
          <w:tcPr>
            <w:tcW w:w="1260" w:type="dxa"/>
            <w:tcBorders>
              <w:top w:val="single" w:sz="4" w:space="0" w:color="auto"/>
              <w:left w:val="nil"/>
              <w:bottom w:val="nil"/>
              <w:right w:val="nil"/>
            </w:tcBorders>
            <w:shd w:val="clear" w:color="auto" w:fill="auto"/>
            <w:noWrap/>
            <w:vAlign w:val="center"/>
            <w:hideMark/>
          </w:tcPr>
          <w:p w14:paraId="31C728A7" w14:textId="77777777" w:rsidR="00C9159F" w:rsidRPr="00601C60" w:rsidRDefault="00C9159F" w:rsidP="00C9159F">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Young Firms</w:t>
            </w:r>
          </w:p>
        </w:tc>
      </w:tr>
      <w:tr w:rsidR="00C9159F" w:rsidRPr="00084108" w14:paraId="1734EA74" w14:textId="77777777" w:rsidTr="000B40A3">
        <w:trPr>
          <w:trHeight w:val="300"/>
          <w:jc w:val="center"/>
        </w:trPr>
        <w:tc>
          <w:tcPr>
            <w:tcW w:w="3828" w:type="dxa"/>
            <w:gridSpan w:val="2"/>
            <w:tcBorders>
              <w:top w:val="nil"/>
              <w:left w:val="nil"/>
              <w:bottom w:val="single" w:sz="4" w:space="0" w:color="auto"/>
              <w:right w:val="nil"/>
            </w:tcBorders>
            <w:shd w:val="clear" w:color="auto" w:fill="auto"/>
            <w:noWrap/>
            <w:vAlign w:val="center"/>
            <w:hideMark/>
          </w:tcPr>
          <w:p w14:paraId="0D063508" w14:textId="77777777" w:rsidR="00C9159F" w:rsidRPr="00601C60" w:rsidRDefault="00C9159F" w:rsidP="00C9159F">
            <w:pPr>
              <w:spacing w:after="0"/>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1984" w:type="dxa"/>
            <w:gridSpan w:val="2"/>
            <w:tcBorders>
              <w:top w:val="nil"/>
              <w:left w:val="nil"/>
              <w:bottom w:val="single" w:sz="4" w:space="0" w:color="auto"/>
              <w:right w:val="nil"/>
            </w:tcBorders>
            <w:shd w:val="clear" w:color="auto" w:fill="auto"/>
            <w:noWrap/>
            <w:vAlign w:val="center"/>
            <w:hideMark/>
          </w:tcPr>
          <w:p w14:paraId="422D2B0E" w14:textId="77777777" w:rsidR="00C9159F" w:rsidRPr="00601C60" w:rsidRDefault="00C9159F" w:rsidP="00C9159F">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w:t>
            </w:r>
          </w:p>
        </w:tc>
        <w:tc>
          <w:tcPr>
            <w:tcW w:w="2268" w:type="dxa"/>
            <w:gridSpan w:val="2"/>
            <w:tcBorders>
              <w:top w:val="nil"/>
              <w:left w:val="nil"/>
              <w:bottom w:val="single" w:sz="4" w:space="0" w:color="auto"/>
              <w:right w:val="nil"/>
            </w:tcBorders>
            <w:shd w:val="clear" w:color="auto" w:fill="auto"/>
            <w:noWrap/>
            <w:vAlign w:val="center"/>
            <w:hideMark/>
          </w:tcPr>
          <w:p w14:paraId="59D985EF" w14:textId="77777777" w:rsidR="00C9159F" w:rsidRPr="00601C60" w:rsidRDefault="00C9159F" w:rsidP="00C9159F">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(2)</w:t>
            </w:r>
          </w:p>
        </w:tc>
        <w:tc>
          <w:tcPr>
            <w:tcW w:w="1260" w:type="dxa"/>
            <w:tcBorders>
              <w:top w:val="nil"/>
              <w:left w:val="nil"/>
              <w:bottom w:val="single" w:sz="4" w:space="0" w:color="auto"/>
              <w:right w:val="nil"/>
            </w:tcBorders>
            <w:shd w:val="clear" w:color="auto" w:fill="auto"/>
            <w:noWrap/>
            <w:vAlign w:val="center"/>
            <w:hideMark/>
          </w:tcPr>
          <w:p w14:paraId="08F41777" w14:textId="77777777" w:rsidR="00C9159F" w:rsidRPr="00601C60" w:rsidRDefault="00C9159F" w:rsidP="00C9159F">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(3)</w:t>
            </w:r>
          </w:p>
        </w:tc>
      </w:tr>
      <w:tr w:rsidR="008B49AC" w:rsidRPr="00084108" w14:paraId="5E853539" w14:textId="77777777" w:rsidTr="000B40A3">
        <w:trPr>
          <w:trHeight w:val="300"/>
          <w:jc w:val="center"/>
        </w:trPr>
        <w:tc>
          <w:tcPr>
            <w:tcW w:w="3230" w:type="dxa"/>
            <w:tcBorders>
              <w:top w:val="nil"/>
              <w:left w:val="nil"/>
              <w:bottom w:val="nil"/>
              <w:right w:val="nil"/>
            </w:tcBorders>
            <w:shd w:val="clear" w:color="auto" w:fill="D5E2F1"/>
            <w:noWrap/>
            <w:vAlign w:val="center"/>
            <w:hideMark/>
          </w:tcPr>
          <w:p w14:paraId="64131CC9" w14:textId="3F825A44" w:rsidR="008B49AC" w:rsidRPr="00601C60" w:rsidRDefault="008B49AC" w:rsidP="00C642AE">
            <w:pPr>
              <w:pStyle w:val="TableColumnHeadingBase"/>
              <w:rPr>
                <w:lang w:eastAsia="en-AU"/>
              </w:rPr>
            </w:pPr>
            <w:r w:rsidRPr="00601C60">
              <w:rPr>
                <w:lang w:eastAsia="en-AU"/>
              </w:rPr>
              <w:t xml:space="preserve">Distance </w:t>
            </w:r>
            <w:r w:rsidR="00C642AE">
              <w:rPr>
                <w:lang w:eastAsia="en-AU"/>
              </w:rPr>
              <w:t>f</w:t>
            </w:r>
            <w:r w:rsidRPr="00601C60">
              <w:rPr>
                <w:lang w:eastAsia="en-AU"/>
              </w:rPr>
              <w:t xml:space="preserve">rom </w:t>
            </w:r>
            <w:r w:rsidR="00C642AE">
              <w:rPr>
                <w:lang w:eastAsia="en-AU"/>
              </w:rPr>
              <w:t>f</w:t>
            </w:r>
            <w:r w:rsidRPr="00601C60">
              <w:rPr>
                <w:lang w:eastAsia="en-AU"/>
              </w:rPr>
              <w:t>rontier</w:t>
            </w:r>
          </w:p>
        </w:tc>
        <w:tc>
          <w:tcPr>
            <w:tcW w:w="1930" w:type="dxa"/>
            <w:gridSpan w:val="2"/>
            <w:tcBorders>
              <w:top w:val="nil"/>
              <w:left w:val="nil"/>
              <w:bottom w:val="nil"/>
              <w:right w:val="nil"/>
            </w:tcBorders>
            <w:shd w:val="clear" w:color="auto" w:fill="D5E2F1"/>
            <w:noWrap/>
            <w:vAlign w:val="center"/>
            <w:hideMark/>
          </w:tcPr>
          <w:p w14:paraId="4C443125" w14:textId="3605381C"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0.443***</w:t>
            </w:r>
          </w:p>
        </w:tc>
        <w:tc>
          <w:tcPr>
            <w:tcW w:w="2102" w:type="dxa"/>
            <w:gridSpan w:val="2"/>
            <w:tcBorders>
              <w:top w:val="nil"/>
              <w:left w:val="nil"/>
              <w:bottom w:val="nil"/>
              <w:right w:val="nil"/>
            </w:tcBorders>
            <w:shd w:val="clear" w:color="auto" w:fill="D5E2F1"/>
            <w:noWrap/>
            <w:vAlign w:val="center"/>
            <w:hideMark/>
          </w:tcPr>
          <w:p w14:paraId="6F1E4862" w14:textId="4558D291"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0.432***</w:t>
            </w:r>
          </w:p>
        </w:tc>
        <w:tc>
          <w:tcPr>
            <w:tcW w:w="2078" w:type="dxa"/>
            <w:gridSpan w:val="2"/>
            <w:tcBorders>
              <w:top w:val="nil"/>
              <w:left w:val="nil"/>
              <w:bottom w:val="nil"/>
              <w:right w:val="nil"/>
            </w:tcBorders>
            <w:shd w:val="clear" w:color="auto" w:fill="D5E2F1"/>
            <w:noWrap/>
            <w:vAlign w:val="center"/>
            <w:hideMark/>
          </w:tcPr>
          <w:p w14:paraId="77CBBFAD" w14:textId="69ECEBB2"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w:t>
            </w:r>
            <w:r w:rsidR="00084108" w:rsidRPr="00601C60">
              <w:rPr>
                <w:rFonts w:asciiTheme="majorHAnsi" w:eastAsia="Times New Roman" w:hAnsiTheme="majorHAnsi" w:cstheme="majorHAnsi"/>
                <w:color w:val="000000"/>
                <w:sz w:val="16"/>
                <w:szCs w:val="16"/>
                <w:lang w:eastAsia="en-AU"/>
              </w:rPr>
              <w:t>63</w:t>
            </w:r>
            <w:r w:rsidRPr="00601C60">
              <w:rPr>
                <w:rFonts w:asciiTheme="majorHAnsi" w:eastAsia="Times New Roman" w:hAnsiTheme="majorHAnsi" w:cstheme="majorHAnsi"/>
                <w:color w:val="000000"/>
                <w:sz w:val="16"/>
                <w:szCs w:val="16"/>
                <w:lang w:eastAsia="en-AU"/>
              </w:rPr>
              <w:t>***</w:t>
            </w:r>
          </w:p>
        </w:tc>
      </w:tr>
      <w:tr w:rsidR="008B49AC" w:rsidRPr="00084108" w14:paraId="4305E3E7" w14:textId="77777777" w:rsidTr="000B40A3">
        <w:trPr>
          <w:trHeight w:val="300"/>
          <w:jc w:val="center"/>
        </w:trPr>
        <w:tc>
          <w:tcPr>
            <w:tcW w:w="3230" w:type="dxa"/>
            <w:tcBorders>
              <w:top w:val="nil"/>
              <w:left w:val="nil"/>
              <w:bottom w:val="nil"/>
              <w:right w:val="nil"/>
            </w:tcBorders>
            <w:shd w:val="clear" w:color="auto" w:fill="auto"/>
            <w:noWrap/>
            <w:vAlign w:val="center"/>
            <w:hideMark/>
          </w:tcPr>
          <w:p w14:paraId="3757C2C5" w14:textId="77777777" w:rsidR="008B49AC" w:rsidRPr="00601C60" w:rsidRDefault="008B49AC" w:rsidP="00C642AE">
            <w:pPr>
              <w:pStyle w:val="TableColumnHeadingBase"/>
              <w:rPr>
                <w:lang w:eastAsia="en-AU"/>
              </w:rPr>
            </w:pPr>
          </w:p>
        </w:tc>
        <w:tc>
          <w:tcPr>
            <w:tcW w:w="1930" w:type="dxa"/>
            <w:gridSpan w:val="2"/>
            <w:tcBorders>
              <w:top w:val="nil"/>
              <w:left w:val="nil"/>
              <w:bottom w:val="nil"/>
              <w:right w:val="nil"/>
            </w:tcBorders>
            <w:shd w:val="clear" w:color="auto" w:fill="auto"/>
            <w:vAlign w:val="center"/>
            <w:hideMark/>
          </w:tcPr>
          <w:p w14:paraId="3CD7CB18" w14:textId="027ACFA8" w:rsidR="008B49AC" w:rsidRPr="00601C60" w:rsidRDefault="008B49AC" w:rsidP="00601C60">
            <w:pPr>
              <w:spacing w:after="0"/>
              <w:jc w:val="right"/>
              <w:rPr>
                <w:rFonts w:asciiTheme="majorHAnsi" w:eastAsia="Times New Roman" w:hAnsiTheme="majorHAnsi" w:cstheme="majorHAnsi"/>
                <w:color w:val="auto"/>
                <w:sz w:val="16"/>
                <w:szCs w:val="16"/>
                <w:lang w:eastAsia="en-AU"/>
              </w:rPr>
            </w:pPr>
            <w:r w:rsidRPr="00601C60">
              <w:rPr>
                <w:rFonts w:asciiTheme="majorHAnsi" w:eastAsia="Times New Roman" w:hAnsiTheme="majorHAnsi" w:cstheme="majorHAnsi"/>
                <w:color w:val="000000"/>
                <w:sz w:val="16"/>
                <w:szCs w:val="16"/>
                <w:lang w:eastAsia="en-AU"/>
              </w:rPr>
              <w:t>(0.003)</w:t>
            </w:r>
          </w:p>
        </w:tc>
        <w:tc>
          <w:tcPr>
            <w:tcW w:w="2102" w:type="dxa"/>
            <w:gridSpan w:val="2"/>
            <w:tcBorders>
              <w:top w:val="nil"/>
              <w:left w:val="nil"/>
              <w:bottom w:val="nil"/>
              <w:right w:val="nil"/>
            </w:tcBorders>
            <w:shd w:val="clear" w:color="auto" w:fill="auto"/>
            <w:vAlign w:val="center"/>
            <w:hideMark/>
          </w:tcPr>
          <w:p w14:paraId="3D973528" w14:textId="48D65F63" w:rsidR="008B49AC" w:rsidRPr="00601C60" w:rsidRDefault="008B49AC" w:rsidP="00601C60">
            <w:pPr>
              <w:spacing w:after="0"/>
              <w:jc w:val="right"/>
              <w:rPr>
                <w:rFonts w:asciiTheme="majorHAnsi" w:eastAsia="Times New Roman" w:hAnsiTheme="majorHAnsi" w:cstheme="majorHAnsi"/>
                <w:color w:val="auto"/>
                <w:sz w:val="16"/>
                <w:szCs w:val="16"/>
                <w:lang w:eastAsia="en-AU"/>
              </w:rPr>
            </w:pPr>
            <w:r w:rsidRPr="00601C60">
              <w:rPr>
                <w:rFonts w:asciiTheme="majorHAnsi" w:eastAsia="Times New Roman" w:hAnsiTheme="majorHAnsi" w:cstheme="majorHAnsi"/>
                <w:color w:val="auto"/>
                <w:sz w:val="16"/>
                <w:szCs w:val="16"/>
                <w:lang w:eastAsia="en-AU"/>
              </w:rPr>
              <w:t>(0.004)</w:t>
            </w:r>
          </w:p>
        </w:tc>
        <w:tc>
          <w:tcPr>
            <w:tcW w:w="2078" w:type="dxa"/>
            <w:gridSpan w:val="2"/>
            <w:tcBorders>
              <w:top w:val="nil"/>
              <w:left w:val="nil"/>
              <w:bottom w:val="nil"/>
              <w:right w:val="nil"/>
            </w:tcBorders>
            <w:shd w:val="clear" w:color="auto" w:fill="auto"/>
            <w:vAlign w:val="center"/>
            <w:hideMark/>
          </w:tcPr>
          <w:p w14:paraId="6CDF0669" w14:textId="67F227AC" w:rsidR="008B49AC" w:rsidRPr="00601C60" w:rsidRDefault="008B49AC" w:rsidP="00601C60">
            <w:pPr>
              <w:spacing w:after="0"/>
              <w:jc w:val="right"/>
              <w:rPr>
                <w:rFonts w:asciiTheme="majorHAnsi" w:eastAsia="Times New Roman" w:hAnsiTheme="majorHAnsi" w:cstheme="majorHAnsi"/>
                <w:color w:val="auto"/>
                <w:sz w:val="16"/>
                <w:szCs w:val="16"/>
                <w:lang w:eastAsia="en-AU"/>
              </w:rPr>
            </w:pPr>
            <w:r w:rsidRPr="00601C60">
              <w:rPr>
                <w:rFonts w:asciiTheme="majorHAnsi" w:eastAsia="Times New Roman" w:hAnsiTheme="majorHAnsi" w:cstheme="majorHAnsi"/>
                <w:color w:val="auto"/>
                <w:sz w:val="16"/>
                <w:szCs w:val="16"/>
                <w:lang w:eastAsia="en-AU"/>
              </w:rPr>
              <w:t>(0.00</w:t>
            </w:r>
            <w:r w:rsidR="00084108" w:rsidRPr="00601C60">
              <w:rPr>
                <w:rFonts w:asciiTheme="majorHAnsi" w:eastAsia="Times New Roman" w:hAnsiTheme="majorHAnsi" w:cstheme="majorHAnsi"/>
                <w:color w:val="auto"/>
                <w:sz w:val="16"/>
                <w:szCs w:val="16"/>
                <w:lang w:eastAsia="en-AU"/>
              </w:rPr>
              <w:t>6</w:t>
            </w:r>
            <w:r w:rsidRPr="00601C60">
              <w:rPr>
                <w:rFonts w:asciiTheme="majorHAnsi" w:eastAsia="Times New Roman" w:hAnsiTheme="majorHAnsi" w:cstheme="majorHAnsi"/>
                <w:color w:val="auto"/>
                <w:sz w:val="16"/>
                <w:szCs w:val="16"/>
                <w:lang w:eastAsia="en-AU"/>
              </w:rPr>
              <w:t>)</w:t>
            </w:r>
          </w:p>
        </w:tc>
      </w:tr>
      <w:tr w:rsidR="008B49AC" w:rsidRPr="00084108" w14:paraId="57B3A2D0" w14:textId="77777777" w:rsidTr="000B40A3">
        <w:trPr>
          <w:trHeight w:val="300"/>
          <w:jc w:val="center"/>
        </w:trPr>
        <w:tc>
          <w:tcPr>
            <w:tcW w:w="3230" w:type="dxa"/>
            <w:tcBorders>
              <w:top w:val="nil"/>
              <w:left w:val="nil"/>
              <w:bottom w:val="nil"/>
              <w:right w:val="nil"/>
            </w:tcBorders>
            <w:shd w:val="clear" w:color="auto" w:fill="D5E2F1"/>
            <w:noWrap/>
            <w:vAlign w:val="center"/>
            <w:hideMark/>
          </w:tcPr>
          <w:p w14:paraId="5404F533" w14:textId="2A1535E8" w:rsidR="008B49AC" w:rsidRPr="00601C60" w:rsidRDefault="008B49AC" w:rsidP="00C642AE">
            <w:pPr>
              <w:pStyle w:val="TableColumnHeadingBase"/>
              <w:rPr>
                <w:lang w:eastAsia="en-AU"/>
              </w:rPr>
            </w:pPr>
            <w:r w:rsidRPr="00601C60">
              <w:rPr>
                <w:lang w:eastAsia="en-AU"/>
              </w:rPr>
              <w:t xml:space="preserve">Distance </w:t>
            </w:r>
            <w:r w:rsidR="00C642AE">
              <w:rPr>
                <w:lang w:eastAsia="en-AU"/>
              </w:rPr>
              <w:t>f</w:t>
            </w:r>
            <w:r w:rsidRPr="00601C60">
              <w:rPr>
                <w:lang w:eastAsia="en-AU"/>
              </w:rPr>
              <w:t xml:space="preserve">rom </w:t>
            </w:r>
            <w:r w:rsidR="00C642AE">
              <w:rPr>
                <w:lang w:eastAsia="en-AU"/>
              </w:rPr>
              <w:t>f</w:t>
            </w:r>
            <w:r w:rsidRPr="00601C60">
              <w:rPr>
                <w:lang w:eastAsia="en-AU"/>
              </w:rPr>
              <w:t>rontier x 2005</w:t>
            </w:r>
            <w:r w:rsidR="00AA5B97">
              <w:rPr>
                <w:lang w:eastAsia="en-AU"/>
              </w:rPr>
              <w:noBreakHyphen/>
            </w:r>
            <w:r w:rsidRPr="00601C60">
              <w:rPr>
                <w:lang w:eastAsia="en-AU"/>
              </w:rPr>
              <w:t>07</w:t>
            </w:r>
          </w:p>
        </w:tc>
        <w:tc>
          <w:tcPr>
            <w:tcW w:w="1930" w:type="dxa"/>
            <w:gridSpan w:val="2"/>
            <w:tcBorders>
              <w:top w:val="nil"/>
              <w:left w:val="nil"/>
              <w:bottom w:val="nil"/>
              <w:right w:val="nil"/>
            </w:tcBorders>
            <w:shd w:val="clear" w:color="auto" w:fill="D5E2F1"/>
            <w:noWrap/>
            <w:vAlign w:val="center"/>
            <w:hideMark/>
          </w:tcPr>
          <w:p w14:paraId="5D3F8F06" w14:textId="45F64F58" w:rsidR="008B49AC"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8B49AC" w:rsidRPr="00601C60">
              <w:rPr>
                <w:rFonts w:asciiTheme="majorHAnsi" w:eastAsia="Times New Roman" w:hAnsiTheme="majorHAnsi" w:cstheme="majorHAnsi"/>
                <w:color w:val="000000"/>
                <w:sz w:val="16"/>
                <w:szCs w:val="16"/>
                <w:lang w:eastAsia="en-AU"/>
              </w:rPr>
              <w:t>0.009**</w:t>
            </w:r>
          </w:p>
        </w:tc>
        <w:tc>
          <w:tcPr>
            <w:tcW w:w="2102" w:type="dxa"/>
            <w:gridSpan w:val="2"/>
            <w:tcBorders>
              <w:top w:val="nil"/>
              <w:left w:val="nil"/>
              <w:bottom w:val="nil"/>
              <w:right w:val="nil"/>
            </w:tcBorders>
            <w:shd w:val="clear" w:color="auto" w:fill="D5E2F1"/>
            <w:noWrap/>
            <w:vAlign w:val="center"/>
            <w:hideMark/>
          </w:tcPr>
          <w:p w14:paraId="6A5ECFCA" w14:textId="0AB66B77" w:rsidR="008B49AC"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8B49AC" w:rsidRPr="00601C60">
              <w:rPr>
                <w:rFonts w:asciiTheme="majorHAnsi" w:eastAsia="Times New Roman" w:hAnsiTheme="majorHAnsi" w:cstheme="majorHAnsi"/>
                <w:color w:val="000000"/>
                <w:sz w:val="16"/>
                <w:szCs w:val="16"/>
                <w:lang w:eastAsia="en-AU"/>
              </w:rPr>
              <w:t>0.01</w:t>
            </w:r>
            <w:r w:rsidR="00084108" w:rsidRPr="00601C60">
              <w:rPr>
                <w:rFonts w:asciiTheme="majorHAnsi" w:eastAsia="Times New Roman" w:hAnsiTheme="majorHAnsi" w:cstheme="majorHAnsi"/>
                <w:color w:val="000000"/>
                <w:sz w:val="16"/>
                <w:szCs w:val="16"/>
                <w:lang w:eastAsia="en-AU"/>
              </w:rPr>
              <w:t>1</w:t>
            </w:r>
            <w:r w:rsidR="008B49AC" w:rsidRPr="00601C60">
              <w:rPr>
                <w:rFonts w:asciiTheme="majorHAnsi" w:eastAsia="Times New Roman" w:hAnsiTheme="majorHAnsi" w:cstheme="majorHAnsi"/>
                <w:color w:val="000000"/>
                <w:sz w:val="16"/>
                <w:szCs w:val="16"/>
                <w:lang w:eastAsia="en-AU"/>
              </w:rPr>
              <w:t>**</w:t>
            </w:r>
          </w:p>
        </w:tc>
        <w:tc>
          <w:tcPr>
            <w:tcW w:w="2078" w:type="dxa"/>
            <w:gridSpan w:val="2"/>
            <w:tcBorders>
              <w:top w:val="nil"/>
              <w:left w:val="nil"/>
              <w:bottom w:val="nil"/>
              <w:right w:val="nil"/>
            </w:tcBorders>
            <w:shd w:val="clear" w:color="auto" w:fill="D5E2F1"/>
            <w:noWrap/>
            <w:vAlign w:val="bottom"/>
            <w:hideMark/>
          </w:tcPr>
          <w:p w14:paraId="525666D4" w14:textId="39CA13BB"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w:t>
            </w:r>
            <w:r w:rsidR="00084108" w:rsidRPr="00601C60">
              <w:rPr>
                <w:rFonts w:asciiTheme="majorHAnsi" w:eastAsia="Times New Roman" w:hAnsiTheme="majorHAnsi" w:cstheme="majorHAnsi"/>
                <w:color w:val="000000"/>
                <w:sz w:val="16"/>
                <w:szCs w:val="16"/>
                <w:lang w:eastAsia="en-AU"/>
              </w:rPr>
              <w:t>00</w:t>
            </w:r>
          </w:p>
        </w:tc>
      </w:tr>
      <w:tr w:rsidR="008B49AC" w:rsidRPr="00084108" w14:paraId="33F6CA5D" w14:textId="77777777" w:rsidTr="000B40A3">
        <w:trPr>
          <w:trHeight w:val="300"/>
          <w:jc w:val="center"/>
        </w:trPr>
        <w:tc>
          <w:tcPr>
            <w:tcW w:w="3230" w:type="dxa"/>
            <w:tcBorders>
              <w:top w:val="nil"/>
              <w:left w:val="nil"/>
              <w:bottom w:val="nil"/>
              <w:right w:val="nil"/>
            </w:tcBorders>
            <w:shd w:val="clear" w:color="auto" w:fill="auto"/>
            <w:noWrap/>
            <w:vAlign w:val="center"/>
            <w:hideMark/>
          </w:tcPr>
          <w:p w14:paraId="2179F090" w14:textId="77777777" w:rsidR="008B49AC" w:rsidRPr="00601C60" w:rsidRDefault="008B49AC" w:rsidP="00C642AE">
            <w:pPr>
              <w:pStyle w:val="TableColumnHeadingBase"/>
              <w:rPr>
                <w:lang w:eastAsia="en-AU"/>
              </w:rPr>
            </w:pPr>
          </w:p>
        </w:tc>
        <w:tc>
          <w:tcPr>
            <w:tcW w:w="1930" w:type="dxa"/>
            <w:gridSpan w:val="2"/>
            <w:tcBorders>
              <w:top w:val="nil"/>
              <w:left w:val="nil"/>
              <w:bottom w:val="nil"/>
              <w:right w:val="nil"/>
            </w:tcBorders>
            <w:shd w:val="clear" w:color="auto" w:fill="auto"/>
            <w:noWrap/>
            <w:vAlign w:val="center"/>
            <w:hideMark/>
          </w:tcPr>
          <w:p w14:paraId="5E0E8679" w14:textId="0715F333"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(0.004)</w:t>
            </w:r>
          </w:p>
        </w:tc>
        <w:tc>
          <w:tcPr>
            <w:tcW w:w="2102" w:type="dxa"/>
            <w:gridSpan w:val="2"/>
            <w:tcBorders>
              <w:top w:val="nil"/>
              <w:left w:val="nil"/>
              <w:bottom w:val="nil"/>
              <w:right w:val="nil"/>
            </w:tcBorders>
            <w:shd w:val="clear" w:color="auto" w:fill="auto"/>
            <w:noWrap/>
            <w:vAlign w:val="center"/>
            <w:hideMark/>
          </w:tcPr>
          <w:p w14:paraId="6E49B8B4" w14:textId="729188B9"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084108" w:rsidRPr="00601C60">
              <w:rPr>
                <w:rFonts w:asciiTheme="majorHAnsi" w:eastAsia="Times New Roman" w:hAnsiTheme="majorHAnsi" w:cstheme="majorHAnsi"/>
                <w:color w:val="000000"/>
                <w:sz w:val="16"/>
                <w:szCs w:val="16"/>
                <w:lang w:eastAsia="en-AU"/>
              </w:rPr>
              <w:t>5</w:t>
            </w:r>
            <w:r w:rsidRPr="00601C60">
              <w:rPr>
                <w:rFonts w:asciiTheme="majorHAnsi" w:eastAsia="Times New Roman" w:hAnsiTheme="majorHAnsi" w:cstheme="majorHAnsi"/>
                <w:color w:val="000000"/>
                <w:sz w:val="16"/>
                <w:szCs w:val="16"/>
                <w:lang w:eastAsia="en-AU"/>
              </w:rPr>
              <w:t>)</w:t>
            </w:r>
          </w:p>
        </w:tc>
        <w:tc>
          <w:tcPr>
            <w:tcW w:w="2078" w:type="dxa"/>
            <w:gridSpan w:val="2"/>
            <w:tcBorders>
              <w:top w:val="nil"/>
              <w:left w:val="nil"/>
              <w:bottom w:val="nil"/>
              <w:right w:val="nil"/>
            </w:tcBorders>
            <w:shd w:val="clear" w:color="auto" w:fill="auto"/>
            <w:noWrap/>
            <w:vAlign w:val="bottom"/>
            <w:hideMark/>
          </w:tcPr>
          <w:p w14:paraId="1D3FCF0C" w14:textId="7445EE0B"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084108" w:rsidRPr="00601C60">
              <w:rPr>
                <w:rFonts w:asciiTheme="majorHAnsi" w:eastAsia="Times New Roman" w:hAnsiTheme="majorHAnsi" w:cstheme="majorHAnsi"/>
                <w:color w:val="000000"/>
                <w:sz w:val="16"/>
                <w:szCs w:val="16"/>
                <w:lang w:eastAsia="en-AU"/>
              </w:rPr>
              <w:t>7</w:t>
            </w:r>
            <w:r w:rsidRPr="00601C60">
              <w:rPr>
                <w:rFonts w:asciiTheme="majorHAnsi" w:eastAsia="Times New Roman" w:hAnsiTheme="majorHAnsi" w:cstheme="majorHAnsi"/>
                <w:color w:val="000000"/>
                <w:sz w:val="16"/>
                <w:szCs w:val="16"/>
                <w:lang w:eastAsia="en-AU"/>
              </w:rPr>
              <w:t>)</w:t>
            </w:r>
          </w:p>
        </w:tc>
      </w:tr>
      <w:tr w:rsidR="008B49AC" w:rsidRPr="00084108" w14:paraId="54F6BDBE" w14:textId="77777777" w:rsidTr="000B40A3">
        <w:trPr>
          <w:trHeight w:val="300"/>
          <w:jc w:val="center"/>
        </w:trPr>
        <w:tc>
          <w:tcPr>
            <w:tcW w:w="3230" w:type="dxa"/>
            <w:tcBorders>
              <w:top w:val="nil"/>
              <w:left w:val="nil"/>
              <w:bottom w:val="nil"/>
              <w:right w:val="nil"/>
            </w:tcBorders>
            <w:shd w:val="clear" w:color="auto" w:fill="D5E2F1"/>
            <w:noWrap/>
            <w:vAlign w:val="center"/>
            <w:hideMark/>
          </w:tcPr>
          <w:p w14:paraId="1DBE24CF" w14:textId="6BCA5857" w:rsidR="008B49AC" w:rsidRPr="00601C60" w:rsidRDefault="008B49AC" w:rsidP="00C642AE">
            <w:pPr>
              <w:pStyle w:val="TableColumnHeadingBase"/>
              <w:rPr>
                <w:lang w:eastAsia="en-AU"/>
              </w:rPr>
            </w:pPr>
            <w:r w:rsidRPr="00601C60">
              <w:rPr>
                <w:lang w:eastAsia="en-AU"/>
              </w:rPr>
              <w:t xml:space="preserve">Distance </w:t>
            </w:r>
            <w:r w:rsidR="00C642AE">
              <w:rPr>
                <w:lang w:eastAsia="en-AU"/>
              </w:rPr>
              <w:t>f</w:t>
            </w:r>
            <w:r w:rsidRPr="00601C60">
              <w:rPr>
                <w:lang w:eastAsia="en-AU"/>
              </w:rPr>
              <w:t xml:space="preserve">rom </w:t>
            </w:r>
            <w:r w:rsidR="00C642AE">
              <w:rPr>
                <w:lang w:eastAsia="en-AU"/>
              </w:rPr>
              <w:t>f</w:t>
            </w:r>
            <w:r w:rsidRPr="00601C60">
              <w:rPr>
                <w:lang w:eastAsia="en-AU"/>
              </w:rPr>
              <w:t>rontier x 2008</w:t>
            </w:r>
            <w:r w:rsidR="00AA5B97">
              <w:rPr>
                <w:lang w:eastAsia="en-AU"/>
              </w:rPr>
              <w:noBreakHyphen/>
            </w:r>
            <w:r w:rsidRPr="00601C60">
              <w:rPr>
                <w:lang w:eastAsia="en-AU"/>
              </w:rPr>
              <w:t>10</w:t>
            </w:r>
          </w:p>
        </w:tc>
        <w:tc>
          <w:tcPr>
            <w:tcW w:w="1930" w:type="dxa"/>
            <w:gridSpan w:val="2"/>
            <w:tcBorders>
              <w:top w:val="nil"/>
              <w:left w:val="nil"/>
              <w:bottom w:val="nil"/>
              <w:right w:val="nil"/>
            </w:tcBorders>
            <w:shd w:val="clear" w:color="auto" w:fill="D5E2F1"/>
            <w:noWrap/>
            <w:vAlign w:val="center"/>
            <w:hideMark/>
          </w:tcPr>
          <w:p w14:paraId="2296D691" w14:textId="7DE812B4" w:rsidR="008B49AC"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8B49AC" w:rsidRPr="00601C60">
              <w:rPr>
                <w:rFonts w:asciiTheme="majorHAnsi" w:eastAsia="Times New Roman" w:hAnsiTheme="majorHAnsi" w:cstheme="majorHAnsi"/>
                <w:color w:val="000000"/>
                <w:sz w:val="16"/>
                <w:szCs w:val="16"/>
                <w:lang w:eastAsia="en-AU"/>
              </w:rPr>
              <w:t>0.005</w:t>
            </w:r>
          </w:p>
        </w:tc>
        <w:tc>
          <w:tcPr>
            <w:tcW w:w="2102" w:type="dxa"/>
            <w:gridSpan w:val="2"/>
            <w:tcBorders>
              <w:top w:val="nil"/>
              <w:left w:val="nil"/>
              <w:bottom w:val="nil"/>
              <w:right w:val="nil"/>
            </w:tcBorders>
            <w:shd w:val="clear" w:color="auto" w:fill="D5E2F1"/>
            <w:noWrap/>
            <w:vAlign w:val="center"/>
            <w:hideMark/>
          </w:tcPr>
          <w:p w14:paraId="0FB24974" w14:textId="063ECE9F" w:rsidR="008B49AC"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8B49AC" w:rsidRPr="00601C60">
              <w:rPr>
                <w:rFonts w:asciiTheme="majorHAnsi" w:eastAsia="Times New Roman" w:hAnsiTheme="majorHAnsi" w:cstheme="majorHAnsi"/>
                <w:color w:val="000000"/>
                <w:sz w:val="16"/>
                <w:szCs w:val="16"/>
                <w:lang w:eastAsia="en-AU"/>
              </w:rPr>
              <w:t>0.0</w:t>
            </w:r>
            <w:r w:rsidR="00084108" w:rsidRPr="00601C60">
              <w:rPr>
                <w:rFonts w:asciiTheme="majorHAnsi" w:eastAsia="Times New Roman" w:hAnsiTheme="majorHAnsi" w:cstheme="majorHAnsi"/>
                <w:color w:val="000000"/>
                <w:sz w:val="16"/>
                <w:szCs w:val="16"/>
                <w:lang w:eastAsia="en-AU"/>
              </w:rPr>
              <w:t>10</w:t>
            </w:r>
            <w:r w:rsidR="008B49AC" w:rsidRPr="00601C60">
              <w:rPr>
                <w:rFonts w:asciiTheme="majorHAnsi" w:eastAsia="Times New Roman" w:hAnsiTheme="majorHAnsi" w:cstheme="majorHAnsi"/>
                <w:color w:val="000000"/>
                <w:sz w:val="16"/>
                <w:szCs w:val="16"/>
                <w:lang w:eastAsia="en-AU"/>
              </w:rPr>
              <w:t>**</w:t>
            </w:r>
          </w:p>
        </w:tc>
        <w:tc>
          <w:tcPr>
            <w:tcW w:w="2078" w:type="dxa"/>
            <w:gridSpan w:val="2"/>
            <w:tcBorders>
              <w:top w:val="nil"/>
              <w:left w:val="nil"/>
              <w:bottom w:val="nil"/>
              <w:right w:val="nil"/>
            </w:tcBorders>
            <w:shd w:val="clear" w:color="auto" w:fill="D5E2F1"/>
            <w:noWrap/>
            <w:vAlign w:val="bottom"/>
            <w:hideMark/>
          </w:tcPr>
          <w:p w14:paraId="45B89346" w14:textId="5BC4D394" w:rsidR="008B49AC"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084108" w:rsidRPr="00601C60">
              <w:rPr>
                <w:rFonts w:asciiTheme="majorHAnsi" w:eastAsia="Times New Roman" w:hAnsiTheme="majorHAnsi" w:cstheme="majorHAnsi"/>
                <w:color w:val="000000"/>
                <w:sz w:val="16"/>
                <w:szCs w:val="16"/>
                <w:lang w:eastAsia="en-AU"/>
              </w:rPr>
              <w:t>0.018**</w:t>
            </w:r>
          </w:p>
        </w:tc>
      </w:tr>
      <w:tr w:rsidR="008B49AC" w:rsidRPr="00084108" w14:paraId="169EFE01" w14:textId="77777777" w:rsidTr="000B40A3">
        <w:trPr>
          <w:trHeight w:val="300"/>
          <w:jc w:val="center"/>
        </w:trPr>
        <w:tc>
          <w:tcPr>
            <w:tcW w:w="3230" w:type="dxa"/>
            <w:tcBorders>
              <w:top w:val="nil"/>
              <w:left w:val="nil"/>
              <w:bottom w:val="nil"/>
              <w:right w:val="nil"/>
            </w:tcBorders>
            <w:shd w:val="clear" w:color="auto" w:fill="auto"/>
            <w:noWrap/>
            <w:vAlign w:val="center"/>
            <w:hideMark/>
          </w:tcPr>
          <w:p w14:paraId="18DA0FA5" w14:textId="77777777" w:rsidR="008B49AC" w:rsidRPr="00601C60" w:rsidRDefault="008B49AC" w:rsidP="00C642AE">
            <w:pPr>
              <w:pStyle w:val="TableColumnHeadingBase"/>
              <w:rPr>
                <w:lang w:eastAsia="en-AU"/>
              </w:rPr>
            </w:pPr>
          </w:p>
        </w:tc>
        <w:tc>
          <w:tcPr>
            <w:tcW w:w="1930" w:type="dxa"/>
            <w:gridSpan w:val="2"/>
            <w:tcBorders>
              <w:top w:val="nil"/>
              <w:left w:val="nil"/>
              <w:bottom w:val="nil"/>
              <w:right w:val="nil"/>
            </w:tcBorders>
            <w:shd w:val="clear" w:color="auto" w:fill="auto"/>
            <w:noWrap/>
            <w:vAlign w:val="center"/>
            <w:hideMark/>
          </w:tcPr>
          <w:p w14:paraId="0096FCD2" w14:textId="65C9AEE0"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(0.004)</w:t>
            </w:r>
          </w:p>
        </w:tc>
        <w:tc>
          <w:tcPr>
            <w:tcW w:w="2102" w:type="dxa"/>
            <w:gridSpan w:val="2"/>
            <w:tcBorders>
              <w:top w:val="nil"/>
              <w:left w:val="nil"/>
              <w:bottom w:val="nil"/>
              <w:right w:val="nil"/>
            </w:tcBorders>
            <w:shd w:val="clear" w:color="auto" w:fill="auto"/>
            <w:noWrap/>
            <w:vAlign w:val="center"/>
            <w:hideMark/>
          </w:tcPr>
          <w:p w14:paraId="3B6DA987" w14:textId="41D52B84"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084108" w:rsidRPr="00601C60">
              <w:rPr>
                <w:rFonts w:asciiTheme="majorHAnsi" w:eastAsia="Times New Roman" w:hAnsiTheme="majorHAnsi" w:cstheme="majorHAnsi"/>
                <w:color w:val="000000"/>
                <w:sz w:val="16"/>
                <w:szCs w:val="16"/>
                <w:lang w:eastAsia="en-AU"/>
              </w:rPr>
              <w:t>5</w:t>
            </w:r>
            <w:r w:rsidRPr="00601C60">
              <w:rPr>
                <w:rFonts w:asciiTheme="majorHAnsi" w:eastAsia="Times New Roman" w:hAnsiTheme="majorHAnsi" w:cstheme="majorHAnsi"/>
                <w:color w:val="000000"/>
                <w:sz w:val="16"/>
                <w:szCs w:val="16"/>
                <w:lang w:eastAsia="en-AU"/>
              </w:rPr>
              <w:t>)</w:t>
            </w:r>
          </w:p>
        </w:tc>
        <w:tc>
          <w:tcPr>
            <w:tcW w:w="2078" w:type="dxa"/>
            <w:gridSpan w:val="2"/>
            <w:tcBorders>
              <w:top w:val="nil"/>
              <w:left w:val="nil"/>
              <w:bottom w:val="nil"/>
              <w:right w:val="nil"/>
            </w:tcBorders>
            <w:shd w:val="clear" w:color="auto" w:fill="auto"/>
            <w:noWrap/>
            <w:vAlign w:val="center"/>
            <w:hideMark/>
          </w:tcPr>
          <w:p w14:paraId="790D8472" w14:textId="573EBF3C"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084108" w:rsidRPr="00601C60">
              <w:rPr>
                <w:rFonts w:asciiTheme="majorHAnsi" w:eastAsia="Times New Roman" w:hAnsiTheme="majorHAnsi" w:cstheme="majorHAnsi"/>
                <w:color w:val="000000"/>
                <w:sz w:val="16"/>
                <w:szCs w:val="16"/>
                <w:lang w:eastAsia="en-AU"/>
              </w:rPr>
              <w:t>7</w:t>
            </w:r>
            <w:r w:rsidRPr="00601C60">
              <w:rPr>
                <w:rFonts w:asciiTheme="majorHAnsi" w:eastAsia="Times New Roman" w:hAnsiTheme="majorHAnsi" w:cstheme="majorHAnsi"/>
                <w:color w:val="000000"/>
                <w:sz w:val="16"/>
                <w:szCs w:val="16"/>
                <w:lang w:eastAsia="en-AU"/>
              </w:rPr>
              <w:t>)</w:t>
            </w:r>
          </w:p>
        </w:tc>
      </w:tr>
      <w:tr w:rsidR="00084108" w:rsidRPr="00084108" w14:paraId="47AE4106" w14:textId="77777777" w:rsidTr="000B40A3">
        <w:trPr>
          <w:trHeight w:val="300"/>
          <w:jc w:val="center"/>
        </w:trPr>
        <w:tc>
          <w:tcPr>
            <w:tcW w:w="3230" w:type="dxa"/>
            <w:tcBorders>
              <w:top w:val="nil"/>
              <w:left w:val="nil"/>
              <w:bottom w:val="nil"/>
              <w:right w:val="nil"/>
            </w:tcBorders>
            <w:shd w:val="clear" w:color="auto" w:fill="D5E2F1"/>
            <w:noWrap/>
            <w:vAlign w:val="center"/>
            <w:hideMark/>
          </w:tcPr>
          <w:p w14:paraId="6C83381D" w14:textId="77E9F76E" w:rsidR="00084108" w:rsidRPr="00601C60" w:rsidRDefault="00084108" w:rsidP="00C642AE">
            <w:pPr>
              <w:pStyle w:val="TableColumnHeadingBase"/>
              <w:rPr>
                <w:lang w:eastAsia="en-AU"/>
              </w:rPr>
            </w:pPr>
            <w:r w:rsidRPr="00601C60">
              <w:rPr>
                <w:lang w:eastAsia="en-AU"/>
              </w:rPr>
              <w:t xml:space="preserve">Distance </w:t>
            </w:r>
            <w:r w:rsidR="00C642AE">
              <w:rPr>
                <w:lang w:eastAsia="en-AU"/>
              </w:rPr>
              <w:t>f</w:t>
            </w:r>
            <w:r w:rsidRPr="00601C60">
              <w:rPr>
                <w:lang w:eastAsia="en-AU"/>
              </w:rPr>
              <w:t xml:space="preserve">rom </w:t>
            </w:r>
            <w:r w:rsidR="00C642AE">
              <w:rPr>
                <w:lang w:eastAsia="en-AU"/>
              </w:rPr>
              <w:t>f</w:t>
            </w:r>
            <w:r w:rsidRPr="00601C60">
              <w:rPr>
                <w:lang w:eastAsia="en-AU"/>
              </w:rPr>
              <w:t>rontier x 2011</w:t>
            </w:r>
            <w:r w:rsidR="00AA5B97">
              <w:rPr>
                <w:lang w:eastAsia="en-AU"/>
              </w:rPr>
              <w:noBreakHyphen/>
            </w:r>
            <w:r w:rsidRPr="00601C60">
              <w:rPr>
                <w:lang w:eastAsia="en-AU"/>
              </w:rPr>
              <w:t>16</w:t>
            </w:r>
          </w:p>
        </w:tc>
        <w:tc>
          <w:tcPr>
            <w:tcW w:w="1930" w:type="dxa"/>
            <w:gridSpan w:val="2"/>
            <w:tcBorders>
              <w:top w:val="nil"/>
              <w:left w:val="nil"/>
              <w:bottom w:val="nil"/>
              <w:right w:val="nil"/>
            </w:tcBorders>
            <w:shd w:val="clear" w:color="auto" w:fill="D5E2F1"/>
            <w:noWrap/>
            <w:vAlign w:val="center"/>
            <w:hideMark/>
          </w:tcPr>
          <w:p w14:paraId="010CA2E1" w14:textId="7E36CF7C" w:rsidR="00084108"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084108" w:rsidRPr="00601C60">
              <w:rPr>
                <w:rFonts w:asciiTheme="majorHAnsi" w:eastAsia="Times New Roman" w:hAnsiTheme="majorHAnsi" w:cstheme="majorHAnsi"/>
                <w:color w:val="000000"/>
                <w:sz w:val="16"/>
                <w:szCs w:val="16"/>
                <w:lang w:eastAsia="en-AU"/>
              </w:rPr>
              <w:t>0.039***</w:t>
            </w:r>
          </w:p>
        </w:tc>
        <w:tc>
          <w:tcPr>
            <w:tcW w:w="2102" w:type="dxa"/>
            <w:gridSpan w:val="2"/>
            <w:tcBorders>
              <w:top w:val="nil"/>
              <w:left w:val="nil"/>
              <w:bottom w:val="nil"/>
              <w:right w:val="nil"/>
            </w:tcBorders>
            <w:shd w:val="clear" w:color="auto" w:fill="D5E2F1"/>
            <w:noWrap/>
            <w:vAlign w:val="center"/>
            <w:hideMark/>
          </w:tcPr>
          <w:p w14:paraId="5CD14C68" w14:textId="255B3EA7" w:rsidR="00084108"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084108" w:rsidRPr="00601C60">
              <w:rPr>
                <w:rFonts w:asciiTheme="majorHAnsi" w:eastAsia="Times New Roman" w:hAnsiTheme="majorHAnsi" w:cstheme="majorHAnsi"/>
                <w:color w:val="000000"/>
                <w:sz w:val="16"/>
                <w:szCs w:val="16"/>
                <w:lang w:eastAsia="en-AU"/>
              </w:rPr>
              <w:t>0.047***</w:t>
            </w:r>
          </w:p>
        </w:tc>
        <w:tc>
          <w:tcPr>
            <w:tcW w:w="2078" w:type="dxa"/>
            <w:gridSpan w:val="2"/>
            <w:tcBorders>
              <w:top w:val="nil"/>
              <w:left w:val="nil"/>
              <w:bottom w:val="nil"/>
              <w:right w:val="nil"/>
            </w:tcBorders>
            <w:shd w:val="clear" w:color="auto" w:fill="D5E2F1"/>
            <w:noWrap/>
            <w:vAlign w:val="bottom"/>
            <w:hideMark/>
          </w:tcPr>
          <w:p w14:paraId="646D143C" w14:textId="086D1358" w:rsidR="00084108" w:rsidRPr="00601C60" w:rsidRDefault="00AA5B97" w:rsidP="00601C60">
            <w:pPr>
              <w:spacing w:after="0"/>
              <w:jc w:val="right"/>
              <w:rPr>
                <w:rFonts w:asciiTheme="majorHAnsi" w:eastAsia="Times New Roman" w:hAnsiTheme="majorHAnsi" w:cstheme="majorHAnsi"/>
                <w:color w:val="000000"/>
                <w:sz w:val="16"/>
                <w:szCs w:val="16"/>
                <w:lang w:eastAsia="en-AU"/>
              </w:rPr>
            </w:pPr>
            <w:r>
              <w:rPr>
                <w:rFonts w:asciiTheme="majorHAnsi" w:eastAsia="Times New Roman" w:hAnsiTheme="majorHAnsi" w:cstheme="majorHAnsi"/>
                <w:color w:val="000000"/>
                <w:sz w:val="16"/>
                <w:szCs w:val="16"/>
                <w:lang w:eastAsia="en-AU"/>
              </w:rPr>
              <w:noBreakHyphen/>
            </w:r>
            <w:r w:rsidR="00084108" w:rsidRPr="00601C60">
              <w:rPr>
                <w:rFonts w:asciiTheme="majorHAnsi" w:eastAsia="Times New Roman" w:hAnsiTheme="majorHAnsi" w:cstheme="majorHAnsi"/>
                <w:color w:val="000000"/>
                <w:sz w:val="16"/>
                <w:szCs w:val="16"/>
                <w:lang w:eastAsia="en-AU"/>
              </w:rPr>
              <w:t>0.001</w:t>
            </w:r>
          </w:p>
        </w:tc>
      </w:tr>
      <w:tr w:rsidR="00084108" w:rsidRPr="00084108" w14:paraId="64682184" w14:textId="77777777" w:rsidTr="000B40A3">
        <w:trPr>
          <w:trHeight w:val="300"/>
          <w:jc w:val="center"/>
        </w:trPr>
        <w:tc>
          <w:tcPr>
            <w:tcW w:w="3230" w:type="dxa"/>
            <w:tcBorders>
              <w:top w:val="nil"/>
              <w:left w:val="nil"/>
              <w:bottom w:val="nil"/>
              <w:right w:val="nil"/>
            </w:tcBorders>
            <w:shd w:val="clear" w:color="auto" w:fill="auto"/>
            <w:noWrap/>
            <w:vAlign w:val="bottom"/>
            <w:hideMark/>
          </w:tcPr>
          <w:p w14:paraId="03016D5B" w14:textId="77777777" w:rsidR="00084108" w:rsidRPr="00601C60" w:rsidRDefault="00084108" w:rsidP="00C642AE">
            <w:pPr>
              <w:pStyle w:val="TableColumnHeadingBase"/>
              <w:rPr>
                <w:lang w:eastAsia="en-AU"/>
              </w:rPr>
            </w:pPr>
          </w:p>
        </w:tc>
        <w:tc>
          <w:tcPr>
            <w:tcW w:w="1930" w:type="dxa"/>
            <w:gridSpan w:val="2"/>
            <w:tcBorders>
              <w:top w:val="nil"/>
              <w:left w:val="nil"/>
              <w:bottom w:val="nil"/>
              <w:right w:val="nil"/>
            </w:tcBorders>
            <w:shd w:val="clear" w:color="auto" w:fill="auto"/>
            <w:noWrap/>
            <w:vAlign w:val="center"/>
            <w:hideMark/>
          </w:tcPr>
          <w:p w14:paraId="68CCFE4B" w14:textId="40AC4B30" w:rsidR="00084108" w:rsidRPr="00601C60" w:rsidRDefault="00084108"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(0.004)</w:t>
            </w:r>
          </w:p>
        </w:tc>
        <w:tc>
          <w:tcPr>
            <w:tcW w:w="2102" w:type="dxa"/>
            <w:gridSpan w:val="2"/>
            <w:tcBorders>
              <w:top w:val="nil"/>
              <w:left w:val="nil"/>
              <w:bottom w:val="nil"/>
              <w:right w:val="nil"/>
            </w:tcBorders>
            <w:shd w:val="clear" w:color="auto" w:fill="auto"/>
            <w:noWrap/>
            <w:vAlign w:val="center"/>
            <w:hideMark/>
          </w:tcPr>
          <w:p w14:paraId="1B4472F8" w14:textId="051FFBFD" w:rsidR="00084108" w:rsidRPr="00601C60" w:rsidRDefault="00084108"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(0.005)</w:t>
            </w:r>
          </w:p>
        </w:tc>
        <w:tc>
          <w:tcPr>
            <w:tcW w:w="2078" w:type="dxa"/>
            <w:gridSpan w:val="2"/>
            <w:tcBorders>
              <w:top w:val="nil"/>
              <w:left w:val="nil"/>
              <w:bottom w:val="nil"/>
              <w:right w:val="nil"/>
            </w:tcBorders>
            <w:shd w:val="clear" w:color="auto" w:fill="auto"/>
            <w:noWrap/>
            <w:vAlign w:val="center"/>
            <w:hideMark/>
          </w:tcPr>
          <w:p w14:paraId="2BFB57E8" w14:textId="148B6F80" w:rsidR="00084108" w:rsidRPr="00601C60" w:rsidRDefault="00084108"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(0.007)</w:t>
            </w:r>
          </w:p>
        </w:tc>
      </w:tr>
      <w:tr w:rsidR="008B49AC" w:rsidRPr="00084108" w14:paraId="7809472C" w14:textId="77777777" w:rsidTr="000B40A3">
        <w:trPr>
          <w:trHeight w:val="300"/>
          <w:jc w:val="center"/>
        </w:trPr>
        <w:tc>
          <w:tcPr>
            <w:tcW w:w="3230" w:type="dxa"/>
            <w:tcBorders>
              <w:top w:val="dotted" w:sz="4" w:space="0" w:color="auto"/>
              <w:left w:val="nil"/>
              <w:bottom w:val="nil"/>
              <w:right w:val="nil"/>
            </w:tcBorders>
            <w:shd w:val="clear" w:color="auto" w:fill="D5E2F1"/>
            <w:noWrap/>
            <w:vAlign w:val="center"/>
            <w:hideMark/>
          </w:tcPr>
          <w:p w14:paraId="09DAB4AD" w14:textId="1E8E95D2" w:rsidR="008B49AC" w:rsidRPr="00601C60" w:rsidRDefault="008B49AC" w:rsidP="00C642AE">
            <w:pPr>
              <w:pStyle w:val="TableColumnHeadingBase"/>
              <w:rPr>
                <w:lang w:eastAsia="en-AU"/>
              </w:rPr>
            </w:pPr>
            <w:r w:rsidRPr="00601C60">
              <w:rPr>
                <w:lang w:eastAsia="en-AU"/>
              </w:rPr>
              <w:t>Industry</w:t>
            </w:r>
            <w:r w:rsidR="00AA5B97">
              <w:rPr>
                <w:lang w:eastAsia="en-AU"/>
              </w:rPr>
              <w:noBreakHyphen/>
            </w:r>
            <w:r w:rsidR="00C642AE">
              <w:rPr>
                <w:lang w:eastAsia="en-AU"/>
              </w:rPr>
              <w:t>y</w:t>
            </w:r>
            <w:r w:rsidRPr="00601C60">
              <w:rPr>
                <w:lang w:eastAsia="en-AU"/>
              </w:rPr>
              <w:t xml:space="preserve">ear </w:t>
            </w:r>
            <w:r w:rsidR="00C642AE">
              <w:rPr>
                <w:lang w:eastAsia="en-AU"/>
              </w:rPr>
              <w:t>f</w:t>
            </w:r>
            <w:r w:rsidRPr="00601C60">
              <w:rPr>
                <w:lang w:eastAsia="en-AU"/>
              </w:rPr>
              <w:t xml:space="preserve">ixed </w:t>
            </w:r>
            <w:r w:rsidR="00C642AE">
              <w:rPr>
                <w:lang w:eastAsia="en-AU"/>
              </w:rPr>
              <w:t>e</w:t>
            </w:r>
            <w:r w:rsidRPr="00601C60">
              <w:rPr>
                <w:lang w:eastAsia="en-AU"/>
              </w:rPr>
              <w:t>ffects</w:t>
            </w:r>
          </w:p>
        </w:tc>
        <w:tc>
          <w:tcPr>
            <w:tcW w:w="1930" w:type="dxa"/>
            <w:gridSpan w:val="2"/>
            <w:tcBorders>
              <w:top w:val="dotted" w:sz="4" w:space="0" w:color="auto"/>
              <w:left w:val="nil"/>
              <w:bottom w:val="nil"/>
              <w:right w:val="nil"/>
            </w:tcBorders>
            <w:shd w:val="clear" w:color="auto" w:fill="D5E2F1"/>
            <w:noWrap/>
            <w:vAlign w:val="center"/>
            <w:hideMark/>
          </w:tcPr>
          <w:p w14:paraId="2651FDA8" w14:textId="591AA950"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102" w:type="dxa"/>
            <w:gridSpan w:val="2"/>
            <w:tcBorders>
              <w:top w:val="dotted" w:sz="4" w:space="0" w:color="auto"/>
              <w:left w:val="nil"/>
              <w:bottom w:val="nil"/>
              <w:right w:val="nil"/>
            </w:tcBorders>
            <w:shd w:val="clear" w:color="auto" w:fill="D5E2F1"/>
            <w:noWrap/>
            <w:vAlign w:val="center"/>
            <w:hideMark/>
          </w:tcPr>
          <w:p w14:paraId="327CE156" w14:textId="77777777"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078" w:type="dxa"/>
            <w:gridSpan w:val="2"/>
            <w:tcBorders>
              <w:top w:val="dotted" w:sz="4" w:space="0" w:color="auto"/>
              <w:left w:val="nil"/>
              <w:bottom w:val="nil"/>
              <w:right w:val="nil"/>
            </w:tcBorders>
            <w:shd w:val="clear" w:color="auto" w:fill="D5E2F1"/>
            <w:noWrap/>
            <w:vAlign w:val="center"/>
            <w:hideMark/>
          </w:tcPr>
          <w:p w14:paraId="7BDD68C5" w14:textId="77777777"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r>
      <w:tr w:rsidR="008B49AC" w:rsidRPr="00084108" w14:paraId="5AC1C830" w14:textId="77777777" w:rsidTr="000B40A3">
        <w:trPr>
          <w:trHeight w:val="300"/>
          <w:jc w:val="center"/>
        </w:trPr>
        <w:tc>
          <w:tcPr>
            <w:tcW w:w="3230" w:type="dxa"/>
            <w:tcBorders>
              <w:top w:val="nil"/>
              <w:left w:val="nil"/>
              <w:bottom w:val="nil"/>
              <w:right w:val="nil"/>
            </w:tcBorders>
            <w:shd w:val="clear" w:color="auto" w:fill="auto"/>
            <w:noWrap/>
            <w:vAlign w:val="center"/>
            <w:hideMark/>
          </w:tcPr>
          <w:p w14:paraId="16FC5BB2" w14:textId="6B32968C" w:rsidR="008B49AC" w:rsidRPr="00601C60" w:rsidRDefault="008B49AC" w:rsidP="00C642AE">
            <w:pPr>
              <w:pStyle w:val="TableColumnHeadingBase"/>
              <w:rPr>
                <w:lang w:eastAsia="en-AU"/>
              </w:rPr>
            </w:pPr>
            <w:r w:rsidRPr="00601C60">
              <w:rPr>
                <w:lang w:eastAsia="en-AU"/>
              </w:rPr>
              <w:t xml:space="preserve">Firm </w:t>
            </w:r>
            <w:r w:rsidR="00C642AE">
              <w:rPr>
                <w:lang w:eastAsia="en-AU"/>
              </w:rPr>
              <w:t>a</w:t>
            </w:r>
            <w:r w:rsidRPr="00601C60">
              <w:rPr>
                <w:lang w:eastAsia="en-AU"/>
              </w:rPr>
              <w:t xml:space="preserve">ge and </w:t>
            </w:r>
            <w:r w:rsidR="00C642AE">
              <w:rPr>
                <w:lang w:eastAsia="en-AU"/>
              </w:rPr>
              <w:t>s</w:t>
            </w:r>
            <w:r w:rsidRPr="00601C60">
              <w:rPr>
                <w:lang w:eastAsia="en-AU"/>
              </w:rPr>
              <w:t xml:space="preserve">ize </w:t>
            </w:r>
            <w:r w:rsidR="00C642AE">
              <w:rPr>
                <w:lang w:eastAsia="en-AU"/>
              </w:rPr>
              <w:t>c</w:t>
            </w:r>
            <w:r w:rsidRPr="00601C60">
              <w:rPr>
                <w:lang w:eastAsia="en-AU"/>
              </w:rPr>
              <w:t>ontrols</w:t>
            </w:r>
          </w:p>
        </w:tc>
        <w:tc>
          <w:tcPr>
            <w:tcW w:w="1930" w:type="dxa"/>
            <w:gridSpan w:val="2"/>
            <w:tcBorders>
              <w:top w:val="nil"/>
              <w:left w:val="nil"/>
              <w:bottom w:val="nil"/>
              <w:right w:val="nil"/>
            </w:tcBorders>
            <w:shd w:val="clear" w:color="auto" w:fill="auto"/>
            <w:noWrap/>
            <w:vAlign w:val="center"/>
            <w:hideMark/>
          </w:tcPr>
          <w:p w14:paraId="6A56871D" w14:textId="5D98EB01"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102" w:type="dxa"/>
            <w:gridSpan w:val="2"/>
            <w:tcBorders>
              <w:top w:val="nil"/>
              <w:left w:val="nil"/>
              <w:bottom w:val="nil"/>
              <w:right w:val="nil"/>
            </w:tcBorders>
            <w:shd w:val="clear" w:color="auto" w:fill="auto"/>
            <w:noWrap/>
            <w:vAlign w:val="center"/>
            <w:hideMark/>
          </w:tcPr>
          <w:p w14:paraId="148A605E" w14:textId="77777777"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078" w:type="dxa"/>
            <w:gridSpan w:val="2"/>
            <w:tcBorders>
              <w:top w:val="nil"/>
              <w:left w:val="nil"/>
              <w:bottom w:val="nil"/>
              <w:right w:val="nil"/>
            </w:tcBorders>
            <w:shd w:val="clear" w:color="auto" w:fill="auto"/>
            <w:noWrap/>
            <w:vAlign w:val="center"/>
            <w:hideMark/>
          </w:tcPr>
          <w:p w14:paraId="1B9FC127" w14:textId="77777777"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r>
      <w:tr w:rsidR="008B49AC" w:rsidRPr="00084108" w14:paraId="2FD3293E" w14:textId="77777777" w:rsidTr="000B40A3">
        <w:trPr>
          <w:trHeight w:val="300"/>
          <w:jc w:val="center"/>
        </w:trPr>
        <w:tc>
          <w:tcPr>
            <w:tcW w:w="3230" w:type="dxa"/>
            <w:tcBorders>
              <w:top w:val="nil"/>
              <w:left w:val="nil"/>
              <w:bottom w:val="nil"/>
              <w:right w:val="nil"/>
            </w:tcBorders>
            <w:shd w:val="clear" w:color="auto" w:fill="D5E2F1"/>
            <w:noWrap/>
            <w:vAlign w:val="center"/>
            <w:hideMark/>
          </w:tcPr>
          <w:p w14:paraId="5729BD2A" w14:textId="7571EE09" w:rsidR="008B49AC" w:rsidRPr="00601C60" w:rsidRDefault="008B49AC" w:rsidP="00C642AE">
            <w:pPr>
              <w:pStyle w:val="TableColumnHeadingBase"/>
              <w:rPr>
                <w:lang w:eastAsia="en-AU"/>
              </w:rPr>
            </w:pPr>
            <w:r w:rsidRPr="00601C60">
              <w:rPr>
                <w:lang w:eastAsia="en-AU"/>
              </w:rPr>
              <w:t>R</w:t>
            </w:r>
            <w:r w:rsidR="00AA5B97">
              <w:rPr>
                <w:lang w:eastAsia="en-AU"/>
              </w:rPr>
              <w:noBreakHyphen/>
            </w:r>
            <w:r w:rsidRPr="00601C60">
              <w:rPr>
                <w:lang w:eastAsia="en-AU"/>
              </w:rPr>
              <w:t>squared</w:t>
            </w:r>
          </w:p>
        </w:tc>
        <w:tc>
          <w:tcPr>
            <w:tcW w:w="1930" w:type="dxa"/>
            <w:gridSpan w:val="2"/>
            <w:tcBorders>
              <w:top w:val="nil"/>
              <w:left w:val="nil"/>
              <w:bottom w:val="nil"/>
              <w:right w:val="nil"/>
            </w:tcBorders>
            <w:shd w:val="clear" w:color="auto" w:fill="D5E2F1"/>
            <w:noWrap/>
            <w:vAlign w:val="center"/>
            <w:hideMark/>
          </w:tcPr>
          <w:p w14:paraId="774AEB64" w14:textId="161D8B64"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0.209</w:t>
            </w:r>
          </w:p>
        </w:tc>
        <w:tc>
          <w:tcPr>
            <w:tcW w:w="2102" w:type="dxa"/>
            <w:gridSpan w:val="2"/>
            <w:tcBorders>
              <w:top w:val="nil"/>
              <w:left w:val="nil"/>
              <w:bottom w:val="nil"/>
              <w:right w:val="nil"/>
            </w:tcBorders>
            <w:shd w:val="clear" w:color="auto" w:fill="D5E2F1"/>
            <w:noWrap/>
            <w:vAlign w:val="center"/>
            <w:hideMark/>
          </w:tcPr>
          <w:p w14:paraId="10355431" w14:textId="6322BA5C"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0.19</w:t>
            </w:r>
            <w:r w:rsidR="00084108" w:rsidRPr="00601C60">
              <w:rPr>
                <w:rFonts w:asciiTheme="majorHAnsi" w:eastAsia="Times New Roman" w:hAnsiTheme="majorHAnsi" w:cstheme="majorHAnsi"/>
                <w:color w:val="000000"/>
                <w:sz w:val="16"/>
                <w:szCs w:val="16"/>
                <w:lang w:eastAsia="en-AU"/>
              </w:rPr>
              <w:t>7</w:t>
            </w:r>
          </w:p>
        </w:tc>
        <w:tc>
          <w:tcPr>
            <w:tcW w:w="2078" w:type="dxa"/>
            <w:gridSpan w:val="2"/>
            <w:tcBorders>
              <w:top w:val="nil"/>
              <w:left w:val="nil"/>
              <w:bottom w:val="nil"/>
              <w:right w:val="nil"/>
            </w:tcBorders>
            <w:shd w:val="clear" w:color="auto" w:fill="D5E2F1"/>
            <w:noWrap/>
            <w:vAlign w:val="center"/>
            <w:hideMark/>
          </w:tcPr>
          <w:p w14:paraId="68EB8ED3" w14:textId="25D6FCF0"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w:t>
            </w:r>
            <w:r w:rsidR="00084108" w:rsidRPr="00601C60">
              <w:rPr>
                <w:rFonts w:asciiTheme="majorHAnsi" w:eastAsia="Times New Roman" w:hAnsiTheme="majorHAnsi" w:cstheme="majorHAnsi"/>
                <w:color w:val="000000"/>
                <w:sz w:val="16"/>
                <w:szCs w:val="16"/>
                <w:lang w:eastAsia="en-AU"/>
              </w:rPr>
              <w:t>43</w:t>
            </w:r>
          </w:p>
        </w:tc>
      </w:tr>
      <w:tr w:rsidR="008B49AC" w:rsidRPr="00084108" w14:paraId="70A43540" w14:textId="77777777" w:rsidTr="000B40A3">
        <w:trPr>
          <w:trHeight w:val="300"/>
          <w:jc w:val="center"/>
        </w:trPr>
        <w:tc>
          <w:tcPr>
            <w:tcW w:w="3230" w:type="dxa"/>
            <w:tcBorders>
              <w:top w:val="nil"/>
              <w:left w:val="nil"/>
              <w:bottom w:val="single" w:sz="4" w:space="0" w:color="auto"/>
              <w:right w:val="nil"/>
            </w:tcBorders>
            <w:shd w:val="clear" w:color="auto" w:fill="auto"/>
            <w:noWrap/>
            <w:vAlign w:val="center"/>
            <w:hideMark/>
          </w:tcPr>
          <w:p w14:paraId="52E1FB46" w14:textId="77777777" w:rsidR="008B49AC" w:rsidRPr="00601C60" w:rsidRDefault="008B49AC" w:rsidP="00C642AE">
            <w:pPr>
              <w:pStyle w:val="TableColumnHeadingBase"/>
              <w:rPr>
                <w:lang w:eastAsia="en-AU"/>
              </w:rPr>
            </w:pPr>
            <w:r w:rsidRPr="00601C60">
              <w:rPr>
                <w:lang w:eastAsia="en-AU"/>
              </w:rPr>
              <w:t>Observations</w:t>
            </w:r>
          </w:p>
        </w:tc>
        <w:tc>
          <w:tcPr>
            <w:tcW w:w="1930" w:type="dxa"/>
            <w:gridSpan w:val="2"/>
            <w:tcBorders>
              <w:top w:val="nil"/>
              <w:left w:val="nil"/>
              <w:bottom w:val="single" w:sz="4" w:space="0" w:color="auto"/>
              <w:right w:val="nil"/>
            </w:tcBorders>
            <w:shd w:val="clear" w:color="auto" w:fill="auto"/>
            <w:noWrap/>
            <w:vAlign w:val="center"/>
            <w:hideMark/>
          </w:tcPr>
          <w:p w14:paraId="42719EC5" w14:textId="7358973F" w:rsidR="008B49AC" w:rsidRPr="00601C60" w:rsidRDefault="008B49A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1,372,576</w:t>
            </w:r>
          </w:p>
        </w:tc>
        <w:tc>
          <w:tcPr>
            <w:tcW w:w="2102" w:type="dxa"/>
            <w:gridSpan w:val="2"/>
            <w:tcBorders>
              <w:top w:val="nil"/>
              <w:left w:val="nil"/>
              <w:bottom w:val="single" w:sz="4" w:space="0" w:color="auto"/>
              <w:right w:val="nil"/>
            </w:tcBorders>
            <w:shd w:val="clear" w:color="auto" w:fill="auto"/>
            <w:noWrap/>
            <w:vAlign w:val="center"/>
            <w:hideMark/>
          </w:tcPr>
          <w:p w14:paraId="1BE4CC74" w14:textId="1D32099B" w:rsidR="008B49AC" w:rsidRPr="00601C60" w:rsidRDefault="00084108"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996,829</w:t>
            </w:r>
          </w:p>
        </w:tc>
        <w:tc>
          <w:tcPr>
            <w:tcW w:w="2078" w:type="dxa"/>
            <w:gridSpan w:val="2"/>
            <w:tcBorders>
              <w:top w:val="nil"/>
              <w:left w:val="nil"/>
              <w:bottom w:val="single" w:sz="4" w:space="0" w:color="auto"/>
              <w:right w:val="nil"/>
            </w:tcBorders>
            <w:shd w:val="clear" w:color="auto" w:fill="auto"/>
            <w:noWrap/>
            <w:vAlign w:val="center"/>
            <w:hideMark/>
          </w:tcPr>
          <w:p w14:paraId="33842C4C" w14:textId="3E36AD99" w:rsidR="008B49AC" w:rsidRPr="00601C60" w:rsidRDefault="00084108"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375,747</w:t>
            </w:r>
          </w:p>
        </w:tc>
      </w:tr>
      <w:tr w:rsidR="00C9159F" w:rsidRPr="00084108" w14:paraId="01956572" w14:textId="77777777" w:rsidTr="000B40A3">
        <w:trPr>
          <w:trHeight w:val="509"/>
          <w:jc w:val="center"/>
        </w:trPr>
        <w:tc>
          <w:tcPr>
            <w:tcW w:w="9340" w:type="dxa"/>
            <w:gridSpan w:val="7"/>
            <w:vMerge w:val="restart"/>
            <w:tcBorders>
              <w:top w:val="single" w:sz="4" w:space="0" w:color="auto"/>
              <w:left w:val="nil"/>
              <w:bottom w:val="nil"/>
              <w:right w:val="nil"/>
            </w:tcBorders>
            <w:shd w:val="clear" w:color="auto" w:fill="auto"/>
            <w:hideMark/>
          </w:tcPr>
          <w:p w14:paraId="669BC9B0" w14:textId="267B9CF9" w:rsidR="00C9159F" w:rsidRPr="00084108" w:rsidRDefault="00426ADC" w:rsidP="003D0E71">
            <w:pPr>
              <w:spacing w:after="0"/>
              <w:rPr>
                <w:rFonts w:eastAsia="Times New Roman" w:cs="Times New Roman"/>
                <w:color w:val="000000"/>
                <w:sz w:val="18"/>
                <w:szCs w:val="18"/>
                <w:lang w:eastAsia="en-AU"/>
              </w:rPr>
            </w:pPr>
            <w:r w:rsidRPr="003D0E71">
              <w:rPr>
                <w:rFonts w:eastAsia="Times New Roman" w:cs="Times New Roman"/>
                <w:color w:val="000000"/>
                <w:sz w:val="16"/>
                <w:szCs w:val="16"/>
                <w:lang w:eastAsia="en-AU"/>
              </w:rPr>
              <w:t>Notes: Table 5</w:t>
            </w:r>
            <w:r w:rsidR="00C9159F" w:rsidRPr="003D0E71">
              <w:rPr>
                <w:rFonts w:eastAsia="Times New Roman" w:cs="Times New Roman"/>
                <w:color w:val="000000"/>
                <w:sz w:val="16"/>
                <w:szCs w:val="16"/>
                <w:lang w:eastAsia="en-AU"/>
              </w:rPr>
              <w:t xml:space="preserve"> extends the baseline model by interacting the distance from frontier term with dummy variables for the 2005</w:t>
            </w:r>
            <w:r w:rsidR="00AA5B97">
              <w:rPr>
                <w:rFonts w:ascii="Arial" w:eastAsia="Times New Roman" w:hAnsi="Arial" w:cs="Arial"/>
                <w:color w:val="000000"/>
                <w:sz w:val="16"/>
                <w:szCs w:val="16"/>
                <w:lang w:eastAsia="en-AU"/>
              </w:rPr>
              <w:noBreakHyphen/>
            </w:r>
            <w:r w:rsidR="00C9159F" w:rsidRPr="003D0E71">
              <w:rPr>
                <w:rFonts w:eastAsia="Times New Roman" w:cs="Times New Roman"/>
                <w:color w:val="000000"/>
                <w:sz w:val="16"/>
                <w:szCs w:val="16"/>
                <w:lang w:eastAsia="en-AU"/>
              </w:rPr>
              <w:t>07, 2008</w:t>
            </w:r>
            <w:r w:rsidR="00AA5B97">
              <w:rPr>
                <w:rFonts w:ascii="Arial" w:eastAsia="Times New Roman" w:hAnsi="Arial" w:cs="Arial"/>
                <w:color w:val="000000"/>
                <w:sz w:val="16"/>
                <w:szCs w:val="16"/>
                <w:lang w:eastAsia="en-AU"/>
              </w:rPr>
              <w:noBreakHyphen/>
            </w:r>
            <w:r w:rsidR="00C9159F" w:rsidRPr="003D0E71">
              <w:rPr>
                <w:rFonts w:eastAsia="Times New Roman" w:cs="Times New Roman"/>
                <w:color w:val="000000"/>
                <w:sz w:val="16"/>
                <w:szCs w:val="16"/>
                <w:lang w:eastAsia="en-AU"/>
              </w:rPr>
              <w:t>10, and 2011</w:t>
            </w:r>
            <w:r w:rsidR="00AA5B97">
              <w:rPr>
                <w:rFonts w:ascii="Arial" w:eastAsia="Times New Roman" w:hAnsi="Arial" w:cs="Arial"/>
                <w:color w:val="000000"/>
                <w:sz w:val="16"/>
                <w:szCs w:val="16"/>
                <w:lang w:eastAsia="en-AU"/>
              </w:rPr>
              <w:noBreakHyphen/>
            </w:r>
            <w:r w:rsidR="00C9159F" w:rsidRPr="003D0E71">
              <w:rPr>
                <w:rFonts w:eastAsia="Times New Roman" w:cs="Times New Roman"/>
                <w:color w:val="000000"/>
                <w:sz w:val="16"/>
                <w:szCs w:val="16"/>
                <w:lang w:eastAsia="en-AU"/>
              </w:rPr>
              <w:t>14 periods. Column 1 runs this model on the full sample. Column 2 runs the model on a sub</w:t>
            </w:r>
            <w:r w:rsidR="00AA5B97">
              <w:rPr>
                <w:rFonts w:eastAsia="Times New Roman" w:cs="Times New Roman"/>
                <w:color w:val="000000"/>
                <w:sz w:val="16"/>
                <w:szCs w:val="16"/>
                <w:lang w:eastAsia="en-AU"/>
              </w:rPr>
              <w:noBreakHyphen/>
            </w:r>
            <w:r w:rsidR="00C9159F" w:rsidRPr="003D0E71">
              <w:rPr>
                <w:rFonts w:eastAsia="Times New Roman" w:cs="Times New Roman"/>
                <w:color w:val="000000"/>
                <w:sz w:val="16"/>
                <w:szCs w:val="16"/>
                <w:lang w:eastAsia="en-AU"/>
              </w:rPr>
              <w:t>sample of mature firms. Column 3 runs the model on a sub</w:t>
            </w:r>
            <w:r w:rsidR="00AA5B97">
              <w:rPr>
                <w:rFonts w:eastAsia="Times New Roman" w:cs="Times New Roman"/>
                <w:color w:val="000000"/>
                <w:sz w:val="16"/>
                <w:szCs w:val="16"/>
                <w:lang w:eastAsia="en-AU"/>
              </w:rPr>
              <w:noBreakHyphen/>
            </w:r>
            <w:r w:rsidR="00C9159F" w:rsidRPr="003D0E71">
              <w:rPr>
                <w:rFonts w:eastAsia="Times New Roman" w:cs="Times New Roman"/>
                <w:color w:val="000000"/>
                <w:sz w:val="16"/>
                <w:szCs w:val="16"/>
                <w:lang w:eastAsia="en-AU"/>
              </w:rPr>
              <w:t>sample of young firms. The coefficient on the distance from frontier term can now be interpreted as the convergence speed in the base period (2002</w:t>
            </w:r>
            <w:r w:rsidR="00AA5B97">
              <w:rPr>
                <w:rFonts w:ascii="Arial" w:eastAsia="Times New Roman" w:hAnsi="Arial" w:cs="Arial"/>
                <w:color w:val="000000"/>
                <w:sz w:val="16"/>
                <w:szCs w:val="16"/>
                <w:lang w:eastAsia="en-AU"/>
              </w:rPr>
              <w:noBreakHyphen/>
            </w:r>
            <w:r w:rsidR="00C9159F" w:rsidRPr="003D0E71">
              <w:rPr>
                <w:rFonts w:eastAsia="Times New Roman" w:cs="Times New Roman"/>
                <w:color w:val="000000"/>
                <w:sz w:val="16"/>
                <w:szCs w:val="16"/>
                <w:lang w:eastAsia="en-AU"/>
              </w:rPr>
              <w:t>04). Standard errors are clustered at the firm</w:t>
            </w:r>
            <w:r w:rsidR="00AA5B97">
              <w:rPr>
                <w:rFonts w:eastAsia="Times New Roman" w:cs="Times New Roman"/>
                <w:color w:val="000000"/>
                <w:sz w:val="16"/>
                <w:szCs w:val="16"/>
                <w:lang w:eastAsia="en-AU"/>
              </w:rPr>
              <w:noBreakHyphen/>
            </w:r>
            <w:r w:rsidR="00C9159F" w:rsidRPr="003D0E71">
              <w:rPr>
                <w:rFonts w:eastAsia="Times New Roman" w:cs="Times New Roman"/>
                <w:color w:val="000000"/>
                <w:sz w:val="16"/>
                <w:szCs w:val="16"/>
                <w:lang w:eastAsia="en-AU"/>
              </w:rPr>
              <w:t>level and are shown in brackets underneath each estimate. *</w:t>
            </w:r>
            <w:proofErr w:type="gramStart"/>
            <w:r w:rsidR="00C9159F" w:rsidRPr="003D0E71">
              <w:rPr>
                <w:rFonts w:eastAsia="Times New Roman" w:cs="Times New Roman"/>
                <w:color w:val="000000"/>
                <w:sz w:val="16"/>
                <w:szCs w:val="16"/>
                <w:lang w:eastAsia="en-AU"/>
              </w:rPr>
              <w:t>significant</w:t>
            </w:r>
            <w:proofErr w:type="gramEnd"/>
            <w:r w:rsidR="00C9159F" w:rsidRPr="003D0E71">
              <w:rPr>
                <w:rFonts w:eastAsia="Times New Roman" w:cs="Times New Roman"/>
                <w:color w:val="000000"/>
                <w:sz w:val="16"/>
                <w:szCs w:val="16"/>
                <w:lang w:eastAsia="en-AU"/>
              </w:rPr>
              <w:t xml:space="preserve"> at 10% level, ** significant at 5% level, *** significant at 1% level.</w:t>
            </w:r>
          </w:p>
        </w:tc>
      </w:tr>
      <w:tr w:rsidR="00C9159F" w:rsidRPr="00084108" w14:paraId="42C231B4" w14:textId="77777777" w:rsidTr="000B40A3">
        <w:trPr>
          <w:trHeight w:val="509"/>
          <w:jc w:val="center"/>
        </w:trPr>
        <w:tc>
          <w:tcPr>
            <w:tcW w:w="9340" w:type="dxa"/>
            <w:gridSpan w:val="7"/>
            <w:vMerge/>
            <w:tcBorders>
              <w:top w:val="single" w:sz="4" w:space="0" w:color="auto"/>
              <w:left w:val="nil"/>
              <w:bottom w:val="nil"/>
              <w:right w:val="nil"/>
            </w:tcBorders>
            <w:vAlign w:val="center"/>
            <w:hideMark/>
          </w:tcPr>
          <w:p w14:paraId="5B61673B" w14:textId="77777777" w:rsidR="00C9159F" w:rsidRPr="00084108" w:rsidRDefault="00C9159F" w:rsidP="00C9159F">
            <w:pPr>
              <w:spacing w:after="0"/>
              <w:rPr>
                <w:rFonts w:eastAsia="Times New Roman" w:cs="Times New Roman"/>
                <w:color w:val="000000"/>
                <w:sz w:val="18"/>
                <w:szCs w:val="18"/>
                <w:lang w:eastAsia="en-AU"/>
              </w:rPr>
            </w:pPr>
          </w:p>
        </w:tc>
      </w:tr>
      <w:tr w:rsidR="00C9159F" w:rsidRPr="00084108" w14:paraId="39B886C7" w14:textId="77777777" w:rsidTr="000B40A3">
        <w:trPr>
          <w:trHeight w:val="509"/>
          <w:jc w:val="center"/>
        </w:trPr>
        <w:tc>
          <w:tcPr>
            <w:tcW w:w="9340" w:type="dxa"/>
            <w:gridSpan w:val="7"/>
            <w:vMerge/>
            <w:tcBorders>
              <w:top w:val="single" w:sz="4" w:space="0" w:color="auto"/>
              <w:left w:val="nil"/>
              <w:bottom w:val="nil"/>
              <w:right w:val="nil"/>
            </w:tcBorders>
            <w:vAlign w:val="center"/>
            <w:hideMark/>
          </w:tcPr>
          <w:p w14:paraId="2EF9A194" w14:textId="77777777" w:rsidR="00C9159F" w:rsidRPr="00084108" w:rsidRDefault="00C9159F" w:rsidP="00C9159F">
            <w:pPr>
              <w:spacing w:after="0"/>
              <w:rPr>
                <w:rFonts w:eastAsia="Times New Roman" w:cs="Times New Roman"/>
                <w:color w:val="000000"/>
                <w:sz w:val="18"/>
                <w:szCs w:val="18"/>
                <w:lang w:eastAsia="en-AU"/>
              </w:rPr>
            </w:pPr>
          </w:p>
        </w:tc>
      </w:tr>
    </w:tbl>
    <w:p w14:paraId="358728A1" w14:textId="3471E473" w:rsidR="00296F57" w:rsidRDefault="00F7433E" w:rsidP="00525DDE">
      <w:pPr>
        <w:jc w:val="both"/>
      </w:pPr>
      <w:r>
        <w:t xml:space="preserve">This </w:t>
      </w:r>
      <w:r w:rsidR="006B2CEB">
        <w:t>conclusion</w:t>
      </w:r>
      <w:r>
        <w:t xml:space="preserve"> is </w:t>
      </w:r>
      <w:r w:rsidR="005E59F7">
        <w:t>also</w:t>
      </w:r>
      <w:r>
        <w:t xml:space="preserve"> supported by </w:t>
      </w:r>
      <w:r w:rsidR="00AB302F">
        <w:t>re</w:t>
      </w:r>
      <w:r w:rsidR="00AA5B97">
        <w:noBreakHyphen/>
      </w:r>
      <w:r w:rsidR="00AB302F">
        <w:t>running</w:t>
      </w:r>
      <w:r>
        <w:t xml:space="preserve"> the earlier entry regression on a </w:t>
      </w:r>
      <w:r w:rsidR="00D626D5">
        <w:t>sub</w:t>
      </w:r>
      <w:r w:rsidR="00AA5B97">
        <w:noBreakHyphen/>
      </w:r>
      <w:r>
        <w:t xml:space="preserve">sample of </w:t>
      </w:r>
      <w:r w:rsidR="006B2CEB">
        <w:t xml:space="preserve">incumbent firms (Table </w:t>
      </w:r>
      <w:r w:rsidR="003D0E71">
        <w:t>5</w:t>
      </w:r>
      <w:r w:rsidR="006B2CEB">
        <w:t xml:space="preserve">). </w:t>
      </w:r>
      <w:r w:rsidR="00D626D5">
        <w:t>For these firms</w:t>
      </w:r>
      <w:r w:rsidR="006B2CEB">
        <w:t xml:space="preserve">, convergence is slower when entry rates are lower, suggesting </w:t>
      </w:r>
      <w:r w:rsidR="00467100">
        <w:t xml:space="preserve">entry may affect convergence by intensifying competitive pressures on incumbents. </w:t>
      </w:r>
    </w:p>
    <w:tbl>
      <w:tblPr>
        <w:tblW w:w="9171" w:type="dxa"/>
        <w:jc w:val="center"/>
        <w:tblCellMar>
          <w:left w:w="0" w:type="dxa"/>
          <w:right w:w="28" w:type="dxa"/>
        </w:tblCellMar>
        <w:tblLook w:val="04A0" w:firstRow="1" w:lastRow="0" w:firstColumn="1" w:lastColumn="0" w:noHBand="0" w:noVBand="1"/>
      </w:tblPr>
      <w:tblGrid>
        <w:gridCol w:w="3756"/>
        <w:gridCol w:w="505"/>
        <w:gridCol w:w="2016"/>
        <w:gridCol w:w="1394"/>
        <w:gridCol w:w="1524"/>
      </w:tblGrid>
      <w:tr w:rsidR="0024185C" w:rsidRPr="0024185C" w14:paraId="3F293E6F" w14:textId="77777777" w:rsidTr="000B40A3">
        <w:trPr>
          <w:trHeight w:val="316"/>
          <w:jc w:val="center"/>
        </w:trPr>
        <w:tc>
          <w:tcPr>
            <w:tcW w:w="9171" w:type="dxa"/>
            <w:gridSpan w:val="5"/>
            <w:tcBorders>
              <w:top w:val="nil"/>
              <w:left w:val="nil"/>
              <w:bottom w:val="single" w:sz="4" w:space="0" w:color="auto"/>
              <w:right w:val="nil"/>
            </w:tcBorders>
            <w:shd w:val="clear" w:color="auto" w:fill="auto"/>
            <w:noWrap/>
            <w:vAlign w:val="bottom"/>
            <w:hideMark/>
          </w:tcPr>
          <w:p w14:paraId="1BEBC675" w14:textId="66FAD158" w:rsidR="0024185C" w:rsidRPr="0024185C" w:rsidRDefault="00426ADC" w:rsidP="008A5C91">
            <w:pPr>
              <w:pStyle w:val="TableMainHeading"/>
            </w:pPr>
            <w:r>
              <w:t xml:space="preserve">Table </w:t>
            </w:r>
            <w:r w:rsidR="003D0E71">
              <w:t>5</w:t>
            </w:r>
            <w:r w:rsidR="0024185C" w:rsidRPr="0024185C">
              <w:t xml:space="preserve"> </w:t>
            </w:r>
            <w:r w:rsidR="005B6F33">
              <w:rPr>
                <w:noProof/>
              </w:rPr>
              <w:t>–</w:t>
            </w:r>
            <w:r w:rsidR="0024185C" w:rsidRPr="0024185C">
              <w:t xml:space="preserve"> Convergence and entry on separate samples</w:t>
            </w:r>
          </w:p>
        </w:tc>
      </w:tr>
      <w:tr w:rsidR="0024185C" w:rsidRPr="0024185C" w14:paraId="17393D5B" w14:textId="77777777" w:rsidTr="000B40A3">
        <w:trPr>
          <w:trHeight w:val="316"/>
          <w:jc w:val="center"/>
        </w:trPr>
        <w:tc>
          <w:tcPr>
            <w:tcW w:w="4253" w:type="dxa"/>
            <w:gridSpan w:val="2"/>
            <w:tcBorders>
              <w:top w:val="nil"/>
              <w:left w:val="nil"/>
              <w:bottom w:val="nil"/>
              <w:right w:val="nil"/>
            </w:tcBorders>
            <w:shd w:val="clear" w:color="auto" w:fill="auto"/>
            <w:noWrap/>
            <w:vAlign w:val="center"/>
            <w:hideMark/>
          </w:tcPr>
          <w:p w14:paraId="2C4D108D" w14:textId="77777777" w:rsidR="0024185C" w:rsidRPr="00601C60" w:rsidRDefault="0024185C" w:rsidP="0024185C">
            <w:pPr>
              <w:spacing w:after="0"/>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3402" w:type="dxa"/>
            <w:gridSpan w:val="2"/>
            <w:tcBorders>
              <w:top w:val="nil"/>
              <w:left w:val="nil"/>
              <w:bottom w:val="nil"/>
              <w:right w:val="nil"/>
            </w:tcBorders>
            <w:shd w:val="clear" w:color="auto" w:fill="auto"/>
            <w:noWrap/>
            <w:vAlign w:val="center"/>
            <w:hideMark/>
          </w:tcPr>
          <w:p w14:paraId="2380BE1A" w14:textId="77777777" w:rsidR="0024185C" w:rsidRPr="00601C60" w:rsidRDefault="0024185C" w:rsidP="0024185C">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Full Sample</w:t>
            </w:r>
          </w:p>
        </w:tc>
        <w:tc>
          <w:tcPr>
            <w:tcW w:w="1516" w:type="dxa"/>
            <w:tcBorders>
              <w:top w:val="nil"/>
              <w:left w:val="nil"/>
              <w:bottom w:val="nil"/>
              <w:right w:val="nil"/>
            </w:tcBorders>
            <w:shd w:val="clear" w:color="auto" w:fill="auto"/>
            <w:noWrap/>
            <w:vAlign w:val="center"/>
            <w:hideMark/>
          </w:tcPr>
          <w:p w14:paraId="1D09ACDC" w14:textId="77777777" w:rsidR="0024185C" w:rsidRPr="00601C60" w:rsidRDefault="0024185C" w:rsidP="0024185C">
            <w:pPr>
              <w:spacing w:after="0"/>
              <w:jc w:val="center"/>
              <w:rPr>
                <w:rFonts w:asciiTheme="majorHAnsi" w:eastAsia="Times New Roman" w:hAnsiTheme="majorHAnsi" w:cstheme="majorHAnsi"/>
                <w:i/>
                <w:iCs/>
                <w:color w:val="000000"/>
                <w:sz w:val="16"/>
                <w:szCs w:val="16"/>
                <w:lang w:eastAsia="en-AU"/>
              </w:rPr>
            </w:pPr>
            <w:r w:rsidRPr="00601C60">
              <w:rPr>
                <w:rFonts w:asciiTheme="majorHAnsi" w:eastAsia="Times New Roman" w:hAnsiTheme="majorHAnsi" w:cstheme="majorHAnsi"/>
                <w:i/>
                <w:iCs/>
                <w:color w:val="000000"/>
                <w:sz w:val="16"/>
                <w:szCs w:val="16"/>
                <w:lang w:eastAsia="en-AU"/>
              </w:rPr>
              <w:t>Incumbent Firms</w:t>
            </w:r>
          </w:p>
        </w:tc>
      </w:tr>
      <w:tr w:rsidR="0024185C" w:rsidRPr="0024185C" w14:paraId="5AAE0216" w14:textId="77777777" w:rsidTr="000B40A3">
        <w:trPr>
          <w:trHeight w:val="316"/>
          <w:jc w:val="center"/>
        </w:trPr>
        <w:tc>
          <w:tcPr>
            <w:tcW w:w="4253" w:type="dxa"/>
            <w:gridSpan w:val="2"/>
            <w:tcBorders>
              <w:top w:val="nil"/>
              <w:left w:val="nil"/>
              <w:bottom w:val="single" w:sz="4" w:space="0" w:color="auto"/>
              <w:right w:val="nil"/>
            </w:tcBorders>
            <w:shd w:val="clear" w:color="auto" w:fill="auto"/>
            <w:noWrap/>
            <w:vAlign w:val="center"/>
            <w:hideMark/>
          </w:tcPr>
          <w:p w14:paraId="09F37FD6" w14:textId="77777777" w:rsidR="0024185C" w:rsidRPr="00601C60" w:rsidRDefault="0024185C" w:rsidP="0024185C">
            <w:pPr>
              <w:spacing w:after="0"/>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 </w:t>
            </w:r>
          </w:p>
        </w:tc>
        <w:tc>
          <w:tcPr>
            <w:tcW w:w="3402" w:type="dxa"/>
            <w:gridSpan w:val="2"/>
            <w:tcBorders>
              <w:top w:val="nil"/>
              <w:left w:val="nil"/>
              <w:bottom w:val="single" w:sz="4" w:space="0" w:color="auto"/>
              <w:right w:val="nil"/>
            </w:tcBorders>
            <w:shd w:val="clear" w:color="auto" w:fill="auto"/>
            <w:noWrap/>
            <w:vAlign w:val="center"/>
            <w:hideMark/>
          </w:tcPr>
          <w:p w14:paraId="5D7BFBEC" w14:textId="77777777" w:rsidR="0024185C" w:rsidRPr="00601C60" w:rsidRDefault="0024185C" w:rsidP="0024185C">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w:t>
            </w:r>
          </w:p>
        </w:tc>
        <w:tc>
          <w:tcPr>
            <w:tcW w:w="1516" w:type="dxa"/>
            <w:tcBorders>
              <w:top w:val="nil"/>
              <w:left w:val="nil"/>
              <w:bottom w:val="single" w:sz="4" w:space="0" w:color="auto"/>
              <w:right w:val="nil"/>
            </w:tcBorders>
            <w:shd w:val="clear" w:color="auto" w:fill="auto"/>
            <w:noWrap/>
            <w:vAlign w:val="center"/>
            <w:hideMark/>
          </w:tcPr>
          <w:p w14:paraId="787C7C00" w14:textId="77777777" w:rsidR="0024185C" w:rsidRPr="00601C60" w:rsidRDefault="0024185C" w:rsidP="0024185C">
            <w:pPr>
              <w:spacing w:after="0"/>
              <w:jc w:val="center"/>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(2)</w:t>
            </w:r>
          </w:p>
        </w:tc>
      </w:tr>
      <w:tr w:rsidR="0024185C" w:rsidRPr="0024185C" w14:paraId="31039E6A" w14:textId="77777777" w:rsidTr="000B40A3">
        <w:trPr>
          <w:trHeight w:val="316"/>
          <w:jc w:val="center"/>
        </w:trPr>
        <w:tc>
          <w:tcPr>
            <w:tcW w:w="3748" w:type="dxa"/>
            <w:tcBorders>
              <w:top w:val="nil"/>
              <w:left w:val="nil"/>
              <w:bottom w:val="nil"/>
              <w:right w:val="nil"/>
            </w:tcBorders>
            <w:shd w:val="clear" w:color="auto" w:fill="D5E2F1"/>
            <w:noWrap/>
            <w:vAlign w:val="center"/>
            <w:hideMark/>
          </w:tcPr>
          <w:p w14:paraId="6092EA05" w14:textId="61E1CEEE" w:rsidR="0024185C" w:rsidRPr="00601C60" w:rsidRDefault="0024185C" w:rsidP="00C642AE">
            <w:pPr>
              <w:pStyle w:val="TableColumnHeadingBase"/>
            </w:pPr>
            <w:r w:rsidRPr="00601C60">
              <w:t xml:space="preserve">Distance </w:t>
            </w:r>
            <w:r w:rsidR="00C642AE">
              <w:t>f</w:t>
            </w:r>
            <w:r w:rsidRPr="00601C60">
              <w:t xml:space="preserve">rom </w:t>
            </w:r>
            <w:r w:rsidR="00C642AE">
              <w:t>f</w:t>
            </w:r>
            <w:r w:rsidRPr="00601C60">
              <w:t>rontier</w:t>
            </w:r>
          </w:p>
        </w:tc>
        <w:tc>
          <w:tcPr>
            <w:tcW w:w="2514" w:type="dxa"/>
            <w:gridSpan w:val="2"/>
            <w:tcBorders>
              <w:top w:val="nil"/>
              <w:left w:val="nil"/>
              <w:bottom w:val="nil"/>
              <w:right w:val="nil"/>
            </w:tcBorders>
            <w:shd w:val="clear" w:color="auto" w:fill="D5E2F1"/>
            <w:noWrap/>
            <w:vAlign w:val="center"/>
            <w:hideMark/>
          </w:tcPr>
          <w:p w14:paraId="7F28AE75" w14:textId="1578F904"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w:t>
            </w:r>
            <w:r w:rsidR="006B2CEB" w:rsidRPr="00601C60">
              <w:rPr>
                <w:rFonts w:asciiTheme="majorHAnsi" w:eastAsia="Times New Roman" w:hAnsiTheme="majorHAnsi" w:cstheme="majorHAnsi"/>
                <w:color w:val="000000"/>
                <w:sz w:val="16"/>
                <w:szCs w:val="16"/>
                <w:lang w:eastAsia="en-AU"/>
              </w:rPr>
              <w:t>15</w:t>
            </w:r>
            <w:r w:rsidRPr="00601C60">
              <w:rPr>
                <w:rFonts w:asciiTheme="majorHAnsi" w:eastAsia="Times New Roman" w:hAnsiTheme="majorHAnsi" w:cstheme="majorHAnsi"/>
                <w:color w:val="000000"/>
                <w:sz w:val="16"/>
                <w:szCs w:val="16"/>
                <w:lang w:eastAsia="en-AU"/>
              </w:rPr>
              <w:t>***</w:t>
            </w:r>
          </w:p>
        </w:tc>
        <w:tc>
          <w:tcPr>
            <w:tcW w:w="2909" w:type="dxa"/>
            <w:gridSpan w:val="2"/>
            <w:tcBorders>
              <w:top w:val="nil"/>
              <w:left w:val="nil"/>
              <w:bottom w:val="nil"/>
              <w:right w:val="nil"/>
            </w:tcBorders>
            <w:shd w:val="clear" w:color="auto" w:fill="D5E2F1"/>
            <w:noWrap/>
            <w:vAlign w:val="center"/>
            <w:hideMark/>
          </w:tcPr>
          <w:p w14:paraId="56B9CD3E" w14:textId="0B89906F" w:rsidR="0024185C" w:rsidRPr="00601C60" w:rsidRDefault="00FB0004"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0.40</w:t>
            </w:r>
            <w:r w:rsidR="006B2CEB" w:rsidRPr="00601C60">
              <w:rPr>
                <w:rFonts w:asciiTheme="majorHAnsi" w:eastAsia="Times New Roman" w:hAnsiTheme="majorHAnsi" w:cstheme="majorHAnsi"/>
                <w:color w:val="000000"/>
                <w:sz w:val="16"/>
                <w:szCs w:val="16"/>
                <w:lang w:eastAsia="en-AU"/>
              </w:rPr>
              <w:t>1</w:t>
            </w:r>
            <w:r w:rsidR="0024185C" w:rsidRPr="00601C60">
              <w:rPr>
                <w:rFonts w:asciiTheme="majorHAnsi" w:eastAsia="Times New Roman" w:hAnsiTheme="majorHAnsi" w:cstheme="majorHAnsi"/>
                <w:color w:val="000000"/>
                <w:sz w:val="16"/>
                <w:szCs w:val="16"/>
                <w:lang w:eastAsia="en-AU"/>
              </w:rPr>
              <w:t>***</w:t>
            </w:r>
          </w:p>
        </w:tc>
      </w:tr>
      <w:tr w:rsidR="0024185C" w:rsidRPr="0024185C" w14:paraId="0786D9AA" w14:textId="77777777" w:rsidTr="000B40A3">
        <w:trPr>
          <w:trHeight w:val="316"/>
          <w:jc w:val="center"/>
        </w:trPr>
        <w:tc>
          <w:tcPr>
            <w:tcW w:w="3748" w:type="dxa"/>
            <w:tcBorders>
              <w:top w:val="nil"/>
              <w:left w:val="nil"/>
              <w:bottom w:val="nil"/>
              <w:right w:val="nil"/>
            </w:tcBorders>
            <w:shd w:val="clear" w:color="auto" w:fill="auto"/>
            <w:noWrap/>
            <w:vAlign w:val="center"/>
            <w:hideMark/>
          </w:tcPr>
          <w:p w14:paraId="72E108A5" w14:textId="77777777" w:rsidR="0024185C" w:rsidRPr="00601C60" w:rsidRDefault="0024185C" w:rsidP="00C642AE">
            <w:pPr>
              <w:pStyle w:val="TableColumnHeadingBase"/>
            </w:pPr>
          </w:p>
        </w:tc>
        <w:tc>
          <w:tcPr>
            <w:tcW w:w="2514" w:type="dxa"/>
            <w:gridSpan w:val="2"/>
            <w:tcBorders>
              <w:top w:val="nil"/>
              <w:left w:val="nil"/>
              <w:bottom w:val="nil"/>
              <w:right w:val="nil"/>
            </w:tcBorders>
            <w:shd w:val="clear" w:color="auto" w:fill="auto"/>
            <w:vAlign w:val="center"/>
            <w:hideMark/>
          </w:tcPr>
          <w:p w14:paraId="3E158E5D" w14:textId="2C8D6F62" w:rsidR="0024185C" w:rsidRPr="00601C60" w:rsidRDefault="0024185C" w:rsidP="00601C60">
            <w:pPr>
              <w:spacing w:after="0"/>
              <w:jc w:val="right"/>
              <w:rPr>
                <w:rFonts w:asciiTheme="majorHAnsi" w:eastAsia="Times New Roman" w:hAnsiTheme="majorHAnsi" w:cstheme="majorHAnsi"/>
                <w:color w:val="auto"/>
                <w:sz w:val="16"/>
                <w:szCs w:val="16"/>
                <w:lang w:eastAsia="en-AU"/>
              </w:rPr>
            </w:pPr>
            <w:r w:rsidRPr="00601C60">
              <w:rPr>
                <w:rFonts w:asciiTheme="majorHAnsi" w:eastAsia="Times New Roman" w:hAnsiTheme="majorHAnsi" w:cstheme="majorHAnsi"/>
                <w:color w:val="auto"/>
                <w:sz w:val="16"/>
                <w:szCs w:val="16"/>
                <w:lang w:eastAsia="en-AU"/>
              </w:rPr>
              <w:t>(0.01</w:t>
            </w:r>
            <w:r w:rsidR="006B2CEB" w:rsidRPr="00601C60">
              <w:rPr>
                <w:rFonts w:asciiTheme="majorHAnsi" w:eastAsia="Times New Roman" w:hAnsiTheme="majorHAnsi" w:cstheme="majorHAnsi"/>
                <w:color w:val="auto"/>
                <w:sz w:val="16"/>
                <w:szCs w:val="16"/>
                <w:lang w:eastAsia="en-AU"/>
              </w:rPr>
              <w:t>2</w:t>
            </w:r>
            <w:r w:rsidRPr="00601C60">
              <w:rPr>
                <w:rFonts w:asciiTheme="majorHAnsi" w:eastAsia="Times New Roman" w:hAnsiTheme="majorHAnsi" w:cstheme="majorHAnsi"/>
                <w:color w:val="auto"/>
                <w:sz w:val="16"/>
                <w:szCs w:val="16"/>
                <w:lang w:eastAsia="en-AU"/>
              </w:rPr>
              <w:t>)</w:t>
            </w:r>
          </w:p>
        </w:tc>
        <w:tc>
          <w:tcPr>
            <w:tcW w:w="2909" w:type="dxa"/>
            <w:gridSpan w:val="2"/>
            <w:tcBorders>
              <w:top w:val="nil"/>
              <w:left w:val="nil"/>
              <w:bottom w:val="nil"/>
              <w:right w:val="nil"/>
            </w:tcBorders>
            <w:shd w:val="clear" w:color="auto" w:fill="auto"/>
            <w:vAlign w:val="center"/>
            <w:hideMark/>
          </w:tcPr>
          <w:p w14:paraId="5C035954" w14:textId="377696BD" w:rsidR="0024185C" w:rsidRPr="00601C60" w:rsidRDefault="0024185C" w:rsidP="00601C60">
            <w:pPr>
              <w:spacing w:after="0"/>
              <w:jc w:val="right"/>
              <w:rPr>
                <w:rFonts w:asciiTheme="majorHAnsi" w:eastAsia="Times New Roman" w:hAnsiTheme="majorHAnsi" w:cstheme="majorHAnsi"/>
                <w:color w:val="auto"/>
                <w:sz w:val="16"/>
                <w:szCs w:val="16"/>
                <w:lang w:eastAsia="en-AU"/>
              </w:rPr>
            </w:pPr>
            <w:r w:rsidRPr="00601C60">
              <w:rPr>
                <w:rFonts w:asciiTheme="majorHAnsi" w:eastAsia="Times New Roman" w:hAnsiTheme="majorHAnsi" w:cstheme="majorHAnsi"/>
                <w:color w:val="auto"/>
                <w:sz w:val="16"/>
                <w:szCs w:val="16"/>
                <w:lang w:eastAsia="en-AU"/>
              </w:rPr>
              <w:t>(0.012)</w:t>
            </w:r>
          </w:p>
        </w:tc>
      </w:tr>
      <w:tr w:rsidR="0024185C" w:rsidRPr="0024185C" w14:paraId="63E707FD" w14:textId="77777777" w:rsidTr="000B40A3">
        <w:trPr>
          <w:trHeight w:val="316"/>
          <w:jc w:val="center"/>
        </w:trPr>
        <w:tc>
          <w:tcPr>
            <w:tcW w:w="3748" w:type="dxa"/>
            <w:tcBorders>
              <w:top w:val="nil"/>
              <w:left w:val="nil"/>
              <w:bottom w:val="nil"/>
              <w:right w:val="nil"/>
            </w:tcBorders>
            <w:shd w:val="clear" w:color="auto" w:fill="D5E2F1"/>
            <w:noWrap/>
            <w:vAlign w:val="center"/>
            <w:hideMark/>
          </w:tcPr>
          <w:p w14:paraId="5B5902AF" w14:textId="1D173A94" w:rsidR="0024185C" w:rsidRPr="00601C60" w:rsidRDefault="0024185C" w:rsidP="00C642AE">
            <w:pPr>
              <w:pStyle w:val="TableColumnHeadingBase"/>
            </w:pPr>
            <w:r w:rsidRPr="00601C60">
              <w:t xml:space="preserve">Entry </w:t>
            </w:r>
            <w:r w:rsidR="00C642AE">
              <w:t>r</w:t>
            </w:r>
            <w:r w:rsidRPr="00601C60">
              <w:t xml:space="preserve">ate x </w:t>
            </w:r>
            <w:r w:rsidR="00C642AE">
              <w:t>d</w:t>
            </w:r>
            <w:r w:rsidRPr="00601C60">
              <w:t xml:space="preserve">istance </w:t>
            </w:r>
            <w:r w:rsidR="00C642AE">
              <w:t>f</w:t>
            </w:r>
            <w:r w:rsidRPr="00601C60">
              <w:t xml:space="preserve">rom </w:t>
            </w:r>
            <w:r w:rsidR="00C642AE">
              <w:t>f</w:t>
            </w:r>
            <w:r w:rsidRPr="00601C60">
              <w:t>rontier</w:t>
            </w:r>
          </w:p>
        </w:tc>
        <w:tc>
          <w:tcPr>
            <w:tcW w:w="2514" w:type="dxa"/>
            <w:gridSpan w:val="2"/>
            <w:tcBorders>
              <w:top w:val="nil"/>
              <w:left w:val="nil"/>
              <w:bottom w:val="nil"/>
              <w:right w:val="nil"/>
            </w:tcBorders>
            <w:shd w:val="clear" w:color="auto" w:fill="D5E2F1"/>
            <w:noWrap/>
            <w:vAlign w:val="bottom"/>
            <w:hideMark/>
          </w:tcPr>
          <w:p w14:paraId="00C8C8B2" w14:textId="74DD5CA8"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FB0004" w:rsidRPr="00601C60">
              <w:rPr>
                <w:rFonts w:asciiTheme="majorHAnsi" w:eastAsia="Times New Roman" w:hAnsiTheme="majorHAnsi" w:cstheme="majorHAnsi"/>
                <w:color w:val="000000"/>
                <w:sz w:val="16"/>
                <w:szCs w:val="16"/>
                <w:lang w:eastAsia="en-AU"/>
              </w:rPr>
              <w:t>9</w:t>
            </w:r>
            <w:r w:rsidR="006B2CEB" w:rsidRPr="00601C60">
              <w:rPr>
                <w:rFonts w:asciiTheme="majorHAnsi" w:eastAsia="Times New Roman" w:hAnsiTheme="majorHAnsi" w:cstheme="majorHAnsi"/>
                <w:color w:val="000000"/>
                <w:sz w:val="16"/>
                <w:szCs w:val="16"/>
                <w:lang w:eastAsia="en-AU"/>
              </w:rPr>
              <w:t>*</w:t>
            </w:r>
            <w:r w:rsidRPr="00601C60">
              <w:rPr>
                <w:rFonts w:asciiTheme="majorHAnsi" w:eastAsia="Times New Roman" w:hAnsiTheme="majorHAnsi" w:cstheme="majorHAnsi"/>
                <w:color w:val="000000"/>
                <w:sz w:val="16"/>
                <w:szCs w:val="16"/>
                <w:lang w:eastAsia="en-AU"/>
              </w:rPr>
              <w:t>**</w:t>
            </w:r>
          </w:p>
        </w:tc>
        <w:tc>
          <w:tcPr>
            <w:tcW w:w="2909" w:type="dxa"/>
            <w:gridSpan w:val="2"/>
            <w:tcBorders>
              <w:top w:val="nil"/>
              <w:left w:val="nil"/>
              <w:bottom w:val="nil"/>
              <w:right w:val="nil"/>
            </w:tcBorders>
            <w:shd w:val="clear" w:color="auto" w:fill="D5E2F1"/>
            <w:noWrap/>
            <w:vAlign w:val="center"/>
            <w:hideMark/>
          </w:tcPr>
          <w:p w14:paraId="31C81554" w14:textId="41E294FD"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6B2CEB" w:rsidRPr="00601C60">
              <w:rPr>
                <w:rFonts w:asciiTheme="majorHAnsi" w:eastAsia="Times New Roman" w:hAnsiTheme="majorHAnsi" w:cstheme="majorHAnsi"/>
                <w:color w:val="000000"/>
                <w:sz w:val="16"/>
                <w:szCs w:val="16"/>
                <w:lang w:eastAsia="en-AU"/>
              </w:rPr>
              <w:t>8</w:t>
            </w:r>
            <w:r w:rsidRPr="00601C60">
              <w:rPr>
                <w:rFonts w:asciiTheme="majorHAnsi" w:eastAsia="Times New Roman" w:hAnsiTheme="majorHAnsi" w:cstheme="majorHAnsi"/>
                <w:color w:val="000000"/>
                <w:sz w:val="16"/>
                <w:szCs w:val="16"/>
                <w:lang w:eastAsia="en-AU"/>
              </w:rPr>
              <w:t>*</w:t>
            </w:r>
            <w:r w:rsidR="006B2CEB" w:rsidRPr="00601C60">
              <w:rPr>
                <w:rFonts w:asciiTheme="majorHAnsi" w:eastAsia="Times New Roman" w:hAnsiTheme="majorHAnsi" w:cstheme="majorHAnsi"/>
                <w:color w:val="000000"/>
                <w:sz w:val="16"/>
                <w:szCs w:val="16"/>
                <w:lang w:eastAsia="en-AU"/>
              </w:rPr>
              <w:t>**</w:t>
            </w:r>
          </w:p>
        </w:tc>
      </w:tr>
      <w:tr w:rsidR="0024185C" w:rsidRPr="0024185C" w14:paraId="3DB139F0" w14:textId="77777777" w:rsidTr="000B40A3">
        <w:trPr>
          <w:trHeight w:val="316"/>
          <w:jc w:val="center"/>
        </w:trPr>
        <w:tc>
          <w:tcPr>
            <w:tcW w:w="3748" w:type="dxa"/>
            <w:tcBorders>
              <w:top w:val="nil"/>
              <w:left w:val="nil"/>
              <w:bottom w:val="nil"/>
              <w:right w:val="nil"/>
            </w:tcBorders>
            <w:shd w:val="clear" w:color="auto" w:fill="auto"/>
            <w:noWrap/>
            <w:vAlign w:val="center"/>
            <w:hideMark/>
          </w:tcPr>
          <w:p w14:paraId="312A5D66" w14:textId="77777777" w:rsidR="0024185C" w:rsidRPr="00601C60" w:rsidRDefault="0024185C" w:rsidP="00C642AE">
            <w:pPr>
              <w:pStyle w:val="TableColumnHeadingBase"/>
            </w:pPr>
          </w:p>
        </w:tc>
        <w:tc>
          <w:tcPr>
            <w:tcW w:w="2514" w:type="dxa"/>
            <w:gridSpan w:val="2"/>
            <w:tcBorders>
              <w:top w:val="nil"/>
              <w:left w:val="nil"/>
              <w:bottom w:val="nil"/>
              <w:right w:val="nil"/>
            </w:tcBorders>
            <w:shd w:val="clear" w:color="auto" w:fill="auto"/>
            <w:noWrap/>
            <w:vAlign w:val="bottom"/>
            <w:hideMark/>
          </w:tcPr>
          <w:p w14:paraId="414DE42D" w14:textId="1E5E2AE0"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6B2CEB" w:rsidRPr="00601C60">
              <w:rPr>
                <w:rFonts w:asciiTheme="majorHAnsi" w:eastAsia="Times New Roman" w:hAnsiTheme="majorHAnsi" w:cstheme="majorHAnsi"/>
                <w:color w:val="000000"/>
                <w:sz w:val="16"/>
                <w:szCs w:val="16"/>
                <w:lang w:eastAsia="en-AU"/>
              </w:rPr>
              <w:t>3</w:t>
            </w:r>
            <w:r w:rsidRPr="00601C60">
              <w:rPr>
                <w:rFonts w:asciiTheme="majorHAnsi" w:eastAsia="Times New Roman" w:hAnsiTheme="majorHAnsi" w:cstheme="majorHAnsi"/>
                <w:color w:val="000000"/>
                <w:sz w:val="16"/>
                <w:szCs w:val="16"/>
                <w:lang w:eastAsia="en-AU"/>
              </w:rPr>
              <w:t>)</w:t>
            </w:r>
          </w:p>
        </w:tc>
        <w:tc>
          <w:tcPr>
            <w:tcW w:w="2909" w:type="dxa"/>
            <w:gridSpan w:val="2"/>
            <w:tcBorders>
              <w:top w:val="nil"/>
              <w:left w:val="nil"/>
              <w:bottom w:val="nil"/>
              <w:right w:val="nil"/>
            </w:tcBorders>
            <w:shd w:val="clear" w:color="auto" w:fill="auto"/>
            <w:noWrap/>
            <w:vAlign w:val="center"/>
            <w:hideMark/>
          </w:tcPr>
          <w:p w14:paraId="64376F2F" w14:textId="5955EA38"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(0.00</w:t>
            </w:r>
            <w:r w:rsidR="00FB0004" w:rsidRPr="00601C60">
              <w:rPr>
                <w:rFonts w:asciiTheme="majorHAnsi" w:eastAsia="Times New Roman" w:hAnsiTheme="majorHAnsi" w:cstheme="majorHAnsi"/>
                <w:color w:val="000000"/>
                <w:sz w:val="16"/>
                <w:szCs w:val="16"/>
                <w:lang w:eastAsia="en-AU"/>
              </w:rPr>
              <w:t>3</w:t>
            </w:r>
            <w:r w:rsidRPr="00601C60">
              <w:rPr>
                <w:rFonts w:asciiTheme="majorHAnsi" w:eastAsia="Times New Roman" w:hAnsiTheme="majorHAnsi" w:cstheme="majorHAnsi"/>
                <w:color w:val="000000"/>
                <w:sz w:val="16"/>
                <w:szCs w:val="16"/>
                <w:lang w:eastAsia="en-AU"/>
              </w:rPr>
              <w:t>)</w:t>
            </w:r>
          </w:p>
        </w:tc>
      </w:tr>
      <w:tr w:rsidR="0024185C" w:rsidRPr="0024185C" w14:paraId="60B8D1B3" w14:textId="77777777" w:rsidTr="000B40A3">
        <w:trPr>
          <w:trHeight w:val="316"/>
          <w:jc w:val="center"/>
        </w:trPr>
        <w:tc>
          <w:tcPr>
            <w:tcW w:w="3748" w:type="dxa"/>
            <w:tcBorders>
              <w:top w:val="dotted" w:sz="4" w:space="0" w:color="auto"/>
              <w:left w:val="nil"/>
              <w:bottom w:val="nil"/>
              <w:right w:val="nil"/>
            </w:tcBorders>
            <w:shd w:val="clear" w:color="auto" w:fill="D5E2F1"/>
            <w:noWrap/>
            <w:vAlign w:val="center"/>
            <w:hideMark/>
          </w:tcPr>
          <w:p w14:paraId="53087A30" w14:textId="494C76F4" w:rsidR="0024185C" w:rsidRPr="00601C60" w:rsidRDefault="0024185C" w:rsidP="00C642AE">
            <w:pPr>
              <w:pStyle w:val="TableColumnHeadingBase"/>
            </w:pPr>
            <w:r w:rsidRPr="00601C60">
              <w:t>Industry</w:t>
            </w:r>
            <w:r w:rsidR="00AA5B97">
              <w:noBreakHyphen/>
            </w:r>
            <w:r w:rsidR="00C642AE">
              <w:t>y</w:t>
            </w:r>
            <w:r w:rsidRPr="00601C60">
              <w:t xml:space="preserve">ear </w:t>
            </w:r>
            <w:r w:rsidR="00C642AE">
              <w:t>f</w:t>
            </w:r>
            <w:r w:rsidRPr="00601C60">
              <w:t xml:space="preserve">ixed </w:t>
            </w:r>
            <w:r w:rsidR="00C642AE">
              <w:t>e</w:t>
            </w:r>
            <w:r w:rsidRPr="00601C60">
              <w:t>ffects</w:t>
            </w:r>
          </w:p>
        </w:tc>
        <w:tc>
          <w:tcPr>
            <w:tcW w:w="2514" w:type="dxa"/>
            <w:gridSpan w:val="2"/>
            <w:tcBorders>
              <w:top w:val="dotted" w:sz="4" w:space="0" w:color="auto"/>
              <w:left w:val="nil"/>
              <w:bottom w:val="nil"/>
              <w:right w:val="nil"/>
            </w:tcBorders>
            <w:shd w:val="clear" w:color="auto" w:fill="D5E2F1"/>
            <w:noWrap/>
            <w:vAlign w:val="center"/>
            <w:hideMark/>
          </w:tcPr>
          <w:p w14:paraId="074460A7" w14:textId="77777777"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909" w:type="dxa"/>
            <w:gridSpan w:val="2"/>
            <w:tcBorders>
              <w:top w:val="dotted" w:sz="4" w:space="0" w:color="auto"/>
              <w:left w:val="nil"/>
              <w:bottom w:val="nil"/>
              <w:right w:val="nil"/>
            </w:tcBorders>
            <w:shd w:val="clear" w:color="auto" w:fill="D5E2F1"/>
            <w:noWrap/>
            <w:vAlign w:val="center"/>
            <w:hideMark/>
          </w:tcPr>
          <w:p w14:paraId="653C98A5" w14:textId="77777777"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r>
      <w:tr w:rsidR="0024185C" w:rsidRPr="0024185C" w14:paraId="19D29B22" w14:textId="77777777" w:rsidTr="000B40A3">
        <w:trPr>
          <w:trHeight w:val="316"/>
          <w:jc w:val="center"/>
        </w:trPr>
        <w:tc>
          <w:tcPr>
            <w:tcW w:w="3748" w:type="dxa"/>
            <w:tcBorders>
              <w:top w:val="nil"/>
              <w:left w:val="nil"/>
              <w:bottom w:val="nil"/>
              <w:right w:val="nil"/>
            </w:tcBorders>
            <w:shd w:val="clear" w:color="auto" w:fill="auto"/>
            <w:noWrap/>
            <w:vAlign w:val="center"/>
            <w:hideMark/>
          </w:tcPr>
          <w:p w14:paraId="2D519F1D" w14:textId="04DD08C1" w:rsidR="0024185C" w:rsidRPr="00601C60" w:rsidRDefault="0024185C" w:rsidP="00C642AE">
            <w:pPr>
              <w:pStyle w:val="TableColumnHeadingBase"/>
            </w:pPr>
            <w:r w:rsidRPr="00601C60">
              <w:t xml:space="preserve">Firm </w:t>
            </w:r>
            <w:r w:rsidR="00C642AE">
              <w:t>a</w:t>
            </w:r>
            <w:r w:rsidRPr="00601C60">
              <w:t xml:space="preserve">ge and </w:t>
            </w:r>
            <w:r w:rsidR="00C642AE">
              <w:t>s</w:t>
            </w:r>
            <w:r w:rsidRPr="00601C60">
              <w:t xml:space="preserve">ize </w:t>
            </w:r>
            <w:r w:rsidR="00C642AE">
              <w:t>c</w:t>
            </w:r>
            <w:r w:rsidRPr="00601C60">
              <w:t>ontrols</w:t>
            </w:r>
          </w:p>
        </w:tc>
        <w:tc>
          <w:tcPr>
            <w:tcW w:w="2514" w:type="dxa"/>
            <w:gridSpan w:val="2"/>
            <w:tcBorders>
              <w:top w:val="nil"/>
              <w:left w:val="nil"/>
              <w:bottom w:val="nil"/>
              <w:right w:val="nil"/>
            </w:tcBorders>
            <w:shd w:val="clear" w:color="auto" w:fill="auto"/>
            <w:noWrap/>
            <w:vAlign w:val="center"/>
            <w:hideMark/>
          </w:tcPr>
          <w:p w14:paraId="2F51E245" w14:textId="77777777"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c>
          <w:tcPr>
            <w:tcW w:w="2909" w:type="dxa"/>
            <w:gridSpan w:val="2"/>
            <w:tcBorders>
              <w:top w:val="nil"/>
              <w:left w:val="nil"/>
              <w:bottom w:val="nil"/>
              <w:right w:val="nil"/>
            </w:tcBorders>
            <w:shd w:val="clear" w:color="auto" w:fill="auto"/>
            <w:noWrap/>
            <w:vAlign w:val="center"/>
            <w:hideMark/>
          </w:tcPr>
          <w:p w14:paraId="73623686" w14:textId="77777777"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Yes</w:t>
            </w:r>
          </w:p>
        </w:tc>
      </w:tr>
      <w:tr w:rsidR="0024185C" w:rsidRPr="0024185C" w14:paraId="49FF37B7" w14:textId="77777777" w:rsidTr="000B40A3">
        <w:trPr>
          <w:trHeight w:val="316"/>
          <w:jc w:val="center"/>
        </w:trPr>
        <w:tc>
          <w:tcPr>
            <w:tcW w:w="3748" w:type="dxa"/>
            <w:tcBorders>
              <w:top w:val="nil"/>
              <w:left w:val="nil"/>
              <w:bottom w:val="nil"/>
              <w:right w:val="nil"/>
            </w:tcBorders>
            <w:shd w:val="clear" w:color="auto" w:fill="D5E2F1"/>
            <w:noWrap/>
            <w:vAlign w:val="center"/>
            <w:hideMark/>
          </w:tcPr>
          <w:p w14:paraId="3F9622EB" w14:textId="5A127E15" w:rsidR="0024185C" w:rsidRPr="00601C60" w:rsidRDefault="0024185C" w:rsidP="00C642AE">
            <w:pPr>
              <w:pStyle w:val="TableColumnHeadingBase"/>
            </w:pPr>
            <w:r w:rsidRPr="00601C60">
              <w:t>R</w:t>
            </w:r>
            <w:r w:rsidR="00AA5B97">
              <w:noBreakHyphen/>
            </w:r>
            <w:r w:rsidRPr="00601C60">
              <w:t>squared</w:t>
            </w:r>
          </w:p>
        </w:tc>
        <w:tc>
          <w:tcPr>
            <w:tcW w:w="2514" w:type="dxa"/>
            <w:gridSpan w:val="2"/>
            <w:tcBorders>
              <w:top w:val="nil"/>
              <w:left w:val="nil"/>
              <w:bottom w:val="nil"/>
              <w:right w:val="nil"/>
            </w:tcBorders>
            <w:shd w:val="clear" w:color="auto" w:fill="D5E2F1"/>
            <w:noWrap/>
            <w:vAlign w:val="center"/>
            <w:hideMark/>
          </w:tcPr>
          <w:p w14:paraId="7DC67AB8" w14:textId="239085DC"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0.21</w:t>
            </w:r>
            <w:r w:rsidR="00FB0004" w:rsidRPr="00601C60">
              <w:rPr>
                <w:rFonts w:asciiTheme="majorHAnsi" w:eastAsia="Times New Roman" w:hAnsiTheme="majorHAnsi" w:cstheme="majorHAnsi"/>
                <w:color w:val="000000"/>
                <w:sz w:val="16"/>
                <w:szCs w:val="16"/>
                <w:lang w:eastAsia="en-AU"/>
              </w:rPr>
              <w:t>0</w:t>
            </w:r>
          </w:p>
        </w:tc>
        <w:tc>
          <w:tcPr>
            <w:tcW w:w="2909" w:type="dxa"/>
            <w:gridSpan w:val="2"/>
            <w:tcBorders>
              <w:top w:val="nil"/>
              <w:left w:val="nil"/>
              <w:bottom w:val="nil"/>
              <w:right w:val="nil"/>
            </w:tcBorders>
            <w:shd w:val="clear" w:color="auto" w:fill="D5E2F1"/>
            <w:noWrap/>
            <w:vAlign w:val="center"/>
            <w:hideMark/>
          </w:tcPr>
          <w:p w14:paraId="425ECD85" w14:textId="4E1E92FA"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0</w:t>
            </w:r>
            <w:r w:rsidR="00FB0004" w:rsidRPr="00601C60">
              <w:rPr>
                <w:rFonts w:asciiTheme="majorHAnsi" w:eastAsia="Times New Roman" w:hAnsiTheme="majorHAnsi" w:cstheme="majorHAnsi"/>
                <w:color w:val="000000"/>
                <w:sz w:val="16"/>
                <w:szCs w:val="16"/>
                <w:lang w:eastAsia="en-AU"/>
              </w:rPr>
              <w:t>.1</w:t>
            </w:r>
            <w:r w:rsidR="006B2CEB" w:rsidRPr="00601C60">
              <w:rPr>
                <w:rFonts w:asciiTheme="majorHAnsi" w:eastAsia="Times New Roman" w:hAnsiTheme="majorHAnsi" w:cstheme="majorHAnsi"/>
                <w:color w:val="000000"/>
                <w:sz w:val="16"/>
                <w:szCs w:val="16"/>
                <w:lang w:eastAsia="en-AU"/>
              </w:rPr>
              <w:t>97</w:t>
            </w:r>
          </w:p>
        </w:tc>
      </w:tr>
      <w:tr w:rsidR="0024185C" w:rsidRPr="0024185C" w14:paraId="72C597DC" w14:textId="77777777" w:rsidTr="000B40A3">
        <w:trPr>
          <w:trHeight w:val="316"/>
          <w:jc w:val="center"/>
        </w:trPr>
        <w:tc>
          <w:tcPr>
            <w:tcW w:w="3748" w:type="dxa"/>
            <w:tcBorders>
              <w:top w:val="nil"/>
              <w:left w:val="nil"/>
              <w:bottom w:val="single" w:sz="4" w:space="0" w:color="auto"/>
              <w:right w:val="nil"/>
            </w:tcBorders>
            <w:shd w:val="clear" w:color="auto" w:fill="auto"/>
            <w:noWrap/>
            <w:vAlign w:val="center"/>
            <w:hideMark/>
          </w:tcPr>
          <w:p w14:paraId="5F093D7F" w14:textId="77777777" w:rsidR="0024185C" w:rsidRPr="00601C60" w:rsidRDefault="0024185C" w:rsidP="00C642AE">
            <w:pPr>
              <w:pStyle w:val="TableColumnHeadingBase"/>
            </w:pPr>
            <w:r w:rsidRPr="00601C60">
              <w:t>Observations</w:t>
            </w:r>
          </w:p>
        </w:tc>
        <w:tc>
          <w:tcPr>
            <w:tcW w:w="2514" w:type="dxa"/>
            <w:gridSpan w:val="2"/>
            <w:tcBorders>
              <w:top w:val="nil"/>
              <w:left w:val="nil"/>
              <w:bottom w:val="single" w:sz="4" w:space="0" w:color="auto"/>
              <w:right w:val="nil"/>
            </w:tcBorders>
            <w:shd w:val="clear" w:color="auto" w:fill="auto"/>
            <w:noWrap/>
            <w:vAlign w:val="center"/>
            <w:hideMark/>
          </w:tcPr>
          <w:p w14:paraId="00891F10" w14:textId="3A078E66" w:rsidR="0024185C" w:rsidRPr="00601C60" w:rsidRDefault="0024185C"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1,</w:t>
            </w:r>
            <w:r w:rsidR="00FB0004" w:rsidRPr="00601C60">
              <w:rPr>
                <w:rFonts w:asciiTheme="majorHAnsi" w:eastAsia="Times New Roman" w:hAnsiTheme="majorHAnsi" w:cstheme="majorHAnsi"/>
                <w:color w:val="000000"/>
                <w:sz w:val="16"/>
                <w:szCs w:val="16"/>
                <w:lang w:eastAsia="en-AU"/>
              </w:rPr>
              <w:t>372,576</w:t>
            </w:r>
          </w:p>
        </w:tc>
        <w:tc>
          <w:tcPr>
            <w:tcW w:w="2909" w:type="dxa"/>
            <w:gridSpan w:val="2"/>
            <w:tcBorders>
              <w:top w:val="nil"/>
              <w:left w:val="nil"/>
              <w:bottom w:val="single" w:sz="4" w:space="0" w:color="auto"/>
              <w:right w:val="nil"/>
            </w:tcBorders>
            <w:shd w:val="clear" w:color="auto" w:fill="auto"/>
            <w:noWrap/>
            <w:vAlign w:val="center"/>
            <w:hideMark/>
          </w:tcPr>
          <w:p w14:paraId="277947D6" w14:textId="14584BE4" w:rsidR="0024185C" w:rsidRPr="00601C60" w:rsidRDefault="00FB0004" w:rsidP="00601C60">
            <w:pPr>
              <w:spacing w:after="0"/>
              <w:jc w:val="right"/>
              <w:rPr>
                <w:rFonts w:asciiTheme="majorHAnsi" w:eastAsia="Times New Roman" w:hAnsiTheme="majorHAnsi" w:cstheme="majorHAnsi"/>
                <w:color w:val="000000"/>
                <w:sz w:val="16"/>
                <w:szCs w:val="16"/>
                <w:lang w:eastAsia="en-AU"/>
              </w:rPr>
            </w:pPr>
            <w:r w:rsidRPr="00601C60">
              <w:rPr>
                <w:rFonts w:asciiTheme="majorHAnsi" w:eastAsia="Times New Roman" w:hAnsiTheme="majorHAnsi" w:cstheme="majorHAnsi"/>
                <w:color w:val="000000"/>
                <w:sz w:val="16"/>
                <w:szCs w:val="16"/>
                <w:lang w:eastAsia="en-AU"/>
              </w:rPr>
              <w:t>996,829</w:t>
            </w:r>
          </w:p>
        </w:tc>
      </w:tr>
      <w:tr w:rsidR="0024185C" w:rsidRPr="0024185C" w14:paraId="71FB8DE0" w14:textId="77777777" w:rsidTr="000B40A3">
        <w:trPr>
          <w:trHeight w:val="509"/>
          <w:jc w:val="center"/>
        </w:trPr>
        <w:tc>
          <w:tcPr>
            <w:tcW w:w="9171" w:type="dxa"/>
            <w:gridSpan w:val="5"/>
            <w:vMerge w:val="restart"/>
            <w:tcBorders>
              <w:top w:val="single" w:sz="4" w:space="0" w:color="auto"/>
              <w:left w:val="nil"/>
              <w:bottom w:val="nil"/>
              <w:right w:val="nil"/>
            </w:tcBorders>
            <w:shd w:val="clear" w:color="auto" w:fill="auto"/>
            <w:hideMark/>
          </w:tcPr>
          <w:p w14:paraId="215FC454" w14:textId="02237A99" w:rsidR="0024185C" w:rsidRPr="0024185C" w:rsidRDefault="0024185C" w:rsidP="0024185C">
            <w:pPr>
              <w:spacing w:after="0"/>
              <w:rPr>
                <w:rFonts w:eastAsia="Times New Roman" w:cs="Times New Roman"/>
                <w:color w:val="000000"/>
                <w:sz w:val="18"/>
                <w:szCs w:val="18"/>
                <w:lang w:eastAsia="en-AU"/>
              </w:rPr>
            </w:pPr>
            <w:r w:rsidRPr="003D0E71">
              <w:rPr>
                <w:rFonts w:eastAsia="Times New Roman" w:cs="Times New Roman"/>
                <w:color w:val="000000"/>
                <w:sz w:val="16"/>
                <w:szCs w:val="16"/>
                <w:lang w:eastAsia="en-AU"/>
              </w:rPr>
              <w:t xml:space="preserve">Notes: Table </w:t>
            </w:r>
            <w:r w:rsidR="006B2CEB" w:rsidRPr="003D0E71">
              <w:rPr>
                <w:rFonts w:eastAsia="Times New Roman" w:cs="Times New Roman"/>
                <w:color w:val="000000"/>
                <w:sz w:val="16"/>
                <w:szCs w:val="16"/>
                <w:lang w:eastAsia="en-AU"/>
              </w:rPr>
              <w:t>6</w:t>
            </w:r>
            <w:r w:rsidRPr="003D0E71">
              <w:rPr>
                <w:rFonts w:eastAsia="Times New Roman" w:cs="Times New Roman"/>
                <w:color w:val="000000"/>
                <w:sz w:val="16"/>
                <w:szCs w:val="16"/>
                <w:lang w:eastAsia="en-AU"/>
              </w:rPr>
              <w:t xml:space="preserve"> extends the baseline model by interacting industry</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level entry rates with the distance from frontier term. Column 1 runs this model for the full sample. Column 2 runs this model for the sample of incumbent firms. The distance from frontier and firm entry variables have been demeaned for ease of interpretation. The coefficient on the distance from frontier term can now be interpreted as the convergence speed for firms in an industry with the average firm entry rate. The interaction term can be interpreted as the additional convergence speed associated with a 1 percentage point increase in the firm entry rate. Standard errors are clustered at the industry</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level and are shown in brackets underneath each estimate. *</w:t>
            </w:r>
            <w:proofErr w:type="gramStart"/>
            <w:r w:rsidRPr="003D0E71">
              <w:rPr>
                <w:rFonts w:eastAsia="Times New Roman" w:cs="Times New Roman"/>
                <w:color w:val="000000"/>
                <w:sz w:val="16"/>
                <w:szCs w:val="16"/>
                <w:lang w:eastAsia="en-AU"/>
              </w:rPr>
              <w:t>significant</w:t>
            </w:r>
            <w:proofErr w:type="gramEnd"/>
            <w:r w:rsidRPr="003D0E71">
              <w:rPr>
                <w:rFonts w:eastAsia="Times New Roman" w:cs="Times New Roman"/>
                <w:color w:val="000000"/>
                <w:sz w:val="16"/>
                <w:szCs w:val="16"/>
                <w:lang w:eastAsia="en-AU"/>
              </w:rPr>
              <w:t xml:space="preserve"> at 10% level, ** significant at 5% level, *** significant at 1% level.</w:t>
            </w:r>
          </w:p>
        </w:tc>
      </w:tr>
      <w:tr w:rsidR="0024185C" w:rsidRPr="0024185C" w14:paraId="4920B046" w14:textId="77777777" w:rsidTr="000B40A3">
        <w:trPr>
          <w:trHeight w:val="509"/>
          <w:jc w:val="center"/>
        </w:trPr>
        <w:tc>
          <w:tcPr>
            <w:tcW w:w="9171" w:type="dxa"/>
            <w:gridSpan w:val="5"/>
            <w:vMerge/>
            <w:tcBorders>
              <w:top w:val="single" w:sz="4" w:space="0" w:color="auto"/>
              <w:left w:val="nil"/>
              <w:bottom w:val="nil"/>
              <w:right w:val="nil"/>
            </w:tcBorders>
            <w:vAlign w:val="center"/>
            <w:hideMark/>
          </w:tcPr>
          <w:p w14:paraId="5A7EAF87" w14:textId="77777777" w:rsidR="0024185C" w:rsidRPr="0024185C" w:rsidRDefault="0024185C" w:rsidP="0024185C">
            <w:pPr>
              <w:spacing w:after="0"/>
              <w:rPr>
                <w:rFonts w:eastAsia="Times New Roman" w:cs="Times New Roman"/>
                <w:color w:val="000000"/>
                <w:sz w:val="18"/>
                <w:szCs w:val="18"/>
                <w:lang w:eastAsia="en-AU"/>
              </w:rPr>
            </w:pPr>
          </w:p>
        </w:tc>
      </w:tr>
      <w:tr w:rsidR="0024185C" w:rsidRPr="0024185C" w14:paraId="46D68B13" w14:textId="77777777" w:rsidTr="000B40A3">
        <w:trPr>
          <w:trHeight w:val="509"/>
          <w:jc w:val="center"/>
        </w:trPr>
        <w:tc>
          <w:tcPr>
            <w:tcW w:w="9171" w:type="dxa"/>
            <w:gridSpan w:val="5"/>
            <w:vMerge/>
            <w:tcBorders>
              <w:top w:val="single" w:sz="4" w:space="0" w:color="auto"/>
              <w:left w:val="nil"/>
              <w:bottom w:val="nil"/>
              <w:right w:val="nil"/>
            </w:tcBorders>
            <w:vAlign w:val="center"/>
            <w:hideMark/>
          </w:tcPr>
          <w:p w14:paraId="06174C4B" w14:textId="77777777" w:rsidR="0024185C" w:rsidRPr="0024185C" w:rsidRDefault="0024185C" w:rsidP="0024185C">
            <w:pPr>
              <w:spacing w:after="0"/>
              <w:rPr>
                <w:rFonts w:eastAsia="Times New Roman" w:cs="Times New Roman"/>
                <w:color w:val="000000"/>
                <w:sz w:val="18"/>
                <w:szCs w:val="18"/>
                <w:lang w:eastAsia="en-AU"/>
              </w:rPr>
            </w:pPr>
          </w:p>
        </w:tc>
      </w:tr>
    </w:tbl>
    <w:p w14:paraId="02A04266" w14:textId="7C2F3AE5" w:rsidR="00EA0B27" w:rsidRDefault="00392703" w:rsidP="007D5DC2">
      <w:pPr>
        <w:jc w:val="both"/>
      </w:pPr>
      <w:r>
        <w:t>To test this more formally, we incorporate a</w:t>
      </w:r>
      <w:r w:rsidR="00AB302F">
        <w:t xml:space="preserve"> direct</w:t>
      </w:r>
      <w:r>
        <w:t xml:space="preserve"> measure of competitive pressure</w:t>
      </w:r>
      <w:r w:rsidR="00AB302F">
        <w:t>,</w:t>
      </w:r>
      <w:r w:rsidR="007248BA">
        <w:t xml:space="preserve"> mark</w:t>
      </w:r>
      <w:r w:rsidR="00AA5B97">
        <w:noBreakHyphen/>
      </w:r>
      <w:r w:rsidR="007248BA">
        <w:t xml:space="preserve">ups </w:t>
      </w:r>
      <w:r w:rsidR="00AB302F">
        <w:t xml:space="preserve">as </w:t>
      </w:r>
      <w:r w:rsidR="00136BC2">
        <w:t>estimated</w:t>
      </w:r>
      <w:r w:rsidR="007248BA">
        <w:t xml:space="preserve"> in Hambur (202</w:t>
      </w:r>
      <w:r w:rsidR="00D626D5">
        <w:t>1</w:t>
      </w:r>
      <w:r w:rsidR="007248BA">
        <w:t xml:space="preserve">). These </w:t>
      </w:r>
      <w:r w:rsidR="00AB302F">
        <w:t>measure the</w:t>
      </w:r>
      <w:r w:rsidR="007248BA">
        <w:t xml:space="preserve"> ratio of a firm</w:t>
      </w:r>
      <w:r w:rsidR="00AA5B97">
        <w:t>’</w:t>
      </w:r>
      <w:r w:rsidR="007248BA">
        <w:t>s</w:t>
      </w:r>
      <w:r w:rsidR="00AB302F">
        <w:t xml:space="preserve"> sales</w:t>
      </w:r>
      <w:r w:rsidR="007248BA">
        <w:t xml:space="preserve"> price </w:t>
      </w:r>
      <w:r w:rsidR="00AB302F">
        <w:t>over</w:t>
      </w:r>
      <w:r w:rsidR="007248BA">
        <w:t xml:space="preserve"> their marginal cost </w:t>
      </w:r>
      <w:r w:rsidR="00AB302F">
        <w:t xml:space="preserve">of production </w:t>
      </w:r>
      <w:r w:rsidR="00EA0B27">
        <w:t>and should capture the level of market power accruing to firms</w:t>
      </w:r>
      <w:r w:rsidR="009C00CF">
        <w:t xml:space="preserve">. They </w:t>
      </w:r>
      <w:r w:rsidR="00136BC2">
        <w:t xml:space="preserve">have increased </w:t>
      </w:r>
      <w:r w:rsidR="00EA0B27">
        <w:t>over the past decade indicating decreasing competitive pressures in the Australian economy.</w:t>
      </w:r>
    </w:p>
    <w:p w14:paraId="3D11C8F1" w14:textId="6BBE2417" w:rsidR="007248BA" w:rsidRDefault="00EA0B27" w:rsidP="007D5DC2">
      <w:pPr>
        <w:jc w:val="both"/>
      </w:pPr>
      <w:r>
        <w:lastRenderedPageBreak/>
        <w:t>The firm</w:t>
      </w:r>
      <w:r w:rsidR="00AA5B97">
        <w:noBreakHyphen/>
      </w:r>
      <w:r>
        <w:t>level mark</w:t>
      </w:r>
      <w:r w:rsidR="00AA5B97">
        <w:noBreakHyphen/>
      </w:r>
      <w:r>
        <w:t>ups are aggregated to the industry level using</w:t>
      </w:r>
      <w:r w:rsidR="007D5DC2">
        <w:t xml:space="preserve"> either</w:t>
      </w:r>
      <w:r>
        <w:t xml:space="preserve"> an unweighted average </w:t>
      </w:r>
      <w:r w:rsidR="006B2CEB">
        <w:t>o</w:t>
      </w:r>
      <w:r>
        <w:t>r a</w:t>
      </w:r>
      <w:r w:rsidR="00F975B8">
        <w:t xml:space="preserve"> </w:t>
      </w:r>
      <w:proofErr w:type="gramStart"/>
      <w:r>
        <w:t>sales</w:t>
      </w:r>
      <w:proofErr w:type="gramEnd"/>
      <w:r w:rsidR="00AA5B97">
        <w:noBreakHyphen/>
      </w:r>
      <w:r>
        <w:t xml:space="preserve">weighted average. They are then </w:t>
      </w:r>
      <w:r w:rsidR="0086513B">
        <w:t>interacted</w:t>
      </w:r>
      <w:r>
        <w:t xml:space="preserve"> with the distance to the frontier, </w:t>
      </w:r>
      <w:r w:rsidR="00AB302F">
        <w:t>as was done with the</w:t>
      </w:r>
      <w:r>
        <w:t xml:space="preserve"> </w:t>
      </w:r>
      <w:r w:rsidR="0086513B">
        <w:t>measures</w:t>
      </w:r>
      <w:r>
        <w:t xml:space="preserve"> of dynamism.</w:t>
      </w:r>
      <w:r>
        <w:rPr>
          <w:rStyle w:val="FootnoteReference"/>
        </w:rPr>
        <w:footnoteReference w:id="9"/>
      </w:r>
    </w:p>
    <w:p w14:paraId="125DAF98" w14:textId="24D19BAE" w:rsidR="00D626D5" w:rsidRDefault="00D626D5" w:rsidP="007D5DC2">
      <w:pPr>
        <w:jc w:val="both"/>
      </w:pPr>
      <w:r>
        <w:t>Consistent with expectations, the rate of convergence declines as industries</w:t>
      </w:r>
      <w:r w:rsidR="00AA5B97">
        <w:t>’</w:t>
      </w:r>
      <w:r>
        <w:t xml:space="preserve"> mark</w:t>
      </w:r>
      <w:r w:rsidR="00AA5B97">
        <w:noBreakHyphen/>
      </w:r>
      <w:r>
        <w:t>ups increase, as evidenced by the negative and significant coefficient on the interaction between mark</w:t>
      </w:r>
      <w:r w:rsidR="00AA5B97">
        <w:noBreakHyphen/>
      </w:r>
      <w:r>
        <w:t>ups and distance to the frontier</w:t>
      </w:r>
      <w:r w:rsidR="00EB4989">
        <w:t xml:space="preserve"> (Table </w:t>
      </w:r>
      <w:r w:rsidR="003D0E71">
        <w:t>6</w:t>
      </w:r>
      <w:r w:rsidR="00EB4989">
        <w:t>)</w:t>
      </w:r>
      <w:r>
        <w:t>. This provides more direct evidence that declining competitive pressures can explain some of the slowing in convergence observed in Australia.</w:t>
      </w:r>
    </w:p>
    <w:tbl>
      <w:tblPr>
        <w:tblW w:w="9279" w:type="dxa"/>
        <w:jc w:val="center"/>
        <w:tblCellMar>
          <w:left w:w="0" w:type="dxa"/>
          <w:right w:w="28" w:type="dxa"/>
        </w:tblCellMar>
        <w:tblLook w:val="04A0" w:firstRow="1" w:lastRow="0" w:firstColumn="1" w:lastColumn="0" w:noHBand="0" w:noVBand="1"/>
      </w:tblPr>
      <w:tblGrid>
        <w:gridCol w:w="108"/>
        <w:gridCol w:w="3646"/>
        <w:gridCol w:w="932"/>
        <w:gridCol w:w="1589"/>
        <w:gridCol w:w="829"/>
        <w:gridCol w:w="2091"/>
        <w:gridCol w:w="84"/>
      </w:tblGrid>
      <w:tr w:rsidR="00667EBC" w:rsidRPr="0024185C" w14:paraId="419F59E3" w14:textId="77777777" w:rsidTr="000B40A3">
        <w:trPr>
          <w:gridAfter w:val="1"/>
          <w:wAfter w:w="108" w:type="dxa"/>
          <w:trHeight w:val="316"/>
          <w:jc w:val="center"/>
        </w:trPr>
        <w:tc>
          <w:tcPr>
            <w:tcW w:w="9171" w:type="dxa"/>
            <w:gridSpan w:val="6"/>
            <w:tcBorders>
              <w:bottom w:val="single" w:sz="4" w:space="0" w:color="auto"/>
            </w:tcBorders>
            <w:shd w:val="clear" w:color="auto" w:fill="auto"/>
            <w:noWrap/>
            <w:vAlign w:val="bottom"/>
            <w:hideMark/>
          </w:tcPr>
          <w:p w14:paraId="61EC4EFE" w14:textId="20B86EF3" w:rsidR="00667EBC" w:rsidRPr="0024185C" w:rsidRDefault="00667EBC" w:rsidP="008A5C91">
            <w:pPr>
              <w:pStyle w:val="TableMainHeading"/>
            </w:pPr>
            <w:r>
              <w:t xml:space="preserve">Table </w:t>
            </w:r>
            <w:r w:rsidR="003D0E71">
              <w:t>6</w:t>
            </w:r>
            <w:r w:rsidRPr="0024185C">
              <w:t xml:space="preserve"> </w:t>
            </w:r>
            <w:r w:rsidR="005B6F33">
              <w:rPr>
                <w:noProof/>
              </w:rPr>
              <w:t>–</w:t>
            </w:r>
            <w:r w:rsidRPr="0077349B">
              <w:t xml:space="preserve"> </w:t>
            </w:r>
            <w:r w:rsidRPr="0024185C">
              <w:t xml:space="preserve">Convergence and </w:t>
            </w:r>
            <w:r>
              <w:t>industry mark</w:t>
            </w:r>
            <w:r w:rsidR="00AA5B97">
              <w:noBreakHyphen/>
            </w:r>
            <w:r>
              <w:t>ups</w:t>
            </w:r>
          </w:p>
        </w:tc>
      </w:tr>
      <w:tr w:rsidR="00667EBC" w:rsidRPr="0024185C" w14:paraId="7864B84E" w14:textId="77777777" w:rsidTr="000B40A3">
        <w:trPr>
          <w:gridAfter w:val="1"/>
          <w:wAfter w:w="108" w:type="dxa"/>
          <w:trHeight w:val="316"/>
          <w:jc w:val="center"/>
        </w:trPr>
        <w:tc>
          <w:tcPr>
            <w:tcW w:w="4678" w:type="dxa"/>
            <w:gridSpan w:val="3"/>
            <w:tcBorders>
              <w:top w:val="single" w:sz="4" w:space="0" w:color="auto"/>
            </w:tcBorders>
            <w:shd w:val="clear" w:color="auto" w:fill="auto"/>
            <w:noWrap/>
            <w:vAlign w:val="center"/>
            <w:hideMark/>
          </w:tcPr>
          <w:p w14:paraId="19483DB9" w14:textId="77777777" w:rsidR="00667EBC" w:rsidRPr="00601C60" w:rsidRDefault="00667EBC" w:rsidP="00755C1F">
            <w:pPr>
              <w:spacing w:after="0"/>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 </w:t>
            </w:r>
          </w:p>
        </w:tc>
        <w:tc>
          <w:tcPr>
            <w:tcW w:w="2410" w:type="dxa"/>
            <w:gridSpan w:val="2"/>
            <w:tcBorders>
              <w:top w:val="single" w:sz="4" w:space="0" w:color="auto"/>
            </w:tcBorders>
            <w:shd w:val="clear" w:color="auto" w:fill="auto"/>
            <w:noWrap/>
            <w:vAlign w:val="center"/>
            <w:hideMark/>
          </w:tcPr>
          <w:p w14:paraId="03749709" w14:textId="35953F48" w:rsidR="00667EBC" w:rsidRPr="00601C60" w:rsidRDefault="00667EBC" w:rsidP="00755C1F">
            <w:pPr>
              <w:spacing w:after="0"/>
              <w:jc w:val="center"/>
              <w:rPr>
                <w:rFonts w:asciiTheme="minorHAnsi" w:eastAsia="Times New Roman" w:hAnsiTheme="minorHAnsi" w:cstheme="minorHAnsi"/>
                <w:i/>
                <w:iCs/>
                <w:color w:val="000000"/>
                <w:sz w:val="16"/>
                <w:szCs w:val="16"/>
                <w:lang w:eastAsia="en-AU"/>
              </w:rPr>
            </w:pPr>
            <w:r w:rsidRPr="00601C60">
              <w:rPr>
                <w:rFonts w:asciiTheme="minorHAnsi" w:eastAsia="Times New Roman" w:hAnsiTheme="minorHAnsi" w:cstheme="minorHAnsi"/>
                <w:i/>
                <w:iCs/>
                <w:color w:val="000000"/>
                <w:sz w:val="16"/>
                <w:szCs w:val="16"/>
                <w:lang w:eastAsia="en-AU"/>
              </w:rPr>
              <w:t>Unweighted mark</w:t>
            </w:r>
            <w:r w:rsidR="00AA5B97">
              <w:rPr>
                <w:rFonts w:asciiTheme="minorHAnsi" w:eastAsia="Times New Roman" w:hAnsiTheme="minorHAnsi" w:cstheme="minorHAnsi"/>
                <w:i/>
                <w:iCs/>
                <w:color w:val="000000"/>
                <w:sz w:val="16"/>
                <w:szCs w:val="16"/>
                <w:lang w:eastAsia="en-AU"/>
              </w:rPr>
              <w:noBreakHyphen/>
            </w:r>
            <w:r w:rsidRPr="00601C60">
              <w:rPr>
                <w:rFonts w:asciiTheme="minorHAnsi" w:eastAsia="Times New Roman" w:hAnsiTheme="minorHAnsi" w:cstheme="minorHAnsi"/>
                <w:i/>
                <w:iCs/>
                <w:color w:val="000000"/>
                <w:sz w:val="16"/>
                <w:szCs w:val="16"/>
                <w:lang w:eastAsia="en-AU"/>
              </w:rPr>
              <w:t>ups</w:t>
            </w:r>
          </w:p>
        </w:tc>
        <w:tc>
          <w:tcPr>
            <w:tcW w:w="2083" w:type="dxa"/>
            <w:tcBorders>
              <w:top w:val="single" w:sz="4" w:space="0" w:color="auto"/>
            </w:tcBorders>
            <w:shd w:val="clear" w:color="auto" w:fill="auto"/>
            <w:noWrap/>
            <w:vAlign w:val="center"/>
            <w:hideMark/>
          </w:tcPr>
          <w:p w14:paraId="2AD2E9EB" w14:textId="0B16C58D" w:rsidR="00667EBC" w:rsidRPr="00601C60" w:rsidRDefault="00667EBC" w:rsidP="00755C1F">
            <w:pPr>
              <w:spacing w:after="0"/>
              <w:jc w:val="center"/>
              <w:rPr>
                <w:rFonts w:asciiTheme="minorHAnsi" w:eastAsia="Times New Roman" w:hAnsiTheme="minorHAnsi" w:cstheme="minorHAnsi"/>
                <w:i/>
                <w:iCs/>
                <w:color w:val="000000"/>
                <w:sz w:val="16"/>
                <w:szCs w:val="16"/>
                <w:lang w:eastAsia="en-AU"/>
              </w:rPr>
            </w:pPr>
            <w:r w:rsidRPr="00601C60">
              <w:rPr>
                <w:rFonts w:asciiTheme="minorHAnsi" w:eastAsia="Times New Roman" w:hAnsiTheme="minorHAnsi" w:cstheme="minorHAnsi"/>
                <w:i/>
                <w:iCs/>
                <w:color w:val="000000"/>
                <w:sz w:val="16"/>
                <w:szCs w:val="16"/>
                <w:lang w:eastAsia="en-AU"/>
              </w:rPr>
              <w:t>Sales</w:t>
            </w:r>
            <w:r w:rsidR="00AA5B97">
              <w:rPr>
                <w:rFonts w:asciiTheme="minorHAnsi" w:eastAsia="Times New Roman" w:hAnsiTheme="minorHAnsi" w:cstheme="minorHAnsi"/>
                <w:i/>
                <w:iCs/>
                <w:color w:val="000000"/>
                <w:sz w:val="16"/>
                <w:szCs w:val="16"/>
                <w:lang w:eastAsia="en-AU"/>
              </w:rPr>
              <w:noBreakHyphen/>
            </w:r>
            <w:r w:rsidRPr="00601C60">
              <w:rPr>
                <w:rFonts w:asciiTheme="minorHAnsi" w:eastAsia="Times New Roman" w:hAnsiTheme="minorHAnsi" w:cstheme="minorHAnsi"/>
                <w:i/>
                <w:iCs/>
                <w:color w:val="000000"/>
                <w:sz w:val="16"/>
                <w:szCs w:val="16"/>
                <w:lang w:eastAsia="en-AU"/>
              </w:rPr>
              <w:t>weighted mark</w:t>
            </w:r>
            <w:r w:rsidR="00AA5B97">
              <w:rPr>
                <w:rFonts w:asciiTheme="minorHAnsi" w:eastAsia="Times New Roman" w:hAnsiTheme="minorHAnsi" w:cstheme="minorHAnsi"/>
                <w:i/>
                <w:iCs/>
                <w:color w:val="000000"/>
                <w:sz w:val="16"/>
                <w:szCs w:val="16"/>
                <w:lang w:eastAsia="en-AU"/>
              </w:rPr>
              <w:noBreakHyphen/>
            </w:r>
            <w:r w:rsidRPr="00601C60">
              <w:rPr>
                <w:rFonts w:asciiTheme="minorHAnsi" w:eastAsia="Times New Roman" w:hAnsiTheme="minorHAnsi" w:cstheme="minorHAnsi"/>
                <w:i/>
                <w:iCs/>
                <w:color w:val="000000"/>
                <w:sz w:val="16"/>
                <w:szCs w:val="16"/>
                <w:lang w:eastAsia="en-AU"/>
              </w:rPr>
              <w:t>ups</w:t>
            </w:r>
          </w:p>
        </w:tc>
      </w:tr>
      <w:tr w:rsidR="00667EBC" w:rsidRPr="0024185C" w14:paraId="77C12CE5" w14:textId="77777777" w:rsidTr="000B40A3">
        <w:trPr>
          <w:gridAfter w:val="1"/>
          <w:wAfter w:w="108" w:type="dxa"/>
          <w:trHeight w:val="316"/>
          <w:jc w:val="center"/>
        </w:trPr>
        <w:tc>
          <w:tcPr>
            <w:tcW w:w="4678" w:type="dxa"/>
            <w:gridSpan w:val="3"/>
            <w:tcBorders>
              <w:bottom w:val="single" w:sz="4" w:space="0" w:color="auto"/>
            </w:tcBorders>
            <w:shd w:val="clear" w:color="auto" w:fill="auto"/>
            <w:noWrap/>
            <w:vAlign w:val="center"/>
            <w:hideMark/>
          </w:tcPr>
          <w:p w14:paraId="4AFF83AB" w14:textId="77777777" w:rsidR="00667EBC" w:rsidRPr="00601C60" w:rsidRDefault="00667EBC" w:rsidP="00755C1F">
            <w:pPr>
              <w:spacing w:after="0"/>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 </w:t>
            </w:r>
          </w:p>
        </w:tc>
        <w:tc>
          <w:tcPr>
            <w:tcW w:w="2410" w:type="dxa"/>
            <w:gridSpan w:val="2"/>
            <w:tcBorders>
              <w:bottom w:val="single" w:sz="4" w:space="0" w:color="auto"/>
            </w:tcBorders>
            <w:shd w:val="clear" w:color="auto" w:fill="auto"/>
            <w:noWrap/>
            <w:vAlign w:val="center"/>
            <w:hideMark/>
          </w:tcPr>
          <w:p w14:paraId="476B105C" w14:textId="77777777" w:rsidR="00667EBC" w:rsidRPr="00601C60" w:rsidRDefault="00667EBC" w:rsidP="00755C1F">
            <w:pPr>
              <w:spacing w:after="0"/>
              <w:jc w:val="center"/>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(1)</w:t>
            </w:r>
          </w:p>
        </w:tc>
        <w:tc>
          <w:tcPr>
            <w:tcW w:w="2083" w:type="dxa"/>
            <w:tcBorders>
              <w:bottom w:val="single" w:sz="4" w:space="0" w:color="auto"/>
            </w:tcBorders>
            <w:shd w:val="clear" w:color="auto" w:fill="auto"/>
            <w:noWrap/>
            <w:vAlign w:val="center"/>
            <w:hideMark/>
          </w:tcPr>
          <w:p w14:paraId="715F8012" w14:textId="77777777" w:rsidR="00667EBC" w:rsidRPr="00601C60" w:rsidRDefault="00667EBC" w:rsidP="00755C1F">
            <w:pPr>
              <w:spacing w:after="0"/>
              <w:jc w:val="center"/>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(2)</w:t>
            </w:r>
          </w:p>
        </w:tc>
      </w:tr>
      <w:tr w:rsidR="00667EBC" w:rsidRPr="0024185C" w14:paraId="13CA4921" w14:textId="77777777" w:rsidTr="000B40A3">
        <w:trPr>
          <w:gridAfter w:val="1"/>
          <w:wAfter w:w="108" w:type="dxa"/>
          <w:trHeight w:val="316"/>
          <w:jc w:val="center"/>
        </w:trPr>
        <w:tc>
          <w:tcPr>
            <w:tcW w:w="3748" w:type="dxa"/>
            <w:gridSpan w:val="2"/>
            <w:tcBorders>
              <w:top w:val="single" w:sz="4" w:space="0" w:color="auto"/>
            </w:tcBorders>
            <w:shd w:val="clear" w:color="auto" w:fill="D5E2F1"/>
            <w:noWrap/>
            <w:vAlign w:val="center"/>
            <w:hideMark/>
          </w:tcPr>
          <w:p w14:paraId="48E43EDB" w14:textId="5F1E8F37" w:rsidR="00667EBC" w:rsidRPr="00601C60" w:rsidRDefault="00667EBC" w:rsidP="00C642AE">
            <w:pPr>
              <w:pStyle w:val="TableColumnHeadingBase"/>
              <w:rPr>
                <w:lang w:eastAsia="en-AU"/>
              </w:rPr>
            </w:pPr>
            <w:r w:rsidRPr="00601C60">
              <w:rPr>
                <w:lang w:eastAsia="en-AU"/>
              </w:rPr>
              <w:t xml:space="preserve">Distance </w:t>
            </w:r>
            <w:r w:rsidR="00C642AE">
              <w:rPr>
                <w:lang w:eastAsia="en-AU"/>
              </w:rPr>
              <w:t>f</w:t>
            </w:r>
            <w:r w:rsidRPr="00601C60">
              <w:rPr>
                <w:lang w:eastAsia="en-AU"/>
              </w:rPr>
              <w:t xml:space="preserve">rom </w:t>
            </w:r>
            <w:r w:rsidR="00C642AE">
              <w:rPr>
                <w:lang w:eastAsia="en-AU"/>
              </w:rPr>
              <w:t>f</w:t>
            </w:r>
            <w:r w:rsidRPr="00601C60">
              <w:rPr>
                <w:lang w:eastAsia="en-AU"/>
              </w:rPr>
              <w:t>rontier</w:t>
            </w:r>
          </w:p>
        </w:tc>
        <w:tc>
          <w:tcPr>
            <w:tcW w:w="2514" w:type="dxa"/>
            <w:gridSpan w:val="2"/>
            <w:tcBorders>
              <w:top w:val="single" w:sz="4" w:space="0" w:color="auto"/>
            </w:tcBorders>
            <w:shd w:val="clear" w:color="auto" w:fill="D5E2F1"/>
            <w:noWrap/>
            <w:vAlign w:val="center"/>
            <w:hideMark/>
          </w:tcPr>
          <w:p w14:paraId="774C4686" w14:textId="56E8F2DD"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0.</w:t>
            </w:r>
            <w:r w:rsidR="00392703" w:rsidRPr="00601C60">
              <w:rPr>
                <w:rFonts w:asciiTheme="minorHAnsi" w:eastAsia="Times New Roman" w:hAnsiTheme="minorHAnsi" w:cstheme="minorHAnsi"/>
                <w:color w:val="000000"/>
                <w:sz w:val="16"/>
                <w:szCs w:val="16"/>
                <w:lang w:eastAsia="en-AU"/>
              </w:rPr>
              <w:t>349</w:t>
            </w:r>
            <w:r w:rsidRPr="00601C60">
              <w:rPr>
                <w:rFonts w:asciiTheme="minorHAnsi" w:eastAsia="Times New Roman" w:hAnsiTheme="minorHAnsi" w:cstheme="minorHAnsi"/>
                <w:color w:val="000000"/>
                <w:sz w:val="16"/>
                <w:szCs w:val="16"/>
                <w:lang w:eastAsia="en-AU"/>
              </w:rPr>
              <w:t>***</w:t>
            </w:r>
          </w:p>
        </w:tc>
        <w:tc>
          <w:tcPr>
            <w:tcW w:w="2909" w:type="dxa"/>
            <w:gridSpan w:val="2"/>
            <w:tcBorders>
              <w:top w:val="single" w:sz="4" w:space="0" w:color="auto"/>
            </w:tcBorders>
            <w:shd w:val="clear" w:color="auto" w:fill="D5E2F1"/>
            <w:noWrap/>
            <w:vAlign w:val="center"/>
            <w:hideMark/>
          </w:tcPr>
          <w:p w14:paraId="443A8342" w14:textId="5DB81BDC"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0.</w:t>
            </w:r>
            <w:r w:rsidR="00392703" w:rsidRPr="00601C60">
              <w:rPr>
                <w:rFonts w:asciiTheme="minorHAnsi" w:eastAsia="Times New Roman" w:hAnsiTheme="minorHAnsi" w:cstheme="minorHAnsi"/>
                <w:color w:val="000000"/>
                <w:sz w:val="16"/>
                <w:szCs w:val="16"/>
                <w:lang w:eastAsia="en-AU"/>
              </w:rPr>
              <w:t>390</w:t>
            </w:r>
            <w:r w:rsidRPr="00601C60">
              <w:rPr>
                <w:rFonts w:asciiTheme="minorHAnsi" w:eastAsia="Times New Roman" w:hAnsiTheme="minorHAnsi" w:cstheme="minorHAnsi"/>
                <w:color w:val="000000"/>
                <w:sz w:val="16"/>
                <w:szCs w:val="16"/>
                <w:lang w:eastAsia="en-AU"/>
              </w:rPr>
              <w:t>***</w:t>
            </w:r>
          </w:p>
        </w:tc>
      </w:tr>
      <w:tr w:rsidR="00667EBC" w:rsidRPr="0024185C" w14:paraId="414066C3" w14:textId="77777777" w:rsidTr="000B40A3">
        <w:trPr>
          <w:gridAfter w:val="1"/>
          <w:wAfter w:w="108" w:type="dxa"/>
          <w:trHeight w:val="316"/>
          <w:jc w:val="center"/>
        </w:trPr>
        <w:tc>
          <w:tcPr>
            <w:tcW w:w="3748" w:type="dxa"/>
            <w:gridSpan w:val="2"/>
            <w:shd w:val="clear" w:color="auto" w:fill="auto"/>
            <w:noWrap/>
            <w:vAlign w:val="center"/>
            <w:hideMark/>
          </w:tcPr>
          <w:p w14:paraId="52643BC6" w14:textId="77777777" w:rsidR="00667EBC" w:rsidRPr="00601C60" w:rsidRDefault="00667EBC" w:rsidP="00C642AE">
            <w:pPr>
              <w:pStyle w:val="TableColumnHeadingBase"/>
              <w:rPr>
                <w:lang w:eastAsia="en-AU"/>
              </w:rPr>
            </w:pPr>
          </w:p>
        </w:tc>
        <w:tc>
          <w:tcPr>
            <w:tcW w:w="2514" w:type="dxa"/>
            <w:gridSpan w:val="2"/>
            <w:shd w:val="clear" w:color="auto" w:fill="auto"/>
            <w:vAlign w:val="center"/>
            <w:hideMark/>
          </w:tcPr>
          <w:p w14:paraId="6A55EB07" w14:textId="5EF4AFE2" w:rsidR="00667EBC" w:rsidRPr="00601C60" w:rsidRDefault="00667EBC" w:rsidP="00601C60">
            <w:pPr>
              <w:spacing w:after="0"/>
              <w:jc w:val="right"/>
              <w:rPr>
                <w:rFonts w:asciiTheme="minorHAnsi" w:eastAsia="Times New Roman" w:hAnsiTheme="minorHAnsi" w:cstheme="minorHAnsi"/>
                <w:color w:val="auto"/>
                <w:sz w:val="16"/>
                <w:szCs w:val="16"/>
                <w:lang w:eastAsia="en-AU"/>
              </w:rPr>
            </w:pPr>
            <w:r w:rsidRPr="00601C60">
              <w:rPr>
                <w:rFonts w:asciiTheme="minorHAnsi" w:eastAsia="Times New Roman" w:hAnsiTheme="minorHAnsi" w:cstheme="minorHAnsi"/>
                <w:color w:val="auto"/>
                <w:sz w:val="16"/>
                <w:szCs w:val="16"/>
                <w:lang w:eastAsia="en-AU"/>
              </w:rPr>
              <w:t>(0.0</w:t>
            </w:r>
            <w:r w:rsidR="00392703" w:rsidRPr="00601C60">
              <w:rPr>
                <w:rFonts w:asciiTheme="minorHAnsi" w:eastAsia="Times New Roman" w:hAnsiTheme="minorHAnsi" w:cstheme="minorHAnsi"/>
                <w:color w:val="auto"/>
                <w:sz w:val="16"/>
                <w:szCs w:val="16"/>
                <w:lang w:eastAsia="en-AU"/>
              </w:rPr>
              <w:t>39</w:t>
            </w:r>
            <w:r w:rsidRPr="00601C60">
              <w:rPr>
                <w:rFonts w:asciiTheme="minorHAnsi" w:eastAsia="Times New Roman" w:hAnsiTheme="minorHAnsi" w:cstheme="minorHAnsi"/>
                <w:color w:val="auto"/>
                <w:sz w:val="16"/>
                <w:szCs w:val="16"/>
                <w:lang w:eastAsia="en-AU"/>
              </w:rPr>
              <w:t>)</w:t>
            </w:r>
          </w:p>
        </w:tc>
        <w:tc>
          <w:tcPr>
            <w:tcW w:w="2909" w:type="dxa"/>
            <w:gridSpan w:val="2"/>
            <w:shd w:val="clear" w:color="auto" w:fill="auto"/>
            <w:vAlign w:val="center"/>
            <w:hideMark/>
          </w:tcPr>
          <w:p w14:paraId="7D264C0C" w14:textId="4310DC4D" w:rsidR="00667EBC" w:rsidRPr="00601C60" w:rsidRDefault="00667EBC" w:rsidP="00601C60">
            <w:pPr>
              <w:spacing w:after="0"/>
              <w:jc w:val="right"/>
              <w:rPr>
                <w:rFonts w:asciiTheme="minorHAnsi" w:eastAsia="Times New Roman" w:hAnsiTheme="minorHAnsi" w:cstheme="minorHAnsi"/>
                <w:color w:val="auto"/>
                <w:sz w:val="16"/>
                <w:szCs w:val="16"/>
                <w:lang w:eastAsia="en-AU"/>
              </w:rPr>
            </w:pPr>
            <w:r w:rsidRPr="00601C60">
              <w:rPr>
                <w:rFonts w:asciiTheme="minorHAnsi" w:eastAsia="Times New Roman" w:hAnsiTheme="minorHAnsi" w:cstheme="minorHAnsi"/>
                <w:color w:val="auto"/>
                <w:sz w:val="16"/>
                <w:szCs w:val="16"/>
                <w:lang w:eastAsia="en-AU"/>
              </w:rPr>
              <w:t>(0.0</w:t>
            </w:r>
            <w:r w:rsidR="00392703" w:rsidRPr="00601C60">
              <w:rPr>
                <w:rFonts w:asciiTheme="minorHAnsi" w:eastAsia="Times New Roman" w:hAnsiTheme="minorHAnsi" w:cstheme="minorHAnsi"/>
                <w:color w:val="auto"/>
                <w:sz w:val="16"/>
                <w:szCs w:val="16"/>
                <w:lang w:eastAsia="en-AU"/>
              </w:rPr>
              <w:t>03</w:t>
            </w:r>
            <w:r w:rsidRPr="00601C60">
              <w:rPr>
                <w:rFonts w:asciiTheme="minorHAnsi" w:eastAsia="Times New Roman" w:hAnsiTheme="minorHAnsi" w:cstheme="minorHAnsi"/>
                <w:color w:val="auto"/>
                <w:sz w:val="16"/>
                <w:szCs w:val="16"/>
                <w:lang w:eastAsia="en-AU"/>
              </w:rPr>
              <w:t>)</w:t>
            </w:r>
          </w:p>
        </w:tc>
      </w:tr>
      <w:tr w:rsidR="00667EBC" w:rsidRPr="0024185C" w14:paraId="0E33BB9C" w14:textId="77777777" w:rsidTr="000B40A3">
        <w:trPr>
          <w:gridAfter w:val="1"/>
          <w:wAfter w:w="108" w:type="dxa"/>
          <w:trHeight w:val="316"/>
          <w:jc w:val="center"/>
        </w:trPr>
        <w:tc>
          <w:tcPr>
            <w:tcW w:w="3748" w:type="dxa"/>
            <w:gridSpan w:val="2"/>
            <w:shd w:val="clear" w:color="auto" w:fill="D5E2F1"/>
            <w:noWrap/>
            <w:vAlign w:val="center"/>
            <w:hideMark/>
          </w:tcPr>
          <w:p w14:paraId="5EB33129" w14:textId="6069A77B" w:rsidR="00667EBC" w:rsidRPr="00601C60" w:rsidRDefault="004F245B" w:rsidP="00C642AE">
            <w:pPr>
              <w:pStyle w:val="TableColumnHeadingBase"/>
              <w:rPr>
                <w:lang w:eastAsia="en-AU"/>
              </w:rPr>
            </w:pPr>
            <w:r w:rsidRPr="00601C60">
              <w:rPr>
                <w:lang w:eastAsia="en-AU"/>
              </w:rPr>
              <w:t>Industry level markup</w:t>
            </w:r>
            <w:r w:rsidR="00667EBC" w:rsidRPr="00601C60">
              <w:rPr>
                <w:lang w:eastAsia="en-AU"/>
              </w:rPr>
              <w:t xml:space="preserve"> x </w:t>
            </w:r>
            <w:r w:rsidR="00C642AE">
              <w:rPr>
                <w:lang w:eastAsia="en-AU"/>
              </w:rPr>
              <w:t>d</w:t>
            </w:r>
            <w:r w:rsidR="00667EBC" w:rsidRPr="00601C60">
              <w:rPr>
                <w:lang w:eastAsia="en-AU"/>
              </w:rPr>
              <w:t xml:space="preserve">istance </w:t>
            </w:r>
            <w:r w:rsidR="00C642AE">
              <w:rPr>
                <w:lang w:eastAsia="en-AU"/>
              </w:rPr>
              <w:t>f</w:t>
            </w:r>
            <w:r w:rsidR="00667EBC" w:rsidRPr="00601C60">
              <w:rPr>
                <w:lang w:eastAsia="en-AU"/>
              </w:rPr>
              <w:t xml:space="preserve">rom </w:t>
            </w:r>
            <w:r w:rsidR="00FE1DEF">
              <w:rPr>
                <w:lang w:eastAsia="en-AU"/>
              </w:rPr>
              <w:t>f</w:t>
            </w:r>
            <w:r w:rsidR="00667EBC" w:rsidRPr="00601C60">
              <w:rPr>
                <w:lang w:eastAsia="en-AU"/>
              </w:rPr>
              <w:t>rontier</w:t>
            </w:r>
          </w:p>
        </w:tc>
        <w:tc>
          <w:tcPr>
            <w:tcW w:w="2514" w:type="dxa"/>
            <w:gridSpan w:val="2"/>
            <w:shd w:val="clear" w:color="auto" w:fill="D5E2F1"/>
            <w:noWrap/>
            <w:vAlign w:val="bottom"/>
            <w:hideMark/>
          </w:tcPr>
          <w:p w14:paraId="1B71E86F" w14:textId="7D353EEF" w:rsidR="00667EBC" w:rsidRPr="00601C60" w:rsidRDefault="00AA5B97" w:rsidP="00601C60">
            <w:pPr>
              <w:spacing w:after="0"/>
              <w:jc w:val="right"/>
              <w:rPr>
                <w:rFonts w:asciiTheme="minorHAnsi" w:eastAsia="Times New Roman" w:hAnsiTheme="minorHAnsi" w:cstheme="minorHAnsi"/>
                <w:color w:val="000000"/>
                <w:sz w:val="16"/>
                <w:szCs w:val="16"/>
                <w:lang w:eastAsia="en-AU"/>
              </w:rPr>
            </w:pPr>
            <w:r>
              <w:rPr>
                <w:rFonts w:asciiTheme="minorHAnsi" w:eastAsia="Times New Roman" w:hAnsiTheme="minorHAnsi" w:cstheme="minorHAnsi"/>
                <w:color w:val="000000"/>
                <w:sz w:val="16"/>
                <w:szCs w:val="16"/>
                <w:lang w:eastAsia="en-AU"/>
              </w:rPr>
              <w:noBreakHyphen/>
            </w:r>
            <w:r w:rsidR="00667EBC" w:rsidRPr="00601C60">
              <w:rPr>
                <w:rFonts w:asciiTheme="minorHAnsi" w:eastAsia="Times New Roman" w:hAnsiTheme="minorHAnsi" w:cstheme="minorHAnsi"/>
                <w:color w:val="000000"/>
                <w:sz w:val="16"/>
                <w:szCs w:val="16"/>
                <w:lang w:eastAsia="en-AU"/>
              </w:rPr>
              <w:t>0.</w:t>
            </w:r>
            <w:r w:rsidR="00FB0004" w:rsidRPr="00601C60">
              <w:rPr>
                <w:rFonts w:asciiTheme="minorHAnsi" w:eastAsia="Times New Roman" w:hAnsiTheme="minorHAnsi" w:cstheme="minorHAnsi"/>
                <w:color w:val="000000"/>
                <w:sz w:val="16"/>
                <w:szCs w:val="16"/>
                <w:lang w:eastAsia="en-AU"/>
              </w:rPr>
              <w:t>310</w:t>
            </w:r>
            <w:r w:rsidR="00667EBC" w:rsidRPr="00601C60">
              <w:rPr>
                <w:rFonts w:asciiTheme="minorHAnsi" w:eastAsia="Times New Roman" w:hAnsiTheme="minorHAnsi" w:cstheme="minorHAnsi"/>
                <w:color w:val="000000"/>
                <w:sz w:val="16"/>
                <w:szCs w:val="16"/>
                <w:lang w:eastAsia="en-AU"/>
              </w:rPr>
              <w:t>***</w:t>
            </w:r>
          </w:p>
        </w:tc>
        <w:tc>
          <w:tcPr>
            <w:tcW w:w="2909" w:type="dxa"/>
            <w:gridSpan w:val="2"/>
            <w:shd w:val="clear" w:color="auto" w:fill="D5E2F1"/>
            <w:noWrap/>
            <w:vAlign w:val="center"/>
            <w:hideMark/>
          </w:tcPr>
          <w:p w14:paraId="7BEEAB6F" w14:textId="1ADC33DC" w:rsidR="00667EBC" w:rsidRPr="00601C60" w:rsidRDefault="00AA5B97" w:rsidP="00601C60">
            <w:pPr>
              <w:spacing w:after="0"/>
              <w:jc w:val="right"/>
              <w:rPr>
                <w:rFonts w:asciiTheme="minorHAnsi" w:eastAsia="Times New Roman" w:hAnsiTheme="minorHAnsi" w:cstheme="minorHAnsi"/>
                <w:color w:val="000000"/>
                <w:sz w:val="16"/>
                <w:szCs w:val="16"/>
                <w:lang w:eastAsia="en-AU"/>
              </w:rPr>
            </w:pPr>
            <w:r>
              <w:rPr>
                <w:rFonts w:asciiTheme="minorHAnsi" w:eastAsia="Times New Roman" w:hAnsiTheme="minorHAnsi" w:cstheme="minorHAnsi"/>
                <w:color w:val="000000"/>
                <w:sz w:val="16"/>
                <w:szCs w:val="16"/>
                <w:lang w:eastAsia="en-AU"/>
              </w:rPr>
              <w:noBreakHyphen/>
            </w:r>
            <w:r w:rsidR="00667EBC" w:rsidRPr="00601C60">
              <w:rPr>
                <w:rFonts w:asciiTheme="minorHAnsi" w:eastAsia="Times New Roman" w:hAnsiTheme="minorHAnsi" w:cstheme="minorHAnsi"/>
                <w:color w:val="000000"/>
                <w:sz w:val="16"/>
                <w:szCs w:val="16"/>
                <w:lang w:eastAsia="en-AU"/>
              </w:rPr>
              <w:t>0.</w:t>
            </w:r>
            <w:r w:rsidR="00FB0004" w:rsidRPr="00601C60">
              <w:rPr>
                <w:rFonts w:asciiTheme="minorHAnsi" w:eastAsia="Times New Roman" w:hAnsiTheme="minorHAnsi" w:cstheme="minorHAnsi"/>
                <w:color w:val="000000"/>
                <w:sz w:val="16"/>
                <w:szCs w:val="16"/>
                <w:lang w:eastAsia="en-AU"/>
              </w:rPr>
              <w:t>116</w:t>
            </w:r>
            <w:r w:rsidR="00667EBC" w:rsidRPr="00601C60">
              <w:rPr>
                <w:rFonts w:asciiTheme="minorHAnsi" w:eastAsia="Times New Roman" w:hAnsiTheme="minorHAnsi" w:cstheme="minorHAnsi"/>
                <w:color w:val="000000"/>
                <w:sz w:val="16"/>
                <w:szCs w:val="16"/>
                <w:lang w:eastAsia="en-AU"/>
              </w:rPr>
              <w:t>*</w:t>
            </w:r>
            <w:r w:rsidR="00FC1887">
              <w:rPr>
                <w:rFonts w:asciiTheme="minorHAnsi" w:eastAsia="Times New Roman" w:hAnsiTheme="minorHAnsi" w:cstheme="minorHAnsi"/>
                <w:color w:val="000000"/>
                <w:sz w:val="16"/>
                <w:szCs w:val="16"/>
                <w:lang w:eastAsia="en-AU"/>
              </w:rPr>
              <w:t>**</w:t>
            </w:r>
          </w:p>
        </w:tc>
      </w:tr>
      <w:tr w:rsidR="00667EBC" w:rsidRPr="0024185C" w14:paraId="1C35E882" w14:textId="77777777" w:rsidTr="000B40A3">
        <w:trPr>
          <w:gridAfter w:val="1"/>
          <w:wAfter w:w="108" w:type="dxa"/>
          <w:trHeight w:val="316"/>
          <w:jc w:val="center"/>
        </w:trPr>
        <w:tc>
          <w:tcPr>
            <w:tcW w:w="3748" w:type="dxa"/>
            <w:gridSpan w:val="2"/>
            <w:shd w:val="clear" w:color="auto" w:fill="auto"/>
            <w:noWrap/>
            <w:vAlign w:val="center"/>
            <w:hideMark/>
          </w:tcPr>
          <w:p w14:paraId="71B113EE" w14:textId="77777777" w:rsidR="00667EBC" w:rsidRPr="00601C60" w:rsidRDefault="00667EBC" w:rsidP="00C642AE">
            <w:pPr>
              <w:pStyle w:val="TableColumnHeadingBase"/>
              <w:rPr>
                <w:lang w:eastAsia="en-AU"/>
              </w:rPr>
            </w:pPr>
          </w:p>
        </w:tc>
        <w:tc>
          <w:tcPr>
            <w:tcW w:w="2514" w:type="dxa"/>
            <w:gridSpan w:val="2"/>
            <w:shd w:val="clear" w:color="auto" w:fill="auto"/>
            <w:noWrap/>
            <w:vAlign w:val="bottom"/>
            <w:hideMark/>
          </w:tcPr>
          <w:p w14:paraId="31567D82" w14:textId="6C0C6B9B"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(0.0</w:t>
            </w:r>
            <w:r w:rsidR="00FB0004" w:rsidRPr="00601C60">
              <w:rPr>
                <w:rFonts w:asciiTheme="minorHAnsi" w:eastAsia="Times New Roman" w:hAnsiTheme="minorHAnsi" w:cstheme="minorHAnsi"/>
                <w:color w:val="000000"/>
                <w:sz w:val="16"/>
                <w:szCs w:val="16"/>
                <w:lang w:eastAsia="en-AU"/>
              </w:rPr>
              <w:t>57</w:t>
            </w:r>
            <w:r w:rsidRPr="00601C60">
              <w:rPr>
                <w:rFonts w:asciiTheme="minorHAnsi" w:eastAsia="Times New Roman" w:hAnsiTheme="minorHAnsi" w:cstheme="minorHAnsi"/>
                <w:color w:val="000000"/>
                <w:sz w:val="16"/>
                <w:szCs w:val="16"/>
                <w:lang w:eastAsia="en-AU"/>
              </w:rPr>
              <w:t>)</w:t>
            </w:r>
          </w:p>
        </w:tc>
        <w:tc>
          <w:tcPr>
            <w:tcW w:w="2909" w:type="dxa"/>
            <w:gridSpan w:val="2"/>
            <w:shd w:val="clear" w:color="auto" w:fill="auto"/>
            <w:noWrap/>
            <w:vAlign w:val="center"/>
            <w:hideMark/>
          </w:tcPr>
          <w:p w14:paraId="5E19BB5E" w14:textId="63D2A594"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(0.0</w:t>
            </w:r>
            <w:r w:rsidR="00FB0004" w:rsidRPr="00601C60">
              <w:rPr>
                <w:rFonts w:asciiTheme="minorHAnsi" w:eastAsia="Times New Roman" w:hAnsiTheme="minorHAnsi" w:cstheme="minorHAnsi"/>
                <w:color w:val="000000"/>
                <w:sz w:val="16"/>
                <w:szCs w:val="16"/>
                <w:lang w:eastAsia="en-AU"/>
              </w:rPr>
              <w:t>1</w:t>
            </w:r>
            <w:r w:rsidR="00392703" w:rsidRPr="00601C60">
              <w:rPr>
                <w:rFonts w:asciiTheme="minorHAnsi" w:eastAsia="Times New Roman" w:hAnsiTheme="minorHAnsi" w:cstheme="minorHAnsi"/>
                <w:color w:val="000000"/>
                <w:sz w:val="16"/>
                <w:szCs w:val="16"/>
                <w:lang w:eastAsia="en-AU"/>
              </w:rPr>
              <w:t>9</w:t>
            </w:r>
            <w:r w:rsidRPr="00601C60">
              <w:rPr>
                <w:rFonts w:asciiTheme="minorHAnsi" w:eastAsia="Times New Roman" w:hAnsiTheme="minorHAnsi" w:cstheme="minorHAnsi"/>
                <w:color w:val="000000"/>
                <w:sz w:val="16"/>
                <w:szCs w:val="16"/>
                <w:lang w:eastAsia="en-AU"/>
              </w:rPr>
              <w:t>)</w:t>
            </w:r>
          </w:p>
        </w:tc>
      </w:tr>
      <w:tr w:rsidR="00667EBC" w:rsidRPr="0024185C" w14:paraId="34F1FE1D" w14:textId="77777777" w:rsidTr="000B40A3">
        <w:trPr>
          <w:gridAfter w:val="1"/>
          <w:wAfter w:w="108" w:type="dxa"/>
          <w:trHeight w:val="316"/>
          <w:jc w:val="center"/>
        </w:trPr>
        <w:tc>
          <w:tcPr>
            <w:tcW w:w="3748" w:type="dxa"/>
            <w:gridSpan w:val="2"/>
            <w:shd w:val="clear" w:color="auto" w:fill="D5E2F1"/>
            <w:noWrap/>
            <w:vAlign w:val="center"/>
            <w:hideMark/>
          </w:tcPr>
          <w:p w14:paraId="5B257128" w14:textId="7B6BD903" w:rsidR="00667EBC" w:rsidRPr="00601C60" w:rsidRDefault="00667EBC" w:rsidP="00C642AE">
            <w:pPr>
              <w:pStyle w:val="TableColumnHeadingBase"/>
              <w:rPr>
                <w:lang w:eastAsia="en-AU"/>
              </w:rPr>
            </w:pPr>
            <w:r w:rsidRPr="00601C60">
              <w:rPr>
                <w:lang w:eastAsia="en-AU"/>
              </w:rPr>
              <w:t>Industry</w:t>
            </w:r>
            <w:r w:rsidR="00AA5B97">
              <w:rPr>
                <w:lang w:eastAsia="en-AU"/>
              </w:rPr>
              <w:noBreakHyphen/>
            </w:r>
            <w:r w:rsidR="00C642AE">
              <w:rPr>
                <w:lang w:eastAsia="en-AU"/>
              </w:rPr>
              <w:t>y</w:t>
            </w:r>
            <w:r w:rsidRPr="00601C60">
              <w:rPr>
                <w:lang w:eastAsia="en-AU"/>
              </w:rPr>
              <w:t xml:space="preserve">ear </w:t>
            </w:r>
            <w:r w:rsidR="00C642AE">
              <w:rPr>
                <w:lang w:eastAsia="en-AU"/>
              </w:rPr>
              <w:t>f</w:t>
            </w:r>
            <w:r w:rsidRPr="00601C60">
              <w:rPr>
                <w:lang w:eastAsia="en-AU"/>
              </w:rPr>
              <w:t xml:space="preserve">ixed </w:t>
            </w:r>
            <w:r w:rsidR="00C642AE">
              <w:rPr>
                <w:lang w:eastAsia="en-AU"/>
              </w:rPr>
              <w:t>e</w:t>
            </w:r>
            <w:r w:rsidRPr="00601C60">
              <w:rPr>
                <w:lang w:eastAsia="en-AU"/>
              </w:rPr>
              <w:t>ffects</w:t>
            </w:r>
          </w:p>
        </w:tc>
        <w:tc>
          <w:tcPr>
            <w:tcW w:w="2514" w:type="dxa"/>
            <w:gridSpan w:val="2"/>
            <w:shd w:val="clear" w:color="auto" w:fill="D5E2F1"/>
            <w:noWrap/>
            <w:vAlign w:val="center"/>
            <w:hideMark/>
          </w:tcPr>
          <w:p w14:paraId="4672F2A2" w14:textId="77777777"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Yes</w:t>
            </w:r>
          </w:p>
        </w:tc>
        <w:tc>
          <w:tcPr>
            <w:tcW w:w="2909" w:type="dxa"/>
            <w:gridSpan w:val="2"/>
            <w:shd w:val="clear" w:color="auto" w:fill="D5E2F1"/>
            <w:noWrap/>
            <w:vAlign w:val="center"/>
            <w:hideMark/>
          </w:tcPr>
          <w:p w14:paraId="42D3084B" w14:textId="77777777"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Yes</w:t>
            </w:r>
          </w:p>
        </w:tc>
      </w:tr>
      <w:tr w:rsidR="00667EBC" w:rsidRPr="0024185C" w14:paraId="5F1C79DC" w14:textId="77777777" w:rsidTr="000B40A3">
        <w:trPr>
          <w:gridAfter w:val="1"/>
          <w:wAfter w:w="108" w:type="dxa"/>
          <w:trHeight w:val="316"/>
          <w:jc w:val="center"/>
        </w:trPr>
        <w:tc>
          <w:tcPr>
            <w:tcW w:w="3748" w:type="dxa"/>
            <w:gridSpan w:val="2"/>
            <w:shd w:val="clear" w:color="auto" w:fill="auto"/>
            <w:noWrap/>
            <w:vAlign w:val="center"/>
            <w:hideMark/>
          </w:tcPr>
          <w:p w14:paraId="42AE6258" w14:textId="6D7D9769" w:rsidR="00667EBC" w:rsidRPr="00601C60" w:rsidRDefault="00667EBC" w:rsidP="00C642AE">
            <w:pPr>
              <w:pStyle w:val="TableColumnHeadingBase"/>
              <w:rPr>
                <w:lang w:eastAsia="en-AU"/>
              </w:rPr>
            </w:pPr>
            <w:r w:rsidRPr="00601C60">
              <w:rPr>
                <w:lang w:eastAsia="en-AU"/>
              </w:rPr>
              <w:t xml:space="preserve">Firm </w:t>
            </w:r>
            <w:r w:rsidR="00C642AE">
              <w:rPr>
                <w:lang w:eastAsia="en-AU"/>
              </w:rPr>
              <w:t>a</w:t>
            </w:r>
            <w:r w:rsidRPr="00601C60">
              <w:rPr>
                <w:lang w:eastAsia="en-AU"/>
              </w:rPr>
              <w:t xml:space="preserve">ge and </w:t>
            </w:r>
            <w:r w:rsidR="00C642AE">
              <w:rPr>
                <w:lang w:eastAsia="en-AU"/>
              </w:rPr>
              <w:t>s</w:t>
            </w:r>
            <w:r w:rsidRPr="00601C60">
              <w:rPr>
                <w:lang w:eastAsia="en-AU"/>
              </w:rPr>
              <w:t xml:space="preserve">ize </w:t>
            </w:r>
            <w:r w:rsidR="00C642AE">
              <w:rPr>
                <w:lang w:eastAsia="en-AU"/>
              </w:rPr>
              <w:t>c</w:t>
            </w:r>
            <w:r w:rsidRPr="00601C60">
              <w:rPr>
                <w:lang w:eastAsia="en-AU"/>
              </w:rPr>
              <w:t>ontrols</w:t>
            </w:r>
          </w:p>
        </w:tc>
        <w:tc>
          <w:tcPr>
            <w:tcW w:w="2514" w:type="dxa"/>
            <w:gridSpan w:val="2"/>
            <w:shd w:val="clear" w:color="auto" w:fill="auto"/>
            <w:noWrap/>
            <w:vAlign w:val="center"/>
            <w:hideMark/>
          </w:tcPr>
          <w:p w14:paraId="36FFB292" w14:textId="77777777"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Yes</w:t>
            </w:r>
          </w:p>
        </w:tc>
        <w:tc>
          <w:tcPr>
            <w:tcW w:w="2909" w:type="dxa"/>
            <w:gridSpan w:val="2"/>
            <w:shd w:val="clear" w:color="auto" w:fill="auto"/>
            <w:noWrap/>
            <w:vAlign w:val="center"/>
            <w:hideMark/>
          </w:tcPr>
          <w:p w14:paraId="0A725466" w14:textId="77777777"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Yes</w:t>
            </w:r>
          </w:p>
        </w:tc>
      </w:tr>
      <w:tr w:rsidR="00667EBC" w:rsidRPr="0024185C" w14:paraId="056515E4" w14:textId="77777777" w:rsidTr="000B40A3">
        <w:trPr>
          <w:gridAfter w:val="1"/>
          <w:wAfter w:w="108" w:type="dxa"/>
          <w:trHeight w:val="316"/>
          <w:jc w:val="center"/>
        </w:trPr>
        <w:tc>
          <w:tcPr>
            <w:tcW w:w="3748" w:type="dxa"/>
            <w:gridSpan w:val="2"/>
            <w:shd w:val="clear" w:color="auto" w:fill="D5E2F1"/>
            <w:noWrap/>
            <w:vAlign w:val="center"/>
            <w:hideMark/>
          </w:tcPr>
          <w:p w14:paraId="627BDE96" w14:textId="5A17CC33" w:rsidR="00667EBC" w:rsidRPr="00601C60" w:rsidRDefault="00667EBC" w:rsidP="00C642AE">
            <w:pPr>
              <w:pStyle w:val="TableColumnHeadingBase"/>
              <w:rPr>
                <w:lang w:eastAsia="en-AU"/>
              </w:rPr>
            </w:pPr>
            <w:r w:rsidRPr="00601C60">
              <w:rPr>
                <w:lang w:eastAsia="en-AU"/>
              </w:rPr>
              <w:t>R</w:t>
            </w:r>
            <w:r w:rsidR="00AA5B97">
              <w:rPr>
                <w:lang w:eastAsia="en-AU"/>
              </w:rPr>
              <w:noBreakHyphen/>
            </w:r>
            <w:r w:rsidRPr="00601C60">
              <w:rPr>
                <w:lang w:eastAsia="en-AU"/>
              </w:rPr>
              <w:t>squared</w:t>
            </w:r>
          </w:p>
        </w:tc>
        <w:tc>
          <w:tcPr>
            <w:tcW w:w="2514" w:type="dxa"/>
            <w:gridSpan w:val="2"/>
            <w:shd w:val="clear" w:color="auto" w:fill="D5E2F1"/>
            <w:noWrap/>
            <w:vAlign w:val="center"/>
            <w:hideMark/>
          </w:tcPr>
          <w:p w14:paraId="45170F63" w14:textId="37494534" w:rsidR="00667EBC" w:rsidRPr="00601C60" w:rsidRDefault="00FB0004"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0.212</w:t>
            </w:r>
          </w:p>
        </w:tc>
        <w:tc>
          <w:tcPr>
            <w:tcW w:w="2909" w:type="dxa"/>
            <w:gridSpan w:val="2"/>
            <w:shd w:val="clear" w:color="auto" w:fill="D5E2F1"/>
            <w:noWrap/>
            <w:vAlign w:val="center"/>
            <w:hideMark/>
          </w:tcPr>
          <w:p w14:paraId="20B61C36" w14:textId="6E2C3704" w:rsidR="00667EBC" w:rsidRPr="00601C60" w:rsidRDefault="00667EBC"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imes New Roman" w:hAnsiTheme="minorHAnsi" w:cstheme="minorHAnsi"/>
                <w:color w:val="000000"/>
                <w:sz w:val="16"/>
                <w:szCs w:val="16"/>
                <w:lang w:eastAsia="en-AU"/>
              </w:rPr>
              <w:t>0.2</w:t>
            </w:r>
            <w:r w:rsidR="00FB0004" w:rsidRPr="00601C60">
              <w:rPr>
                <w:rFonts w:asciiTheme="minorHAnsi" w:eastAsia="Times New Roman" w:hAnsiTheme="minorHAnsi" w:cstheme="minorHAnsi"/>
                <w:color w:val="000000"/>
                <w:sz w:val="16"/>
                <w:szCs w:val="16"/>
                <w:lang w:eastAsia="en-AU"/>
              </w:rPr>
              <w:t>12</w:t>
            </w:r>
          </w:p>
        </w:tc>
      </w:tr>
      <w:tr w:rsidR="00667EBC" w:rsidRPr="0024185C" w14:paraId="7A667605" w14:textId="77777777" w:rsidTr="000B40A3">
        <w:trPr>
          <w:gridAfter w:val="1"/>
          <w:wAfter w:w="108" w:type="dxa"/>
          <w:trHeight w:val="316"/>
          <w:jc w:val="center"/>
        </w:trPr>
        <w:tc>
          <w:tcPr>
            <w:tcW w:w="3748" w:type="dxa"/>
            <w:gridSpan w:val="2"/>
            <w:tcBorders>
              <w:bottom w:val="single" w:sz="4" w:space="0" w:color="auto"/>
            </w:tcBorders>
            <w:shd w:val="clear" w:color="auto" w:fill="auto"/>
            <w:noWrap/>
            <w:vAlign w:val="center"/>
            <w:hideMark/>
          </w:tcPr>
          <w:p w14:paraId="1205903E" w14:textId="77777777" w:rsidR="00667EBC" w:rsidRPr="00601C60" w:rsidRDefault="00667EBC" w:rsidP="00C642AE">
            <w:pPr>
              <w:pStyle w:val="TableColumnHeadingBase"/>
              <w:rPr>
                <w:lang w:eastAsia="en-AU"/>
              </w:rPr>
            </w:pPr>
            <w:r w:rsidRPr="00601C60">
              <w:rPr>
                <w:lang w:eastAsia="en-AU"/>
              </w:rPr>
              <w:t>Observations</w:t>
            </w:r>
          </w:p>
        </w:tc>
        <w:tc>
          <w:tcPr>
            <w:tcW w:w="2514" w:type="dxa"/>
            <w:gridSpan w:val="2"/>
            <w:tcBorders>
              <w:bottom w:val="single" w:sz="4" w:space="0" w:color="auto"/>
            </w:tcBorders>
            <w:shd w:val="clear" w:color="auto" w:fill="auto"/>
            <w:noWrap/>
            <w:hideMark/>
          </w:tcPr>
          <w:p w14:paraId="7A7B47C7" w14:textId="449DF0C0" w:rsidR="00667EBC" w:rsidRPr="00601C60" w:rsidRDefault="00FB0004"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heme="minorEastAsia" w:hAnsiTheme="minorHAnsi" w:cstheme="minorHAnsi"/>
                <w:sz w:val="16"/>
                <w:szCs w:val="16"/>
              </w:rPr>
              <w:t>1,270,768</w:t>
            </w:r>
          </w:p>
        </w:tc>
        <w:tc>
          <w:tcPr>
            <w:tcW w:w="2909" w:type="dxa"/>
            <w:gridSpan w:val="2"/>
            <w:tcBorders>
              <w:bottom w:val="single" w:sz="4" w:space="0" w:color="auto"/>
            </w:tcBorders>
            <w:shd w:val="clear" w:color="auto" w:fill="auto"/>
            <w:noWrap/>
            <w:vAlign w:val="center"/>
            <w:hideMark/>
          </w:tcPr>
          <w:p w14:paraId="667D9267" w14:textId="3A075A90" w:rsidR="00667EBC" w:rsidRPr="00601C60" w:rsidRDefault="00FB0004" w:rsidP="00601C60">
            <w:pPr>
              <w:spacing w:after="0"/>
              <w:jc w:val="right"/>
              <w:rPr>
                <w:rFonts w:asciiTheme="minorHAnsi" w:eastAsia="Times New Roman" w:hAnsiTheme="minorHAnsi" w:cstheme="minorHAnsi"/>
                <w:color w:val="000000"/>
                <w:sz w:val="16"/>
                <w:szCs w:val="16"/>
                <w:lang w:eastAsia="en-AU"/>
              </w:rPr>
            </w:pPr>
            <w:r w:rsidRPr="00601C60">
              <w:rPr>
                <w:rFonts w:asciiTheme="minorHAnsi" w:eastAsiaTheme="minorEastAsia" w:hAnsiTheme="minorHAnsi" w:cstheme="minorHAnsi"/>
                <w:sz w:val="16"/>
                <w:szCs w:val="16"/>
              </w:rPr>
              <w:t>1,270,768</w:t>
            </w:r>
          </w:p>
        </w:tc>
      </w:tr>
      <w:tr w:rsidR="00B457F0" w:rsidRPr="0024185C" w14:paraId="100475EC" w14:textId="77777777" w:rsidTr="000B40A3">
        <w:trPr>
          <w:gridBefore w:val="1"/>
          <w:wBefore w:w="108" w:type="dxa"/>
          <w:trHeight w:val="509"/>
          <w:jc w:val="center"/>
        </w:trPr>
        <w:tc>
          <w:tcPr>
            <w:tcW w:w="9171" w:type="dxa"/>
            <w:gridSpan w:val="6"/>
            <w:vMerge w:val="restart"/>
            <w:shd w:val="clear" w:color="auto" w:fill="auto"/>
            <w:hideMark/>
          </w:tcPr>
          <w:p w14:paraId="42B40A85" w14:textId="1FD971CA" w:rsidR="00B457F0" w:rsidRPr="005E59F7" w:rsidRDefault="00B457F0" w:rsidP="002D4F75">
            <w:pPr>
              <w:spacing w:after="0"/>
            </w:pPr>
            <w:r w:rsidRPr="003D0E71">
              <w:rPr>
                <w:rFonts w:eastAsia="Times New Roman" w:cs="Times New Roman"/>
                <w:color w:val="000000"/>
                <w:sz w:val="16"/>
                <w:szCs w:val="16"/>
                <w:lang w:eastAsia="en-AU"/>
              </w:rPr>
              <w:t>Notes: Table 5 extends the baseline model by interacting industry</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level mark</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ups with the distance from frontier term. Column 1 runs this model for unweighted averages of the firm mark</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ups. Column 2 runs this model for sales</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weighted averages of the firm mark</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 xml:space="preserve">ups. </w:t>
            </w:r>
            <w:r w:rsidR="00392703" w:rsidRPr="003D0E71">
              <w:rPr>
                <w:rFonts w:eastAsia="Times New Roman" w:cs="Times New Roman"/>
                <w:color w:val="000000"/>
                <w:sz w:val="16"/>
                <w:szCs w:val="16"/>
                <w:lang w:eastAsia="en-AU"/>
              </w:rPr>
              <w:t>The mark</w:t>
            </w:r>
            <w:r w:rsidR="00AA5B97">
              <w:rPr>
                <w:rFonts w:eastAsia="Times New Roman" w:cs="Times New Roman"/>
                <w:color w:val="000000"/>
                <w:sz w:val="16"/>
                <w:szCs w:val="16"/>
                <w:lang w:eastAsia="en-AU"/>
              </w:rPr>
              <w:noBreakHyphen/>
            </w:r>
            <w:r w:rsidR="00392703" w:rsidRPr="003D0E71">
              <w:rPr>
                <w:rFonts w:eastAsia="Times New Roman" w:cs="Times New Roman"/>
                <w:color w:val="000000"/>
                <w:sz w:val="16"/>
                <w:szCs w:val="16"/>
                <w:lang w:eastAsia="en-AU"/>
              </w:rPr>
              <w:t>up variables are demeaned for ease of interpretation</w:t>
            </w:r>
            <w:r w:rsidRPr="003D0E71">
              <w:rPr>
                <w:rFonts w:eastAsia="Times New Roman" w:cs="Times New Roman"/>
                <w:color w:val="000000"/>
                <w:sz w:val="16"/>
                <w:szCs w:val="16"/>
                <w:lang w:eastAsia="en-AU"/>
              </w:rPr>
              <w:t xml:space="preserve">. The coefficient on the distance from frontier term can now be interpreted as the convergence speed for firms in an industry with the average </w:t>
            </w:r>
            <w:r w:rsidR="00392703" w:rsidRPr="003D0E71">
              <w:rPr>
                <w:rFonts w:eastAsia="Times New Roman" w:cs="Times New Roman"/>
                <w:color w:val="000000"/>
                <w:sz w:val="16"/>
                <w:szCs w:val="16"/>
                <w:lang w:eastAsia="en-AU"/>
              </w:rPr>
              <w:t>markup</w:t>
            </w:r>
            <w:r w:rsidRPr="003D0E71">
              <w:rPr>
                <w:rFonts w:eastAsia="Times New Roman" w:cs="Times New Roman"/>
                <w:color w:val="000000"/>
                <w:sz w:val="16"/>
                <w:szCs w:val="16"/>
                <w:lang w:eastAsia="en-AU"/>
              </w:rPr>
              <w:t>. The interaction term can be interpreted as the additional convergence speed associated with a 1 percentage point increase in the firm entry rate. Standard errors are clustered at the industry</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level and are shown in brackets underneath each estimate. *</w:t>
            </w:r>
            <w:proofErr w:type="gramStart"/>
            <w:r w:rsidRPr="003D0E71">
              <w:rPr>
                <w:rFonts w:eastAsia="Times New Roman" w:cs="Times New Roman"/>
                <w:color w:val="000000"/>
                <w:sz w:val="16"/>
                <w:szCs w:val="16"/>
                <w:lang w:eastAsia="en-AU"/>
              </w:rPr>
              <w:t>significant</w:t>
            </w:r>
            <w:proofErr w:type="gramEnd"/>
            <w:r w:rsidRPr="003D0E71">
              <w:rPr>
                <w:rFonts w:eastAsia="Times New Roman" w:cs="Times New Roman"/>
                <w:color w:val="000000"/>
                <w:sz w:val="16"/>
                <w:szCs w:val="16"/>
                <w:lang w:eastAsia="en-AU"/>
              </w:rPr>
              <w:t xml:space="preserve"> at 10% level, ** significant at 5% level, *** significant at 1% level.</w:t>
            </w:r>
          </w:p>
        </w:tc>
      </w:tr>
      <w:tr w:rsidR="00B457F0" w:rsidRPr="0024185C" w14:paraId="48B25F1D" w14:textId="77777777" w:rsidTr="000B40A3">
        <w:trPr>
          <w:gridBefore w:val="1"/>
          <w:wBefore w:w="108" w:type="dxa"/>
          <w:trHeight w:val="509"/>
          <w:jc w:val="center"/>
        </w:trPr>
        <w:tc>
          <w:tcPr>
            <w:tcW w:w="9171" w:type="dxa"/>
            <w:gridSpan w:val="6"/>
            <w:vMerge/>
            <w:vAlign w:val="center"/>
            <w:hideMark/>
          </w:tcPr>
          <w:p w14:paraId="162C9DE7" w14:textId="77777777" w:rsidR="00B457F0" w:rsidRPr="0024185C" w:rsidRDefault="00B457F0" w:rsidP="00142DA6">
            <w:pPr>
              <w:spacing w:after="0"/>
              <w:rPr>
                <w:rFonts w:eastAsia="Times New Roman" w:cs="Times New Roman"/>
                <w:color w:val="000000"/>
                <w:sz w:val="18"/>
                <w:szCs w:val="18"/>
                <w:lang w:eastAsia="en-AU"/>
              </w:rPr>
            </w:pPr>
          </w:p>
        </w:tc>
      </w:tr>
      <w:tr w:rsidR="00B457F0" w:rsidRPr="0024185C" w14:paraId="2449264A" w14:textId="77777777" w:rsidTr="000B40A3">
        <w:trPr>
          <w:gridBefore w:val="1"/>
          <w:wBefore w:w="108" w:type="dxa"/>
          <w:trHeight w:val="509"/>
          <w:jc w:val="center"/>
        </w:trPr>
        <w:tc>
          <w:tcPr>
            <w:tcW w:w="9171" w:type="dxa"/>
            <w:gridSpan w:val="6"/>
            <w:vMerge/>
            <w:vAlign w:val="center"/>
            <w:hideMark/>
          </w:tcPr>
          <w:p w14:paraId="7DF7BE36" w14:textId="77777777" w:rsidR="00B457F0" w:rsidRPr="0024185C" w:rsidRDefault="00B457F0" w:rsidP="00142DA6">
            <w:pPr>
              <w:spacing w:after="0"/>
              <w:rPr>
                <w:rFonts w:eastAsia="Times New Roman" w:cs="Times New Roman"/>
                <w:color w:val="000000"/>
                <w:sz w:val="18"/>
                <w:szCs w:val="18"/>
                <w:lang w:eastAsia="en-AU"/>
              </w:rPr>
            </w:pPr>
          </w:p>
        </w:tc>
      </w:tr>
    </w:tbl>
    <w:p w14:paraId="2A839B9E" w14:textId="77777777" w:rsidR="00EB4989" w:rsidRDefault="00EB4989" w:rsidP="00C87EE9">
      <w:pPr>
        <w:pStyle w:val="Heading3"/>
      </w:pPr>
      <w:r>
        <w:t>5.3. Quantifying the effect of declining dynamism and productivity</w:t>
      </w:r>
    </w:p>
    <w:p w14:paraId="15F5D6C4" w14:textId="781941E4" w:rsidR="00EB4989" w:rsidRDefault="00EB4989" w:rsidP="00EB4989">
      <w:pPr>
        <w:jc w:val="both"/>
      </w:pPr>
      <w:r>
        <w:t>The previous section shows that in less dynamic</w:t>
      </w:r>
      <w:r w:rsidR="003B1C88">
        <w:t xml:space="preserve"> or</w:t>
      </w:r>
      <w:r>
        <w:t xml:space="preserve"> competitive industries firms appear to adopt new technologies and </w:t>
      </w:r>
      <w:r w:rsidR="003B1C88">
        <w:t>converge to the productivity</w:t>
      </w:r>
      <w:r>
        <w:t xml:space="preserve"> frontier more slowly. Moreover, we know that measures of competitive pressures and dynamism have declined. </w:t>
      </w:r>
      <w:proofErr w:type="gramStart"/>
      <w:r>
        <w:t>So</w:t>
      </w:r>
      <w:proofErr w:type="gramEnd"/>
      <w:r>
        <w:t xml:space="preserve"> the natural question is, how much of the slowdown in productivity convergence can be explained by declining dynamism and competition?</w:t>
      </w:r>
    </w:p>
    <w:p w14:paraId="133CD2EE" w14:textId="1D9EE285" w:rsidR="00EB4989" w:rsidRDefault="00EB4989" w:rsidP="00EB4989">
      <w:pPr>
        <w:jc w:val="both"/>
      </w:pPr>
      <w:r>
        <w:t xml:space="preserve">To consider this, we do a simple counterfactual. </w:t>
      </w:r>
      <w:r w:rsidR="003C07D3">
        <w:t>F</w:t>
      </w:r>
      <w:r>
        <w:t xml:space="preserve">or each firm we calculate the implied convergence rate </w:t>
      </w:r>
      <w:r w:rsidR="003C07D3">
        <w:t>based on the earlier models and</w:t>
      </w:r>
      <w:r>
        <w:t xml:space="preserve"> the observed mark</w:t>
      </w:r>
      <w:r w:rsidR="00AA5B97">
        <w:noBreakHyphen/>
      </w:r>
      <w:r>
        <w:t>ups, or dynamism rate</w:t>
      </w:r>
      <w:r w:rsidR="00EC73AC">
        <w:t>, as well as the rates implied by the model had mark</w:t>
      </w:r>
      <w:r w:rsidR="00AA5B97">
        <w:noBreakHyphen/>
      </w:r>
      <w:r w:rsidR="00EC73AC">
        <w:t>ups or dynamism remained at 2</w:t>
      </w:r>
      <w:r>
        <w:t>004 levels</w:t>
      </w:r>
      <w:r w:rsidR="00EC73AC">
        <w:t>. We can then compare these two estimates</w:t>
      </w:r>
      <w:r>
        <w:t>:</w:t>
      </w:r>
    </w:p>
    <w:p w14:paraId="1F74B101" w14:textId="77777777" w:rsidR="00EB4989" w:rsidRDefault="00026ED9" w:rsidP="00EB4989">
      <w:pPr>
        <w:jc w:val="center"/>
        <w:rPr>
          <w:rFonts w:eastAsiaTheme="minorEastAsia"/>
        </w:rPr>
      </w:pPr>
      <m:oMathPara>
        <m:oMath>
          <m:sSubSup>
            <m:sSubSupPr>
              <m:ctrlPr>
                <w:rPr>
                  <w:rFonts w:ascii="Cambria Math" w:hAnsi="Cambria Math"/>
                  <w:i/>
                </w:rPr>
              </m:ctrlPr>
            </m:sSubSupPr>
            <m:e>
              <m:r>
                <w:rPr>
                  <w:rFonts w:ascii="Cambria Math" w:hAnsi="Cambria Math"/>
                </w:rPr>
                <m:t>Convergence rate</m:t>
              </m:r>
            </m:e>
            <m:sub>
              <m:r>
                <w:rPr>
                  <w:rFonts w:ascii="Cambria Math" w:hAnsi="Cambria Math"/>
                </w:rPr>
                <m:t>i,t</m:t>
              </m:r>
            </m:sub>
            <m:sup>
              <m:r>
                <w:rPr>
                  <w:rFonts w:ascii="Cambria Math" w:hAnsi="Cambria Math"/>
                </w:rPr>
                <m:t>∆μ</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j,t</m:t>
              </m:r>
            </m:sub>
          </m:sSub>
        </m:oMath>
      </m:oMathPara>
    </w:p>
    <w:p w14:paraId="5AB74436" w14:textId="77777777" w:rsidR="00EB4989" w:rsidRDefault="00026ED9" w:rsidP="00EB4989">
      <w:pPr>
        <w:rPr>
          <w:rFonts w:eastAsiaTheme="minorEastAsia"/>
        </w:rPr>
      </w:pPr>
      <m:oMathPara>
        <m:oMath>
          <m:sSubSup>
            <m:sSubSupPr>
              <m:ctrlPr>
                <w:rPr>
                  <w:rFonts w:ascii="Cambria Math" w:hAnsi="Cambria Math"/>
                  <w:i/>
                </w:rPr>
              </m:ctrlPr>
            </m:sSubSupPr>
            <m:e>
              <m:r>
                <w:rPr>
                  <w:rFonts w:ascii="Cambria Math" w:hAnsi="Cambria Math"/>
                </w:rPr>
                <m:t>Convergence rate</m:t>
              </m:r>
            </m:e>
            <m:sub>
              <m:r>
                <w:rPr>
                  <w:rFonts w:ascii="Cambria Math" w:hAnsi="Cambria Math"/>
                </w:rPr>
                <m:t>i,t</m:t>
              </m:r>
            </m:sub>
            <m:sup>
              <m:r>
                <w:rPr>
                  <w:rFonts w:ascii="Cambria Math" w:hAnsi="Cambria Math"/>
                </w:rPr>
                <m:t>Cons μ</m:t>
              </m:r>
            </m:sup>
          </m:sSub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j,2004</m:t>
              </m:r>
            </m:sub>
          </m:sSub>
        </m:oMath>
      </m:oMathPara>
    </w:p>
    <w:p w14:paraId="43C0A515" w14:textId="1644811A" w:rsidR="00EB4989" w:rsidRDefault="00EB4989" w:rsidP="00EB4989">
      <w:pPr>
        <w:jc w:val="both"/>
        <w:rPr>
          <w:rFonts w:eastAsiaTheme="minorEastAsia"/>
        </w:rPr>
      </w:pPr>
      <w:r>
        <w:rPr>
          <w:rFonts w:eastAsiaTheme="minorEastAsia"/>
        </w:rPr>
        <w:t xml:space="preserve">The results of this exercise are shows in </w:t>
      </w:r>
      <w:r w:rsidR="00EC73AC">
        <w:rPr>
          <w:rFonts w:eastAsiaTheme="minorEastAsia"/>
        </w:rPr>
        <w:t>Figure</w:t>
      </w:r>
      <w:r>
        <w:rPr>
          <w:rFonts w:eastAsiaTheme="minorEastAsia"/>
        </w:rPr>
        <w:t xml:space="preserve"> 4. The decline in entry rates can account for around a 3</w:t>
      </w:r>
      <w:r w:rsidR="00A95463">
        <w:rPr>
          <w:rFonts w:eastAsiaTheme="minorEastAsia"/>
        </w:rPr>
        <w:t> </w:t>
      </w:r>
      <w:r>
        <w:rPr>
          <w:rFonts w:eastAsiaTheme="minorEastAsia"/>
        </w:rPr>
        <w:t>percentage point</w:t>
      </w:r>
      <w:r w:rsidR="00EC73AC">
        <w:rPr>
          <w:rFonts w:eastAsiaTheme="minorEastAsia"/>
        </w:rPr>
        <w:t>s</w:t>
      </w:r>
      <w:r>
        <w:rPr>
          <w:rFonts w:eastAsiaTheme="minorEastAsia"/>
        </w:rPr>
        <w:t xml:space="preserve"> of the slowdown in the convergence rates, or around ¾ of the slowdown, while the increase in mark</w:t>
      </w:r>
      <w:r w:rsidR="00AA5B97">
        <w:rPr>
          <w:rFonts w:eastAsiaTheme="minorEastAsia"/>
        </w:rPr>
        <w:noBreakHyphen/>
      </w:r>
      <w:r>
        <w:rPr>
          <w:rFonts w:eastAsiaTheme="minorEastAsia"/>
        </w:rPr>
        <w:t>ups can account for between 1¼</w:t>
      </w:r>
      <w:r w:rsidR="00AA5B97">
        <w:rPr>
          <w:rFonts w:eastAsiaTheme="minorEastAsia"/>
        </w:rPr>
        <w:noBreakHyphen/>
      </w:r>
      <w:r>
        <w:rPr>
          <w:rFonts w:eastAsiaTheme="minorEastAsia"/>
        </w:rPr>
        <w:t xml:space="preserve">2 percentage point slowdown in the rate of </w:t>
      </w:r>
      <w:r>
        <w:rPr>
          <w:rFonts w:eastAsiaTheme="minorEastAsia"/>
        </w:rPr>
        <w:lastRenderedPageBreak/>
        <w:t>convergence</w:t>
      </w:r>
      <w:r w:rsidR="00EC73AC">
        <w:rPr>
          <w:rFonts w:eastAsiaTheme="minorEastAsia"/>
        </w:rPr>
        <w:t>,</w:t>
      </w:r>
      <w:r>
        <w:rPr>
          <w:rFonts w:eastAsiaTheme="minorEastAsia"/>
        </w:rPr>
        <w:t xml:space="preserve"> or around ½</w:t>
      </w:r>
      <w:r w:rsidR="00AA5B97">
        <w:rPr>
          <w:rFonts w:eastAsiaTheme="minorEastAsia"/>
        </w:rPr>
        <w:noBreakHyphen/>
      </w:r>
      <w:r>
        <w:rPr>
          <w:rFonts w:eastAsiaTheme="minorEastAsia" w:cstheme="minorHAnsi"/>
        </w:rPr>
        <w:t>⅔ of the slowdown. While this is a simple exercise, it demonstrate</w:t>
      </w:r>
      <w:r w:rsidR="00883BE5">
        <w:rPr>
          <w:rFonts w:eastAsiaTheme="minorEastAsia" w:cstheme="minorHAnsi"/>
        </w:rPr>
        <w:t>s</w:t>
      </w:r>
      <w:r>
        <w:rPr>
          <w:rFonts w:eastAsiaTheme="minorEastAsia" w:cstheme="minorHAnsi"/>
        </w:rPr>
        <w:t xml:space="preserve"> that the decline in dynamism an</w:t>
      </w:r>
      <w:r w:rsidR="00AE24A0">
        <w:rPr>
          <w:rFonts w:eastAsiaTheme="minorEastAsia" w:cstheme="minorHAnsi"/>
        </w:rPr>
        <w:t>d</w:t>
      </w:r>
      <w:r>
        <w:rPr>
          <w:rFonts w:eastAsiaTheme="minorEastAsia" w:cstheme="minorHAnsi"/>
        </w:rPr>
        <w:t xml:space="preserve"> competitive pressures </w:t>
      </w:r>
      <w:r w:rsidR="00883BE5">
        <w:rPr>
          <w:rFonts w:eastAsiaTheme="minorEastAsia" w:cstheme="minorHAnsi"/>
        </w:rPr>
        <w:t>have substantially lowered the rate of</w:t>
      </w:r>
      <w:r>
        <w:rPr>
          <w:rFonts w:eastAsiaTheme="minorEastAsia" w:cstheme="minorHAnsi"/>
        </w:rPr>
        <w:t xml:space="preserve"> firm</w:t>
      </w:r>
      <w:r w:rsidR="00AA5B97">
        <w:rPr>
          <w:rFonts w:eastAsiaTheme="minorEastAsia" w:cstheme="minorHAnsi"/>
        </w:rPr>
        <w:noBreakHyphen/>
      </w:r>
      <w:r>
        <w:rPr>
          <w:rFonts w:eastAsiaTheme="minorEastAsia" w:cstheme="minorHAnsi"/>
        </w:rPr>
        <w:t>level productivity convergence, and therefore productivity growth.</w:t>
      </w:r>
    </w:p>
    <w:p w14:paraId="737AB804" w14:textId="48674757" w:rsidR="00EB4989" w:rsidRDefault="00EB4989" w:rsidP="008A5C91">
      <w:pPr>
        <w:pStyle w:val="FigureHeading"/>
        <w:rPr>
          <w:noProof/>
        </w:rPr>
      </w:pPr>
      <w:bookmarkStart w:id="4" w:name="_Hlk88643817"/>
      <w:r w:rsidRPr="00EB4989">
        <w:rPr>
          <w:noProof/>
        </w:rPr>
        <w:t>Figure 4</w:t>
      </w:r>
      <w:r w:rsidR="0077349B">
        <w:rPr>
          <w:noProof/>
        </w:rPr>
        <w:t xml:space="preserve"> </w:t>
      </w:r>
      <w:r w:rsidR="005B6F33">
        <w:rPr>
          <w:noProof/>
        </w:rPr>
        <w:t>–</w:t>
      </w:r>
      <w:r w:rsidRPr="00EB4989">
        <w:rPr>
          <w:noProof/>
        </w:rPr>
        <w:t xml:space="preserve"> Drivers of the </w:t>
      </w:r>
      <w:r w:rsidR="004E00D4">
        <w:rPr>
          <w:noProof/>
        </w:rPr>
        <w:t>s</w:t>
      </w:r>
      <w:r w:rsidRPr="00EB4989">
        <w:rPr>
          <w:noProof/>
        </w:rPr>
        <w:t xml:space="preserve">lowdown in </w:t>
      </w:r>
      <w:r w:rsidR="004E00D4">
        <w:rPr>
          <w:noProof/>
        </w:rPr>
        <w:t>c</w:t>
      </w:r>
      <w:r w:rsidRPr="00EB4989">
        <w:rPr>
          <w:noProof/>
        </w:rPr>
        <w:t>onvergence</w:t>
      </w:r>
    </w:p>
    <w:p w14:paraId="45F26332" w14:textId="3930BCE7" w:rsidR="00EB4989" w:rsidRDefault="00266F30" w:rsidP="00E31AFE">
      <w:pPr>
        <w:pStyle w:val="Figuregraphic"/>
        <w:spacing w:after="0"/>
        <w:rPr>
          <w:noProof/>
          <w:lang w:eastAsia="en-AU"/>
        </w:rPr>
      </w:pPr>
      <w:r>
        <w:rPr>
          <w:noProof/>
          <w:lang w:eastAsia="en-AU"/>
        </w:rPr>
        <w:drawing>
          <wp:inline distT="0" distB="0" distL="0" distR="0" wp14:anchorId="6A9FB73A" wp14:editId="4E3C1008">
            <wp:extent cx="5505450" cy="2859405"/>
            <wp:effectExtent l="0" t="0" r="0" b="0"/>
            <wp:docPr id="15" name="Picture 15" descr="This chart shows the amount of the slowdown in convergence that can be explained by various measures of dynamism, based on the model results. Of the 4 percentage point decline in convergence, around 3 percentage points can be explained by lower entry rates, and 1-2 percentage points by lower mark-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is chart shows the amount of the slowdown in convergence that can be explained by various measures of dynamism, based on the model results. Of the 4 percentage point decline in convergence, around 3 percentage points can be explained by lower entry rates, and 1-2 percentage points by lower mark-up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05450" cy="2859405"/>
                    </a:xfrm>
                    <a:prstGeom prst="rect">
                      <a:avLst/>
                    </a:prstGeom>
                    <a:noFill/>
                  </pic:spPr>
                </pic:pic>
              </a:graphicData>
            </a:graphic>
          </wp:inline>
        </w:drawing>
      </w:r>
    </w:p>
    <w:p w14:paraId="7ED444CF" w14:textId="38EA9637" w:rsidR="00EB4989" w:rsidRPr="003D0E71" w:rsidRDefault="00EB4989" w:rsidP="00EB4989">
      <w:pPr>
        <w:spacing w:after="0"/>
        <w:rPr>
          <w:rFonts w:eastAsia="Times New Roman" w:cs="Times New Roman"/>
          <w:color w:val="000000"/>
          <w:sz w:val="16"/>
          <w:szCs w:val="16"/>
          <w:lang w:eastAsia="en-AU"/>
        </w:rPr>
      </w:pPr>
      <w:r w:rsidRPr="003D0E71">
        <w:rPr>
          <w:rFonts w:eastAsia="Times New Roman" w:cs="Times New Roman"/>
          <w:color w:val="000000"/>
          <w:sz w:val="16"/>
          <w:szCs w:val="16"/>
          <w:lang w:eastAsia="en-AU"/>
        </w:rPr>
        <w:t>Notes: Figure shows total slowdown in convergence rate for 2011</w:t>
      </w:r>
      <w:r w:rsidR="00AA5B97">
        <w:rPr>
          <w:rFonts w:eastAsiaTheme="minorEastAsia"/>
        </w:rPr>
        <w:noBreakHyphen/>
      </w:r>
      <w:r w:rsidRPr="003D0E71">
        <w:rPr>
          <w:rFonts w:eastAsia="Times New Roman" w:cs="Times New Roman"/>
          <w:color w:val="000000"/>
          <w:sz w:val="16"/>
          <w:szCs w:val="16"/>
          <w:lang w:eastAsia="en-AU"/>
        </w:rPr>
        <w:t>2016 period based on Table 2 Column 2, as well as the portion of the slowdown explained by the entry rate, and mark</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ups, using methodology discussed in section 5.3. Later component is shown for 2016, rather than for 2011</w:t>
      </w:r>
      <w:r w:rsidR="00AA5B97">
        <w:rPr>
          <w:rFonts w:eastAsia="Times New Roman" w:cs="Times New Roman"/>
          <w:color w:val="000000"/>
          <w:sz w:val="16"/>
          <w:szCs w:val="16"/>
          <w:lang w:eastAsia="en-AU"/>
        </w:rPr>
        <w:noBreakHyphen/>
      </w:r>
      <w:r w:rsidRPr="003D0E71">
        <w:rPr>
          <w:rFonts w:eastAsia="Times New Roman" w:cs="Times New Roman"/>
          <w:color w:val="000000"/>
          <w:sz w:val="16"/>
          <w:szCs w:val="16"/>
          <w:lang w:eastAsia="en-AU"/>
        </w:rPr>
        <w:t>2016 average.</w:t>
      </w:r>
    </w:p>
    <w:bookmarkEnd w:id="4"/>
    <w:p w14:paraId="42020DB9" w14:textId="77777777" w:rsidR="00F012EA" w:rsidRDefault="00DB0225" w:rsidP="00641AA2">
      <w:pPr>
        <w:pStyle w:val="Heading2"/>
      </w:pPr>
      <w:r>
        <w:t>C</w:t>
      </w:r>
      <w:bookmarkStart w:id="5" w:name="tempbookmark"/>
      <w:bookmarkEnd w:id="5"/>
      <w:r>
        <w:t>onclusion</w:t>
      </w:r>
    </w:p>
    <w:p w14:paraId="63D551F7" w14:textId="28ABC147" w:rsidR="00A84E4D" w:rsidRDefault="00A84E4D" w:rsidP="00CD6FE7">
      <w:pPr>
        <w:jc w:val="both"/>
      </w:pPr>
      <w:r>
        <w:t>This paper exploits a novel dataset merging international microdata from OECD</w:t>
      </w:r>
      <w:r w:rsidR="00AA5B97">
        <w:noBreakHyphen/>
      </w:r>
      <w:r>
        <w:t xml:space="preserve">Orbis with Australian microdata from BLADE to analyse the performance of Australian firms relative to the global frontier. </w:t>
      </w:r>
      <w:r w:rsidR="00641AA2">
        <w:t xml:space="preserve">We show that the gap between the global frontier and Australian firms has grown over time, and Australian </w:t>
      </w:r>
      <w:r w:rsidR="00327C5C">
        <w:t>are catching</w:t>
      </w:r>
      <w:r w:rsidR="00AA5B97">
        <w:noBreakHyphen/>
      </w:r>
      <w:r w:rsidR="00327C5C">
        <w:t>up more slowly</w:t>
      </w:r>
      <w:r w:rsidR="00641AA2">
        <w:t>. This suggests that Australian</w:t>
      </w:r>
      <w:r w:rsidR="00AD06A5">
        <w:t xml:space="preserve"> firms have become slower to adopt, innovate and improve their productivity performance</w:t>
      </w:r>
      <w:r w:rsidR="00327C5C">
        <w:t>, which can explain part of the slowdown in aggregate productivity growth since the mid</w:t>
      </w:r>
      <w:r w:rsidR="00AA5B97">
        <w:noBreakHyphen/>
      </w:r>
      <w:r w:rsidR="00327C5C">
        <w:t>2000s</w:t>
      </w:r>
      <w:r w:rsidR="00AD06A5">
        <w:t>.</w:t>
      </w:r>
      <w:r w:rsidR="00327C5C">
        <w:t xml:space="preserve"> Similar, dynamics have been observed overseas</w:t>
      </w:r>
    </w:p>
    <w:p w14:paraId="77A578A6" w14:textId="2A28AF4F" w:rsidR="00FA6CA9" w:rsidRDefault="00FA6CA9" w:rsidP="00327C5C">
      <w:pPr>
        <w:jc w:val="both"/>
      </w:pPr>
      <w:r>
        <w:t>Our results also show that slower catch</w:t>
      </w:r>
      <w:r w:rsidR="00AA5B97">
        <w:noBreakHyphen/>
      </w:r>
      <w:r>
        <w:t>up and diffusion partly reflect declining business dynamism and competitive pressures. The motivates further research into the causes of the decline.</w:t>
      </w:r>
    </w:p>
    <w:p w14:paraId="3C382E5D" w14:textId="06B40076" w:rsidR="00327C5C" w:rsidRDefault="00FA6CA9" w:rsidP="00327C5C">
      <w:pPr>
        <w:jc w:val="both"/>
      </w:pPr>
      <w:r>
        <w:t>From a policy perspective the results also suggest that</w:t>
      </w:r>
      <w:r w:rsidR="00327C5C">
        <w:t xml:space="preserve"> policies that remove barriers to business dynamism and competitive pressure can encourage firms to catch up to the global frontier, thereby improving aggregate labour productivity performance. Policies that facilitate more widespread adoption of emerging digital technologies can also play a role in improving productivity performance.</w:t>
      </w:r>
    </w:p>
    <w:p w14:paraId="70397F2E" w14:textId="51273943" w:rsidR="00327C5C" w:rsidRPr="00BA6613" w:rsidRDefault="00BA6613" w:rsidP="00CD6FE7">
      <w:pPr>
        <w:jc w:val="both"/>
        <w:rPr>
          <w:iCs/>
        </w:rPr>
      </w:pPr>
      <w:r w:rsidRPr="00BA6613">
        <w:rPr>
          <w:iCs/>
        </w:rPr>
        <w:t>Understanding changes in productivity post</w:t>
      </w:r>
      <w:r w:rsidR="00AA5B97">
        <w:rPr>
          <w:iCs/>
        </w:rPr>
        <w:noBreakHyphen/>
      </w:r>
      <w:r w:rsidRPr="00BA6613">
        <w:rPr>
          <w:iCs/>
        </w:rPr>
        <w:t>2016 and within the context of the COVID pandemic will be important research questions to pursue as data become available. Various data sources collected over this period have shown that Australian businesses have invested more in digitisation and innovative business practices, with the pandemic sparking an increase in technological adoption. This increased adoption of new technology will help Australian firms become more competitive in the global market and support future productivity growth</w:t>
      </w:r>
      <w:r w:rsidR="00AA5B97">
        <w:rPr>
          <w:iCs/>
        </w:rPr>
        <w:t xml:space="preserve">. </w:t>
      </w:r>
      <w:r w:rsidRPr="00BA6613">
        <w:rPr>
          <w:iCs/>
        </w:rPr>
        <w:t>Worker mobility has also increased in recent times, leading to better matches between workers and employers. While much of this activity likely reflects delayed labour market movements due to the pandemic; continued labour market dynamism will also contribute to future productivity growth.</w:t>
      </w:r>
    </w:p>
    <w:p w14:paraId="4103D8B6" w14:textId="77777777" w:rsidR="00F012EA" w:rsidRDefault="00F012EA" w:rsidP="008627B1">
      <w:pPr>
        <w:sectPr w:rsidR="00F012EA" w:rsidSect="00864DCE">
          <w:headerReference w:type="first" r:id="rId30"/>
          <w:footerReference w:type="first" r:id="rId31"/>
          <w:pgSz w:w="11906" w:h="16838" w:code="9"/>
          <w:pgMar w:top="1418" w:right="1304" w:bottom="1418" w:left="1304" w:header="567" w:footer="567" w:gutter="0"/>
          <w:pgNumType w:start="1"/>
          <w:cols w:space="708"/>
          <w:titlePg/>
          <w:docGrid w:linePitch="360"/>
        </w:sectPr>
      </w:pPr>
    </w:p>
    <w:p w14:paraId="4B9D9615" w14:textId="4613ADFF" w:rsidR="00F012EA" w:rsidRDefault="00C73BF2" w:rsidP="00F012EA">
      <w:pPr>
        <w:pStyle w:val="AppendixHeadingLevel2NotNumbered"/>
      </w:pPr>
      <w:r>
        <w:lastRenderedPageBreak/>
        <w:fldChar w:fldCharType="begin"/>
      </w:r>
      <w:r>
        <w:instrText xml:space="preserve"> MACROBUTTON  AcceptAllChangesInDocAndStopTracking References </w:instrText>
      </w:r>
      <w:r>
        <w:fldChar w:fldCharType="end"/>
      </w:r>
    </w:p>
    <w:p w14:paraId="2C443DFE" w14:textId="14A628F2" w:rsidR="00C73BF2" w:rsidRDefault="00C73BF2" w:rsidP="00C73BF2">
      <w:r>
        <w:t xml:space="preserve">Aghion P, N Bloom, R Blundell, R </w:t>
      </w:r>
      <w:proofErr w:type="gramStart"/>
      <w:r>
        <w:t>Griffith</w:t>
      </w:r>
      <w:proofErr w:type="gramEnd"/>
      <w:r>
        <w:t xml:space="preserve"> and P Howitt 2005, </w:t>
      </w:r>
      <w:r w:rsidR="00AA5B97">
        <w:t>‘</w:t>
      </w:r>
      <w:r>
        <w:t>Competition and Innovation: An Inverted</w:t>
      </w:r>
      <w:r w:rsidR="00AA5B97">
        <w:noBreakHyphen/>
      </w:r>
      <w:r>
        <w:t>U Relationship</w:t>
      </w:r>
      <w:r w:rsidR="00AA5B97">
        <w:t>’</w:t>
      </w:r>
      <w:r>
        <w:t xml:space="preserve">, </w:t>
      </w:r>
      <w:r w:rsidRPr="00030AAF">
        <w:rPr>
          <w:i/>
          <w:iCs/>
        </w:rPr>
        <w:t>The Quarterly Journal of Economics</w:t>
      </w:r>
      <w:r>
        <w:t>, 120(2), pp 701</w:t>
      </w:r>
      <w:r w:rsidR="00AA5B97">
        <w:rPr>
          <w:rFonts w:eastAsiaTheme="minorEastAsia"/>
        </w:rPr>
        <w:noBreakHyphen/>
      </w:r>
      <w:r>
        <w:t>728.</w:t>
      </w:r>
    </w:p>
    <w:p w14:paraId="510B0E8B" w14:textId="7677C929" w:rsidR="00C73BF2" w:rsidRPr="00477E85" w:rsidRDefault="00C73BF2" w:rsidP="00C73BF2">
      <w:proofErr w:type="spellStart"/>
      <w:r>
        <w:t>Akcigit</w:t>
      </w:r>
      <w:proofErr w:type="spellEnd"/>
      <w:r>
        <w:t xml:space="preserve"> U and ST </w:t>
      </w:r>
      <w:proofErr w:type="spellStart"/>
      <w:r>
        <w:t>Ates</w:t>
      </w:r>
      <w:proofErr w:type="spellEnd"/>
      <w:r>
        <w:t xml:space="preserve"> (2019), </w:t>
      </w:r>
      <w:r w:rsidR="00AA5B97">
        <w:t>‘</w:t>
      </w:r>
      <w:r>
        <w:t>What happened to US Business Dynamism?</w:t>
      </w:r>
      <w:r w:rsidR="00AA5B97">
        <w:t>’</w:t>
      </w:r>
      <w:r>
        <w:t xml:space="preserve">, </w:t>
      </w:r>
      <w:r>
        <w:rPr>
          <w:i/>
          <w:iCs/>
        </w:rPr>
        <w:t xml:space="preserve">NNBER Working Paper </w:t>
      </w:r>
      <w:r>
        <w:t>No. 25756.</w:t>
      </w:r>
    </w:p>
    <w:p w14:paraId="3039B919" w14:textId="3B4A3708" w:rsidR="00C73BF2" w:rsidRDefault="00C73BF2" w:rsidP="00C73BF2">
      <w:r>
        <w:t xml:space="preserve">Andrews D, C </w:t>
      </w:r>
      <w:proofErr w:type="spellStart"/>
      <w:r>
        <w:t>Cricuolo</w:t>
      </w:r>
      <w:proofErr w:type="spellEnd"/>
      <w:r>
        <w:t xml:space="preserve"> and PN Gal (2019), </w:t>
      </w:r>
      <w:r w:rsidR="00AA5B97">
        <w:t>‘</w:t>
      </w:r>
      <w:r>
        <w:t xml:space="preserve">The Best versus the Rest: Divergence across Firms during the Global </w:t>
      </w:r>
      <w:proofErr w:type="spellStart"/>
      <w:r>
        <w:t>Prodcutivit</w:t>
      </w:r>
      <w:proofErr w:type="spellEnd"/>
      <w:r>
        <w:t xml:space="preserve"> Slowdown</w:t>
      </w:r>
      <w:r w:rsidR="00AA5B97">
        <w:t>’</w:t>
      </w:r>
      <w:r>
        <w:t xml:space="preserve">, </w:t>
      </w:r>
      <w:r>
        <w:rPr>
          <w:i/>
          <w:iCs/>
        </w:rPr>
        <w:t xml:space="preserve">CEP Discussion Paper </w:t>
      </w:r>
      <w:r w:rsidRPr="00340EF2">
        <w:t>No. 1645</w:t>
      </w:r>
      <w:r>
        <w:t>, August 2019.</w:t>
      </w:r>
    </w:p>
    <w:p w14:paraId="317EBC50" w14:textId="43CCDFF9" w:rsidR="00C73BF2" w:rsidRDefault="00C73BF2" w:rsidP="00C73BF2">
      <w:r>
        <w:t xml:space="preserve">Andrews D and D Hansell (2021), </w:t>
      </w:r>
      <w:r w:rsidR="00AA5B97">
        <w:t>‘</w:t>
      </w:r>
      <w:r>
        <w:t>Productivity</w:t>
      </w:r>
      <w:r w:rsidR="00AA5B97">
        <w:noBreakHyphen/>
      </w:r>
      <w:r>
        <w:t>enhancing Labour Reallocation in Australia</w:t>
      </w:r>
      <w:r w:rsidR="00AA5B97">
        <w:t>’</w:t>
      </w:r>
      <w:r>
        <w:t xml:space="preserve">, </w:t>
      </w:r>
      <w:r>
        <w:rPr>
          <w:i/>
          <w:iCs/>
        </w:rPr>
        <w:t>The Economic Record</w:t>
      </w:r>
      <w:r>
        <w:t>, 97(317), pp 157</w:t>
      </w:r>
      <w:r w:rsidR="00AA5B97">
        <w:rPr>
          <w:rFonts w:eastAsiaTheme="minorEastAsia"/>
        </w:rPr>
        <w:noBreakHyphen/>
      </w:r>
      <w:r>
        <w:t>169.</w:t>
      </w:r>
    </w:p>
    <w:p w14:paraId="5286881C" w14:textId="47A4F112" w:rsidR="00816F72" w:rsidRDefault="00816F72" w:rsidP="00C73BF2">
      <w:proofErr w:type="spellStart"/>
      <w:r>
        <w:t>Bartelsman</w:t>
      </w:r>
      <w:proofErr w:type="spellEnd"/>
      <w:r>
        <w:t xml:space="preserve"> E, J </w:t>
      </w:r>
      <w:proofErr w:type="spellStart"/>
      <w:r>
        <w:t>Haskel</w:t>
      </w:r>
      <w:proofErr w:type="spellEnd"/>
      <w:r>
        <w:t xml:space="preserve">, and R Martin (2008), </w:t>
      </w:r>
      <w:r w:rsidR="00AA5B97">
        <w:t>‘</w:t>
      </w:r>
      <w:r>
        <w:t xml:space="preserve">Distance to which </w:t>
      </w:r>
      <w:proofErr w:type="gramStart"/>
      <w:r>
        <w:t>Frontier?:</w:t>
      </w:r>
      <w:proofErr w:type="gramEnd"/>
      <w:r>
        <w:t xml:space="preserve"> Evidence on Productivity Convergence from International Firm</w:t>
      </w:r>
      <w:r w:rsidR="00AA5B97">
        <w:noBreakHyphen/>
      </w:r>
      <w:r>
        <w:t>level Data</w:t>
      </w:r>
      <w:r w:rsidR="00AA5B97">
        <w:t>’</w:t>
      </w:r>
      <w:r>
        <w:t xml:space="preserve">, </w:t>
      </w:r>
      <w:r w:rsidRPr="00816F72">
        <w:rPr>
          <w:i/>
          <w:iCs/>
        </w:rPr>
        <w:t>Centre for Economic Policy Research Working Paper</w:t>
      </w:r>
      <w:r>
        <w:t xml:space="preserve"> No. 7032</w:t>
      </w:r>
      <w:r w:rsidR="005B6F33">
        <w:t>.</w:t>
      </w:r>
    </w:p>
    <w:p w14:paraId="4B06F3C0" w14:textId="518363B6" w:rsidR="00816F72" w:rsidRPr="00816F72" w:rsidRDefault="00816F72" w:rsidP="00C73BF2">
      <w:pPr>
        <w:rPr>
          <w:i/>
          <w:iCs/>
        </w:rPr>
      </w:pPr>
      <w:proofErr w:type="spellStart"/>
      <w:r>
        <w:t>Berlingieri</w:t>
      </w:r>
      <w:proofErr w:type="spellEnd"/>
      <w:r>
        <w:t xml:space="preserve"> G, S </w:t>
      </w:r>
      <w:proofErr w:type="spellStart"/>
      <w:r>
        <w:t>Calligaris</w:t>
      </w:r>
      <w:proofErr w:type="spellEnd"/>
      <w:r>
        <w:t xml:space="preserve">, C </w:t>
      </w:r>
      <w:proofErr w:type="spellStart"/>
      <w:r>
        <w:t>Criscuolo</w:t>
      </w:r>
      <w:proofErr w:type="spellEnd"/>
      <w:r>
        <w:t xml:space="preserve"> and R </w:t>
      </w:r>
      <w:proofErr w:type="spellStart"/>
      <w:r>
        <w:t>Verlhac</w:t>
      </w:r>
      <w:proofErr w:type="spellEnd"/>
      <w:r>
        <w:t xml:space="preserve"> (2020), </w:t>
      </w:r>
      <w:r w:rsidR="00AA5B97">
        <w:t>‘</w:t>
      </w:r>
      <w:r>
        <w:t>Laggard firms, technology and its structural and policy determinants</w:t>
      </w:r>
      <w:r w:rsidR="00AA5B97">
        <w:t>’</w:t>
      </w:r>
      <w:r>
        <w:t xml:space="preserve">, OECD Science, Technology and Industry Policy Papers </w:t>
      </w:r>
      <w:r w:rsidRPr="00816F72">
        <w:t>No. 86</w:t>
      </w:r>
      <w:r w:rsidR="005B6F33">
        <w:t>.</w:t>
      </w:r>
    </w:p>
    <w:p w14:paraId="54DC42DD" w14:textId="5D7A3EE6" w:rsidR="00C73BF2" w:rsidRDefault="00C73BF2" w:rsidP="00C73BF2">
      <w:r>
        <w:t xml:space="preserve">Brynjolfsson E and McAfee A (2011), </w:t>
      </w:r>
      <w:r w:rsidR="00AA5B97">
        <w:t>‘</w:t>
      </w:r>
      <w:r>
        <w:t xml:space="preserve">Race Against </w:t>
      </w:r>
      <w:proofErr w:type="gramStart"/>
      <w:r>
        <w:t>The</w:t>
      </w:r>
      <w:proofErr w:type="gramEnd"/>
      <w:r>
        <w:t xml:space="preserve"> Machine: How the Digital Revolution is Accelerating Innovation, Driving Productivity, and Irreversibly Transforming Employment and the Economy</w:t>
      </w:r>
      <w:r w:rsidR="00AA5B97">
        <w:t>’</w:t>
      </w:r>
      <w:r>
        <w:t>, Digital Frontier Press.</w:t>
      </w:r>
    </w:p>
    <w:p w14:paraId="20FE0190" w14:textId="0853095A" w:rsidR="00C73BF2" w:rsidRDefault="00C73BF2" w:rsidP="00C73BF2">
      <w:r>
        <w:t xml:space="preserve">Foster, L., </w:t>
      </w:r>
      <w:proofErr w:type="spellStart"/>
      <w:r>
        <w:t>Haltiwanger</w:t>
      </w:r>
      <w:proofErr w:type="spellEnd"/>
      <w:r>
        <w:t xml:space="preserve"> J and </w:t>
      </w:r>
      <w:proofErr w:type="spellStart"/>
      <w:r>
        <w:t>Syverson</w:t>
      </w:r>
      <w:proofErr w:type="spellEnd"/>
      <w:r>
        <w:t xml:space="preserve"> C (2008), </w:t>
      </w:r>
      <w:r w:rsidR="00AA5B97">
        <w:t>‘</w:t>
      </w:r>
      <w:r>
        <w:t>Reallocation, Firm Turnover, and Efficiency: Selection on Productivity or Profitability?</w:t>
      </w:r>
      <w:r w:rsidR="00AA5B97">
        <w:t>’</w:t>
      </w:r>
      <w:r>
        <w:t xml:space="preserve"> </w:t>
      </w:r>
      <w:r w:rsidRPr="00477E85">
        <w:rPr>
          <w:i/>
          <w:iCs/>
        </w:rPr>
        <w:t>American Economic Review</w:t>
      </w:r>
      <w:r>
        <w:t>, 98(1), pp</w:t>
      </w:r>
      <w:r w:rsidR="004E00D4">
        <w:t xml:space="preserve"> </w:t>
      </w:r>
      <w:r>
        <w:t>394</w:t>
      </w:r>
      <w:r w:rsidR="00AA5B97">
        <w:rPr>
          <w:rFonts w:eastAsiaTheme="minorEastAsia"/>
        </w:rPr>
        <w:noBreakHyphen/>
      </w:r>
      <w:r>
        <w:t xml:space="preserve">442. </w:t>
      </w:r>
    </w:p>
    <w:p w14:paraId="3B827D7A" w14:textId="43A39253" w:rsidR="00C73BF2" w:rsidRDefault="00C73BF2" w:rsidP="00C73BF2">
      <w:r>
        <w:t xml:space="preserve">Gal PN (2013), </w:t>
      </w:r>
      <w:r w:rsidR="00AA5B97">
        <w:t>‘</w:t>
      </w:r>
      <w:r>
        <w:t>Measuring Total Factor Productivity at the Firm Level using OECD</w:t>
      </w:r>
      <w:r w:rsidR="00AA5B97">
        <w:noBreakHyphen/>
      </w:r>
      <w:r>
        <w:t>ORBIS</w:t>
      </w:r>
      <w:r w:rsidR="00AA5B97">
        <w:t>’</w:t>
      </w:r>
      <w:r>
        <w:t>, OECD Economics Department Working Papers No. 1049, OECD, Paris</w:t>
      </w:r>
      <w:r w:rsidR="005B6F33">
        <w:t>.</w:t>
      </w:r>
    </w:p>
    <w:p w14:paraId="18147FFF" w14:textId="6CF1F8AB" w:rsidR="00C73BF2" w:rsidRPr="00E90DC5" w:rsidRDefault="00C73BF2" w:rsidP="00C73BF2">
      <w:r>
        <w:t xml:space="preserve">Goldin I, P </w:t>
      </w:r>
      <w:proofErr w:type="spellStart"/>
      <w:r>
        <w:t>Koutroumpis</w:t>
      </w:r>
      <w:proofErr w:type="spellEnd"/>
      <w:r>
        <w:t xml:space="preserve">, F Lafond and J </w:t>
      </w:r>
      <w:proofErr w:type="spellStart"/>
      <w:r>
        <w:t>Winklet</w:t>
      </w:r>
      <w:proofErr w:type="spellEnd"/>
      <w:r>
        <w:t xml:space="preserve"> (2021), </w:t>
      </w:r>
      <w:r w:rsidR="00AA5B97">
        <w:t>‘</w:t>
      </w:r>
      <w:r>
        <w:t>Why is Productivity slowing down?</w:t>
      </w:r>
      <w:r w:rsidR="00AA5B97">
        <w:t>’</w:t>
      </w:r>
      <w:r>
        <w:t xml:space="preserve">, </w:t>
      </w:r>
      <w:r>
        <w:rPr>
          <w:i/>
          <w:iCs/>
        </w:rPr>
        <w:t xml:space="preserve">Oxford Martin School Working Paper Series on Economic and Technological Change </w:t>
      </w:r>
      <w:r>
        <w:t>No. 2021</w:t>
      </w:r>
      <w:r w:rsidR="00AA5B97">
        <w:rPr>
          <w:rFonts w:eastAsiaTheme="minorEastAsia"/>
        </w:rPr>
        <w:noBreakHyphen/>
      </w:r>
      <w:r>
        <w:t>6, May 2019.</w:t>
      </w:r>
    </w:p>
    <w:p w14:paraId="657F28D5" w14:textId="32B5F39E" w:rsidR="00C73BF2" w:rsidRDefault="00C73BF2" w:rsidP="00C73BF2">
      <w:r>
        <w:t xml:space="preserve">Gordon, RJ (2012), </w:t>
      </w:r>
      <w:r w:rsidR="00AA5B97">
        <w:t>‘</w:t>
      </w:r>
      <w:r>
        <w:t>Is US Economic Growth Over? Faltering Innovation Confronts Six Headwinds</w:t>
      </w:r>
      <w:r w:rsidR="00AA5B97">
        <w:t>’</w:t>
      </w:r>
      <w:r>
        <w:t xml:space="preserve">, </w:t>
      </w:r>
      <w:r>
        <w:rPr>
          <w:i/>
          <w:iCs/>
        </w:rPr>
        <w:t xml:space="preserve">NBER Working Paper </w:t>
      </w:r>
      <w:r w:rsidRPr="00340EF2">
        <w:t>No. 18315</w:t>
      </w:r>
      <w:r>
        <w:t>, August 2012.</w:t>
      </w:r>
    </w:p>
    <w:p w14:paraId="5A4E735B" w14:textId="6A47B620" w:rsidR="00C73BF2" w:rsidRDefault="00C73BF2" w:rsidP="00C73BF2">
      <w:r>
        <w:t xml:space="preserve">Griffith R, S </w:t>
      </w:r>
      <w:proofErr w:type="gramStart"/>
      <w:r>
        <w:t>Redding</w:t>
      </w:r>
      <w:proofErr w:type="gramEnd"/>
      <w:r>
        <w:t xml:space="preserve"> and H Simpson (2009), </w:t>
      </w:r>
      <w:r w:rsidR="00AA5B97">
        <w:t>‘</w:t>
      </w:r>
      <w:r>
        <w:t>Technological Catch</w:t>
      </w:r>
      <w:r w:rsidR="00AA5B97">
        <w:noBreakHyphen/>
      </w:r>
      <w:r>
        <w:t>Up and Geographic Proximity</w:t>
      </w:r>
      <w:r w:rsidR="00AA5B97">
        <w:t>’</w:t>
      </w:r>
      <w:r>
        <w:t xml:space="preserve">, </w:t>
      </w:r>
      <w:r w:rsidRPr="00477E85">
        <w:rPr>
          <w:i/>
          <w:iCs/>
        </w:rPr>
        <w:t>Journal of Regional Science</w:t>
      </w:r>
      <w:r>
        <w:t>, 49(4), pp 689</w:t>
      </w:r>
      <w:r w:rsidR="00AA5B97">
        <w:rPr>
          <w:rFonts w:eastAsiaTheme="minorEastAsia"/>
        </w:rPr>
        <w:noBreakHyphen/>
      </w:r>
      <w:r>
        <w:t>720.</w:t>
      </w:r>
    </w:p>
    <w:p w14:paraId="49AE9765" w14:textId="6338622D" w:rsidR="00816F72" w:rsidRDefault="00816F72" w:rsidP="00C73BF2">
      <w:proofErr w:type="spellStart"/>
      <w:r>
        <w:t>Iacovone</w:t>
      </w:r>
      <w:proofErr w:type="spellEnd"/>
      <w:r>
        <w:t xml:space="preserve"> L and GA </w:t>
      </w:r>
      <w:proofErr w:type="spellStart"/>
      <w:r>
        <w:t>Crespi</w:t>
      </w:r>
      <w:proofErr w:type="spellEnd"/>
      <w:r>
        <w:t xml:space="preserve"> (2010), </w:t>
      </w:r>
      <w:r w:rsidR="00AA5B97">
        <w:t>‘</w:t>
      </w:r>
      <w:r>
        <w:t>Catching up with the technological frontier: Micro</w:t>
      </w:r>
      <w:r w:rsidR="00AA5B97">
        <w:noBreakHyphen/>
      </w:r>
      <w:r>
        <w:t>level evidence on growth and convergence</w:t>
      </w:r>
      <w:r w:rsidR="00AA5B97">
        <w:t>’</w:t>
      </w:r>
      <w:r>
        <w:t xml:space="preserve">, </w:t>
      </w:r>
      <w:r w:rsidRPr="00816F72">
        <w:rPr>
          <w:i/>
          <w:iCs/>
        </w:rPr>
        <w:t>Industrial and Corporate Change</w:t>
      </w:r>
      <w:r>
        <w:t>, Vol. 19, No. 6, pp 2073</w:t>
      </w:r>
      <w:r w:rsidR="00AA5B97">
        <w:noBreakHyphen/>
      </w:r>
      <w:r>
        <w:t>2096.</w:t>
      </w:r>
    </w:p>
    <w:p w14:paraId="0EAC4D31" w14:textId="23F04AE0" w:rsidR="00C73BF2" w:rsidRDefault="00C73BF2" w:rsidP="00C73BF2">
      <w:proofErr w:type="spellStart"/>
      <w:r>
        <w:t>Inklaar</w:t>
      </w:r>
      <w:proofErr w:type="spellEnd"/>
      <w:r>
        <w:t xml:space="preserve"> R and Timmer MP (2014). </w:t>
      </w:r>
      <w:r w:rsidR="00AA5B97">
        <w:t>‘</w:t>
      </w:r>
      <w:r>
        <w:t>The Relative Price of Services</w:t>
      </w:r>
      <w:r w:rsidR="00AA5B97">
        <w:t>’</w:t>
      </w:r>
      <w:r w:rsidRPr="006510DA">
        <w:rPr>
          <w:i/>
          <w:iCs/>
        </w:rPr>
        <w:t>, Review of Income and Wealth</w:t>
      </w:r>
      <w:r>
        <w:t>, 60(4), pp 727</w:t>
      </w:r>
      <w:r w:rsidR="00AA5B97">
        <w:rPr>
          <w:rFonts w:eastAsiaTheme="minorEastAsia"/>
        </w:rPr>
        <w:noBreakHyphen/>
      </w:r>
      <w:r>
        <w:t>746.</w:t>
      </w:r>
    </w:p>
    <w:p w14:paraId="031A1032" w14:textId="108B814B" w:rsidR="00C73BF2" w:rsidRDefault="00C73BF2" w:rsidP="00C73BF2">
      <w:r>
        <w:t xml:space="preserve">Hambur J (2021), </w:t>
      </w:r>
      <w:r w:rsidR="00AA5B97">
        <w:t>‘</w:t>
      </w:r>
      <w:r w:rsidR="000F6086" w:rsidRPr="000F6086">
        <w:t>Product market power and its implications for the Australian economy</w:t>
      </w:r>
      <w:r w:rsidR="00AA5B97">
        <w:t>’</w:t>
      </w:r>
      <w:r>
        <w:t xml:space="preserve">, </w:t>
      </w:r>
      <w:r>
        <w:rPr>
          <w:i/>
          <w:iCs/>
        </w:rPr>
        <w:t xml:space="preserve">Australian Treasury Working Paper </w:t>
      </w:r>
      <w:r>
        <w:t>No. 2021</w:t>
      </w:r>
      <w:r w:rsidR="00AA5B97">
        <w:rPr>
          <w:rFonts w:eastAsiaTheme="minorEastAsia"/>
        </w:rPr>
        <w:noBreakHyphen/>
      </w:r>
      <w:r>
        <w:t>03.</w:t>
      </w:r>
    </w:p>
    <w:p w14:paraId="5F0A3314" w14:textId="56D84F99" w:rsidR="00C73BF2" w:rsidRDefault="00C73BF2" w:rsidP="00C73BF2">
      <w:r>
        <w:t xml:space="preserve">Jovanovic B and PL Rousseau (2005), </w:t>
      </w:r>
      <w:r w:rsidR="00AA5B97">
        <w:t>‘</w:t>
      </w:r>
      <w:r>
        <w:t>General Purpose Technologies</w:t>
      </w:r>
      <w:r w:rsidR="00AA5B97">
        <w:t>’</w:t>
      </w:r>
      <w:r>
        <w:t xml:space="preserve">, </w:t>
      </w:r>
      <w:r w:rsidRPr="00477E85">
        <w:rPr>
          <w:i/>
          <w:iCs/>
        </w:rPr>
        <w:t>Handbook of Economic Growth</w:t>
      </w:r>
      <w:r>
        <w:t>, Chapter 18, Vol. 1(B), pp 1181</w:t>
      </w:r>
      <w:r w:rsidR="00AA5B97">
        <w:rPr>
          <w:rFonts w:eastAsiaTheme="minorEastAsia"/>
        </w:rPr>
        <w:noBreakHyphen/>
      </w:r>
      <w:r>
        <w:t>1224.</w:t>
      </w:r>
    </w:p>
    <w:p w14:paraId="0565E609" w14:textId="17004716" w:rsidR="00522A99" w:rsidRDefault="00C73BF2" w:rsidP="002D4F75">
      <w:r>
        <w:lastRenderedPageBreak/>
        <w:t xml:space="preserve">Ma S, J </w:t>
      </w:r>
      <w:proofErr w:type="spellStart"/>
      <w:r>
        <w:t>Murfin</w:t>
      </w:r>
      <w:proofErr w:type="spellEnd"/>
      <w:r>
        <w:t xml:space="preserve">, R Pratt (2021), </w:t>
      </w:r>
      <w:r w:rsidR="00AA5B97">
        <w:t>‘</w:t>
      </w:r>
      <w:r>
        <w:t>Young firms, old capital</w:t>
      </w:r>
      <w:r w:rsidR="00AA5B97">
        <w:t>’</w:t>
      </w:r>
      <w:r>
        <w:t xml:space="preserve">, </w:t>
      </w:r>
      <w:r>
        <w:rPr>
          <w:i/>
          <w:iCs/>
        </w:rPr>
        <w:t>Journal of Financial Economics</w:t>
      </w:r>
      <w:r>
        <w:t>, Online Access 24 September 2021</w:t>
      </w:r>
      <w:r w:rsidR="00262059">
        <w:t>.</w:t>
      </w:r>
    </w:p>
    <w:p w14:paraId="3939C577" w14:textId="00D700E4" w:rsidR="00F47D47" w:rsidRPr="00F80D96" w:rsidRDefault="00F47D47" w:rsidP="002D4F75">
      <w:r>
        <w:t xml:space="preserve">Mokyr J (2013), </w:t>
      </w:r>
      <w:hyperlink r:id="rId32" w:history="1">
        <w:r w:rsidR="00AA5B97" w:rsidRPr="00AA5B97">
          <w:rPr>
            <w:rStyle w:val="Hyperlink"/>
          </w:rPr>
          <w:t>‘</w:t>
        </w:r>
        <w:r w:rsidRPr="00AA5B97">
          <w:rPr>
            <w:rStyle w:val="Hyperlink"/>
          </w:rPr>
          <w:t>Is technological progress a thing of the past?</w:t>
        </w:r>
        <w:r w:rsidR="00AA5B97" w:rsidRPr="00AA5B97">
          <w:rPr>
            <w:rStyle w:val="Hyperlink"/>
          </w:rPr>
          <w:t>’</w:t>
        </w:r>
      </w:hyperlink>
      <w:r>
        <w:t xml:space="preserve">, </w:t>
      </w:r>
      <w:proofErr w:type="spellStart"/>
      <w:r>
        <w:t>VoxEU</w:t>
      </w:r>
      <w:proofErr w:type="spellEnd"/>
      <w:r>
        <w:t xml:space="preserve"> column, 8 September 2013</w:t>
      </w:r>
      <w:r w:rsidR="00AA5B97">
        <w:t>.</w:t>
      </w:r>
    </w:p>
    <w:sectPr w:rsidR="00F47D47" w:rsidRPr="00F80D96" w:rsidSect="00426ADC">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216E" w14:textId="77777777" w:rsidR="00026ED9" w:rsidRDefault="00026ED9" w:rsidP="005F100C">
      <w:pPr>
        <w:spacing w:after="0"/>
      </w:pPr>
      <w:r>
        <w:separator/>
      </w:r>
    </w:p>
  </w:endnote>
  <w:endnote w:type="continuationSeparator" w:id="0">
    <w:p w14:paraId="56F76D08" w14:textId="77777777" w:rsidR="00026ED9" w:rsidRDefault="00026ED9" w:rsidP="005F100C">
      <w:pPr>
        <w:spacing w:after="0"/>
      </w:pPr>
      <w:r>
        <w:continuationSeparator/>
      </w:r>
    </w:p>
  </w:endnote>
  <w:endnote w:type="continuationNotice" w:id="1">
    <w:p w14:paraId="4C3F3CC1" w14:textId="77777777" w:rsidR="00026ED9" w:rsidRDefault="00026E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6A65" w14:textId="19DD6B93" w:rsidR="0034762D" w:rsidRDefault="0034762D"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44552"/>
      <w:docPartObj>
        <w:docPartGallery w:val="Page Numbers (Bottom of Page)"/>
        <w:docPartUnique/>
      </w:docPartObj>
    </w:sdtPr>
    <w:sdtEndPr>
      <w:rPr>
        <w:noProof/>
      </w:rPr>
    </w:sdtEndPr>
    <w:sdtContent>
      <w:p w14:paraId="614F2527" w14:textId="530FB0D8" w:rsidR="0034762D" w:rsidRDefault="0034762D" w:rsidP="002D4F7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ADA5" w14:textId="77777777" w:rsidR="00AA5B97" w:rsidRDefault="00AA5B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5932" w14:textId="31E3C0C0" w:rsidR="0034762D" w:rsidRDefault="0034762D"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14</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5A23" w14:textId="77777777" w:rsidR="00026ED9" w:rsidRDefault="00026ED9" w:rsidP="005F100C">
      <w:pPr>
        <w:spacing w:after="0"/>
      </w:pPr>
      <w:r>
        <w:separator/>
      </w:r>
    </w:p>
  </w:footnote>
  <w:footnote w:type="continuationSeparator" w:id="0">
    <w:p w14:paraId="7B2A1DEA" w14:textId="77777777" w:rsidR="00026ED9" w:rsidRDefault="00026ED9" w:rsidP="005F100C">
      <w:pPr>
        <w:spacing w:after="0"/>
      </w:pPr>
      <w:r>
        <w:continuationSeparator/>
      </w:r>
    </w:p>
  </w:footnote>
  <w:footnote w:type="continuationNotice" w:id="1">
    <w:p w14:paraId="0B432A1C" w14:textId="77777777" w:rsidR="00026ED9" w:rsidRDefault="00026ED9">
      <w:pPr>
        <w:spacing w:after="0"/>
      </w:pPr>
    </w:p>
  </w:footnote>
  <w:footnote w:id="2">
    <w:p w14:paraId="6F4C4A1E" w14:textId="7F812C52" w:rsidR="0034762D" w:rsidRPr="00C91E39" w:rsidRDefault="0034762D" w:rsidP="0036626D">
      <w:pPr>
        <w:pStyle w:val="FootnoteText"/>
        <w:spacing w:after="40"/>
      </w:pPr>
      <w:r w:rsidRPr="0036626D">
        <w:rPr>
          <w:rStyle w:val="FootnoteReference"/>
          <w:sz w:val="18"/>
          <w:szCs w:val="18"/>
          <w:vertAlign w:val="baseline"/>
        </w:rPr>
        <w:footnoteRef/>
      </w:r>
      <w:r w:rsidRPr="0036626D">
        <w:rPr>
          <w:sz w:val="18"/>
          <w:szCs w:val="18"/>
        </w:rPr>
        <w:t xml:space="preserve"> </w:t>
      </w:r>
      <w:r w:rsidRPr="0036626D">
        <w:rPr>
          <w:sz w:val="18"/>
          <w:szCs w:val="18"/>
        </w:rPr>
        <w:tab/>
      </w:r>
      <w:r w:rsidRPr="00C91E39">
        <w:t xml:space="preserve">Jonathan Hambur is Macroeconomic Group. Dan Andrews, David Hansell and Angus Wheeler were all formerly in Macroeconomic Group, The Treasury, Langton Crescent, Parkes ACT 2600, Australia. Correspondence: </w:t>
      </w:r>
      <w:hyperlink r:id="rId1" w:history="1">
        <w:r w:rsidRPr="00C91E39">
          <w:rPr>
            <w:rStyle w:val="Hyperlink"/>
          </w:rPr>
          <w:t>Jonathan.Hambur@treasury.gov.au</w:t>
        </w:r>
      </w:hyperlink>
      <w:r w:rsidRPr="00C91E39">
        <w:t xml:space="preserve">. We thank Peter Gal and </w:t>
      </w:r>
      <w:proofErr w:type="spellStart"/>
      <w:r w:rsidRPr="00C91E39">
        <w:t>Natia</w:t>
      </w:r>
      <w:proofErr w:type="spellEnd"/>
      <w:r>
        <w:t> </w:t>
      </w:r>
      <w:proofErr w:type="spellStart"/>
      <w:r w:rsidRPr="00C91E39">
        <w:t>Mosiashvili</w:t>
      </w:r>
      <w:proofErr w:type="spellEnd"/>
      <w:r w:rsidRPr="00C91E39">
        <w:t xml:space="preserve"> for their comments and assistance with global frontier data. We also</w:t>
      </w:r>
      <w:r>
        <w:t xml:space="preserve"> thank</w:t>
      </w:r>
      <w:r w:rsidRPr="00C91E39">
        <w:t xml:space="preserve"> seminar participants at the RBA, OECD Global Forum on Productivity, as well as Rebecca Cassells, Nathan</w:t>
      </w:r>
      <w:r>
        <w:t> </w:t>
      </w:r>
      <w:r w:rsidRPr="00C91E39">
        <w:t>Deutscher and Mark Cully.</w:t>
      </w:r>
    </w:p>
  </w:footnote>
  <w:footnote w:id="3">
    <w:p w14:paraId="03E4DEEB" w14:textId="77777777" w:rsidR="0034762D" w:rsidRPr="00C91E39" w:rsidRDefault="0034762D" w:rsidP="0036626D">
      <w:pPr>
        <w:pStyle w:val="FootnoteText"/>
        <w:spacing w:after="40"/>
      </w:pPr>
      <w:r w:rsidRPr="00C91E39">
        <w:rPr>
          <w:rStyle w:val="FootnoteReference"/>
          <w:vertAlign w:val="baseline"/>
        </w:rPr>
        <w:footnoteRef/>
      </w:r>
      <w:r w:rsidRPr="00C91E39">
        <w:t xml:space="preserve"> </w:t>
      </w:r>
      <w:r w:rsidRPr="00C91E39">
        <w:tab/>
        <w:t>The views expressed in this paper are those of the authors and do not necessarily reflect those of The Australian Treasury or the Australian Government.</w:t>
      </w:r>
    </w:p>
    <w:p w14:paraId="7E489BA2" w14:textId="77777777" w:rsidR="0034762D" w:rsidRDefault="0034762D" w:rsidP="00F012EA">
      <w:pPr>
        <w:pStyle w:val="FootnoteText"/>
      </w:pPr>
    </w:p>
  </w:footnote>
  <w:footnote w:id="4">
    <w:p w14:paraId="45ACA9E9" w14:textId="52EB0C6B" w:rsidR="0034762D" w:rsidRPr="00C91E39" w:rsidRDefault="0034762D" w:rsidP="00C91E39">
      <w:pPr>
        <w:pStyle w:val="FootnoteText"/>
      </w:pPr>
      <w:r w:rsidRPr="00C91E39">
        <w:rPr>
          <w:rStyle w:val="FootnoteReference"/>
          <w:vertAlign w:val="baseline"/>
        </w:rPr>
        <w:footnoteRef/>
      </w:r>
      <w:r w:rsidRPr="00C91E39">
        <w:t xml:space="preserve"> </w:t>
      </w:r>
      <w:r w:rsidRPr="00C91E39">
        <w:tab/>
        <w:t>See Hambur (2021) for a discussion.</w:t>
      </w:r>
    </w:p>
  </w:footnote>
  <w:footnote w:id="5">
    <w:p w14:paraId="66410CA8" w14:textId="673A7291" w:rsidR="0034762D" w:rsidRPr="00C91E39" w:rsidRDefault="0034762D" w:rsidP="00C91E39">
      <w:pPr>
        <w:pStyle w:val="FootnoteText"/>
      </w:pPr>
      <w:r w:rsidRPr="00C91E39">
        <w:rPr>
          <w:rStyle w:val="FootnoteReference"/>
          <w:vertAlign w:val="baseline"/>
        </w:rPr>
        <w:footnoteRef/>
      </w:r>
      <w:r w:rsidRPr="00C91E39">
        <w:t xml:space="preserve"> </w:t>
      </w:r>
      <w:r w:rsidRPr="00C91E39">
        <w:tab/>
        <w:t>For more information on the OECD</w:t>
      </w:r>
      <w:r w:rsidR="00AA5B97">
        <w:noBreakHyphen/>
      </w:r>
      <w:r w:rsidRPr="00C91E39">
        <w:t>Orbis database, see Gal (2013) and the appendix of Andrews</w:t>
      </w:r>
      <w:r w:rsidR="000B40A3">
        <w:t> </w:t>
      </w:r>
      <w:r w:rsidRPr="00C91E39">
        <w:t>et al (2019).</w:t>
      </w:r>
    </w:p>
  </w:footnote>
  <w:footnote w:id="6">
    <w:p w14:paraId="627FD7C6" w14:textId="5B1E9897" w:rsidR="0034762D" w:rsidRDefault="0034762D" w:rsidP="00C91E39">
      <w:pPr>
        <w:pStyle w:val="FootnoteText"/>
      </w:pPr>
      <w:r w:rsidRPr="00C91E39">
        <w:rPr>
          <w:rStyle w:val="FootnoteReference"/>
          <w:vertAlign w:val="baseline"/>
        </w:rPr>
        <w:footnoteRef/>
      </w:r>
      <w:r w:rsidRPr="00C91E39">
        <w:t xml:space="preserve"> </w:t>
      </w:r>
      <w:r w:rsidRPr="00C91E39">
        <w:tab/>
        <w:t>To ensure monetary variables are comparable across countries, we adjust for differences in purchasing power of currencies. However, relative purchasing power across countries may differ by industry, for example as more developed countries often have higher services</w:t>
      </w:r>
      <w:r w:rsidR="00AA5B97">
        <w:noBreakHyphen/>
      </w:r>
      <w:r w:rsidRPr="00C91E39">
        <w:t>goods price ratios. If this is the case, aggregate PPP conversions will not be sufficient to ensure comparability of labour productivity measures across countries. For this reason, we use industry</w:t>
      </w:r>
      <w:r w:rsidR="00AA5B97">
        <w:noBreakHyphen/>
      </w:r>
      <w:r w:rsidRPr="00C91E39">
        <w:t xml:space="preserve">level PPP estimates compiled by </w:t>
      </w:r>
      <w:proofErr w:type="spellStart"/>
      <w:r w:rsidRPr="00C91E39">
        <w:t>Inklaar</w:t>
      </w:r>
      <w:proofErr w:type="spellEnd"/>
      <w:r w:rsidRPr="00C91E39">
        <w:t xml:space="preserve"> and Timmer (2014). To ensure comparability of monetary variables over time, we deflate the Australian data using ABS deflators at the 2</w:t>
      </w:r>
      <w:r w:rsidR="00AA5B97">
        <w:noBreakHyphen/>
      </w:r>
      <w:r w:rsidRPr="00C91E39">
        <w:t>digit industry</w:t>
      </w:r>
      <w:r w:rsidR="00AA5B97">
        <w:noBreakHyphen/>
      </w:r>
      <w:proofErr w:type="gramStart"/>
      <w:r w:rsidRPr="00C91E39">
        <w:t>level, and</w:t>
      </w:r>
      <w:proofErr w:type="gramEnd"/>
      <w:r w:rsidRPr="00C91E39">
        <w:t xml:space="preserve"> deflate the international data using 2</w:t>
      </w:r>
      <w:r w:rsidR="00AA5B97">
        <w:noBreakHyphen/>
      </w:r>
      <w:r w:rsidRPr="00C91E39">
        <w:t>digit industry</w:t>
      </w:r>
      <w:r w:rsidR="00AA5B97">
        <w:noBreakHyphen/>
      </w:r>
      <w:r w:rsidRPr="00C91E39">
        <w:t>level deflators from the OECD STAN database.</w:t>
      </w:r>
    </w:p>
  </w:footnote>
  <w:footnote w:id="7">
    <w:p w14:paraId="0D8836A8" w14:textId="7EFB4D1C" w:rsidR="0034762D" w:rsidRDefault="0034762D">
      <w:pPr>
        <w:pStyle w:val="FootnoteText"/>
      </w:pPr>
      <w:r w:rsidRPr="00FB6683">
        <w:rPr>
          <w:rStyle w:val="FootnoteReference"/>
          <w:vertAlign w:val="baseline"/>
        </w:rPr>
        <w:footnoteRef/>
      </w:r>
      <w:r w:rsidRPr="00FB6683">
        <w:rPr>
          <w:rStyle w:val="FootnoteReference"/>
          <w:vertAlign w:val="baseline"/>
        </w:rPr>
        <w:t xml:space="preserve"> </w:t>
      </w:r>
      <w:r>
        <w:tab/>
        <w:t>Year</w:t>
      </w:r>
      <w:r w:rsidR="00AA5B97">
        <w:noBreakHyphen/>
      </w:r>
      <w:r>
        <w:t>to</w:t>
      </w:r>
      <w:r w:rsidR="00AA5B97">
        <w:noBreakHyphen/>
      </w:r>
      <w:r>
        <w:t>year declines in these indices do not indicate technological regression. They can also be affected by demand induced decreases in capacity utilisation and churn in the constituent firms in each group. As such, it is best to focus on the trends.</w:t>
      </w:r>
    </w:p>
  </w:footnote>
  <w:footnote w:id="8">
    <w:p w14:paraId="43E55F1A" w14:textId="529D258A" w:rsidR="0034762D" w:rsidRDefault="0034762D">
      <w:pPr>
        <w:pStyle w:val="FootnoteText"/>
      </w:pPr>
      <w:r w:rsidRPr="00D8323D">
        <w:rPr>
          <w:rStyle w:val="FootnoteReference"/>
          <w:vertAlign w:val="baseline"/>
        </w:rPr>
        <w:footnoteRef/>
      </w:r>
      <w:r>
        <w:t xml:space="preserve"> </w:t>
      </w:r>
      <w:r>
        <w:tab/>
        <w:t>Size categories are defined as follows: firms with 1</w:t>
      </w:r>
      <w:r>
        <w:rPr>
          <w:rFonts w:ascii="Arial" w:eastAsia="Times New Roman" w:hAnsi="Arial" w:cs="Arial"/>
          <w:color w:val="000000"/>
          <w:sz w:val="16"/>
          <w:szCs w:val="16"/>
          <w:lang w:eastAsia="en-AU"/>
        </w:rPr>
        <w:t>–</w:t>
      </w:r>
      <w:r>
        <w:t>19 full</w:t>
      </w:r>
      <w:r w:rsidR="00AA5B97">
        <w:noBreakHyphen/>
      </w:r>
      <w:r>
        <w:t>time equivalent employees are labelled as small, firms with 20</w:t>
      </w:r>
      <w:r>
        <w:rPr>
          <w:rFonts w:ascii="Arial" w:eastAsia="Times New Roman" w:hAnsi="Arial" w:cs="Arial"/>
          <w:color w:val="000000"/>
          <w:sz w:val="16"/>
          <w:szCs w:val="16"/>
          <w:lang w:eastAsia="en-AU"/>
        </w:rPr>
        <w:t>–</w:t>
      </w:r>
      <w:r>
        <w:t>200 full</w:t>
      </w:r>
      <w:r w:rsidR="00AA5B97">
        <w:noBreakHyphen/>
      </w:r>
      <w:r>
        <w:t>time equivalent employees are labelled as medium</w:t>
      </w:r>
      <w:r w:rsidR="00AA5B97">
        <w:noBreakHyphen/>
      </w:r>
      <w:r>
        <w:t>sized, and firms with more than 200 employees are labelled as large.</w:t>
      </w:r>
    </w:p>
  </w:footnote>
  <w:footnote w:id="9">
    <w:p w14:paraId="2B27252C" w14:textId="09DDEF2B" w:rsidR="0034762D" w:rsidRPr="00A95463" w:rsidRDefault="0034762D" w:rsidP="00A95463">
      <w:pPr>
        <w:pStyle w:val="FootnoteText"/>
      </w:pPr>
      <w:r w:rsidRPr="00A95463">
        <w:rPr>
          <w:rStyle w:val="FootnoteReference"/>
          <w:vertAlign w:val="baseline"/>
        </w:rPr>
        <w:footnoteRef/>
      </w:r>
      <w:r w:rsidRPr="00A95463">
        <w:t xml:space="preserve"> </w:t>
      </w:r>
      <w:r w:rsidRPr="00A95463">
        <w:tab/>
        <w:t>The main difference is that we also include a term for industry interacted with distance to the frontier. This accounts for the fact the level of mark</w:t>
      </w:r>
      <w:r w:rsidR="00AA5B97">
        <w:noBreakHyphen/>
      </w:r>
      <w:r w:rsidRPr="00A95463">
        <w:t xml:space="preserve">ups may not be well identified, though changes will be (see Hambur 2021 for a discussion). </w:t>
      </w:r>
      <w:r>
        <w:t xml:space="preserve">Not including this additional term </w:t>
      </w:r>
      <w:r w:rsidRPr="00A95463">
        <w:t>does not change the results substantially.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BD28" w14:textId="77777777" w:rsidR="00AA5B97" w:rsidRDefault="00AA5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B528" w14:textId="77777777" w:rsidR="00AA5B97" w:rsidRDefault="00AA5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DC81" w14:textId="112AB6A6" w:rsidR="0034762D" w:rsidRDefault="0034762D" w:rsidP="002C6266">
    <w:pPr>
      <w:pStyle w:val="SecurityClassificationHeader"/>
      <w:jc w:val="left"/>
    </w:pPr>
    <w:r>
      <w:rPr>
        <w:noProof/>
        <w:lang w:val="en-GB" w:eastAsia="en-GB"/>
      </w:rPr>
      <w:drawing>
        <wp:anchor distT="0" distB="0" distL="114300" distR="114300" simplePos="0" relativeHeight="251658240" behindDoc="1" locked="0" layoutInCell="1" allowOverlap="1" wp14:anchorId="3D39ACAD" wp14:editId="557A18C1">
          <wp:simplePos x="0" y="0"/>
          <wp:positionH relativeFrom="page">
            <wp:align>left</wp:align>
          </wp:positionH>
          <wp:positionV relativeFrom="page">
            <wp:posOffset>-635</wp:posOffset>
          </wp:positionV>
          <wp:extent cx="7559749" cy="1049671"/>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8364" cy="1059198"/>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2A50E53" w14:textId="77777777" w:rsidR="0034762D" w:rsidRDefault="0034762D" w:rsidP="002C6266">
    <w:pPr>
      <w:pStyle w:val="SecurityClassificationHeader"/>
      <w:jc w:val="left"/>
    </w:pPr>
  </w:p>
  <w:p w14:paraId="3C831FE0" w14:textId="16A158EF" w:rsidR="0034762D" w:rsidRPr="00F012EA" w:rsidRDefault="0034762D" w:rsidP="00F012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AA64" w14:textId="77777777" w:rsidR="0034762D" w:rsidRPr="00F012EA" w:rsidRDefault="0034762D" w:rsidP="00F01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AD75" w14:textId="77777777" w:rsidR="0034762D" w:rsidRPr="002C6266" w:rsidRDefault="0034762D" w:rsidP="002C6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0"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45B0A7E"/>
    <w:multiLevelType w:val="multilevel"/>
    <w:tmpl w:val="EDEE4FB6"/>
    <w:numStyleLink w:val="RecommendationBulletList"/>
  </w:abstractNum>
  <w:abstractNum w:abstractNumId="22"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4" w15:restartNumberingAfterBreak="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10D2021"/>
    <w:multiLevelType w:val="multilevel"/>
    <w:tmpl w:val="72F8140E"/>
    <w:numStyleLink w:val="OutlineList"/>
  </w:abstractNum>
  <w:abstractNum w:abstractNumId="26"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F73129"/>
    <w:multiLevelType w:val="multilevel"/>
    <w:tmpl w:val="D9A8A212"/>
    <w:numStyleLink w:val="RomanNumeralList"/>
  </w:abstractNum>
  <w:abstractNum w:abstractNumId="28" w15:restartNumberingAfterBreak="0">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15:restartNumberingAfterBreak="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2" w15:restartNumberingAfterBreak="0">
    <w:nsid w:val="6A5F7B24"/>
    <w:multiLevelType w:val="multilevel"/>
    <w:tmpl w:val="2090AC60"/>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3"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5"/>
  </w:num>
  <w:num w:numId="2">
    <w:abstractNumId w:val="3"/>
  </w:num>
  <w:num w:numId="3">
    <w:abstractNumId w:val="22"/>
  </w:num>
  <w:num w:numId="4">
    <w:abstractNumId w:val="18"/>
  </w:num>
  <w:num w:numId="5">
    <w:abstractNumId w:val="5"/>
  </w:num>
  <w:num w:numId="6">
    <w:abstractNumId w:val="9"/>
  </w:num>
  <w:num w:numId="7">
    <w:abstractNumId w:val="4"/>
  </w:num>
  <w:num w:numId="8">
    <w:abstractNumId w:val="6"/>
  </w:num>
  <w:num w:numId="9">
    <w:abstractNumId w:val="25"/>
  </w:num>
  <w:num w:numId="10">
    <w:abstractNumId w:val="21"/>
  </w:num>
  <w:num w:numId="11">
    <w:abstractNumId w:val="27"/>
  </w:num>
  <w:num w:numId="12">
    <w:abstractNumId w:val="17"/>
  </w:num>
  <w:num w:numId="13">
    <w:abstractNumId w:val="26"/>
  </w:num>
  <w:num w:numId="14">
    <w:abstractNumId w:val="10"/>
  </w:num>
  <w:num w:numId="15">
    <w:abstractNumId w:val="10"/>
  </w:num>
  <w:num w:numId="16">
    <w:abstractNumId w:val="20"/>
  </w:num>
  <w:num w:numId="17">
    <w:abstractNumId w:val="1"/>
  </w:num>
  <w:num w:numId="18">
    <w:abstractNumId w:val="31"/>
  </w:num>
  <w:num w:numId="19">
    <w:abstractNumId w:val="14"/>
  </w:num>
  <w:num w:numId="20">
    <w:abstractNumId w:val="19"/>
  </w:num>
  <w:num w:numId="21">
    <w:abstractNumId w:val="32"/>
  </w:num>
  <w:num w:numId="22">
    <w:abstractNumId w:val="33"/>
  </w:num>
  <w:num w:numId="23">
    <w:abstractNumId w:val="32"/>
  </w:num>
  <w:num w:numId="24">
    <w:abstractNumId w:val="32"/>
  </w:num>
  <w:num w:numId="25">
    <w:abstractNumId w:val="32"/>
  </w:num>
  <w:num w:numId="26">
    <w:abstractNumId w:val="32"/>
  </w:num>
  <w:num w:numId="27">
    <w:abstractNumId w:val="32"/>
  </w:num>
  <w:num w:numId="28">
    <w:abstractNumId w:val="32"/>
  </w:num>
  <w:num w:numId="29">
    <w:abstractNumId w:val="37"/>
  </w:num>
  <w:num w:numId="30">
    <w:abstractNumId w:val="24"/>
  </w:num>
  <w:num w:numId="31">
    <w:abstractNumId w:val="13"/>
  </w:num>
  <w:num w:numId="32">
    <w:abstractNumId w:val="28"/>
  </w:num>
  <w:num w:numId="33">
    <w:abstractNumId w:val="23"/>
  </w:num>
  <w:num w:numId="34">
    <w:abstractNumId w:val="11"/>
  </w:num>
  <w:num w:numId="35">
    <w:abstractNumId w:val="34"/>
  </w:num>
  <w:num w:numId="36">
    <w:abstractNumId w:val="8"/>
  </w:num>
  <w:num w:numId="37">
    <w:abstractNumId w:val="16"/>
  </w:num>
  <w:num w:numId="38">
    <w:abstractNumId w:val="29"/>
  </w:num>
  <w:num w:numId="39">
    <w:abstractNumId w:val="12"/>
  </w:num>
  <w:num w:numId="40">
    <w:abstractNumId w:val="36"/>
  </w:num>
  <w:num w:numId="41">
    <w:abstractNumId w:val="30"/>
  </w:num>
  <w:num w:numId="42">
    <w:abstractNumId w:val="7"/>
  </w:num>
  <w:num w:numId="43">
    <w:abstractNumId w:val="2"/>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False"/>
    <w:docVar w:name="SecurityDLMInHeader" w:val="False"/>
  </w:docVars>
  <w:rsids>
    <w:rsidRoot w:val="00A61C39"/>
    <w:rsid w:val="00002A37"/>
    <w:rsid w:val="00002B78"/>
    <w:rsid w:val="00003ACD"/>
    <w:rsid w:val="0000753C"/>
    <w:rsid w:val="00007CDE"/>
    <w:rsid w:val="000167A9"/>
    <w:rsid w:val="00020BC3"/>
    <w:rsid w:val="000217C2"/>
    <w:rsid w:val="00022667"/>
    <w:rsid w:val="00026ED9"/>
    <w:rsid w:val="0003145B"/>
    <w:rsid w:val="00031C30"/>
    <w:rsid w:val="0003545F"/>
    <w:rsid w:val="00036710"/>
    <w:rsid w:val="000424F4"/>
    <w:rsid w:val="000446BE"/>
    <w:rsid w:val="000464B6"/>
    <w:rsid w:val="0005052A"/>
    <w:rsid w:val="00051C46"/>
    <w:rsid w:val="000611E6"/>
    <w:rsid w:val="000622B2"/>
    <w:rsid w:val="0007556C"/>
    <w:rsid w:val="00077256"/>
    <w:rsid w:val="00077D52"/>
    <w:rsid w:val="000809D1"/>
    <w:rsid w:val="0008265E"/>
    <w:rsid w:val="00084046"/>
    <w:rsid w:val="00084108"/>
    <w:rsid w:val="00084335"/>
    <w:rsid w:val="00086382"/>
    <w:rsid w:val="00091054"/>
    <w:rsid w:val="00094E66"/>
    <w:rsid w:val="00095C3F"/>
    <w:rsid w:val="000B0B10"/>
    <w:rsid w:val="000B1C5E"/>
    <w:rsid w:val="000B2B81"/>
    <w:rsid w:val="000B40A3"/>
    <w:rsid w:val="000E250A"/>
    <w:rsid w:val="000E2B80"/>
    <w:rsid w:val="000F2F46"/>
    <w:rsid w:val="000F6086"/>
    <w:rsid w:val="0010021B"/>
    <w:rsid w:val="00107C8A"/>
    <w:rsid w:val="00110BD4"/>
    <w:rsid w:val="00112F9B"/>
    <w:rsid w:val="00116339"/>
    <w:rsid w:val="00123FF7"/>
    <w:rsid w:val="00136BC2"/>
    <w:rsid w:val="00142DA6"/>
    <w:rsid w:val="0014665E"/>
    <w:rsid w:val="00146EFC"/>
    <w:rsid w:val="00147046"/>
    <w:rsid w:val="00151B4C"/>
    <w:rsid w:val="00151ED1"/>
    <w:rsid w:val="00160500"/>
    <w:rsid w:val="001652F1"/>
    <w:rsid w:val="00171372"/>
    <w:rsid w:val="001759E9"/>
    <w:rsid w:val="0018403B"/>
    <w:rsid w:val="001948CC"/>
    <w:rsid w:val="001A1D48"/>
    <w:rsid w:val="001A420D"/>
    <w:rsid w:val="001A7051"/>
    <w:rsid w:val="001C1A18"/>
    <w:rsid w:val="001C3029"/>
    <w:rsid w:val="001D1F28"/>
    <w:rsid w:val="001D530A"/>
    <w:rsid w:val="001D738D"/>
    <w:rsid w:val="001E1D66"/>
    <w:rsid w:val="001E3DDC"/>
    <w:rsid w:val="001E664D"/>
    <w:rsid w:val="001F1186"/>
    <w:rsid w:val="001F373F"/>
    <w:rsid w:val="001F4CCF"/>
    <w:rsid w:val="002015AB"/>
    <w:rsid w:val="00207BFC"/>
    <w:rsid w:val="002104D4"/>
    <w:rsid w:val="00211545"/>
    <w:rsid w:val="00213CD9"/>
    <w:rsid w:val="002249D2"/>
    <w:rsid w:val="002271BB"/>
    <w:rsid w:val="002330AC"/>
    <w:rsid w:val="0024185C"/>
    <w:rsid w:val="00242CF2"/>
    <w:rsid w:val="002502CF"/>
    <w:rsid w:val="00255386"/>
    <w:rsid w:val="00257A2D"/>
    <w:rsid w:val="00262059"/>
    <w:rsid w:val="00266F30"/>
    <w:rsid w:val="00267346"/>
    <w:rsid w:val="00275A0F"/>
    <w:rsid w:val="002768B3"/>
    <w:rsid w:val="0028095E"/>
    <w:rsid w:val="00280D28"/>
    <w:rsid w:val="00285EFA"/>
    <w:rsid w:val="00291937"/>
    <w:rsid w:val="0029194C"/>
    <w:rsid w:val="00296F57"/>
    <w:rsid w:val="00297C46"/>
    <w:rsid w:val="002A04AC"/>
    <w:rsid w:val="002A2F54"/>
    <w:rsid w:val="002A4C60"/>
    <w:rsid w:val="002A7589"/>
    <w:rsid w:val="002B53E2"/>
    <w:rsid w:val="002C3075"/>
    <w:rsid w:val="002C3379"/>
    <w:rsid w:val="002C5398"/>
    <w:rsid w:val="002C6266"/>
    <w:rsid w:val="002D316D"/>
    <w:rsid w:val="002D4F75"/>
    <w:rsid w:val="002D6B33"/>
    <w:rsid w:val="002E2C78"/>
    <w:rsid w:val="002E5F5C"/>
    <w:rsid w:val="002E7527"/>
    <w:rsid w:val="002E7BDD"/>
    <w:rsid w:val="002F3DFC"/>
    <w:rsid w:val="002F73DF"/>
    <w:rsid w:val="00300AF1"/>
    <w:rsid w:val="00301A52"/>
    <w:rsid w:val="0031219B"/>
    <w:rsid w:val="003172BD"/>
    <w:rsid w:val="00321895"/>
    <w:rsid w:val="00325A4F"/>
    <w:rsid w:val="00327C5C"/>
    <w:rsid w:val="003326C6"/>
    <w:rsid w:val="00334335"/>
    <w:rsid w:val="00340568"/>
    <w:rsid w:val="003406DF"/>
    <w:rsid w:val="003427C5"/>
    <w:rsid w:val="003431D3"/>
    <w:rsid w:val="00346DDE"/>
    <w:rsid w:val="0034762D"/>
    <w:rsid w:val="0034788A"/>
    <w:rsid w:val="00354E27"/>
    <w:rsid w:val="003641BA"/>
    <w:rsid w:val="00365C6D"/>
    <w:rsid w:val="00365F51"/>
    <w:rsid w:val="0036626D"/>
    <w:rsid w:val="00380304"/>
    <w:rsid w:val="003809EA"/>
    <w:rsid w:val="00390529"/>
    <w:rsid w:val="00392703"/>
    <w:rsid w:val="00394178"/>
    <w:rsid w:val="00396D08"/>
    <w:rsid w:val="003A1A88"/>
    <w:rsid w:val="003B0501"/>
    <w:rsid w:val="003B065F"/>
    <w:rsid w:val="003B1C88"/>
    <w:rsid w:val="003B7A1B"/>
    <w:rsid w:val="003C07D3"/>
    <w:rsid w:val="003C0D83"/>
    <w:rsid w:val="003C36A2"/>
    <w:rsid w:val="003C4AED"/>
    <w:rsid w:val="003C6D17"/>
    <w:rsid w:val="003C720F"/>
    <w:rsid w:val="003D0553"/>
    <w:rsid w:val="003D0E71"/>
    <w:rsid w:val="003D1C34"/>
    <w:rsid w:val="003D1E9F"/>
    <w:rsid w:val="003D27B3"/>
    <w:rsid w:val="003D296C"/>
    <w:rsid w:val="003D3975"/>
    <w:rsid w:val="003D3DC9"/>
    <w:rsid w:val="003D4174"/>
    <w:rsid w:val="003D7699"/>
    <w:rsid w:val="003E0E7B"/>
    <w:rsid w:val="003E1625"/>
    <w:rsid w:val="003E3374"/>
    <w:rsid w:val="003E3BAA"/>
    <w:rsid w:val="003E3EF6"/>
    <w:rsid w:val="003E6B90"/>
    <w:rsid w:val="003F1CC8"/>
    <w:rsid w:val="003F2E6E"/>
    <w:rsid w:val="003F5A58"/>
    <w:rsid w:val="00401144"/>
    <w:rsid w:val="004025D4"/>
    <w:rsid w:val="00405641"/>
    <w:rsid w:val="00406016"/>
    <w:rsid w:val="00410870"/>
    <w:rsid w:val="00413141"/>
    <w:rsid w:val="0041393F"/>
    <w:rsid w:val="00416E7C"/>
    <w:rsid w:val="004224E2"/>
    <w:rsid w:val="00426ADC"/>
    <w:rsid w:val="00426CC1"/>
    <w:rsid w:val="00436D6C"/>
    <w:rsid w:val="004370F4"/>
    <w:rsid w:val="00447FF3"/>
    <w:rsid w:val="00457AC1"/>
    <w:rsid w:val="00460338"/>
    <w:rsid w:val="00460A29"/>
    <w:rsid w:val="00460C65"/>
    <w:rsid w:val="00461BCE"/>
    <w:rsid w:val="00461EA9"/>
    <w:rsid w:val="00462996"/>
    <w:rsid w:val="004644F0"/>
    <w:rsid w:val="00467100"/>
    <w:rsid w:val="00475420"/>
    <w:rsid w:val="0047545F"/>
    <w:rsid w:val="00475FCD"/>
    <w:rsid w:val="004776A8"/>
    <w:rsid w:val="00477B0A"/>
    <w:rsid w:val="00481BC5"/>
    <w:rsid w:val="004938C7"/>
    <w:rsid w:val="004942A1"/>
    <w:rsid w:val="00494DE6"/>
    <w:rsid w:val="004A00FC"/>
    <w:rsid w:val="004A2F9B"/>
    <w:rsid w:val="004A3CBB"/>
    <w:rsid w:val="004A7482"/>
    <w:rsid w:val="004B0255"/>
    <w:rsid w:val="004B07A5"/>
    <w:rsid w:val="004B104B"/>
    <w:rsid w:val="004B4A67"/>
    <w:rsid w:val="004B4AC1"/>
    <w:rsid w:val="004C167F"/>
    <w:rsid w:val="004C3FAC"/>
    <w:rsid w:val="004E00D4"/>
    <w:rsid w:val="004E0206"/>
    <w:rsid w:val="004E33C8"/>
    <w:rsid w:val="004E52BA"/>
    <w:rsid w:val="004F0437"/>
    <w:rsid w:val="004F245B"/>
    <w:rsid w:val="004F4EE7"/>
    <w:rsid w:val="00500704"/>
    <w:rsid w:val="00503B5A"/>
    <w:rsid w:val="00504D8F"/>
    <w:rsid w:val="0051062D"/>
    <w:rsid w:val="0051251F"/>
    <w:rsid w:val="00520B45"/>
    <w:rsid w:val="00522A99"/>
    <w:rsid w:val="00525DDE"/>
    <w:rsid w:val="005330BB"/>
    <w:rsid w:val="0053492B"/>
    <w:rsid w:val="00546A32"/>
    <w:rsid w:val="00554034"/>
    <w:rsid w:val="00555B0A"/>
    <w:rsid w:val="00562EFB"/>
    <w:rsid w:val="005672CE"/>
    <w:rsid w:val="00567D04"/>
    <w:rsid w:val="0057074A"/>
    <w:rsid w:val="005727D8"/>
    <w:rsid w:val="00573F1A"/>
    <w:rsid w:val="005904CD"/>
    <w:rsid w:val="005927D9"/>
    <w:rsid w:val="00594613"/>
    <w:rsid w:val="00595366"/>
    <w:rsid w:val="00595B74"/>
    <w:rsid w:val="005A4A50"/>
    <w:rsid w:val="005A4E9F"/>
    <w:rsid w:val="005B04BC"/>
    <w:rsid w:val="005B52C6"/>
    <w:rsid w:val="005B5784"/>
    <w:rsid w:val="005B6F33"/>
    <w:rsid w:val="005C7CED"/>
    <w:rsid w:val="005D1816"/>
    <w:rsid w:val="005D6E5F"/>
    <w:rsid w:val="005E0462"/>
    <w:rsid w:val="005E59F7"/>
    <w:rsid w:val="005F100C"/>
    <w:rsid w:val="005F3390"/>
    <w:rsid w:val="005F5653"/>
    <w:rsid w:val="005F6327"/>
    <w:rsid w:val="005F66EC"/>
    <w:rsid w:val="005F6814"/>
    <w:rsid w:val="005F6EA2"/>
    <w:rsid w:val="005F7AD3"/>
    <w:rsid w:val="00601C60"/>
    <w:rsid w:val="0061186B"/>
    <w:rsid w:val="00614BAC"/>
    <w:rsid w:val="00622835"/>
    <w:rsid w:val="00623699"/>
    <w:rsid w:val="006256B3"/>
    <w:rsid w:val="006278BA"/>
    <w:rsid w:val="006312E0"/>
    <w:rsid w:val="00636B3D"/>
    <w:rsid w:val="00641AA2"/>
    <w:rsid w:val="00642134"/>
    <w:rsid w:val="00642C1E"/>
    <w:rsid w:val="0064363A"/>
    <w:rsid w:val="00643C05"/>
    <w:rsid w:val="00645698"/>
    <w:rsid w:val="006457CC"/>
    <w:rsid w:val="00645C8C"/>
    <w:rsid w:val="006560A5"/>
    <w:rsid w:val="00656B9C"/>
    <w:rsid w:val="006630DF"/>
    <w:rsid w:val="00663905"/>
    <w:rsid w:val="00667E0E"/>
    <w:rsid w:val="00667EBC"/>
    <w:rsid w:val="00672387"/>
    <w:rsid w:val="006738B3"/>
    <w:rsid w:val="00676B7F"/>
    <w:rsid w:val="006809FA"/>
    <w:rsid w:val="00684F15"/>
    <w:rsid w:val="00685EDA"/>
    <w:rsid w:val="00686B5D"/>
    <w:rsid w:val="00686E84"/>
    <w:rsid w:val="00693096"/>
    <w:rsid w:val="00696225"/>
    <w:rsid w:val="006A07B9"/>
    <w:rsid w:val="006A30A5"/>
    <w:rsid w:val="006B2CEB"/>
    <w:rsid w:val="006B3D2F"/>
    <w:rsid w:val="006B4AAC"/>
    <w:rsid w:val="006C2025"/>
    <w:rsid w:val="006C76BC"/>
    <w:rsid w:val="006D2C31"/>
    <w:rsid w:val="006D2F8C"/>
    <w:rsid w:val="006D6023"/>
    <w:rsid w:val="006D61BE"/>
    <w:rsid w:val="006D6C1D"/>
    <w:rsid w:val="006E1304"/>
    <w:rsid w:val="006E4318"/>
    <w:rsid w:val="006E5E08"/>
    <w:rsid w:val="006E6989"/>
    <w:rsid w:val="006F3E0E"/>
    <w:rsid w:val="006F7475"/>
    <w:rsid w:val="00711B61"/>
    <w:rsid w:val="00714153"/>
    <w:rsid w:val="0072199F"/>
    <w:rsid w:val="007247D8"/>
    <w:rsid w:val="007248BA"/>
    <w:rsid w:val="00724F5D"/>
    <w:rsid w:val="00731120"/>
    <w:rsid w:val="00732E4F"/>
    <w:rsid w:val="007340A1"/>
    <w:rsid w:val="007461FE"/>
    <w:rsid w:val="00751967"/>
    <w:rsid w:val="00752B0F"/>
    <w:rsid w:val="00755C1F"/>
    <w:rsid w:val="00767F36"/>
    <w:rsid w:val="007716AE"/>
    <w:rsid w:val="0077349B"/>
    <w:rsid w:val="00777B4C"/>
    <w:rsid w:val="0078304B"/>
    <w:rsid w:val="00783CB4"/>
    <w:rsid w:val="00787536"/>
    <w:rsid w:val="007921B3"/>
    <w:rsid w:val="00793BDB"/>
    <w:rsid w:val="007974F9"/>
    <w:rsid w:val="007A1282"/>
    <w:rsid w:val="007A1ADA"/>
    <w:rsid w:val="007A2ACB"/>
    <w:rsid w:val="007A604B"/>
    <w:rsid w:val="007B0C23"/>
    <w:rsid w:val="007C48F0"/>
    <w:rsid w:val="007D066F"/>
    <w:rsid w:val="007D5DC2"/>
    <w:rsid w:val="007D5EA4"/>
    <w:rsid w:val="007E0165"/>
    <w:rsid w:val="007F40D6"/>
    <w:rsid w:val="007F6449"/>
    <w:rsid w:val="007F688F"/>
    <w:rsid w:val="00803B2A"/>
    <w:rsid w:val="00812433"/>
    <w:rsid w:val="00813863"/>
    <w:rsid w:val="00816F72"/>
    <w:rsid w:val="0082097D"/>
    <w:rsid w:val="0082751C"/>
    <w:rsid w:val="00833945"/>
    <w:rsid w:val="00833A43"/>
    <w:rsid w:val="00833CBD"/>
    <w:rsid w:val="00834F90"/>
    <w:rsid w:val="008411CA"/>
    <w:rsid w:val="00844953"/>
    <w:rsid w:val="008456E4"/>
    <w:rsid w:val="008463BA"/>
    <w:rsid w:val="008627B1"/>
    <w:rsid w:val="00864D1D"/>
    <w:rsid w:val="00864DCE"/>
    <w:rsid w:val="0086513B"/>
    <w:rsid w:val="00873E43"/>
    <w:rsid w:val="00875FB8"/>
    <w:rsid w:val="00880ADB"/>
    <w:rsid w:val="008816B6"/>
    <w:rsid w:val="00883BE5"/>
    <w:rsid w:val="008847CC"/>
    <w:rsid w:val="0088504C"/>
    <w:rsid w:val="00885269"/>
    <w:rsid w:val="00890ECB"/>
    <w:rsid w:val="008A5C91"/>
    <w:rsid w:val="008A7EDB"/>
    <w:rsid w:val="008B49AC"/>
    <w:rsid w:val="008B6ED4"/>
    <w:rsid w:val="008C0793"/>
    <w:rsid w:val="008C1101"/>
    <w:rsid w:val="008C124D"/>
    <w:rsid w:val="008C2DFA"/>
    <w:rsid w:val="008C3FDF"/>
    <w:rsid w:val="008D08BE"/>
    <w:rsid w:val="008D2FDA"/>
    <w:rsid w:val="008F1ACC"/>
    <w:rsid w:val="008F2AFE"/>
    <w:rsid w:val="008F373B"/>
    <w:rsid w:val="008F439C"/>
    <w:rsid w:val="0090339D"/>
    <w:rsid w:val="009211B9"/>
    <w:rsid w:val="0092354D"/>
    <w:rsid w:val="00927E2D"/>
    <w:rsid w:val="00931961"/>
    <w:rsid w:val="00936238"/>
    <w:rsid w:val="00954BBB"/>
    <w:rsid w:val="0095562B"/>
    <w:rsid w:val="00955F84"/>
    <w:rsid w:val="0096002D"/>
    <w:rsid w:val="009630FD"/>
    <w:rsid w:val="00967496"/>
    <w:rsid w:val="00970BC9"/>
    <w:rsid w:val="0097280B"/>
    <w:rsid w:val="00984E70"/>
    <w:rsid w:val="009862D1"/>
    <w:rsid w:val="00986C3E"/>
    <w:rsid w:val="00986E49"/>
    <w:rsid w:val="009879EA"/>
    <w:rsid w:val="009932EC"/>
    <w:rsid w:val="009962B7"/>
    <w:rsid w:val="009A2234"/>
    <w:rsid w:val="009A251C"/>
    <w:rsid w:val="009C00CF"/>
    <w:rsid w:val="009C1116"/>
    <w:rsid w:val="009C4D02"/>
    <w:rsid w:val="009C57C2"/>
    <w:rsid w:val="009C743C"/>
    <w:rsid w:val="009C78AD"/>
    <w:rsid w:val="009C7E17"/>
    <w:rsid w:val="009D0790"/>
    <w:rsid w:val="009E4559"/>
    <w:rsid w:val="009F03FA"/>
    <w:rsid w:val="009F5527"/>
    <w:rsid w:val="00A03004"/>
    <w:rsid w:val="00A053BF"/>
    <w:rsid w:val="00A1424E"/>
    <w:rsid w:val="00A14945"/>
    <w:rsid w:val="00A14CD9"/>
    <w:rsid w:val="00A1658C"/>
    <w:rsid w:val="00A214CC"/>
    <w:rsid w:val="00A2599E"/>
    <w:rsid w:val="00A3513E"/>
    <w:rsid w:val="00A37086"/>
    <w:rsid w:val="00A401A6"/>
    <w:rsid w:val="00A40BA2"/>
    <w:rsid w:val="00A42F49"/>
    <w:rsid w:val="00A44201"/>
    <w:rsid w:val="00A52696"/>
    <w:rsid w:val="00A537E0"/>
    <w:rsid w:val="00A55267"/>
    <w:rsid w:val="00A5712B"/>
    <w:rsid w:val="00A57848"/>
    <w:rsid w:val="00A61C39"/>
    <w:rsid w:val="00A70A82"/>
    <w:rsid w:val="00A70E06"/>
    <w:rsid w:val="00A75F04"/>
    <w:rsid w:val="00A76B6B"/>
    <w:rsid w:val="00A81BBD"/>
    <w:rsid w:val="00A83186"/>
    <w:rsid w:val="00A84E4D"/>
    <w:rsid w:val="00A93707"/>
    <w:rsid w:val="00A95463"/>
    <w:rsid w:val="00A9572D"/>
    <w:rsid w:val="00AA192A"/>
    <w:rsid w:val="00AA4528"/>
    <w:rsid w:val="00AA5B97"/>
    <w:rsid w:val="00AA66C7"/>
    <w:rsid w:val="00AB302F"/>
    <w:rsid w:val="00AB4C00"/>
    <w:rsid w:val="00AB525B"/>
    <w:rsid w:val="00AC0C9A"/>
    <w:rsid w:val="00AC0EAA"/>
    <w:rsid w:val="00AC31EA"/>
    <w:rsid w:val="00AC32BB"/>
    <w:rsid w:val="00AD06A5"/>
    <w:rsid w:val="00AD08D6"/>
    <w:rsid w:val="00AD27DF"/>
    <w:rsid w:val="00AD39AF"/>
    <w:rsid w:val="00AD4EC9"/>
    <w:rsid w:val="00AE0CC0"/>
    <w:rsid w:val="00AE17B1"/>
    <w:rsid w:val="00AE20C7"/>
    <w:rsid w:val="00AE24A0"/>
    <w:rsid w:val="00AE6EE0"/>
    <w:rsid w:val="00B16425"/>
    <w:rsid w:val="00B1740D"/>
    <w:rsid w:val="00B204F3"/>
    <w:rsid w:val="00B21F89"/>
    <w:rsid w:val="00B26310"/>
    <w:rsid w:val="00B352A3"/>
    <w:rsid w:val="00B360B1"/>
    <w:rsid w:val="00B41BD5"/>
    <w:rsid w:val="00B457F0"/>
    <w:rsid w:val="00B47935"/>
    <w:rsid w:val="00B52FE8"/>
    <w:rsid w:val="00B55137"/>
    <w:rsid w:val="00B55551"/>
    <w:rsid w:val="00B7386C"/>
    <w:rsid w:val="00B74022"/>
    <w:rsid w:val="00B804EF"/>
    <w:rsid w:val="00B81DDA"/>
    <w:rsid w:val="00B85654"/>
    <w:rsid w:val="00B85F7B"/>
    <w:rsid w:val="00B87B7C"/>
    <w:rsid w:val="00B91C44"/>
    <w:rsid w:val="00B93A9B"/>
    <w:rsid w:val="00B93D20"/>
    <w:rsid w:val="00B93D62"/>
    <w:rsid w:val="00BA160F"/>
    <w:rsid w:val="00BA1E9A"/>
    <w:rsid w:val="00BA276D"/>
    <w:rsid w:val="00BA5B9E"/>
    <w:rsid w:val="00BA6613"/>
    <w:rsid w:val="00BA6BF3"/>
    <w:rsid w:val="00BA7858"/>
    <w:rsid w:val="00BB3278"/>
    <w:rsid w:val="00BC4ADF"/>
    <w:rsid w:val="00BC5A10"/>
    <w:rsid w:val="00BC6527"/>
    <w:rsid w:val="00BD0695"/>
    <w:rsid w:val="00BD491D"/>
    <w:rsid w:val="00BD4AB6"/>
    <w:rsid w:val="00BD61BC"/>
    <w:rsid w:val="00BD6DC8"/>
    <w:rsid w:val="00BE04C3"/>
    <w:rsid w:val="00BE59DB"/>
    <w:rsid w:val="00BF1EC1"/>
    <w:rsid w:val="00BF2303"/>
    <w:rsid w:val="00BF70D7"/>
    <w:rsid w:val="00C07F94"/>
    <w:rsid w:val="00C107E9"/>
    <w:rsid w:val="00C2171A"/>
    <w:rsid w:val="00C26278"/>
    <w:rsid w:val="00C26351"/>
    <w:rsid w:val="00C34961"/>
    <w:rsid w:val="00C37365"/>
    <w:rsid w:val="00C402EA"/>
    <w:rsid w:val="00C52D70"/>
    <w:rsid w:val="00C53DA6"/>
    <w:rsid w:val="00C54858"/>
    <w:rsid w:val="00C6037A"/>
    <w:rsid w:val="00C63763"/>
    <w:rsid w:val="00C642AE"/>
    <w:rsid w:val="00C6781A"/>
    <w:rsid w:val="00C73BF2"/>
    <w:rsid w:val="00C80862"/>
    <w:rsid w:val="00C86465"/>
    <w:rsid w:val="00C8767F"/>
    <w:rsid w:val="00C87EE9"/>
    <w:rsid w:val="00C90F65"/>
    <w:rsid w:val="00C911C1"/>
    <w:rsid w:val="00C9159F"/>
    <w:rsid w:val="00C91E39"/>
    <w:rsid w:val="00C9312F"/>
    <w:rsid w:val="00C93C78"/>
    <w:rsid w:val="00C95BCA"/>
    <w:rsid w:val="00CA4AC3"/>
    <w:rsid w:val="00CA4F7D"/>
    <w:rsid w:val="00CB1047"/>
    <w:rsid w:val="00CB1E5D"/>
    <w:rsid w:val="00CB2127"/>
    <w:rsid w:val="00CB224A"/>
    <w:rsid w:val="00CB6AA7"/>
    <w:rsid w:val="00CC086B"/>
    <w:rsid w:val="00CC1A8A"/>
    <w:rsid w:val="00CC67EF"/>
    <w:rsid w:val="00CC755F"/>
    <w:rsid w:val="00CD0B27"/>
    <w:rsid w:val="00CD4251"/>
    <w:rsid w:val="00CD574B"/>
    <w:rsid w:val="00CD6FE7"/>
    <w:rsid w:val="00CE177B"/>
    <w:rsid w:val="00CE199A"/>
    <w:rsid w:val="00CE38A1"/>
    <w:rsid w:val="00CE6CCA"/>
    <w:rsid w:val="00CF0660"/>
    <w:rsid w:val="00CF4A07"/>
    <w:rsid w:val="00D01A20"/>
    <w:rsid w:val="00D03DEF"/>
    <w:rsid w:val="00D04F94"/>
    <w:rsid w:val="00D11517"/>
    <w:rsid w:val="00D27C67"/>
    <w:rsid w:val="00D4005D"/>
    <w:rsid w:val="00D46334"/>
    <w:rsid w:val="00D575FF"/>
    <w:rsid w:val="00D6257B"/>
    <w:rsid w:val="00D626D5"/>
    <w:rsid w:val="00D70209"/>
    <w:rsid w:val="00D70526"/>
    <w:rsid w:val="00D70EBE"/>
    <w:rsid w:val="00D81AF0"/>
    <w:rsid w:val="00D82B97"/>
    <w:rsid w:val="00D8323D"/>
    <w:rsid w:val="00D83627"/>
    <w:rsid w:val="00D83E9F"/>
    <w:rsid w:val="00D8723D"/>
    <w:rsid w:val="00D93E8F"/>
    <w:rsid w:val="00DA058D"/>
    <w:rsid w:val="00DA3918"/>
    <w:rsid w:val="00DA4AB7"/>
    <w:rsid w:val="00DB0225"/>
    <w:rsid w:val="00DB1E9A"/>
    <w:rsid w:val="00DC1531"/>
    <w:rsid w:val="00DC5D70"/>
    <w:rsid w:val="00DC6201"/>
    <w:rsid w:val="00DC6F1B"/>
    <w:rsid w:val="00DE2B14"/>
    <w:rsid w:val="00DE3A01"/>
    <w:rsid w:val="00DF4C82"/>
    <w:rsid w:val="00DF4F94"/>
    <w:rsid w:val="00DF6FB3"/>
    <w:rsid w:val="00E0072E"/>
    <w:rsid w:val="00E13B71"/>
    <w:rsid w:val="00E177C9"/>
    <w:rsid w:val="00E2425F"/>
    <w:rsid w:val="00E31A13"/>
    <w:rsid w:val="00E31AFE"/>
    <w:rsid w:val="00E37175"/>
    <w:rsid w:val="00E44260"/>
    <w:rsid w:val="00E50813"/>
    <w:rsid w:val="00E520F8"/>
    <w:rsid w:val="00E54BA2"/>
    <w:rsid w:val="00E54DB4"/>
    <w:rsid w:val="00E64E1B"/>
    <w:rsid w:val="00E64E9E"/>
    <w:rsid w:val="00E75318"/>
    <w:rsid w:val="00E93520"/>
    <w:rsid w:val="00E96C21"/>
    <w:rsid w:val="00E97758"/>
    <w:rsid w:val="00EA0B27"/>
    <w:rsid w:val="00EA1006"/>
    <w:rsid w:val="00EA3208"/>
    <w:rsid w:val="00EA4CB3"/>
    <w:rsid w:val="00EA666C"/>
    <w:rsid w:val="00EA7383"/>
    <w:rsid w:val="00EA7AB8"/>
    <w:rsid w:val="00EB061E"/>
    <w:rsid w:val="00EB0CE8"/>
    <w:rsid w:val="00EB169C"/>
    <w:rsid w:val="00EB2F42"/>
    <w:rsid w:val="00EB4989"/>
    <w:rsid w:val="00EB565A"/>
    <w:rsid w:val="00EB74FC"/>
    <w:rsid w:val="00EC0ED9"/>
    <w:rsid w:val="00EC73AC"/>
    <w:rsid w:val="00ED1767"/>
    <w:rsid w:val="00ED3AEF"/>
    <w:rsid w:val="00ED3B09"/>
    <w:rsid w:val="00ED5BA5"/>
    <w:rsid w:val="00EE1893"/>
    <w:rsid w:val="00EE4487"/>
    <w:rsid w:val="00EE6F94"/>
    <w:rsid w:val="00EF07B2"/>
    <w:rsid w:val="00EF1030"/>
    <w:rsid w:val="00EF3E90"/>
    <w:rsid w:val="00EF5D56"/>
    <w:rsid w:val="00F012EA"/>
    <w:rsid w:val="00F026D5"/>
    <w:rsid w:val="00F036EF"/>
    <w:rsid w:val="00F05D62"/>
    <w:rsid w:val="00F06FAF"/>
    <w:rsid w:val="00F10822"/>
    <w:rsid w:val="00F160E6"/>
    <w:rsid w:val="00F214A2"/>
    <w:rsid w:val="00F22140"/>
    <w:rsid w:val="00F264DD"/>
    <w:rsid w:val="00F2665C"/>
    <w:rsid w:val="00F27E35"/>
    <w:rsid w:val="00F33A6A"/>
    <w:rsid w:val="00F41E30"/>
    <w:rsid w:val="00F47D47"/>
    <w:rsid w:val="00F5601D"/>
    <w:rsid w:val="00F60530"/>
    <w:rsid w:val="00F65E35"/>
    <w:rsid w:val="00F703DE"/>
    <w:rsid w:val="00F720F4"/>
    <w:rsid w:val="00F73064"/>
    <w:rsid w:val="00F73D9F"/>
    <w:rsid w:val="00F7433E"/>
    <w:rsid w:val="00F74714"/>
    <w:rsid w:val="00F74B64"/>
    <w:rsid w:val="00F75477"/>
    <w:rsid w:val="00F805AB"/>
    <w:rsid w:val="00F80D96"/>
    <w:rsid w:val="00F81046"/>
    <w:rsid w:val="00F82068"/>
    <w:rsid w:val="00F8675B"/>
    <w:rsid w:val="00F87048"/>
    <w:rsid w:val="00F90417"/>
    <w:rsid w:val="00F913A3"/>
    <w:rsid w:val="00F91CB6"/>
    <w:rsid w:val="00F92AD7"/>
    <w:rsid w:val="00F975B8"/>
    <w:rsid w:val="00FA0D2B"/>
    <w:rsid w:val="00FA240A"/>
    <w:rsid w:val="00FA43CB"/>
    <w:rsid w:val="00FA4F94"/>
    <w:rsid w:val="00FA6CA9"/>
    <w:rsid w:val="00FB0004"/>
    <w:rsid w:val="00FB1406"/>
    <w:rsid w:val="00FB3FED"/>
    <w:rsid w:val="00FB59AE"/>
    <w:rsid w:val="00FB6683"/>
    <w:rsid w:val="00FC1887"/>
    <w:rsid w:val="00FD51DD"/>
    <w:rsid w:val="00FE1B77"/>
    <w:rsid w:val="00FE1DEF"/>
    <w:rsid w:val="00FE4B7F"/>
    <w:rsid w:val="00FF0CD2"/>
    <w:rsid w:val="00FF1D17"/>
    <w:rsid w:val="00FF3F4E"/>
    <w:rsid w:val="00FF4FD6"/>
    <w:rsid w:val="00FF7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EFFDD"/>
  <w15:docId w15:val="{129461A9-F178-4681-8C06-A687E404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46"/>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084046"/>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084046"/>
    <w:pPr>
      <w:widowControl w:val="0"/>
      <w:numPr>
        <w:numId w:val="21"/>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084046"/>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084046"/>
    <w:pPr>
      <w:numPr>
        <w:ilvl w:val="2"/>
        <w:numId w:val="21"/>
      </w:numPr>
      <w:tabs>
        <w:tab w:val="left" w:pos="680"/>
      </w:tabs>
      <w:spacing w:after="120"/>
      <w:outlineLvl w:val="3"/>
    </w:pPr>
    <w:rPr>
      <w:b/>
    </w:rPr>
  </w:style>
  <w:style w:type="paragraph" w:styleId="Heading5">
    <w:name w:val="heading 5"/>
    <w:basedOn w:val="HeadingBaseStyle"/>
    <w:next w:val="Normal"/>
    <w:link w:val="Heading5Char"/>
    <w:autoRedefine/>
    <w:rsid w:val="00084046"/>
    <w:pPr>
      <w:spacing w:after="240"/>
      <w:outlineLvl w:val="4"/>
    </w:pPr>
    <w:rPr>
      <w:i/>
    </w:rPr>
  </w:style>
  <w:style w:type="paragraph" w:styleId="Heading6">
    <w:name w:val="heading 6"/>
    <w:basedOn w:val="HeadingBaseStyle"/>
    <w:next w:val="Normal"/>
    <w:link w:val="Heading6Char"/>
    <w:rsid w:val="00084046"/>
    <w:pPr>
      <w:widowControl w:val="0"/>
      <w:spacing w:after="60"/>
      <w:outlineLvl w:val="5"/>
    </w:pPr>
    <w:rPr>
      <w:snapToGrid w:val="0"/>
      <w:sz w:val="19"/>
    </w:rPr>
  </w:style>
  <w:style w:type="paragraph" w:styleId="Heading7">
    <w:name w:val="heading 7"/>
    <w:basedOn w:val="Normal"/>
    <w:next w:val="Normal"/>
    <w:link w:val="Heading7Char"/>
    <w:rsid w:val="00084046"/>
    <w:pPr>
      <w:spacing w:after="0"/>
      <w:outlineLvl w:val="6"/>
    </w:pPr>
    <w:rPr>
      <w:rFonts w:ascii="Arial" w:hAnsi="Arial"/>
      <w:color w:val="000080"/>
      <w:sz w:val="19"/>
      <w:u w:val="single"/>
    </w:rPr>
  </w:style>
  <w:style w:type="paragraph" w:styleId="Heading8">
    <w:name w:val="heading 8"/>
    <w:basedOn w:val="Normal"/>
    <w:next w:val="Normal"/>
    <w:link w:val="Heading8Char"/>
    <w:rsid w:val="00084046"/>
    <w:pPr>
      <w:keepNext/>
      <w:spacing w:before="120" w:after="60" w:line="0" w:lineRule="atLeast"/>
      <w:outlineLvl w:val="7"/>
    </w:pPr>
    <w:rPr>
      <w:b/>
      <w:color w:val="000080"/>
    </w:rPr>
  </w:style>
  <w:style w:type="paragraph" w:styleId="Heading9">
    <w:name w:val="heading 9"/>
    <w:basedOn w:val="Normal"/>
    <w:next w:val="Normal"/>
    <w:link w:val="Heading9Char"/>
    <w:rsid w:val="00084046"/>
    <w:pPr>
      <w:spacing w:before="240" w:after="60"/>
      <w:outlineLvl w:val="8"/>
    </w:pPr>
    <w:rPr>
      <w:color w:val="000080"/>
      <w:u w:val="single"/>
    </w:rPr>
  </w:style>
  <w:style w:type="character" w:default="1" w:styleId="DefaultParagraphFont">
    <w:name w:val="Default Paragraph Font"/>
    <w:uiPriority w:val="1"/>
    <w:semiHidden/>
    <w:unhideWhenUsed/>
    <w:rsid w:val="000840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4046"/>
  </w:style>
  <w:style w:type="paragraph" w:customStyle="1" w:styleId="HeadingBase">
    <w:name w:val="Heading Base"/>
    <w:next w:val="Normal"/>
    <w:rsid w:val="0008404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084046"/>
    <w:rPr>
      <w:rFonts w:ascii="Arial Bold" w:hAnsi="Arial Bold"/>
      <w:b/>
      <w:smallCaps/>
      <w:color w:val="2C384A" w:themeColor="accent1"/>
      <w:sz w:val="36"/>
    </w:rPr>
  </w:style>
  <w:style w:type="character" w:customStyle="1" w:styleId="Heading2Char">
    <w:name w:val="Heading 2 Char"/>
    <w:basedOn w:val="DefaultParagraphFont"/>
    <w:link w:val="Heading2"/>
    <w:rsid w:val="00084046"/>
    <w:rPr>
      <w:rFonts w:ascii="Arial Bold" w:hAnsi="Arial Bold"/>
      <w:b/>
      <w:smallCaps/>
      <w:color w:val="2C384A" w:themeColor="accent1"/>
      <w:sz w:val="32"/>
    </w:rPr>
  </w:style>
  <w:style w:type="character" w:customStyle="1" w:styleId="Heading3Char">
    <w:name w:val="Heading 3 Char"/>
    <w:basedOn w:val="DefaultParagraphFont"/>
    <w:link w:val="Heading3"/>
    <w:rsid w:val="00084046"/>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084046"/>
    <w:rPr>
      <w:rFonts w:ascii="Arial" w:hAnsi="Arial"/>
      <w:b/>
      <w:color w:val="2C384A" w:themeColor="accent1"/>
    </w:rPr>
  </w:style>
  <w:style w:type="character" w:customStyle="1" w:styleId="Heading5Char">
    <w:name w:val="Heading 5 Char"/>
    <w:basedOn w:val="DefaultParagraphFont"/>
    <w:link w:val="Heading5"/>
    <w:rsid w:val="00084046"/>
    <w:rPr>
      <w:rFonts w:ascii="Arial" w:hAnsi="Arial"/>
      <w:i/>
      <w:color w:val="2C384A" w:themeColor="accent1"/>
    </w:rPr>
  </w:style>
  <w:style w:type="character" w:customStyle="1" w:styleId="Heading6Char">
    <w:name w:val="Heading 6 Char"/>
    <w:basedOn w:val="DefaultParagraphFont"/>
    <w:link w:val="Heading6"/>
    <w:rsid w:val="00084046"/>
    <w:rPr>
      <w:rFonts w:ascii="Arial" w:hAnsi="Arial"/>
      <w:snapToGrid w:val="0"/>
      <w:color w:val="2C384A" w:themeColor="accent1"/>
      <w:sz w:val="19"/>
    </w:rPr>
  </w:style>
  <w:style w:type="character" w:customStyle="1" w:styleId="Heading7Char">
    <w:name w:val="Heading 7 Char"/>
    <w:basedOn w:val="DefaultParagraphFont"/>
    <w:link w:val="Heading7"/>
    <w:rsid w:val="00084046"/>
    <w:rPr>
      <w:rFonts w:ascii="Arial" w:hAnsi="Arial"/>
      <w:color w:val="000080"/>
      <w:sz w:val="19"/>
      <w:u w:val="single"/>
    </w:rPr>
  </w:style>
  <w:style w:type="character" w:customStyle="1" w:styleId="Heading8Char">
    <w:name w:val="Heading 8 Char"/>
    <w:basedOn w:val="DefaultParagraphFont"/>
    <w:link w:val="Heading8"/>
    <w:rsid w:val="00084046"/>
    <w:rPr>
      <w:rFonts w:ascii="Calibri" w:hAnsi="Calibri"/>
      <w:b/>
      <w:color w:val="000080"/>
    </w:rPr>
  </w:style>
  <w:style w:type="character" w:customStyle="1" w:styleId="Heading9Char">
    <w:name w:val="Heading 9 Char"/>
    <w:basedOn w:val="DefaultParagraphFont"/>
    <w:link w:val="Heading9"/>
    <w:rsid w:val="00084046"/>
    <w:rPr>
      <w:rFonts w:ascii="Calibri" w:hAnsi="Calibri"/>
      <w:color w:val="000080"/>
      <w:u w:val="single"/>
    </w:rPr>
  </w:style>
  <w:style w:type="paragraph" w:customStyle="1" w:styleId="ChartGraphic">
    <w:name w:val="Chart Graphic"/>
    <w:basedOn w:val="HeadingBase"/>
    <w:next w:val="Normal"/>
    <w:rsid w:val="00084046"/>
    <w:pPr>
      <w:jc w:val="center"/>
    </w:pPr>
  </w:style>
  <w:style w:type="paragraph" w:customStyle="1" w:styleId="TableGraphic">
    <w:name w:val="Table Graphic"/>
    <w:basedOn w:val="HeadingBase"/>
    <w:next w:val="Normal"/>
    <w:rsid w:val="00084046"/>
  </w:style>
  <w:style w:type="paragraph" w:customStyle="1" w:styleId="AlphaParagraph">
    <w:name w:val="Alpha Paragraph"/>
    <w:basedOn w:val="Normal"/>
    <w:qFormat/>
    <w:rsid w:val="00084046"/>
    <w:pPr>
      <w:numPr>
        <w:numId w:val="3"/>
      </w:numPr>
    </w:pPr>
  </w:style>
  <w:style w:type="paragraph" w:customStyle="1" w:styleId="AppendixHeading">
    <w:name w:val="Appendix Heading"/>
    <w:basedOn w:val="HeadingBase"/>
    <w:next w:val="Normal"/>
    <w:rsid w:val="00084046"/>
    <w:pPr>
      <w:spacing w:before="720" w:after="360"/>
      <w:outlineLvl w:val="0"/>
    </w:pPr>
    <w:rPr>
      <w:sz w:val="36"/>
      <w:szCs w:val="36"/>
    </w:rPr>
  </w:style>
  <w:style w:type="paragraph" w:styleId="BalloonText">
    <w:name w:val="Balloon Text"/>
    <w:basedOn w:val="Normal"/>
    <w:link w:val="BalloonTextChar"/>
    <w:rsid w:val="00084046"/>
    <w:pPr>
      <w:spacing w:after="0"/>
    </w:pPr>
    <w:rPr>
      <w:rFonts w:ascii="Tahoma" w:hAnsi="Tahoma" w:cs="Tahoma"/>
      <w:sz w:val="16"/>
      <w:szCs w:val="16"/>
    </w:rPr>
  </w:style>
  <w:style w:type="character" w:customStyle="1" w:styleId="BalloonTextChar">
    <w:name w:val="Balloon Text Char"/>
    <w:basedOn w:val="DefaultParagraphFont"/>
    <w:link w:val="BalloonText"/>
    <w:rsid w:val="00084046"/>
    <w:rPr>
      <w:rFonts w:ascii="Tahoma" w:hAnsi="Tahoma" w:cs="Tahoma"/>
      <w:color w:val="000000" w:themeColor="text1"/>
      <w:sz w:val="16"/>
      <w:szCs w:val="16"/>
    </w:rPr>
  </w:style>
  <w:style w:type="character" w:customStyle="1" w:styleId="Bold">
    <w:name w:val="Bold"/>
    <w:basedOn w:val="DefaultParagraphFont"/>
    <w:rsid w:val="00084046"/>
    <w:rPr>
      <w:b/>
    </w:rPr>
  </w:style>
  <w:style w:type="paragraph" w:customStyle="1" w:styleId="BoxTextBase">
    <w:name w:val="Box Text Base"/>
    <w:basedOn w:val="Normal"/>
    <w:rsid w:val="00084046"/>
  </w:style>
  <w:style w:type="paragraph" w:customStyle="1" w:styleId="BoxBullet">
    <w:name w:val="Box Bullet"/>
    <w:basedOn w:val="BoxTextBase"/>
    <w:rsid w:val="00084046"/>
    <w:pPr>
      <w:numPr>
        <w:numId w:val="2"/>
      </w:numPr>
    </w:pPr>
  </w:style>
  <w:style w:type="paragraph" w:customStyle="1" w:styleId="BoxDash">
    <w:name w:val="Box Dash"/>
    <w:basedOn w:val="Normal"/>
    <w:rsid w:val="00084046"/>
    <w:pPr>
      <w:numPr>
        <w:ilvl w:val="1"/>
        <w:numId w:val="2"/>
      </w:numPr>
    </w:pPr>
  </w:style>
  <w:style w:type="paragraph" w:customStyle="1" w:styleId="BoxDoubleDot">
    <w:name w:val="Box Double Dot"/>
    <w:basedOn w:val="BoxTextBase"/>
    <w:rsid w:val="00084046"/>
    <w:pPr>
      <w:numPr>
        <w:ilvl w:val="2"/>
        <w:numId w:val="2"/>
      </w:numPr>
    </w:pPr>
  </w:style>
  <w:style w:type="paragraph" w:customStyle="1" w:styleId="BoxHeading">
    <w:name w:val="Box Heading"/>
    <w:basedOn w:val="HeadingBaseStyle"/>
    <w:next w:val="Normal"/>
    <w:rsid w:val="00084046"/>
    <w:pPr>
      <w:spacing w:before="240" w:after="240"/>
    </w:pPr>
    <w:rPr>
      <w:sz w:val="24"/>
    </w:rPr>
  </w:style>
  <w:style w:type="paragraph" w:customStyle="1" w:styleId="BoxText">
    <w:name w:val="Box Text"/>
    <w:basedOn w:val="BoxTextBase"/>
    <w:rsid w:val="00084046"/>
  </w:style>
  <w:style w:type="paragraph" w:customStyle="1" w:styleId="Bullet">
    <w:name w:val="Bullet"/>
    <w:basedOn w:val="Normal"/>
    <w:rsid w:val="00084046"/>
    <w:pPr>
      <w:keepNext/>
      <w:numPr>
        <w:numId w:val="19"/>
      </w:numPr>
    </w:pPr>
  </w:style>
  <w:style w:type="paragraph" w:styleId="NormalIndent">
    <w:name w:val="Normal Indent"/>
    <w:basedOn w:val="Normal"/>
    <w:rsid w:val="00084046"/>
    <w:pPr>
      <w:ind w:left="567"/>
    </w:pPr>
    <w:rPr>
      <w:rFonts w:ascii="Book Antiqua" w:hAnsi="Book Antiqua"/>
      <w:sz w:val="20"/>
    </w:rPr>
  </w:style>
  <w:style w:type="paragraph" w:customStyle="1" w:styleId="ChartandTableFootnoteAlpha">
    <w:name w:val="Chart and Table Footnote Alpha"/>
    <w:rsid w:val="00084046"/>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084046"/>
    <w:pPr>
      <w:spacing w:after="20"/>
      <w:jc w:val="center"/>
    </w:pPr>
    <w:rPr>
      <w:b/>
      <w:color w:val="2C384A" w:themeColor="accent1"/>
      <w:sz w:val="24"/>
    </w:rPr>
  </w:style>
  <w:style w:type="paragraph" w:customStyle="1" w:styleId="ChartorTableNote">
    <w:name w:val="Chart or Table Note"/>
    <w:next w:val="Normal"/>
    <w:rsid w:val="00084046"/>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084046"/>
    <w:pPr>
      <w:spacing w:after="20"/>
      <w:jc w:val="center"/>
    </w:pPr>
    <w:rPr>
      <w:color w:val="2C384A" w:themeColor="accent1"/>
    </w:rPr>
  </w:style>
  <w:style w:type="paragraph" w:customStyle="1" w:styleId="Classification">
    <w:name w:val="Classification"/>
    <w:basedOn w:val="HeadingBase"/>
    <w:next w:val="Footer"/>
    <w:rsid w:val="00084046"/>
    <w:pPr>
      <w:spacing w:after="120"/>
      <w:jc w:val="center"/>
    </w:pPr>
    <w:rPr>
      <w:b/>
      <w:smallCaps/>
    </w:rPr>
  </w:style>
  <w:style w:type="paragraph" w:styleId="Footer">
    <w:name w:val="footer"/>
    <w:basedOn w:val="Normal"/>
    <w:link w:val="FooterChar"/>
    <w:uiPriority w:val="99"/>
    <w:rsid w:val="00084046"/>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084046"/>
    <w:rPr>
      <w:rFonts w:ascii="Arial" w:hAnsi="Arial"/>
      <w:color w:val="003157"/>
      <w:sz w:val="18"/>
    </w:rPr>
  </w:style>
  <w:style w:type="paragraph" w:customStyle="1" w:styleId="ContentsHeading">
    <w:name w:val="Contents Heading"/>
    <w:basedOn w:val="Normal"/>
    <w:next w:val="Normal"/>
    <w:rsid w:val="00084046"/>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084046"/>
    <w:pPr>
      <w:spacing w:after="360"/>
      <w:jc w:val="center"/>
    </w:pPr>
    <w:rPr>
      <w:sz w:val="36"/>
    </w:rPr>
  </w:style>
  <w:style w:type="paragraph" w:customStyle="1" w:styleId="Covertitlelevel3">
    <w:name w:val="Cover title level 3"/>
    <w:basedOn w:val="CoverTitleSub"/>
    <w:rsid w:val="00084046"/>
    <w:pPr>
      <w:spacing w:after="120"/>
    </w:pPr>
    <w:rPr>
      <w:sz w:val="28"/>
      <w:szCs w:val="28"/>
    </w:rPr>
  </w:style>
  <w:style w:type="paragraph" w:customStyle="1" w:styleId="CoverTitleMain">
    <w:name w:val="Cover Title Main"/>
    <w:basedOn w:val="HeadingBase"/>
    <w:next w:val="Normal"/>
    <w:rsid w:val="00084046"/>
    <w:pPr>
      <w:spacing w:after="480"/>
      <w:jc w:val="center"/>
    </w:pPr>
    <w:rPr>
      <w:b/>
      <w:sz w:val="48"/>
    </w:rPr>
  </w:style>
  <w:style w:type="paragraph" w:customStyle="1" w:styleId="Dash">
    <w:name w:val="Dash"/>
    <w:basedOn w:val="Normal"/>
    <w:rsid w:val="00084046"/>
    <w:pPr>
      <w:numPr>
        <w:ilvl w:val="1"/>
        <w:numId w:val="19"/>
      </w:numPr>
    </w:pPr>
  </w:style>
  <w:style w:type="paragraph" w:customStyle="1" w:styleId="DoubleDot">
    <w:name w:val="Double Dot"/>
    <w:basedOn w:val="Dash"/>
    <w:rsid w:val="00084046"/>
    <w:pPr>
      <w:numPr>
        <w:ilvl w:val="2"/>
      </w:numPr>
    </w:pPr>
  </w:style>
  <w:style w:type="paragraph" w:customStyle="1" w:styleId="Figuregraphic">
    <w:name w:val="Figure graphic"/>
    <w:basedOn w:val="Normal"/>
    <w:rsid w:val="00084046"/>
    <w:pPr>
      <w:jc w:val="center"/>
    </w:pPr>
  </w:style>
  <w:style w:type="paragraph" w:customStyle="1" w:styleId="FigureHeading">
    <w:name w:val="Figure Heading"/>
    <w:basedOn w:val="HeadingBase"/>
    <w:next w:val="Figuregraphic"/>
    <w:rsid w:val="00084046"/>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084046"/>
    <w:pPr>
      <w:spacing w:after="20"/>
      <w:jc w:val="center"/>
    </w:pPr>
  </w:style>
  <w:style w:type="paragraph" w:customStyle="1" w:styleId="TableMainHeading">
    <w:name w:val="Table Main Heading"/>
    <w:basedOn w:val="HeadingBase"/>
    <w:next w:val="TableGraphic"/>
    <w:rsid w:val="00084046"/>
    <w:pPr>
      <w:spacing w:after="20"/>
    </w:pPr>
    <w:rPr>
      <w:b/>
      <w:color w:val="2C384A" w:themeColor="accent1"/>
      <w:sz w:val="22"/>
    </w:rPr>
  </w:style>
  <w:style w:type="paragraph" w:customStyle="1" w:styleId="FooterCentered">
    <w:name w:val="Footer Centered"/>
    <w:basedOn w:val="Footer"/>
    <w:rsid w:val="00084046"/>
    <w:pPr>
      <w:jc w:val="center"/>
    </w:pPr>
  </w:style>
  <w:style w:type="paragraph" w:customStyle="1" w:styleId="FooterEven">
    <w:name w:val="Footer Even"/>
    <w:basedOn w:val="Footer"/>
    <w:rsid w:val="00084046"/>
  </w:style>
  <w:style w:type="paragraph" w:customStyle="1" w:styleId="FooterOdd">
    <w:name w:val="Footer Odd"/>
    <w:basedOn w:val="Footer"/>
    <w:rsid w:val="00084046"/>
  </w:style>
  <w:style w:type="character" w:styleId="FootnoteReference">
    <w:name w:val="footnote reference"/>
    <w:basedOn w:val="DefaultParagraphFont"/>
    <w:rsid w:val="00084046"/>
    <w:rPr>
      <w:vertAlign w:val="superscript"/>
    </w:rPr>
  </w:style>
  <w:style w:type="paragraph" w:styleId="FootnoteText">
    <w:name w:val="footnote text"/>
    <w:basedOn w:val="Normal"/>
    <w:link w:val="FootnoteTextChar"/>
    <w:rsid w:val="00084046"/>
    <w:pPr>
      <w:tabs>
        <w:tab w:val="left" w:pos="567"/>
      </w:tabs>
      <w:spacing w:after="0"/>
      <w:ind w:left="567" w:hanging="567"/>
    </w:pPr>
  </w:style>
  <w:style w:type="character" w:customStyle="1" w:styleId="FootnoteTextChar">
    <w:name w:val="Footnote Text Char"/>
    <w:basedOn w:val="DefaultParagraphFont"/>
    <w:link w:val="FootnoteText"/>
    <w:rsid w:val="00084046"/>
    <w:rPr>
      <w:rFonts w:ascii="Calibri" w:hAnsi="Calibri"/>
      <w:color w:val="000000" w:themeColor="text1"/>
    </w:rPr>
  </w:style>
  <w:style w:type="character" w:customStyle="1" w:styleId="FramedFooter">
    <w:name w:val="Framed Footer"/>
    <w:rsid w:val="00084046"/>
    <w:rPr>
      <w:rFonts w:ascii="Arial" w:hAnsi="Arial"/>
      <w:sz w:val="18"/>
    </w:rPr>
  </w:style>
  <w:style w:type="character" w:customStyle="1" w:styleId="FramedHeader">
    <w:name w:val="Framed Header"/>
    <w:basedOn w:val="DefaultParagraphFont"/>
    <w:rsid w:val="00084046"/>
    <w:rPr>
      <w:rFonts w:ascii="Arial" w:hAnsi="Arial"/>
      <w:dstrike w:val="0"/>
      <w:color w:val="auto"/>
      <w:sz w:val="18"/>
      <w:vertAlign w:val="baseline"/>
    </w:rPr>
  </w:style>
  <w:style w:type="paragraph" w:styleId="Header">
    <w:name w:val="header"/>
    <w:basedOn w:val="HeadingBaseStyle"/>
    <w:link w:val="HeaderChar"/>
    <w:rsid w:val="00084046"/>
    <w:pPr>
      <w:jc w:val="center"/>
    </w:pPr>
    <w:rPr>
      <w:sz w:val="18"/>
    </w:rPr>
  </w:style>
  <w:style w:type="character" w:customStyle="1" w:styleId="HeaderChar">
    <w:name w:val="Header Char"/>
    <w:basedOn w:val="DefaultParagraphFont"/>
    <w:link w:val="Header"/>
    <w:rsid w:val="00084046"/>
    <w:rPr>
      <w:rFonts w:ascii="Arial" w:hAnsi="Arial"/>
      <w:color w:val="2C384A" w:themeColor="accent1"/>
      <w:sz w:val="18"/>
    </w:rPr>
  </w:style>
  <w:style w:type="paragraph" w:customStyle="1" w:styleId="HeaderEven">
    <w:name w:val="Header Even"/>
    <w:basedOn w:val="Header"/>
    <w:rsid w:val="00084046"/>
  </w:style>
  <w:style w:type="paragraph" w:customStyle="1" w:styleId="HeaderOdd">
    <w:name w:val="Header Odd"/>
    <w:basedOn w:val="Header"/>
    <w:rsid w:val="00084046"/>
    <w:pPr>
      <w:jc w:val="right"/>
    </w:pPr>
  </w:style>
  <w:style w:type="character" w:styleId="Hyperlink">
    <w:name w:val="Hyperlink"/>
    <w:basedOn w:val="DefaultParagraphFont"/>
    <w:rsid w:val="00084046"/>
    <w:rPr>
      <w:color w:val="4D7861" w:themeColor="accent2"/>
      <w:u w:val="single"/>
    </w:rPr>
  </w:style>
  <w:style w:type="character" w:customStyle="1" w:styleId="italic">
    <w:name w:val="italic"/>
    <w:basedOn w:val="DefaultParagraphFont"/>
    <w:rsid w:val="00084046"/>
    <w:rPr>
      <w:i/>
    </w:rPr>
  </w:style>
  <w:style w:type="paragraph" w:styleId="NormalWeb">
    <w:name w:val="Normal (Web)"/>
    <w:basedOn w:val="Normal"/>
    <w:uiPriority w:val="99"/>
    <w:unhideWhenUsed/>
    <w:rsid w:val="00084046"/>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084046"/>
    <w:rPr>
      <w:i/>
    </w:rPr>
  </w:style>
  <w:style w:type="paragraph" w:customStyle="1" w:styleId="OutlineNumbered1">
    <w:name w:val="Outline Numbered 1"/>
    <w:basedOn w:val="Normal"/>
    <w:rsid w:val="00084046"/>
    <w:pPr>
      <w:numPr>
        <w:numId w:val="9"/>
      </w:numPr>
    </w:pPr>
  </w:style>
  <w:style w:type="paragraph" w:customStyle="1" w:styleId="OneLevelNumberedParagraph">
    <w:name w:val="One Level Numbered Paragraph"/>
    <w:basedOn w:val="Normal"/>
    <w:rsid w:val="00084046"/>
    <w:pPr>
      <w:numPr>
        <w:numId w:val="8"/>
      </w:numPr>
    </w:pPr>
  </w:style>
  <w:style w:type="paragraph" w:customStyle="1" w:styleId="OutlineNumbered2">
    <w:name w:val="Outline Numbered 2"/>
    <w:basedOn w:val="Normal"/>
    <w:rsid w:val="00084046"/>
    <w:pPr>
      <w:numPr>
        <w:ilvl w:val="1"/>
        <w:numId w:val="9"/>
      </w:numPr>
    </w:pPr>
  </w:style>
  <w:style w:type="paragraph" w:customStyle="1" w:styleId="OutlineNumbered3">
    <w:name w:val="Outline Numbered 3"/>
    <w:basedOn w:val="Normal"/>
    <w:rsid w:val="00084046"/>
    <w:pPr>
      <w:numPr>
        <w:ilvl w:val="2"/>
        <w:numId w:val="9"/>
      </w:numPr>
    </w:pPr>
  </w:style>
  <w:style w:type="character" w:styleId="PageNumber">
    <w:name w:val="page number"/>
    <w:basedOn w:val="DefaultParagraphFont"/>
    <w:rsid w:val="00084046"/>
    <w:rPr>
      <w:rFonts w:asciiTheme="minorHAnsi" w:hAnsiTheme="minorHAnsi"/>
      <w:color w:val="003057"/>
      <w:sz w:val="22"/>
    </w:rPr>
  </w:style>
  <w:style w:type="paragraph" w:customStyle="1" w:styleId="Principle">
    <w:name w:val="Principle"/>
    <w:basedOn w:val="Normal"/>
    <w:rsid w:val="00084046"/>
    <w:pPr>
      <w:keepNext/>
      <w:spacing w:after="60"/>
      <w:ind w:left="573"/>
    </w:pPr>
    <w:rPr>
      <w:rFonts w:ascii="Book Antiqua" w:hAnsi="Book Antiqua"/>
      <w:i/>
      <w:sz w:val="20"/>
    </w:rPr>
  </w:style>
  <w:style w:type="paragraph" w:customStyle="1" w:styleId="RecommendationTextBase">
    <w:name w:val="Recommendation Text Base"/>
    <w:basedOn w:val="Normal"/>
    <w:rsid w:val="00084046"/>
    <w:rPr>
      <w:i/>
    </w:rPr>
  </w:style>
  <w:style w:type="paragraph" w:customStyle="1" w:styleId="RecommendationBullet">
    <w:name w:val="Recommendation Bullet"/>
    <w:basedOn w:val="RecommendationTextBase"/>
    <w:rsid w:val="00084046"/>
    <w:pPr>
      <w:numPr>
        <w:numId w:val="10"/>
      </w:numPr>
    </w:pPr>
  </w:style>
  <w:style w:type="paragraph" w:customStyle="1" w:styleId="RecommendationDash">
    <w:name w:val="Recommendation Dash"/>
    <w:basedOn w:val="RecommendationTextBase"/>
    <w:rsid w:val="00084046"/>
    <w:pPr>
      <w:numPr>
        <w:ilvl w:val="1"/>
        <w:numId w:val="10"/>
      </w:numPr>
    </w:pPr>
  </w:style>
  <w:style w:type="paragraph" w:customStyle="1" w:styleId="RecommendationDoubleDot">
    <w:name w:val="Recommendation Double Dot"/>
    <w:basedOn w:val="RecommendationTextBase"/>
    <w:rsid w:val="00084046"/>
    <w:pPr>
      <w:numPr>
        <w:ilvl w:val="2"/>
        <w:numId w:val="10"/>
      </w:numPr>
    </w:pPr>
  </w:style>
  <w:style w:type="paragraph" w:customStyle="1" w:styleId="RecommendationHeading">
    <w:name w:val="Recommendation Heading"/>
    <w:basedOn w:val="HeadingBase"/>
    <w:next w:val="Normal"/>
    <w:rsid w:val="00084046"/>
    <w:pPr>
      <w:spacing w:before="120" w:after="240"/>
    </w:pPr>
    <w:rPr>
      <w:b/>
      <w:sz w:val="22"/>
    </w:rPr>
  </w:style>
  <w:style w:type="paragraph" w:customStyle="1" w:styleId="RecommendationText">
    <w:name w:val="Recommendation Text"/>
    <w:basedOn w:val="RecommendationTextBase"/>
    <w:rsid w:val="00084046"/>
  </w:style>
  <w:style w:type="paragraph" w:customStyle="1" w:styleId="Romannumeral">
    <w:name w:val="Roman numeral"/>
    <w:basedOn w:val="Normal"/>
    <w:rsid w:val="00084046"/>
    <w:pPr>
      <w:numPr>
        <w:numId w:val="11"/>
      </w:numPr>
    </w:pPr>
  </w:style>
  <w:style w:type="paragraph" w:customStyle="1" w:styleId="SingleParagraph">
    <w:name w:val="Single Paragraph"/>
    <w:basedOn w:val="Normal"/>
    <w:rsid w:val="00084046"/>
    <w:pPr>
      <w:spacing w:after="0"/>
    </w:pPr>
  </w:style>
  <w:style w:type="paragraph" w:customStyle="1" w:styleId="SingleParagraphIndent">
    <w:name w:val="Single Paragraph Indent"/>
    <w:basedOn w:val="SingleParagraph"/>
    <w:rsid w:val="00084046"/>
    <w:pPr>
      <w:ind w:left="567"/>
    </w:pPr>
  </w:style>
  <w:style w:type="paragraph" w:customStyle="1" w:styleId="TableSecondHeading">
    <w:name w:val="Table Second Heading"/>
    <w:basedOn w:val="HeadingBase"/>
    <w:next w:val="TableGraphic"/>
    <w:rsid w:val="00084046"/>
    <w:pPr>
      <w:spacing w:after="20"/>
    </w:pPr>
  </w:style>
  <w:style w:type="paragraph" w:customStyle="1" w:styleId="TableTextBase">
    <w:name w:val="Table Text Base"/>
    <w:rsid w:val="00084046"/>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084046"/>
    <w:pPr>
      <w:tabs>
        <w:tab w:val="left" w:pos="1987"/>
      </w:tabs>
      <w:jc w:val="center"/>
    </w:pPr>
    <w:rPr>
      <w:rFonts w:ascii="Arial Bold" w:hAnsi="Arial Bold"/>
      <w:b/>
    </w:rPr>
  </w:style>
  <w:style w:type="paragraph" w:customStyle="1" w:styleId="TableColumnHeadingBase">
    <w:name w:val="Table Column Heading Base"/>
    <w:basedOn w:val="Normal"/>
    <w:rsid w:val="00084046"/>
    <w:pPr>
      <w:spacing w:before="40" w:after="40"/>
    </w:pPr>
    <w:rPr>
      <w:rFonts w:ascii="Arial" w:hAnsi="Arial"/>
      <w:b/>
      <w:sz w:val="16"/>
    </w:rPr>
  </w:style>
  <w:style w:type="paragraph" w:customStyle="1" w:styleId="TableColumnHeadingLeft">
    <w:name w:val="Table Column Heading Left"/>
    <w:basedOn w:val="TableTextBase"/>
    <w:rsid w:val="00084046"/>
    <w:rPr>
      <w:b/>
    </w:rPr>
  </w:style>
  <w:style w:type="paragraph" w:customStyle="1" w:styleId="TableColumnHeadingRight">
    <w:name w:val="Table Column Heading Right"/>
    <w:basedOn w:val="TableTextBase"/>
    <w:rsid w:val="00084046"/>
    <w:pPr>
      <w:jc w:val="right"/>
    </w:pPr>
    <w:rPr>
      <w:b/>
    </w:rPr>
  </w:style>
  <w:style w:type="table" w:styleId="TableGrid">
    <w:name w:val="Table Grid"/>
    <w:basedOn w:val="TableNormal"/>
    <w:rsid w:val="0008404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084046"/>
    <w:pPr>
      <w:pageBreakBefore/>
      <w:spacing w:after="20"/>
    </w:pPr>
    <w:rPr>
      <w:b/>
      <w:color w:val="2C384A" w:themeColor="accent1"/>
      <w:sz w:val="22"/>
    </w:rPr>
  </w:style>
  <w:style w:type="paragraph" w:customStyle="1" w:styleId="TableTextCentered">
    <w:name w:val="Table Text Centered"/>
    <w:basedOn w:val="TableTextBase"/>
    <w:rsid w:val="00084046"/>
    <w:pPr>
      <w:jc w:val="center"/>
    </w:pPr>
  </w:style>
  <w:style w:type="paragraph" w:customStyle="1" w:styleId="TableTextIndented">
    <w:name w:val="Table Text Indented"/>
    <w:basedOn w:val="TableTextBase"/>
    <w:rsid w:val="00084046"/>
    <w:pPr>
      <w:ind w:left="284"/>
    </w:pPr>
  </w:style>
  <w:style w:type="paragraph" w:customStyle="1" w:styleId="TableTextLeft">
    <w:name w:val="Table Text Left"/>
    <w:basedOn w:val="TableTextBase"/>
    <w:rsid w:val="00084046"/>
  </w:style>
  <w:style w:type="paragraph" w:customStyle="1" w:styleId="TableTextRight">
    <w:name w:val="Table Text Right"/>
    <w:basedOn w:val="TableTextBase"/>
    <w:rsid w:val="00084046"/>
    <w:pPr>
      <w:jc w:val="right"/>
    </w:pPr>
  </w:style>
  <w:style w:type="paragraph" w:styleId="TOC1">
    <w:name w:val="toc 1"/>
    <w:basedOn w:val="Normal"/>
    <w:next w:val="Normal"/>
    <w:uiPriority w:val="39"/>
    <w:rsid w:val="00084046"/>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084046"/>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084046"/>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084046"/>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084046"/>
    <w:pPr>
      <w:spacing w:after="120" w:line="480" w:lineRule="auto"/>
      <w:ind w:left="283"/>
    </w:pPr>
  </w:style>
  <w:style w:type="character" w:customStyle="1" w:styleId="BodyTextIndent2Char">
    <w:name w:val="Body Text Indent 2 Char"/>
    <w:basedOn w:val="DefaultParagraphFont"/>
    <w:link w:val="BodyTextIndent2"/>
    <w:rsid w:val="00084046"/>
    <w:rPr>
      <w:rFonts w:ascii="Calibri" w:hAnsi="Calibri"/>
      <w:color w:val="000000" w:themeColor="text1"/>
    </w:rPr>
  </w:style>
  <w:style w:type="character" w:customStyle="1" w:styleId="BoldandItalic">
    <w:name w:val="Bold and Italic"/>
    <w:basedOn w:val="DefaultParagraphFont"/>
    <w:rsid w:val="00084046"/>
    <w:rPr>
      <w:rFonts w:ascii="Arial" w:hAnsi="Arial"/>
      <w:b/>
      <w:i/>
    </w:rPr>
  </w:style>
  <w:style w:type="paragraph" w:styleId="Caption">
    <w:name w:val="caption"/>
    <w:basedOn w:val="Normal"/>
    <w:next w:val="Normal"/>
    <w:unhideWhenUsed/>
    <w:rsid w:val="00084046"/>
    <w:rPr>
      <w:b/>
      <w:bCs/>
      <w:color w:val="003157"/>
      <w:sz w:val="18"/>
      <w:szCs w:val="18"/>
    </w:rPr>
  </w:style>
  <w:style w:type="character" w:styleId="CommentReference">
    <w:name w:val="annotation reference"/>
    <w:basedOn w:val="DefaultParagraphFont"/>
    <w:rsid w:val="00084046"/>
    <w:rPr>
      <w:sz w:val="16"/>
      <w:szCs w:val="16"/>
    </w:rPr>
  </w:style>
  <w:style w:type="paragraph" w:styleId="CommentText">
    <w:name w:val="annotation text"/>
    <w:basedOn w:val="Normal"/>
    <w:link w:val="CommentTextChar"/>
    <w:rsid w:val="00084046"/>
    <w:rPr>
      <w:sz w:val="20"/>
    </w:rPr>
  </w:style>
  <w:style w:type="character" w:customStyle="1" w:styleId="CommentTextChar">
    <w:name w:val="Comment Text Char"/>
    <w:basedOn w:val="DefaultParagraphFont"/>
    <w:link w:val="CommentText"/>
    <w:rsid w:val="00084046"/>
    <w:rPr>
      <w:rFonts w:ascii="Calibri" w:hAnsi="Calibri"/>
      <w:color w:val="000000" w:themeColor="text1"/>
      <w:sz w:val="20"/>
    </w:rPr>
  </w:style>
  <w:style w:type="paragraph" w:styleId="CommentSubject">
    <w:name w:val="annotation subject"/>
    <w:basedOn w:val="CommentText"/>
    <w:next w:val="CommentText"/>
    <w:link w:val="CommentSubjectChar"/>
    <w:rsid w:val="00084046"/>
    <w:rPr>
      <w:b/>
      <w:bCs/>
    </w:rPr>
  </w:style>
  <w:style w:type="character" w:customStyle="1" w:styleId="CommentSubjectChar">
    <w:name w:val="Comment Subject Char"/>
    <w:basedOn w:val="CommentTextChar"/>
    <w:link w:val="CommentSubject"/>
    <w:rsid w:val="00084046"/>
    <w:rPr>
      <w:rFonts w:ascii="Calibri" w:hAnsi="Calibri"/>
      <w:b/>
      <w:bCs/>
      <w:color w:val="000000" w:themeColor="text1"/>
      <w:sz w:val="20"/>
    </w:rPr>
  </w:style>
  <w:style w:type="paragraph" w:styleId="DocumentMap">
    <w:name w:val="Document Map"/>
    <w:basedOn w:val="Normal"/>
    <w:link w:val="DocumentMapChar"/>
    <w:semiHidden/>
    <w:rsid w:val="00084046"/>
    <w:pPr>
      <w:shd w:val="clear" w:color="auto" w:fill="00CCFF"/>
    </w:pPr>
    <w:rPr>
      <w:rFonts w:ascii="Tahoma" w:hAnsi="Tahoma" w:cs="Tahoma"/>
    </w:rPr>
  </w:style>
  <w:style w:type="character" w:customStyle="1" w:styleId="DocumentMapChar">
    <w:name w:val="Document Map Char"/>
    <w:basedOn w:val="DefaultParagraphFont"/>
    <w:link w:val="DocumentMap"/>
    <w:semiHidden/>
    <w:rsid w:val="00084046"/>
    <w:rPr>
      <w:rFonts w:ascii="Tahoma" w:hAnsi="Tahoma" w:cs="Tahoma"/>
      <w:color w:val="000000" w:themeColor="text1"/>
      <w:shd w:val="clear" w:color="auto" w:fill="00CCFF"/>
    </w:rPr>
  </w:style>
  <w:style w:type="character" w:styleId="EndnoteReference">
    <w:name w:val="endnote reference"/>
    <w:basedOn w:val="DefaultParagraphFont"/>
    <w:rsid w:val="00084046"/>
    <w:rPr>
      <w:vertAlign w:val="superscript"/>
    </w:rPr>
  </w:style>
  <w:style w:type="paragraph" w:styleId="EndnoteText">
    <w:name w:val="endnote text"/>
    <w:basedOn w:val="Normal"/>
    <w:link w:val="EndnoteTextChar"/>
    <w:rsid w:val="00084046"/>
    <w:pPr>
      <w:spacing w:after="0"/>
    </w:pPr>
    <w:rPr>
      <w:sz w:val="20"/>
    </w:rPr>
  </w:style>
  <w:style w:type="character" w:customStyle="1" w:styleId="EndnoteTextChar">
    <w:name w:val="Endnote Text Char"/>
    <w:basedOn w:val="DefaultParagraphFont"/>
    <w:link w:val="EndnoteText"/>
    <w:rsid w:val="00084046"/>
    <w:rPr>
      <w:rFonts w:ascii="Calibri" w:hAnsi="Calibri"/>
      <w:color w:val="000000" w:themeColor="text1"/>
      <w:sz w:val="20"/>
    </w:rPr>
  </w:style>
  <w:style w:type="character" w:styleId="FollowedHyperlink">
    <w:name w:val="FollowedHyperlink"/>
    <w:basedOn w:val="DefaultParagraphFont"/>
    <w:rsid w:val="00084046"/>
    <w:rPr>
      <w:color w:val="auto"/>
      <w:u w:val="none"/>
    </w:rPr>
  </w:style>
  <w:style w:type="paragraph" w:styleId="Index1">
    <w:name w:val="index 1"/>
    <w:basedOn w:val="Normal"/>
    <w:next w:val="Normal"/>
    <w:autoRedefine/>
    <w:semiHidden/>
    <w:rsid w:val="00084046"/>
    <w:pPr>
      <w:spacing w:after="0"/>
      <w:ind w:left="238" w:hanging="238"/>
    </w:pPr>
  </w:style>
  <w:style w:type="paragraph" w:styleId="Index2">
    <w:name w:val="index 2"/>
    <w:basedOn w:val="Normal"/>
    <w:next w:val="Normal"/>
    <w:autoRedefine/>
    <w:semiHidden/>
    <w:rsid w:val="00084046"/>
    <w:pPr>
      <w:spacing w:after="0"/>
      <w:ind w:left="480" w:hanging="240"/>
    </w:pPr>
    <w:rPr>
      <w:sz w:val="20"/>
    </w:rPr>
  </w:style>
  <w:style w:type="paragraph" w:styleId="Index3">
    <w:name w:val="index 3"/>
    <w:basedOn w:val="Normal"/>
    <w:next w:val="Normal"/>
    <w:autoRedefine/>
    <w:semiHidden/>
    <w:rsid w:val="00084046"/>
    <w:pPr>
      <w:ind w:left="600" w:hanging="200"/>
    </w:pPr>
  </w:style>
  <w:style w:type="paragraph" w:styleId="Index4">
    <w:name w:val="index 4"/>
    <w:basedOn w:val="Normal"/>
    <w:next w:val="Normal"/>
    <w:autoRedefine/>
    <w:semiHidden/>
    <w:rsid w:val="00084046"/>
    <w:pPr>
      <w:ind w:left="800" w:hanging="200"/>
    </w:pPr>
  </w:style>
  <w:style w:type="paragraph" w:styleId="Index5">
    <w:name w:val="index 5"/>
    <w:basedOn w:val="Normal"/>
    <w:next w:val="Normal"/>
    <w:autoRedefine/>
    <w:semiHidden/>
    <w:rsid w:val="00084046"/>
    <w:pPr>
      <w:ind w:left="1000" w:hanging="200"/>
    </w:pPr>
  </w:style>
  <w:style w:type="paragraph" w:styleId="Index6">
    <w:name w:val="index 6"/>
    <w:basedOn w:val="Normal"/>
    <w:next w:val="Normal"/>
    <w:autoRedefine/>
    <w:semiHidden/>
    <w:rsid w:val="00084046"/>
    <w:pPr>
      <w:ind w:left="1200" w:hanging="200"/>
    </w:pPr>
  </w:style>
  <w:style w:type="paragraph" w:styleId="Index7">
    <w:name w:val="index 7"/>
    <w:basedOn w:val="Normal"/>
    <w:next w:val="Normal"/>
    <w:autoRedefine/>
    <w:semiHidden/>
    <w:rsid w:val="00084046"/>
    <w:pPr>
      <w:ind w:left="1400" w:hanging="200"/>
    </w:pPr>
  </w:style>
  <w:style w:type="paragraph" w:styleId="Index8">
    <w:name w:val="index 8"/>
    <w:basedOn w:val="Normal"/>
    <w:next w:val="Normal"/>
    <w:autoRedefine/>
    <w:semiHidden/>
    <w:rsid w:val="00084046"/>
    <w:pPr>
      <w:ind w:left="1600" w:hanging="200"/>
    </w:pPr>
  </w:style>
  <w:style w:type="paragraph" w:styleId="Index9">
    <w:name w:val="index 9"/>
    <w:basedOn w:val="Normal"/>
    <w:next w:val="Normal"/>
    <w:autoRedefine/>
    <w:semiHidden/>
    <w:rsid w:val="00084046"/>
    <w:pPr>
      <w:ind w:left="1800" w:hanging="200"/>
    </w:pPr>
  </w:style>
  <w:style w:type="paragraph" w:styleId="IndexHeading">
    <w:name w:val="index heading"/>
    <w:basedOn w:val="Normal"/>
    <w:next w:val="Index1"/>
    <w:semiHidden/>
    <w:rsid w:val="00084046"/>
    <w:pPr>
      <w:pBdr>
        <w:top w:val="single" w:sz="12" w:space="0" w:color="auto"/>
      </w:pBdr>
      <w:spacing w:before="360"/>
    </w:pPr>
    <w:rPr>
      <w:rFonts w:ascii="Times New Roman" w:hAnsi="Times New Roman"/>
      <w:b/>
      <w:i/>
    </w:rPr>
  </w:style>
  <w:style w:type="paragraph" w:styleId="MacroText">
    <w:name w:val="macro"/>
    <w:link w:val="MacroTextChar"/>
    <w:semiHidden/>
    <w:rsid w:val="0008404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084046"/>
    <w:rPr>
      <w:rFonts w:ascii="Courier New" w:eastAsia="Times New Roman" w:hAnsi="Courier New" w:cs="Courier New"/>
      <w:color w:val="000000"/>
      <w:sz w:val="20"/>
      <w:szCs w:val="20"/>
      <w:lang w:eastAsia="en-AU"/>
    </w:rPr>
  </w:style>
  <w:style w:type="numbering" w:customStyle="1" w:styleId="OutlineList">
    <w:name w:val="OutlineList"/>
    <w:uiPriority w:val="99"/>
    <w:rsid w:val="00084046"/>
    <w:pPr>
      <w:numPr>
        <w:numId w:val="5"/>
      </w:numPr>
    </w:pPr>
  </w:style>
  <w:style w:type="paragraph" w:customStyle="1" w:styleId="PictureCentred">
    <w:name w:val="Picture Centred"/>
    <w:basedOn w:val="Normal"/>
    <w:rsid w:val="00084046"/>
    <w:pPr>
      <w:spacing w:before="120" w:line="240" w:lineRule="atLeast"/>
      <w:jc w:val="center"/>
    </w:pPr>
  </w:style>
  <w:style w:type="paragraph" w:customStyle="1" w:styleId="PictureLeft">
    <w:name w:val="Picture Left"/>
    <w:basedOn w:val="PictureCentred"/>
    <w:rsid w:val="00084046"/>
    <w:pPr>
      <w:jc w:val="left"/>
    </w:pPr>
  </w:style>
  <w:style w:type="paragraph" w:customStyle="1" w:styleId="PictureIndent">
    <w:name w:val="Picture Indent"/>
    <w:basedOn w:val="PictureLeft"/>
    <w:rsid w:val="00084046"/>
    <w:pPr>
      <w:ind w:left="284"/>
    </w:pPr>
  </w:style>
  <w:style w:type="paragraph" w:styleId="TableofAuthorities">
    <w:name w:val="table of authorities"/>
    <w:basedOn w:val="Normal"/>
    <w:next w:val="Normal"/>
    <w:rsid w:val="00084046"/>
    <w:pPr>
      <w:ind w:left="200" w:hanging="200"/>
    </w:pPr>
  </w:style>
  <w:style w:type="paragraph" w:styleId="TableofFigures">
    <w:name w:val="table of figures"/>
    <w:basedOn w:val="Normal"/>
    <w:next w:val="Normal"/>
    <w:rsid w:val="00084046"/>
  </w:style>
  <w:style w:type="paragraph" w:styleId="TOAHeading">
    <w:name w:val="toa heading"/>
    <w:basedOn w:val="Normal"/>
    <w:next w:val="Normal"/>
    <w:semiHidden/>
    <w:rsid w:val="00084046"/>
    <w:pPr>
      <w:spacing w:before="120"/>
    </w:pPr>
    <w:rPr>
      <w:rFonts w:ascii="Arial" w:hAnsi="Arial" w:cs="Arial"/>
      <w:b/>
      <w:bCs/>
      <w:sz w:val="24"/>
      <w:szCs w:val="24"/>
    </w:rPr>
  </w:style>
  <w:style w:type="paragraph" w:styleId="TOC5">
    <w:name w:val="toc 5"/>
    <w:basedOn w:val="Normal"/>
    <w:next w:val="Normal"/>
    <w:autoRedefine/>
    <w:semiHidden/>
    <w:rsid w:val="00084046"/>
    <w:pPr>
      <w:ind w:left="1040"/>
    </w:pPr>
  </w:style>
  <w:style w:type="paragraph" w:styleId="TOC6">
    <w:name w:val="toc 6"/>
    <w:basedOn w:val="Normal"/>
    <w:next w:val="Normal"/>
    <w:autoRedefine/>
    <w:semiHidden/>
    <w:rsid w:val="00084046"/>
    <w:pPr>
      <w:ind w:left="1300"/>
    </w:pPr>
  </w:style>
  <w:style w:type="paragraph" w:styleId="TOC7">
    <w:name w:val="toc 7"/>
    <w:basedOn w:val="Normal"/>
    <w:next w:val="Normal"/>
    <w:autoRedefine/>
    <w:semiHidden/>
    <w:rsid w:val="00084046"/>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084046"/>
    <w:pPr>
      <w:tabs>
        <w:tab w:val="right" w:leader="dot" w:pos="7711"/>
      </w:tabs>
      <w:spacing w:after="0"/>
      <w:ind w:left="1134"/>
    </w:pPr>
    <w:rPr>
      <w:noProof/>
    </w:rPr>
  </w:style>
  <w:style w:type="paragraph" w:styleId="TOC9">
    <w:name w:val="toc 9"/>
    <w:basedOn w:val="Normal"/>
    <w:next w:val="Normal"/>
    <w:autoRedefine/>
    <w:semiHidden/>
    <w:rsid w:val="00084046"/>
    <w:pPr>
      <w:ind w:left="2080"/>
    </w:pPr>
  </w:style>
  <w:style w:type="numbering" w:customStyle="1" w:styleId="BulletedList">
    <w:name w:val="Bulleted List"/>
    <w:uiPriority w:val="99"/>
    <w:rsid w:val="00084046"/>
    <w:pPr>
      <w:numPr>
        <w:numId w:val="1"/>
      </w:numPr>
    </w:pPr>
  </w:style>
  <w:style w:type="numbering" w:customStyle="1" w:styleId="BoxBulletedList">
    <w:name w:val="Box Bulleted List"/>
    <w:uiPriority w:val="99"/>
    <w:rsid w:val="00084046"/>
    <w:pPr>
      <w:numPr>
        <w:numId w:val="2"/>
      </w:numPr>
    </w:pPr>
  </w:style>
  <w:style w:type="numbering" w:customStyle="1" w:styleId="AlphaParagraphList">
    <w:name w:val="Alpha Paragraph List"/>
    <w:uiPriority w:val="99"/>
    <w:rsid w:val="00084046"/>
    <w:pPr>
      <w:numPr>
        <w:numId w:val="3"/>
      </w:numPr>
    </w:pPr>
  </w:style>
  <w:style w:type="numbering" w:customStyle="1" w:styleId="OneLevelList">
    <w:name w:val="OneLevelList"/>
    <w:uiPriority w:val="99"/>
    <w:rsid w:val="00084046"/>
    <w:pPr>
      <w:numPr>
        <w:numId w:val="4"/>
      </w:numPr>
    </w:pPr>
  </w:style>
  <w:style w:type="numbering" w:customStyle="1" w:styleId="RecommendationBulletList">
    <w:name w:val="RecommendationBulletList"/>
    <w:uiPriority w:val="99"/>
    <w:rsid w:val="00084046"/>
    <w:pPr>
      <w:numPr>
        <w:numId w:val="6"/>
      </w:numPr>
    </w:pPr>
  </w:style>
  <w:style w:type="numbering" w:customStyle="1" w:styleId="RomanNumeralList">
    <w:name w:val="RomanNumeralList"/>
    <w:uiPriority w:val="99"/>
    <w:rsid w:val="00084046"/>
    <w:pPr>
      <w:numPr>
        <w:numId w:val="7"/>
      </w:numPr>
    </w:pPr>
  </w:style>
  <w:style w:type="numbering" w:customStyle="1" w:styleId="ChartandTableFootnoteAlphaList">
    <w:name w:val="ChartandTableFootnoteAlphaList"/>
    <w:uiPriority w:val="99"/>
    <w:rsid w:val="00084046"/>
    <w:pPr>
      <w:numPr>
        <w:numId w:val="12"/>
      </w:numPr>
    </w:pPr>
  </w:style>
  <w:style w:type="paragraph" w:customStyle="1" w:styleId="TableTextBullet">
    <w:name w:val="Table Text Bullet"/>
    <w:basedOn w:val="TableTextBase"/>
    <w:rsid w:val="00084046"/>
    <w:pPr>
      <w:numPr>
        <w:numId w:val="14"/>
      </w:numPr>
    </w:pPr>
  </w:style>
  <w:style w:type="numbering" w:customStyle="1" w:styleId="TableTestBulletList">
    <w:name w:val="Table Test Bullet List"/>
    <w:uiPriority w:val="99"/>
    <w:rsid w:val="00084046"/>
    <w:pPr>
      <w:numPr>
        <w:numId w:val="13"/>
      </w:numPr>
    </w:pPr>
  </w:style>
  <w:style w:type="numbering" w:customStyle="1" w:styleId="TableTextBulletList">
    <w:name w:val="Table Text Bullet List"/>
    <w:uiPriority w:val="99"/>
    <w:rsid w:val="00084046"/>
    <w:pPr>
      <w:numPr>
        <w:numId w:val="14"/>
      </w:numPr>
    </w:pPr>
  </w:style>
  <w:style w:type="paragraph" w:customStyle="1" w:styleId="StyleTableTextBulletLinespacingExactly13pt">
    <w:name w:val="Style Table Text Bullet + Line spacing:  Exactly 13 pt"/>
    <w:basedOn w:val="TableTextBullet"/>
    <w:rsid w:val="00084046"/>
    <w:pPr>
      <w:numPr>
        <w:numId w:val="0"/>
      </w:numPr>
      <w:spacing w:after="80" w:line="260" w:lineRule="exact"/>
    </w:pPr>
  </w:style>
  <w:style w:type="paragraph" w:customStyle="1" w:styleId="SecurityClassificationHeader">
    <w:name w:val="Security Classification Header"/>
    <w:link w:val="SecurityClassificationHeaderChar"/>
    <w:rsid w:val="00084046"/>
    <w:pPr>
      <w:spacing w:before="60" w:after="60" w:line="240" w:lineRule="auto"/>
      <w:jc w:val="center"/>
    </w:pPr>
    <w:rPr>
      <w:rFonts w:ascii="Arial" w:eastAsia="Times New Roman" w:hAnsi="Arial" w:cs="Times New Roman"/>
      <w:b/>
      <w:caps/>
      <w:color w:val="2C384A" w:themeColor="accent1"/>
      <w:sz w:val="24"/>
      <w:szCs w:val="20"/>
      <w:lang w:eastAsia="en-AU"/>
    </w:rPr>
  </w:style>
  <w:style w:type="character" w:customStyle="1" w:styleId="SecurityClassificationHeaderChar">
    <w:name w:val="Security Classification Header Char"/>
    <w:basedOn w:val="HeaderChar"/>
    <w:link w:val="SecurityClassificationHeader"/>
    <w:rsid w:val="00084046"/>
    <w:rPr>
      <w:rFonts w:ascii="Arial" w:eastAsia="Times New Roman" w:hAnsi="Arial" w:cs="Times New Roman"/>
      <w:b/>
      <w:caps/>
      <w:color w:val="2C384A" w:themeColor="accent1"/>
      <w:sz w:val="24"/>
      <w:szCs w:val="20"/>
      <w:lang w:eastAsia="en-AU"/>
    </w:rPr>
  </w:style>
  <w:style w:type="paragraph" w:customStyle="1" w:styleId="SecurityClassificationFooter">
    <w:name w:val="Security Classification Footer"/>
    <w:link w:val="SecurityClassificationFooterChar"/>
    <w:rsid w:val="00084046"/>
    <w:pPr>
      <w:spacing w:before="60" w:after="40" w:line="240" w:lineRule="auto"/>
      <w:jc w:val="center"/>
    </w:pPr>
    <w:rPr>
      <w:rFonts w:ascii="Arial" w:eastAsia="Times New Roman" w:hAnsi="Arial" w:cs="Times New Roman"/>
      <w:b/>
      <w:caps/>
      <w:color w:val="2C384A" w:themeColor="accent1"/>
      <w:sz w:val="24"/>
      <w:szCs w:val="20"/>
      <w:lang w:eastAsia="en-AU"/>
    </w:rPr>
  </w:style>
  <w:style w:type="character" w:customStyle="1" w:styleId="SecurityClassificationFooterChar">
    <w:name w:val="Security Classification Footer Char"/>
    <w:basedOn w:val="HeaderChar"/>
    <w:link w:val="SecurityClassificationFooter"/>
    <w:rsid w:val="00084046"/>
    <w:rPr>
      <w:rFonts w:ascii="Arial" w:eastAsia="Times New Roman" w:hAnsi="Arial" w:cs="Times New Roman"/>
      <w:b/>
      <w:caps/>
      <w:color w:val="2C384A" w:themeColor="accent1"/>
      <w:sz w:val="24"/>
      <w:szCs w:val="20"/>
      <w:lang w:eastAsia="en-AU"/>
    </w:rPr>
  </w:style>
  <w:style w:type="paragraph" w:customStyle="1" w:styleId="DLMSecurityHeader">
    <w:name w:val="DLM Security Header"/>
    <w:link w:val="DLMSecurityHeaderChar"/>
    <w:rsid w:val="00084046"/>
    <w:pPr>
      <w:spacing w:before="60" w:after="24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HeaderChar">
    <w:name w:val="DLM Security Header Char"/>
    <w:basedOn w:val="HeaderChar"/>
    <w:link w:val="DLMSecurityHeader"/>
    <w:rsid w:val="00084046"/>
    <w:rPr>
      <w:rFonts w:ascii="Times New Roman" w:eastAsia="Times New Roman" w:hAnsi="Times New Roman" w:cs="Times New Roman"/>
      <w:b/>
      <w:caps/>
      <w:color w:val="2C384A" w:themeColor="accent1"/>
      <w:sz w:val="24"/>
      <w:szCs w:val="20"/>
      <w:lang w:eastAsia="en-AU"/>
    </w:rPr>
  </w:style>
  <w:style w:type="paragraph" w:customStyle="1" w:styleId="DLMSecurityFooter">
    <w:name w:val="DLM Security Footer"/>
    <w:link w:val="DLMSecurityFooterChar"/>
    <w:rsid w:val="00084046"/>
    <w:pPr>
      <w:spacing w:before="240" w:after="6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FooterChar">
    <w:name w:val="DLM Security Footer Char"/>
    <w:basedOn w:val="HeaderChar"/>
    <w:link w:val="DLMSecurityFooter"/>
    <w:rsid w:val="00084046"/>
    <w:rPr>
      <w:rFonts w:ascii="Times New Roman" w:eastAsia="Times New Roman" w:hAnsi="Times New Roman" w:cs="Times New Roman"/>
      <w:b/>
      <w:caps/>
      <w:color w:val="2C384A" w:themeColor="accent1"/>
      <w:sz w:val="24"/>
      <w:szCs w:val="20"/>
      <w:lang w:eastAsia="en-AU"/>
    </w:rPr>
  </w:style>
  <w:style w:type="paragraph" w:customStyle="1" w:styleId="AuthorName">
    <w:name w:val="Author Name"/>
    <w:basedOn w:val="Normal"/>
    <w:rsid w:val="00084046"/>
    <w:pPr>
      <w:spacing w:before="120" w:after="120"/>
      <w:jc w:val="center"/>
    </w:pPr>
    <w:rPr>
      <w:rFonts w:ascii="Arial Bold" w:hAnsi="Arial Bold"/>
      <w:b/>
      <w:sz w:val="24"/>
    </w:rPr>
  </w:style>
  <w:style w:type="paragraph" w:styleId="Title">
    <w:name w:val="Title"/>
    <w:basedOn w:val="HeadingBaseStyle"/>
    <w:link w:val="TitleChar"/>
    <w:autoRedefine/>
    <w:qFormat/>
    <w:rsid w:val="00084046"/>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084046"/>
    <w:rPr>
      <w:rFonts w:ascii="Arial Bold" w:hAnsi="Arial Bold"/>
      <w:b/>
      <w:smallCaps/>
      <w:color w:val="2C384A" w:themeColor="accent1"/>
      <w:kern w:val="28"/>
      <w:sz w:val="56"/>
    </w:rPr>
  </w:style>
  <w:style w:type="paragraph" w:styleId="Subtitle">
    <w:name w:val="Subtitle"/>
    <w:basedOn w:val="HeadingBaseStyle"/>
    <w:link w:val="SubtitleChar"/>
    <w:qFormat/>
    <w:rsid w:val="00084046"/>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084046"/>
    <w:rPr>
      <w:rFonts w:ascii="Arial Bold" w:hAnsi="Arial Bold"/>
      <w:b/>
      <w:sz w:val="40"/>
    </w:rPr>
  </w:style>
  <w:style w:type="paragraph" w:customStyle="1" w:styleId="SeriesNumber">
    <w:name w:val="Series Number"/>
    <w:basedOn w:val="HeadingBaseStyle"/>
    <w:rsid w:val="00084046"/>
    <w:pPr>
      <w:spacing w:after="300"/>
      <w:jc w:val="center"/>
    </w:pPr>
    <w:rPr>
      <w:rFonts w:ascii="Arial Bold" w:hAnsi="Arial Bold"/>
      <w:b/>
      <w:color w:val="auto"/>
      <w:sz w:val="32"/>
    </w:rPr>
  </w:style>
  <w:style w:type="character" w:customStyle="1" w:styleId="A5">
    <w:name w:val="A5"/>
    <w:uiPriority w:val="99"/>
    <w:rsid w:val="00084046"/>
    <w:rPr>
      <w:rFonts w:cs="Swiss 721 BT"/>
      <w:color w:val="000000"/>
      <w:sz w:val="20"/>
      <w:szCs w:val="20"/>
    </w:rPr>
  </w:style>
  <w:style w:type="paragraph" w:customStyle="1" w:styleId="Abstract">
    <w:name w:val="Abstract"/>
    <w:basedOn w:val="Normal"/>
    <w:link w:val="AbstractChar"/>
    <w:qFormat/>
    <w:rsid w:val="00084046"/>
  </w:style>
  <w:style w:type="character" w:customStyle="1" w:styleId="AbstractChar">
    <w:name w:val="Abstract Char"/>
    <w:basedOn w:val="DefaultParagraphFont"/>
    <w:link w:val="Abstract"/>
    <w:rsid w:val="00084046"/>
    <w:rPr>
      <w:rFonts w:ascii="Calibri" w:hAnsi="Calibri"/>
      <w:color w:val="000000" w:themeColor="text1"/>
    </w:rPr>
  </w:style>
  <w:style w:type="paragraph" w:customStyle="1" w:styleId="AppendixHeadingLevel2NotNumbered">
    <w:name w:val="Appendix Heading Level 2 Not Numbered"/>
    <w:basedOn w:val="Normal"/>
    <w:qFormat/>
    <w:rsid w:val="00084046"/>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084046"/>
    <w:pPr>
      <w:spacing w:after="0"/>
    </w:pPr>
  </w:style>
  <w:style w:type="paragraph" w:customStyle="1" w:styleId="Alphanumbered">
    <w:name w:val="Alpha numbered"/>
    <w:basedOn w:val="Normal"/>
    <w:rsid w:val="00084046"/>
    <w:pPr>
      <w:numPr>
        <w:numId w:val="16"/>
      </w:numPr>
    </w:pPr>
  </w:style>
  <w:style w:type="paragraph" w:customStyle="1" w:styleId="HeadingBaseStyle">
    <w:name w:val="HeadingBaseStyle"/>
    <w:basedOn w:val="Normal"/>
    <w:rsid w:val="00084046"/>
    <w:pPr>
      <w:keepNext/>
      <w:spacing w:after="0"/>
    </w:pPr>
    <w:rPr>
      <w:rFonts w:ascii="Arial" w:hAnsi="Arial"/>
      <w:color w:val="2C384A" w:themeColor="accent1"/>
    </w:rPr>
  </w:style>
  <w:style w:type="paragraph" w:customStyle="1" w:styleId="AppendixHeadingNotNumbered">
    <w:name w:val="Appendix Heading Not Numbered"/>
    <w:basedOn w:val="HeadingBaseStyle"/>
    <w:rsid w:val="00084046"/>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084046"/>
    <w:pPr>
      <w:numPr>
        <w:ilvl w:val="1"/>
      </w:numPr>
    </w:pPr>
  </w:style>
  <w:style w:type="paragraph" w:customStyle="1" w:styleId="AppendixHeadingLevel3">
    <w:name w:val="Appendix Heading Level 3"/>
    <w:basedOn w:val="Heading3"/>
    <w:next w:val="Normal"/>
    <w:rsid w:val="00084046"/>
    <w:pPr>
      <w:numPr>
        <w:ilvl w:val="2"/>
        <w:numId w:val="17"/>
      </w:numPr>
    </w:pPr>
  </w:style>
  <w:style w:type="paragraph" w:customStyle="1" w:styleId="AppendixHeadingLevel4">
    <w:name w:val="Appendix Heading Level 4"/>
    <w:basedOn w:val="Heading4"/>
    <w:next w:val="Normal"/>
    <w:rsid w:val="00084046"/>
    <w:pPr>
      <w:numPr>
        <w:ilvl w:val="3"/>
        <w:numId w:val="17"/>
      </w:numPr>
    </w:pPr>
  </w:style>
  <w:style w:type="paragraph" w:customStyle="1" w:styleId="Attachment">
    <w:name w:val="Attachment"/>
    <w:basedOn w:val="HeadingBaseStyle"/>
    <w:next w:val="Normal"/>
    <w:rsid w:val="00084046"/>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084046"/>
    <w:pPr>
      <w:numPr>
        <w:numId w:val="18"/>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084046"/>
    <w:pPr>
      <w:spacing w:after="20"/>
      <w:jc w:val="center"/>
    </w:pPr>
    <w:rPr>
      <w:color w:val="auto"/>
      <w:sz w:val="24"/>
    </w:rPr>
  </w:style>
  <w:style w:type="paragraph" w:customStyle="1" w:styleId="CaptionHeading1">
    <w:name w:val="Caption Heading 1"/>
    <w:basedOn w:val="Normal"/>
    <w:next w:val="Captiongraphic"/>
    <w:rsid w:val="00084046"/>
    <w:pPr>
      <w:keepNext/>
      <w:spacing w:before="120" w:after="0"/>
      <w:jc w:val="center"/>
    </w:pPr>
    <w:rPr>
      <w:rFonts w:ascii="Arial" w:hAnsi="Arial"/>
      <w:color w:val="2C384A" w:themeColor="accent1"/>
      <w:sz w:val="24"/>
    </w:rPr>
  </w:style>
  <w:style w:type="paragraph" w:customStyle="1" w:styleId="CaptionHeading2">
    <w:name w:val="Caption Heading 2"/>
    <w:basedOn w:val="Normal"/>
    <w:rsid w:val="00084046"/>
    <w:pPr>
      <w:keepNext/>
      <w:spacing w:after="0"/>
      <w:jc w:val="center"/>
    </w:pPr>
    <w:rPr>
      <w:rFonts w:ascii="Arial" w:hAnsi="Arial"/>
      <w:color w:val="2C384A" w:themeColor="accent1"/>
      <w:sz w:val="20"/>
    </w:rPr>
  </w:style>
  <w:style w:type="paragraph" w:customStyle="1" w:styleId="CaptionHeading3">
    <w:name w:val="Caption Heading 3"/>
    <w:basedOn w:val="CaptionHeading2"/>
    <w:next w:val="Captiongraphic"/>
    <w:rsid w:val="00084046"/>
    <w:rPr>
      <w:rFonts w:ascii="Arial Bold" w:hAnsi="Arial Bold"/>
      <w:b/>
      <w:color w:val="000000"/>
    </w:rPr>
  </w:style>
  <w:style w:type="paragraph" w:styleId="NoSpacing">
    <w:name w:val="No Spacing"/>
    <w:link w:val="NoSpacingChar"/>
    <w:uiPriority w:val="1"/>
    <w:rsid w:val="00084046"/>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084046"/>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084046"/>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084046"/>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084046"/>
    <w:pPr>
      <w:spacing w:after="240" w:line="260" w:lineRule="exact"/>
    </w:pPr>
    <w:rPr>
      <w:color w:val="auto"/>
      <w:sz w:val="24"/>
    </w:rPr>
  </w:style>
  <w:style w:type="character" w:styleId="Emphasis">
    <w:name w:val="Emphasis"/>
    <w:basedOn w:val="DefaultParagraphFont"/>
    <w:qFormat/>
    <w:rsid w:val="00084046"/>
    <w:rPr>
      <w:i/>
      <w:iCs/>
    </w:rPr>
  </w:style>
  <w:style w:type="paragraph" w:customStyle="1" w:styleId="Equation">
    <w:name w:val="Equation"/>
    <w:basedOn w:val="Normal"/>
    <w:next w:val="Normal"/>
    <w:rsid w:val="00084046"/>
    <w:pPr>
      <w:spacing w:before="120" w:after="120"/>
      <w:ind w:left="357"/>
    </w:pPr>
    <w:rPr>
      <w:rFonts w:ascii="Times New Roman" w:hAnsi="Times New Roman"/>
    </w:rPr>
  </w:style>
  <w:style w:type="paragraph" w:customStyle="1" w:styleId="ExampleBullet">
    <w:name w:val="Example Bullet"/>
    <w:basedOn w:val="Normal"/>
    <w:rsid w:val="00084046"/>
    <w:pPr>
      <w:numPr>
        <w:numId w:val="20"/>
      </w:numPr>
      <w:spacing w:before="40" w:after="40"/>
    </w:pPr>
    <w:rPr>
      <w:rFonts w:ascii="Arial" w:hAnsi="Arial"/>
      <w:sz w:val="18"/>
    </w:rPr>
  </w:style>
  <w:style w:type="paragraph" w:customStyle="1" w:styleId="Heading2NotNumbered">
    <w:name w:val="Heading 2 Not Numbered"/>
    <w:basedOn w:val="Heading2"/>
    <w:rsid w:val="00084046"/>
    <w:pPr>
      <w:numPr>
        <w:numId w:val="0"/>
      </w:numPr>
    </w:pPr>
  </w:style>
  <w:style w:type="paragraph" w:customStyle="1" w:styleId="Heading3NotNumbered">
    <w:name w:val="Heading 3 Not Numbered"/>
    <w:basedOn w:val="Heading4"/>
    <w:rsid w:val="00084046"/>
    <w:pPr>
      <w:numPr>
        <w:ilvl w:val="0"/>
        <w:numId w:val="0"/>
      </w:numPr>
    </w:pPr>
    <w:rPr>
      <w:b w:val="0"/>
      <w:sz w:val="28"/>
    </w:rPr>
  </w:style>
  <w:style w:type="paragraph" w:customStyle="1" w:styleId="Indented">
    <w:name w:val="Indented"/>
    <w:basedOn w:val="Normal"/>
    <w:rsid w:val="00084046"/>
    <w:pPr>
      <w:ind w:left="851"/>
    </w:pPr>
  </w:style>
  <w:style w:type="paragraph" w:styleId="IntenseQuote">
    <w:name w:val="Intense Quote"/>
    <w:basedOn w:val="Normal"/>
    <w:next w:val="Normal"/>
    <w:link w:val="IntenseQuoteChar"/>
    <w:uiPriority w:val="30"/>
    <w:rsid w:val="00084046"/>
    <w:pPr>
      <w:pBdr>
        <w:bottom w:val="single" w:sz="4" w:space="4" w:color="2C384A" w:themeColor="accent1"/>
      </w:pBdr>
      <w:spacing w:before="200" w:after="280"/>
      <w:ind w:left="936" w:right="936"/>
    </w:pPr>
    <w:rPr>
      <w:b/>
      <w:bCs/>
      <w:i/>
      <w:iCs/>
      <w:color w:val="2C384A" w:themeColor="accent1"/>
    </w:rPr>
  </w:style>
  <w:style w:type="character" w:customStyle="1" w:styleId="IntenseQuoteChar">
    <w:name w:val="Intense Quote Char"/>
    <w:basedOn w:val="DefaultParagraphFont"/>
    <w:link w:val="IntenseQuote"/>
    <w:uiPriority w:val="30"/>
    <w:rsid w:val="00084046"/>
    <w:rPr>
      <w:rFonts w:ascii="Calibri" w:hAnsi="Calibri"/>
      <w:b/>
      <w:bCs/>
      <w:i/>
      <w:iCs/>
      <w:color w:val="2C384A" w:themeColor="accent1"/>
    </w:rPr>
  </w:style>
  <w:style w:type="paragraph" w:customStyle="1" w:styleId="MTDisplayEquation">
    <w:name w:val="MTDisplayEquation"/>
    <w:basedOn w:val="Normal"/>
    <w:next w:val="Normal"/>
    <w:link w:val="MTDisplayEquationChar"/>
    <w:rsid w:val="00084046"/>
    <w:pPr>
      <w:tabs>
        <w:tab w:val="center" w:pos="4640"/>
        <w:tab w:val="right" w:pos="9300"/>
      </w:tabs>
    </w:pPr>
  </w:style>
  <w:style w:type="character" w:customStyle="1" w:styleId="MTDisplayEquationChar">
    <w:name w:val="MTDisplayEquation Char"/>
    <w:basedOn w:val="DefaultParagraphFont"/>
    <w:link w:val="MTDisplayEquation"/>
    <w:rsid w:val="00084046"/>
    <w:rPr>
      <w:rFonts w:ascii="Calibri" w:hAnsi="Calibri"/>
      <w:color w:val="000000" w:themeColor="text1"/>
    </w:rPr>
  </w:style>
  <w:style w:type="character" w:customStyle="1" w:styleId="MTEquationSection">
    <w:name w:val="MTEquationSection"/>
    <w:basedOn w:val="DefaultParagraphFont"/>
    <w:rsid w:val="00084046"/>
    <w:rPr>
      <w:vanish w:val="0"/>
      <w:color w:val="FF0000"/>
    </w:rPr>
  </w:style>
  <w:style w:type="character" w:customStyle="1" w:styleId="NormalBold">
    <w:name w:val="Normal Bold"/>
    <w:basedOn w:val="DefaultParagraphFont"/>
    <w:rsid w:val="00084046"/>
    <w:rPr>
      <w:rFonts w:ascii="Calibri" w:hAnsi="Calibri"/>
      <w:b/>
      <w:sz w:val="22"/>
    </w:rPr>
  </w:style>
  <w:style w:type="character" w:customStyle="1" w:styleId="Normalitalics">
    <w:name w:val="Normal italics"/>
    <w:basedOn w:val="DefaultParagraphFont"/>
    <w:rsid w:val="00084046"/>
    <w:rPr>
      <w:i/>
    </w:rPr>
  </w:style>
  <w:style w:type="paragraph" w:customStyle="1" w:styleId="Note">
    <w:name w:val="Note"/>
    <w:basedOn w:val="HeadingBaseStyle"/>
    <w:next w:val="Normal"/>
    <w:rsid w:val="00084046"/>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084046"/>
    <w:rPr>
      <w:i/>
    </w:rPr>
  </w:style>
  <w:style w:type="paragraph" w:customStyle="1" w:styleId="NumberedParagraph">
    <w:name w:val="Numbered Paragraph"/>
    <w:basedOn w:val="Normal"/>
    <w:autoRedefine/>
    <w:rsid w:val="00084046"/>
    <w:pPr>
      <w:numPr>
        <w:numId w:val="22"/>
      </w:numPr>
    </w:pPr>
  </w:style>
  <w:style w:type="character" w:styleId="PlaceholderText">
    <w:name w:val="Placeholder Text"/>
    <w:basedOn w:val="DefaultParagraphFont"/>
    <w:uiPriority w:val="99"/>
    <w:semiHidden/>
    <w:rsid w:val="00084046"/>
    <w:rPr>
      <w:color w:val="808080"/>
    </w:rPr>
  </w:style>
  <w:style w:type="paragraph" w:customStyle="1" w:styleId="References">
    <w:name w:val="References"/>
    <w:basedOn w:val="Normal"/>
    <w:rsid w:val="00084046"/>
    <w:pPr>
      <w:widowControl w:val="0"/>
      <w:adjustRightInd w:val="0"/>
      <w:textAlignment w:val="baseline"/>
    </w:pPr>
  </w:style>
  <w:style w:type="paragraph" w:customStyle="1" w:styleId="SeriesMonth">
    <w:name w:val="Series Month"/>
    <w:basedOn w:val="HeadingBaseStyle"/>
    <w:rsid w:val="00084046"/>
    <w:pPr>
      <w:spacing w:after="240"/>
      <w:jc w:val="center"/>
    </w:pPr>
    <w:rPr>
      <w:rFonts w:ascii="Arial Bold" w:hAnsi="Arial Bold"/>
      <w:b/>
      <w:color w:val="auto"/>
      <w:sz w:val="32"/>
    </w:rPr>
  </w:style>
  <w:style w:type="paragraph" w:customStyle="1" w:styleId="Tablegraphic0">
    <w:name w:val="Table graphic"/>
    <w:basedOn w:val="HeadingBaseStyle"/>
    <w:next w:val="Normal"/>
    <w:rsid w:val="00084046"/>
    <w:pPr>
      <w:spacing w:after="20"/>
      <w:ind w:right="-113"/>
    </w:pPr>
    <w:rPr>
      <w:color w:val="auto"/>
      <w:sz w:val="24"/>
    </w:rPr>
  </w:style>
  <w:style w:type="paragraph" w:customStyle="1" w:styleId="TableHeading1">
    <w:name w:val="Table Heading 1"/>
    <w:basedOn w:val="HeadingBaseStyle"/>
    <w:next w:val="Tablegraphic0"/>
    <w:rsid w:val="00084046"/>
    <w:pPr>
      <w:spacing w:before="120" w:after="20"/>
      <w:jc w:val="center"/>
    </w:pPr>
    <w:rPr>
      <w:sz w:val="24"/>
    </w:rPr>
  </w:style>
  <w:style w:type="paragraph" w:customStyle="1" w:styleId="Tableheading2">
    <w:name w:val="Table heading 2"/>
    <w:basedOn w:val="TableHeading1"/>
    <w:next w:val="Tablegraphic0"/>
    <w:rsid w:val="00084046"/>
    <w:pPr>
      <w:spacing w:before="0"/>
    </w:pPr>
    <w:rPr>
      <w:sz w:val="22"/>
    </w:rPr>
  </w:style>
  <w:style w:type="paragraph" w:customStyle="1" w:styleId="TableHeadingcontinued">
    <w:name w:val="Table Heading continued"/>
    <w:basedOn w:val="HeadingBaseStyle"/>
    <w:next w:val="Tablegraphic0"/>
    <w:rsid w:val="00084046"/>
    <w:pPr>
      <w:jc w:val="center"/>
    </w:pPr>
  </w:style>
  <w:style w:type="paragraph" w:customStyle="1" w:styleId="Tabletextcentred">
    <w:name w:val="Table text centred"/>
    <w:basedOn w:val="TableTextBase"/>
    <w:rsid w:val="00084046"/>
    <w:pPr>
      <w:jc w:val="center"/>
    </w:pPr>
  </w:style>
  <w:style w:type="paragraph" w:customStyle="1" w:styleId="Tabletextleft0">
    <w:name w:val="Table text left"/>
    <w:basedOn w:val="TableTextBase"/>
    <w:rsid w:val="00084046"/>
  </w:style>
  <w:style w:type="character" w:customStyle="1" w:styleId="UnresolvedMention1">
    <w:name w:val="Unresolved Mention1"/>
    <w:basedOn w:val="DefaultParagraphFont"/>
    <w:uiPriority w:val="99"/>
    <w:semiHidden/>
    <w:unhideWhenUsed/>
    <w:rsid w:val="005D6E5F"/>
    <w:rPr>
      <w:color w:val="605E5C"/>
      <w:shd w:val="clear" w:color="auto" w:fill="E1DFDD"/>
    </w:rPr>
  </w:style>
  <w:style w:type="character" w:styleId="UnresolvedMention">
    <w:name w:val="Unresolved Mention"/>
    <w:basedOn w:val="DefaultParagraphFont"/>
    <w:uiPriority w:val="99"/>
    <w:semiHidden/>
    <w:unhideWhenUsed/>
    <w:rsid w:val="004E0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22">
      <w:bodyDiv w:val="1"/>
      <w:marLeft w:val="0"/>
      <w:marRight w:val="0"/>
      <w:marTop w:val="0"/>
      <w:marBottom w:val="0"/>
      <w:divBdr>
        <w:top w:val="none" w:sz="0" w:space="0" w:color="auto"/>
        <w:left w:val="none" w:sz="0" w:space="0" w:color="auto"/>
        <w:bottom w:val="none" w:sz="0" w:space="0" w:color="auto"/>
        <w:right w:val="none" w:sz="0" w:space="0" w:color="auto"/>
      </w:divBdr>
    </w:div>
    <w:div w:id="25840510">
      <w:bodyDiv w:val="1"/>
      <w:marLeft w:val="0"/>
      <w:marRight w:val="0"/>
      <w:marTop w:val="0"/>
      <w:marBottom w:val="0"/>
      <w:divBdr>
        <w:top w:val="none" w:sz="0" w:space="0" w:color="auto"/>
        <w:left w:val="none" w:sz="0" w:space="0" w:color="auto"/>
        <w:bottom w:val="none" w:sz="0" w:space="0" w:color="auto"/>
        <w:right w:val="none" w:sz="0" w:space="0" w:color="auto"/>
      </w:divBdr>
    </w:div>
    <w:div w:id="104234859">
      <w:bodyDiv w:val="1"/>
      <w:marLeft w:val="0"/>
      <w:marRight w:val="0"/>
      <w:marTop w:val="0"/>
      <w:marBottom w:val="0"/>
      <w:divBdr>
        <w:top w:val="none" w:sz="0" w:space="0" w:color="auto"/>
        <w:left w:val="none" w:sz="0" w:space="0" w:color="auto"/>
        <w:bottom w:val="none" w:sz="0" w:space="0" w:color="auto"/>
        <w:right w:val="none" w:sz="0" w:space="0" w:color="auto"/>
      </w:divBdr>
    </w:div>
    <w:div w:id="479544358">
      <w:bodyDiv w:val="1"/>
      <w:marLeft w:val="0"/>
      <w:marRight w:val="0"/>
      <w:marTop w:val="0"/>
      <w:marBottom w:val="0"/>
      <w:divBdr>
        <w:top w:val="none" w:sz="0" w:space="0" w:color="auto"/>
        <w:left w:val="none" w:sz="0" w:space="0" w:color="auto"/>
        <w:bottom w:val="none" w:sz="0" w:space="0" w:color="auto"/>
        <w:right w:val="none" w:sz="0" w:space="0" w:color="auto"/>
      </w:divBdr>
    </w:div>
    <w:div w:id="1106340967">
      <w:bodyDiv w:val="1"/>
      <w:marLeft w:val="0"/>
      <w:marRight w:val="0"/>
      <w:marTop w:val="0"/>
      <w:marBottom w:val="0"/>
      <w:divBdr>
        <w:top w:val="none" w:sz="0" w:space="0" w:color="auto"/>
        <w:left w:val="none" w:sz="0" w:space="0" w:color="auto"/>
        <w:bottom w:val="none" w:sz="0" w:space="0" w:color="auto"/>
        <w:right w:val="none" w:sz="0" w:space="0" w:color="auto"/>
      </w:divBdr>
    </w:div>
    <w:div w:id="1320160927">
      <w:bodyDiv w:val="1"/>
      <w:marLeft w:val="0"/>
      <w:marRight w:val="0"/>
      <w:marTop w:val="0"/>
      <w:marBottom w:val="0"/>
      <w:divBdr>
        <w:top w:val="none" w:sz="0" w:space="0" w:color="auto"/>
        <w:left w:val="none" w:sz="0" w:space="0" w:color="auto"/>
        <w:bottom w:val="none" w:sz="0" w:space="0" w:color="auto"/>
        <w:right w:val="none" w:sz="0" w:space="0" w:color="auto"/>
      </w:divBdr>
    </w:div>
    <w:div w:id="1534419305">
      <w:bodyDiv w:val="1"/>
      <w:marLeft w:val="0"/>
      <w:marRight w:val="0"/>
      <w:marTop w:val="0"/>
      <w:marBottom w:val="0"/>
      <w:divBdr>
        <w:top w:val="none" w:sz="0" w:space="0" w:color="auto"/>
        <w:left w:val="none" w:sz="0" w:space="0" w:color="auto"/>
        <w:bottom w:val="none" w:sz="0" w:space="0" w:color="auto"/>
        <w:right w:val="none" w:sz="0" w:space="0" w:color="auto"/>
      </w:divBdr>
    </w:div>
    <w:div w:id="1626231039">
      <w:bodyDiv w:val="1"/>
      <w:marLeft w:val="0"/>
      <w:marRight w:val="0"/>
      <w:marTop w:val="0"/>
      <w:marBottom w:val="0"/>
      <w:divBdr>
        <w:top w:val="none" w:sz="0" w:space="0" w:color="auto"/>
        <w:left w:val="none" w:sz="0" w:space="0" w:color="auto"/>
        <w:bottom w:val="none" w:sz="0" w:space="0" w:color="auto"/>
        <w:right w:val="none" w:sz="0" w:space="0" w:color="auto"/>
      </w:divBdr>
    </w:div>
    <w:div w:id="1733238759">
      <w:bodyDiv w:val="1"/>
      <w:marLeft w:val="0"/>
      <w:marRight w:val="0"/>
      <w:marTop w:val="0"/>
      <w:marBottom w:val="0"/>
      <w:divBdr>
        <w:top w:val="none" w:sz="0" w:space="0" w:color="auto"/>
        <w:left w:val="none" w:sz="0" w:space="0" w:color="auto"/>
        <w:bottom w:val="none" w:sz="0" w:space="0" w:color="auto"/>
        <w:right w:val="none" w:sz="0" w:space="0" w:color="auto"/>
      </w:divBdr>
    </w:div>
    <w:div w:id="19842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legalcod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edia@treasury.gov.au" TargetMode="External"/><Relationship Id="rId32" Type="http://schemas.openxmlformats.org/officeDocument/2006/relationships/hyperlink" Target="https://voxeu.org/article/technological-progress-thing-pas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pmc.gov.au/government/commonwealth-coat-arms" TargetMode="External"/><Relationship Id="rId28" Type="http://schemas.openxmlformats.org/officeDocument/2006/relationships/image" Target="media/image5.emf"/><Relationship Id="rId10" Type="http://schemas.openxmlformats.org/officeDocument/2006/relationships/webSettings" Target="webSettings.xml"/><Relationship Id="rId19" Type="http://schemas.openxmlformats.org/officeDocument/2006/relationships/hyperlink" Target="http://creativecommons.org/licenses/by/3.0/au/deed.e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creativecommons.org/licenses/by/3.0/au/deed.en" TargetMode="External"/><Relationship Id="rId27" Type="http://schemas.openxmlformats.org/officeDocument/2006/relationships/image" Target="media/image4.emf"/><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mailto:Jonathan.Hambur@treasury.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2D77FC5E78371044AD6489ADEA6DAB9B00DC4A22D3BF504A48BAC8B43A79336DF4" ma:contentTypeVersion="44359" ma:contentTypeDescription="" ma:contentTypeScope="" ma:versionID="84a631c17661bdccf3056a85a2702ecd">
  <xsd:schema xmlns:xsd="http://www.w3.org/2001/XMLSchema" xmlns:xs="http://www.w3.org/2001/XMLSchema" xmlns:p="http://schemas.microsoft.com/office/2006/metadata/properties" xmlns:ns1="http://schemas.microsoft.com/sharepoint/v3" xmlns:ns2="0f563589-9cf9-4143-b1eb-fb0534803d38" xmlns:ns3="54bb81cf-96ba-41ce-8a26-ccbc5a57d34e" xmlns:ns4="a0641bfb-d00b-4a10-b356-7eeaff348906" xmlns:ns5="f0b8e850-5d6c-4fdf-aaa8-971c30da5c10" xmlns:ns6="http://schemas.microsoft.com/sharepoint/v4" targetNamespace="http://schemas.microsoft.com/office/2006/metadata/properties" ma:root="true" ma:fieldsID="14033113a0a4e33ac9cab9550c2d6962" ns1:_="" ns2:_="" ns3:_="" ns4:_="" ns5:_="" ns6:_="">
    <xsd:import namespace="http://schemas.microsoft.com/sharepoint/v3"/>
    <xsd:import namespace="0f563589-9cf9-4143-b1eb-fb0534803d38"/>
    <xsd:import namespace="54bb81cf-96ba-41ce-8a26-ccbc5a57d34e"/>
    <xsd:import namespace="a0641bfb-d00b-4a10-b356-7eeaff348906"/>
    <xsd:import namespace="f0b8e850-5d6c-4fdf-aaa8-971c30da5c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Population" minOccurs="0"/>
                <xsd:element ref="ns4:Participation" minOccurs="0"/>
                <xsd:element ref="ns4:Productivity_x0020_streams" minOccurs="0"/>
                <xsd:element ref="ns4:Fiscal_x0020_policy_x0020_streams" minOccurs="0"/>
                <xsd:element ref="ns4:Monetary_x0020_policy_x0020_streams" minOccurs="0"/>
                <xsd:element ref="ns4:Macro_x002d_financial_x0020_risk_x0020_streams" minOccurs="0"/>
                <xsd:element ref="ns5:ContentTypes" minOccurs="0"/>
                <xsd:element ref="ns5:WorkStreams" minOccurs="0"/>
                <xsd:element ref="ns4:Model_x0020_simulation_x0020_streams" minOccurs="0"/>
                <xsd:element ref="ns4:Model_x0020_development_x0020_streams" minOccurs="0"/>
                <xsd:element ref="ns6:IconOverlay" minOccurs="0"/>
                <xsd:element ref="ns4:Project_x0020_number" minOccurs="0"/>
                <xsd:element ref="ns4:Work_x0020_streams" minOccurs="0"/>
                <xsd:element ref="ns4:Content_x0020_types" minOccurs="0"/>
                <xsd:element ref="ns3:n748a1c17def4c93b413435c48ea6417" minOccurs="0"/>
                <xsd:element ref="ns4:MAPD_x0020_Topi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b81cf-96ba-41ce-8a26-ccbc5a57d34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1;#TSY RA-8870 - Destroy 10 years after action completed|3974f803-6497-49bd-88d6-c10b20320241"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32"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641bfb-d00b-4a10-b356-7eeaff348906" elementFormDefault="qualified">
    <xsd:import namespace="http://schemas.microsoft.com/office/2006/documentManagement/types"/>
    <xsd:import namespace="http://schemas.microsoft.com/office/infopath/2007/PartnerControls"/>
    <xsd:element name="Population" ma:index="16" nillable="true" ma:displayName="Population streams" ma:list="{626ce797-6a0f-4efc-92db-4b02c7dae518}" ma:internalName="Population" ma:showField="Title">
      <xsd:complexType>
        <xsd:complexContent>
          <xsd:extension base="dms:MultiChoiceLookup">
            <xsd:sequence>
              <xsd:element name="Value" type="dms:Lookup" maxOccurs="unbounded" minOccurs="0" nillable="true"/>
            </xsd:sequence>
          </xsd:extension>
        </xsd:complexContent>
      </xsd:complexType>
    </xsd:element>
    <xsd:element name="Participation" ma:index="17" nillable="true" ma:displayName="Participation streams" ma:list="{ea297aad-21fb-4814-bfb4-c1d165e238af}" ma:internalName="Participation" ma:showField="Title">
      <xsd:complexType>
        <xsd:complexContent>
          <xsd:extension base="dms:MultiChoiceLookup">
            <xsd:sequence>
              <xsd:element name="Value" type="dms:Lookup" maxOccurs="unbounded" minOccurs="0" nillable="true"/>
            </xsd:sequence>
          </xsd:extension>
        </xsd:complexContent>
      </xsd:complexType>
    </xsd:element>
    <xsd:element name="Productivity_x0020_streams" ma:index="18" nillable="true" ma:displayName="Productivity streams" ma:list="{559149e6-9ef6-42b6-869a-da44a1232927}" ma:internalName="Productivity_x0020_streams" ma:showField="Title">
      <xsd:complexType>
        <xsd:complexContent>
          <xsd:extension base="dms:MultiChoiceLookup">
            <xsd:sequence>
              <xsd:element name="Value" type="dms:Lookup" maxOccurs="unbounded" minOccurs="0" nillable="true"/>
            </xsd:sequence>
          </xsd:extension>
        </xsd:complexContent>
      </xsd:complexType>
    </xsd:element>
    <xsd:element name="Fiscal_x0020_policy_x0020_streams" ma:index="19" nillable="true" ma:displayName="Fiscal policy streams" ma:list="{3261a855-5808-4ced-8a1d-31d8e7e3e2f9}" ma:internalName="Fiscal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onetary_x0020_policy_x0020_streams" ma:index="20" nillable="true" ma:displayName="Monetary policy streams" ma:list="{e5f9ceb1-1dc5-4b38-b56c-a059627dfb53}" ma:internalName="Monetary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acro_x002d_financial_x0020_risk_x0020_streams" ma:index="21" nillable="true" ma:displayName="Macro-financial risk streams" ma:list="{0e047be6-86fe-42ab-a4e9-d2d4b793196f}" ma:internalName="Macro_x002d_financial_x0020_risk_x0020_streams" ma:showField="Title">
      <xsd:complexType>
        <xsd:complexContent>
          <xsd:extension base="dms:MultiChoiceLookup">
            <xsd:sequence>
              <xsd:element name="Value" type="dms:Lookup" maxOccurs="unbounded" minOccurs="0" nillable="true"/>
            </xsd:sequence>
          </xsd:extension>
        </xsd:complexContent>
      </xsd:complexType>
    </xsd:element>
    <xsd:element name="Model_x0020_simulation_x0020_streams" ma:index="24" nillable="true" ma:displayName="Model simulation streams" ma:list="{36332a20-ab24-4d4d-a40f-075860218e23}" ma:internalName="Model_x0020_simulation_x0020_streams" ma:showField="Title">
      <xsd:complexType>
        <xsd:complexContent>
          <xsd:extension base="dms:MultiChoiceLookup">
            <xsd:sequence>
              <xsd:element name="Value" type="dms:Lookup" maxOccurs="unbounded" minOccurs="0" nillable="true"/>
            </xsd:sequence>
          </xsd:extension>
        </xsd:complexContent>
      </xsd:complexType>
    </xsd:element>
    <xsd:element name="Model_x0020_development_x0020_streams" ma:index="25" nillable="true" ma:displayName="Model development streams" ma:internalName="Model_x0020_development_x0020_streams">
      <xsd:complexType>
        <xsd:complexContent>
          <xsd:extension base="dms:MultiChoice">
            <xsd:sequence>
              <xsd:element name="Value" maxOccurs="unbounded" minOccurs="0" nillable="true">
                <xsd:simpleType>
                  <xsd:restriction base="dms:Choice">
                    <xsd:enumeration value="G-cubed"/>
                    <xsd:enumeration value="IECGE"/>
                    <xsd:enumeration value="GIMF"/>
                    <xsd:enumeration value="GVAR"/>
                    <xsd:enumeration value="Overlapping Generations"/>
                    <xsd:enumeration value="Dynamic general equilibrium"/>
                    <xsd:enumeration value="Single equation"/>
                    <xsd:enumeration value="VAR"/>
                    <xsd:enumeration value="Forecast/projection model"/>
                    <xsd:enumeration value="Government spending"/>
                    <xsd:enumeration value="Dr Chung Tran training course 2016"/>
                    <xsd:enumeration value="International modelling"/>
                    <xsd:enumeration value="HILDA"/>
                    <xsd:enumeration value="TIM energy module"/>
                  </xsd:restriction>
                </xsd:simpleType>
              </xsd:element>
            </xsd:sequence>
          </xsd:extension>
        </xsd:complexContent>
      </xsd:complexType>
    </xsd:element>
    <xsd:element name="Project_x0020_number" ma:index="28" nillable="true" ma:displayName="Project number" ma:list="{b58c7af6-9285-4f5e-9df2-dfb3963c4ce7}" ma:internalName="Project_x0020_number" ma:showField="Project_x0020_number">
      <xsd:simpleType>
        <xsd:restriction base="dms:Lookup"/>
      </xsd:simpleType>
    </xsd:element>
    <xsd:element name="Work_x0020_streams" ma:index="29" nillable="true" ma:displayName="Work streams" ma:hidden="true" ma:list="{504b9a15-e5a5-47ba-acbd-a5ca5b65581d}" ma:internalName="Work_x0020_streams" ma:showField="Title">
      <xsd:complexType>
        <xsd:complexContent>
          <xsd:extension base="dms:MultiChoiceLookup">
            <xsd:sequence>
              <xsd:element name="Value" type="dms:Lookup" maxOccurs="unbounded" minOccurs="0" nillable="true"/>
            </xsd:sequence>
          </xsd:extension>
        </xsd:complexContent>
      </xsd:complexType>
    </xsd:element>
    <xsd:element name="Content_x0020_types" ma:index="30" nillable="true" ma:displayName="Content types" ma:hidden="true" ma:list="{4f224bbf-b44e-4c30-b732-17c4320ce6cc}" ma:internalName="Content_x0020_types" ma:showField="Title">
      <xsd:simpleType>
        <xsd:restriction base="dms:Lookup"/>
      </xsd:simpleType>
    </xsd:element>
    <xsd:element name="MAPD_x0020_Topics" ma:index="33" nillable="true" ma:displayName="MAPD Topics" ma:list="{4133abcd-5c1f-446f-acdf-d761c30560bd}" ma:internalName="MAPD_x0020_Topic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b8e850-5d6c-4fdf-aaa8-971c30da5c10" elementFormDefault="qualified">
    <xsd:import namespace="http://schemas.microsoft.com/office/2006/documentManagement/types"/>
    <xsd:import namespace="http://schemas.microsoft.com/office/infopath/2007/PartnerControls"/>
    <xsd:element name="ContentTypes" ma:index="22" nillable="true" ma:displayName="ContentTypes" ma:list="{4f224bbf-b44e-4c30-b732-17c4320ce6cc}" ma:internalName="ContentTypes" ma:showField="Title" ma:web="f0b8e850-5d6c-4fdf-aaa8-971c30da5c10">
      <xsd:simpleType>
        <xsd:restriction base="dms:Lookup"/>
      </xsd:simpleType>
    </xsd:element>
    <xsd:element name="WorkStreams" ma:index="23" nillable="true" ma:displayName="WorkStreams" ma:list="{504b9a15-e5a5-47ba-acbd-a5ca5b65581d}" ma:internalName="WorkStreams" ma:showField="Title" ma:web="f0b8e850-5d6c-4fdf-aaa8-971c30da5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748a1c17def4c93b413435c48ea6417 xmlns="54bb81cf-96ba-41ce-8a26-ccbc5a57d34e">
      <Terms xmlns="http://schemas.microsoft.com/office/infopath/2007/PartnerControls"/>
    </n748a1c17def4c93b413435c48ea6417>
    <lb508a4dc5e84436a0fe496b536466aa xmlns="54bb81cf-96ba-41ce-8a26-ccbc5a57d34e">
      <Terms xmlns="http://schemas.microsoft.com/office/infopath/2007/PartnerControls">
        <TermInfo xmlns="http://schemas.microsoft.com/office/infopath/2007/PartnerControls">
          <TermName xmlns="http://schemas.microsoft.com/office/infopath/2007/PartnerControls">TSY RA-8833 - Destroy 10 years after action completed</TermName>
          <TermId xmlns="http://schemas.microsoft.com/office/infopath/2007/PartnerControls">7bca45ba-b715-47b5-9037-b923dddd3489</TermId>
        </TermInfo>
      </Terms>
    </lb508a4dc5e84436a0fe496b536466aa>
    <IconOverlay xmlns="http://schemas.microsoft.com/sharepoint/v4" xsi:nil="true"/>
    <TaxCatchAll xmlns="0f563589-9cf9-4143-b1eb-fb0534803d38">
      <Value>48</Value>
    </TaxCatchAll>
    <ContentTypes xmlns="f0b8e850-5d6c-4fdf-aaa8-971c30da5c10" xsi:nil="true"/>
    <WorkStreams xmlns="f0b8e850-5d6c-4fdf-aaa8-971c30da5c10"/>
    <_dlc_DocId xmlns="0f563589-9cf9-4143-b1eb-fb0534803d38">2022MEG-168-2194</_dlc_DocId>
    <_dlc_DocIdUrl xmlns="0f563589-9cf9-4143-b1eb-fb0534803d38">
      <Url>http://tweb/sites/meg/mmpd/_layouts/15/DocIdRedir.aspx?ID=2022MEG-168-2194</Url>
      <Description>2022MEG-168-2194</Description>
    </_dlc_DocIdUrl>
    <Monetary_x0020_policy_x0020_streams xmlns="a0641bfb-d00b-4a10-b356-7eeaff348906"/>
    <Work_x0020_streams xmlns="a0641bfb-d00b-4a10-b356-7eeaff348906"/>
    <Content_x0020_types xmlns="a0641bfb-d00b-4a10-b356-7eeaff348906" xsi:nil="true"/>
    <MAPD_x0020_Topics xmlns="a0641bfb-d00b-4a10-b356-7eeaff348906"/>
    <Model_x0020_development_x0020_streams xmlns="a0641bfb-d00b-4a10-b356-7eeaff348906"/>
    <Project_x0020_number xmlns="a0641bfb-d00b-4a10-b356-7eeaff348906" xsi:nil="true"/>
    <Macro_x002d_financial_x0020_risk_x0020_streams xmlns="a0641bfb-d00b-4a10-b356-7eeaff348906"/>
    <Productivity_x0020_streams xmlns="a0641bfb-d00b-4a10-b356-7eeaff348906"/>
    <Fiscal_x0020_policy_x0020_streams xmlns="a0641bfb-d00b-4a10-b356-7eeaff348906"/>
    <Population xmlns="a0641bfb-d00b-4a10-b356-7eeaff348906"/>
    <Participation xmlns="a0641bfb-d00b-4a10-b356-7eeaff348906"/>
    <Model_x0020_simulation_x0020_streams xmlns="a0641bfb-d00b-4a10-b356-7eeaff34890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2D77FC5E78371044AD6489ADEA6DAB9B|1757814118" UniqueId="907908e7-fe2a-4e3a-8319-ed1139c39beb">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2C6715AC-7970-496B-955C-29F1E7860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54bb81cf-96ba-41ce-8a26-ccbc5a57d34e"/>
    <ds:schemaRef ds:uri="a0641bfb-d00b-4a10-b356-7eeaff348906"/>
    <ds:schemaRef ds:uri="f0b8e850-5d6c-4fdf-aaa8-971c30da5c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20E98-358E-4B2B-A9B7-3DA71A07E6B9}">
  <ds:schemaRefs>
    <ds:schemaRef ds:uri="http://schemas.microsoft.com/sharepoint/v3/contenttype/forms"/>
  </ds:schemaRefs>
</ds:datastoreItem>
</file>

<file path=customXml/itemProps3.xml><?xml version="1.0" encoding="utf-8"?>
<ds:datastoreItem xmlns:ds="http://schemas.openxmlformats.org/officeDocument/2006/customXml" ds:itemID="{89C0EAAF-C000-417C-A21E-DAEC8964176E}">
  <ds:schemaRefs>
    <ds:schemaRef ds:uri="http://schemas.microsoft.com/office/2006/metadata/properties"/>
    <ds:schemaRef ds:uri="http://schemas.microsoft.com/office/infopath/2007/PartnerControls"/>
    <ds:schemaRef ds:uri="54bb81cf-96ba-41ce-8a26-ccbc5a57d34e"/>
    <ds:schemaRef ds:uri="http://schemas.microsoft.com/sharepoint/v4"/>
    <ds:schemaRef ds:uri="0f563589-9cf9-4143-b1eb-fb0534803d38"/>
    <ds:schemaRef ds:uri="f0b8e850-5d6c-4fdf-aaa8-971c30da5c10"/>
    <ds:schemaRef ds:uri="a0641bfb-d00b-4a10-b356-7eeaff348906"/>
  </ds:schemaRefs>
</ds:datastoreItem>
</file>

<file path=customXml/itemProps4.xml><?xml version="1.0" encoding="utf-8"?>
<ds:datastoreItem xmlns:ds="http://schemas.openxmlformats.org/officeDocument/2006/customXml" ds:itemID="{3745C081-2A88-4F0D-82E3-49B6690F2A76}">
  <ds:schemaRefs>
    <ds:schemaRef ds:uri="http://schemas.openxmlformats.org/officeDocument/2006/bibliography"/>
  </ds:schemaRefs>
</ds:datastoreItem>
</file>

<file path=customXml/itemProps5.xml><?xml version="1.0" encoding="utf-8"?>
<ds:datastoreItem xmlns:ds="http://schemas.openxmlformats.org/officeDocument/2006/customXml" ds:itemID="{F1B30961-9313-4E39-8A68-5EA05993F585}">
  <ds:schemaRefs>
    <ds:schemaRef ds:uri="http://schemas.microsoft.com/sharepoint/events"/>
  </ds:schemaRefs>
</ds:datastoreItem>
</file>

<file path=customXml/itemProps6.xml><?xml version="1.0" encoding="utf-8"?>
<ds:datastoreItem xmlns:ds="http://schemas.openxmlformats.org/officeDocument/2006/customXml" ds:itemID="{22CD4DE6-BBBE-417C-A58D-C6138D3C4FD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21</TotalTime>
  <Pages>19</Pages>
  <Words>7140</Words>
  <Characters>40702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Reaching for the stars: Australian Firms and the Global Productivity Frontier</vt:lpstr>
    </vt:vector>
  </TitlesOfParts>
  <Company/>
  <LinksUpToDate>false</LinksUpToDate>
  <CharactersWithSpaces>47747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Reaching for the stars: Australian Firms and the Global Productivity Frontier</dc:title>
  <dc:subject/>
  <dc:creator>The Treasury</dc:creator>
  <cp:lastModifiedBy>Matthew</cp:lastModifiedBy>
  <cp:revision>11</cp:revision>
  <cp:lastPrinted>2019-06-03T06:23:00Z</cp:lastPrinted>
  <dcterms:created xsi:type="dcterms:W3CDTF">2022-01-24T23:24:00Z</dcterms:created>
  <dcterms:modified xsi:type="dcterms:W3CDTF">2022-02-07T02:09:00Z</dcterms:modified>
</cp:coreProperties>
</file>