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rPr>
          <w:noProof/>
        </w:rPr>
      </w:sdtEndPr>
      <w:sdtContent>
        <w:p w14:paraId="20BB90CB" w14:textId="77777777" w:rsidR="00604EEF" w:rsidRPr="006D0240" w:rsidRDefault="00604EEF" w:rsidP="008E6292">
          <w:r>
            <w:rPr>
              <w:noProof/>
              <w:lang w:eastAsia="zh-CN"/>
            </w:rPr>
            <w:drawing>
              <wp:anchor distT="0" distB="0" distL="114300" distR="114300" simplePos="0" relativeHeight="251658240" behindDoc="1" locked="0" layoutInCell="1" allowOverlap="1" wp14:anchorId="42F9AE4D" wp14:editId="54D56F2A">
                <wp:simplePos x="0" y="0"/>
                <wp:positionH relativeFrom="page">
                  <wp:posOffset>19050</wp:posOffset>
                </wp:positionH>
                <wp:positionV relativeFrom="margin">
                  <wp:posOffset>-847893</wp:posOffset>
                </wp:positionV>
                <wp:extent cx="7515225" cy="101760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27533" cy="10192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964C5" w14:textId="23A15771" w:rsidR="00604EEF" w:rsidRPr="006923DF" w:rsidRDefault="00256D39" w:rsidP="00B95414">
          <w:pPr>
            <w:pStyle w:val="Title"/>
            <w:spacing w:before="480"/>
          </w:pPr>
          <w:r>
            <w:t xml:space="preserve">Australian Government </w:t>
          </w:r>
          <w:r w:rsidR="00C07BA2">
            <w:br/>
          </w:r>
          <w:r>
            <w:t>Pay On-Time Survey</w:t>
          </w:r>
          <w:r w:rsidR="002D059E">
            <w:t xml:space="preserve"> 2020</w:t>
          </w:r>
          <w:r w:rsidR="008B0252">
            <w:t>–</w:t>
          </w:r>
          <w:r w:rsidR="002D059E">
            <w:t>21</w:t>
          </w:r>
        </w:p>
        <w:p w14:paraId="17FBE0AA" w14:textId="0B8EB901" w:rsidR="00604EEF" w:rsidRPr="006923DF" w:rsidRDefault="002000A5" w:rsidP="006923DF">
          <w:pPr>
            <w:pStyle w:val="Subtitle"/>
          </w:pPr>
          <w:r>
            <w:t>Performance Report</w:t>
          </w:r>
        </w:p>
        <w:p w14:paraId="34E6A06B" w14:textId="5C2FDEC3" w:rsidR="00604EEF" w:rsidRPr="00F55890" w:rsidRDefault="008A4840" w:rsidP="006923DF">
          <w:pPr>
            <w:pStyle w:val="ReportDate"/>
            <w:rPr>
              <w:rFonts w:ascii="Rockwell" w:hAnsi="Rockwell"/>
              <w:sz w:val="20"/>
              <w:szCs w:val="16"/>
            </w:rPr>
          </w:pPr>
          <w:r w:rsidRPr="00F55890">
            <w:rPr>
              <w:rStyle w:val="ReportDateChar"/>
              <w:sz w:val="36"/>
              <w:szCs w:val="16"/>
            </w:rPr>
            <w:t>December</w:t>
          </w:r>
          <w:r w:rsidR="002000A5" w:rsidRPr="00F55890">
            <w:rPr>
              <w:rStyle w:val="ReportDateChar"/>
              <w:sz w:val="36"/>
              <w:szCs w:val="16"/>
            </w:rPr>
            <w:t xml:space="preserve"> 2021</w:t>
          </w:r>
        </w:p>
        <w:p w14:paraId="0EA4E75D" w14:textId="77777777" w:rsidR="00604EEF" w:rsidRDefault="00604EEF">
          <w:pPr>
            <w:spacing w:before="0" w:after="160" w:line="259" w:lineRule="auto"/>
            <w:rPr>
              <w:noProof/>
            </w:rPr>
          </w:pPr>
          <w:r>
            <w:rPr>
              <w:noProof/>
            </w:rPr>
            <w:br w:type="page"/>
          </w:r>
        </w:p>
      </w:sdtContent>
    </w:sdt>
    <w:p w14:paraId="674CA0FE" w14:textId="641F7E06" w:rsidR="000E0B74" w:rsidRDefault="000E0B74" w:rsidP="005877AC">
      <w:pPr>
        <w:spacing w:before="0" w:after="160" w:line="259" w:lineRule="auto"/>
      </w:pPr>
      <w:r w:rsidRPr="00661BF0">
        <w:lastRenderedPageBreak/>
        <w:t>© Commonwealth of Austra</w:t>
      </w:r>
      <w:r w:rsidRPr="00222105">
        <w:t>lia 20</w:t>
      </w:r>
      <w:r w:rsidR="006564D3" w:rsidRPr="00222105">
        <w:t>2</w:t>
      </w:r>
      <w:r w:rsidR="00222105" w:rsidRPr="00222105">
        <w:t>1</w:t>
      </w:r>
    </w:p>
    <w:p w14:paraId="2732862C" w14:textId="68DEAB01" w:rsidR="00E9450F" w:rsidRDefault="00E9450F" w:rsidP="005877AC">
      <w:pPr>
        <w:spacing w:before="0" w:after="160" w:line="259" w:lineRule="auto"/>
        <w:rPr>
          <w:noProof/>
        </w:rPr>
      </w:pPr>
      <w:r>
        <w:t xml:space="preserve">ISBN </w:t>
      </w:r>
      <w:r w:rsidRPr="00E9450F">
        <w:t>978-1-925832-41-9</w:t>
      </w:r>
    </w:p>
    <w:p w14:paraId="01C911AF" w14:textId="71E4E9C2"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222105">
        <w:t xml:space="preserve">. </w:t>
      </w:r>
      <w:r w:rsidRPr="002F1BC2">
        <w:t>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19B81F26" w14:textId="77777777" w:rsidR="000E0B74" w:rsidRDefault="000E0B74" w:rsidP="000E0B74">
      <w:pPr>
        <w:pStyle w:val="ChartGraphic"/>
        <w:jc w:val="left"/>
      </w:pPr>
      <w:r w:rsidRPr="00E56DFB">
        <w:rPr>
          <w:noProof/>
          <w:lang w:eastAsia="zh-CN"/>
        </w:rPr>
        <w:drawing>
          <wp:inline distT="0" distB="0" distL="0" distR="0" wp14:anchorId="4E539C94" wp14:editId="78AACA14">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78FAD9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E03D1A5"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38EABF1"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366FFEA" w14:textId="08D34449" w:rsidR="000E0B74" w:rsidRPr="00A13A11" w:rsidRDefault="000E0B74" w:rsidP="000E0B74">
      <w:pPr>
        <w:ind w:firstLine="720"/>
      </w:pPr>
      <w:r w:rsidRPr="002F1BC2">
        <w:rPr>
          <w:i/>
        </w:rPr>
        <w:t xml:space="preserve">Source: The </w:t>
      </w:r>
      <w:r w:rsidRPr="002F1BC2">
        <w:rPr>
          <w:i/>
          <w:iCs/>
        </w:rPr>
        <w:t>Australian Government the Treasury</w:t>
      </w:r>
      <w:r>
        <w:t>.</w:t>
      </w:r>
    </w:p>
    <w:p w14:paraId="117472C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B64DE3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7ACCEBA" w14:textId="2C5DFD76" w:rsidR="000E0B74" w:rsidRPr="006627B4" w:rsidRDefault="000E0B74" w:rsidP="000E0B74">
      <w:pPr>
        <w:ind w:firstLine="720"/>
      </w:pPr>
      <w:r w:rsidRPr="002F1BC2">
        <w:rPr>
          <w:i/>
        </w:rPr>
        <w:t>Based on The Australian Government the Treasury data</w:t>
      </w:r>
      <w:r>
        <w:t>.</w:t>
      </w:r>
    </w:p>
    <w:p w14:paraId="2B836FA4" w14:textId="77777777" w:rsidR="000E0B74" w:rsidRPr="006627B4" w:rsidRDefault="000E0B74" w:rsidP="000E0B74">
      <w:pPr>
        <w:spacing w:before="240"/>
        <w:rPr>
          <w:b/>
        </w:rPr>
      </w:pPr>
      <w:r w:rsidRPr="006627B4">
        <w:rPr>
          <w:b/>
        </w:rPr>
        <w:t>Use of the Coat of Arms</w:t>
      </w:r>
    </w:p>
    <w:p w14:paraId="6C5EB7A6"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7" w:history="1">
        <w:r w:rsidRPr="005C503A">
          <w:rPr>
            <w:rStyle w:val="Hyperlink"/>
          </w:rPr>
          <w:t>www.pmc.gov.au/government/commonwealth-coat-arm</w:t>
        </w:r>
      </w:hyperlink>
      <w:r w:rsidRPr="005C503A">
        <w:t>s).</w:t>
      </w:r>
    </w:p>
    <w:p w14:paraId="08B849AE" w14:textId="77777777" w:rsidR="000E0B74" w:rsidRPr="006627B4" w:rsidRDefault="000E0B74" w:rsidP="000E0B74">
      <w:pPr>
        <w:spacing w:before="240"/>
        <w:rPr>
          <w:b/>
        </w:rPr>
      </w:pPr>
      <w:r>
        <w:rPr>
          <w:b/>
        </w:rPr>
        <w:t>Other u</w:t>
      </w:r>
      <w:r w:rsidRPr="006627B4">
        <w:rPr>
          <w:b/>
        </w:rPr>
        <w:t>ses</w:t>
      </w:r>
    </w:p>
    <w:p w14:paraId="20EF3AC1" w14:textId="77777777" w:rsidR="000E0B74" w:rsidRPr="006627B4" w:rsidRDefault="000E0B74" w:rsidP="000E0B74">
      <w:r>
        <w:t>E</w:t>
      </w:r>
      <w:r w:rsidRPr="006627B4">
        <w:t>nquiries regarding this licence and any other use of this document are welcome at:</w:t>
      </w:r>
    </w:p>
    <w:p w14:paraId="14ADCDD7"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00FF447A" w:rsidRPr="000951A5">
          <w:rPr>
            <w:rStyle w:val="Hyperlink"/>
          </w:rPr>
          <w:t>media@treasury.gov.au</w:t>
        </w:r>
      </w:hyperlink>
      <w:r w:rsidR="00FF447A">
        <w:rPr>
          <w:rStyle w:val="Hyperlink"/>
        </w:rPr>
        <w:t xml:space="preserve"> </w:t>
      </w:r>
    </w:p>
    <w:p w14:paraId="0DA443C5" w14:textId="77777777" w:rsidR="00F836F9" w:rsidRDefault="00F836F9" w:rsidP="000E0B74">
      <w:pPr>
        <w:pStyle w:val="Heading1"/>
      </w:pPr>
    </w:p>
    <w:p w14:paraId="6ABE6EC5" w14:textId="5CDC61E4" w:rsidR="00A57B53" w:rsidRPr="00A57B53" w:rsidRDefault="00A57B53" w:rsidP="00A57B53">
      <w:pPr>
        <w:sectPr w:rsidR="00A57B53" w:rsidRPr="00A57B53" w:rsidSect="00917E28">
          <w:footerReference w:type="default" r:id="rId19"/>
          <w:pgSz w:w="11906" w:h="16838" w:code="9"/>
          <w:pgMar w:top="1418" w:right="1418" w:bottom="1418" w:left="1418" w:header="709" w:footer="709" w:gutter="0"/>
          <w:pgNumType w:fmt="lowerRoman" w:start="0"/>
          <w:cols w:space="708"/>
          <w:titlePg/>
          <w:docGrid w:linePitch="360"/>
        </w:sectPr>
      </w:pPr>
    </w:p>
    <w:bookmarkStart w:id="0" w:name="_Toc19289643" w:displacedByCustomXml="next"/>
    <w:bookmarkStart w:id="1" w:name="_Toc19289776" w:displacedByCustomXml="next"/>
    <w:bookmarkStart w:id="2" w:name="_Toc92710933" w:displacedByCustomXml="next"/>
    <w:sdt>
      <w:sdtPr>
        <w:rPr>
          <w:rFonts w:asciiTheme="minorHAnsi" w:eastAsiaTheme="minorHAnsi" w:hAnsiTheme="minorHAnsi" w:cstheme="minorBidi"/>
          <w:b/>
          <w:iCs w:val="0"/>
          <w:color w:val="auto"/>
          <w:kern w:val="0"/>
          <w:sz w:val="22"/>
          <w:szCs w:val="22"/>
        </w:rPr>
        <w:id w:val="-2088995269"/>
        <w:docPartObj>
          <w:docPartGallery w:val="Cover Pages"/>
          <w:docPartUnique/>
        </w:docPartObj>
      </w:sdtPr>
      <w:sdtEndPr>
        <w:rPr>
          <w:rFonts w:ascii="Calibri" w:eastAsia="Times New Roman" w:hAnsi="Calibri" w:cs="Times New Roman"/>
          <w:b w:val="0"/>
          <w:szCs w:val="20"/>
        </w:rPr>
      </w:sdtEndPr>
      <w:sdtContent>
        <w:bookmarkEnd w:id="0" w:displacedByCustomXml="next"/>
        <w:bookmarkEnd w:id="1" w:displacedByCustomXml="next"/>
        <w:sdt>
          <w:sdtPr>
            <w:rPr>
              <w:rFonts w:cs="Times New Roman"/>
              <w:b/>
              <w:iCs w:val="0"/>
              <w:color w:val="auto"/>
              <w:kern w:val="0"/>
              <w:sz w:val="22"/>
              <w:szCs w:val="20"/>
            </w:rPr>
            <w:id w:val="-2101934364"/>
            <w:docPartObj>
              <w:docPartGallery w:val="Table of Contents"/>
              <w:docPartUnique/>
            </w:docPartObj>
          </w:sdtPr>
          <w:sdtEndPr>
            <w:rPr>
              <w:b w:val="0"/>
            </w:rPr>
          </w:sdtEndPr>
          <w:sdtContent>
            <w:p w14:paraId="1D910A82" w14:textId="77777777" w:rsidR="005A1BE5" w:rsidRDefault="006B4442" w:rsidP="00A769D2">
              <w:pPr>
                <w:pStyle w:val="Heading2"/>
                <w:rPr>
                  <w:noProof/>
                </w:rPr>
              </w:pPr>
              <w:r w:rsidRPr="00F55890">
                <w:rPr>
                  <w:rStyle w:val="Heading1Char"/>
                  <w:rFonts w:eastAsiaTheme="majorEastAsia"/>
                  <w:b/>
                  <w:bCs/>
                </w:rPr>
                <w:t>Contents</w:t>
              </w:r>
              <w:bookmarkEnd w:id="2"/>
              <w:r w:rsidRPr="00B95414">
                <w:rPr>
                  <w:color w:val="262626" w:themeColor="text1" w:themeTint="D9"/>
                </w:rPr>
                <w:fldChar w:fldCharType="begin"/>
              </w:r>
              <w:r w:rsidRPr="00B95414">
                <w:rPr>
                  <w:color w:val="262626" w:themeColor="text1" w:themeTint="D9"/>
                </w:rPr>
                <w:instrText xml:space="preserve"> TOC \o "1-3" \h \z \u </w:instrText>
              </w:r>
              <w:r w:rsidRPr="00B95414">
                <w:rPr>
                  <w:color w:val="262626" w:themeColor="text1" w:themeTint="D9"/>
                </w:rPr>
                <w:fldChar w:fldCharType="separate"/>
              </w:r>
            </w:p>
            <w:p w14:paraId="011CD678" w14:textId="2CB371B9" w:rsidR="005A1BE5" w:rsidRDefault="002057B9">
              <w:pPr>
                <w:pStyle w:val="TOC1"/>
                <w:rPr>
                  <w:rFonts w:asciiTheme="minorHAnsi" w:eastAsiaTheme="minorEastAsia" w:hAnsiTheme="minorHAnsi" w:cstheme="minorBidi"/>
                  <w:b w:val="0"/>
                  <w:color w:val="auto"/>
                </w:rPr>
              </w:pPr>
              <w:hyperlink w:anchor="_Toc92710934" w:history="1">
                <w:r w:rsidR="005A1BE5" w:rsidRPr="00E22AB1">
                  <w:rPr>
                    <w:rStyle w:val="Hyperlink"/>
                  </w:rPr>
                  <w:t>Overview</w:t>
                </w:r>
                <w:r w:rsidR="005A1BE5">
                  <w:rPr>
                    <w:webHidden/>
                  </w:rPr>
                  <w:tab/>
                </w:r>
                <w:r w:rsidR="005A1BE5">
                  <w:rPr>
                    <w:webHidden/>
                  </w:rPr>
                  <w:fldChar w:fldCharType="begin"/>
                </w:r>
                <w:r w:rsidR="005A1BE5">
                  <w:rPr>
                    <w:webHidden/>
                  </w:rPr>
                  <w:instrText xml:space="preserve"> PAGEREF _Toc92710934 \h </w:instrText>
                </w:r>
                <w:r w:rsidR="005A1BE5">
                  <w:rPr>
                    <w:webHidden/>
                  </w:rPr>
                </w:r>
                <w:r w:rsidR="005A1BE5">
                  <w:rPr>
                    <w:webHidden/>
                  </w:rPr>
                  <w:fldChar w:fldCharType="separate"/>
                </w:r>
                <w:r w:rsidR="005A1BE5">
                  <w:rPr>
                    <w:webHidden/>
                  </w:rPr>
                  <w:t>1</w:t>
                </w:r>
                <w:r w:rsidR="005A1BE5">
                  <w:rPr>
                    <w:webHidden/>
                  </w:rPr>
                  <w:fldChar w:fldCharType="end"/>
                </w:r>
              </w:hyperlink>
            </w:p>
            <w:p w14:paraId="54729880" w14:textId="73B2630C" w:rsidR="005A1BE5" w:rsidRDefault="002057B9">
              <w:pPr>
                <w:pStyle w:val="TOC1"/>
                <w:rPr>
                  <w:rFonts w:asciiTheme="minorHAnsi" w:eastAsiaTheme="minorEastAsia" w:hAnsiTheme="minorHAnsi" w:cstheme="minorBidi"/>
                  <w:b w:val="0"/>
                  <w:color w:val="auto"/>
                </w:rPr>
              </w:pPr>
              <w:hyperlink w:anchor="_Toc92710936" w:history="1">
                <w:r w:rsidR="005A1BE5" w:rsidRPr="00E22AB1">
                  <w:rPr>
                    <w:rStyle w:val="Hyperlink"/>
                  </w:rPr>
                  <w:t>Survey of Australian Government agencies</w:t>
                </w:r>
                <w:r w:rsidR="005A1BE5">
                  <w:rPr>
                    <w:webHidden/>
                  </w:rPr>
                  <w:tab/>
                </w:r>
                <w:r w:rsidR="005A1BE5">
                  <w:rPr>
                    <w:webHidden/>
                  </w:rPr>
                  <w:fldChar w:fldCharType="begin"/>
                </w:r>
                <w:r w:rsidR="005A1BE5">
                  <w:rPr>
                    <w:webHidden/>
                  </w:rPr>
                  <w:instrText xml:space="preserve"> PAGEREF _Toc92710936 \h </w:instrText>
                </w:r>
                <w:r w:rsidR="005A1BE5">
                  <w:rPr>
                    <w:webHidden/>
                  </w:rPr>
                </w:r>
                <w:r w:rsidR="005A1BE5">
                  <w:rPr>
                    <w:webHidden/>
                  </w:rPr>
                  <w:fldChar w:fldCharType="separate"/>
                </w:r>
                <w:r w:rsidR="005A1BE5">
                  <w:rPr>
                    <w:webHidden/>
                  </w:rPr>
                  <w:t>2</w:t>
                </w:r>
                <w:r w:rsidR="005A1BE5">
                  <w:rPr>
                    <w:webHidden/>
                  </w:rPr>
                  <w:fldChar w:fldCharType="end"/>
                </w:r>
              </w:hyperlink>
            </w:p>
            <w:p w14:paraId="4B513E8A" w14:textId="4E950D99" w:rsidR="005A1BE5" w:rsidRDefault="002057B9">
              <w:pPr>
                <w:pStyle w:val="TOC1"/>
                <w:rPr>
                  <w:rFonts w:asciiTheme="minorHAnsi" w:eastAsiaTheme="minorEastAsia" w:hAnsiTheme="minorHAnsi" w:cstheme="minorBidi"/>
                  <w:b w:val="0"/>
                  <w:color w:val="auto"/>
                </w:rPr>
              </w:pPr>
              <w:hyperlink w:anchor="_Toc92710937" w:history="1">
                <w:r w:rsidR="005A1BE5" w:rsidRPr="00E22AB1">
                  <w:rPr>
                    <w:rStyle w:val="Hyperlink"/>
                  </w:rPr>
                  <w:t>Results</w:t>
                </w:r>
                <w:r w:rsidR="005A1BE5">
                  <w:rPr>
                    <w:webHidden/>
                  </w:rPr>
                  <w:tab/>
                </w:r>
                <w:r w:rsidR="005A1BE5">
                  <w:rPr>
                    <w:webHidden/>
                  </w:rPr>
                  <w:fldChar w:fldCharType="begin"/>
                </w:r>
                <w:r w:rsidR="005A1BE5">
                  <w:rPr>
                    <w:webHidden/>
                  </w:rPr>
                  <w:instrText xml:space="preserve"> PAGEREF _Toc92710937 \h </w:instrText>
                </w:r>
                <w:r w:rsidR="005A1BE5">
                  <w:rPr>
                    <w:webHidden/>
                  </w:rPr>
                </w:r>
                <w:r w:rsidR="005A1BE5">
                  <w:rPr>
                    <w:webHidden/>
                  </w:rPr>
                  <w:fldChar w:fldCharType="separate"/>
                </w:r>
                <w:r w:rsidR="005A1BE5">
                  <w:rPr>
                    <w:webHidden/>
                  </w:rPr>
                  <w:t>2</w:t>
                </w:r>
                <w:r w:rsidR="005A1BE5">
                  <w:rPr>
                    <w:webHidden/>
                  </w:rPr>
                  <w:fldChar w:fldCharType="end"/>
                </w:r>
              </w:hyperlink>
            </w:p>
            <w:p w14:paraId="06D91E63" w14:textId="20E56A82" w:rsidR="005A1BE5" w:rsidRDefault="002057B9">
              <w:pPr>
                <w:pStyle w:val="TOC2"/>
                <w:rPr>
                  <w:rFonts w:asciiTheme="minorHAnsi" w:eastAsiaTheme="minorEastAsia" w:hAnsiTheme="minorHAnsi" w:cstheme="minorBidi"/>
                  <w:color w:val="auto"/>
                  <w:szCs w:val="22"/>
                </w:rPr>
              </w:pPr>
              <w:hyperlink w:anchor="_Toc92710938" w:history="1">
                <w:r w:rsidR="005A1BE5" w:rsidRPr="00E22AB1">
                  <w:rPr>
                    <w:rStyle w:val="Hyperlink"/>
                  </w:rPr>
                  <w:t>Agencies are paying faster</w:t>
                </w:r>
                <w:r w:rsidR="005A1BE5">
                  <w:rPr>
                    <w:webHidden/>
                  </w:rPr>
                  <w:tab/>
                </w:r>
                <w:r w:rsidR="005A1BE5">
                  <w:rPr>
                    <w:webHidden/>
                  </w:rPr>
                  <w:fldChar w:fldCharType="begin"/>
                </w:r>
                <w:r w:rsidR="005A1BE5">
                  <w:rPr>
                    <w:webHidden/>
                  </w:rPr>
                  <w:instrText xml:space="preserve"> PAGEREF _Toc92710938 \h </w:instrText>
                </w:r>
                <w:r w:rsidR="005A1BE5">
                  <w:rPr>
                    <w:webHidden/>
                  </w:rPr>
                </w:r>
                <w:r w:rsidR="005A1BE5">
                  <w:rPr>
                    <w:webHidden/>
                  </w:rPr>
                  <w:fldChar w:fldCharType="separate"/>
                </w:r>
                <w:r w:rsidR="005A1BE5">
                  <w:rPr>
                    <w:webHidden/>
                  </w:rPr>
                  <w:t>2</w:t>
                </w:r>
                <w:r w:rsidR="005A1BE5">
                  <w:rPr>
                    <w:webHidden/>
                  </w:rPr>
                  <w:fldChar w:fldCharType="end"/>
                </w:r>
              </w:hyperlink>
            </w:p>
            <w:p w14:paraId="0DD8A5DF" w14:textId="14CC3CED" w:rsidR="005A1BE5" w:rsidRDefault="002057B9">
              <w:pPr>
                <w:pStyle w:val="TOC2"/>
                <w:rPr>
                  <w:rFonts w:asciiTheme="minorHAnsi" w:eastAsiaTheme="minorEastAsia" w:hAnsiTheme="minorHAnsi" w:cstheme="minorBidi"/>
                  <w:color w:val="auto"/>
                  <w:szCs w:val="22"/>
                </w:rPr>
              </w:pPr>
              <w:hyperlink w:anchor="_Toc92710941" w:history="1">
                <w:r w:rsidR="005A1BE5" w:rsidRPr="00E22AB1">
                  <w:rPr>
                    <w:rStyle w:val="Hyperlink"/>
                  </w:rPr>
                  <w:t>Payment times by value and number</w:t>
                </w:r>
                <w:r w:rsidR="005A1BE5">
                  <w:rPr>
                    <w:webHidden/>
                  </w:rPr>
                  <w:tab/>
                </w:r>
                <w:r w:rsidR="005A1BE5">
                  <w:rPr>
                    <w:webHidden/>
                  </w:rPr>
                  <w:fldChar w:fldCharType="begin"/>
                </w:r>
                <w:r w:rsidR="005A1BE5">
                  <w:rPr>
                    <w:webHidden/>
                  </w:rPr>
                  <w:instrText xml:space="preserve"> PAGEREF _Toc92710941 \h </w:instrText>
                </w:r>
                <w:r w:rsidR="005A1BE5">
                  <w:rPr>
                    <w:webHidden/>
                  </w:rPr>
                </w:r>
                <w:r w:rsidR="005A1BE5">
                  <w:rPr>
                    <w:webHidden/>
                  </w:rPr>
                  <w:fldChar w:fldCharType="separate"/>
                </w:r>
                <w:r w:rsidR="005A1BE5">
                  <w:rPr>
                    <w:webHidden/>
                  </w:rPr>
                  <w:t>3</w:t>
                </w:r>
                <w:r w:rsidR="005A1BE5">
                  <w:rPr>
                    <w:webHidden/>
                  </w:rPr>
                  <w:fldChar w:fldCharType="end"/>
                </w:r>
              </w:hyperlink>
            </w:p>
            <w:p w14:paraId="4249FD09" w14:textId="4432A9EB" w:rsidR="005A1BE5" w:rsidRDefault="002057B9">
              <w:pPr>
                <w:pStyle w:val="TOC2"/>
                <w:rPr>
                  <w:rFonts w:asciiTheme="minorHAnsi" w:eastAsiaTheme="minorEastAsia" w:hAnsiTheme="minorHAnsi" w:cstheme="minorBidi"/>
                  <w:color w:val="auto"/>
                  <w:szCs w:val="22"/>
                </w:rPr>
              </w:pPr>
              <w:hyperlink w:anchor="_Toc92710943" w:history="1">
                <w:r w:rsidR="005A1BE5" w:rsidRPr="00E22AB1">
                  <w:rPr>
                    <w:rStyle w:val="Hyperlink"/>
                    <w:rFonts w:eastAsiaTheme="majorEastAsia"/>
                  </w:rPr>
                  <w:t>Interest payments</w:t>
                </w:r>
                <w:r w:rsidR="005A1BE5">
                  <w:rPr>
                    <w:webHidden/>
                  </w:rPr>
                  <w:tab/>
                </w:r>
                <w:r w:rsidR="005A1BE5">
                  <w:rPr>
                    <w:webHidden/>
                  </w:rPr>
                  <w:fldChar w:fldCharType="begin"/>
                </w:r>
                <w:r w:rsidR="005A1BE5">
                  <w:rPr>
                    <w:webHidden/>
                  </w:rPr>
                  <w:instrText xml:space="preserve"> PAGEREF _Toc92710943 \h </w:instrText>
                </w:r>
                <w:r w:rsidR="005A1BE5">
                  <w:rPr>
                    <w:webHidden/>
                  </w:rPr>
                </w:r>
                <w:r w:rsidR="005A1BE5">
                  <w:rPr>
                    <w:webHidden/>
                  </w:rPr>
                  <w:fldChar w:fldCharType="separate"/>
                </w:r>
                <w:r w:rsidR="005A1BE5">
                  <w:rPr>
                    <w:webHidden/>
                  </w:rPr>
                  <w:t>4</w:t>
                </w:r>
                <w:r w:rsidR="005A1BE5">
                  <w:rPr>
                    <w:webHidden/>
                  </w:rPr>
                  <w:fldChar w:fldCharType="end"/>
                </w:r>
              </w:hyperlink>
            </w:p>
            <w:p w14:paraId="78F717FD" w14:textId="16598DD5" w:rsidR="005A1BE5" w:rsidRDefault="002057B9">
              <w:pPr>
                <w:pStyle w:val="TOC2"/>
                <w:rPr>
                  <w:rFonts w:asciiTheme="minorHAnsi" w:eastAsiaTheme="minorEastAsia" w:hAnsiTheme="minorHAnsi" w:cstheme="minorBidi"/>
                  <w:color w:val="auto"/>
                  <w:szCs w:val="22"/>
                </w:rPr>
              </w:pPr>
              <w:hyperlink w:anchor="_Toc92710945" w:history="1">
                <w:r w:rsidR="005A1BE5" w:rsidRPr="00E22AB1">
                  <w:rPr>
                    <w:rStyle w:val="Hyperlink"/>
                    <w:rFonts w:eastAsiaTheme="majorEastAsia"/>
                  </w:rPr>
                  <w:t>E-Invoicing</w:t>
                </w:r>
                <w:r w:rsidR="005A1BE5">
                  <w:rPr>
                    <w:webHidden/>
                  </w:rPr>
                  <w:tab/>
                </w:r>
                <w:r w:rsidR="005A1BE5">
                  <w:rPr>
                    <w:webHidden/>
                  </w:rPr>
                  <w:fldChar w:fldCharType="begin"/>
                </w:r>
                <w:r w:rsidR="005A1BE5">
                  <w:rPr>
                    <w:webHidden/>
                  </w:rPr>
                  <w:instrText xml:space="preserve"> PAGEREF _Toc92710945 \h </w:instrText>
                </w:r>
                <w:r w:rsidR="005A1BE5">
                  <w:rPr>
                    <w:webHidden/>
                  </w:rPr>
                </w:r>
                <w:r w:rsidR="005A1BE5">
                  <w:rPr>
                    <w:webHidden/>
                  </w:rPr>
                  <w:fldChar w:fldCharType="separate"/>
                </w:r>
                <w:r w:rsidR="005A1BE5">
                  <w:rPr>
                    <w:webHidden/>
                  </w:rPr>
                  <w:t>4</w:t>
                </w:r>
                <w:r w:rsidR="005A1BE5">
                  <w:rPr>
                    <w:webHidden/>
                  </w:rPr>
                  <w:fldChar w:fldCharType="end"/>
                </w:r>
              </w:hyperlink>
            </w:p>
            <w:p w14:paraId="07B8450E" w14:textId="5F6D204C" w:rsidR="005A1BE5" w:rsidRDefault="002057B9">
              <w:pPr>
                <w:pStyle w:val="TOC2"/>
                <w:rPr>
                  <w:rFonts w:asciiTheme="minorHAnsi" w:eastAsiaTheme="minorEastAsia" w:hAnsiTheme="minorHAnsi" w:cstheme="minorBidi"/>
                  <w:color w:val="auto"/>
                  <w:szCs w:val="22"/>
                </w:rPr>
              </w:pPr>
              <w:hyperlink w:anchor="_Toc92710948" w:history="1">
                <w:r w:rsidR="005A1BE5" w:rsidRPr="00E22AB1">
                  <w:rPr>
                    <w:rStyle w:val="Hyperlink"/>
                  </w:rPr>
                  <w:t>Table of Agency Results</w:t>
                </w:r>
                <w:r w:rsidR="005A1BE5">
                  <w:rPr>
                    <w:webHidden/>
                  </w:rPr>
                  <w:tab/>
                </w:r>
                <w:r w:rsidR="005A1BE5">
                  <w:rPr>
                    <w:webHidden/>
                  </w:rPr>
                  <w:fldChar w:fldCharType="begin"/>
                </w:r>
                <w:r w:rsidR="005A1BE5">
                  <w:rPr>
                    <w:webHidden/>
                  </w:rPr>
                  <w:instrText xml:space="preserve"> PAGEREF _Toc92710948 \h </w:instrText>
                </w:r>
                <w:r w:rsidR="005A1BE5">
                  <w:rPr>
                    <w:webHidden/>
                  </w:rPr>
                </w:r>
                <w:r w:rsidR="005A1BE5">
                  <w:rPr>
                    <w:webHidden/>
                  </w:rPr>
                  <w:fldChar w:fldCharType="separate"/>
                </w:r>
                <w:r w:rsidR="005A1BE5">
                  <w:rPr>
                    <w:webHidden/>
                  </w:rPr>
                  <w:t>6</w:t>
                </w:r>
                <w:r w:rsidR="005A1BE5">
                  <w:rPr>
                    <w:webHidden/>
                  </w:rPr>
                  <w:fldChar w:fldCharType="end"/>
                </w:r>
              </w:hyperlink>
            </w:p>
            <w:p w14:paraId="5A3EB988" w14:textId="3671794E" w:rsidR="006B4442" w:rsidRDefault="006B4442">
              <w:r w:rsidRPr="00B95414">
                <w:rPr>
                  <w:b/>
                  <w:bCs/>
                  <w:noProof/>
                </w:rPr>
                <w:fldChar w:fldCharType="end"/>
              </w:r>
            </w:p>
          </w:sdtContent>
        </w:sdt>
        <w:p w14:paraId="69B62493" w14:textId="77777777" w:rsidR="001F3F44" w:rsidRDefault="002057B9" w:rsidP="001F3F44"/>
      </w:sdtContent>
    </w:sdt>
    <w:p w14:paraId="1DE42B48" w14:textId="084FDF0F" w:rsidR="006B4442" w:rsidRDefault="006B4442">
      <w:pPr>
        <w:spacing w:before="0" w:after="160" w:line="259" w:lineRule="auto"/>
      </w:pPr>
      <w:r>
        <w:br w:type="page"/>
      </w:r>
    </w:p>
    <w:p w14:paraId="0BA6019C" w14:textId="17EF5C03" w:rsidR="001F3F44" w:rsidRPr="003731F9" w:rsidRDefault="001F3F44" w:rsidP="004942B9">
      <w:pPr>
        <w:pStyle w:val="Heading1"/>
        <w:tabs>
          <w:tab w:val="left" w:pos="8196"/>
        </w:tabs>
      </w:pPr>
      <w:bookmarkStart w:id="3" w:name="_Toc25057844"/>
      <w:bookmarkStart w:id="4" w:name="_Toc25242629"/>
      <w:bookmarkStart w:id="5" w:name="_Toc92710934"/>
      <w:r w:rsidRPr="0054696F">
        <w:lastRenderedPageBreak/>
        <w:t>Overview</w:t>
      </w:r>
      <w:bookmarkEnd w:id="3"/>
      <w:bookmarkEnd w:id="4"/>
      <w:bookmarkEnd w:id="5"/>
      <w:r w:rsidR="004942B9">
        <w:tab/>
      </w:r>
    </w:p>
    <w:p w14:paraId="7A9867DA" w14:textId="1CE5A371" w:rsidR="001F3F44" w:rsidRDefault="001F3F44" w:rsidP="001F3F44">
      <w:pPr>
        <w:jc w:val="both"/>
      </w:pPr>
      <w:r w:rsidRPr="006A18A6">
        <w:t xml:space="preserve">This report contains the results of the </w:t>
      </w:r>
      <w:r>
        <w:t xml:space="preserve">Australian </w:t>
      </w:r>
      <w:r w:rsidRPr="006A18A6">
        <w:t>Government Pay On</w:t>
      </w:r>
      <w:r w:rsidR="00EC3750">
        <w:noBreakHyphen/>
      </w:r>
      <w:r w:rsidRPr="006A18A6">
        <w:t xml:space="preserve">Time Survey for the </w:t>
      </w:r>
      <w:r w:rsidRPr="003C50DC">
        <w:t>20</w:t>
      </w:r>
      <w:r>
        <w:t>20</w:t>
      </w:r>
      <w:r w:rsidR="00614343">
        <w:t>–</w:t>
      </w:r>
      <w:r>
        <w:t>21 financial year</w:t>
      </w:r>
      <w:r w:rsidRPr="003731F9">
        <w:rPr>
          <w:rFonts w:cstheme="minorHAnsi"/>
        </w:rPr>
        <w:t xml:space="preserve">. </w:t>
      </w:r>
      <w:bookmarkStart w:id="6" w:name="_Hlk88212629"/>
      <w:r>
        <w:t xml:space="preserve">The survey has been conducted annually since 2002, and collects information from Government agencies about their performance against the Department of Finance </w:t>
      </w:r>
      <w:hyperlink r:id="rId20" w:history="1">
        <w:r w:rsidRPr="0098652F">
          <w:rPr>
            <w:rStyle w:val="Hyperlink"/>
          </w:rPr>
          <w:t>RMG-417 Supplier Pay On-Time or Pay Interest Policy</w:t>
        </w:r>
      </w:hyperlink>
      <w:r w:rsidRPr="003731F9">
        <w:rPr>
          <w:b/>
        </w:rPr>
        <w:t xml:space="preserve"> </w:t>
      </w:r>
      <w:r>
        <w:t>(the Pay On</w:t>
      </w:r>
      <w:r w:rsidR="00EC3750">
        <w:noBreakHyphen/>
      </w:r>
      <w:r>
        <w:t>Time Policy).</w:t>
      </w:r>
      <w:bookmarkEnd w:id="6"/>
    </w:p>
    <w:p w14:paraId="43D52083" w14:textId="7128539C" w:rsidR="001F3F44" w:rsidRDefault="001F3F44" w:rsidP="001F3F44">
      <w:pPr>
        <w:jc w:val="both"/>
      </w:pPr>
      <w:bookmarkStart w:id="7" w:name="_Hlk88212485"/>
      <w:r>
        <w:t xml:space="preserve">The Pay On-Time Policy requires non-corporate Commonwealth entities </w:t>
      </w:r>
      <w:r w:rsidRPr="003D339F">
        <w:t>(NCE</w:t>
      </w:r>
      <w:r>
        <w:t>s</w:t>
      </w:r>
      <w:r w:rsidRPr="003D339F">
        <w:t>)</w:t>
      </w:r>
      <w:r>
        <w:t xml:space="preserve">, referred to as </w:t>
      </w:r>
      <w:r w:rsidR="000A7E27">
        <w:t>G</w:t>
      </w:r>
      <w:r w:rsidRPr="003D339F">
        <w:t>overnment</w:t>
      </w:r>
      <w:r>
        <w:t xml:space="preserve"> agencies in this report, to make all payments under contracts valued up to $1 million (GST inclusive) within 20</w:t>
      </w:r>
      <w:r w:rsidRPr="00C914B3">
        <w:t xml:space="preserve"> calendar days. </w:t>
      </w:r>
      <w:r>
        <w:t xml:space="preserve">Where payment </w:t>
      </w:r>
      <w:r w:rsidR="004B1D98">
        <w:t>is</w:t>
      </w:r>
      <w:r w:rsidRPr="00B12771">
        <w:t xml:space="preserve"> not made in full within</w:t>
      </w:r>
      <w:r>
        <w:t xml:space="preserve"> 20 calendar days, agencies are required to</w:t>
      </w:r>
      <w:r w:rsidRPr="00B12771">
        <w:t xml:space="preserve"> pay interest to the supplier on the outstanding amount where </w:t>
      </w:r>
      <w:r>
        <w:t xml:space="preserve">the amount of interest accrued is more than </w:t>
      </w:r>
      <w:r w:rsidRPr="00B12771">
        <w:t>$100 (GST inclusive).</w:t>
      </w:r>
      <w:r w:rsidR="0044439E">
        <w:t xml:space="preserve"> Interest is payable at the general interest charge rate available on the ATO’s website calculated for each calendar day from the day after the payment was due up to and including the day the payment </w:t>
      </w:r>
      <w:r w:rsidR="00D805F4">
        <w:t>was</w:t>
      </w:r>
      <w:r w:rsidR="0044439E">
        <w:t xml:space="preserve"> made.</w:t>
      </w:r>
      <w:r>
        <w:t xml:space="preserve"> </w:t>
      </w:r>
      <w:bookmarkEnd w:id="7"/>
      <w:r>
        <w:t xml:space="preserve">In addition, </w:t>
      </w:r>
      <w:r w:rsidR="00F65712">
        <w:t>since</w:t>
      </w:r>
      <w:r>
        <w:t xml:space="preserve"> </w:t>
      </w:r>
      <w:r w:rsidRPr="00EC5A60">
        <w:t>1</w:t>
      </w:r>
      <w:r>
        <w:t> </w:t>
      </w:r>
      <w:r w:rsidRPr="00EC5A60">
        <w:t>January</w:t>
      </w:r>
      <w:r>
        <w:t> </w:t>
      </w:r>
      <w:r w:rsidRPr="00EC5A60">
        <w:t xml:space="preserve">2020, </w:t>
      </w:r>
      <w:r>
        <w:t xml:space="preserve">NCEs must offer </w:t>
      </w:r>
      <w:r w:rsidRPr="00EC5A60">
        <w:t>five</w:t>
      </w:r>
      <w:r w:rsidR="00EC3750">
        <w:noBreakHyphen/>
      </w:r>
      <w:r w:rsidRPr="00EC5A60">
        <w:t xml:space="preserve">day payment terms where </w:t>
      </w:r>
      <w:r w:rsidR="00A51501">
        <w:t xml:space="preserve">both parties have </w:t>
      </w:r>
      <w:r w:rsidRPr="00EC5A60">
        <w:t>Pan</w:t>
      </w:r>
      <w:r w:rsidR="00EC3750">
        <w:noBreakHyphen/>
      </w:r>
      <w:r w:rsidRPr="00EC5A60">
        <w:t>European Public Procurement On</w:t>
      </w:r>
      <w:r w:rsidR="00EC3750">
        <w:noBreakHyphen/>
      </w:r>
      <w:r w:rsidRPr="00EC5A60">
        <w:t>Line (PEPPOL) compliant e</w:t>
      </w:r>
      <w:r w:rsidR="00EC3750">
        <w:noBreakHyphen/>
      </w:r>
      <w:r w:rsidRPr="00EC5A60">
        <w:t>Invoicing capability.</w:t>
      </w:r>
      <w:r w:rsidR="00EC3750">
        <w:t xml:space="preserve"> </w:t>
      </w:r>
    </w:p>
    <w:p w14:paraId="47B614B0" w14:textId="668670B7" w:rsidR="00931C14" w:rsidRDefault="001F3F44" w:rsidP="001F3F44">
      <w:pPr>
        <w:jc w:val="both"/>
      </w:pPr>
      <w:r>
        <w:t>The 2020</w:t>
      </w:r>
      <w:r w:rsidR="00614343">
        <w:t>–</w:t>
      </w:r>
      <w:r>
        <w:t>21 survey results show there has been improvement in the proportion of</w:t>
      </w:r>
      <w:r w:rsidR="001F774A">
        <w:t xml:space="preserve"> payments for</w:t>
      </w:r>
      <w:r>
        <w:t xml:space="preserve"> low value (</w:t>
      </w:r>
      <w:r w:rsidR="001F774A">
        <w:t>up to</w:t>
      </w:r>
      <w:r>
        <w:t xml:space="preserve"> $1 million) </w:t>
      </w:r>
      <w:r w:rsidR="001F774A">
        <w:t>contracts paid within 20 calendar days</w:t>
      </w:r>
      <w:r>
        <w:t xml:space="preserve"> compared to the previous year (see </w:t>
      </w:r>
      <w:r w:rsidR="00032616">
        <w:t>Chart</w:t>
      </w:r>
      <w:r>
        <w:t xml:space="preserve"> 1). </w:t>
      </w:r>
    </w:p>
    <w:p w14:paraId="5AC76850" w14:textId="77777777" w:rsidR="00507112" w:rsidRDefault="00507112" w:rsidP="004743ED">
      <w:pPr>
        <w:pStyle w:val="ChartMainHeading"/>
      </w:pPr>
    </w:p>
    <w:p w14:paraId="71DD16A0" w14:textId="6F98FA4E" w:rsidR="008C68EB" w:rsidRDefault="008C68EB" w:rsidP="004743ED">
      <w:pPr>
        <w:pStyle w:val="ChartMainHeading"/>
      </w:pPr>
      <w:bookmarkStart w:id="8" w:name="_Toc92710935"/>
      <w:r>
        <w:t>Chart 1: Payments made in 20 calendar days</w:t>
      </w:r>
      <w:bookmarkEnd w:id="8"/>
    </w:p>
    <w:p w14:paraId="14599F89" w14:textId="43E1B1D9" w:rsidR="00931C14" w:rsidRDefault="0050101E" w:rsidP="001F3F44">
      <w:pPr>
        <w:jc w:val="both"/>
      </w:pPr>
      <w:r>
        <w:rPr>
          <w:noProof/>
        </w:rPr>
        <w:drawing>
          <wp:inline distT="0" distB="0" distL="0" distR="0" wp14:anchorId="44709E55" wp14:editId="2DDF65F0">
            <wp:extent cx="5580000" cy="2880000"/>
            <wp:effectExtent l="0" t="0" r="1905" b="0"/>
            <wp:docPr id="1" name="Chart 1" descr="Column graph comparing the percentage of government agency invoices (for contracts up to $1 million) paid within 20 days for the 2019–20 and 2020–21 financial years. There was a 2.6 percentage point improvement. ">
              <a:extLst xmlns:a="http://schemas.openxmlformats.org/drawingml/2006/main">
                <a:ext uri="{FF2B5EF4-FFF2-40B4-BE49-F238E27FC236}">
                  <a16:creationId xmlns:a16="http://schemas.microsoft.com/office/drawing/2014/main" id="{DBB7B8B4-B053-41F1-867B-39AD0949C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68783B" w14:textId="2D2C2207" w:rsidR="0050579D" w:rsidRDefault="00032616" w:rsidP="001F3F44">
      <w:pPr>
        <w:jc w:val="both"/>
      </w:pPr>
      <w:r>
        <w:t>Chart</w:t>
      </w:r>
      <w:r w:rsidR="009A3210">
        <w:t xml:space="preserve"> 1 shows the percentage of invoices (</w:t>
      </w:r>
      <w:r w:rsidR="00DD6371">
        <w:t xml:space="preserve">for contracts </w:t>
      </w:r>
      <w:r w:rsidR="00597A22">
        <w:t>up to</w:t>
      </w:r>
      <w:r w:rsidR="009A3210">
        <w:t xml:space="preserve"> </w:t>
      </w:r>
      <w:r w:rsidR="00597A22">
        <w:t>$</w:t>
      </w:r>
      <w:r w:rsidR="009A3210">
        <w:t>1 million) that were paid within 20 days for the 2019</w:t>
      </w:r>
      <w:r w:rsidR="00EC3750">
        <w:t>–</w:t>
      </w:r>
      <w:r w:rsidR="009A3210">
        <w:t>20 and 2020</w:t>
      </w:r>
      <w:r w:rsidR="00EC3750">
        <w:t>–</w:t>
      </w:r>
      <w:r w:rsidR="009A3210">
        <w:t xml:space="preserve">21 financial years. </w:t>
      </w:r>
      <w:bookmarkStart w:id="9" w:name="_Hlk88214217"/>
      <w:r w:rsidR="000D07E7">
        <w:t xml:space="preserve">Agencies paid </w:t>
      </w:r>
      <w:r w:rsidR="00B53454">
        <w:t>9</w:t>
      </w:r>
      <w:r w:rsidR="007778D1">
        <w:t>3.2</w:t>
      </w:r>
      <w:r w:rsidR="00B53454">
        <w:t xml:space="preserve">% </w:t>
      </w:r>
      <w:r w:rsidR="000D07E7">
        <w:t xml:space="preserve">of invoices for contracts up to </w:t>
      </w:r>
      <w:r w:rsidR="000B37DE">
        <w:br/>
      </w:r>
      <w:r w:rsidR="000D07E7">
        <w:t xml:space="preserve">$1 million </w:t>
      </w:r>
      <w:r w:rsidR="00B53454">
        <w:t xml:space="preserve">in </w:t>
      </w:r>
      <w:r w:rsidR="007778D1">
        <w:t>2020</w:t>
      </w:r>
      <w:r w:rsidR="00EC3750">
        <w:t>–</w:t>
      </w:r>
      <w:r w:rsidR="007778D1">
        <w:t>21</w:t>
      </w:r>
      <w:r w:rsidR="00B53454">
        <w:t xml:space="preserve"> </w:t>
      </w:r>
      <w:r w:rsidR="000D07E7">
        <w:t>as compared to</w:t>
      </w:r>
      <w:r w:rsidR="00B53454">
        <w:t xml:space="preserve"> 9</w:t>
      </w:r>
      <w:r w:rsidR="007778D1">
        <w:t>0.6</w:t>
      </w:r>
      <w:r w:rsidR="00B53454">
        <w:t>% in 20</w:t>
      </w:r>
      <w:r w:rsidR="007778D1">
        <w:t>19</w:t>
      </w:r>
      <w:r w:rsidR="00EC3750">
        <w:t>–</w:t>
      </w:r>
      <w:r w:rsidR="00B53454">
        <w:t>2</w:t>
      </w:r>
      <w:r w:rsidR="00204860">
        <w:t>0</w:t>
      </w:r>
      <w:bookmarkEnd w:id="9"/>
      <w:r w:rsidR="00164044">
        <w:t xml:space="preserve">. </w:t>
      </w:r>
      <w:r w:rsidR="000D07E7">
        <w:t>This is a 2.6</w:t>
      </w:r>
      <w:r w:rsidR="00D91723">
        <w:t xml:space="preserve"> percentage point</w:t>
      </w:r>
      <w:r w:rsidR="000D07E7">
        <w:t xml:space="preserve"> improvement in overall payment timeliness. </w:t>
      </w:r>
    </w:p>
    <w:p w14:paraId="5DE4245C" w14:textId="77777777" w:rsidR="00507112" w:rsidRDefault="00507112">
      <w:pPr>
        <w:spacing w:before="0" w:after="160" w:line="259" w:lineRule="auto"/>
        <w:rPr>
          <w:rFonts w:cs="Arial"/>
          <w:color w:val="002C47" w:themeColor="accent1"/>
          <w:kern w:val="32"/>
          <w:sz w:val="48"/>
          <w:szCs w:val="36"/>
        </w:rPr>
      </w:pPr>
      <w:bookmarkStart w:id="10" w:name="_Toc25057846"/>
      <w:bookmarkStart w:id="11" w:name="_Toc25242631"/>
      <w:r>
        <w:br w:type="page"/>
      </w:r>
    </w:p>
    <w:p w14:paraId="5278D531" w14:textId="0A7C4EB5" w:rsidR="001F3F44" w:rsidRPr="003731F9" w:rsidRDefault="001F3F44" w:rsidP="001F3F44">
      <w:pPr>
        <w:pStyle w:val="Heading1"/>
      </w:pPr>
      <w:bookmarkStart w:id="12" w:name="_Toc92710936"/>
      <w:r w:rsidRPr="003731F9">
        <w:lastRenderedPageBreak/>
        <w:t xml:space="preserve">Survey of </w:t>
      </w:r>
      <w:r w:rsidRPr="0054696F">
        <w:t>Australian</w:t>
      </w:r>
      <w:r w:rsidRPr="003731F9">
        <w:t xml:space="preserve"> Government agencies</w:t>
      </w:r>
      <w:bookmarkEnd w:id="10"/>
      <w:bookmarkEnd w:id="11"/>
      <w:bookmarkEnd w:id="12"/>
    </w:p>
    <w:p w14:paraId="0097908C" w14:textId="7F98BB08" w:rsidR="001F3F44" w:rsidRPr="003731F9" w:rsidRDefault="001F3F44" w:rsidP="001F3F44">
      <w:pPr>
        <w:jc w:val="both"/>
        <w:rPr>
          <w:rFonts w:cstheme="minorHAnsi"/>
        </w:rPr>
      </w:pPr>
      <w:r>
        <w:rPr>
          <w:rFonts w:cstheme="minorHAnsi"/>
        </w:rPr>
        <w:t>The 2020</w:t>
      </w:r>
      <w:r w:rsidR="00EC3750">
        <w:t>–</w:t>
      </w:r>
      <w:r>
        <w:rPr>
          <w:rFonts w:cstheme="minorHAnsi"/>
        </w:rPr>
        <w:t xml:space="preserve">21 </w:t>
      </w:r>
      <w:r w:rsidRPr="006A18A6">
        <w:t>Pay On</w:t>
      </w:r>
      <w:r w:rsidR="008B0252">
        <w:noBreakHyphen/>
      </w:r>
      <w:r w:rsidRPr="006A18A6">
        <w:t xml:space="preserve">Time Survey </w:t>
      </w:r>
      <w:r w:rsidRPr="003731F9">
        <w:rPr>
          <w:rFonts w:cstheme="minorHAnsi"/>
        </w:rPr>
        <w:t xml:space="preserve">captured data on </w:t>
      </w:r>
      <w:r w:rsidR="000A7E27">
        <w:rPr>
          <w:rFonts w:cstheme="minorHAnsi"/>
        </w:rPr>
        <w:t>G</w:t>
      </w:r>
      <w:r>
        <w:rPr>
          <w:rFonts w:cstheme="minorHAnsi"/>
        </w:rPr>
        <w:t>overnment agencies’ performance</w:t>
      </w:r>
      <w:r w:rsidRPr="003731F9">
        <w:rPr>
          <w:rFonts w:cstheme="minorHAnsi"/>
        </w:rPr>
        <w:t xml:space="preserve"> against the Pay On-Time </w:t>
      </w:r>
      <w:r>
        <w:rPr>
          <w:rFonts w:cstheme="minorHAnsi"/>
        </w:rPr>
        <w:t>P</w:t>
      </w:r>
      <w:r w:rsidRPr="003731F9">
        <w:rPr>
          <w:rFonts w:cstheme="minorHAnsi"/>
        </w:rPr>
        <w:t>olicy</w:t>
      </w:r>
      <w:r>
        <w:rPr>
          <w:rFonts w:cstheme="minorHAnsi"/>
        </w:rPr>
        <w:t xml:space="preserve"> for </w:t>
      </w:r>
      <w:r w:rsidRPr="00A62F9B">
        <w:rPr>
          <w:rFonts w:cstheme="minorHAnsi"/>
        </w:rPr>
        <w:t>the 2020</w:t>
      </w:r>
      <w:r w:rsidR="00EC3750">
        <w:t>–</w:t>
      </w:r>
      <w:r w:rsidRPr="00A62F9B">
        <w:rPr>
          <w:rFonts w:cstheme="minorHAnsi"/>
        </w:rPr>
        <w:t>21 financial year</w:t>
      </w:r>
      <w:r>
        <w:rPr>
          <w:rFonts w:cstheme="minorHAnsi"/>
        </w:rPr>
        <w:t xml:space="preserve">, </w:t>
      </w:r>
      <w:r w:rsidRPr="003731F9">
        <w:rPr>
          <w:rFonts w:cstheme="minorHAnsi"/>
        </w:rPr>
        <w:t>including:</w:t>
      </w:r>
    </w:p>
    <w:p w14:paraId="5190F2DF" w14:textId="5C305038" w:rsidR="001F3F44" w:rsidRDefault="001F3F44" w:rsidP="00F55890">
      <w:pPr>
        <w:pStyle w:val="Bullet"/>
        <w:numPr>
          <w:ilvl w:val="0"/>
          <w:numId w:val="25"/>
        </w:numPr>
        <w:spacing w:line="276" w:lineRule="auto"/>
        <w:jc w:val="both"/>
        <w:rPr>
          <w:rFonts w:cstheme="minorHAnsi"/>
        </w:rPr>
      </w:pPr>
      <w:r>
        <w:rPr>
          <w:rFonts w:cstheme="minorHAnsi"/>
        </w:rPr>
        <w:t>T</w:t>
      </w:r>
      <w:r w:rsidRPr="003731F9">
        <w:rPr>
          <w:rFonts w:cstheme="minorHAnsi"/>
        </w:rPr>
        <w:t xml:space="preserve">he total number and value of invoices for contracts </w:t>
      </w:r>
      <w:r w:rsidR="00A36854">
        <w:rPr>
          <w:rFonts w:cstheme="minorHAnsi"/>
        </w:rPr>
        <w:t>up to</w:t>
      </w:r>
      <w:r w:rsidR="00A36854" w:rsidRPr="003731F9">
        <w:rPr>
          <w:rFonts w:cstheme="minorHAnsi"/>
        </w:rPr>
        <w:t xml:space="preserve"> </w:t>
      </w:r>
      <w:r w:rsidRPr="003731F9">
        <w:rPr>
          <w:rFonts w:cstheme="minorHAnsi"/>
        </w:rPr>
        <w:t>$1 million</w:t>
      </w:r>
      <w:r>
        <w:rPr>
          <w:rFonts w:cstheme="minorHAnsi"/>
        </w:rPr>
        <w:t xml:space="preserve"> (GST inclusive)</w:t>
      </w:r>
    </w:p>
    <w:p w14:paraId="40C22EB4" w14:textId="66488F54" w:rsidR="001F3F44" w:rsidRPr="00184F3A" w:rsidRDefault="001F3F44" w:rsidP="00F55890">
      <w:pPr>
        <w:pStyle w:val="Bullet"/>
        <w:numPr>
          <w:ilvl w:val="0"/>
          <w:numId w:val="25"/>
        </w:numPr>
        <w:spacing w:line="276" w:lineRule="auto"/>
        <w:jc w:val="both"/>
        <w:rPr>
          <w:rFonts w:cstheme="minorHAnsi"/>
        </w:rPr>
      </w:pPr>
      <w:r w:rsidRPr="00184F3A">
        <w:rPr>
          <w:rFonts w:cstheme="minorHAnsi"/>
        </w:rPr>
        <w:t xml:space="preserve">The total number and value of </w:t>
      </w:r>
      <w:r w:rsidR="00107F2F" w:rsidRPr="00107F2F">
        <w:rPr>
          <w:rFonts w:cstheme="minorHAnsi"/>
        </w:rPr>
        <w:t>invoices for contracts up to $1 million (GST inclusive)</w:t>
      </w:r>
      <w:r w:rsidR="00D92473">
        <w:rPr>
          <w:rFonts w:cstheme="minorHAnsi"/>
        </w:rPr>
        <w:t xml:space="preserve"> </w:t>
      </w:r>
      <w:r w:rsidRPr="00184F3A">
        <w:rPr>
          <w:rFonts w:cstheme="minorHAnsi"/>
        </w:rPr>
        <w:t>that were paid within 20 days</w:t>
      </w:r>
    </w:p>
    <w:p w14:paraId="74867E96" w14:textId="77777777" w:rsidR="001F3F44" w:rsidRDefault="001F3F44" w:rsidP="00F55890">
      <w:pPr>
        <w:pStyle w:val="Bullet"/>
        <w:numPr>
          <w:ilvl w:val="0"/>
          <w:numId w:val="25"/>
        </w:numPr>
        <w:spacing w:line="276" w:lineRule="auto"/>
        <w:jc w:val="both"/>
        <w:rPr>
          <w:rFonts w:cstheme="minorHAnsi"/>
          <w:color w:val="000000" w:themeColor="text1"/>
        </w:rPr>
      </w:pPr>
      <w:r w:rsidRPr="00184F3A">
        <w:rPr>
          <w:rFonts w:cstheme="minorHAnsi"/>
          <w:color w:val="000000" w:themeColor="text1"/>
        </w:rPr>
        <w:t>e-Invoicing capability</w:t>
      </w:r>
    </w:p>
    <w:p w14:paraId="66B34078" w14:textId="4AAAA2CE" w:rsidR="001F3F44" w:rsidRDefault="001F3F44" w:rsidP="00F55890">
      <w:pPr>
        <w:pStyle w:val="Bullet"/>
        <w:numPr>
          <w:ilvl w:val="0"/>
          <w:numId w:val="25"/>
        </w:numPr>
        <w:spacing w:line="276" w:lineRule="auto"/>
        <w:jc w:val="both"/>
        <w:rPr>
          <w:rFonts w:cstheme="minorHAnsi"/>
          <w:color w:val="000000" w:themeColor="text1"/>
        </w:rPr>
      </w:pPr>
      <w:r>
        <w:rPr>
          <w:rFonts w:cstheme="minorHAnsi"/>
          <w:color w:val="000000" w:themeColor="text1"/>
        </w:rPr>
        <w:t>The total number and value of e-Invoices</w:t>
      </w:r>
      <w:r w:rsidR="0068191A">
        <w:rPr>
          <w:rFonts w:cstheme="minorHAnsi"/>
          <w:color w:val="000000" w:themeColor="text1"/>
        </w:rPr>
        <w:t xml:space="preserve"> </w:t>
      </w:r>
      <w:r w:rsidR="0068191A" w:rsidRPr="003731F9">
        <w:rPr>
          <w:rFonts w:cstheme="minorHAnsi"/>
        </w:rPr>
        <w:t xml:space="preserve">for contracts </w:t>
      </w:r>
      <w:r w:rsidR="0068191A">
        <w:rPr>
          <w:rFonts w:cstheme="minorHAnsi"/>
        </w:rPr>
        <w:t>up to</w:t>
      </w:r>
      <w:r w:rsidR="0068191A" w:rsidRPr="003731F9">
        <w:rPr>
          <w:rFonts w:cstheme="minorHAnsi"/>
        </w:rPr>
        <w:t xml:space="preserve"> $1 million</w:t>
      </w:r>
      <w:r w:rsidR="0068191A">
        <w:rPr>
          <w:rFonts w:cstheme="minorHAnsi"/>
        </w:rPr>
        <w:t xml:space="preserve"> (GST inclusive)</w:t>
      </w:r>
    </w:p>
    <w:p w14:paraId="408B8853" w14:textId="06873043" w:rsidR="006435E8" w:rsidRDefault="00A36854" w:rsidP="00F55890">
      <w:pPr>
        <w:pStyle w:val="Bullet"/>
        <w:numPr>
          <w:ilvl w:val="0"/>
          <w:numId w:val="25"/>
        </w:numPr>
        <w:spacing w:line="276" w:lineRule="auto"/>
        <w:jc w:val="both"/>
        <w:rPr>
          <w:rFonts w:cstheme="minorHAnsi"/>
          <w:color w:val="000000" w:themeColor="text1"/>
        </w:rPr>
      </w:pPr>
      <w:r>
        <w:rPr>
          <w:rFonts w:cstheme="minorHAnsi"/>
          <w:color w:val="000000" w:themeColor="text1"/>
        </w:rPr>
        <w:t>The t</w:t>
      </w:r>
      <w:r w:rsidR="006435E8">
        <w:rPr>
          <w:rFonts w:cstheme="minorHAnsi"/>
          <w:color w:val="000000" w:themeColor="text1"/>
        </w:rPr>
        <w:t>otal number and value of</w:t>
      </w:r>
      <w:r w:rsidR="0068191A">
        <w:rPr>
          <w:rFonts w:cstheme="minorHAnsi"/>
          <w:color w:val="000000" w:themeColor="text1"/>
        </w:rPr>
        <w:t xml:space="preserve"> </w:t>
      </w:r>
      <w:r w:rsidR="00107F2F" w:rsidRPr="00107F2F">
        <w:rPr>
          <w:rFonts w:cstheme="minorHAnsi"/>
          <w:color w:val="000000" w:themeColor="text1"/>
        </w:rPr>
        <w:t>e-Invoices for contracts up to $1 million (GST inclusive)</w:t>
      </w:r>
      <w:r w:rsidR="006435E8">
        <w:rPr>
          <w:rFonts w:cstheme="minorHAnsi"/>
          <w:color w:val="000000" w:themeColor="text1"/>
        </w:rPr>
        <w:t xml:space="preserve"> that were paid within 5 days</w:t>
      </w:r>
    </w:p>
    <w:p w14:paraId="05BD1EBA" w14:textId="35818D3B" w:rsidR="001F3F44" w:rsidRPr="00184F3A" w:rsidRDefault="001F3F44" w:rsidP="00F55890">
      <w:pPr>
        <w:pStyle w:val="Bullet"/>
        <w:numPr>
          <w:ilvl w:val="0"/>
          <w:numId w:val="25"/>
        </w:numPr>
        <w:spacing w:line="276" w:lineRule="auto"/>
        <w:jc w:val="both"/>
        <w:rPr>
          <w:rFonts w:cstheme="minorHAnsi"/>
        </w:rPr>
      </w:pPr>
      <w:r w:rsidRPr="00184F3A">
        <w:rPr>
          <w:rFonts w:cstheme="minorHAnsi"/>
        </w:rPr>
        <w:t>The total value of interest paid on late invoices</w:t>
      </w:r>
      <w:r w:rsidR="006D0EA2">
        <w:rPr>
          <w:rFonts w:cstheme="minorHAnsi"/>
        </w:rPr>
        <w:t xml:space="preserve"> and e-Invoices</w:t>
      </w:r>
    </w:p>
    <w:p w14:paraId="435084F6" w14:textId="4613E7CD" w:rsidR="001F3F44" w:rsidRPr="00705EAE" w:rsidRDefault="001F3F44" w:rsidP="00F55890">
      <w:pPr>
        <w:pStyle w:val="Bullet"/>
        <w:numPr>
          <w:ilvl w:val="0"/>
          <w:numId w:val="25"/>
        </w:numPr>
        <w:spacing w:line="276" w:lineRule="auto"/>
        <w:jc w:val="both"/>
        <w:rPr>
          <w:rFonts w:cstheme="minorHAnsi"/>
          <w:color w:val="000000" w:themeColor="text1"/>
        </w:rPr>
      </w:pPr>
      <w:r w:rsidRPr="00184F3A">
        <w:rPr>
          <w:rFonts w:cstheme="minorHAnsi"/>
          <w:color w:val="000000" w:themeColor="text1"/>
        </w:rPr>
        <w:t>Reasons for any late payments</w:t>
      </w:r>
      <w:r w:rsidR="00031DB1">
        <w:rPr>
          <w:rFonts w:cstheme="minorHAnsi"/>
          <w:color w:val="000000" w:themeColor="text1"/>
        </w:rPr>
        <w:t>.</w:t>
      </w:r>
    </w:p>
    <w:p w14:paraId="03099E79" w14:textId="1695D126" w:rsidR="001F3F44" w:rsidRPr="003731F9" w:rsidRDefault="001F3F44" w:rsidP="00C56811">
      <w:pPr>
        <w:pStyle w:val="Heading1"/>
        <w:spacing w:before="0" w:after="0"/>
        <w:jc w:val="both"/>
      </w:pPr>
      <w:bookmarkStart w:id="13" w:name="_Toc25057848"/>
      <w:bookmarkStart w:id="14" w:name="_Toc25242633"/>
      <w:bookmarkStart w:id="15" w:name="_Toc92710937"/>
      <w:r w:rsidRPr="0054696F">
        <w:t>Results</w:t>
      </w:r>
      <w:bookmarkEnd w:id="13"/>
      <w:bookmarkEnd w:id="14"/>
      <w:bookmarkEnd w:id="15"/>
    </w:p>
    <w:p w14:paraId="231137EA" w14:textId="3EEFC515" w:rsidR="001F3F44" w:rsidRPr="003731F9" w:rsidRDefault="00501553" w:rsidP="00835D59">
      <w:pPr>
        <w:pStyle w:val="Heading2"/>
        <w:tabs>
          <w:tab w:val="center" w:pos="4439"/>
        </w:tabs>
        <w:spacing w:before="0"/>
        <w:jc w:val="both"/>
        <w:rPr>
          <w:b/>
        </w:rPr>
      </w:pPr>
      <w:bookmarkStart w:id="16" w:name="_Toc92710938"/>
      <w:r>
        <w:t xml:space="preserve">Agencies </w:t>
      </w:r>
      <w:r w:rsidR="006A4CD0">
        <w:t xml:space="preserve">are </w:t>
      </w:r>
      <w:r>
        <w:t>paying faster</w:t>
      </w:r>
      <w:bookmarkEnd w:id="16"/>
      <w:r w:rsidR="001F3F44">
        <w:tab/>
      </w:r>
    </w:p>
    <w:p w14:paraId="669AC913" w14:textId="22F1B184" w:rsidR="001F3F44" w:rsidRPr="00522683" w:rsidRDefault="007B061F" w:rsidP="001F3F44">
      <w:pPr>
        <w:pStyle w:val="Bullet"/>
        <w:numPr>
          <w:ilvl w:val="0"/>
          <w:numId w:val="0"/>
        </w:numPr>
        <w:jc w:val="both"/>
      </w:pPr>
      <w:r>
        <w:rPr>
          <w:rFonts w:cstheme="minorHAnsi"/>
        </w:rPr>
        <w:t xml:space="preserve">All 91 </w:t>
      </w:r>
      <w:r w:rsidR="000A7E27">
        <w:t>G</w:t>
      </w:r>
      <w:r w:rsidR="001F3F44" w:rsidRPr="00EC5DD8">
        <w:t>overnm</w:t>
      </w:r>
      <w:r w:rsidR="001F3F44" w:rsidRPr="00556346">
        <w:t>ent agencies</w:t>
      </w:r>
      <w:r>
        <w:t xml:space="preserve"> in scope of the Pay On</w:t>
      </w:r>
      <w:r w:rsidR="008B0252">
        <w:noBreakHyphen/>
      </w:r>
      <w:r>
        <w:t>Time Survey</w:t>
      </w:r>
      <w:r w:rsidR="001F3F44" w:rsidRPr="0011499D">
        <w:rPr>
          <w:rFonts w:cstheme="minorHAnsi"/>
        </w:rPr>
        <w:t xml:space="preserve"> provide</w:t>
      </w:r>
      <w:r w:rsidR="001F3F44">
        <w:rPr>
          <w:rFonts w:cstheme="minorHAnsi"/>
        </w:rPr>
        <w:t>d</w:t>
      </w:r>
      <w:r w:rsidR="001F3F44" w:rsidRPr="0011499D">
        <w:rPr>
          <w:rFonts w:cstheme="minorHAnsi"/>
        </w:rPr>
        <w:t xml:space="preserve"> data on their payment time</w:t>
      </w:r>
      <w:r w:rsidR="001F3F44">
        <w:rPr>
          <w:rFonts w:cstheme="minorHAnsi"/>
        </w:rPr>
        <w:t>s of invoices</w:t>
      </w:r>
      <w:r w:rsidR="005054F3">
        <w:rPr>
          <w:rFonts w:cstheme="minorHAnsi"/>
        </w:rPr>
        <w:t xml:space="preserve"> subject to the Pay On</w:t>
      </w:r>
      <w:r w:rsidR="008B0252">
        <w:rPr>
          <w:rFonts w:cstheme="minorHAnsi"/>
        </w:rPr>
        <w:noBreakHyphen/>
      </w:r>
      <w:r w:rsidR="005054F3">
        <w:rPr>
          <w:rFonts w:cstheme="minorHAnsi"/>
        </w:rPr>
        <w:t>Time Policy</w:t>
      </w:r>
      <w:r w:rsidR="001F3F44">
        <w:rPr>
          <w:rFonts w:cstheme="minorHAnsi"/>
        </w:rPr>
        <w:t xml:space="preserve">. </w:t>
      </w:r>
      <w:r w:rsidR="00A36854">
        <w:rPr>
          <w:rFonts w:cstheme="minorHAnsi"/>
        </w:rPr>
        <w:t>In the past year,</w:t>
      </w:r>
      <w:r w:rsidR="001F3F44">
        <w:rPr>
          <w:rFonts w:cstheme="minorHAnsi"/>
        </w:rPr>
        <w:t xml:space="preserve"> both</w:t>
      </w:r>
      <w:r w:rsidR="001F3F44" w:rsidRPr="00D52021">
        <w:rPr>
          <w:rFonts w:cstheme="minorHAnsi"/>
        </w:rPr>
        <w:t xml:space="preserve"> the</w:t>
      </w:r>
      <w:r w:rsidR="00841CA0">
        <w:rPr>
          <w:rFonts w:cstheme="minorHAnsi"/>
        </w:rPr>
        <w:t xml:space="preserve"> total</w:t>
      </w:r>
      <w:r w:rsidR="001F3F44" w:rsidRPr="00D52021">
        <w:rPr>
          <w:rFonts w:cstheme="minorHAnsi"/>
        </w:rPr>
        <w:t xml:space="preserve"> number</w:t>
      </w:r>
      <w:r w:rsidR="001F3F44">
        <w:rPr>
          <w:rFonts w:cstheme="minorHAnsi"/>
        </w:rPr>
        <w:t xml:space="preserve"> (Table 1)</w:t>
      </w:r>
      <w:r w:rsidR="001F3F44" w:rsidRPr="00D52021">
        <w:rPr>
          <w:rFonts w:cstheme="minorHAnsi"/>
        </w:rPr>
        <w:t xml:space="preserve"> </w:t>
      </w:r>
      <w:r w:rsidR="004A1006">
        <w:rPr>
          <w:rFonts w:cstheme="minorHAnsi"/>
        </w:rPr>
        <w:t>and total</w:t>
      </w:r>
      <w:r w:rsidR="00841CA0">
        <w:rPr>
          <w:rFonts w:cstheme="minorHAnsi"/>
        </w:rPr>
        <w:t xml:space="preserve"> </w:t>
      </w:r>
      <w:r w:rsidR="001F3F44" w:rsidRPr="00D52021">
        <w:rPr>
          <w:rFonts w:cstheme="minorHAnsi"/>
        </w:rPr>
        <w:t xml:space="preserve">value </w:t>
      </w:r>
      <w:r w:rsidR="001F3F44">
        <w:rPr>
          <w:rFonts w:cstheme="minorHAnsi"/>
        </w:rPr>
        <w:t xml:space="preserve">(Table 2) </w:t>
      </w:r>
      <w:r w:rsidR="001F3F44" w:rsidRPr="00D52021">
        <w:rPr>
          <w:rFonts w:cstheme="minorHAnsi"/>
        </w:rPr>
        <w:t xml:space="preserve">of </w:t>
      </w:r>
      <w:r w:rsidR="001F3F44">
        <w:rPr>
          <w:rFonts w:cstheme="minorHAnsi"/>
        </w:rPr>
        <w:t xml:space="preserve">eligible </w:t>
      </w:r>
      <w:r w:rsidR="001F3F44" w:rsidRPr="00D52021">
        <w:rPr>
          <w:rFonts w:cstheme="minorHAnsi"/>
        </w:rPr>
        <w:t>invoices</w:t>
      </w:r>
      <w:r w:rsidR="0071554A">
        <w:rPr>
          <w:rFonts w:cstheme="minorHAnsi"/>
        </w:rPr>
        <w:t xml:space="preserve"> has fallen</w:t>
      </w:r>
      <w:r>
        <w:rPr>
          <w:rFonts w:cstheme="minorHAnsi"/>
        </w:rPr>
        <w:t>, a reflection of the year</w:t>
      </w:r>
      <w:r w:rsidR="008B0252">
        <w:rPr>
          <w:rFonts w:cstheme="minorHAnsi"/>
        </w:rPr>
        <w:noBreakHyphen/>
      </w:r>
      <w:r>
        <w:rPr>
          <w:rFonts w:cstheme="minorHAnsi"/>
        </w:rPr>
        <w:t>to</w:t>
      </w:r>
      <w:r w:rsidR="008B0252">
        <w:rPr>
          <w:rFonts w:cstheme="minorHAnsi"/>
        </w:rPr>
        <w:noBreakHyphen/>
      </w:r>
      <w:r>
        <w:rPr>
          <w:rFonts w:cstheme="minorHAnsi"/>
        </w:rPr>
        <w:t xml:space="preserve">year fluctuation in </w:t>
      </w:r>
      <w:r w:rsidR="000A7E27">
        <w:rPr>
          <w:rFonts w:cstheme="minorHAnsi"/>
        </w:rPr>
        <w:t>G</w:t>
      </w:r>
      <w:r>
        <w:rPr>
          <w:rFonts w:cstheme="minorHAnsi"/>
        </w:rPr>
        <w:t>overnment procurement</w:t>
      </w:r>
      <w:r w:rsidR="001F3F44">
        <w:rPr>
          <w:rFonts w:cstheme="minorHAnsi"/>
        </w:rPr>
        <w:t xml:space="preserve">. </w:t>
      </w:r>
      <w:r w:rsidR="00C005CC">
        <w:rPr>
          <w:rFonts w:cstheme="minorHAnsi"/>
        </w:rPr>
        <w:t>T</w:t>
      </w:r>
      <w:r w:rsidR="00841CA0">
        <w:rPr>
          <w:rFonts w:cstheme="minorHAnsi"/>
        </w:rPr>
        <w:t>here ha</w:t>
      </w:r>
      <w:r w:rsidR="0071554A">
        <w:rPr>
          <w:rFonts w:cstheme="minorHAnsi"/>
        </w:rPr>
        <w:t>ve</w:t>
      </w:r>
      <w:r w:rsidR="00841CA0">
        <w:rPr>
          <w:rFonts w:cstheme="minorHAnsi"/>
        </w:rPr>
        <w:t xml:space="preserve"> been </w:t>
      </w:r>
      <w:r w:rsidR="004F6A95">
        <w:rPr>
          <w:rFonts w:cstheme="minorHAnsi"/>
        </w:rPr>
        <w:t>improvements</w:t>
      </w:r>
      <w:r w:rsidR="00841CA0">
        <w:rPr>
          <w:rFonts w:cstheme="minorHAnsi"/>
        </w:rPr>
        <w:t xml:space="preserve"> in the number and value of invoices paid after 20 days</w:t>
      </w:r>
      <w:r w:rsidR="00C005CC">
        <w:rPr>
          <w:rFonts w:cstheme="minorHAnsi"/>
        </w:rPr>
        <w:t>.</w:t>
      </w:r>
      <w:r w:rsidR="00841CA0">
        <w:rPr>
          <w:rFonts w:cstheme="minorHAnsi"/>
        </w:rPr>
        <w:t xml:space="preserve"> </w:t>
      </w:r>
    </w:p>
    <w:p w14:paraId="7D648ABC" w14:textId="77777777" w:rsidR="00507112" w:rsidRDefault="00507112" w:rsidP="004743ED">
      <w:pPr>
        <w:pStyle w:val="TableMainHeading"/>
      </w:pPr>
    </w:p>
    <w:p w14:paraId="5B20D02B" w14:textId="7E0E15BA" w:rsidR="001F3F44" w:rsidRPr="0093320C" w:rsidRDefault="001F3F44" w:rsidP="004743ED">
      <w:pPr>
        <w:pStyle w:val="TableMainHeading"/>
        <w:rPr>
          <w:i/>
        </w:rPr>
      </w:pPr>
      <w:bookmarkStart w:id="17" w:name="_Toc92710939"/>
      <w:r w:rsidRPr="0093320C">
        <w:t xml:space="preserve">Table </w:t>
      </w:r>
      <w:fldSimple w:instr=" SEQ Table \* ARABIC ">
        <w:r w:rsidRPr="0093320C">
          <w:t>1</w:t>
        </w:r>
      </w:fldSimple>
      <w:r w:rsidRPr="0093320C">
        <w:t xml:space="preserve">: </w:t>
      </w:r>
      <w:r w:rsidRPr="00F55890">
        <w:t>2019</w:t>
      </w:r>
      <w:r w:rsidR="00EC3750">
        <w:t>–</w:t>
      </w:r>
      <w:r w:rsidRPr="00F55890">
        <w:t xml:space="preserve">20 </w:t>
      </w:r>
      <w:r w:rsidR="00FA559A">
        <w:t>and</w:t>
      </w:r>
      <w:r w:rsidRPr="00F55890">
        <w:t xml:space="preserve"> 2020</w:t>
      </w:r>
      <w:r w:rsidR="00EC3750">
        <w:t>–</w:t>
      </w:r>
      <w:r w:rsidRPr="00F55890">
        <w:t xml:space="preserve">21 comparison by </w:t>
      </w:r>
      <w:r w:rsidRPr="00F55890">
        <w:rPr>
          <w:u w:val="single"/>
        </w:rPr>
        <w:t>number</w:t>
      </w:r>
      <w:r w:rsidRPr="00F55890">
        <w:t xml:space="preserve"> of invoices of contracts valued </w:t>
      </w:r>
      <w:r w:rsidR="003920FC" w:rsidRPr="00F55890">
        <w:t xml:space="preserve">up to </w:t>
      </w:r>
      <w:r w:rsidRPr="00F55890">
        <w:t>$1 million (GST inclusive)</w:t>
      </w:r>
      <w:bookmarkEnd w:id="17"/>
    </w:p>
    <w:tbl>
      <w:tblPr>
        <w:tblStyle w:val="LightShading-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06"/>
        <w:gridCol w:w="3006"/>
        <w:gridCol w:w="3004"/>
      </w:tblGrid>
      <w:tr w:rsidR="004E69EB" w:rsidRPr="003731F9" w14:paraId="14F2CB68" w14:textId="77777777" w:rsidTr="002F779B">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14DEDB8A" w14:textId="242CCC3D" w:rsidR="004E69EB" w:rsidRPr="004B5D1D" w:rsidRDefault="004E69EB" w:rsidP="00F55890">
            <w:pPr>
              <w:pStyle w:val="Bullet"/>
              <w:numPr>
                <w:ilvl w:val="0"/>
                <w:numId w:val="0"/>
              </w:numPr>
              <w:spacing w:after="0"/>
              <w:ind w:left="520" w:hanging="520"/>
              <w:jc w:val="center"/>
              <w:rPr>
                <w:rFonts w:cstheme="minorHAnsi"/>
                <w:color w:val="FFFFFF" w:themeColor="background1"/>
              </w:rPr>
            </w:pPr>
            <w:bookmarkStart w:id="18" w:name="_Hlk88467252"/>
          </w:p>
        </w:tc>
        <w:tc>
          <w:tcPr>
            <w:tcW w:w="1667" w:type="pct"/>
            <w:vAlign w:val="center"/>
          </w:tcPr>
          <w:p w14:paraId="4498EF69" w14:textId="3BD26DC3" w:rsidR="004E69EB" w:rsidRPr="00C11241" w:rsidRDefault="004E69EB" w:rsidP="00C11241">
            <w:pPr>
              <w:pStyle w:val="TableTextIndented"/>
              <w:cnfStyle w:val="100000000000" w:firstRow="1" w:lastRow="0" w:firstColumn="0" w:lastColumn="0" w:oddVBand="0" w:evenVBand="0" w:oddHBand="0" w:evenHBand="0" w:firstRowFirstColumn="0" w:firstRowLastColumn="0" w:lastRowFirstColumn="0" w:lastRowLastColumn="0"/>
              <w:rPr>
                <w:color w:val="FFFFFF" w:themeColor="background1"/>
              </w:rPr>
            </w:pPr>
            <w:r w:rsidRPr="00C11241">
              <w:rPr>
                <w:color w:val="FFFFFF" w:themeColor="background1"/>
              </w:rPr>
              <w:t>Number 2019</w:t>
            </w:r>
            <w:r w:rsidR="00EC3750" w:rsidRPr="00EC3750">
              <w:rPr>
                <w:color w:val="FFFFFF" w:themeColor="background1"/>
              </w:rPr>
              <w:t>–</w:t>
            </w:r>
            <w:r w:rsidRPr="00C11241">
              <w:rPr>
                <w:color w:val="FFFFFF" w:themeColor="background1"/>
              </w:rPr>
              <w:t>20</w:t>
            </w:r>
          </w:p>
        </w:tc>
        <w:tc>
          <w:tcPr>
            <w:tcW w:w="1667" w:type="pct"/>
            <w:vAlign w:val="center"/>
          </w:tcPr>
          <w:p w14:paraId="3A25646A" w14:textId="1F54B7A4" w:rsidR="004E69EB" w:rsidRPr="00C11241" w:rsidRDefault="004E69EB" w:rsidP="00C11241">
            <w:pPr>
              <w:pStyle w:val="TableTextIndented"/>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11241">
              <w:rPr>
                <w:color w:val="FFFFFF" w:themeColor="background1"/>
              </w:rPr>
              <w:t>Number 2020</w:t>
            </w:r>
            <w:r w:rsidR="00EC3750" w:rsidRPr="00EC3750">
              <w:rPr>
                <w:color w:val="FFFFFF" w:themeColor="background1"/>
              </w:rPr>
              <w:t>–</w:t>
            </w:r>
            <w:r w:rsidRPr="00C11241">
              <w:rPr>
                <w:color w:val="FFFFFF" w:themeColor="background1"/>
              </w:rPr>
              <w:t>21</w:t>
            </w:r>
          </w:p>
        </w:tc>
      </w:tr>
      <w:tr w:rsidR="004E69EB" w:rsidRPr="003731F9" w14:paraId="459FA93E" w14:textId="77777777"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vAlign w:val="center"/>
          </w:tcPr>
          <w:p w14:paraId="41720C27" w14:textId="77777777" w:rsidR="004E69EB" w:rsidRPr="008E6A12" w:rsidRDefault="004E69EB" w:rsidP="0005592A">
            <w:pPr>
              <w:pStyle w:val="TableTextIndented"/>
            </w:pPr>
            <w:r w:rsidRPr="008E6A12">
              <w:t>Paid within 20 days</w:t>
            </w:r>
          </w:p>
        </w:tc>
        <w:tc>
          <w:tcPr>
            <w:tcW w:w="1667" w:type="pct"/>
            <w:shd w:val="clear" w:color="auto" w:fill="auto"/>
            <w:vAlign w:val="center"/>
          </w:tcPr>
          <w:p w14:paraId="4F4916EC" w14:textId="7958C613"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rPr>
            </w:pPr>
            <w:r w:rsidRPr="00F55890">
              <w:rPr>
                <w:rFonts w:cs="Calibri"/>
                <w:szCs w:val="22"/>
              </w:rPr>
              <w:t>934,982 (90.6%)</w:t>
            </w:r>
          </w:p>
        </w:tc>
        <w:tc>
          <w:tcPr>
            <w:tcW w:w="1667" w:type="pct"/>
            <w:shd w:val="clear" w:color="auto" w:fill="auto"/>
            <w:vAlign w:val="center"/>
          </w:tcPr>
          <w:p w14:paraId="45C13F6F" w14:textId="20D4E162"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rPr>
                <w:rFonts w:cs="Calibri"/>
                <w:szCs w:val="22"/>
              </w:rPr>
              <w:t>869,774 (93.2%)</w:t>
            </w:r>
          </w:p>
        </w:tc>
      </w:tr>
      <w:tr w:rsidR="004E69EB" w:rsidRPr="003731F9" w14:paraId="31F44F64" w14:textId="77777777" w:rsidTr="002F779B">
        <w:trPr>
          <w:trHeight w:val="509"/>
          <w:jc w:val="center"/>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vAlign w:val="center"/>
          </w:tcPr>
          <w:p w14:paraId="192C7EBA" w14:textId="3BB05599" w:rsidR="004E69EB" w:rsidRPr="008E6A12" w:rsidRDefault="004E69EB" w:rsidP="0005592A">
            <w:pPr>
              <w:pStyle w:val="TableTextIndented"/>
            </w:pPr>
            <w:r w:rsidRPr="008E6A12">
              <w:t xml:space="preserve">Paid </w:t>
            </w:r>
            <w:r>
              <w:t xml:space="preserve">after 20 </w:t>
            </w:r>
            <w:r w:rsidRPr="008E6A12">
              <w:t>days</w:t>
            </w:r>
          </w:p>
        </w:tc>
        <w:tc>
          <w:tcPr>
            <w:tcW w:w="1667" w:type="pct"/>
            <w:shd w:val="clear" w:color="auto" w:fill="auto"/>
            <w:vAlign w:val="center"/>
          </w:tcPr>
          <w:p w14:paraId="5B0658D2" w14:textId="701016E2" w:rsidR="004E69EB" w:rsidRPr="00F55890" w:rsidRDefault="004E69EB"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rPr>
            </w:pPr>
            <w:r w:rsidRPr="00F55890">
              <w:rPr>
                <w:rFonts w:cs="Calibri"/>
                <w:szCs w:val="22"/>
              </w:rPr>
              <w:t>96,926 (9.4%)</w:t>
            </w:r>
          </w:p>
        </w:tc>
        <w:tc>
          <w:tcPr>
            <w:tcW w:w="1667" w:type="pct"/>
            <w:shd w:val="clear" w:color="auto" w:fill="auto"/>
            <w:vAlign w:val="center"/>
          </w:tcPr>
          <w:p w14:paraId="5EAF159F" w14:textId="64AC34D5" w:rsidR="004E69EB" w:rsidRPr="00F55890" w:rsidRDefault="004E69EB" w:rsidP="0005592A">
            <w:pPr>
              <w:pStyle w:val="TableTextIndented"/>
              <w:cnfStyle w:val="000000000000" w:firstRow="0" w:lastRow="0" w:firstColumn="0" w:lastColumn="0" w:oddVBand="0" w:evenVBand="0" w:oddHBand="0" w:evenHBand="0" w:firstRowFirstColumn="0" w:firstRowLastColumn="0" w:lastRowFirstColumn="0" w:lastRowLastColumn="0"/>
            </w:pPr>
            <w:r w:rsidRPr="00F55890">
              <w:rPr>
                <w:rFonts w:cs="Calibri"/>
                <w:szCs w:val="22"/>
              </w:rPr>
              <w:t>63,407 (6.8%)</w:t>
            </w:r>
          </w:p>
        </w:tc>
      </w:tr>
      <w:tr w:rsidR="004E69EB" w:rsidRPr="003731F9" w14:paraId="0417DC1E" w14:textId="77777777"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vAlign w:val="center"/>
          </w:tcPr>
          <w:p w14:paraId="364A29BE" w14:textId="77777777" w:rsidR="004E69EB" w:rsidRPr="004B5D1D" w:rsidRDefault="004E69EB" w:rsidP="0005592A">
            <w:pPr>
              <w:pStyle w:val="TableTextIndented"/>
            </w:pPr>
            <w:r w:rsidRPr="004B5D1D">
              <w:t>Total invoices</w:t>
            </w:r>
          </w:p>
        </w:tc>
        <w:tc>
          <w:tcPr>
            <w:tcW w:w="1667" w:type="pct"/>
            <w:shd w:val="clear" w:color="auto" w:fill="auto"/>
            <w:vAlign w:val="center"/>
          </w:tcPr>
          <w:p w14:paraId="56302222" w14:textId="4D9F90B3"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rPr>
            </w:pPr>
            <w:r w:rsidRPr="00F55890">
              <w:rPr>
                <w:rFonts w:cs="Calibri"/>
                <w:szCs w:val="22"/>
              </w:rPr>
              <w:t>1,031,908</w:t>
            </w:r>
          </w:p>
        </w:tc>
        <w:tc>
          <w:tcPr>
            <w:tcW w:w="1667" w:type="pct"/>
            <w:shd w:val="clear" w:color="auto" w:fill="auto"/>
            <w:vAlign w:val="center"/>
          </w:tcPr>
          <w:p w14:paraId="2E0D9E1A" w14:textId="04CFCEEB"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t>933,181</w:t>
            </w:r>
          </w:p>
        </w:tc>
      </w:tr>
    </w:tbl>
    <w:p w14:paraId="1DEBE71D" w14:textId="5518C492" w:rsidR="00507112" w:rsidRDefault="00507112" w:rsidP="004743ED">
      <w:pPr>
        <w:pStyle w:val="TableMainHeading"/>
      </w:pPr>
    </w:p>
    <w:p w14:paraId="323A05E2" w14:textId="77777777" w:rsidR="00507112" w:rsidRDefault="00507112">
      <w:pPr>
        <w:spacing w:before="0" w:after="160" w:line="259" w:lineRule="auto"/>
        <w:rPr>
          <w:rFonts w:cs="Arial"/>
          <w:b/>
          <w:color w:val="3A6FAF" w:themeColor="accent2"/>
          <w:kern w:val="32"/>
          <w:sz w:val="28"/>
          <w:szCs w:val="26"/>
        </w:rPr>
      </w:pPr>
      <w:r>
        <w:br w:type="page"/>
      </w:r>
    </w:p>
    <w:p w14:paraId="783B6008" w14:textId="2098B887" w:rsidR="001F3F44" w:rsidRPr="0093320C" w:rsidRDefault="001F3F44" w:rsidP="004743ED">
      <w:pPr>
        <w:pStyle w:val="TableMainHeading"/>
        <w:rPr>
          <w:i/>
        </w:rPr>
      </w:pPr>
      <w:bookmarkStart w:id="19" w:name="_Toc92710940"/>
      <w:r w:rsidRPr="0093320C">
        <w:lastRenderedPageBreak/>
        <w:t xml:space="preserve">Table 2: </w:t>
      </w:r>
      <w:r w:rsidRPr="00F55890">
        <w:t>2019</w:t>
      </w:r>
      <w:r w:rsidR="00EC3750">
        <w:t>–</w:t>
      </w:r>
      <w:r w:rsidRPr="00F55890">
        <w:t xml:space="preserve">20 </w:t>
      </w:r>
      <w:r w:rsidR="007B7849">
        <w:t>and</w:t>
      </w:r>
      <w:r w:rsidRPr="00F55890">
        <w:t xml:space="preserve"> 2020</w:t>
      </w:r>
      <w:r w:rsidR="00EC3750">
        <w:t>–</w:t>
      </w:r>
      <w:r w:rsidRPr="00F55890">
        <w:t xml:space="preserve">21 comparison by </w:t>
      </w:r>
      <w:r w:rsidRPr="00F55890">
        <w:rPr>
          <w:u w:val="single"/>
        </w:rPr>
        <w:t>value</w:t>
      </w:r>
      <w:r w:rsidRPr="00F55890">
        <w:t xml:space="preserve"> of invoices of contracts valued </w:t>
      </w:r>
      <w:r w:rsidR="003920FC" w:rsidRPr="00F55890">
        <w:t xml:space="preserve">up to </w:t>
      </w:r>
      <w:r w:rsidRPr="00F55890">
        <w:t>$1 million (GST inclusive)</w:t>
      </w:r>
      <w:bookmarkEnd w:id="19"/>
    </w:p>
    <w:bookmarkEnd w:id="18"/>
    <w:tbl>
      <w:tblPr>
        <w:tblStyle w:val="LightShading-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05"/>
        <w:gridCol w:w="3005"/>
        <w:gridCol w:w="3006"/>
      </w:tblGrid>
      <w:tr w:rsidR="004E69EB" w:rsidRPr="003731F9" w14:paraId="3E5E7FB1" w14:textId="77777777" w:rsidTr="002F779B">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8E011D6" w14:textId="65A3FE59" w:rsidR="004E69EB" w:rsidRPr="00C11241" w:rsidRDefault="004E69EB" w:rsidP="00C11241">
            <w:pPr>
              <w:pStyle w:val="TableTextIndented"/>
              <w:rPr>
                <w:color w:val="FFFFFF" w:themeColor="background1"/>
              </w:rPr>
            </w:pPr>
          </w:p>
        </w:tc>
        <w:tc>
          <w:tcPr>
            <w:tcW w:w="1666" w:type="pct"/>
            <w:vAlign w:val="center"/>
          </w:tcPr>
          <w:p w14:paraId="67190D31" w14:textId="45C00BB9" w:rsidR="004E69EB" w:rsidRPr="00C11241" w:rsidRDefault="004E69EB" w:rsidP="00C11241">
            <w:pPr>
              <w:pStyle w:val="TableTextIndented"/>
              <w:cnfStyle w:val="100000000000" w:firstRow="1" w:lastRow="0" w:firstColumn="0" w:lastColumn="0" w:oddVBand="0" w:evenVBand="0" w:oddHBand="0" w:evenHBand="0" w:firstRowFirstColumn="0" w:firstRowLastColumn="0" w:lastRowFirstColumn="0" w:lastRowLastColumn="0"/>
              <w:rPr>
                <w:color w:val="FFFFFF" w:themeColor="background1"/>
              </w:rPr>
            </w:pPr>
            <w:r w:rsidRPr="00C11241">
              <w:rPr>
                <w:color w:val="FFFFFF" w:themeColor="background1"/>
              </w:rPr>
              <w:t>Value 2019</w:t>
            </w:r>
            <w:r w:rsidR="00EC3750" w:rsidRPr="00EC3750">
              <w:rPr>
                <w:color w:val="FFFFFF" w:themeColor="background1"/>
              </w:rPr>
              <w:t>–</w:t>
            </w:r>
            <w:r w:rsidRPr="00C11241">
              <w:rPr>
                <w:color w:val="FFFFFF" w:themeColor="background1"/>
              </w:rPr>
              <w:t>20</w:t>
            </w:r>
          </w:p>
        </w:tc>
        <w:tc>
          <w:tcPr>
            <w:tcW w:w="1667" w:type="pct"/>
            <w:vAlign w:val="center"/>
          </w:tcPr>
          <w:p w14:paraId="471BF175" w14:textId="5A720953" w:rsidR="004E69EB" w:rsidRPr="00C11241" w:rsidRDefault="004E69EB" w:rsidP="00C11241">
            <w:pPr>
              <w:pStyle w:val="TableTextIndented"/>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11241">
              <w:rPr>
                <w:color w:val="FFFFFF" w:themeColor="background1"/>
              </w:rPr>
              <w:t>Value 2020</w:t>
            </w:r>
            <w:r w:rsidR="00EC3750" w:rsidRPr="00EC3750">
              <w:rPr>
                <w:color w:val="FFFFFF" w:themeColor="background1"/>
              </w:rPr>
              <w:t>–</w:t>
            </w:r>
            <w:r w:rsidRPr="00C11241">
              <w:rPr>
                <w:color w:val="FFFFFF" w:themeColor="background1"/>
              </w:rPr>
              <w:t>21</w:t>
            </w:r>
          </w:p>
        </w:tc>
      </w:tr>
      <w:tr w:rsidR="004E69EB" w:rsidRPr="003731F9" w14:paraId="4C9D652B" w14:textId="77777777"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A557341" w14:textId="5DD75506" w:rsidR="004E69EB" w:rsidRPr="008E6A12" w:rsidRDefault="004E69EB" w:rsidP="0005592A">
            <w:pPr>
              <w:pStyle w:val="TableTextIndented"/>
            </w:pPr>
            <w:r w:rsidRPr="008E6A12">
              <w:t>Paid within 20 days</w:t>
            </w:r>
          </w:p>
        </w:tc>
        <w:tc>
          <w:tcPr>
            <w:tcW w:w="1666" w:type="pct"/>
            <w:shd w:val="clear" w:color="auto" w:fill="auto"/>
            <w:vAlign w:val="center"/>
          </w:tcPr>
          <w:p w14:paraId="4B33692B" w14:textId="78D249C8"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rPr>
            </w:pPr>
            <w:r w:rsidRPr="00F55890">
              <w:rPr>
                <w:rFonts w:cs="Calibri"/>
                <w:szCs w:val="22"/>
              </w:rPr>
              <w:t>$7</w:t>
            </w:r>
            <w:r w:rsidR="00E21B1A" w:rsidRPr="00F55890">
              <w:rPr>
                <w:rFonts w:cs="Calibri"/>
                <w:szCs w:val="22"/>
              </w:rPr>
              <w:t>.9</w:t>
            </w:r>
            <w:r w:rsidR="00697BF6" w:rsidRPr="00F55890">
              <w:rPr>
                <w:rFonts w:cs="Calibri"/>
                <w:szCs w:val="22"/>
              </w:rPr>
              <w:t>9</w:t>
            </w:r>
            <w:r w:rsidR="00E21B1A" w:rsidRPr="00F55890">
              <w:rPr>
                <w:rFonts w:cs="Calibri"/>
                <w:szCs w:val="22"/>
              </w:rPr>
              <w:t xml:space="preserve">bn </w:t>
            </w:r>
            <w:r w:rsidRPr="00F55890">
              <w:rPr>
                <w:rFonts w:cs="Calibri"/>
                <w:szCs w:val="22"/>
              </w:rPr>
              <w:t>(85.1%)</w:t>
            </w:r>
          </w:p>
        </w:tc>
        <w:tc>
          <w:tcPr>
            <w:tcW w:w="1667" w:type="pct"/>
            <w:shd w:val="clear" w:color="auto" w:fill="auto"/>
            <w:vAlign w:val="center"/>
          </w:tcPr>
          <w:p w14:paraId="23C68052" w14:textId="3665716C"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rPr>
                <w:rFonts w:cs="Calibri"/>
                <w:szCs w:val="22"/>
              </w:rPr>
              <w:t>$7</w:t>
            </w:r>
            <w:r w:rsidR="00E21B1A" w:rsidRPr="00F55890">
              <w:rPr>
                <w:rFonts w:cs="Calibri"/>
                <w:szCs w:val="22"/>
              </w:rPr>
              <w:t>.04bn</w:t>
            </w:r>
            <w:r w:rsidRPr="00F55890">
              <w:rPr>
                <w:rFonts w:cs="Calibri"/>
                <w:szCs w:val="22"/>
              </w:rPr>
              <w:t xml:space="preserve"> (86.1%)</w:t>
            </w:r>
          </w:p>
        </w:tc>
      </w:tr>
      <w:tr w:rsidR="004E69EB" w:rsidRPr="003731F9" w14:paraId="5DEBDC4B" w14:textId="77777777" w:rsidTr="002F779B">
        <w:trPr>
          <w:trHeight w:val="509"/>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D3EF604" w14:textId="4214ABA7" w:rsidR="004E69EB" w:rsidRPr="008E6A12" w:rsidRDefault="004E69EB" w:rsidP="0005592A">
            <w:pPr>
              <w:pStyle w:val="TableTextIndented"/>
            </w:pPr>
            <w:r>
              <w:t>P</w:t>
            </w:r>
            <w:r w:rsidRPr="008E6A12">
              <w:t xml:space="preserve">aid after </w:t>
            </w:r>
            <w:r>
              <w:t>20 days</w:t>
            </w:r>
          </w:p>
        </w:tc>
        <w:tc>
          <w:tcPr>
            <w:tcW w:w="1666" w:type="pct"/>
            <w:shd w:val="clear" w:color="auto" w:fill="auto"/>
            <w:vAlign w:val="center"/>
          </w:tcPr>
          <w:p w14:paraId="0370D7AA" w14:textId="34F36764" w:rsidR="004E69EB" w:rsidRPr="00F55890" w:rsidRDefault="004E69EB"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rPr>
            </w:pPr>
            <w:r w:rsidRPr="00F55890">
              <w:rPr>
                <w:rFonts w:cs="Calibri"/>
                <w:szCs w:val="22"/>
              </w:rPr>
              <w:t>$1</w:t>
            </w:r>
            <w:r w:rsidR="00E21B1A" w:rsidRPr="00F55890">
              <w:rPr>
                <w:rFonts w:cs="Calibri"/>
                <w:szCs w:val="22"/>
              </w:rPr>
              <w:t>.</w:t>
            </w:r>
            <w:r w:rsidR="00697BF6" w:rsidRPr="00F55890">
              <w:rPr>
                <w:rFonts w:cs="Calibri"/>
                <w:szCs w:val="22"/>
              </w:rPr>
              <w:t>40</w:t>
            </w:r>
            <w:r w:rsidR="00E21B1A" w:rsidRPr="00F55890">
              <w:rPr>
                <w:rFonts w:cs="Calibri"/>
                <w:szCs w:val="22"/>
              </w:rPr>
              <w:t>bn</w:t>
            </w:r>
            <w:r w:rsidRPr="00F55890">
              <w:rPr>
                <w:rFonts w:cs="Calibri"/>
                <w:szCs w:val="22"/>
              </w:rPr>
              <w:t xml:space="preserve"> (14.</w:t>
            </w:r>
            <w:r w:rsidR="00463685" w:rsidRPr="00F55890">
              <w:rPr>
                <w:rFonts w:cs="Calibri"/>
                <w:szCs w:val="22"/>
              </w:rPr>
              <w:t>9</w:t>
            </w:r>
            <w:r w:rsidRPr="00F55890">
              <w:rPr>
                <w:rFonts w:cs="Calibri"/>
                <w:szCs w:val="22"/>
              </w:rPr>
              <w:t>%)</w:t>
            </w:r>
          </w:p>
        </w:tc>
        <w:tc>
          <w:tcPr>
            <w:tcW w:w="1667" w:type="pct"/>
            <w:shd w:val="clear" w:color="auto" w:fill="auto"/>
            <w:vAlign w:val="center"/>
          </w:tcPr>
          <w:p w14:paraId="0F436878" w14:textId="3D987E94" w:rsidR="004E69EB" w:rsidRPr="00F55890" w:rsidRDefault="004E69EB" w:rsidP="0005592A">
            <w:pPr>
              <w:pStyle w:val="TableTextIndented"/>
              <w:cnfStyle w:val="000000000000" w:firstRow="0" w:lastRow="0" w:firstColumn="0" w:lastColumn="0" w:oddVBand="0" w:evenVBand="0" w:oddHBand="0" w:evenHBand="0" w:firstRowFirstColumn="0" w:firstRowLastColumn="0" w:lastRowFirstColumn="0" w:lastRowLastColumn="0"/>
            </w:pPr>
            <w:r w:rsidRPr="00F55890">
              <w:rPr>
                <w:rFonts w:cs="Calibri"/>
                <w:szCs w:val="22"/>
              </w:rPr>
              <w:t>$1</w:t>
            </w:r>
            <w:r w:rsidR="00E21B1A" w:rsidRPr="00F55890">
              <w:rPr>
                <w:rFonts w:cs="Calibri"/>
                <w:szCs w:val="22"/>
              </w:rPr>
              <w:t>.</w:t>
            </w:r>
            <w:r w:rsidRPr="00F55890">
              <w:rPr>
                <w:rFonts w:cs="Calibri"/>
                <w:szCs w:val="22"/>
              </w:rPr>
              <w:t>1</w:t>
            </w:r>
            <w:r w:rsidR="00215AC6" w:rsidRPr="00F55890">
              <w:rPr>
                <w:rFonts w:cs="Calibri"/>
                <w:szCs w:val="22"/>
              </w:rPr>
              <w:t>4</w:t>
            </w:r>
            <w:r w:rsidR="00E21B1A" w:rsidRPr="00F55890">
              <w:rPr>
                <w:rFonts w:cs="Calibri"/>
                <w:szCs w:val="22"/>
              </w:rPr>
              <w:t>bn</w:t>
            </w:r>
            <w:r w:rsidRPr="00F55890">
              <w:rPr>
                <w:rFonts w:cs="Calibri"/>
                <w:szCs w:val="22"/>
              </w:rPr>
              <w:t xml:space="preserve"> (13.</w:t>
            </w:r>
            <w:r w:rsidR="00463685" w:rsidRPr="00F55890">
              <w:rPr>
                <w:rFonts w:cs="Calibri"/>
                <w:szCs w:val="22"/>
              </w:rPr>
              <w:t>9</w:t>
            </w:r>
            <w:r w:rsidRPr="00F55890">
              <w:rPr>
                <w:rFonts w:cs="Calibri"/>
                <w:szCs w:val="22"/>
              </w:rPr>
              <w:t>%)</w:t>
            </w:r>
          </w:p>
        </w:tc>
      </w:tr>
      <w:tr w:rsidR="004E69EB" w:rsidRPr="003731F9" w14:paraId="5B8EA8CF" w14:textId="77777777"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227E11F" w14:textId="77777777" w:rsidR="004E69EB" w:rsidRPr="004B5D1D" w:rsidRDefault="004E69EB" w:rsidP="0005592A">
            <w:pPr>
              <w:pStyle w:val="TableTextIndented"/>
            </w:pPr>
            <w:r w:rsidRPr="004B5D1D">
              <w:t>Total invoices</w:t>
            </w:r>
          </w:p>
        </w:tc>
        <w:tc>
          <w:tcPr>
            <w:tcW w:w="1666" w:type="pct"/>
            <w:shd w:val="clear" w:color="auto" w:fill="auto"/>
            <w:vAlign w:val="center"/>
          </w:tcPr>
          <w:p w14:paraId="0EF43429" w14:textId="1552A1DA" w:rsidR="004E69EB" w:rsidRPr="00F55890" w:rsidRDefault="00841CA0"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rPr>
            </w:pPr>
            <w:r w:rsidRPr="00F55890">
              <w:rPr>
                <w:rFonts w:cs="Calibri"/>
                <w:szCs w:val="22"/>
              </w:rPr>
              <w:t>$</w:t>
            </w:r>
            <w:r w:rsidR="004E69EB" w:rsidRPr="00F55890">
              <w:rPr>
                <w:rFonts w:cs="Calibri"/>
                <w:szCs w:val="22"/>
              </w:rPr>
              <w:t>9</w:t>
            </w:r>
            <w:r w:rsidR="00E21B1A" w:rsidRPr="00F55890">
              <w:rPr>
                <w:rFonts w:cs="Calibri"/>
                <w:szCs w:val="22"/>
              </w:rPr>
              <w:t>.</w:t>
            </w:r>
            <w:r w:rsidR="004E69EB" w:rsidRPr="00F55890">
              <w:rPr>
                <w:rFonts w:cs="Calibri"/>
                <w:szCs w:val="22"/>
              </w:rPr>
              <w:t>38</w:t>
            </w:r>
            <w:r w:rsidR="00E21B1A" w:rsidRPr="00F55890">
              <w:rPr>
                <w:rFonts w:cs="Calibri"/>
                <w:szCs w:val="22"/>
              </w:rPr>
              <w:t>bn</w:t>
            </w:r>
          </w:p>
        </w:tc>
        <w:tc>
          <w:tcPr>
            <w:tcW w:w="1667" w:type="pct"/>
            <w:shd w:val="clear" w:color="auto" w:fill="auto"/>
            <w:vAlign w:val="center"/>
          </w:tcPr>
          <w:p w14:paraId="143516E1" w14:textId="4E697244" w:rsidR="004E69EB" w:rsidRPr="00F55890" w:rsidRDefault="004E69EB"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rPr>
                <w:rFonts w:cs="Calibri"/>
                <w:szCs w:val="22"/>
              </w:rPr>
              <w:t>$8</w:t>
            </w:r>
            <w:r w:rsidR="00E21B1A" w:rsidRPr="00F55890">
              <w:rPr>
                <w:rFonts w:cs="Calibri"/>
                <w:szCs w:val="22"/>
              </w:rPr>
              <w:t>.1</w:t>
            </w:r>
            <w:r w:rsidR="00697BF6" w:rsidRPr="00F55890">
              <w:rPr>
                <w:rFonts w:cs="Calibri"/>
                <w:szCs w:val="22"/>
              </w:rPr>
              <w:t>8</w:t>
            </w:r>
            <w:r w:rsidR="00E21B1A" w:rsidRPr="00F55890">
              <w:rPr>
                <w:rFonts w:cs="Calibri"/>
                <w:szCs w:val="22"/>
              </w:rPr>
              <w:t>bn</w:t>
            </w:r>
          </w:p>
        </w:tc>
      </w:tr>
    </w:tbl>
    <w:p w14:paraId="41323161" w14:textId="77777777" w:rsidR="00031DB1" w:rsidRDefault="00031DB1" w:rsidP="00031DB1"/>
    <w:p w14:paraId="0D6C766A" w14:textId="496EF823" w:rsidR="001F3F44" w:rsidRPr="004743ED" w:rsidRDefault="0093320C" w:rsidP="004743ED">
      <w:pPr>
        <w:pStyle w:val="Heading2"/>
      </w:pPr>
      <w:bookmarkStart w:id="20" w:name="_Toc92710941"/>
      <w:r w:rsidRPr="004743ED">
        <w:t>P</w:t>
      </w:r>
      <w:r w:rsidR="001F3F44" w:rsidRPr="004743ED">
        <w:t xml:space="preserve">ayment times by </w:t>
      </w:r>
      <w:r w:rsidR="001D16E2" w:rsidRPr="004743ED">
        <w:t>value</w:t>
      </w:r>
      <w:r w:rsidR="001F3F44" w:rsidRPr="004743ED">
        <w:t xml:space="preserve"> and </w:t>
      </w:r>
      <w:r w:rsidR="001D16E2" w:rsidRPr="004743ED">
        <w:t>number</w:t>
      </w:r>
      <w:bookmarkEnd w:id="20"/>
    </w:p>
    <w:p w14:paraId="5CED5A34" w14:textId="42268D1A" w:rsidR="001F3F44" w:rsidRDefault="001F3F44" w:rsidP="00734DBF">
      <w:pPr>
        <w:rPr>
          <w:rFonts w:cstheme="minorHAnsi"/>
        </w:rPr>
      </w:pPr>
      <w:r>
        <w:rPr>
          <w:rFonts w:cstheme="minorHAnsi"/>
        </w:rPr>
        <w:t xml:space="preserve">Overall, </w:t>
      </w:r>
      <w:r w:rsidR="009F69BC">
        <w:rPr>
          <w:rFonts w:cstheme="minorHAnsi"/>
        </w:rPr>
        <w:t>a higher</w:t>
      </w:r>
      <w:r>
        <w:rPr>
          <w:rFonts w:cstheme="minorHAnsi"/>
        </w:rPr>
        <w:t xml:space="preserve"> proportion</w:t>
      </w:r>
      <w:r w:rsidR="009F69BC">
        <w:rPr>
          <w:rFonts w:cstheme="minorHAnsi"/>
        </w:rPr>
        <w:t xml:space="preserve"> </w:t>
      </w:r>
      <w:r>
        <w:rPr>
          <w:rFonts w:cstheme="minorHAnsi"/>
        </w:rPr>
        <w:t xml:space="preserve">of </w:t>
      </w:r>
      <w:r w:rsidR="00ED5967">
        <w:rPr>
          <w:rFonts w:cstheme="minorHAnsi"/>
        </w:rPr>
        <w:t xml:space="preserve">eligible </w:t>
      </w:r>
      <w:r>
        <w:rPr>
          <w:rFonts w:cstheme="minorHAnsi"/>
        </w:rPr>
        <w:t>invoices</w:t>
      </w:r>
      <w:r w:rsidR="00BC4D8B">
        <w:rPr>
          <w:rFonts w:cstheme="minorHAnsi"/>
        </w:rPr>
        <w:t xml:space="preserve"> — </w:t>
      </w:r>
      <w:r w:rsidR="009F69BC">
        <w:rPr>
          <w:rFonts w:cstheme="minorHAnsi"/>
        </w:rPr>
        <w:t xml:space="preserve">by both </w:t>
      </w:r>
      <w:r w:rsidR="001D16E2">
        <w:rPr>
          <w:rFonts w:cstheme="minorHAnsi"/>
          <w:b/>
          <w:bCs/>
          <w:u w:val="single"/>
        </w:rPr>
        <w:t>value</w:t>
      </w:r>
      <w:r w:rsidR="009F69BC">
        <w:rPr>
          <w:rFonts w:cstheme="minorHAnsi"/>
        </w:rPr>
        <w:t xml:space="preserve"> and </w:t>
      </w:r>
      <w:r w:rsidR="001D16E2">
        <w:rPr>
          <w:rFonts w:cstheme="minorHAnsi"/>
          <w:b/>
          <w:bCs/>
          <w:u w:val="single"/>
        </w:rPr>
        <w:t>number</w:t>
      </w:r>
      <w:r w:rsidR="00BC4D8B" w:rsidRPr="000452F5">
        <w:rPr>
          <w:rFonts w:cstheme="minorHAnsi"/>
          <w:b/>
          <w:bCs/>
        </w:rPr>
        <w:t xml:space="preserve"> </w:t>
      </w:r>
      <w:r w:rsidR="00BC4D8B">
        <w:rPr>
          <w:rFonts w:cstheme="minorHAnsi"/>
        </w:rPr>
        <w:t xml:space="preserve">— </w:t>
      </w:r>
      <w:r w:rsidR="00ED5967">
        <w:rPr>
          <w:rFonts w:cstheme="minorHAnsi"/>
        </w:rPr>
        <w:t xml:space="preserve">have been </w:t>
      </w:r>
      <w:r>
        <w:rPr>
          <w:rFonts w:cstheme="minorHAnsi"/>
        </w:rPr>
        <w:t xml:space="preserve">paid within 20 calendar days </w:t>
      </w:r>
      <w:r w:rsidR="00ED5967">
        <w:rPr>
          <w:rFonts w:cstheme="minorHAnsi"/>
        </w:rPr>
        <w:t xml:space="preserve">in the </w:t>
      </w:r>
      <w:r w:rsidR="0053136E">
        <w:rPr>
          <w:rFonts w:cstheme="minorHAnsi"/>
        </w:rPr>
        <w:t>2020</w:t>
      </w:r>
      <w:bookmarkStart w:id="21" w:name="_Hlk92710776"/>
      <w:r w:rsidR="00EC3750">
        <w:t>–</w:t>
      </w:r>
      <w:bookmarkEnd w:id="21"/>
      <w:r w:rsidR="0053136E">
        <w:rPr>
          <w:rFonts w:cstheme="minorHAnsi"/>
        </w:rPr>
        <w:t>21</w:t>
      </w:r>
      <w:r w:rsidR="00ED5967">
        <w:rPr>
          <w:rFonts w:cstheme="minorHAnsi"/>
        </w:rPr>
        <w:t xml:space="preserve"> financial year, as compared to the</w:t>
      </w:r>
      <w:r w:rsidR="0053136E">
        <w:rPr>
          <w:rFonts w:cstheme="minorHAnsi"/>
        </w:rPr>
        <w:t xml:space="preserve"> 2019</w:t>
      </w:r>
      <w:r w:rsidR="00EC3750">
        <w:t>–</w:t>
      </w:r>
      <w:r w:rsidR="0053136E">
        <w:rPr>
          <w:rFonts w:cstheme="minorHAnsi"/>
        </w:rPr>
        <w:t>20</w:t>
      </w:r>
      <w:r w:rsidR="006D0117">
        <w:rPr>
          <w:rFonts w:cstheme="minorHAnsi"/>
        </w:rPr>
        <w:t xml:space="preserve"> financial year</w:t>
      </w:r>
      <w:r>
        <w:rPr>
          <w:rFonts w:cstheme="minorHAnsi"/>
        </w:rPr>
        <w:t xml:space="preserve">. </w:t>
      </w:r>
    </w:p>
    <w:p w14:paraId="3A8E075D" w14:textId="77777777" w:rsidR="00507112" w:rsidRDefault="00507112" w:rsidP="004743ED">
      <w:pPr>
        <w:pStyle w:val="ChartMainHeading"/>
      </w:pPr>
    </w:p>
    <w:p w14:paraId="5BFFF716" w14:textId="2EF9A725" w:rsidR="008C68EB" w:rsidRPr="00734DBF" w:rsidRDefault="008C68EB" w:rsidP="004743ED">
      <w:pPr>
        <w:pStyle w:val="ChartMainHeading"/>
      </w:pPr>
      <w:bookmarkStart w:id="22" w:name="_Toc92710942"/>
      <w:r>
        <w:t>Chart 2: Percentage paid on time by value and number</w:t>
      </w:r>
      <w:bookmarkEnd w:id="22"/>
    </w:p>
    <w:p w14:paraId="6FD19C2D" w14:textId="6F822C1C" w:rsidR="009D7C4D" w:rsidRPr="009D7C4D" w:rsidRDefault="009D7C4D" w:rsidP="001F3F44">
      <w:pPr>
        <w:rPr>
          <w:noProof/>
          <w:color w:val="00827F"/>
        </w:rPr>
      </w:pPr>
      <w:r>
        <w:rPr>
          <w:noProof/>
        </w:rPr>
        <w:drawing>
          <wp:inline distT="0" distB="0" distL="0" distR="0" wp14:anchorId="6FE31366" wp14:editId="20549C45">
            <wp:extent cx="5580000" cy="3240000"/>
            <wp:effectExtent l="0" t="0" r="0" b="0"/>
            <wp:docPr id="2" name="Chart 2" descr="Stacked column graph comparing the percentage of invoices paid on time by value and number for the 2019–20 and 2020–21 financial years. Overall, there was a 2.6 percentage point increase by number and 1 percentage point increase by value of invoices paid on time. ">
              <a:extLst xmlns:a="http://schemas.openxmlformats.org/drawingml/2006/main">
                <a:ext uri="{FF2B5EF4-FFF2-40B4-BE49-F238E27FC236}">
                  <a16:creationId xmlns:a16="http://schemas.microsoft.com/office/drawing/2014/main" id="{7C6E25B7-0952-4392-B0F4-FB8FF647C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61446A" w14:textId="77777777" w:rsidR="00507112" w:rsidRDefault="00507112" w:rsidP="001F3F44">
      <w:pPr>
        <w:rPr>
          <w:rFonts w:cstheme="minorHAnsi"/>
        </w:rPr>
      </w:pPr>
    </w:p>
    <w:p w14:paraId="18AA72FB" w14:textId="75BD5B37" w:rsidR="001F3F44" w:rsidRPr="00032616" w:rsidRDefault="00032616" w:rsidP="001F3F44">
      <w:pPr>
        <w:rPr>
          <w:rFonts w:cstheme="minorHAnsi"/>
        </w:rPr>
      </w:pPr>
      <w:r>
        <w:rPr>
          <w:rFonts w:cstheme="minorHAnsi"/>
        </w:rPr>
        <w:t>Chart</w:t>
      </w:r>
      <w:r w:rsidR="00C3651A">
        <w:rPr>
          <w:rFonts w:cstheme="minorHAnsi"/>
        </w:rPr>
        <w:t xml:space="preserve"> 2 shows the percent</w:t>
      </w:r>
      <w:r w:rsidR="00ED5967">
        <w:rPr>
          <w:rFonts w:cstheme="minorHAnsi"/>
        </w:rPr>
        <w:t>age</w:t>
      </w:r>
      <w:r w:rsidR="00C3651A">
        <w:rPr>
          <w:rFonts w:cstheme="minorHAnsi"/>
        </w:rPr>
        <w:t xml:space="preserve"> of late invoices (by value and number) compared to on-time invoices for the past two financial years. The 202</w:t>
      </w:r>
      <w:r w:rsidR="000414E8">
        <w:rPr>
          <w:rFonts w:cstheme="minorHAnsi"/>
        </w:rPr>
        <w:t>0</w:t>
      </w:r>
      <w:r w:rsidR="00EC3750">
        <w:t>–</w:t>
      </w:r>
      <w:r w:rsidR="000414E8">
        <w:rPr>
          <w:rFonts w:cstheme="minorHAnsi"/>
        </w:rPr>
        <w:t>21 financial year saw increase</w:t>
      </w:r>
      <w:r w:rsidR="001D1430">
        <w:rPr>
          <w:rFonts w:cstheme="minorHAnsi"/>
        </w:rPr>
        <w:t>s</w:t>
      </w:r>
      <w:r w:rsidR="000414E8">
        <w:rPr>
          <w:rFonts w:cstheme="minorHAnsi"/>
        </w:rPr>
        <w:t xml:space="preserve"> in the percent</w:t>
      </w:r>
      <w:r w:rsidR="00ED5967">
        <w:rPr>
          <w:rFonts w:cstheme="minorHAnsi"/>
        </w:rPr>
        <w:t>age</w:t>
      </w:r>
      <w:r w:rsidR="000414E8">
        <w:rPr>
          <w:rFonts w:cstheme="minorHAnsi"/>
        </w:rPr>
        <w:t xml:space="preserve"> of invoices paid on time, with a </w:t>
      </w:r>
      <w:r w:rsidR="00293932">
        <w:rPr>
          <w:rFonts w:cstheme="minorHAnsi"/>
        </w:rPr>
        <w:t>2.6</w:t>
      </w:r>
      <w:r w:rsidR="00A73A4F">
        <w:rPr>
          <w:rFonts w:cstheme="minorHAnsi"/>
        </w:rPr>
        <w:t xml:space="preserve"> percentage point </w:t>
      </w:r>
      <w:r w:rsidR="00C3651A">
        <w:rPr>
          <w:rFonts w:cstheme="minorHAnsi"/>
        </w:rPr>
        <w:t xml:space="preserve">increase by number </w:t>
      </w:r>
      <w:r w:rsidR="001D1430">
        <w:rPr>
          <w:rFonts w:cstheme="minorHAnsi"/>
        </w:rPr>
        <w:t>(from 90.6% to 93.2%)</w:t>
      </w:r>
      <w:r w:rsidR="00C3651A">
        <w:rPr>
          <w:rFonts w:cstheme="minorHAnsi"/>
        </w:rPr>
        <w:t xml:space="preserve"> and </w:t>
      </w:r>
      <w:r w:rsidR="00122A54">
        <w:rPr>
          <w:rFonts w:cstheme="minorHAnsi"/>
        </w:rPr>
        <w:t>1</w:t>
      </w:r>
      <w:r w:rsidR="007B7849">
        <w:rPr>
          <w:rFonts w:cstheme="minorHAnsi"/>
        </w:rPr>
        <w:t> </w:t>
      </w:r>
      <w:r w:rsidR="00A73A4F">
        <w:rPr>
          <w:rFonts w:cstheme="minorHAnsi"/>
        </w:rPr>
        <w:t>percentage point increase</w:t>
      </w:r>
      <w:r w:rsidR="000414E8">
        <w:rPr>
          <w:rFonts w:cstheme="minorHAnsi"/>
        </w:rPr>
        <w:t xml:space="preserve"> by </w:t>
      </w:r>
      <w:r w:rsidR="00C3651A">
        <w:rPr>
          <w:rFonts w:cstheme="minorHAnsi"/>
        </w:rPr>
        <w:t>value</w:t>
      </w:r>
      <w:r w:rsidR="001D1430">
        <w:rPr>
          <w:rFonts w:cstheme="minorHAnsi"/>
        </w:rPr>
        <w:t xml:space="preserve"> (from 85.1% to 86.1%)</w:t>
      </w:r>
      <w:r w:rsidR="00C3651A">
        <w:rPr>
          <w:rFonts w:cstheme="minorHAnsi"/>
        </w:rPr>
        <w:t>.</w:t>
      </w:r>
      <w:r w:rsidR="001F3F44">
        <w:br w:type="page"/>
      </w:r>
    </w:p>
    <w:p w14:paraId="5E09C4D9" w14:textId="533659E6" w:rsidR="001F3F44" w:rsidRPr="00B066E6" w:rsidRDefault="001F3F44" w:rsidP="00F55890">
      <w:pPr>
        <w:pStyle w:val="Heading2"/>
        <w:rPr>
          <w:rFonts w:eastAsiaTheme="majorEastAsia"/>
          <w:sz w:val="32"/>
          <w:szCs w:val="40"/>
        </w:rPr>
      </w:pPr>
      <w:bookmarkStart w:id="23" w:name="_Toc92710943"/>
      <w:bookmarkStart w:id="24" w:name="_Toc25242635"/>
      <w:bookmarkStart w:id="25" w:name="_Toc25057850"/>
      <w:r w:rsidRPr="00B066E6">
        <w:rPr>
          <w:rFonts w:eastAsiaTheme="majorEastAsia"/>
        </w:rPr>
        <w:lastRenderedPageBreak/>
        <w:t>Interest payments</w:t>
      </w:r>
      <w:bookmarkEnd w:id="23"/>
    </w:p>
    <w:p w14:paraId="4CFA73F8" w14:textId="26F7DAF3" w:rsidR="001F3F44" w:rsidRDefault="001F3F44" w:rsidP="00734DBF">
      <w:pPr>
        <w:jc w:val="both"/>
        <w:rPr>
          <w:rFonts w:cstheme="minorHAnsi"/>
        </w:rPr>
      </w:pPr>
      <w:r w:rsidRPr="003731F9">
        <w:rPr>
          <w:rFonts w:cstheme="minorHAnsi"/>
        </w:rPr>
        <w:t>Under the Pay On</w:t>
      </w:r>
      <w:r w:rsidR="008B0252">
        <w:rPr>
          <w:rFonts w:cstheme="minorHAnsi"/>
        </w:rPr>
        <w:noBreakHyphen/>
      </w:r>
      <w:r w:rsidRPr="003731F9">
        <w:rPr>
          <w:rFonts w:cstheme="minorHAnsi"/>
        </w:rPr>
        <w:t xml:space="preserve">Time </w:t>
      </w:r>
      <w:r>
        <w:rPr>
          <w:rFonts w:cstheme="minorHAnsi"/>
        </w:rPr>
        <w:t>P</w:t>
      </w:r>
      <w:r w:rsidRPr="003731F9">
        <w:rPr>
          <w:rFonts w:cstheme="minorHAnsi"/>
        </w:rPr>
        <w:t xml:space="preserve">olicy, interest is payable by a </w:t>
      </w:r>
      <w:r w:rsidR="000A7E27">
        <w:rPr>
          <w:rFonts w:cstheme="minorHAnsi"/>
        </w:rPr>
        <w:t>G</w:t>
      </w:r>
      <w:r w:rsidRPr="003731F9">
        <w:rPr>
          <w:rFonts w:cstheme="minorHAnsi"/>
        </w:rPr>
        <w:t>overnment agency on late payment</w:t>
      </w:r>
      <w:r w:rsidR="008D6817">
        <w:rPr>
          <w:rFonts w:cstheme="minorHAnsi"/>
        </w:rPr>
        <w:t>s to invoices for contracts up to $1 million</w:t>
      </w:r>
      <w:r w:rsidRPr="003731F9">
        <w:rPr>
          <w:rFonts w:cstheme="minorHAnsi"/>
        </w:rPr>
        <w:t xml:space="preserve"> </w:t>
      </w:r>
      <w:r>
        <w:rPr>
          <w:rFonts w:cstheme="minorHAnsi"/>
        </w:rPr>
        <w:t>where</w:t>
      </w:r>
      <w:r w:rsidRPr="003731F9">
        <w:rPr>
          <w:rFonts w:cstheme="minorHAnsi"/>
        </w:rPr>
        <w:t xml:space="preserve"> the amount of interest accrued is greater than $100.</w:t>
      </w:r>
      <w:r>
        <w:rPr>
          <w:rFonts w:cstheme="minorHAnsi"/>
        </w:rPr>
        <w:t xml:space="preserve"> </w:t>
      </w:r>
    </w:p>
    <w:p w14:paraId="6F1E3462" w14:textId="77777777" w:rsidR="00507112" w:rsidRDefault="00507112" w:rsidP="004743ED">
      <w:pPr>
        <w:pStyle w:val="ChartMainHeading"/>
      </w:pPr>
    </w:p>
    <w:p w14:paraId="2B656B4C" w14:textId="3A8A8507" w:rsidR="008C68EB" w:rsidRDefault="008C68EB" w:rsidP="004743ED">
      <w:pPr>
        <w:pStyle w:val="ChartMainHeading"/>
      </w:pPr>
      <w:bookmarkStart w:id="26" w:name="_Toc92710944"/>
      <w:r>
        <w:t>Chart 3: Interest paid</w:t>
      </w:r>
      <w:bookmarkEnd w:id="26"/>
    </w:p>
    <w:p w14:paraId="16F96685" w14:textId="5EB2EC22" w:rsidR="005023D0" w:rsidRDefault="00C60FF6" w:rsidP="00F55890">
      <w:pPr>
        <w:jc w:val="both"/>
        <w:rPr>
          <w:noProof/>
        </w:rPr>
      </w:pPr>
      <w:r>
        <w:rPr>
          <w:noProof/>
        </w:rPr>
        <w:drawing>
          <wp:inline distT="0" distB="0" distL="0" distR="0" wp14:anchorId="33D6AC14" wp14:editId="7389B250">
            <wp:extent cx="5731510" cy="3009900"/>
            <wp:effectExtent l="0" t="0" r="2540" b="0"/>
            <wp:docPr id="8" name="Picture 8" descr="Column graph comparing the total interest paid on late invoices for the 2019–20 and 2020–21 financial years. Overall, there was a 52% decrease in the amount of interest paid in 2020–21 compared to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umn graph comparing the total interest paid on late invoices for the 2019–20 and 2020–21 financial years. Overall, there was a 52% decrease in the amount of interest paid in 2020–21 compared to 2019–20. "/>
                    <pic:cNvPicPr/>
                  </pic:nvPicPr>
                  <pic:blipFill>
                    <a:blip r:embed="rId23"/>
                    <a:stretch>
                      <a:fillRect/>
                    </a:stretch>
                  </pic:blipFill>
                  <pic:spPr>
                    <a:xfrm>
                      <a:off x="0" y="0"/>
                      <a:ext cx="5731510" cy="3009900"/>
                    </a:xfrm>
                    <a:prstGeom prst="rect">
                      <a:avLst/>
                    </a:prstGeom>
                  </pic:spPr>
                </pic:pic>
              </a:graphicData>
            </a:graphic>
          </wp:inline>
        </w:drawing>
      </w:r>
    </w:p>
    <w:p w14:paraId="648ED757" w14:textId="77777777" w:rsidR="00507112" w:rsidRDefault="00507112" w:rsidP="00F55890">
      <w:pPr>
        <w:jc w:val="both"/>
        <w:rPr>
          <w:noProof/>
        </w:rPr>
      </w:pPr>
    </w:p>
    <w:p w14:paraId="34EEFB13" w14:textId="74CC8172" w:rsidR="00041E0C" w:rsidRDefault="00032616" w:rsidP="00F55890">
      <w:pPr>
        <w:jc w:val="both"/>
        <w:rPr>
          <w:noProof/>
        </w:rPr>
      </w:pPr>
      <w:r>
        <w:rPr>
          <w:noProof/>
        </w:rPr>
        <w:t>Chart</w:t>
      </w:r>
      <w:r w:rsidR="00041E0C">
        <w:rPr>
          <w:noProof/>
        </w:rPr>
        <w:t xml:space="preserve"> 3 </w:t>
      </w:r>
      <w:r w:rsidR="00242A0E">
        <w:rPr>
          <w:noProof/>
        </w:rPr>
        <w:t>illustrates that the</w:t>
      </w:r>
      <w:r w:rsidR="00773A68">
        <w:rPr>
          <w:noProof/>
        </w:rPr>
        <w:t xml:space="preserve"> amount of interest paid in the 2020</w:t>
      </w:r>
      <w:r w:rsidR="00EC3750">
        <w:t>–</w:t>
      </w:r>
      <w:r w:rsidR="00773A68">
        <w:rPr>
          <w:noProof/>
        </w:rPr>
        <w:t xml:space="preserve">21 financial year </w:t>
      </w:r>
      <w:r w:rsidR="00242A0E">
        <w:rPr>
          <w:noProof/>
        </w:rPr>
        <w:t>($60</w:t>
      </w:r>
      <w:r w:rsidR="00001B0A">
        <w:rPr>
          <w:noProof/>
        </w:rPr>
        <w:t>9,404</w:t>
      </w:r>
      <w:r w:rsidR="00242A0E">
        <w:rPr>
          <w:noProof/>
        </w:rPr>
        <w:t>)</w:t>
      </w:r>
      <w:r w:rsidR="00773A68">
        <w:rPr>
          <w:noProof/>
        </w:rPr>
        <w:t xml:space="preserve"> was </w:t>
      </w:r>
      <w:r w:rsidR="004B429D">
        <w:rPr>
          <w:noProof/>
        </w:rPr>
        <w:t>approximately</w:t>
      </w:r>
      <w:r w:rsidR="00773A68">
        <w:rPr>
          <w:noProof/>
        </w:rPr>
        <w:t xml:space="preserve"> half (52%) </w:t>
      </w:r>
      <w:r w:rsidR="004B429D">
        <w:rPr>
          <w:noProof/>
        </w:rPr>
        <w:t xml:space="preserve">that of </w:t>
      </w:r>
      <w:r w:rsidR="00773A68">
        <w:rPr>
          <w:noProof/>
        </w:rPr>
        <w:t>the previous year</w:t>
      </w:r>
      <w:r w:rsidR="00242A0E">
        <w:rPr>
          <w:noProof/>
        </w:rPr>
        <w:t xml:space="preserve"> ($1,150,164)</w:t>
      </w:r>
      <w:r w:rsidR="00773A68">
        <w:rPr>
          <w:noProof/>
        </w:rPr>
        <w:t xml:space="preserve">. This decrease </w:t>
      </w:r>
      <w:r w:rsidR="00242A0E">
        <w:rPr>
          <w:noProof/>
        </w:rPr>
        <w:t xml:space="preserve">is </w:t>
      </w:r>
      <w:r w:rsidR="0028450F">
        <w:rPr>
          <w:noProof/>
        </w:rPr>
        <w:t xml:space="preserve">in part </w:t>
      </w:r>
      <w:r w:rsidR="00242A0E">
        <w:rPr>
          <w:noProof/>
        </w:rPr>
        <w:t xml:space="preserve">due to </w:t>
      </w:r>
      <w:r w:rsidR="00773A68">
        <w:rPr>
          <w:noProof/>
        </w:rPr>
        <w:t xml:space="preserve">the </w:t>
      </w:r>
      <w:r w:rsidR="000A7E27">
        <w:rPr>
          <w:noProof/>
        </w:rPr>
        <w:t>G</w:t>
      </w:r>
      <w:r w:rsidR="00773A68">
        <w:rPr>
          <w:noProof/>
        </w:rPr>
        <w:t>overnment</w:t>
      </w:r>
      <w:r w:rsidR="0028450F">
        <w:rPr>
          <w:noProof/>
        </w:rPr>
        <w:t>’s improved</w:t>
      </w:r>
      <w:r w:rsidR="00773A68">
        <w:rPr>
          <w:noProof/>
        </w:rPr>
        <w:t xml:space="preserve"> pay</w:t>
      </w:r>
      <w:r w:rsidR="0028450F">
        <w:rPr>
          <w:noProof/>
        </w:rPr>
        <w:t>ment</w:t>
      </w:r>
      <w:r w:rsidR="00773A68">
        <w:rPr>
          <w:noProof/>
        </w:rPr>
        <w:t xml:space="preserve"> </w:t>
      </w:r>
      <w:r w:rsidR="0028450F">
        <w:rPr>
          <w:noProof/>
        </w:rPr>
        <w:t>times</w:t>
      </w:r>
      <w:r w:rsidR="00773A68">
        <w:rPr>
          <w:noProof/>
        </w:rPr>
        <w:t xml:space="preserve">. However, it is </w:t>
      </w:r>
      <w:r w:rsidR="0028450F">
        <w:rPr>
          <w:noProof/>
        </w:rPr>
        <w:t>also reflective of</w:t>
      </w:r>
      <w:r w:rsidR="00773A68">
        <w:rPr>
          <w:noProof/>
        </w:rPr>
        <w:t xml:space="preserve"> total expenditure o</w:t>
      </w:r>
      <w:r w:rsidR="0028450F">
        <w:rPr>
          <w:noProof/>
        </w:rPr>
        <w:t>n</w:t>
      </w:r>
      <w:r w:rsidR="00773A68">
        <w:rPr>
          <w:noProof/>
        </w:rPr>
        <w:t xml:space="preserve"> </w:t>
      </w:r>
      <w:r w:rsidR="0028450F">
        <w:rPr>
          <w:noProof/>
        </w:rPr>
        <w:t>eligible</w:t>
      </w:r>
      <w:r w:rsidR="00773A68">
        <w:rPr>
          <w:noProof/>
        </w:rPr>
        <w:t xml:space="preserve"> invoices </w:t>
      </w:r>
      <w:r w:rsidR="0028450F">
        <w:rPr>
          <w:noProof/>
        </w:rPr>
        <w:t xml:space="preserve">being </w:t>
      </w:r>
      <w:r w:rsidR="00773A68">
        <w:rPr>
          <w:noProof/>
        </w:rPr>
        <w:t>lower in 2020</w:t>
      </w:r>
      <w:r w:rsidR="00EC3750">
        <w:t>–</w:t>
      </w:r>
      <w:r w:rsidR="00773A68">
        <w:rPr>
          <w:noProof/>
        </w:rPr>
        <w:t xml:space="preserve">21, </w:t>
      </w:r>
      <w:r w:rsidR="0028450F">
        <w:rPr>
          <w:noProof/>
        </w:rPr>
        <w:t xml:space="preserve">such that there were fewer invoices to potentially pay interest on. </w:t>
      </w:r>
    </w:p>
    <w:p w14:paraId="079B2950" w14:textId="77777777" w:rsidR="001F3F44" w:rsidRPr="00B066E6" w:rsidRDefault="001F3F44" w:rsidP="00F55890">
      <w:pPr>
        <w:pStyle w:val="Heading2"/>
        <w:rPr>
          <w:rFonts w:eastAsiaTheme="majorEastAsia"/>
        </w:rPr>
      </w:pPr>
      <w:bookmarkStart w:id="27" w:name="_Toc92710945"/>
      <w:bookmarkEnd w:id="24"/>
      <w:bookmarkEnd w:id="25"/>
      <w:r w:rsidRPr="00B066E6">
        <w:rPr>
          <w:rFonts w:eastAsiaTheme="majorEastAsia"/>
        </w:rPr>
        <w:t>E-Invoicing</w:t>
      </w:r>
      <w:bookmarkEnd w:id="27"/>
    </w:p>
    <w:p w14:paraId="74CF64C2" w14:textId="400361DF" w:rsidR="00F55890" w:rsidRDefault="00E61ABC" w:rsidP="00BE62D3">
      <w:pPr>
        <w:jc w:val="both"/>
        <w:rPr>
          <w:rFonts w:asciiTheme="majorHAnsi" w:eastAsiaTheme="minorHAnsi" w:hAnsiTheme="majorHAnsi" w:cstheme="majorHAnsi"/>
          <w:b/>
          <w:iCs/>
          <w:color w:val="5F5F5F" w:themeColor="text2"/>
          <w:szCs w:val="18"/>
          <w:lang w:eastAsia="en-US"/>
        </w:rPr>
      </w:pPr>
      <w:r>
        <w:t>T</w:t>
      </w:r>
      <w:r w:rsidR="001F3F44">
        <w:t>he number of e</w:t>
      </w:r>
      <w:r w:rsidR="008B0252">
        <w:noBreakHyphen/>
      </w:r>
      <w:r w:rsidR="001F3F44">
        <w:t>Invoicing enabled agencies</w:t>
      </w:r>
      <w:r w:rsidR="00775336">
        <w:t xml:space="preserve"> </w:t>
      </w:r>
      <w:r>
        <w:t>increased</w:t>
      </w:r>
      <w:r w:rsidR="001F3F44">
        <w:t xml:space="preserve"> from 4 in 2019</w:t>
      </w:r>
      <w:r w:rsidR="00EC3750">
        <w:t>–</w:t>
      </w:r>
      <w:r w:rsidR="001F3F44">
        <w:t xml:space="preserve">20 to </w:t>
      </w:r>
      <w:r w:rsidR="0098409E">
        <w:t>2</w:t>
      </w:r>
      <w:r w:rsidR="001903A8">
        <w:t>9</w:t>
      </w:r>
      <w:r w:rsidR="001F3F44">
        <w:t xml:space="preserve"> in 2020</w:t>
      </w:r>
      <w:r w:rsidR="00EC3750">
        <w:t>–</w:t>
      </w:r>
      <w:r w:rsidR="001F3F44">
        <w:t>21</w:t>
      </w:r>
      <w:r w:rsidR="0098409E">
        <w:t xml:space="preserve">, but only </w:t>
      </w:r>
      <w:r w:rsidR="006D0117">
        <w:t>10</w:t>
      </w:r>
      <w:r w:rsidR="0098409E">
        <w:t xml:space="preserve"> agencies recorded e</w:t>
      </w:r>
      <w:r w:rsidR="008B0252">
        <w:noBreakHyphen/>
      </w:r>
      <w:r w:rsidR="0098409E">
        <w:t>Invoices</w:t>
      </w:r>
      <w:r w:rsidR="00FE508B">
        <w:t xml:space="preserve"> that were in scope of the policy</w:t>
      </w:r>
      <w:r w:rsidR="001F3F44">
        <w:t>. At this stage only a small number and value of invoices are e</w:t>
      </w:r>
      <w:r w:rsidR="008B0252">
        <w:noBreakHyphen/>
      </w:r>
      <w:r w:rsidR="001F3F44">
        <w:t xml:space="preserve">Invoices </w:t>
      </w:r>
      <w:r w:rsidR="00D757F5">
        <w:t>(see T</w:t>
      </w:r>
      <w:r w:rsidR="006E2109">
        <w:t>able 3</w:t>
      </w:r>
      <w:r w:rsidR="00D757F5">
        <w:t>)</w:t>
      </w:r>
      <w:r w:rsidR="001F3F44">
        <w:t xml:space="preserve">. However, from 1 July 2022 all </w:t>
      </w:r>
      <w:r w:rsidR="0093050B">
        <w:t xml:space="preserve">Commonwealth </w:t>
      </w:r>
      <w:r w:rsidR="000A7E27">
        <w:t>G</w:t>
      </w:r>
      <w:r w:rsidR="001F3F44">
        <w:t xml:space="preserve">overnment agencies are </w:t>
      </w:r>
      <w:r w:rsidR="001903A8">
        <w:t>expected</w:t>
      </w:r>
      <w:r w:rsidR="001F3F44">
        <w:t xml:space="preserve"> to be e</w:t>
      </w:r>
      <w:r w:rsidR="008B0252">
        <w:noBreakHyphen/>
      </w:r>
      <w:r w:rsidR="001F3F44">
        <w:t>Invoice enabled</w:t>
      </w:r>
      <w:r w:rsidR="00D757F5">
        <w:t>. As such,</w:t>
      </w:r>
      <w:r w:rsidR="001F3F44">
        <w:t xml:space="preserve"> it is anticipated </w:t>
      </w:r>
      <w:r w:rsidR="00D757F5">
        <w:t>all e</w:t>
      </w:r>
      <w:r w:rsidR="008B0252">
        <w:noBreakHyphen/>
      </w:r>
      <w:r w:rsidR="00D757F5">
        <w:t>Invoicing values</w:t>
      </w:r>
      <w:r w:rsidR="001F3F44">
        <w:t xml:space="preserve"> will </w:t>
      </w:r>
      <w:r w:rsidR="006D0117">
        <w:t xml:space="preserve">increase </w:t>
      </w:r>
      <w:r w:rsidR="003920FC">
        <w:t>over the coming two years</w:t>
      </w:r>
      <w:r w:rsidR="001F3F44">
        <w:t xml:space="preserve">. </w:t>
      </w:r>
      <w:r w:rsidR="00F55890">
        <w:rPr>
          <w:rFonts w:asciiTheme="majorHAnsi" w:hAnsiTheme="majorHAnsi" w:cstheme="majorHAnsi"/>
          <w:b/>
          <w:i/>
        </w:rPr>
        <w:br w:type="page"/>
      </w:r>
    </w:p>
    <w:p w14:paraId="5C98EAB1" w14:textId="11223645" w:rsidR="00784776" w:rsidRPr="00F579BA" w:rsidRDefault="00784776" w:rsidP="004743ED">
      <w:pPr>
        <w:pStyle w:val="TableMainHeading"/>
        <w:rPr>
          <w:i/>
        </w:rPr>
      </w:pPr>
      <w:bookmarkStart w:id="28" w:name="_Toc92710946"/>
      <w:r w:rsidRPr="00F579BA">
        <w:lastRenderedPageBreak/>
        <w:t xml:space="preserve">Table 3: </w:t>
      </w:r>
      <w:r w:rsidRPr="00F55890">
        <w:t>2020</w:t>
      </w:r>
      <w:r w:rsidR="00EC3750">
        <w:t>–</w:t>
      </w:r>
      <w:r w:rsidRPr="00F55890">
        <w:t xml:space="preserve">21 </w:t>
      </w:r>
      <w:r w:rsidR="00526BDF" w:rsidRPr="00F55890">
        <w:t xml:space="preserve">number </w:t>
      </w:r>
      <w:r w:rsidR="00D37C3F" w:rsidRPr="00F55890">
        <w:t xml:space="preserve">and value </w:t>
      </w:r>
      <w:r w:rsidRPr="00F55890">
        <w:t xml:space="preserve">of </w:t>
      </w:r>
      <w:r w:rsidR="00526BDF" w:rsidRPr="00F55890">
        <w:t>e-I</w:t>
      </w:r>
      <w:r w:rsidRPr="00F55890">
        <w:t xml:space="preserve">nvoices of contracts valued </w:t>
      </w:r>
      <w:r w:rsidR="003920FC" w:rsidRPr="00F55890">
        <w:t xml:space="preserve">up to </w:t>
      </w:r>
      <w:r w:rsidR="000B37DE">
        <w:br/>
      </w:r>
      <w:r w:rsidRPr="00F55890">
        <w:t>$1 million (GST inclusive)</w:t>
      </w:r>
      <w:bookmarkEnd w:id="28"/>
    </w:p>
    <w:tbl>
      <w:tblPr>
        <w:tblStyle w:val="LightShading-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23"/>
        <w:gridCol w:w="2748"/>
        <w:gridCol w:w="2945"/>
      </w:tblGrid>
      <w:tr w:rsidR="00F66CE4" w:rsidRPr="003731F9" w14:paraId="1003D4ED" w14:textId="45879F62" w:rsidTr="002F779B">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843" w:type="pct"/>
            <w:vAlign w:val="center"/>
          </w:tcPr>
          <w:p w14:paraId="5A19B61E" w14:textId="531AD333" w:rsidR="00F66CE4" w:rsidRPr="004B5D1D" w:rsidRDefault="00F66CE4" w:rsidP="00F55890">
            <w:pPr>
              <w:pStyle w:val="Bullet"/>
              <w:numPr>
                <w:ilvl w:val="0"/>
                <w:numId w:val="0"/>
              </w:numPr>
              <w:spacing w:after="0"/>
              <w:ind w:left="520" w:hanging="520"/>
              <w:jc w:val="center"/>
              <w:rPr>
                <w:rFonts w:cstheme="minorHAnsi"/>
                <w:color w:val="FFFFFF" w:themeColor="background1"/>
              </w:rPr>
            </w:pPr>
          </w:p>
        </w:tc>
        <w:tc>
          <w:tcPr>
            <w:tcW w:w="1524" w:type="pct"/>
            <w:vAlign w:val="center"/>
          </w:tcPr>
          <w:p w14:paraId="0702C31D" w14:textId="5D6029E2" w:rsidR="00F66CE4" w:rsidRPr="00C11241" w:rsidRDefault="00F66CE4" w:rsidP="00C11241">
            <w:pPr>
              <w:pStyle w:val="TableTextIndented"/>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11241">
              <w:rPr>
                <w:color w:val="FFFFFF" w:themeColor="background1"/>
              </w:rPr>
              <w:t>Number 2020</w:t>
            </w:r>
            <w:r w:rsidR="00EC3750" w:rsidRPr="00EC3750">
              <w:rPr>
                <w:color w:val="FFFFFF" w:themeColor="background1"/>
              </w:rPr>
              <w:t>–</w:t>
            </w:r>
            <w:r w:rsidRPr="00C11241">
              <w:rPr>
                <w:color w:val="FFFFFF" w:themeColor="background1"/>
              </w:rPr>
              <w:t>21</w:t>
            </w:r>
          </w:p>
        </w:tc>
        <w:tc>
          <w:tcPr>
            <w:tcW w:w="1633" w:type="pct"/>
            <w:vAlign w:val="center"/>
          </w:tcPr>
          <w:p w14:paraId="7EFA580D" w14:textId="46E96BCA" w:rsidR="00F66CE4" w:rsidRPr="00C11241" w:rsidRDefault="00F66CE4" w:rsidP="00C11241">
            <w:pPr>
              <w:pStyle w:val="TableTextIndented"/>
              <w:cnfStyle w:val="100000000000" w:firstRow="1" w:lastRow="0" w:firstColumn="0" w:lastColumn="0" w:oddVBand="0" w:evenVBand="0" w:oddHBand="0" w:evenHBand="0" w:firstRowFirstColumn="0" w:firstRowLastColumn="0" w:lastRowFirstColumn="0" w:lastRowLastColumn="0"/>
              <w:rPr>
                <w:color w:val="FFFFFF" w:themeColor="background1"/>
              </w:rPr>
            </w:pPr>
            <w:r w:rsidRPr="00C11241">
              <w:rPr>
                <w:color w:val="FFFFFF" w:themeColor="background1"/>
              </w:rPr>
              <w:t>Value 2020</w:t>
            </w:r>
            <w:r w:rsidR="00EC3750" w:rsidRPr="00EC3750">
              <w:rPr>
                <w:color w:val="FFFFFF" w:themeColor="background1"/>
              </w:rPr>
              <w:t>–</w:t>
            </w:r>
            <w:r w:rsidRPr="00C11241">
              <w:rPr>
                <w:color w:val="FFFFFF" w:themeColor="background1"/>
              </w:rPr>
              <w:t>21</w:t>
            </w:r>
          </w:p>
        </w:tc>
      </w:tr>
      <w:tr w:rsidR="00F66CE4" w:rsidRPr="003731F9" w14:paraId="0F9B8FA6" w14:textId="2923711C"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843" w:type="pct"/>
            <w:shd w:val="clear" w:color="auto" w:fill="auto"/>
            <w:vAlign w:val="center"/>
          </w:tcPr>
          <w:p w14:paraId="7E0C5412" w14:textId="07C1C7E4" w:rsidR="00F66CE4" w:rsidRPr="008E6A12" w:rsidRDefault="00F66CE4" w:rsidP="0005592A">
            <w:pPr>
              <w:pStyle w:val="TableTextIndented"/>
            </w:pPr>
            <w:r w:rsidRPr="008E6A12">
              <w:t xml:space="preserve">Paid within </w:t>
            </w:r>
            <w:r>
              <w:t>5</w:t>
            </w:r>
            <w:r w:rsidRPr="008E6A12">
              <w:t xml:space="preserve"> days</w:t>
            </w:r>
          </w:p>
        </w:tc>
        <w:tc>
          <w:tcPr>
            <w:tcW w:w="1524" w:type="pct"/>
            <w:shd w:val="clear" w:color="auto" w:fill="auto"/>
            <w:vAlign w:val="center"/>
          </w:tcPr>
          <w:p w14:paraId="03091C9E" w14:textId="0DDEC123" w:rsidR="00F66CE4" w:rsidRPr="00F55890" w:rsidRDefault="00F66CE4"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t>57</w:t>
            </w:r>
          </w:p>
        </w:tc>
        <w:tc>
          <w:tcPr>
            <w:tcW w:w="1633" w:type="pct"/>
            <w:shd w:val="clear" w:color="auto" w:fill="auto"/>
            <w:vAlign w:val="center"/>
          </w:tcPr>
          <w:p w14:paraId="4FB6FE09" w14:textId="701BB12A" w:rsidR="00F66CE4" w:rsidRPr="00F55890" w:rsidRDefault="00F66CE4"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szCs w:val="22"/>
              </w:rPr>
            </w:pPr>
            <w:r w:rsidRPr="00F55890">
              <w:rPr>
                <w:rFonts w:cs="Calibri"/>
                <w:szCs w:val="22"/>
              </w:rPr>
              <w:t>$575,467</w:t>
            </w:r>
          </w:p>
        </w:tc>
      </w:tr>
      <w:tr w:rsidR="00F66CE4" w:rsidRPr="003731F9" w14:paraId="33B08EA9" w14:textId="0E7347AB" w:rsidTr="002F779B">
        <w:trPr>
          <w:trHeight w:val="509"/>
          <w:jc w:val="center"/>
        </w:trPr>
        <w:tc>
          <w:tcPr>
            <w:cnfStyle w:val="001000000000" w:firstRow="0" w:lastRow="0" w:firstColumn="1" w:lastColumn="0" w:oddVBand="0" w:evenVBand="0" w:oddHBand="0" w:evenHBand="0" w:firstRowFirstColumn="0" w:firstRowLastColumn="0" w:lastRowFirstColumn="0" w:lastRowLastColumn="0"/>
            <w:tcW w:w="1843" w:type="pct"/>
            <w:shd w:val="clear" w:color="auto" w:fill="auto"/>
            <w:vAlign w:val="center"/>
          </w:tcPr>
          <w:p w14:paraId="5DE29A43" w14:textId="716878D6" w:rsidR="00F66CE4" w:rsidRPr="008E6A12" w:rsidRDefault="00F66CE4" w:rsidP="0005592A">
            <w:pPr>
              <w:pStyle w:val="TableTextIndented"/>
            </w:pPr>
            <w:r w:rsidRPr="008E6A12">
              <w:t>Paid late (</w:t>
            </w:r>
            <w:r>
              <w:t xml:space="preserve">after 5 </w:t>
            </w:r>
            <w:r w:rsidRPr="008E6A12">
              <w:t>days)</w:t>
            </w:r>
          </w:p>
        </w:tc>
        <w:tc>
          <w:tcPr>
            <w:tcW w:w="1524" w:type="pct"/>
            <w:shd w:val="clear" w:color="auto" w:fill="auto"/>
            <w:vAlign w:val="center"/>
          </w:tcPr>
          <w:p w14:paraId="44600BC6" w14:textId="5F7DB19B" w:rsidR="00F66CE4" w:rsidRPr="00F55890" w:rsidRDefault="00F66CE4" w:rsidP="0005592A">
            <w:pPr>
              <w:pStyle w:val="TableTextIndented"/>
              <w:cnfStyle w:val="000000000000" w:firstRow="0" w:lastRow="0" w:firstColumn="0" w:lastColumn="0" w:oddVBand="0" w:evenVBand="0" w:oddHBand="0" w:evenHBand="0" w:firstRowFirstColumn="0" w:firstRowLastColumn="0" w:lastRowFirstColumn="0" w:lastRowLastColumn="0"/>
            </w:pPr>
            <w:r w:rsidRPr="00F55890">
              <w:t>35</w:t>
            </w:r>
          </w:p>
        </w:tc>
        <w:tc>
          <w:tcPr>
            <w:tcW w:w="1633" w:type="pct"/>
            <w:shd w:val="clear" w:color="auto" w:fill="auto"/>
            <w:vAlign w:val="center"/>
          </w:tcPr>
          <w:p w14:paraId="7791124E" w14:textId="2A3FF56A" w:rsidR="00F66CE4" w:rsidRPr="00F55890" w:rsidRDefault="00F66CE4"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szCs w:val="22"/>
              </w:rPr>
            </w:pPr>
            <w:r w:rsidRPr="00F55890">
              <w:rPr>
                <w:rFonts w:cs="Calibri"/>
                <w:szCs w:val="22"/>
              </w:rPr>
              <w:t>$446,381</w:t>
            </w:r>
          </w:p>
        </w:tc>
      </w:tr>
      <w:tr w:rsidR="00F66CE4" w:rsidRPr="003731F9" w14:paraId="36EB033E" w14:textId="5327BB13" w:rsidTr="002F779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843" w:type="pct"/>
            <w:shd w:val="clear" w:color="auto" w:fill="auto"/>
            <w:vAlign w:val="center"/>
          </w:tcPr>
          <w:p w14:paraId="175DBA2C" w14:textId="72B69F5F" w:rsidR="00F66CE4" w:rsidRPr="004B5D1D" w:rsidRDefault="00F66CE4" w:rsidP="0005592A">
            <w:pPr>
              <w:pStyle w:val="TableTextIndented"/>
            </w:pPr>
            <w:r w:rsidRPr="004B5D1D">
              <w:t>Total</w:t>
            </w:r>
            <w:r>
              <w:t xml:space="preserve"> e-Invoices</w:t>
            </w:r>
          </w:p>
        </w:tc>
        <w:tc>
          <w:tcPr>
            <w:tcW w:w="1524" w:type="pct"/>
            <w:shd w:val="clear" w:color="auto" w:fill="auto"/>
            <w:vAlign w:val="center"/>
          </w:tcPr>
          <w:p w14:paraId="1E121637" w14:textId="6CCFE4F9" w:rsidR="00F66CE4" w:rsidRPr="00F55890" w:rsidRDefault="00F66CE4" w:rsidP="0005592A">
            <w:pPr>
              <w:pStyle w:val="TableTextIndented"/>
              <w:cnfStyle w:val="000000100000" w:firstRow="0" w:lastRow="0" w:firstColumn="0" w:lastColumn="0" w:oddVBand="0" w:evenVBand="0" w:oddHBand="1" w:evenHBand="0" w:firstRowFirstColumn="0" w:firstRowLastColumn="0" w:lastRowFirstColumn="0" w:lastRowLastColumn="0"/>
            </w:pPr>
            <w:r w:rsidRPr="00F55890">
              <w:t>92</w:t>
            </w:r>
          </w:p>
        </w:tc>
        <w:tc>
          <w:tcPr>
            <w:tcW w:w="1633" w:type="pct"/>
            <w:shd w:val="clear" w:color="auto" w:fill="auto"/>
            <w:vAlign w:val="center"/>
          </w:tcPr>
          <w:p w14:paraId="3640B3E0" w14:textId="619926D6" w:rsidR="00F66CE4" w:rsidRPr="00F55890" w:rsidRDefault="00F66CE4"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szCs w:val="22"/>
              </w:rPr>
            </w:pPr>
            <w:r w:rsidRPr="00F55890">
              <w:rPr>
                <w:rFonts w:cs="Calibri"/>
                <w:szCs w:val="22"/>
              </w:rPr>
              <w:t>$1,021,848</w:t>
            </w:r>
          </w:p>
        </w:tc>
      </w:tr>
    </w:tbl>
    <w:p w14:paraId="5F580A60" w14:textId="3B8DD484" w:rsidR="00B066E6" w:rsidRDefault="00D37C3F" w:rsidP="001F3F44">
      <w:pPr>
        <w:rPr>
          <w:rFonts w:cstheme="minorHAnsi"/>
          <w:i/>
          <w:iCs/>
          <w:sz w:val="18"/>
          <w:szCs w:val="16"/>
        </w:rPr>
      </w:pPr>
      <w:r>
        <w:rPr>
          <w:rFonts w:cstheme="minorHAnsi"/>
          <w:b/>
          <w:bCs/>
          <w:i/>
          <w:iCs/>
          <w:sz w:val="18"/>
          <w:szCs w:val="16"/>
        </w:rPr>
        <w:t xml:space="preserve">Note: </w:t>
      </w:r>
      <w:r w:rsidRPr="00EC5980">
        <w:rPr>
          <w:rFonts w:cstheme="minorHAnsi"/>
          <w:i/>
          <w:iCs/>
          <w:sz w:val="18"/>
          <w:szCs w:val="16"/>
        </w:rPr>
        <w:t>this is the first time the survey has recorded</w:t>
      </w:r>
      <w:r w:rsidR="0087545B">
        <w:rPr>
          <w:rFonts w:cstheme="minorHAnsi"/>
          <w:i/>
          <w:iCs/>
          <w:sz w:val="18"/>
          <w:szCs w:val="16"/>
        </w:rPr>
        <w:t xml:space="preserve"> and reported on</w:t>
      </w:r>
      <w:r w:rsidRPr="00EC5980">
        <w:rPr>
          <w:rFonts w:cstheme="minorHAnsi"/>
          <w:i/>
          <w:iCs/>
          <w:sz w:val="18"/>
          <w:szCs w:val="16"/>
        </w:rPr>
        <w:t xml:space="preserve"> e-Invoice numbers, value, and payment times.</w:t>
      </w:r>
    </w:p>
    <w:p w14:paraId="20F6009A" w14:textId="77777777" w:rsidR="00507112" w:rsidRDefault="00507112" w:rsidP="004743ED">
      <w:pPr>
        <w:pStyle w:val="ChartMainHeading"/>
      </w:pPr>
    </w:p>
    <w:p w14:paraId="6F17DC6B" w14:textId="56E81838" w:rsidR="008C68EB" w:rsidRPr="00FD490C" w:rsidRDefault="008C68EB" w:rsidP="004743ED">
      <w:pPr>
        <w:pStyle w:val="ChartMainHeading"/>
      </w:pPr>
      <w:bookmarkStart w:id="29" w:name="_Toc92710947"/>
      <w:r>
        <w:t>Chart 4: e</w:t>
      </w:r>
      <w:r>
        <w:noBreakHyphen/>
        <w:t>Invoice payment times by number and value</w:t>
      </w:r>
      <w:bookmarkEnd w:id="29"/>
    </w:p>
    <w:p w14:paraId="2E6809DF" w14:textId="3FFC07F5" w:rsidR="00BE62D3" w:rsidRDefault="00BE62D3" w:rsidP="001F3F44">
      <w:pPr>
        <w:rPr>
          <w:rFonts w:cstheme="minorHAnsi"/>
        </w:rPr>
      </w:pPr>
      <w:r>
        <w:rPr>
          <w:noProof/>
        </w:rPr>
        <w:drawing>
          <wp:inline distT="0" distB="0" distL="0" distR="0" wp14:anchorId="42CA1B8C" wp14:editId="263AAAC1">
            <wp:extent cx="5580000" cy="3240000"/>
            <wp:effectExtent l="0" t="0" r="1905" b="0"/>
            <wp:docPr id="13" name="Chart 13" descr="Stacked column graph of the percentage of e-Invoices paid on time by value and number for the 2020–21 financial year. 56.3% by value and 62% by number were paid within the 5 day requirement. ">
              <a:extLst xmlns:a="http://schemas.openxmlformats.org/drawingml/2006/main">
                <a:ext uri="{FF2B5EF4-FFF2-40B4-BE49-F238E27FC236}">
                  <a16:creationId xmlns:a16="http://schemas.microsoft.com/office/drawing/2014/main" id="{87CAF019-6E44-45D8-9D39-09A22F6AF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DA05F0" w14:textId="5713D1E4" w:rsidR="00164807" w:rsidRDefault="00032616" w:rsidP="001F3F44">
      <w:pPr>
        <w:rPr>
          <w:rFonts w:cstheme="minorHAnsi"/>
        </w:rPr>
      </w:pPr>
      <w:r>
        <w:rPr>
          <w:rFonts w:cstheme="minorHAnsi"/>
        </w:rPr>
        <w:t>Chart</w:t>
      </w:r>
      <w:r w:rsidR="00EC5980">
        <w:rPr>
          <w:rFonts w:cstheme="minorHAnsi"/>
        </w:rPr>
        <w:t xml:space="preserve"> 4 shows the proportion of late e</w:t>
      </w:r>
      <w:r w:rsidR="008B0252">
        <w:rPr>
          <w:rFonts w:cstheme="minorHAnsi"/>
        </w:rPr>
        <w:noBreakHyphen/>
      </w:r>
      <w:r w:rsidR="00EC5980">
        <w:rPr>
          <w:rFonts w:cstheme="minorHAnsi"/>
        </w:rPr>
        <w:t xml:space="preserve">Invoices by number </w:t>
      </w:r>
      <w:r w:rsidR="009D4D63">
        <w:rPr>
          <w:rFonts w:cstheme="minorHAnsi"/>
        </w:rPr>
        <w:t>(</w:t>
      </w:r>
      <w:r w:rsidR="009D4D63" w:rsidRPr="00B52847">
        <w:rPr>
          <w:rFonts w:cstheme="minorHAnsi"/>
        </w:rPr>
        <w:t>3</w:t>
      </w:r>
      <w:r w:rsidR="008B31EB" w:rsidRPr="00B52847">
        <w:rPr>
          <w:rFonts w:cstheme="minorHAnsi"/>
        </w:rPr>
        <w:t>8</w:t>
      </w:r>
      <w:r w:rsidR="009D4D63" w:rsidRPr="00B52847">
        <w:rPr>
          <w:rFonts w:cstheme="minorHAnsi"/>
        </w:rPr>
        <w:t>.</w:t>
      </w:r>
      <w:r w:rsidR="008B31EB" w:rsidRPr="00B52847">
        <w:rPr>
          <w:rFonts w:cstheme="minorHAnsi"/>
        </w:rPr>
        <w:t>0</w:t>
      </w:r>
      <w:r w:rsidR="009D4D63" w:rsidRPr="00B52847">
        <w:rPr>
          <w:rFonts w:cstheme="minorHAnsi"/>
        </w:rPr>
        <w:t xml:space="preserve">%) </w:t>
      </w:r>
      <w:r w:rsidR="00EC5980" w:rsidRPr="00B52847">
        <w:rPr>
          <w:rFonts w:cstheme="minorHAnsi"/>
        </w:rPr>
        <w:t>and value</w:t>
      </w:r>
      <w:r w:rsidR="009D4D63" w:rsidRPr="00B52847">
        <w:rPr>
          <w:rFonts w:cstheme="minorHAnsi"/>
        </w:rPr>
        <w:t xml:space="preserve"> (4</w:t>
      </w:r>
      <w:r w:rsidR="008B31EB" w:rsidRPr="00B52847">
        <w:rPr>
          <w:rFonts w:cstheme="minorHAnsi"/>
        </w:rPr>
        <w:t>3</w:t>
      </w:r>
      <w:r w:rsidR="009D4D63" w:rsidRPr="00B52847">
        <w:rPr>
          <w:rFonts w:cstheme="minorHAnsi"/>
        </w:rPr>
        <w:t>.</w:t>
      </w:r>
      <w:r w:rsidR="00E97756">
        <w:rPr>
          <w:rFonts w:cstheme="minorHAnsi"/>
        </w:rPr>
        <w:t>7</w:t>
      </w:r>
      <w:r w:rsidR="009D4D63" w:rsidRPr="00B52847">
        <w:rPr>
          <w:rFonts w:cstheme="minorHAnsi"/>
        </w:rPr>
        <w:t>%)</w:t>
      </w:r>
      <w:r w:rsidR="00EC5980" w:rsidRPr="00B52847">
        <w:rPr>
          <w:rFonts w:cstheme="minorHAnsi"/>
        </w:rPr>
        <w:t>. The percent</w:t>
      </w:r>
      <w:r w:rsidR="00B4705C" w:rsidRPr="00B52847">
        <w:rPr>
          <w:rFonts w:cstheme="minorHAnsi"/>
        </w:rPr>
        <w:t>age</w:t>
      </w:r>
      <w:r w:rsidR="009D4D63" w:rsidRPr="00B52847">
        <w:rPr>
          <w:rFonts w:cstheme="minorHAnsi"/>
        </w:rPr>
        <w:t>s</w:t>
      </w:r>
      <w:r w:rsidR="00EC5980" w:rsidRPr="00B52847">
        <w:rPr>
          <w:rFonts w:cstheme="minorHAnsi"/>
        </w:rPr>
        <w:t xml:space="preserve"> of e</w:t>
      </w:r>
      <w:r w:rsidR="008B0252">
        <w:rPr>
          <w:rFonts w:cstheme="minorHAnsi"/>
        </w:rPr>
        <w:noBreakHyphen/>
      </w:r>
      <w:r w:rsidR="00EC5980" w:rsidRPr="00B52847">
        <w:rPr>
          <w:rFonts w:cstheme="minorHAnsi"/>
        </w:rPr>
        <w:t xml:space="preserve">Invoices paid late </w:t>
      </w:r>
      <w:r w:rsidR="009D4D63" w:rsidRPr="00B52847">
        <w:rPr>
          <w:rFonts w:cstheme="minorHAnsi"/>
        </w:rPr>
        <w:t xml:space="preserve">are </w:t>
      </w:r>
      <w:r w:rsidR="00EC5980" w:rsidRPr="00B52847">
        <w:rPr>
          <w:rFonts w:cstheme="minorHAnsi"/>
        </w:rPr>
        <w:t>relatively high compared to the percent</w:t>
      </w:r>
      <w:r w:rsidR="00B4705C" w:rsidRPr="00B52847">
        <w:rPr>
          <w:rFonts w:cstheme="minorHAnsi"/>
        </w:rPr>
        <w:t>age</w:t>
      </w:r>
      <w:r w:rsidR="009D4D63" w:rsidRPr="00B52847">
        <w:rPr>
          <w:rFonts w:cstheme="minorHAnsi"/>
        </w:rPr>
        <w:t>s</w:t>
      </w:r>
      <w:r w:rsidR="00EC5980" w:rsidRPr="00B52847">
        <w:rPr>
          <w:rFonts w:cstheme="minorHAnsi"/>
        </w:rPr>
        <w:t xml:space="preserve"> of regular invoice</w:t>
      </w:r>
      <w:r w:rsidR="002D5941" w:rsidRPr="00B52847">
        <w:rPr>
          <w:rFonts w:cstheme="minorHAnsi"/>
        </w:rPr>
        <w:t>s</w:t>
      </w:r>
      <w:r w:rsidR="00EC5980" w:rsidRPr="00B52847">
        <w:rPr>
          <w:rFonts w:cstheme="minorHAnsi"/>
        </w:rPr>
        <w:t xml:space="preserve"> paid lat</w:t>
      </w:r>
      <w:r w:rsidR="00D534A6" w:rsidRPr="00B52847">
        <w:rPr>
          <w:rFonts w:cstheme="minorHAnsi"/>
        </w:rPr>
        <w:t xml:space="preserve">e </w:t>
      </w:r>
      <w:r w:rsidR="003272F0" w:rsidRPr="00B52847">
        <w:rPr>
          <w:rFonts w:cstheme="minorHAnsi"/>
        </w:rPr>
        <w:t>(</w:t>
      </w:r>
      <w:r w:rsidR="00D534A6" w:rsidRPr="00B52847">
        <w:rPr>
          <w:rFonts w:cstheme="minorHAnsi"/>
        </w:rPr>
        <w:t>6.</w:t>
      </w:r>
      <w:r w:rsidR="00E97756">
        <w:rPr>
          <w:rFonts w:cstheme="minorHAnsi"/>
        </w:rPr>
        <w:t>8</w:t>
      </w:r>
      <w:r w:rsidR="001445FA" w:rsidRPr="00B52847">
        <w:rPr>
          <w:rFonts w:cstheme="minorHAnsi"/>
        </w:rPr>
        <w:t>%</w:t>
      </w:r>
      <w:r w:rsidR="00D534A6" w:rsidRPr="00B52847">
        <w:rPr>
          <w:rFonts w:cstheme="minorHAnsi"/>
        </w:rPr>
        <w:t xml:space="preserve"> </w:t>
      </w:r>
      <w:r w:rsidR="001445FA" w:rsidRPr="00B52847">
        <w:rPr>
          <w:rFonts w:cstheme="minorHAnsi"/>
        </w:rPr>
        <w:t>b</w:t>
      </w:r>
      <w:r w:rsidR="00164807" w:rsidRPr="00B52847">
        <w:rPr>
          <w:rFonts w:cstheme="minorHAnsi"/>
        </w:rPr>
        <w:t>y</w:t>
      </w:r>
      <w:r w:rsidR="001445FA" w:rsidRPr="00B52847">
        <w:rPr>
          <w:rFonts w:cstheme="minorHAnsi"/>
        </w:rPr>
        <w:t xml:space="preserve"> number,</w:t>
      </w:r>
      <w:r w:rsidR="00164807" w:rsidRPr="00B52847">
        <w:rPr>
          <w:rFonts w:cstheme="minorHAnsi"/>
        </w:rPr>
        <w:t xml:space="preserve"> 1</w:t>
      </w:r>
      <w:r w:rsidR="001903A8" w:rsidRPr="00B52847">
        <w:rPr>
          <w:rFonts w:cstheme="minorHAnsi"/>
        </w:rPr>
        <w:t>3</w:t>
      </w:r>
      <w:r w:rsidR="00164807" w:rsidRPr="00B52847">
        <w:rPr>
          <w:rFonts w:cstheme="minorHAnsi"/>
        </w:rPr>
        <w:t>.</w:t>
      </w:r>
      <w:r w:rsidR="00E97756">
        <w:rPr>
          <w:rFonts w:cstheme="minorHAnsi"/>
        </w:rPr>
        <w:t>9</w:t>
      </w:r>
      <w:r w:rsidR="001445FA" w:rsidRPr="00B52847">
        <w:rPr>
          <w:rFonts w:cstheme="minorHAnsi"/>
        </w:rPr>
        <w:t>%</w:t>
      </w:r>
      <w:r w:rsidR="00164807" w:rsidRPr="00B52847">
        <w:rPr>
          <w:rFonts w:cstheme="minorHAnsi"/>
        </w:rPr>
        <w:t xml:space="preserve"> </w:t>
      </w:r>
      <w:r w:rsidR="001445FA" w:rsidRPr="00B52847">
        <w:rPr>
          <w:rFonts w:cstheme="minorHAnsi"/>
        </w:rPr>
        <w:t>by value)</w:t>
      </w:r>
      <w:r w:rsidR="00164807" w:rsidRPr="00B52847">
        <w:rPr>
          <w:rFonts w:cstheme="minorHAnsi"/>
        </w:rPr>
        <w:t>.</w:t>
      </w:r>
      <w:r w:rsidR="00D237D2" w:rsidRPr="00B52847">
        <w:rPr>
          <w:rFonts w:cstheme="minorHAnsi"/>
        </w:rPr>
        <w:t xml:space="preserve"> </w:t>
      </w:r>
      <w:r w:rsidR="005E02E6">
        <w:rPr>
          <w:rFonts w:cstheme="minorHAnsi"/>
        </w:rPr>
        <w:t>P</w:t>
      </w:r>
      <w:r w:rsidR="00D237D2" w:rsidRPr="00B52847">
        <w:rPr>
          <w:rFonts w:cstheme="minorHAnsi"/>
        </w:rPr>
        <w:t>ayments</w:t>
      </w:r>
      <w:r w:rsidR="005E02E6">
        <w:rPr>
          <w:rFonts w:cstheme="minorHAnsi"/>
        </w:rPr>
        <w:t xml:space="preserve"> made after 5 days</w:t>
      </w:r>
      <w:r w:rsidR="00D237D2">
        <w:rPr>
          <w:rFonts w:cstheme="minorHAnsi"/>
        </w:rPr>
        <w:t xml:space="preserve"> on e</w:t>
      </w:r>
      <w:r w:rsidR="008B0252">
        <w:rPr>
          <w:rFonts w:cstheme="minorHAnsi"/>
        </w:rPr>
        <w:noBreakHyphen/>
      </w:r>
      <w:r w:rsidR="00D237D2">
        <w:rPr>
          <w:rFonts w:cstheme="minorHAnsi"/>
        </w:rPr>
        <w:t xml:space="preserve">Invoices </w:t>
      </w:r>
      <w:r w:rsidR="001445FA">
        <w:rPr>
          <w:rFonts w:cstheme="minorHAnsi"/>
        </w:rPr>
        <w:t>resulted in</w:t>
      </w:r>
      <w:r w:rsidR="005E02E6">
        <w:rPr>
          <w:rFonts w:cstheme="minorHAnsi"/>
        </w:rPr>
        <w:t xml:space="preserve"> a total of</w:t>
      </w:r>
      <w:r w:rsidR="00BF7685">
        <w:rPr>
          <w:rFonts w:cstheme="minorHAnsi"/>
        </w:rPr>
        <w:t xml:space="preserve"> $213 paid in interest</w:t>
      </w:r>
      <w:r w:rsidR="00D237D2">
        <w:rPr>
          <w:rFonts w:cstheme="minorHAnsi"/>
        </w:rPr>
        <w:t>.</w:t>
      </w:r>
    </w:p>
    <w:p w14:paraId="48AEA07B" w14:textId="154EA7E0" w:rsidR="006E2109" w:rsidRDefault="006A3A54" w:rsidP="00CC5258">
      <w:pPr>
        <w:rPr>
          <w:rFonts w:cstheme="minorHAnsi"/>
        </w:rPr>
      </w:pPr>
      <w:bookmarkStart w:id="30" w:name="_Hlk88214286"/>
      <w:r>
        <w:rPr>
          <w:rFonts w:cstheme="minorHAnsi"/>
        </w:rPr>
        <w:t>A</w:t>
      </w:r>
      <w:r w:rsidR="00EC5980">
        <w:rPr>
          <w:rFonts w:cstheme="minorHAnsi"/>
        </w:rPr>
        <w:t>gencies</w:t>
      </w:r>
      <w:r w:rsidR="00F87FF1">
        <w:rPr>
          <w:rFonts w:cstheme="minorHAnsi"/>
        </w:rPr>
        <w:t xml:space="preserve"> in the survey</w:t>
      </w:r>
      <w:r w:rsidR="00EC5980">
        <w:rPr>
          <w:rFonts w:cstheme="minorHAnsi"/>
        </w:rPr>
        <w:t xml:space="preserve"> indicate</w:t>
      </w:r>
      <w:r>
        <w:rPr>
          <w:rFonts w:cstheme="minorHAnsi"/>
        </w:rPr>
        <w:t>d</w:t>
      </w:r>
      <w:r w:rsidR="00F87FF1">
        <w:rPr>
          <w:rFonts w:cstheme="minorHAnsi"/>
        </w:rPr>
        <w:t xml:space="preserve"> </w:t>
      </w:r>
      <w:r w:rsidR="00EC5980">
        <w:rPr>
          <w:rFonts w:cstheme="minorHAnsi"/>
        </w:rPr>
        <w:t>that the adoption of e</w:t>
      </w:r>
      <w:r w:rsidR="008B0252">
        <w:rPr>
          <w:rFonts w:cstheme="minorHAnsi"/>
        </w:rPr>
        <w:noBreakHyphen/>
      </w:r>
      <w:r w:rsidR="00EC5980">
        <w:rPr>
          <w:rFonts w:cstheme="minorHAnsi"/>
        </w:rPr>
        <w:t>Invoicing required significant changes to payment systems</w:t>
      </w:r>
      <w:r>
        <w:rPr>
          <w:rFonts w:cstheme="minorHAnsi"/>
        </w:rPr>
        <w:t xml:space="preserve"> </w:t>
      </w:r>
      <w:r w:rsidR="00164807">
        <w:rPr>
          <w:rFonts w:cstheme="minorHAnsi"/>
        </w:rPr>
        <w:t xml:space="preserve">which created </w:t>
      </w:r>
      <w:r>
        <w:rPr>
          <w:rFonts w:cstheme="minorHAnsi"/>
        </w:rPr>
        <w:t>difficulties</w:t>
      </w:r>
      <w:r w:rsidR="00164807">
        <w:rPr>
          <w:rFonts w:cstheme="minorHAnsi"/>
        </w:rPr>
        <w:t xml:space="preserve"> in meeting the </w:t>
      </w:r>
      <w:r w:rsidR="001903A8">
        <w:rPr>
          <w:rFonts w:cstheme="minorHAnsi"/>
        </w:rPr>
        <w:t>5</w:t>
      </w:r>
      <w:r w:rsidR="008B0252">
        <w:rPr>
          <w:rFonts w:cstheme="minorHAnsi"/>
        </w:rPr>
        <w:noBreakHyphen/>
      </w:r>
      <w:r w:rsidR="001903A8">
        <w:rPr>
          <w:rFonts w:cstheme="minorHAnsi"/>
        </w:rPr>
        <w:t>day</w:t>
      </w:r>
      <w:r w:rsidR="00164807">
        <w:rPr>
          <w:rFonts w:cstheme="minorHAnsi"/>
        </w:rPr>
        <w:t xml:space="preserve"> requirement</w:t>
      </w:r>
      <w:r w:rsidR="00EC5980">
        <w:rPr>
          <w:rFonts w:cstheme="minorHAnsi"/>
        </w:rPr>
        <w:t>. Consequently, it is anticipated that the proportion of e</w:t>
      </w:r>
      <w:r w:rsidR="008B0252">
        <w:rPr>
          <w:rFonts w:cstheme="minorHAnsi"/>
        </w:rPr>
        <w:noBreakHyphen/>
      </w:r>
      <w:r w:rsidR="00EC5980">
        <w:rPr>
          <w:rFonts w:cstheme="minorHAnsi"/>
        </w:rPr>
        <w:t>Invoices paid late will decrease significantly in future years</w:t>
      </w:r>
      <w:r w:rsidR="00E65DBB">
        <w:rPr>
          <w:rFonts w:cstheme="minorHAnsi"/>
        </w:rPr>
        <w:t xml:space="preserve"> as agencies and their systems grow accustomed to e</w:t>
      </w:r>
      <w:r w:rsidR="008B0252">
        <w:rPr>
          <w:rFonts w:cstheme="minorHAnsi"/>
        </w:rPr>
        <w:noBreakHyphen/>
      </w:r>
      <w:r w:rsidR="00E65DBB">
        <w:rPr>
          <w:rFonts w:cstheme="minorHAnsi"/>
        </w:rPr>
        <w:t>Invoicing</w:t>
      </w:r>
      <w:r w:rsidR="00EC5980">
        <w:rPr>
          <w:rFonts w:cstheme="minorHAnsi"/>
        </w:rPr>
        <w:t xml:space="preserve">. </w:t>
      </w:r>
      <w:bookmarkEnd w:id="30"/>
      <w:r w:rsidR="006E2109">
        <w:rPr>
          <w:rFonts w:cstheme="minorHAnsi"/>
        </w:rPr>
        <w:br w:type="page"/>
      </w:r>
    </w:p>
    <w:p w14:paraId="04096615" w14:textId="77777777" w:rsidR="001F3F44" w:rsidRPr="000C6DFE" w:rsidRDefault="001F3F44" w:rsidP="001F3F44">
      <w:pPr>
        <w:pStyle w:val="Heading2"/>
        <w:jc w:val="both"/>
      </w:pPr>
      <w:bookmarkStart w:id="31" w:name="_Toc92710948"/>
      <w:r w:rsidRPr="000C6DFE">
        <w:lastRenderedPageBreak/>
        <w:t>Table of Agency Results</w:t>
      </w:r>
      <w:bookmarkEnd w:id="31"/>
    </w:p>
    <w:p w14:paraId="779DEEE5" w14:textId="7D78003E" w:rsidR="001F3F44" w:rsidRPr="003731F9" w:rsidRDefault="001F3F44" w:rsidP="000370E6">
      <w:pPr>
        <w:spacing w:before="0" w:after="0"/>
        <w:jc w:val="both"/>
        <w:rPr>
          <w:rFonts w:cstheme="minorHAnsi"/>
        </w:rPr>
      </w:pPr>
      <w:r w:rsidRPr="003731F9">
        <w:rPr>
          <w:rFonts w:cstheme="minorHAnsi"/>
        </w:rPr>
        <w:t>Table </w:t>
      </w:r>
      <w:r w:rsidR="00BB471A">
        <w:rPr>
          <w:rFonts w:cstheme="minorHAnsi"/>
        </w:rPr>
        <w:t>4</w:t>
      </w:r>
      <w:r w:rsidRPr="003731F9">
        <w:rPr>
          <w:rFonts w:cstheme="minorHAnsi"/>
        </w:rPr>
        <w:t xml:space="preserve"> below shows the percentage of invoices (by number) paid within 20</w:t>
      </w:r>
      <w:r w:rsidR="00103FBE">
        <w:rPr>
          <w:rFonts w:cstheme="minorHAnsi"/>
        </w:rPr>
        <w:t xml:space="preserve"> </w:t>
      </w:r>
      <w:r w:rsidR="00B51FEA">
        <w:rPr>
          <w:rFonts w:cstheme="minorHAnsi"/>
        </w:rPr>
        <w:t xml:space="preserve">days </w:t>
      </w:r>
      <w:r w:rsidR="00103FBE">
        <w:rPr>
          <w:rFonts w:cstheme="minorHAnsi"/>
        </w:rPr>
        <w:t>for regular invoices</w:t>
      </w:r>
      <w:r w:rsidRPr="003731F9">
        <w:rPr>
          <w:rFonts w:cstheme="minorHAnsi"/>
        </w:rPr>
        <w:t xml:space="preserve"> and </w:t>
      </w:r>
      <w:r w:rsidR="00103FBE">
        <w:rPr>
          <w:rFonts w:cstheme="minorHAnsi"/>
        </w:rPr>
        <w:t>within 5 days for e</w:t>
      </w:r>
      <w:r w:rsidR="008B0252">
        <w:rPr>
          <w:rFonts w:cstheme="minorHAnsi"/>
        </w:rPr>
        <w:noBreakHyphen/>
      </w:r>
      <w:r w:rsidR="00103FBE">
        <w:rPr>
          <w:rFonts w:cstheme="minorHAnsi"/>
        </w:rPr>
        <w:t>Invoices for</w:t>
      </w:r>
      <w:r w:rsidRPr="003731F9">
        <w:rPr>
          <w:rFonts w:cstheme="minorHAnsi"/>
        </w:rPr>
        <w:t xml:space="preserve"> </w:t>
      </w:r>
      <w:r w:rsidR="00B51FEA">
        <w:rPr>
          <w:rFonts w:cstheme="minorHAnsi"/>
        </w:rPr>
        <w:t xml:space="preserve">all </w:t>
      </w:r>
      <w:r w:rsidR="000A7E27">
        <w:rPr>
          <w:rFonts w:cstheme="minorHAnsi"/>
        </w:rPr>
        <w:t>G</w:t>
      </w:r>
      <w:r w:rsidR="00B51FEA">
        <w:rPr>
          <w:rFonts w:cstheme="minorHAnsi"/>
        </w:rPr>
        <w:t>overnment agencies</w:t>
      </w:r>
      <w:r w:rsidRPr="003731F9">
        <w:rPr>
          <w:rFonts w:cstheme="minorHAnsi"/>
        </w:rPr>
        <w:t xml:space="preserve"> </w:t>
      </w:r>
      <w:r>
        <w:rPr>
          <w:rFonts w:cstheme="minorHAnsi"/>
        </w:rPr>
        <w:t xml:space="preserve">that </w:t>
      </w:r>
      <w:r w:rsidRPr="003731F9">
        <w:rPr>
          <w:rFonts w:cstheme="minorHAnsi"/>
        </w:rPr>
        <w:t>responded to the survey.</w:t>
      </w:r>
    </w:p>
    <w:p w14:paraId="00E2BB09" w14:textId="7D8055AF" w:rsidR="001F3F44" w:rsidRDefault="005B4C12" w:rsidP="001F3F44">
      <w:pPr>
        <w:spacing w:after="0"/>
        <w:jc w:val="both"/>
        <w:rPr>
          <w:rFonts w:cstheme="minorHAnsi"/>
        </w:rPr>
      </w:pPr>
      <w:r>
        <w:rPr>
          <w:rFonts w:cstheme="minorHAnsi"/>
        </w:rPr>
        <w:t>Overall,</w:t>
      </w:r>
      <w:r w:rsidR="00103FBE">
        <w:rPr>
          <w:rFonts w:cstheme="minorHAnsi"/>
        </w:rPr>
        <w:t xml:space="preserve"> </w:t>
      </w:r>
      <w:r w:rsidR="00B51FEA">
        <w:rPr>
          <w:rFonts w:cstheme="minorHAnsi"/>
        </w:rPr>
        <w:t>i</w:t>
      </w:r>
      <w:r w:rsidR="001F3F44" w:rsidRPr="00917A90">
        <w:rPr>
          <w:rFonts w:cstheme="minorHAnsi"/>
        </w:rPr>
        <w:t>n 20</w:t>
      </w:r>
      <w:r w:rsidR="00103FBE">
        <w:rPr>
          <w:rFonts w:cstheme="minorHAnsi"/>
        </w:rPr>
        <w:t>20</w:t>
      </w:r>
      <w:r w:rsidR="00EC3750">
        <w:t>–</w:t>
      </w:r>
      <w:r w:rsidR="001F3F44">
        <w:rPr>
          <w:rFonts w:cstheme="minorHAnsi"/>
        </w:rPr>
        <w:t>2</w:t>
      </w:r>
      <w:r w:rsidR="00103FBE">
        <w:rPr>
          <w:rFonts w:cstheme="minorHAnsi"/>
        </w:rPr>
        <w:t>1</w:t>
      </w:r>
      <w:r w:rsidR="00B51FEA">
        <w:rPr>
          <w:rFonts w:cstheme="minorHAnsi"/>
        </w:rPr>
        <w:t>,</w:t>
      </w:r>
      <w:r w:rsidR="001F3F44" w:rsidRPr="00917A90">
        <w:rPr>
          <w:rFonts w:cstheme="minorHAnsi"/>
        </w:rPr>
        <w:t xml:space="preserve"> </w:t>
      </w:r>
      <w:r w:rsidR="00E279F4">
        <w:rPr>
          <w:rFonts w:cstheme="minorHAnsi"/>
        </w:rPr>
        <w:t>62</w:t>
      </w:r>
      <w:r w:rsidR="001F3F44" w:rsidRPr="00917A90">
        <w:rPr>
          <w:rFonts w:cstheme="minorHAnsi"/>
        </w:rPr>
        <w:t xml:space="preserve"> of the 9</w:t>
      </w:r>
      <w:r w:rsidR="00E279F4">
        <w:rPr>
          <w:rFonts w:cstheme="minorHAnsi"/>
        </w:rPr>
        <w:t>1</w:t>
      </w:r>
      <w:r w:rsidR="001F3F44" w:rsidRPr="00917A90">
        <w:rPr>
          <w:rFonts w:cstheme="minorHAnsi"/>
        </w:rPr>
        <w:t xml:space="preserve"> responding agencies paid more than 90</w:t>
      </w:r>
      <w:r w:rsidR="001F3F44">
        <w:rPr>
          <w:rFonts w:cstheme="minorHAnsi"/>
        </w:rPr>
        <w:t xml:space="preserve"> per cent of invoices within </w:t>
      </w:r>
      <w:r w:rsidR="00E279F4">
        <w:rPr>
          <w:rFonts w:cstheme="minorHAnsi"/>
        </w:rPr>
        <w:t>2</w:t>
      </w:r>
      <w:r w:rsidR="001F3F44">
        <w:rPr>
          <w:rFonts w:cstheme="minorHAnsi"/>
        </w:rPr>
        <w:t>0 </w:t>
      </w:r>
      <w:r w:rsidR="001F3F44" w:rsidRPr="00917A90">
        <w:rPr>
          <w:rFonts w:cstheme="minorHAnsi"/>
        </w:rPr>
        <w:t xml:space="preserve">days. </w:t>
      </w:r>
      <w:r w:rsidR="00E279F4">
        <w:rPr>
          <w:rFonts w:cstheme="minorHAnsi"/>
        </w:rPr>
        <w:t>Compared to 2019</w:t>
      </w:r>
      <w:r w:rsidR="00EC3750">
        <w:t>–</w:t>
      </w:r>
      <w:r w:rsidR="00E279F4">
        <w:rPr>
          <w:rFonts w:cstheme="minorHAnsi"/>
        </w:rPr>
        <w:t xml:space="preserve">20, </w:t>
      </w:r>
      <w:r w:rsidR="00B51FEA">
        <w:rPr>
          <w:rFonts w:cstheme="minorHAnsi"/>
        </w:rPr>
        <w:t xml:space="preserve">this result indicates that </w:t>
      </w:r>
      <w:r w:rsidR="00E279F4">
        <w:rPr>
          <w:rFonts w:cstheme="minorHAnsi"/>
        </w:rPr>
        <w:t>14 additional agencies are now paying 90</w:t>
      </w:r>
      <w:r w:rsidR="00031DB1">
        <w:rPr>
          <w:rFonts w:cstheme="minorHAnsi"/>
        </w:rPr>
        <w:t> </w:t>
      </w:r>
      <w:r w:rsidR="00E279F4">
        <w:rPr>
          <w:rFonts w:cstheme="minorHAnsi"/>
        </w:rPr>
        <w:t>per</w:t>
      </w:r>
      <w:r w:rsidR="00031DB1">
        <w:rPr>
          <w:rFonts w:cstheme="minorHAnsi"/>
        </w:rPr>
        <w:t> </w:t>
      </w:r>
      <w:r w:rsidR="00E279F4">
        <w:rPr>
          <w:rFonts w:cstheme="minorHAnsi"/>
        </w:rPr>
        <w:t xml:space="preserve">cent of their invoices on time. </w:t>
      </w:r>
    </w:p>
    <w:p w14:paraId="46000994" w14:textId="77777777" w:rsidR="00507112" w:rsidRDefault="00507112" w:rsidP="0033606D">
      <w:pPr>
        <w:pStyle w:val="TableMainHeading"/>
      </w:pPr>
      <w:bookmarkStart w:id="32" w:name="_Toc25057852"/>
      <w:bookmarkStart w:id="33" w:name="_Toc25242637"/>
      <w:bookmarkEnd w:id="32"/>
      <w:bookmarkEnd w:id="33"/>
    </w:p>
    <w:p w14:paraId="1F172BF6" w14:textId="1881C8C6" w:rsidR="001F3F44" w:rsidRPr="002D56CA" w:rsidRDefault="001F3F44" w:rsidP="0033606D">
      <w:pPr>
        <w:pStyle w:val="TableMainHeading"/>
        <w:rPr>
          <w:i/>
        </w:rPr>
      </w:pPr>
      <w:bookmarkStart w:id="34" w:name="_Toc92710949"/>
      <w:r w:rsidRPr="00F55890">
        <w:t xml:space="preserve">Table </w:t>
      </w:r>
      <w:r w:rsidR="00D5515C" w:rsidRPr="00720C15">
        <w:t>4</w:t>
      </w:r>
      <w:r w:rsidRPr="00720C15">
        <w:t xml:space="preserve">: Percentage of invoices paid on time by number for each </w:t>
      </w:r>
      <w:r w:rsidR="000A7E27">
        <w:t>G</w:t>
      </w:r>
      <w:r w:rsidRPr="00720C15">
        <w:t>overnment agency surveyed</w:t>
      </w:r>
      <w:bookmarkEnd w:id="34"/>
    </w:p>
    <w:tbl>
      <w:tblPr>
        <w:tblStyle w:val="LightShading-Accent1"/>
        <w:tblW w:w="5000" w:type="pct"/>
        <w:tblCellMar>
          <w:top w:w="57" w:type="dxa"/>
          <w:left w:w="57" w:type="dxa"/>
          <w:bottom w:w="57" w:type="dxa"/>
          <w:right w:w="57" w:type="dxa"/>
        </w:tblCellMar>
        <w:tblLook w:val="04A0" w:firstRow="1" w:lastRow="0" w:firstColumn="1" w:lastColumn="0" w:noHBand="0" w:noVBand="1"/>
      </w:tblPr>
      <w:tblGrid>
        <w:gridCol w:w="5524"/>
        <w:gridCol w:w="1886"/>
        <w:gridCol w:w="1616"/>
      </w:tblGrid>
      <w:tr w:rsidR="001F3F44" w:rsidRPr="00B268DB" w14:paraId="0E20E4A1" w14:textId="77777777" w:rsidTr="002F779B">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3060" w:type="pct"/>
            <w:hideMark/>
          </w:tcPr>
          <w:p w14:paraId="56FE3666" w14:textId="77777777" w:rsidR="001F3F44" w:rsidRPr="00C11241" w:rsidRDefault="001F3F44" w:rsidP="00C11241">
            <w:pPr>
              <w:pStyle w:val="TableTextIndented"/>
              <w:rPr>
                <w:b w:val="0"/>
                <w:color w:val="FFFFFF" w:themeColor="background1"/>
              </w:rPr>
            </w:pPr>
            <w:r w:rsidRPr="00C11241">
              <w:rPr>
                <w:color w:val="FFFFFF" w:themeColor="background1"/>
              </w:rPr>
              <w:t>Agency</w:t>
            </w:r>
          </w:p>
        </w:tc>
        <w:tc>
          <w:tcPr>
            <w:tcW w:w="1045" w:type="pct"/>
            <w:hideMark/>
          </w:tcPr>
          <w:p w14:paraId="3DEB9B78" w14:textId="2BFF7DDC" w:rsidR="00D554D7" w:rsidRPr="00C11241" w:rsidRDefault="00C216E2" w:rsidP="00C11241">
            <w:pPr>
              <w:pStyle w:val="TableTextIndented"/>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11241">
              <w:rPr>
                <w:color w:val="FFFFFF" w:themeColor="background1"/>
              </w:rPr>
              <w:t>2020</w:t>
            </w:r>
            <w:r w:rsidR="00EC3750" w:rsidRPr="00EC3750">
              <w:rPr>
                <w:color w:val="FFFFFF" w:themeColor="background1"/>
              </w:rPr>
              <w:t>–</w:t>
            </w:r>
            <w:r w:rsidRPr="00C11241">
              <w:rPr>
                <w:color w:val="FFFFFF" w:themeColor="background1"/>
              </w:rPr>
              <w:t xml:space="preserve">21 </w:t>
            </w:r>
          </w:p>
          <w:p w14:paraId="77652CF9" w14:textId="77777777" w:rsidR="00D554D7" w:rsidRPr="00C11241" w:rsidRDefault="00C216E2" w:rsidP="00C11241">
            <w:pPr>
              <w:pStyle w:val="TableTextIndented"/>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11241">
              <w:rPr>
                <w:color w:val="FFFFFF" w:themeColor="background1"/>
              </w:rPr>
              <w:t xml:space="preserve">Percentage of invoices paid </w:t>
            </w:r>
          </w:p>
          <w:p w14:paraId="7179C7D2" w14:textId="2A115E8E" w:rsidR="001F3F44" w:rsidRPr="00C11241" w:rsidRDefault="00C216E2" w:rsidP="00C11241">
            <w:pPr>
              <w:pStyle w:val="TableTextIndented"/>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11241">
              <w:rPr>
                <w:color w:val="FFFFFF" w:themeColor="background1"/>
              </w:rPr>
              <w:t xml:space="preserve">within 20 days by number </w:t>
            </w:r>
          </w:p>
        </w:tc>
        <w:tc>
          <w:tcPr>
            <w:tcW w:w="895" w:type="pct"/>
            <w:hideMark/>
          </w:tcPr>
          <w:p w14:paraId="3BC25A5C" w14:textId="42D425E8" w:rsidR="00D554D7" w:rsidRPr="00C11241" w:rsidRDefault="00C216E2" w:rsidP="00C11241">
            <w:pPr>
              <w:pStyle w:val="TableTextIndented"/>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11241">
              <w:rPr>
                <w:color w:val="FFFFFF" w:themeColor="background1"/>
              </w:rPr>
              <w:t>2020</w:t>
            </w:r>
            <w:r w:rsidR="00EC3750" w:rsidRPr="00EC3750">
              <w:rPr>
                <w:color w:val="FFFFFF" w:themeColor="background1"/>
              </w:rPr>
              <w:t>–</w:t>
            </w:r>
            <w:r w:rsidRPr="00C11241">
              <w:rPr>
                <w:color w:val="FFFFFF" w:themeColor="background1"/>
              </w:rPr>
              <w:t xml:space="preserve">21 Percentage of </w:t>
            </w:r>
          </w:p>
          <w:p w14:paraId="67F3C6DC" w14:textId="12B819CC" w:rsidR="001F3F44" w:rsidRPr="00C11241" w:rsidRDefault="00C216E2" w:rsidP="00C11241">
            <w:pPr>
              <w:pStyle w:val="TableTextIndented"/>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11241">
              <w:rPr>
                <w:color w:val="FFFFFF" w:themeColor="background1"/>
              </w:rPr>
              <w:t xml:space="preserve">e-Invoices paid within 5 days by number </w:t>
            </w:r>
          </w:p>
        </w:tc>
      </w:tr>
      <w:tr w:rsidR="00101566" w14:paraId="35363B72"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EEFADE3" w14:textId="1AA67CCB" w:rsidR="00101566" w:rsidRPr="00BA6459" w:rsidRDefault="00101566" w:rsidP="0005592A">
            <w:pPr>
              <w:pStyle w:val="TableTextIndented"/>
              <w:rPr>
                <w:rFonts w:cs="Calibri"/>
                <w:b w:val="0"/>
                <w:color w:val="000000" w:themeColor="text1"/>
              </w:rPr>
            </w:pPr>
            <w:r w:rsidRPr="00004355">
              <w:t>AAT</w:t>
            </w:r>
          </w:p>
        </w:tc>
        <w:tc>
          <w:tcPr>
            <w:tcW w:w="1045" w:type="pct"/>
            <w:hideMark/>
          </w:tcPr>
          <w:p w14:paraId="6BEE962F" w14:textId="308DAF4E"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74.3</w:t>
            </w:r>
          </w:p>
        </w:tc>
        <w:tc>
          <w:tcPr>
            <w:tcW w:w="895" w:type="pct"/>
            <w:hideMark/>
          </w:tcPr>
          <w:p w14:paraId="3B04762C" w14:textId="3E9C4D57"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0CC76A78" w14:textId="77777777" w:rsidTr="002F779B">
        <w:trPr>
          <w:trHeight w:val="290"/>
        </w:trPr>
        <w:tc>
          <w:tcPr>
            <w:cnfStyle w:val="001000000000" w:firstRow="0" w:lastRow="0" w:firstColumn="1" w:lastColumn="0" w:oddVBand="0" w:evenVBand="0" w:oddHBand="0" w:evenHBand="0" w:firstRowFirstColumn="0" w:firstRowLastColumn="0" w:lastRowFirstColumn="0" w:lastRowLastColumn="0"/>
            <w:tcW w:w="3060" w:type="pct"/>
            <w:hideMark/>
          </w:tcPr>
          <w:p w14:paraId="7C93467F" w14:textId="0D4FD2B5" w:rsidR="00101566" w:rsidRPr="00BA6459" w:rsidRDefault="00101566" w:rsidP="0005592A">
            <w:pPr>
              <w:pStyle w:val="TableTextIndented"/>
              <w:rPr>
                <w:rFonts w:cs="Calibri"/>
                <w:b w:val="0"/>
                <w:color w:val="000000" w:themeColor="text1"/>
              </w:rPr>
            </w:pPr>
            <w:r w:rsidRPr="00004355">
              <w:t>Aged Care Quality &amp; Safety Commission</w:t>
            </w:r>
          </w:p>
        </w:tc>
        <w:tc>
          <w:tcPr>
            <w:tcW w:w="1045" w:type="pct"/>
            <w:hideMark/>
          </w:tcPr>
          <w:p w14:paraId="39047E48" w14:textId="468B2232"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100</w:t>
            </w:r>
          </w:p>
        </w:tc>
        <w:tc>
          <w:tcPr>
            <w:tcW w:w="895" w:type="pct"/>
            <w:hideMark/>
          </w:tcPr>
          <w:p w14:paraId="7C6D6BA4" w14:textId="74A02F0E"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6B9A1A05"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94C22AF" w14:textId="120CCCB5" w:rsidR="00101566" w:rsidRPr="00BA6459" w:rsidRDefault="00101566" w:rsidP="0005592A">
            <w:pPr>
              <w:pStyle w:val="TableTextIndented"/>
              <w:rPr>
                <w:rFonts w:cs="Calibri"/>
                <w:b w:val="0"/>
                <w:color w:val="000000" w:themeColor="text1"/>
              </w:rPr>
            </w:pPr>
            <w:r w:rsidRPr="00004355">
              <w:t>ARPANSA</w:t>
            </w:r>
          </w:p>
        </w:tc>
        <w:tc>
          <w:tcPr>
            <w:tcW w:w="1045" w:type="pct"/>
            <w:hideMark/>
          </w:tcPr>
          <w:p w14:paraId="58DB6A0A" w14:textId="62ABB05A"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95.1</w:t>
            </w:r>
          </w:p>
        </w:tc>
        <w:tc>
          <w:tcPr>
            <w:tcW w:w="895" w:type="pct"/>
            <w:hideMark/>
          </w:tcPr>
          <w:p w14:paraId="747FF2FF" w14:textId="33202C46"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3DD97A8A"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1E5158D" w14:textId="744F3CDD" w:rsidR="00101566" w:rsidRPr="00BA6459" w:rsidRDefault="00101566" w:rsidP="0005592A">
            <w:pPr>
              <w:pStyle w:val="TableTextIndented"/>
              <w:rPr>
                <w:rFonts w:cs="Calibri"/>
                <w:b w:val="0"/>
                <w:color w:val="000000" w:themeColor="text1"/>
              </w:rPr>
            </w:pPr>
            <w:r w:rsidRPr="00004355">
              <w:t>Asbestos Safety &amp; Eradication Agency</w:t>
            </w:r>
          </w:p>
        </w:tc>
        <w:tc>
          <w:tcPr>
            <w:tcW w:w="1045" w:type="pct"/>
            <w:hideMark/>
          </w:tcPr>
          <w:p w14:paraId="1C786CB6" w14:textId="6F9964E1"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100</w:t>
            </w:r>
          </w:p>
        </w:tc>
        <w:tc>
          <w:tcPr>
            <w:tcW w:w="895" w:type="pct"/>
            <w:hideMark/>
          </w:tcPr>
          <w:p w14:paraId="52EF3538" w14:textId="65D431D0"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6B7CE430"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B3EC7C3" w14:textId="1887F732" w:rsidR="00101566" w:rsidRPr="00BA6459" w:rsidRDefault="00101566" w:rsidP="0005592A">
            <w:pPr>
              <w:pStyle w:val="TableTextIndented"/>
              <w:rPr>
                <w:rFonts w:cs="Calibri"/>
                <w:b w:val="0"/>
                <w:color w:val="000000" w:themeColor="text1"/>
              </w:rPr>
            </w:pPr>
            <w:r w:rsidRPr="00004355">
              <w:t>ASIC</w:t>
            </w:r>
          </w:p>
        </w:tc>
        <w:tc>
          <w:tcPr>
            <w:tcW w:w="1045" w:type="pct"/>
            <w:hideMark/>
          </w:tcPr>
          <w:p w14:paraId="1282768F" w14:textId="6ABFF310"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99.1</w:t>
            </w:r>
          </w:p>
        </w:tc>
        <w:tc>
          <w:tcPr>
            <w:tcW w:w="895" w:type="pct"/>
            <w:hideMark/>
          </w:tcPr>
          <w:p w14:paraId="320B02F3" w14:textId="35B1052C"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100</w:t>
            </w:r>
          </w:p>
        </w:tc>
      </w:tr>
      <w:tr w:rsidR="00101566" w14:paraId="58FAC184"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14B0351" w14:textId="2BBB97F7" w:rsidR="00101566" w:rsidRPr="00BA6459" w:rsidRDefault="00101566" w:rsidP="0005592A">
            <w:pPr>
              <w:pStyle w:val="TableTextIndented"/>
              <w:rPr>
                <w:rFonts w:cs="Calibri"/>
                <w:b w:val="0"/>
                <w:color w:val="000000" w:themeColor="text1"/>
              </w:rPr>
            </w:pPr>
            <w:r w:rsidRPr="00004355">
              <w:t>Attorney-General's Department</w:t>
            </w:r>
          </w:p>
        </w:tc>
        <w:tc>
          <w:tcPr>
            <w:tcW w:w="1045" w:type="pct"/>
            <w:hideMark/>
          </w:tcPr>
          <w:p w14:paraId="25CB1A43" w14:textId="60DC993B"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95.9</w:t>
            </w:r>
          </w:p>
        </w:tc>
        <w:tc>
          <w:tcPr>
            <w:tcW w:w="895" w:type="pct"/>
            <w:hideMark/>
          </w:tcPr>
          <w:p w14:paraId="7BBB3C07" w14:textId="605F8FE2"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E3B9F73"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6DED13A" w14:textId="4D1FB5E1" w:rsidR="00101566" w:rsidRPr="00BA6459" w:rsidRDefault="00101566" w:rsidP="0005592A">
            <w:pPr>
              <w:pStyle w:val="TableTextIndented"/>
              <w:rPr>
                <w:rFonts w:cs="Calibri"/>
                <w:b w:val="0"/>
                <w:color w:val="000000" w:themeColor="text1"/>
              </w:rPr>
            </w:pPr>
            <w:r w:rsidRPr="00004355">
              <w:t>AUSTRAC</w:t>
            </w:r>
          </w:p>
        </w:tc>
        <w:tc>
          <w:tcPr>
            <w:tcW w:w="1045" w:type="pct"/>
            <w:hideMark/>
          </w:tcPr>
          <w:p w14:paraId="4D0D639A" w14:textId="09EF6645"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92.4</w:t>
            </w:r>
          </w:p>
        </w:tc>
        <w:tc>
          <w:tcPr>
            <w:tcW w:w="895" w:type="pct"/>
            <w:hideMark/>
          </w:tcPr>
          <w:p w14:paraId="15B2FA5E" w14:textId="67DD1522"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50A6A424"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060B434" w14:textId="278097EA" w:rsidR="00101566" w:rsidRPr="00BA6459" w:rsidRDefault="00101566" w:rsidP="0005592A">
            <w:pPr>
              <w:pStyle w:val="TableTextIndented"/>
              <w:rPr>
                <w:rFonts w:cs="Calibri"/>
                <w:b w:val="0"/>
                <w:color w:val="000000" w:themeColor="text1"/>
              </w:rPr>
            </w:pPr>
            <w:r w:rsidRPr="00004355">
              <w:t>Austrade</w:t>
            </w:r>
          </w:p>
        </w:tc>
        <w:tc>
          <w:tcPr>
            <w:tcW w:w="1045" w:type="pct"/>
            <w:hideMark/>
          </w:tcPr>
          <w:p w14:paraId="38EDF5EC" w14:textId="403325E1"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85.8</w:t>
            </w:r>
          </w:p>
        </w:tc>
        <w:tc>
          <w:tcPr>
            <w:tcW w:w="895" w:type="pct"/>
            <w:hideMark/>
          </w:tcPr>
          <w:p w14:paraId="1C004012" w14:textId="30565A76"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1F86BBE"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3F3DC5C" w14:textId="0F2AB21A" w:rsidR="00101566" w:rsidRPr="00BA6459" w:rsidRDefault="00101566" w:rsidP="0005592A">
            <w:pPr>
              <w:pStyle w:val="TableTextIndented"/>
              <w:rPr>
                <w:rFonts w:cs="Calibri"/>
                <w:b w:val="0"/>
                <w:color w:val="000000" w:themeColor="text1"/>
              </w:rPr>
            </w:pPr>
            <w:r w:rsidRPr="00004355">
              <w:t>Australian Accounting Standards Board</w:t>
            </w:r>
            <w:r w:rsidR="00B15118">
              <w:t xml:space="preserve"> and Auditing and Assurance Standards Board</w:t>
            </w:r>
          </w:p>
        </w:tc>
        <w:tc>
          <w:tcPr>
            <w:tcW w:w="1045" w:type="pct"/>
            <w:hideMark/>
          </w:tcPr>
          <w:p w14:paraId="5D5982BF" w14:textId="05410727"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93.5</w:t>
            </w:r>
          </w:p>
        </w:tc>
        <w:tc>
          <w:tcPr>
            <w:tcW w:w="895" w:type="pct"/>
            <w:hideMark/>
          </w:tcPr>
          <w:p w14:paraId="4DF9C49C" w14:textId="28F4ACA0"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8B0944B"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24A0E0C" w14:textId="4D8F4181" w:rsidR="00101566" w:rsidRPr="00BA6459" w:rsidRDefault="00101566" w:rsidP="0005592A">
            <w:pPr>
              <w:pStyle w:val="TableTextIndented"/>
              <w:rPr>
                <w:rFonts w:cs="Calibri"/>
                <w:b w:val="0"/>
                <w:color w:val="000000" w:themeColor="text1"/>
              </w:rPr>
            </w:pPr>
            <w:r w:rsidRPr="00004355">
              <w:t>Australian Building and Construction Commission</w:t>
            </w:r>
          </w:p>
        </w:tc>
        <w:tc>
          <w:tcPr>
            <w:tcW w:w="1045" w:type="pct"/>
            <w:hideMark/>
          </w:tcPr>
          <w:p w14:paraId="5E09BAC7" w14:textId="2ABC118D"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80.4</w:t>
            </w:r>
          </w:p>
        </w:tc>
        <w:tc>
          <w:tcPr>
            <w:tcW w:w="895" w:type="pct"/>
            <w:hideMark/>
          </w:tcPr>
          <w:p w14:paraId="364F3BA9" w14:textId="6296DBE8"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E46D291"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935C92D" w14:textId="507F4C4A" w:rsidR="00101566" w:rsidRPr="00BA6459" w:rsidRDefault="00101566" w:rsidP="0005592A">
            <w:pPr>
              <w:pStyle w:val="TableTextIndented"/>
              <w:rPr>
                <w:rFonts w:cs="Calibri"/>
                <w:b w:val="0"/>
                <w:color w:val="000000" w:themeColor="text1"/>
              </w:rPr>
            </w:pPr>
            <w:r w:rsidRPr="00004355">
              <w:t>Australian Bureau of Statistics</w:t>
            </w:r>
          </w:p>
        </w:tc>
        <w:tc>
          <w:tcPr>
            <w:tcW w:w="1045" w:type="pct"/>
            <w:hideMark/>
          </w:tcPr>
          <w:p w14:paraId="2F73AB93" w14:textId="0BFA1269"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96.6</w:t>
            </w:r>
          </w:p>
        </w:tc>
        <w:tc>
          <w:tcPr>
            <w:tcW w:w="895" w:type="pct"/>
            <w:hideMark/>
          </w:tcPr>
          <w:p w14:paraId="0389F348" w14:textId="38CD43DB"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100</w:t>
            </w:r>
          </w:p>
        </w:tc>
      </w:tr>
      <w:tr w:rsidR="00101566" w14:paraId="77547F96"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E08F478" w14:textId="4478A98E" w:rsidR="00101566" w:rsidRPr="00BA6459" w:rsidRDefault="00101566" w:rsidP="0005592A">
            <w:pPr>
              <w:pStyle w:val="TableTextIndented"/>
              <w:rPr>
                <w:rFonts w:cs="Calibri"/>
                <w:b w:val="0"/>
                <w:color w:val="000000" w:themeColor="text1"/>
              </w:rPr>
            </w:pPr>
            <w:r w:rsidRPr="00004355">
              <w:t>Australian Centre for International Agricultural Research</w:t>
            </w:r>
          </w:p>
        </w:tc>
        <w:tc>
          <w:tcPr>
            <w:tcW w:w="1045" w:type="pct"/>
            <w:hideMark/>
          </w:tcPr>
          <w:p w14:paraId="189779BC" w14:textId="13A104DD"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95.7</w:t>
            </w:r>
          </w:p>
        </w:tc>
        <w:tc>
          <w:tcPr>
            <w:tcW w:w="895" w:type="pct"/>
            <w:hideMark/>
          </w:tcPr>
          <w:p w14:paraId="0625E87C" w14:textId="787A37C8"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C48F494"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FAF9393" w14:textId="33447209" w:rsidR="00101566" w:rsidRPr="00BA6459" w:rsidRDefault="00101566" w:rsidP="0005592A">
            <w:pPr>
              <w:pStyle w:val="TableTextIndented"/>
              <w:rPr>
                <w:rFonts w:cs="Calibri"/>
                <w:b w:val="0"/>
                <w:color w:val="000000" w:themeColor="text1"/>
              </w:rPr>
            </w:pPr>
            <w:r w:rsidRPr="00004355">
              <w:t>Australian Communications and Media Authority</w:t>
            </w:r>
          </w:p>
        </w:tc>
        <w:tc>
          <w:tcPr>
            <w:tcW w:w="1045" w:type="pct"/>
            <w:hideMark/>
          </w:tcPr>
          <w:p w14:paraId="0DBD78CC" w14:textId="23444709"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97.8</w:t>
            </w:r>
          </w:p>
        </w:tc>
        <w:tc>
          <w:tcPr>
            <w:tcW w:w="895" w:type="pct"/>
            <w:hideMark/>
          </w:tcPr>
          <w:p w14:paraId="38CFF078" w14:textId="61097479"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3241D4C"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5DB8218" w14:textId="42C62C4F" w:rsidR="00101566" w:rsidRPr="00BA6459" w:rsidRDefault="00101566" w:rsidP="0005592A">
            <w:pPr>
              <w:pStyle w:val="TableTextIndented"/>
              <w:rPr>
                <w:rFonts w:cs="Calibri"/>
                <w:b w:val="0"/>
                <w:color w:val="000000" w:themeColor="text1"/>
              </w:rPr>
            </w:pPr>
            <w:r w:rsidRPr="00004355">
              <w:t>Australian Competition and Consumer Commission</w:t>
            </w:r>
          </w:p>
        </w:tc>
        <w:tc>
          <w:tcPr>
            <w:tcW w:w="1045" w:type="pct"/>
            <w:hideMark/>
          </w:tcPr>
          <w:p w14:paraId="411AB2A1" w14:textId="0D65F951"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90.6</w:t>
            </w:r>
          </w:p>
        </w:tc>
        <w:tc>
          <w:tcPr>
            <w:tcW w:w="895" w:type="pct"/>
            <w:hideMark/>
          </w:tcPr>
          <w:p w14:paraId="38439125" w14:textId="2E0033CA"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3F7DDEB9"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B84B2D1" w14:textId="58CF8C72" w:rsidR="00101566" w:rsidRPr="00BA6459" w:rsidRDefault="00101566" w:rsidP="0005592A">
            <w:pPr>
              <w:pStyle w:val="TableTextIndented"/>
              <w:rPr>
                <w:rFonts w:cs="Calibri"/>
                <w:b w:val="0"/>
                <w:color w:val="000000" w:themeColor="text1"/>
              </w:rPr>
            </w:pPr>
            <w:r w:rsidRPr="00004355">
              <w:t>Australian Criminal Intelligence Commission</w:t>
            </w:r>
          </w:p>
        </w:tc>
        <w:tc>
          <w:tcPr>
            <w:tcW w:w="1045" w:type="pct"/>
            <w:hideMark/>
          </w:tcPr>
          <w:p w14:paraId="5CCCDD55" w14:textId="1C1A5220"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93.3</w:t>
            </w:r>
          </w:p>
        </w:tc>
        <w:tc>
          <w:tcPr>
            <w:tcW w:w="895" w:type="pct"/>
            <w:hideMark/>
          </w:tcPr>
          <w:p w14:paraId="3A53E4D0" w14:textId="517EDA3D"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7B5A2F" w14:paraId="7C0F9C6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tcPr>
          <w:p w14:paraId="2BBC0E9D" w14:textId="442CF59D" w:rsidR="007B5A2F" w:rsidRPr="00004355" w:rsidRDefault="007B5A2F" w:rsidP="0005592A">
            <w:pPr>
              <w:pStyle w:val="TableTextIndented"/>
              <w:rPr>
                <w:b w:val="0"/>
              </w:rPr>
            </w:pPr>
            <w:r>
              <w:t xml:space="preserve">Australian Commission </w:t>
            </w:r>
            <w:r w:rsidR="007B0F9E">
              <w:t>for</w:t>
            </w:r>
            <w:r>
              <w:t xml:space="preserve"> Law Enforcement Integrity </w:t>
            </w:r>
          </w:p>
        </w:tc>
        <w:tc>
          <w:tcPr>
            <w:tcW w:w="1045" w:type="pct"/>
          </w:tcPr>
          <w:p w14:paraId="688963EA" w14:textId="64DC0AEA" w:rsidR="007B5A2F" w:rsidRPr="004A0C37" w:rsidRDefault="007B5A2F" w:rsidP="0005592A">
            <w:pPr>
              <w:pStyle w:val="TableTextIndented"/>
              <w:cnfStyle w:val="000000000000" w:firstRow="0" w:lastRow="0" w:firstColumn="0" w:lastColumn="0" w:oddVBand="0" w:evenVBand="0" w:oddHBand="0" w:evenHBand="0" w:firstRowFirstColumn="0" w:firstRowLastColumn="0" w:lastRowFirstColumn="0" w:lastRowLastColumn="0"/>
            </w:pPr>
            <w:r>
              <w:t>93.9</w:t>
            </w:r>
          </w:p>
        </w:tc>
        <w:tc>
          <w:tcPr>
            <w:tcW w:w="895" w:type="pct"/>
          </w:tcPr>
          <w:p w14:paraId="79CB01C3" w14:textId="5289F62D" w:rsidR="007B5A2F" w:rsidRPr="005C2E25" w:rsidRDefault="002A07D2" w:rsidP="0005592A">
            <w:pPr>
              <w:pStyle w:val="TableTextIndented"/>
              <w:cnfStyle w:val="000000000000" w:firstRow="0" w:lastRow="0" w:firstColumn="0" w:lastColumn="0" w:oddVBand="0" w:evenVBand="0" w:oddHBand="0" w:evenHBand="0" w:firstRowFirstColumn="0" w:firstRowLastColumn="0" w:lastRowFirstColumn="0" w:lastRowLastColumn="0"/>
            </w:pPr>
            <w:r>
              <w:t>N/A</w:t>
            </w:r>
          </w:p>
        </w:tc>
      </w:tr>
      <w:tr w:rsidR="00101566" w14:paraId="7786F7FC"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AD62CE8" w14:textId="0A873CF7" w:rsidR="00101566" w:rsidRPr="00BA6459" w:rsidRDefault="00101566" w:rsidP="0005592A">
            <w:pPr>
              <w:pStyle w:val="TableTextIndented"/>
              <w:rPr>
                <w:rFonts w:cs="Calibri"/>
                <w:b w:val="0"/>
                <w:color w:val="000000" w:themeColor="text1"/>
              </w:rPr>
            </w:pPr>
            <w:r w:rsidRPr="00004355">
              <w:t>Australian Electoral Commission</w:t>
            </w:r>
          </w:p>
        </w:tc>
        <w:tc>
          <w:tcPr>
            <w:tcW w:w="1045" w:type="pct"/>
            <w:hideMark/>
          </w:tcPr>
          <w:p w14:paraId="6585A7FB" w14:textId="689B8F18"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84.6</w:t>
            </w:r>
          </w:p>
        </w:tc>
        <w:tc>
          <w:tcPr>
            <w:tcW w:w="895" w:type="pct"/>
            <w:hideMark/>
          </w:tcPr>
          <w:p w14:paraId="538A3102" w14:textId="3DFECBF6"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9788BBD"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FE46BB8" w14:textId="72E35EAD" w:rsidR="00101566" w:rsidRPr="00BA6459" w:rsidRDefault="00101566" w:rsidP="0005592A">
            <w:pPr>
              <w:pStyle w:val="TableTextIndented"/>
              <w:rPr>
                <w:rFonts w:cs="Calibri"/>
                <w:b w:val="0"/>
                <w:color w:val="000000" w:themeColor="text1"/>
              </w:rPr>
            </w:pPr>
            <w:r w:rsidRPr="00004355">
              <w:t>Australian Federal Police</w:t>
            </w:r>
          </w:p>
        </w:tc>
        <w:tc>
          <w:tcPr>
            <w:tcW w:w="1045" w:type="pct"/>
            <w:hideMark/>
          </w:tcPr>
          <w:p w14:paraId="49053E58" w14:textId="32CD6EA0"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95.3</w:t>
            </w:r>
          </w:p>
        </w:tc>
        <w:tc>
          <w:tcPr>
            <w:tcW w:w="895" w:type="pct"/>
            <w:hideMark/>
          </w:tcPr>
          <w:p w14:paraId="6935A144" w14:textId="7296681B"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4C5300D7"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095A9ED" w14:textId="0F515205" w:rsidR="00101566" w:rsidRPr="00BA6459" w:rsidRDefault="00101566" w:rsidP="0005592A">
            <w:pPr>
              <w:pStyle w:val="TableTextIndented"/>
              <w:rPr>
                <w:rFonts w:cs="Calibri"/>
                <w:b w:val="0"/>
                <w:color w:val="000000" w:themeColor="text1"/>
              </w:rPr>
            </w:pPr>
            <w:r w:rsidRPr="00004355">
              <w:t>Australian Financial Security Authority</w:t>
            </w:r>
          </w:p>
        </w:tc>
        <w:tc>
          <w:tcPr>
            <w:tcW w:w="1045" w:type="pct"/>
            <w:hideMark/>
          </w:tcPr>
          <w:p w14:paraId="78A4C1E2" w14:textId="0E19C0FA"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97.6</w:t>
            </w:r>
          </w:p>
        </w:tc>
        <w:tc>
          <w:tcPr>
            <w:tcW w:w="895" w:type="pct"/>
            <w:hideMark/>
          </w:tcPr>
          <w:p w14:paraId="63AF04AB" w14:textId="2DE8C6FA"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DDA8F86"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7542773" w14:textId="695A042E" w:rsidR="00101566" w:rsidRPr="00BA6459" w:rsidRDefault="00101566" w:rsidP="0005592A">
            <w:pPr>
              <w:pStyle w:val="TableTextIndented"/>
              <w:rPr>
                <w:rFonts w:cs="Calibri"/>
                <w:b w:val="0"/>
                <w:color w:val="000000" w:themeColor="text1"/>
              </w:rPr>
            </w:pPr>
            <w:r w:rsidRPr="00004355">
              <w:t>Australian Fisheries Management Authority</w:t>
            </w:r>
          </w:p>
        </w:tc>
        <w:tc>
          <w:tcPr>
            <w:tcW w:w="1045" w:type="pct"/>
            <w:hideMark/>
          </w:tcPr>
          <w:p w14:paraId="627A3D78" w14:textId="0D0CE9E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89.3</w:t>
            </w:r>
          </w:p>
        </w:tc>
        <w:tc>
          <w:tcPr>
            <w:tcW w:w="895" w:type="pct"/>
            <w:hideMark/>
          </w:tcPr>
          <w:p w14:paraId="06950481" w14:textId="35C9301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66F23130"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4C0C62B" w14:textId="02476C94" w:rsidR="00101566" w:rsidRPr="00BA6459" w:rsidRDefault="00101566" w:rsidP="0005592A">
            <w:pPr>
              <w:pStyle w:val="TableTextIndented"/>
              <w:rPr>
                <w:rFonts w:cs="Calibri"/>
                <w:b w:val="0"/>
                <w:color w:val="000000" w:themeColor="text1"/>
              </w:rPr>
            </w:pPr>
            <w:r w:rsidRPr="00004355">
              <w:t>Australian Institute of Criminology</w:t>
            </w:r>
          </w:p>
        </w:tc>
        <w:tc>
          <w:tcPr>
            <w:tcW w:w="1045" w:type="pct"/>
            <w:hideMark/>
          </w:tcPr>
          <w:p w14:paraId="527F4C31" w14:textId="4376D7E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86.1</w:t>
            </w:r>
          </w:p>
        </w:tc>
        <w:tc>
          <w:tcPr>
            <w:tcW w:w="895" w:type="pct"/>
            <w:hideMark/>
          </w:tcPr>
          <w:p w14:paraId="789AD534" w14:textId="3F16ECC1"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30D33B54"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455DDAB" w14:textId="6D858CE1" w:rsidR="00101566" w:rsidRPr="00BA6459" w:rsidRDefault="00101566" w:rsidP="0005592A">
            <w:pPr>
              <w:pStyle w:val="TableTextIndented"/>
              <w:rPr>
                <w:rFonts w:cs="Calibri"/>
                <w:b w:val="0"/>
                <w:color w:val="000000" w:themeColor="text1"/>
              </w:rPr>
            </w:pPr>
            <w:r w:rsidRPr="00004355">
              <w:t>Australian Institute of Family Studies</w:t>
            </w:r>
          </w:p>
        </w:tc>
        <w:tc>
          <w:tcPr>
            <w:tcW w:w="1045" w:type="pct"/>
            <w:hideMark/>
          </w:tcPr>
          <w:p w14:paraId="1D25E428" w14:textId="41468D18"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86.4</w:t>
            </w:r>
          </w:p>
        </w:tc>
        <w:tc>
          <w:tcPr>
            <w:tcW w:w="895" w:type="pct"/>
            <w:hideMark/>
          </w:tcPr>
          <w:p w14:paraId="51AE8FE6" w14:textId="74033C4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26DFC82"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297D803" w14:textId="3B2D313C" w:rsidR="00101566" w:rsidRPr="00BA6459" w:rsidRDefault="00101566" w:rsidP="0005592A">
            <w:pPr>
              <w:pStyle w:val="TableTextIndented"/>
              <w:rPr>
                <w:rFonts w:cs="Calibri"/>
                <w:b w:val="0"/>
                <w:color w:val="000000" w:themeColor="text1"/>
              </w:rPr>
            </w:pPr>
            <w:r w:rsidRPr="00004355">
              <w:lastRenderedPageBreak/>
              <w:t>Australian National Audit Office</w:t>
            </w:r>
          </w:p>
        </w:tc>
        <w:tc>
          <w:tcPr>
            <w:tcW w:w="1045" w:type="pct"/>
            <w:hideMark/>
          </w:tcPr>
          <w:p w14:paraId="0646C469" w14:textId="4A9F9E12"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78.6</w:t>
            </w:r>
          </w:p>
        </w:tc>
        <w:tc>
          <w:tcPr>
            <w:tcW w:w="895" w:type="pct"/>
            <w:hideMark/>
          </w:tcPr>
          <w:p w14:paraId="63E99109" w14:textId="140B42DA"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62D2627B"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07CD2D5" w14:textId="0F10724D" w:rsidR="00101566" w:rsidRPr="00BA6459" w:rsidRDefault="00101566" w:rsidP="0005592A">
            <w:pPr>
              <w:pStyle w:val="TableTextIndented"/>
              <w:rPr>
                <w:rFonts w:cs="Calibri"/>
                <w:b w:val="0"/>
                <w:color w:val="000000" w:themeColor="text1"/>
              </w:rPr>
            </w:pPr>
            <w:r w:rsidRPr="00004355">
              <w:t>Australian Office of Financial Management</w:t>
            </w:r>
          </w:p>
        </w:tc>
        <w:tc>
          <w:tcPr>
            <w:tcW w:w="1045" w:type="pct"/>
            <w:hideMark/>
          </w:tcPr>
          <w:p w14:paraId="6FB0F36B" w14:textId="687FF5E6"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88.4</w:t>
            </w:r>
          </w:p>
        </w:tc>
        <w:tc>
          <w:tcPr>
            <w:tcW w:w="895" w:type="pct"/>
            <w:hideMark/>
          </w:tcPr>
          <w:p w14:paraId="727738FE" w14:textId="11869E88"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236DB2FC"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C18EC6A" w14:textId="747C7C4E" w:rsidR="00101566" w:rsidRPr="00BA6459" w:rsidRDefault="00101566" w:rsidP="0005592A">
            <w:pPr>
              <w:pStyle w:val="TableTextIndented"/>
              <w:rPr>
                <w:rFonts w:cs="Calibri"/>
                <w:b w:val="0"/>
                <w:color w:val="000000" w:themeColor="text1"/>
              </w:rPr>
            </w:pPr>
            <w:r w:rsidRPr="00004355">
              <w:t>Australian Prudential Regulation Authority (APRA)</w:t>
            </w:r>
          </w:p>
        </w:tc>
        <w:tc>
          <w:tcPr>
            <w:tcW w:w="1045" w:type="pct"/>
            <w:hideMark/>
          </w:tcPr>
          <w:p w14:paraId="23326F48" w14:textId="10095ED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100</w:t>
            </w:r>
          </w:p>
        </w:tc>
        <w:tc>
          <w:tcPr>
            <w:tcW w:w="895" w:type="pct"/>
            <w:hideMark/>
          </w:tcPr>
          <w:p w14:paraId="60E3EFA7" w14:textId="7A21BE50"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62F7463F"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27834CE" w14:textId="7B8F05BC" w:rsidR="00101566" w:rsidRPr="00BA6459" w:rsidRDefault="00101566" w:rsidP="0005592A">
            <w:pPr>
              <w:pStyle w:val="TableTextIndented"/>
              <w:rPr>
                <w:rFonts w:cs="Calibri"/>
                <w:b w:val="0"/>
                <w:color w:val="000000" w:themeColor="text1"/>
              </w:rPr>
            </w:pPr>
            <w:r w:rsidRPr="00004355">
              <w:t>Australian Public Service Commission</w:t>
            </w:r>
          </w:p>
        </w:tc>
        <w:tc>
          <w:tcPr>
            <w:tcW w:w="1045" w:type="pct"/>
            <w:hideMark/>
          </w:tcPr>
          <w:p w14:paraId="188E92B6" w14:textId="5287E8E5"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93.9</w:t>
            </w:r>
          </w:p>
        </w:tc>
        <w:tc>
          <w:tcPr>
            <w:tcW w:w="895" w:type="pct"/>
            <w:hideMark/>
          </w:tcPr>
          <w:p w14:paraId="309F1BB9" w14:textId="6956F7B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41261099"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34EC803" w14:textId="486AA27D" w:rsidR="00101566" w:rsidRPr="00BA6459" w:rsidRDefault="00101566" w:rsidP="0005592A">
            <w:pPr>
              <w:pStyle w:val="TableTextIndented"/>
              <w:rPr>
                <w:rFonts w:cs="Calibri"/>
                <w:b w:val="0"/>
                <w:color w:val="000000" w:themeColor="text1"/>
              </w:rPr>
            </w:pPr>
            <w:r w:rsidRPr="00004355">
              <w:t>Australian Research Council</w:t>
            </w:r>
          </w:p>
        </w:tc>
        <w:tc>
          <w:tcPr>
            <w:tcW w:w="1045" w:type="pct"/>
            <w:hideMark/>
          </w:tcPr>
          <w:p w14:paraId="405BEEDC" w14:textId="42FE790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88.0</w:t>
            </w:r>
          </w:p>
        </w:tc>
        <w:tc>
          <w:tcPr>
            <w:tcW w:w="895" w:type="pct"/>
            <w:hideMark/>
          </w:tcPr>
          <w:p w14:paraId="21E74A9C" w14:textId="1BDADB13"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21EA46CC"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C5793D2" w14:textId="3613365A" w:rsidR="00101566" w:rsidRPr="00BA6459" w:rsidRDefault="00101566" w:rsidP="0005592A">
            <w:pPr>
              <w:pStyle w:val="TableTextIndented"/>
              <w:rPr>
                <w:rFonts w:cs="Calibri"/>
                <w:b w:val="0"/>
                <w:color w:val="000000" w:themeColor="text1"/>
              </w:rPr>
            </w:pPr>
            <w:r w:rsidRPr="00004355">
              <w:t>Australian Security Intelligence Organisation</w:t>
            </w:r>
          </w:p>
        </w:tc>
        <w:tc>
          <w:tcPr>
            <w:tcW w:w="1045" w:type="pct"/>
            <w:hideMark/>
          </w:tcPr>
          <w:p w14:paraId="76CEE21C" w14:textId="3775C13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80.2</w:t>
            </w:r>
          </w:p>
        </w:tc>
        <w:tc>
          <w:tcPr>
            <w:tcW w:w="895" w:type="pct"/>
            <w:hideMark/>
          </w:tcPr>
          <w:p w14:paraId="79C55211" w14:textId="4B6F91A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4EA32E57" w14:textId="77777777" w:rsidTr="002F779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60" w:type="pct"/>
            <w:hideMark/>
          </w:tcPr>
          <w:p w14:paraId="33AAB3E3" w14:textId="1234557E" w:rsidR="00101566" w:rsidRPr="00BA6459" w:rsidRDefault="00101566" w:rsidP="0005592A">
            <w:pPr>
              <w:pStyle w:val="TableTextIndented"/>
              <w:rPr>
                <w:rFonts w:cs="Calibri"/>
                <w:b w:val="0"/>
                <w:color w:val="000000" w:themeColor="text1"/>
              </w:rPr>
            </w:pPr>
            <w:r w:rsidRPr="00004355">
              <w:t>Australian Signals Directorate</w:t>
            </w:r>
          </w:p>
        </w:tc>
        <w:tc>
          <w:tcPr>
            <w:tcW w:w="1045" w:type="pct"/>
            <w:hideMark/>
          </w:tcPr>
          <w:p w14:paraId="36C3D2A6" w14:textId="3B82DD69"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89.8</w:t>
            </w:r>
          </w:p>
        </w:tc>
        <w:tc>
          <w:tcPr>
            <w:tcW w:w="895" w:type="pct"/>
            <w:hideMark/>
          </w:tcPr>
          <w:p w14:paraId="1174F337" w14:textId="01E3A021"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19AE667"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535A3A2" w14:textId="1482BC7A" w:rsidR="00101566" w:rsidRPr="00BA6459" w:rsidRDefault="00101566" w:rsidP="0005592A">
            <w:pPr>
              <w:pStyle w:val="TableTextIndented"/>
              <w:rPr>
                <w:rFonts w:cs="Calibri"/>
                <w:b w:val="0"/>
                <w:color w:val="000000" w:themeColor="text1"/>
              </w:rPr>
            </w:pPr>
            <w:r w:rsidRPr="00004355">
              <w:t>Australian Skills Quality Authority</w:t>
            </w:r>
          </w:p>
        </w:tc>
        <w:tc>
          <w:tcPr>
            <w:tcW w:w="1045" w:type="pct"/>
            <w:hideMark/>
          </w:tcPr>
          <w:p w14:paraId="55D36A7F" w14:textId="2674CAF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95.5</w:t>
            </w:r>
          </w:p>
        </w:tc>
        <w:tc>
          <w:tcPr>
            <w:tcW w:w="895" w:type="pct"/>
            <w:hideMark/>
          </w:tcPr>
          <w:p w14:paraId="2AA97283" w14:textId="7211E66E"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D098F0B"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E85DCF3" w14:textId="33C1EEE4" w:rsidR="00101566" w:rsidRPr="00BA6459" w:rsidRDefault="00101566" w:rsidP="0005592A">
            <w:pPr>
              <w:pStyle w:val="TableTextIndented"/>
              <w:rPr>
                <w:rFonts w:cs="Calibri"/>
                <w:b w:val="0"/>
                <w:color w:val="000000" w:themeColor="text1"/>
              </w:rPr>
            </w:pPr>
            <w:r w:rsidRPr="00004355">
              <w:t>Australian Taxation Office</w:t>
            </w:r>
          </w:p>
        </w:tc>
        <w:tc>
          <w:tcPr>
            <w:tcW w:w="1045" w:type="pct"/>
            <w:hideMark/>
          </w:tcPr>
          <w:p w14:paraId="207A46D2" w14:textId="699BBDBF"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91.9</w:t>
            </w:r>
          </w:p>
        </w:tc>
        <w:tc>
          <w:tcPr>
            <w:tcW w:w="895" w:type="pct"/>
            <w:hideMark/>
          </w:tcPr>
          <w:p w14:paraId="0DFBB98A" w14:textId="16CB3BE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72.2</w:t>
            </w:r>
          </w:p>
        </w:tc>
      </w:tr>
      <w:tr w:rsidR="00101566" w14:paraId="44CC0FCA"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2C15D68" w14:textId="074A9E82" w:rsidR="00101566" w:rsidRPr="00BA6459" w:rsidRDefault="00101566" w:rsidP="0005592A">
            <w:pPr>
              <w:pStyle w:val="TableTextIndented"/>
              <w:rPr>
                <w:rFonts w:cs="Calibri"/>
                <w:b w:val="0"/>
                <w:color w:val="000000" w:themeColor="text1"/>
              </w:rPr>
            </w:pPr>
            <w:r w:rsidRPr="00004355">
              <w:t>Australian Transport Safety Bureau</w:t>
            </w:r>
          </w:p>
        </w:tc>
        <w:tc>
          <w:tcPr>
            <w:tcW w:w="1045" w:type="pct"/>
            <w:hideMark/>
          </w:tcPr>
          <w:p w14:paraId="0F293268" w14:textId="0DC6D06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66.4</w:t>
            </w:r>
          </w:p>
        </w:tc>
        <w:tc>
          <w:tcPr>
            <w:tcW w:w="895" w:type="pct"/>
            <w:hideMark/>
          </w:tcPr>
          <w:p w14:paraId="3A7F682B" w14:textId="6F3BEB4F"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BBB72F4"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3868DE0" w14:textId="68BF3107" w:rsidR="00101566" w:rsidRPr="00BA6459" w:rsidRDefault="00101566" w:rsidP="0005592A">
            <w:pPr>
              <w:pStyle w:val="TableTextIndented"/>
              <w:rPr>
                <w:rFonts w:cs="Calibri"/>
                <w:b w:val="0"/>
                <w:color w:val="000000" w:themeColor="text1"/>
              </w:rPr>
            </w:pPr>
            <w:r w:rsidRPr="00004355">
              <w:t>Bureau of Meteorology</w:t>
            </w:r>
          </w:p>
        </w:tc>
        <w:tc>
          <w:tcPr>
            <w:tcW w:w="1045" w:type="pct"/>
            <w:hideMark/>
          </w:tcPr>
          <w:p w14:paraId="3BFDADE1" w14:textId="1F351EEA"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49.6</w:t>
            </w:r>
          </w:p>
        </w:tc>
        <w:tc>
          <w:tcPr>
            <w:tcW w:w="895" w:type="pct"/>
            <w:hideMark/>
          </w:tcPr>
          <w:p w14:paraId="0E0472F9" w14:textId="793F471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70C958B"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135D2D5" w14:textId="0B9737B8" w:rsidR="00101566" w:rsidRPr="00BA6459" w:rsidRDefault="00101566" w:rsidP="0005592A">
            <w:pPr>
              <w:pStyle w:val="TableTextIndented"/>
              <w:rPr>
                <w:rFonts w:cs="Calibri"/>
                <w:b w:val="0"/>
                <w:color w:val="000000" w:themeColor="text1"/>
              </w:rPr>
            </w:pPr>
            <w:r w:rsidRPr="00004355">
              <w:t>Cancer Australia</w:t>
            </w:r>
          </w:p>
        </w:tc>
        <w:tc>
          <w:tcPr>
            <w:tcW w:w="1045" w:type="pct"/>
            <w:hideMark/>
          </w:tcPr>
          <w:p w14:paraId="48E60733" w14:textId="53EFAC48"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92.7</w:t>
            </w:r>
          </w:p>
        </w:tc>
        <w:tc>
          <w:tcPr>
            <w:tcW w:w="895" w:type="pct"/>
            <w:hideMark/>
          </w:tcPr>
          <w:p w14:paraId="3BAF16DB" w14:textId="3746118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4D13B430"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8D1C1FF" w14:textId="161C2179" w:rsidR="00101566" w:rsidRPr="00BA6459" w:rsidRDefault="00101566" w:rsidP="0005592A">
            <w:pPr>
              <w:pStyle w:val="TableTextIndented"/>
              <w:rPr>
                <w:rFonts w:cs="Calibri"/>
                <w:b w:val="0"/>
                <w:color w:val="000000" w:themeColor="text1"/>
              </w:rPr>
            </w:pPr>
            <w:r w:rsidRPr="00004355">
              <w:t>Clean Energy Regulator</w:t>
            </w:r>
          </w:p>
        </w:tc>
        <w:tc>
          <w:tcPr>
            <w:tcW w:w="1045" w:type="pct"/>
            <w:hideMark/>
          </w:tcPr>
          <w:p w14:paraId="320C3EEF" w14:textId="2CB1259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95.4</w:t>
            </w:r>
          </w:p>
        </w:tc>
        <w:tc>
          <w:tcPr>
            <w:tcW w:w="895" w:type="pct"/>
            <w:hideMark/>
          </w:tcPr>
          <w:p w14:paraId="1AD734DD" w14:textId="473F6B0F"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523B7D26"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7F46E3B" w14:textId="66FAF211" w:rsidR="00101566" w:rsidRPr="00BA6459" w:rsidRDefault="00101566" w:rsidP="0005592A">
            <w:pPr>
              <w:pStyle w:val="TableTextIndented"/>
              <w:rPr>
                <w:rFonts w:cs="Calibri"/>
                <w:b w:val="0"/>
                <w:color w:val="000000" w:themeColor="text1"/>
              </w:rPr>
            </w:pPr>
            <w:r w:rsidRPr="00004355">
              <w:t>Climate Change Authority</w:t>
            </w:r>
          </w:p>
        </w:tc>
        <w:tc>
          <w:tcPr>
            <w:tcW w:w="1045" w:type="pct"/>
            <w:hideMark/>
          </w:tcPr>
          <w:p w14:paraId="47358A46" w14:textId="22FCE19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75.0</w:t>
            </w:r>
          </w:p>
        </w:tc>
        <w:tc>
          <w:tcPr>
            <w:tcW w:w="895" w:type="pct"/>
            <w:hideMark/>
          </w:tcPr>
          <w:p w14:paraId="6C068C26" w14:textId="6A91CC0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D9162C9"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F3CF1A5" w14:textId="764DE436" w:rsidR="00101566" w:rsidRPr="00BA6459" w:rsidRDefault="00101566" w:rsidP="0005592A">
            <w:pPr>
              <w:pStyle w:val="TableTextIndented"/>
              <w:rPr>
                <w:rFonts w:cs="Calibri"/>
                <w:b w:val="0"/>
                <w:color w:val="000000" w:themeColor="text1"/>
              </w:rPr>
            </w:pPr>
            <w:r w:rsidRPr="00004355">
              <w:t>Commonwealth Director of Public Prosecutions</w:t>
            </w:r>
          </w:p>
        </w:tc>
        <w:tc>
          <w:tcPr>
            <w:tcW w:w="1045" w:type="pct"/>
            <w:hideMark/>
          </w:tcPr>
          <w:p w14:paraId="700F34C9" w14:textId="5A67F4E3"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91.8</w:t>
            </w:r>
          </w:p>
        </w:tc>
        <w:tc>
          <w:tcPr>
            <w:tcW w:w="895" w:type="pct"/>
            <w:hideMark/>
          </w:tcPr>
          <w:p w14:paraId="1268E7CD" w14:textId="152E7848"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351CFC63"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D87A584" w14:textId="32C91AA7" w:rsidR="00101566" w:rsidRPr="00BA6459" w:rsidRDefault="00101566" w:rsidP="0005592A">
            <w:pPr>
              <w:pStyle w:val="TableTextIndented"/>
              <w:rPr>
                <w:rFonts w:cs="Calibri"/>
                <w:b w:val="0"/>
                <w:color w:val="000000" w:themeColor="text1"/>
              </w:rPr>
            </w:pPr>
            <w:r w:rsidRPr="00004355">
              <w:t>Commonwealth Grants Commission</w:t>
            </w:r>
          </w:p>
        </w:tc>
        <w:tc>
          <w:tcPr>
            <w:tcW w:w="1045" w:type="pct"/>
            <w:hideMark/>
          </w:tcPr>
          <w:p w14:paraId="47E59364" w14:textId="612A92C9"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100</w:t>
            </w:r>
          </w:p>
        </w:tc>
        <w:tc>
          <w:tcPr>
            <w:tcW w:w="895" w:type="pct"/>
            <w:hideMark/>
          </w:tcPr>
          <w:p w14:paraId="4D544662" w14:textId="54FAD9BE"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8A04F4F"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40B3330" w14:textId="3680355A" w:rsidR="00101566" w:rsidRPr="00BA6459" w:rsidRDefault="00101566" w:rsidP="0005592A">
            <w:pPr>
              <w:pStyle w:val="TableTextIndented"/>
              <w:rPr>
                <w:rFonts w:cs="Calibri"/>
                <w:b w:val="0"/>
                <w:color w:val="000000" w:themeColor="text1"/>
              </w:rPr>
            </w:pPr>
            <w:r w:rsidRPr="00004355">
              <w:t>Department of Agriculture, Water, and the Environment</w:t>
            </w:r>
          </w:p>
        </w:tc>
        <w:tc>
          <w:tcPr>
            <w:tcW w:w="1045" w:type="pct"/>
            <w:hideMark/>
          </w:tcPr>
          <w:p w14:paraId="2CB78E62" w14:textId="394E1F8F"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93.4</w:t>
            </w:r>
          </w:p>
        </w:tc>
        <w:tc>
          <w:tcPr>
            <w:tcW w:w="895" w:type="pct"/>
            <w:hideMark/>
          </w:tcPr>
          <w:p w14:paraId="18DE0631" w14:textId="564776B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345F926"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90F4471" w14:textId="0EA20F7E" w:rsidR="00101566" w:rsidRPr="00BA6459" w:rsidRDefault="00101566" w:rsidP="0005592A">
            <w:pPr>
              <w:pStyle w:val="TableTextIndented"/>
              <w:rPr>
                <w:rFonts w:cs="Calibri"/>
                <w:b w:val="0"/>
                <w:color w:val="000000" w:themeColor="text1"/>
              </w:rPr>
            </w:pPr>
            <w:r w:rsidRPr="00004355">
              <w:t>Department of Defence</w:t>
            </w:r>
          </w:p>
        </w:tc>
        <w:tc>
          <w:tcPr>
            <w:tcW w:w="1045" w:type="pct"/>
            <w:hideMark/>
          </w:tcPr>
          <w:p w14:paraId="39C18C7A" w14:textId="051D7211"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96.3</w:t>
            </w:r>
          </w:p>
        </w:tc>
        <w:tc>
          <w:tcPr>
            <w:tcW w:w="895" w:type="pct"/>
            <w:hideMark/>
          </w:tcPr>
          <w:p w14:paraId="5136ED99" w14:textId="7AAA9DA6"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8847A96"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E73F63A" w14:textId="7E6EE8E7" w:rsidR="00101566" w:rsidRPr="00BA6459" w:rsidRDefault="00101566" w:rsidP="0005592A">
            <w:pPr>
              <w:pStyle w:val="TableTextIndented"/>
              <w:rPr>
                <w:rFonts w:cs="Calibri"/>
                <w:b w:val="0"/>
                <w:color w:val="000000" w:themeColor="text1"/>
              </w:rPr>
            </w:pPr>
            <w:r w:rsidRPr="00004355">
              <w:t>Department of Education, Skills and Employment</w:t>
            </w:r>
          </w:p>
        </w:tc>
        <w:tc>
          <w:tcPr>
            <w:tcW w:w="1045" w:type="pct"/>
            <w:hideMark/>
          </w:tcPr>
          <w:p w14:paraId="71B9FD96" w14:textId="55ADA3BB"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87.6</w:t>
            </w:r>
          </w:p>
        </w:tc>
        <w:tc>
          <w:tcPr>
            <w:tcW w:w="895" w:type="pct"/>
            <w:hideMark/>
          </w:tcPr>
          <w:p w14:paraId="074260B3" w14:textId="6452265B"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71.4</w:t>
            </w:r>
          </w:p>
        </w:tc>
      </w:tr>
      <w:tr w:rsidR="00101566" w14:paraId="02AB5BE9"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D5F91E1" w14:textId="56A31ED7" w:rsidR="00101566" w:rsidRPr="00BA6459" w:rsidRDefault="00101566" w:rsidP="0005592A">
            <w:pPr>
              <w:pStyle w:val="TableTextIndented"/>
              <w:rPr>
                <w:rFonts w:cs="Calibri"/>
                <w:b w:val="0"/>
                <w:color w:val="000000" w:themeColor="text1"/>
              </w:rPr>
            </w:pPr>
            <w:r w:rsidRPr="00004355">
              <w:t>Department of Finance</w:t>
            </w:r>
          </w:p>
        </w:tc>
        <w:tc>
          <w:tcPr>
            <w:tcW w:w="1045" w:type="pct"/>
            <w:hideMark/>
          </w:tcPr>
          <w:p w14:paraId="466C1FDB" w14:textId="016F2790"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86.5</w:t>
            </w:r>
          </w:p>
        </w:tc>
        <w:tc>
          <w:tcPr>
            <w:tcW w:w="895" w:type="pct"/>
            <w:hideMark/>
          </w:tcPr>
          <w:p w14:paraId="3D0EFA76" w14:textId="3E966F77"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52.9</w:t>
            </w:r>
          </w:p>
        </w:tc>
      </w:tr>
      <w:tr w:rsidR="00101566" w14:paraId="5657EFAE"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2F1A15C" w14:textId="77B6E61D" w:rsidR="00101566" w:rsidRPr="00BA6459" w:rsidRDefault="00101566" w:rsidP="0005592A">
            <w:pPr>
              <w:pStyle w:val="TableTextIndented"/>
              <w:rPr>
                <w:rFonts w:cs="Calibri"/>
                <w:b w:val="0"/>
                <w:color w:val="000000" w:themeColor="text1"/>
              </w:rPr>
            </w:pPr>
            <w:r w:rsidRPr="00004355">
              <w:t>Department of Foreign Affairs &amp; Trade</w:t>
            </w:r>
          </w:p>
        </w:tc>
        <w:tc>
          <w:tcPr>
            <w:tcW w:w="1045" w:type="pct"/>
            <w:hideMark/>
          </w:tcPr>
          <w:p w14:paraId="0AC8043E" w14:textId="204D5EA3"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93.0</w:t>
            </w:r>
          </w:p>
        </w:tc>
        <w:tc>
          <w:tcPr>
            <w:tcW w:w="895" w:type="pct"/>
            <w:hideMark/>
          </w:tcPr>
          <w:p w14:paraId="36578361" w14:textId="20A47860"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37C5B687"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692CCDE" w14:textId="60AACE0B" w:rsidR="00101566" w:rsidRPr="00BA6459" w:rsidRDefault="00101566" w:rsidP="0005592A">
            <w:pPr>
              <w:pStyle w:val="TableTextIndented"/>
              <w:rPr>
                <w:rFonts w:cs="Calibri"/>
                <w:b w:val="0"/>
                <w:color w:val="000000" w:themeColor="text1"/>
              </w:rPr>
            </w:pPr>
            <w:r w:rsidRPr="00004355">
              <w:t>Department of Health</w:t>
            </w:r>
          </w:p>
        </w:tc>
        <w:tc>
          <w:tcPr>
            <w:tcW w:w="1045" w:type="pct"/>
            <w:hideMark/>
          </w:tcPr>
          <w:p w14:paraId="48CA0E48" w14:textId="533443D8"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69.9</w:t>
            </w:r>
          </w:p>
        </w:tc>
        <w:tc>
          <w:tcPr>
            <w:tcW w:w="895" w:type="pct"/>
            <w:hideMark/>
          </w:tcPr>
          <w:p w14:paraId="0A92AB63" w14:textId="4C0EDB4A"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6C367352"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6F83069" w14:textId="70FF7920" w:rsidR="00101566" w:rsidRPr="00BA6459" w:rsidRDefault="00101566" w:rsidP="0005592A">
            <w:pPr>
              <w:pStyle w:val="TableTextIndented"/>
              <w:rPr>
                <w:rFonts w:cs="Calibri"/>
                <w:b w:val="0"/>
                <w:color w:val="000000" w:themeColor="text1"/>
              </w:rPr>
            </w:pPr>
            <w:r w:rsidRPr="00004355">
              <w:t>Department of Home Affairs</w:t>
            </w:r>
          </w:p>
        </w:tc>
        <w:tc>
          <w:tcPr>
            <w:tcW w:w="1045" w:type="pct"/>
            <w:hideMark/>
          </w:tcPr>
          <w:p w14:paraId="6A65FE0A" w14:textId="171B9664"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95.7</w:t>
            </w:r>
          </w:p>
        </w:tc>
        <w:tc>
          <w:tcPr>
            <w:tcW w:w="895" w:type="pct"/>
            <w:hideMark/>
          </w:tcPr>
          <w:p w14:paraId="65CFB3ED" w14:textId="2F8E03E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68A8122"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FF30406" w14:textId="7638701C" w:rsidR="00101566" w:rsidRPr="00BA6459" w:rsidRDefault="00101566" w:rsidP="0005592A">
            <w:pPr>
              <w:pStyle w:val="TableTextIndented"/>
              <w:rPr>
                <w:rFonts w:cs="Calibri"/>
                <w:b w:val="0"/>
                <w:color w:val="000000" w:themeColor="text1"/>
              </w:rPr>
            </w:pPr>
            <w:r w:rsidRPr="00004355">
              <w:t>Department of Industry, Science, Energy and Resources</w:t>
            </w:r>
          </w:p>
        </w:tc>
        <w:tc>
          <w:tcPr>
            <w:tcW w:w="1045" w:type="pct"/>
            <w:hideMark/>
          </w:tcPr>
          <w:p w14:paraId="28EE6878" w14:textId="18653F1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99.1</w:t>
            </w:r>
          </w:p>
        </w:tc>
        <w:tc>
          <w:tcPr>
            <w:tcW w:w="895" w:type="pct"/>
            <w:hideMark/>
          </w:tcPr>
          <w:p w14:paraId="5D2A9B09" w14:textId="2C3EEC1E"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100</w:t>
            </w:r>
          </w:p>
        </w:tc>
      </w:tr>
      <w:tr w:rsidR="00101566" w14:paraId="0D16DBD7"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A88DF86" w14:textId="51CC5267" w:rsidR="00101566" w:rsidRPr="00BA6459" w:rsidRDefault="00101566" w:rsidP="0005592A">
            <w:pPr>
              <w:pStyle w:val="TableTextIndented"/>
              <w:rPr>
                <w:rFonts w:cs="Calibri"/>
                <w:b w:val="0"/>
                <w:color w:val="000000" w:themeColor="text1"/>
              </w:rPr>
            </w:pPr>
            <w:r w:rsidRPr="00004355">
              <w:t>Department of Infrastructure, Transport, Regional Development and Communications</w:t>
            </w:r>
          </w:p>
        </w:tc>
        <w:tc>
          <w:tcPr>
            <w:tcW w:w="1045" w:type="pct"/>
            <w:hideMark/>
          </w:tcPr>
          <w:p w14:paraId="7FF40047" w14:textId="7F330BA1"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90.9</w:t>
            </w:r>
          </w:p>
        </w:tc>
        <w:tc>
          <w:tcPr>
            <w:tcW w:w="895" w:type="pct"/>
            <w:hideMark/>
          </w:tcPr>
          <w:p w14:paraId="4EBB9383" w14:textId="689C6BF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2936409"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0FC7304" w14:textId="53E6C197" w:rsidR="00101566" w:rsidRPr="00BA6459" w:rsidRDefault="00101566" w:rsidP="0005592A">
            <w:pPr>
              <w:pStyle w:val="TableTextIndented"/>
              <w:rPr>
                <w:rFonts w:cs="Calibri"/>
                <w:b w:val="0"/>
                <w:color w:val="000000" w:themeColor="text1"/>
              </w:rPr>
            </w:pPr>
            <w:r w:rsidRPr="00004355">
              <w:t>Department of Parliamentary Services</w:t>
            </w:r>
          </w:p>
        </w:tc>
        <w:tc>
          <w:tcPr>
            <w:tcW w:w="1045" w:type="pct"/>
            <w:hideMark/>
          </w:tcPr>
          <w:p w14:paraId="2FD524DD" w14:textId="04F5041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85.4</w:t>
            </w:r>
          </w:p>
        </w:tc>
        <w:tc>
          <w:tcPr>
            <w:tcW w:w="895" w:type="pct"/>
            <w:hideMark/>
          </w:tcPr>
          <w:p w14:paraId="1EF405E8" w14:textId="76921C2E"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22CAFD66"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B715D13" w14:textId="5E4FF809" w:rsidR="00101566" w:rsidRPr="00BA6459" w:rsidRDefault="00101566" w:rsidP="0005592A">
            <w:pPr>
              <w:pStyle w:val="TableTextIndented"/>
              <w:rPr>
                <w:rFonts w:cs="Calibri"/>
                <w:b w:val="0"/>
                <w:color w:val="000000" w:themeColor="text1"/>
              </w:rPr>
            </w:pPr>
            <w:r w:rsidRPr="00004355">
              <w:t>Department of Social Services</w:t>
            </w:r>
          </w:p>
        </w:tc>
        <w:tc>
          <w:tcPr>
            <w:tcW w:w="1045" w:type="pct"/>
            <w:hideMark/>
          </w:tcPr>
          <w:p w14:paraId="070C7766" w14:textId="46AB450B"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98.0</w:t>
            </w:r>
          </w:p>
        </w:tc>
        <w:tc>
          <w:tcPr>
            <w:tcW w:w="895" w:type="pct"/>
            <w:hideMark/>
          </w:tcPr>
          <w:p w14:paraId="044D4133" w14:textId="2C7622C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F97F4D7"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067EA8D" w14:textId="4B20C6BE" w:rsidR="00101566" w:rsidRPr="00BA6459" w:rsidRDefault="00101566" w:rsidP="0005592A">
            <w:pPr>
              <w:pStyle w:val="TableTextIndented"/>
              <w:rPr>
                <w:rFonts w:cs="Calibri"/>
                <w:b w:val="0"/>
                <w:color w:val="000000" w:themeColor="text1"/>
              </w:rPr>
            </w:pPr>
            <w:r w:rsidRPr="00004355">
              <w:t>Department of the House of Representatives</w:t>
            </w:r>
          </w:p>
        </w:tc>
        <w:tc>
          <w:tcPr>
            <w:tcW w:w="1045" w:type="pct"/>
            <w:hideMark/>
          </w:tcPr>
          <w:p w14:paraId="0D9DFB6B" w14:textId="33848A8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93.8</w:t>
            </w:r>
          </w:p>
        </w:tc>
        <w:tc>
          <w:tcPr>
            <w:tcW w:w="895" w:type="pct"/>
            <w:hideMark/>
          </w:tcPr>
          <w:p w14:paraId="00C2E355" w14:textId="04F58812"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6B7A84AE" w14:textId="77777777" w:rsidTr="002F779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60" w:type="pct"/>
            <w:hideMark/>
          </w:tcPr>
          <w:p w14:paraId="1398C875" w14:textId="5A71DEB9" w:rsidR="00101566" w:rsidRPr="00BA6459" w:rsidRDefault="00101566" w:rsidP="0005592A">
            <w:pPr>
              <w:pStyle w:val="TableTextIndented"/>
              <w:rPr>
                <w:rFonts w:cs="Calibri"/>
                <w:b w:val="0"/>
                <w:color w:val="000000" w:themeColor="text1"/>
              </w:rPr>
            </w:pPr>
            <w:r w:rsidRPr="00004355">
              <w:t>Department of the Prime Minister and Cabinet</w:t>
            </w:r>
          </w:p>
        </w:tc>
        <w:tc>
          <w:tcPr>
            <w:tcW w:w="1045" w:type="pct"/>
            <w:hideMark/>
          </w:tcPr>
          <w:p w14:paraId="674EE21B" w14:textId="7EC3BE4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100</w:t>
            </w:r>
          </w:p>
        </w:tc>
        <w:tc>
          <w:tcPr>
            <w:tcW w:w="895" w:type="pct"/>
            <w:hideMark/>
          </w:tcPr>
          <w:p w14:paraId="58450916" w14:textId="36678415"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100</w:t>
            </w:r>
          </w:p>
        </w:tc>
      </w:tr>
      <w:tr w:rsidR="00101566" w14:paraId="3A69E1CA"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640F26F" w14:textId="29BCB740" w:rsidR="00101566" w:rsidRPr="00BA6459" w:rsidRDefault="00101566" w:rsidP="0005592A">
            <w:pPr>
              <w:pStyle w:val="TableTextIndented"/>
              <w:rPr>
                <w:rFonts w:cs="Calibri"/>
                <w:b w:val="0"/>
                <w:color w:val="000000" w:themeColor="text1"/>
              </w:rPr>
            </w:pPr>
            <w:r w:rsidRPr="00004355">
              <w:t>Department of the Senate</w:t>
            </w:r>
          </w:p>
        </w:tc>
        <w:tc>
          <w:tcPr>
            <w:tcW w:w="1045" w:type="pct"/>
            <w:hideMark/>
          </w:tcPr>
          <w:p w14:paraId="14A16378" w14:textId="3C42EED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91.1</w:t>
            </w:r>
          </w:p>
        </w:tc>
        <w:tc>
          <w:tcPr>
            <w:tcW w:w="895" w:type="pct"/>
            <w:hideMark/>
          </w:tcPr>
          <w:p w14:paraId="0E71AF97" w14:textId="677AC914"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F7F1CCA"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B07C320" w14:textId="6C80F195" w:rsidR="00101566" w:rsidRPr="00BA6459" w:rsidRDefault="00101566" w:rsidP="0005592A">
            <w:pPr>
              <w:pStyle w:val="TableTextIndented"/>
              <w:rPr>
                <w:rFonts w:cs="Calibri"/>
                <w:b w:val="0"/>
                <w:color w:val="000000" w:themeColor="text1"/>
              </w:rPr>
            </w:pPr>
            <w:r w:rsidRPr="00004355">
              <w:t>Department of the Treasury</w:t>
            </w:r>
          </w:p>
        </w:tc>
        <w:tc>
          <w:tcPr>
            <w:tcW w:w="1045" w:type="pct"/>
            <w:hideMark/>
          </w:tcPr>
          <w:p w14:paraId="43D553B4" w14:textId="6ED0DC48"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93.0</w:t>
            </w:r>
          </w:p>
        </w:tc>
        <w:tc>
          <w:tcPr>
            <w:tcW w:w="895" w:type="pct"/>
            <w:hideMark/>
          </w:tcPr>
          <w:p w14:paraId="69F8F941" w14:textId="5D9FA8DF"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52.8</w:t>
            </w:r>
          </w:p>
        </w:tc>
      </w:tr>
      <w:tr w:rsidR="00101566" w14:paraId="32878BD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A80339F" w14:textId="4FFEDE96" w:rsidR="00101566" w:rsidRPr="00BA6459" w:rsidRDefault="00101566" w:rsidP="0005592A">
            <w:pPr>
              <w:pStyle w:val="TableTextIndented"/>
              <w:rPr>
                <w:rFonts w:cs="Calibri"/>
                <w:b w:val="0"/>
                <w:color w:val="000000" w:themeColor="text1"/>
              </w:rPr>
            </w:pPr>
            <w:r w:rsidRPr="00004355">
              <w:t>Department of Veterans’ Affairs</w:t>
            </w:r>
          </w:p>
        </w:tc>
        <w:tc>
          <w:tcPr>
            <w:tcW w:w="1045" w:type="pct"/>
            <w:hideMark/>
          </w:tcPr>
          <w:p w14:paraId="4349241E" w14:textId="511E5072"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96.7</w:t>
            </w:r>
          </w:p>
        </w:tc>
        <w:tc>
          <w:tcPr>
            <w:tcW w:w="895" w:type="pct"/>
            <w:hideMark/>
          </w:tcPr>
          <w:p w14:paraId="67FB6611" w14:textId="5393FC14"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7EE3294D"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50CA601" w14:textId="6F3A7FC7" w:rsidR="00101566" w:rsidRPr="00BA6459" w:rsidRDefault="00101566" w:rsidP="0005592A">
            <w:pPr>
              <w:pStyle w:val="TableTextIndented"/>
              <w:rPr>
                <w:rFonts w:cs="Calibri"/>
                <w:b w:val="0"/>
                <w:color w:val="000000" w:themeColor="text1"/>
              </w:rPr>
            </w:pPr>
            <w:r w:rsidRPr="00004355">
              <w:t>Digital Transformation Agency</w:t>
            </w:r>
          </w:p>
        </w:tc>
        <w:tc>
          <w:tcPr>
            <w:tcW w:w="1045" w:type="pct"/>
            <w:hideMark/>
          </w:tcPr>
          <w:p w14:paraId="2149213F" w14:textId="130112AA"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87.8</w:t>
            </w:r>
          </w:p>
        </w:tc>
        <w:tc>
          <w:tcPr>
            <w:tcW w:w="895" w:type="pct"/>
            <w:hideMark/>
          </w:tcPr>
          <w:p w14:paraId="0D8D4029" w14:textId="17631F4D"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3EA6E87"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BB468F4" w14:textId="50B4950E" w:rsidR="00101566" w:rsidRPr="00BA6459" w:rsidRDefault="00101566" w:rsidP="0005592A">
            <w:pPr>
              <w:pStyle w:val="TableTextIndented"/>
              <w:rPr>
                <w:rFonts w:cs="Calibri"/>
                <w:b w:val="0"/>
                <w:color w:val="000000" w:themeColor="text1"/>
              </w:rPr>
            </w:pPr>
            <w:r w:rsidRPr="00004355">
              <w:lastRenderedPageBreak/>
              <w:t>Fair Work Commission</w:t>
            </w:r>
          </w:p>
        </w:tc>
        <w:tc>
          <w:tcPr>
            <w:tcW w:w="1045" w:type="pct"/>
            <w:hideMark/>
          </w:tcPr>
          <w:p w14:paraId="032B4DC2" w14:textId="2B35B0C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96.7</w:t>
            </w:r>
          </w:p>
        </w:tc>
        <w:tc>
          <w:tcPr>
            <w:tcW w:w="895" w:type="pct"/>
            <w:hideMark/>
          </w:tcPr>
          <w:p w14:paraId="2F52BB5B" w14:textId="00D30E1A"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0618FA3"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39EDAB5" w14:textId="3BD0BD9C" w:rsidR="00101566" w:rsidRPr="00BA6459" w:rsidRDefault="00101566" w:rsidP="0005592A">
            <w:pPr>
              <w:pStyle w:val="TableTextIndented"/>
              <w:rPr>
                <w:rFonts w:cs="Calibri"/>
                <w:b w:val="0"/>
                <w:color w:val="000000" w:themeColor="text1"/>
              </w:rPr>
            </w:pPr>
            <w:r w:rsidRPr="00004355">
              <w:t>Fair Work Ombudsman and Registered Organisations Commission Entity</w:t>
            </w:r>
          </w:p>
        </w:tc>
        <w:tc>
          <w:tcPr>
            <w:tcW w:w="1045" w:type="pct"/>
            <w:hideMark/>
          </w:tcPr>
          <w:p w14:paraId="203904EF" w14:textId="45CC159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99.3</w:t>
            </w:r>
          </w:p>
        </w:tc>
        <w:tc>
          <w:tcPr>
            <w:tcW w:w="895" w:type="pct"/>
            <w:hideMark/>
          </w:tcPr>
          <w:p w14:paraId="467EFA9F" w14:textId="69CF3E34"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74F87A63"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9D02CF2" w14:textId="4E923A2A" w:rsidR="00101566" w:rsidRPr="00BA6459" w:rsidRDefault="00101566" w:rsidP="0005592A">
            <w:pPr>
              <w:pStyle w:val="TableTextIndented"/>
              <w:rPr>
                <w:rFonts w:cs="Calibri"/>
                <w:b w:val="0"/>
                <w:color w:val="000000" w:themeColor="text1"/>
              </w:rPr>
            </w:pPr>
            <w:r w:rsidRPr="00004355">
              <w:t>Federal Court of Australia</w:t>
            </w:r>
          </w:p>
        </w:tc>
        <w:tc>
          <w:tcPr>
            <w:tcW w:w="1045" w:type="pct"/>
            <w:hideMark/>
          </w:tcPr>
          <w:p w14:paraId="1258F365" w14:textId="4165246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84.9</w:t>
            </w:r>
          </w:p>
        </w:tc>
        <w:tc>
          <w:tcPr>
            <w:tcW w:w="895" w:type="pct"/>
            <w:hideMark/>
          </w:tcPr>
          <w:p w14:paraId="797E14FF" w14:textId="35525E2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0CDA6F9"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B7C1CA0" w14:textId="33F3B306" w:rsidR="00101566" w:rsidRPr="00BA6459" w:rsidRDefault="00101566" w:rsidP="0005592A">
            <w:pPr>
              <w:pStyle w:val="TableTextIndented"/>
              <w:rPr>
                <w:rFonts w:cs="Calibri"/>
                <w:b w:val="0"/>
                <w:color w:val="000000" w:themeColor="text1"/>
              </w:rPr>
            </w:pPr>
            <w:r w:rsidRPr="00004355">
              <w:t>Future Fund Management Agency</w:t>
            </w:r>
          </w:p>
        </w:tc>
        <w:tc>
          <w:tcPr>
            <w:tcW w:w="1045" w:type="pct"/>
            <w:hideMark/>
          </w:tcPr>
          <w:p w14:paraId="63631F48" w14:textId="6031BE55"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76.9</w:t>
            </w:r>
          </w:p>
        </w:tc>
        <w:tc>
          <w:tcPr>
            <w:tcW w:w="895" w:type="pct"/>
            <w:hideMark/>
          </w:tcPr>
          <w:p w14:paraId="6CB4026B" w14:textId="0BD768EC"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w:t>
            </w:r>
            <w:r w:rsidR="00443CB2">
              <w:t>/</w:t>
            </w:r>
            <w:r w:rsidRPr="005C2E25">
              <w:t>A</w:t>
            </w:r>
          </w:p>
        </w:tc>
      </w:tr>
      <w:tr w:rsidR="00101566" w14:paraId="60177A93"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C8B9211" w14:textId="5CAAC453" w:rsidR="00101566" w:rsidRPr="00BA6459" w:rsidRDefault="00101566" w:rsidP="0005592A">
            <w:pPr>
              <w:pStyle w:val="TableTextIndented"/>
              <w:rPr>
                <w:rFonts w:cs="Calibri"/>
                <w:b w:val="0"/>
                <w:color w:val="000000" w:themeColor="text1"/>
              </w:rPr>
            </w:pPr>
            <w:r w:rsidRPr="00004355">
              <w:t>Geoscience Australia</w:t>
            </w:r>
          </w:p>
        </w:tc>
        <w:tc>
          <w:tcPr>
            <w:tcW w:w="1045" w:type="pct"/>
            <w:hideMark/>
          </w:tcPr>
          <w:p w14:paraId="116FA0CC" w14:textId="6F5FB0F2"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84.8</w:t>
            </w:r>
          </w:p>
        </w:tc>
        <w:tc>
          <w:tcPr>
            <w:tcW w:w="895" w:type="pct"/>
            <w:hideMark/>
          </w:tcPr>
          <w:p w14:paraId="02786716" w14:textId="46C95662"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9D13F62"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FC65376" w14:textId="3503C3EC" w:rsidR="00101566" w:rsidRPr="00BA6459" w:rsidRDefault="00101566" w:rsidP="0005592A">
            <w:pPr>
              <w:pStyle w:val="TableTextIndented"/>
              <w:rPr>
                <w:rFonts w:cs="Calibri"/>
                <w:b w:val="0"/>
                <w:color w:val="000000" w:themeColor="text1"/>
              </w:rPr>
            </w:pPr>
            <w:r w:rsidRPr="00004355">
              <w:t>Great Barrier Reef Marine Park Authority</w:t>
            </w:r>
          </w:p>
        </w:tc>
        <w:tc>
          <w:tcPr>
            <w:tcW w:w="1045" w:type="pct"/>
            <w:hideMark/>
          </w:tcPr>
          <w:p w14:paraId="767CC296" w14:textId="45142D99"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96.3</w:t>
            </w:r>
          </w:p>
        </w:tc>
        <w:tc>
          <w:tcPr>
            <w:tcW w:w="895" w:type="pct"/>
            <w:hideMark/>
          </w:tcPr>
          <w:p w14:paraId="2B41E3EA" w14:textId="036C20BD"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09408220"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B794EFF" w14:textId="6630AF6D" w:rsidR="00101566" w:rsidRPr="00BA6459" w:rsidRDefault="00101566" w:rsidP="0005592A">
            <w:pPr>
              <w:pStyle w:val="TableTextIndented"/>
              <w:rPr>
                <w:rFonts w:cs="Calibri"/>
                <w:b w:val="0"/>
                <w:color w:val="000000" w:themeColor="text1"/>
              </w:rPr>
            </w:pPr>
            <w:r w:rsidRPr="00004355">
              <w:t>Independent Parliamentary Expenses Authority</w:t>
            </w:r>
          </w:p>
        </w:tc>
        <w:tc>
          <w:tcPr>
            <w:tcW w:w="1045" w:type="pct"/>
            <w:hideMark/>
          </w:tcPr>
          <w:p w14:paraId="47D84F8C" w14:textId="32261FD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93.9</w:t>
            </w:r>
          </w:p>
        </w:tc>
        <w:tc>
          <w:tcPr>
            <w:tcW w:w="895" w:type="pct"/>
            <w:hideMark/>
          </w:tcPr>
          <w:p w14:paraId="50708F91" w14:textId="09E71FC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9CC7AE5"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ACCADF1" w14:textId="74AF37E5" w:rsidR="00101566" w:rsidRPr="00BA6459" w:rsidRDefault="00101566" w:rsidP="0005592A">
            <w:pPr>
              <w:pStyle w:val="TableTextIndented"/>
              <w:rPr>
                <w:rFonts w:cs="Calibri"/>
                <w:b w:val="0"/>
                <w:color w:val="000000" w:themeColor="text1"/>
              </w:rPr>
            </w:pPr>
            <w:r w:rsidRPr="00004355">
              <w:t>Inspector-General of Taxation and Taxation Ombudsman</w:t>
            </w:r>
          </w:p>
        </w:tc>
        <w:tc>
          <w:tcPr>
            <w:tcW w:w="1045" w:type="pct"/>
            <w:hideMark/>
          </w:tcPr>
          <w:p w14:paraId="69399F62" w14:textId="7B9FA1F0"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93.1</w:t>
            </w:r>
          </w:p>
        </w:tc>
        <w:tc>
          <w:tcPr>
            <w:tcW w:w="895" w:type="pct"/>
            <w:hideMark/>
          </w:tcPr>
          <w:p w14:paraId="62A47294" w14:textId="03182C0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70BABCFE"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49388F2" w14:textId="515DAD68" w:rsidR="00101566" w:rsidRPr="00BA6459" w:rsidRDefault="00101566" w:rsidP="0005592A">
            <w:pPr>
              <w:pStyle w:val="TableTextIndented"/>
              <w:rPr>
                <w:rFonts w:cs="Calibri"/>
                <w:b w:val="0"/>
                <w:color w:val="000000" w:themeColor="text1"/>
              </w:rPr>
            </w:pPr>
            <w:r w:rsidRPr="00004355">
              <w:t>IP Australia</w:t>
            </w:r>
          </w:p>
        </w:tc>
        <w:tc>
          <w:tcPr>
            <w:tcW w:w="1045" w:type="pct"/>
            <w:hideMark/>
          </w:tcPr>
          <w:p w14:paraId="7AF97903" w14:textId="36146E8C"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99.7</w:t>
            </w:r>
          </w:p>
        </w:tc>
        <w:tc>
          <w:tcPr>
            <w:tcW w:w="895" w:type="pct"/>
            <w:hideMark/>
          </w:tcPr>
          <w:p w14:paraId="4FA464C5" w14:textId="4F0E5A4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54E8219E"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6F15DE6" w14:textId="74AB2E03" w:rsidR="00101566" w:rsidRPr="00BA6459" w:rsidRDefault="00101566" w:rsidP="0005592A">
            <w:pPr>
              <w:pStyle w:val="TableTextIndented"/>
              <w:rPr>
                <w:rFonts w:cs="Calibri"/>
                <w:b w:val="0"/>
                <w:color w:val="000000" w:themeColor="text1"/>
              </w:rPr>
            </w:pPr>
            <w:r w:rsidRPr="00004355">
              <w:t>National Archives of Australia</w:t>
            </w:r>
          </w:p>
        </w:tc>
        <w:tc>
          <w:tcPr>
            <w:tcW w:w="1045" w:type="pct"/>
            <w:hideMark/>
          </w:tcPr>
          <w:p w14:paraId="34AC23B0" w14:textId="48E1BC29"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95.1</w:t>
            </w:r>
          </w:p>
        </w:tc>
        <w:tc>
          <w:tcPr>
            <w:tcW w:w="895" w:type="pct"/>
            <w:hideMark/>
          </w:tcPr>
          <w:p w14:paraId="4AE1D654" w14:textId="02711C9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100</w:t>
            </w:r>
          </w:p>
        </w:tc>
      </w:tr>
      <w:tr w:rsidR="00101566" w14:paraId="7699BF42"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85E80B7" w14:textId="22FDF397" w:rsidR="00101566" w:rsidRPr="00BA6459" w:rsidRDefault="00101566" w:rsidP="0005592A">
            <w:pPr>
              <w:pStyle w:val="TableTextIndented"/>
              <w:rPr>
                <w:rFonts w:cs="Calibri"/>
                <w:b w:val="0"/>
                <w:color w:val="000000" w:themeColor="text1"/>
              </w:rPr>
            </w:pPr>
            <w:r w:rsidRPr="00004355">
              <w:t>National Blood Authority</w:t>
            </w:r>
          </w:p>
        </w:tc>
        <w:tc>
          <w:tcPr>
            <w:tcW w:w="1045" w:type="pct"/>
            <w:hideMark/>
          </w:tcPr>
          <w:p w14:paraId="0C7CCFEA" w14:textId="16FC5FC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89.0</w:t>
            </w:r>
          </w:p>
        </w:tc>
        <w:tc>
          <w:tcPr>
            <w:tcW w:w="895" w:type="pct"/>
            <w:hideMark/>
          </w:tcPr>
          <w:p w14:paraId="2B40F8E9" w14:textId="792072D0"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301F311A"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34B4529" w14:textId="6CE19889" w:rsidR="00101566" w:rsidRPr="00BA6459" w:rsidRDefault="00101566" w:rsidP="0005592A">
            <w:pPr>
              <w:pStyle w:val="TableTextIndented"/>
              <w:rPr>
                <w:rFonts w:cs="Calibri"/>
                <w:b w:val="0"/>
                <w:color w:val="000000" w:themeColor="text1"/>
              </w:rPr>
            </w:pPr>
            <w:r w:rsidRPr="00004355">
              <w:t>National Capital Authority</w:t>
            </w:r>
          </w:p>
        </w:tc>
        <w:tc>
          <w:tcPr>
            <w:tcW w:w="1045" w:type="pct"/>
            <w:hideMark/>
          </w:tcPr>
          <w:p w14:paraId="79A8E4DF" w14:textId="6AF39BA0"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94.4</w:t>
            </w:r>
          </w:p>
        </w:tc>
        <w:tc>
          <w:tcPr>
            <w:tcW w:w="895" w:type="pct"/>
            <w:hideMark/>
          </w:tcPr>
          <w:p w14:paraId="5F613AF2" w14:textId="5FEE25CB"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5DF016E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7AB8E75" w14:textId="4E2CBFCD" w:rsidR="00101566" w:rsidRPr="00BA6459" w:rsidRDefault="00101566" w:rsidP="0005592A">
            <w:pPr>
              <w:pStyle w:val="TableTextIndented"/>
              <w:rPr>
                <w:rFonts w:cs="Calibri"/>
                <w:b w:val="0"/>
                <w:color w:val="000000" w:themeColor="text1"/>
              </w:rPr>
            </w:pPr>
            <w:r w:rsidRPr="00004355">
              <w:t>National Competition Council</w:t>
            </w:r>
          </w:p>
        </w:tc>
        <w:tc>
          <w:tcPr>
            <w:tcW w:w="1045" w:type="pct"/>
            <w:hideMark/>
          </w:tcPr>
          <w:p w14:paraId="4B84FA71" w14:textId="1EA641C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87.0</w:t>
            </w:r>
          </w:p>
        </w:tc>
        <w:tc>
          <w:tcPr>
            <w:tcW w:w="895" w:type="pct"/>
            <w:hideMark/>
          </w:tcPr>
          <w:p w14:paraId="47889605" w14:textId="5D7B873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3193CD51"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EAB9AFF" w14:textId="66FE8578" w:rsidR="00101566" w:rsidRPr="00BA6459" w:rsidRDefault="00101566" w:rsidP="0005592A">
            <w:pPr>
              <w:pStyle w:val="TableTextIndented"/>
              <w:rPr>
                <w:rFonts w:cs="Calibri"/>
                <w:b w:val="0"/>
                <w:color w:val="000000" w:themeColor="text1"/>
              </w:rPr>
            </w:pPr>
            <w:r w:rsidRPr="00004355">
              <w:t>National Faster Rail Agency</w:t>
            </w:r>
          </w:p>
        </w:tc>
        <w:tc>
          <w:tcPr>
            <w:tcW w:w="1045" w:type="pct"/>
            <w:hideMark/>
          </w:tcPr>
          <w:p w14:paraId="786604DF" w14:textId="6B359A6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99.0</w:t>
            </w:r>
          </w:p>
        </w:tc>
        <w:tc>
          <w:tcPr>
            <w:tcW w:w="895" w:type="pct"/>
            <w:hideMark/>
          </w:tcPr>
          <w:p w14:paraId="7CD5CFDA" w14:textId="0BED4B5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4546A0B"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E385E4B" w14:textId="29710FE5" w:rsidR="00101566" w:rsidRPr="00BA6459" w:rsidRDefault="00101566" w:rsidP="0005592A">
            <w:pPr>
              <w:pStyle w:val="TableTextIndented"/>
              <w:rPr>
                <w:rFonts w:cs="Calibri"/>
                <w:b w:val="0"/>
                <w:color w:val="000000" w:themeColor="text1"/>
              </w:rPr>
            </w:pPr>
            <w:r w:rsidRPr="00004355">
              <w:t>National Health and Medical Research Council</w:t>
            </w:r>
          </w:p>
        </w:tc>
        <w:tc>
          <w:tcPr>
            <w:tcW w:w="1045" w:type="pct"/>
            <w:hideMark/>
          </w:tcPr>
          <w:p w14:paraId="238609C3" w14:textId="486379B1"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94.3</w:t>
            </w:r>
          </w:p>
        </w:tc>
        <w:tc>
          <w:tcPr>
            <w:tcW w:w="895" w:type="pct"/>
            <w:hideMark/>
          </w:tcPr>
          <w:p w14:paraId="68313F40" w14:textId="2B0091E5"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237E7556"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75750222" w14:textId="4FE9CA8B" w:rsidR="00101566" w:rsidRPr="00BA6459" w:rsidRDefault="00101566" w:rsidP="0005592A">
            <w:pPr>
              <w:pStyle w:val="TableTextIndented"/>
              <w:rPr>
                <w:rFonts w:cs="Calibri"/>
                <w:b w:val="0"/>
                <w:color w:val="000000" w:themeColor="text1"/>
              </w:rPr>
            </w:pPr>
            <w:r w:rsidRPr="00004355">
              <w:t>National Health Funding Body</w:t>
            </w:r>
          </w:p>
        </w:tc>
        <w:tc>
          <w:tcPr>
            <w:tcW w:w="1045" w:type="pct"/>
            <w:hideMark/>
          </w:tcPr>
          <w:p w14:paraId="24DFBFE6" w14:textId="2B406028"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48.4</w:t>
            </w:r>
          </w:p>
        </w:tc>
        <w:tc>
          <w:tcPr>
            <w:tcW w:w="895" w:type="pct"/>
            <w:hideMark/>
          </w:tcPr>
          <w:p w14:paraId="36D1A39C" w14:textId="05629ED7"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0625977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56819AB" w14:textId="101176D0" w:rsidR="00101566" w:rsidRPr="00BA6459" w:rsidRDefault="00101566" w:rsidP="0005592A">
            <w:pPr>
              <w:pStyle w:val="TableTextIndented"/>
              <w:rPr>
                <w:rFonts w:cs="Calibri"/>
                <w:b w:val="0"/>
                <w:color w:val="000000" w:themeColor="text1"/>
              </w:rPr>
            </w:pPr>
            <w:r w:rsidRPr="00004355">
              <w:t>National Mental Health Commission</w:t>
            </w:r>
          </w:p>
        </w:tc>
        <w:tc>
          <w:tcPr>
            <w:tcW w:w="1045" w:type="pct"/>
            <w:hideMark/>
          </w:tcPr>
          <w:p w14:paraId="45AD7C27" w14:textId="5FB5BBBE"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67.0</w:t>
            </w:r>
          </w:p>
        </w:tc>
        <w:tc>
          <w:tcPr>
            <w:tcW w:w="895" w:type="pct"/>
            <w:hideMark/>
          </w:tcPr>
          <w:p w14:paraId="2B80C580" w14:textId="0AC0853A"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E637781"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B309382" w14:textId="16C3C7E8" w:rsidR="00101566" w:rsidRPr="00BA6459" w:rsidRDefault="00101566" w:rsidP="0005592A">
            <w:pPr>
              <w:pStyle w:val="TableTextIndented"/>
              <w:rPr>
                <w:rFonts w:cs="Calibri"/>
                <w:b w:val="0"/>
                <w:color w:val="000000" w:themeColor="text1"/>
              </w:rPr>
            </w:pPr>
            <w:r w:rsidRPr="00004355">
              <w:t>National Recovery and Resilience Agency</w:t>
            </w:r>
          </w:p>
        </w:tc>
        <w:tc>
          <w:tcPr>
            <w:tcW w:w="1045" w:type="pct"/>
            <w:hideMark/>
          </w:tcPr>
          <w:p w14:paraId="4197D5EB" w14:textId="59F0405D"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100.0</w:t>
            </w:r>
          </w:p>
        </w:tc>
        <w:tc>
          <w:tcPr>
            <w:tcW w:w="895" w:type="pct"/>
            <w:hideMark/>
          </w:tcPr>
          <w:p w14:paraId="78F65D3A" w14:textId="6B5DCB02"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02D6CB9A"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68EC4609" w14:textId="0841E92A" w:rsidR="00101566" w:rsidRPr="00BA6459" w:rsidRDefault="00101566" w:rsidP="0005592A">
            <w:pPr>
              <w:pStyle w:val="TableTextIndented"/>
              <w:rPr>
                <w:rFonts w:cs="Calibri"/>
                <w:b w:val="0"/>
                <w:color w:val="000000" w:themeColor="text1"/>
              </w:rPr>
            </w:pPr>
            <w:r w:rsidRPr="00004355">
              <w:t>NDIS Commission</w:t>
            </w:r>
          </w:p>
        </w:tc>
        <w:tc>
          <w:tcPr>
            <w:tcW w:w="1045" w:type="pct"/>
            <w:hideMark/>
          </w:tcPr>
          <w:p w14:paraId="4B47AD9F" w14:textId="70E20F8A"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98.2</w:t>
            </w:r>
          </w:p>
        </w:tc>
        <w:tc>
          <w:tcPr>
            <w:tcW w:w="895" w:type="pct"/>
            <w:hideMark/>
          </w:tcPr>
          <w:p w14:paraId="17DC8B40" w14:textId="41739358"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A3FFA17"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54D9303" w14:textId="09E8730F" w:rsidR="00101566" w:rsidRPr="00BA6459" w:rsidRDefault="00101566" w:rsidP="0005592A">
            <w:pPr>
              <w:pStyle w:val="TableTextIndented"/>
              <w:rPr>
                <w:rFonts w:cs="Calibri"/>
                <w:b w:val="0"/>
                <w:color w:val="000000" w:themeColor="text1"/>
              </w:rPr>
            </w:pPr>
            <w:r w:rsidRPr="00004355">
              <w:t>North Queensland Water Infrastructure Authority</w:t>
            </w:r>
          </w:p>
        </w:tc>
        <w:tc>
          <w:tcPr>
            <w:tcW w:w="1045" w:type="pct"/>
            <w:hideMark/>
          </w:tcPr>
          <w:p w14:paraId="0C0D992F" w14:textId="2B7B2695"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100.0</w:t>
            </w:r>
          </w:p>
        </w:tc>
        <w:tc>
          <w:tcPr>
            <w:tcW w:w="895" w:type="pct"/>
            <w:hideMark/>
          </w:tcPr>
          <w:p w14:paraId="00BA684D" w14:textId="5A4F5B1F"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2DDE187"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36A060F" w14:textId="31678DBA" w:rsidR="00101566" w:rsidRPr="00BA6459" w:rsidRDefault="00101566" w:rsidP="0005592A">
            <w:pPr>
              <w:pStyle w:val="TableTextIndented"/>
              <w:rPr>
                <w:rFonts w:cs="Calibri"/>
                <w:b w:val="0"/>
                <w:color w:val="000000" w:themeColor="text1"/>
              </w:rPr>
            </w:pPr>
            <w:r w:rsidRPr="00004355">
              <w:t>Office of National Intelligence</w:t>
            </w:r>
          </w:p>
        </w:tc>
        <w:tc>
          <w:tcPr>
            <w:tcW w:w="1045" w:type="pct"/>
            <w:hideMark/>
          </w:tcPr>
          <w:p w14:paraId="25774F00" w14:textId="2E83E8F0"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95.3</w:t>
            </w:r>
          </w:p>
        </w:tc>
        <w:tc>
          <w:tcPr>
            <w:tcW w:w="895" w:type="pct"/>
            <w:hideMark/>
          </w:tcPr>
          <w:p w14:paraId="6D1E6A38" w14:textId="61E0D3E3"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w:t>
            </w:r>
            <w:r w:rsidR="00443CB2">
              <w:t>/</w:t>
            </w:r>
            <w:r w:rsidRPr="005C2E25">
              <w:t>A</w:t>
            </w:r>
          </w:p>
        </w:tc>
      </w:tr>
      <w:tr w:rsidR="00101566" w14:paraId="7AA77D45"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521C332" w14:textId="7B27C117" w:rsidR="00101566" w:rsidRPr="00BA6459" w:rsidRDefault="00101566" w:rsidP="0005592A">
            <w:pPr>
              <w:pStyle w:val="TableTextIndented"/>
              <w:rPr>
                <w:rFonts w:cs="Calibri"/>
                <w:b w:val="0"/>
                <w:color w:val="000000" w:themeColor="text1"/>
              </w:rPr>
            </w:pPr>
            <w:r w:rsidRPr="00004355">
              <w:t>Office of Parliamentary Counsel</w:t>
            </w:r>
          </w:p>
        </w:tc>
        <w:tc>
          <w:tcPr>
            <w:tcW w:w="1045" w:type="pct"/>
            <w:hideMark/>
          </w:tcPr>
          <w:p w14:paraId="0B4A3620" w14:textId="158C0B9E"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98.7</w:t>
            </w:r>
          </w:p>
        </w:tc>
        <w:tc>
          <w:tcPr>
            <w:tcW w:w="895" w:type="pct"/>
            <w:hideMark/>
          </w:tcPr>
          <w:p w14:paraId="390B1EC0" w14:textId="6C452C7C"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5EC127E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67DB1E3" w14:textId="34C891C6" w:rsidR="00101566" w:rsidRPr="00BA6459" w:rsidRDefault="00101566" w:rsidP="0005592A">
            <w:pPr>
              <w:pStyle w:val="TableTextIndented"/>
              <w:rPr>
                <w:rFonts w:cs="Calibri"/>
                <w:b w:val="0"/>
                <w:color w:val="000000" w:themeColor="text1"/>
              </w:rPr>
            </w:pPr>
            <w:r w:rsidRPr="00004355">
              <w:t>Office of the Australian Information Commissioner</w:t>
            </w:r>
          </w:p>
        </w:tc>
        <w:tc>
          <w:tcPr>
            <w:tcW w:w="1045" w:type="pct"/>
            <w:hideMark/>
          </w:tcPr>
          <w:p w14:paraId="1F1E01A5" w14:textId="38A66A5D"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74.4</w:t>
            </w:r>
          </w:p>
        </w:tc>
        <w:tc>
          <w:tcPr>
            <w:tcW w:w="895" w:type="pct"/>
            <w:hideMark/>
          </w:tcPr>
          <w:p w14:paraId="5D31E8E9" w14:textId="7D3D7D19"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0F694CFD"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324D363" w14:textId="3AF5170D" w:rsidR="00101566" w:rsidRPr="00BA6459" w:rsidRDefault="00101566" w:rsidP="0005592A">
            <w:pPr>
              <w:pStyle w:val="TableTextIndented"/>
              <w:rPr>
                <w:rFonts w:cs="Calibri"/>
                <w:b w:val="0"/>
                <w:color w:val="000000" w:themeColor="text1"/>
              </w:rPr>
            </w:pPr>
            <w:r w:rsidRPr="00004355">
              <w:t>Office of the Commonwealth Ombudsman</w:t>
            </w:r>
          </w:p>
        </w:tc>
        <w:tc>
          <w:tcPr>
            <w:tcW w:w="1045" w:type="pct"/>
            <w:hideMark/>
          </w:tcPr>
          <w:p w14:paraId="26CE4A38" w14:textId="634B53F0"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99.6</w:t>
            </w:r>
          </w:p>
        </w:tc>
        <w:tc>
          <w:tcPr>
            <w:tcW w:w="895" w:type="pct"/>
            <w:hideMark/>
          </w:tcPr>
          <w:p w14:paraId="5302043C" w14:textId="0745D036"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17E8C86B" w14:textId="77777777" w:rsidTr="002F779B">
        <w:trPr>
          <w:trHeight w:val="264"/>
        </w:trPr>
        <w:tc>
          <w:tcPr>
            <w:cnfStyle w:val="001000000000" w:firstRow="0" w:lastRow="0" w:firstColumn="1" w:lastColumn="0" w:oddVBand="0" w:evenVBand="0" w:oddHBand="0" w:evenHBand="0" w:firstRowFirstColumn="0" w:firstRowLastColumn="0" w:lastRowFirstColumn="0" w:lastRowLastColumn="0"/>
            <w:tcW w:w="3060" w:type="pct"/>
            <w:hideMark/>
          </w:tcPr>
          <w:p w14:paraId="55BB3B8F" w14:textId="1C516848" w:rsidR="00101566" w:rsidRPr="00BA6459" w:rsidRDefault="00101566" w:rsidP="0005592A">
            <w:pPr>
              <w:pStyle w:val="TableTextIndented"/>
              <w:rPr>
                <w:rFonts w:cs="Calibri"/>
                <w:b w:val="0"/>
                <w:color w:val="000000" w:themeColor="text1"/>
              </w:rPr>
            </w:pPr>
            <w:r w:rsidRPr="00004355">
              <w:t>Office of the Inspector General of Intelligence and Security</w:t>
            </w:r>
          </w:p>
        </w:tc>
        <w:tc>
          <w:tcPr>
            <w:tcW w:w="1045" w:type="pct"/>
            <w:hideMark/>
          </w:tcPr>
          <w:p w14:paraId="0AE8B8E4" w14:textId="5BE01C71"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98.3</w:t>
            </w:r>
          </w:p>
        </w:tc>
        <w:tc>
          <w:tcPr>
            <w:tcW w:w="895" w:type="pct"/>
            <w:hideMark/>
          </w:tcPr>
          <w:p w14:paraId="1D09B170" w14:textId="61469779"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3648064C"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85D6339" w14:textId="37FD461B" w:rsidR="00101566" w:rsidRPr="00BA6459" w:rsidRDefault="00101566" w:rsidP="0005592A">
            <w:pPr>
              <w:pStyle w:val="TableTextIndented"/>
              <w:rPr>
                <w:rFonts w:cs="Calibri"/>
                <w:b w:val="0"/>
                <w:color w:val="000000" w:themeColor="text1"/>
              </w:rPr>
            </w:pPr>
            <w:r w:rsidRPr="00004355">
              <w:t>Office of the Official Secretary to the Governor-General</w:t>
            </w:r>
          </w:p>
        </w:tc>
        <w:tc>
          <w:tcPr>
            <w:tcW w:w="1045" w:type="pct"/>
            <w:hideMark/>
          </w:tcPr>
          <w:p w14:paraId="11B45DF2" w14:textId="3FAFF75D"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100.0</w:t>
            </w:r>
          </w:p>
        </w:tc>
        <w:tc>
          <w:tcPr>
            <w:tcW w:w="895" w:type="pct"/>
            <w:hideMark/>
          </w:tcPr>
          <w:p w14:paraId="4F84D764" w14:textId="1ED0D8FB"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7325BDDB"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4266BD4" w14:textId="083A7C56" w:rsidR="00101566" w:rsidRPr="00BA6459" w:rsidRDefault="00101566" w:rsidP="0005592A">
            <w:pPr>
              <w:pStyle w:val="TableTextIndented"/>
              <w:rPr>
                <w:rFonts w:cs="Calibri"/>
                <w:b w:val="0"/>
                <w:color w:val="000000" w:themeColor="text1"/>
              </w:rPr>
            </w:pPr>
            <w:r w:rsidRPr="00004355">
              <w:t>O</w:t>
            </w:r>
            <w:r w:rsidR="008E3B6C">
              <w:t>rgan and Tissue Authority</w:t>
            </w:r>
          </w:p>
        </w:tc>
        <w:tc>
          <w:tcPr>
            <w:tcW w:w="1045" w:type="pct"/>
            <w:hideMark/>
          </w:tcPr>
          <w:p w14:paraId="51034BCD" w14:textId="5CB17C3B"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93.7</w:t>
            </w:r>
          </w:p>
        </w:tc>
        <w:tc>
          <w:tcPr>
            <w:tcW w:w="895" w:type="pct"/>
            <w:hideMark/>
          </w:tcPr>
          <w:p w14:paraId="067FE2A0" w14:textId="0627633A"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280DDB75"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09F1816F" w14:textId="30164DC3" w:rsidR="00101566" w:rsidRPr="00BA6459" w:rsidRDefault="00101566" w:rsidP="0005592A">
            <w:pPr>
              <w:pStyle w:val="TableTextIndented"/>
              <w:rPr>
                <w:rFonts w:cs="Calibri"/>
                <w:b w:val="0"/>
                <w:color w:val="000000" w:themeColor="text1"/>
              </w:rPr>
            </w:pPr>
            <w:r w:rsidRPr="00004355">
              <w:t>Parliamentary Budget Officer</w:t>
            </w:r>
          </w:p>
        </w:tc>
        <w:tc>
          <w:tcPr>
            <w:tcW w:w="1045" w:type="pct"/>
            <w:hideMark/>
          </w:tcPr>
          <w:p w14:paraId="10FF3101" w14:textId="1FF7CE49"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97.3</w:t>
            </w:r>
          </w:p>
        </w:tc>
        <w:tc>
          <w:tcPr>
            <w:tcW w:w="895" w:type="pct"/>
            <w:hideMark/>
          </w:tcPr>
          <w:p w14:paraId="2907B740" w14:textId="5FD0ADE9"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64948A8E"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6A8DCBD" w14:textId="63ACC006" w:rsidR="00101566" w:rsidRPr="00BA6459" w:rsidRDefault="00101566" w:rsidP="0005592A">
            <w:pPr>
              <w:pStyle w:val="TableTextIndented"/>
              <w:rPr>
                <w:rFonts w:cs="Calibri"/>
                <w:b w:val="0"/>
                <w:color w:val="000000" w:themeColor="text1"/>
              </w:rPr>
            </w:pPr>
            <w:r w:rsidRPr="00004355">
              <w:t>Productivity Commission</w:t>
            </w:r>
          </w:p>
        </w:tc>
        <w:tc>
          <w:tcPr>
            <w:tcW w:w="1045" w:type="pct"/>
            <w:hideMark/>
          </w:tcPr>
          <w:p w14:paraId="07291236" w14:textId="00B17AC0"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97.9</w:t>
            </w:r>
          </w:p>
        </w:tc>
        <w:tc>
          <w:tcPr>
            <w:tcW w:w="895" w:type="pct"/>
            <w:hideMark/>
          </w:tcPr>
          <w:p w14:paraId="4DAC4309" w14:textId="08F16ED5" w:rsidR="00101566" w:rsidRPr="00921EE7"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A6F5FC6"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1946512" w14:textId="31359CA6" w:rsidR="00101566" w:rsidRPr="00BA6459" w:rsidRDefault="00101566" w:rsidP="0005592A">
            <w:pPr>
              <w:pStyle w:val="TableTextIndented"/>
              <w:rPr>
                <w:rFonts w:cs="Calibri"/>
                <w:b w:val="0"/>
                <w:color w:val="000000" w:themeColor="text1"/>
              </w:rPr>
            </w:pPr>
            <w:r w:rsidRPr="00004355">
              <w:t>Professional Services Review</w:t>
            </w:r>
          </w:p>
        </w:tc>
        <w:tc>
          <w:tcPr>
            <w:tcW w:w="1045" w:type="pct"/>
            <w:hideMark/>
          </w:tcPr>
          <w:p w14:paraId="24F62434" w14:textId="33BEBC04"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96.5</w:t>
            </w:r>
          </w:p>
        </w:tc>
        <w:tc>
          <w:tcPr>
            <w:tcW w:w="895" w:type="pct"/>
            <w:hideMark/>
          </w:tcPr>
          <w:p w14:paraId="11D7AF5E" w14:textId="092DA77A" w:rsidR="00101566" w:rsidRPr="00921EE7"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w:t>
            </w:r>
            <w:r w:rsidR="00443CB2">
              <w:t>/</w:t>
            </w:r>
            <w:r w:rsidRPr="005C2E25">
              <w:t>A</w:t>
            </w:r>
          </w:p>
        </w:tc>
      </w:tr>
      <w:tr w:rsidR="00101566" w14:paraId="7DE6A2D1"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DB9F25E" w14:textId="1E3150BD" w:rsidR="00101566" w:rsidRPr="00BA6459" w:rsidRDefault="00101566" w:rsidP="0005592A">
            <w:pPr>
              <w:pStyle w:val="TableTextIndented"/>
              <w:rPr>
                <w:rFonts w:cs="Calibri"/>
                <w:b w:val="0"/>
                <w:color w:val="000000" w:themeColor="text1"/>
              </w:rPr>
            </w:pPr>
            <w:r w:rsidRPr="00004355">
              <w:t>Royal Australian Mint</w:t>
            </w:r>
          </w:p>
        </w:tc>
        <w:tc>
          <w:tcPr>
            <w:tcW w:w="1045" w:type="pct"/>
            <w:hideMark/>
          </w:tcPr>
          <w:p w14:paraId="2193C5E9" w14:textId="373FBBFF"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100.0</w:t>
            </w:r>
          </w:p>
        </w:tc>
        <w:tc>
          <w:tcPr>
            <w:tcW w:w="895" w:type="pct"/>
            <w:hideMark/>
          </w:tcPr>
          <w:p w14:paraId="3D1C333E" w14:textId="6081E1E6"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1718B890"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14012F34" w14:textId="71C40FBD" w:rsidR="00101566" w:rsidRPr="00BA6459" w:rsidRDefault="00101566" w:rsidP="0005592A">
            <w:pPr>
              <w:pStyle w:val="TableTextIndented"/>
              <w:rPr>
                <w:rFonts w:cs="Calibri"/>
                <w:b w:val="0"/>
                <w:color w:val="000000" w:themeColor="text1"/>
              </w:rPr>
            </w:pPr>
            <w:r w:rsidRPr="00004355">
              <w:t>Safe Work Australia</w:t>
            </w:r>
          </w:p>
        </w:tc>
        <w:tc>
          <w:tcPr>
            <w:tcW w:w="1045" w:type="pct"/>
            <w:hideMark/>
          </w:tcPr>
          <w:p w14:paraId="0C7C9A5C" w14:textId="231C031D"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96.7</w:t>
            </w:r>
          </w:p>
        </w:tc>
        <w:tc>
          <w:tcPr>
            <w:tcW w:w="895" w:type="pct"/>
            <w:hideMark/>
          </w:tcPr>
          <w:p w14:paraId="233A854E" w14:textId="5EB2DD34"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39A9ACF6"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2A6D1AC5" w14:textId="0EDD0F3A" w:rsidR="00101566" w:rsidRPr="00EF6C47" w:rsidRDefault="00101566" w:rsidP="0005592A">
            <w:pPr>
              <w:pStyle w:val="TableTextIndented"/>
              <w:rPr>
                <w:rFonts w:cs="Calibri"/>
                <w:b w:val="0"/>
                <w:color w:val="000000" w:themeColor="text1"/>
              </w:rPr>
            </w:pPr>
            <w:r w:rsidRPr="00EF6C47">
              <w:t>Services Australia</w:t>
            </w:r>
          </w:p>
        </w:tc>
        <w:tc>
          <w:tcPr>
            <w:tcW w:w="1045" w:type="pct"/>
            <w:hideMark/>
          </w:tcPr>
          <w:p w14:paraId="36A8C2B8" w14:textId="04B026B0" w:rsidR="00101566" w:rsidRPr="00EF6C47" w:rsidRDefault="00EF6C47"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EF6C47">
              <w:rPr>
                <w:rFonts w:cs="Calibri"/>
                <w:color w:val="000000" w:themeColor="text1"/>
              </w:rPr>
              <w:t>86.1</w:t>
            </w:r>
          </w:p>
        </w:tc>
        <w:tc>
          <w:tcPr>
            <w:tcW w:w="895" w:type="pct"/>
            <w:hideMark/>
          </w:tcPr>
          <w:p w14:paraId="0342EDCE" w14:textId="138FAD82" w:rsidR="00101566" w:rsidRPr="00004355" w:rsidRDefault="008464ED"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highlight w:val="yellow"/>
              </w:rPr>
            </w:pPr>
            <w:r>
              <w:t>0</w:t>
            </w:r>
          </w:p>
        </w:tc>
      </w:tr>
      <w:tr w:rsidR="00101566" w14:paraId="5A09D98F"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3D5D2AE4" w14:textId="319902E4" w:rsidR="00101566" w:rsidRPr="00BA6459" w:rsidRDefault="00101566" w:rsidP="0005592A">
            <w:pPr>
              <w:pStyle w:val="TableTextIndented"/>
              <w:rPr>
                <w:rFonts w:cs="Calibri"/>
                <w:b w:val="0"/>
                <w:color w:val="000000" w:themeColor="text1"/>
              </w:rPr>
            </w:pPr>
            <w:r w:rsidRPr="00004355">
              <w:lastRenderedPageBreak/>
              <w:t>Sport Integrity Australia</w:t>
            </w:r>
          </w:p>
        </w:tc>
        <w:tc>
          <w:tcPr>
            <w:tcW w:w="1045" w:type="pct"/>
            <w:hideMark/>
          </w:tcPr>
          <w:p w14:paraId="3A434F49" w14:textId="74C8D56C"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72.1</w:t>
            </w:r>
          </w:p>
        </w:tc>
        <w:tc>
          <w:tcPr>
            <w:tcW w:w="895" w:type="pct"/>
            <w:hideMark/>
          </w:tcPr>
          <w:p w14:paraId="434570EC" w14:textId="5922324E"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5C2E25">
              <w:t>N/A</w:t>
            </w:r>
          </w:p>
        </w:tc>
      </w:tr>
      <w:tr w:rsidR="00101566" w14:paraId="4AF930C8" w14:textId="77777777" w:rsidTr="002F779B">
        <w:trPr>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46EC3C42" w14:textId="0FF0B48E" w:rsidR="00101566" w:rsidRPr="00BA6459" w:rsidRDefault="00101566" w:rsidP="0005592A">
            <w:pPr>
              <w:pStyle w:val="TableTextIndented"/>
              <w:rPr>
                <w:rFonts w:cs="Calibri"/>
                <w:b w:val="0"/>
                <w:color w:val="000000" w:themeColor="text1"/>
              </w:rPr>
            </w:pPr>
            <w:r w:rsidRPr="00004355">
              <w:t>Tertiary Education Quality and Standards Agency</w:t>
            </w:r>
          </w:p>
        </w:tc>
        <w:tc>
          <w:tcPr>
            <w:tcW w:w="1045" w:type="pct"/>
            <w:hideMark/>
          </w:tcPr>
          <w:p w14:paraId="6FD08CBC" w14:textId="57B085DF"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4A0C37">
              <w:t>97.2</w:t>
            </w:r>
          </w:p>
        </w:tc>
        <w:tc>
          <w:tcPr>
            <w:tcW w:w="895" w:type="pct"/>
            <w:hideMark/>
          </w:tcPr>
          <w:p w14:paraId="2EB4038E" w14:textId="04CA4EAA" w:rsidR="00101566" w:rsidRPr="004B5D1D" w:rsidRDefault="00101566"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5C2E25">
              <w:t>N/A</w:t>
            </w:r>
          </w:p>
        </w:tc>
      </w:tr>
      <w:tr w:rsidR="00101566" w14:paraId="73896B32" w14:textId="77777777" w:rsidTr="002F77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pct"/>
            <w:hideMark/>
          </w:tcPr>
          <w:p w14:paraId="54D14C76" w14:textId="0E9B6B43" w:rsidR="00101566" w:rsidRPr="00BA6459" w:rsidRDefault="00443CB2" w:rsidP="0005592A">
            <w:pPr>
              <w:pStyle w:val="TableTextIndented"/>
              <w:rPr>
                <w:rFonts w:cs="Calibri"/>
                <w:b w:val="0"/>
                <w:color w:val="000000" w:themeColor="text1"/>
              </w:rPr>
            </w:pPr>
            <w:r>
              <w:t>Workplace Gender Equality Agency</w:t>
            </w:r>
          </w:p>
        </w:tc>
        <w:tc>
          <w:tcPr>
            <w:tcW w:w="1045" w:type="pct"/>
            <w:hideMark/>
          </w:tcPr>
          <w:p w14:paraId="7C6F229B" w14:textId="2A0C9CBF" w:rsidR="00101566" w:rsidRPr="004B5D1D" w:rsidRDefault="00101566"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4A0C37">
              <w:t>98.6</w:t>
            </w:r>
          </w:p>
        </w:tc>
        <w:tc>
          <w:tcPr>
            <w:tcW w:w="895" w:type="pct"/>
            <w:hideMark/>
          </w:tcPr>
          <w:p w14:paraId="4E8F890C" w14:textId="37A2482D" w:rsidR="00101566" w:rsidRPr="004B5D1D" w:rsidRDefault="00622387" w:rsidP="0005592A">
            <w:pPr>
              <w:pStyle w:val="TableTextIndented"/>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color w:val="000000" w:themeColor="text1"/>
              </w:rPr>
              <w:t>N/A</w:t>
            </w:r>
          </w:p>
        </w:tc>
      </w:tr>
      <w:tr w:rsidR="001F3F44" w14:paraId="5710FCC0" w14:textId="77777777" w:rsidTr="002F779B">
        <w:trPr>
          <w:trHeight w:val="171"/>
        </w:trPr>
        <w:tc>
          <w:tcPr>
            <w:cnfStyle w:val="001000000000" w:firstRow="0" w:lastRow="0" w:firstColumn="1" w:lastColumn="0" w:oddVBand="0" w:evenVBand="0" w:oddHBand="0" w:evenHBand="0" w:firstRowFirstColumn="0" w:firstRowLastColumn="0" w:lastRowFirstColumn="0" w:lastRowLastColumn="0"/>
            <w:tcW w:w="3060" w:type="pct"/>
            <w:shd w:val="clear" w:color="auto" w:fill="002C47"/>
            <w:hideMark/>
          </w:tcPr>
          <w:p w14:paraId="3B9B1555" w14:textId="6E53B65B" w:rsidR="001F3F44" w:rsidRPr="004B5D1D" w:rsidRDefault="00780604" w:rsidP="0005592A">
            <w:pPr>
              <w:pStyle w:val="TableTextIndented"/>
              <w:rPr>
                <w:rFonts w:cs="Calibri"/>
                <w:b w:val="0"/>
                <w:color w:val="000000" w:themeColor="text1"/>
              </w:rPr>
            </w:pPr>
            <w:r>
              <w:rPr>
                <w:rFonts w:cs="Calibri"/>
                <w:color w:val="FFFFFF" w:themeColor="background1"/>
                <w:sz w:val="24"/>
              </w:rPr>
              <w:t>Average</w:t>
            </w:r>
            <w:r w:rsidR="00B53722">
              <w:rPr>
                <w:rFonts w:cs="Calibri"/>
                <w:color w:val="FFFFFF" w:themeColor="background1"/>
                <w:sz w:val="24"/>
              </w:rPr>
              <w:t xml:space="preserve"> where applicable</w:t>
            </w:r>
          </w:p>
        </w:tc>
        <w:tc>
          <w:tcPr>
            <w:tcW w:w="1045" w:type="pct"/>
            <w:shd w:val="clear" w:color="auto" w:fill="002C47"/>
            <w:hideMark/>
          </w:tcPr>
          <w:p w14:paraId="478E3FA9" w14:textId="40E611F8" w:rsidR="001F3F44" w:rsidRPr="004B5D1D" w:rsidRDefault="001F3F44"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FFFFFF" w:themeColor="background1"/>
                <w:sz w:val="24"/>
              </w:rPr>
              <w:t>9</w:t>
            </w:r>
            <w:r w:rsidR="00AE0702">
              <w:rPr>
                <w:rFonts w:cs="Calibri"/>
                <w:color w:val="FFFFFF" w:themeColor="background1"/>
                <w:sz w:val="24"/>
              </w:rPr>
              <w:t>3.</w:t>
            </w:r>
            <w:r w:rsidR="003539BE">
              <w:rPr>
                <w:rFonts w:cs="Calibri"/>
                <w:color w:val="FFFFFF" w:themeColor="background1"/>
                <w:sz w:val="24"/>
              </w:rPr>
              <w:t>2</w:t>
            </w:r>
          </w:p>
        </w:tc>
        <w:tc>
          <w:tcPr>
            <w:tcW w:w="895" w:type="pct"/>
            <w:shd w:val="clear" w:color="auto" w:fill="002C47"/>
            <w:hideMark/>
          </w:tcPr>
          <w:p w14:paraId="372D11CF" w14:textId="554C34FA" w:rsidR="001F3F44" w:rsidRPr="004B5D1D" w:rsidRDefault="001953EC" w:rsidP="0005592A">
            <w:pPr>
              <w:pStyle w:val="TableTextIndented"/>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FFFFFF" w:themeColor="background1"/>
                <w:sz w:val="24"/>
              </w:rPr>
              <w:t>6</w:t>
            </w:r>
            <w:r w:rsidR="003539BE">
              <w:rPr>
                <w:rFonts w:cs="Calibri"/>
                <w:color w:val="FFFFFF" w:themeColor="background1"/>
                <w:sz w:val="24"/>
              </w:rPr>
              <w:t>2</w:t>
            </w:r>
          </w:p>
        </w:tc>
      </w:tr>
    </w:tbl>
    <w:p w14:paraId="7F5D8D10" w14:textId="2B2EE465" w:rsidR="0005138B" w:rsidRDefault="0005138B" w:rsidP="00430BB9">
      <w:pPr>
        <w:pStyle w:val="Heading1"/>
      </w:pPr>
    </w:p>
    <w:sectPr w:rsidR="0005138B" w:rsidSect="00F55890">
      <w:headerReference w:type="even" r:id="rId25"/>
      <w:headerReference w:type="default" r:id="rId26"/>
      <w:footerReference w:type="even" r:id="rId27"/>
      <w:footerReference w:type="default" r:id="rId28"/>
      <w:headerReference w:type="first" r:id="rId29"/>
      <w:footerReference w:type="first" r:id="rId30"/>
      <w:pgSz w:w="11906" w:h="16838"/>
      <w:pgMar w:top="1276" w:right="1440" w:bottom="1440" w:left="1440" w:header="851" w:footer="4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CC5E" w14:textId="77777777" w:rsidR="005364B5" w:rsidRDefault="005364B5">
      <w:pPr>
        <w:spacing w:before="0" w:after="0"/>
      </w:pPr>
      <w:r>
        <w:separator/>
      </w:r>
    </w:p>
  </w:endnote>
  <w:endnote w:type="continuationSeparator" w:id="0">
    <w:p w14:paraId="59B03833" w14:textId="77777777" w:rsidR="005364B5" w:rsidRDefault="005364B5">
      <w:pPr>
        <w:spacing w:before="0" w:after="0"/>
      </w:pPr>
      <w:r>
        <w:continuationSeparator/>
      </w:r>
    </w:p>
  </w:endnote>
  <w:endnote w:type="continuationNotice" w:id="1">
    <w:p w14:paraId="4CCE9976" w14:textId="77777777" w:rsidR="005364B5" w:rsidRDefault="005364B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07D3" w14:textId="77777777" w:rsidR="004743ED" w:rsidRPr="00F60198" w:rsidRDefault="004743ED"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67464"/>
      <w:docPartObj>
        <w:docPartGallery w:val="Page Numbers (Bottom of Page)"/>
        <w:docPartUnique/>
      </w:docPartObj>
    </w:sdtPr>
    <w:sdtEndPr>
      <w:rPr>
        <w:noProof/>
      </w:rPr>
    </w:sdtEndPr>
    <w:sdtContent>
      <w:p w14:paraId="70DBA08C" w14:textId="22D28B38" w:rsidR="004743ED" w:rsidRDefault="004743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34CAE8" w14:textId="4F5AFE53" w:rsidR="004743ED" w:rsidRDefault="004743ED" w:rsidP="00E61ABC">
    <w:pPr>
      <w:pStyle w:val="SecurityClassification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402B" w14:textId="5CDFE07F" w:rsidR="004743ED" w:rsidRPr="008F5772" w:rsidRDefault="002057B9" w:rsidP="004942B9">
    <w:pPr>
      <w:pStyle w:val="Footer"/>
      <w:jc w:val="right"/>
      <w:rPr>
        <w:noProof/>
      </w:rPr>
    </w:pPr>
    <w:sdt>
      <w:sdtPr>
        <w:id w:val="-1044901746"/>
        <w:docPartObj>
          <w:docPartGallery w:val="Page Numbers (Bottom of Page)"/>
          <w:docPartUnique/>
        </w:docPartObj>
      </w:sdtPr>
      <w:sdtEndPr>
        <w:rPr>
          <w:noProof/>
        </w:rPr>
      </w:sdtEndPr>
      <w:sdtContent>
        <w:r w:rsidR="004743ED">
          <w:fldChar w:fldCharType="begin"/>
        </w:r>
        <w:r w:rsidR="004743ED">
          <w:instrText xml:space="preserve"> PAGE   \* MERGEFORMAT </w:instrText>
        </w:r>
        <w:r w:rsidR="004743ED">
          <w:fldChar w:fldCharType="separate"/>
        </w:r>
        <w:r w:rsidR="004743ED">
          <w:rPr>
            <w:noProof/>
          </w:rPr>
          <w:t>2</w:t>
        </w:r>
        <w:r w:rsidR="004743ED">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458021"/>
      <w:docPartObj>
        <w:docPartGallery w:val="Page Numbers (Bottom of Page)"/>
        <w:docPartUnique/>
      </w:docPartObj>
    </w:sdtPr>
    <w:sdtEndPr>
      <w:rPr>
        <w:noProof/>
      </w:rPr>
    </w:sdtEndPr>
    <w:sdtContent>
      <w:p w14:paraId="1413B4B3" w14:textId="56DA8363" w:rsidR="004743ED" w:rsidRPr="008F5772" w:rsidRDefault="004743ED" w:rsidP="004942B9">
        <w:pPr>
          <w:pStyle w:val="Footer"/>
          <w:jc w:val="right"/>
        </w:pPr>
        <w:r>
          <w:t>ii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92FD" w14:textId="77777777" w:rsidR="005364B5" w:rsidRDefault="005364B5">
      <w:pPr>
        <w:spacing w:before="0" w:after="0"/>
      </w:pPr>
      <w:r>
        <w:separator/>
      </w:r>
    </w:p>
  </w:footnote>
  <w:footnote w:type="continuationSeparator" w:id="0">
    <w:p w14:paraId="6895F585" w14:textId="77777777" w:rsidR="005364B5" w:rsidRDefault="005364B5">
      <w:pPr>
        <w:spacing w:before="0" w:after="0"/>
      </w:pPr>
      <w:r>
        <w:continuationSeparator/>
      </w:r>
    </w:p>
  </w:footnote>
  <w:footnote w:type="continuationNotice" w:id="1">
    <w:p w14:paraId="75FE6A86" w14:textId="77777777" w:rsidR="005364B5" w:rsidRDefault="005364B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FEC5" w14:textId="77777777" w:rsidR="004743ED" w:rsidRDefault="002057B9" w:rsidP="00E61ABC">
    <w:pPr>
      <w:pStyle w:val="SecurityClassificationHeader"/>
    </w:pPr>
    <w:r>
      <w:fldChar w:fldCharType="begin"/>
    </w:r>
    <w:r>
      <w:instrText xml:space="preserve"> DOCPROPERTY SecurityClassification \* MERGEFORMAT </w:instrText>
    </w:r>
    <w:r>
      <w:fldChar w:fldCharType="separate"/>
    </w:r>
    <w:r w:rsidR="004743ED">
      <w:t>Draft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34B3" w14:textId="340597CB" w:rsidR="004743ED" w:rsidRPr="008F5772" w:rsidRDefault="002057B9" w:rsidP="00E61ABC">
    <w:pPr>
      <w:pStyle w:val="Header"/>
      <w:rPr>
        <w:b/>
        <w:color w:val="FF0000"/>
        <w:sz w:val="28"/>
        <w:szCs w:val="28"/>
      </w:rPr>
    </w:pPr>
    <w:sdt>
      <w:sdtPr>
        <w:alias w:val="Title"/>
        <w:tag w:val=""/>
        <w:id w:val="-1005120900"/>
        <w:placeholder>
          <w:docPart w:val="6746EFF83CAF444DA2284208C3EE5081"/>
        </w:placeholder>
        <w:dataBinding w:prefixMappings="xmlns:ns0='http://purl.org/dc/elements/1.1/' xmlns:ns1='http://schemas.openxmlformats.org/package/2006/metadata/core-properties' " w:xpath="/ns1:coreProperties[1]/ns0:title[1]" w:storeItemID="{6C3C8BC8-F283-45AE-878A-BAB7291924A1}"/>
        <w:text/>
      </w:sdtPr>
      <w:sdtEndPr/>
      <w:sdtContent>
        <w:r>
          <w:t>Australian Government Pay On-Time Survey Performance Report 2020–21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C550" w14:textId="03CA9C47" w:rsidR="004743ED" w:rsidRPr="004B2776" w:rsidRDefault="002057B9" w:rsidP="00AF28FC">
    <w:pPr>
      <w:pStyle w:val="Header"/>
      <w:rPr>
        <w:b/>
        <w:color w:val="FF0000"/>
        <w:sz w:val="28"/>
        <w:szCs w:val="28"/>
      </w:rPr>
    </w:pPr>
    <w:sdt>
      <w:sdtPr>
        <w:alias w:val="Title"/>
        <w:tag w:val=""/>
        <w:id w:val="-1356881750"/>
        <w:placeholder>
          <w:docPart w:val="0784035EF3EB42A18B0744F018D81570"/>
        </w:placeholder>
        <w:dataBinding w:prefixMappings="xmlns:ns0='http://purl.org/dc/elements/1.1/' xmlns:ns1='http://schemas.openxmlformats.org/package/2006/metadata/core-properties' " w:xpath="/ns1:coreProperties[1]/ns0:title[1]" w:storeItemID="{6C3C8BC8-F283-45AE-878A-BAB7291924A1}"/>
        <w:text/>
      </w:sdtPr>
      <w:sdtEndPr/>
      <w:sdtContent>
        <w:r>
          <w:t>Australian Government Pay On-Time Survey Performance Report 2020–21</w:t>
        </w:r>
      </w:sdtContent>
    </w:sdt>
  </w:p>
  <w:p w14:paraId="0C227D2F" w14:textId="77777777" w:rsidR="004743ED" w:rsidRDefault="00474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901779"/>
    <w:multiLevelType w:val="hybridMultilevel"/>
    <w:tmpl w:val="4DE257D6"/>
    <w:lvl w:ilvl="0" w:tplc="8EC4759E">
      <w:start w:val="1"/>
      <w:numFmt w:val="bullet"/>
      <w:lvlText w:val=""/>
      <w:lvlJc w:val="left"/>
      <w:pPr>
        <w:ind w:left="720" w:hanging="360"/>
      </w:pPr>
      <w:rPr>
        <w:rFonts w:ascii="Symbol" w:hAnsi="Symbol" w:hint="default"/>
        <w:color w:val="287BB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0A326C1"/>
    <w:multiLevelType w:val="hybridMultilevel"/>
    <w:tmpl w:val="EA461D68"/>
    <w:lvl w:ilvl="0" w:tplc="31C4993E">
      <w:start w:val="1"/>
      <w:numFmt w:val="bullet"/>
      <w:lvlText w:val=""/>
      <w:lvlJc w:val="left"/>
      <w:pPr>
        <w:ind w:left="720" w:hanging="360"/>
      </w:pPr>
      <w:rPr>
        <w:rFonts w:ascii="Symbol" w:hAnsi="Symbol" w:hint="default"/>
        <w:color w:val="002C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851294"/>
    <w:multiLevelType w:val="multilevel"/>
    <w:tmpl w:val="C45ECC16"/>
    <w:name w:val="StandardBulletedList"/>
    <w:lvl w:ilvl="0">
      <w:start w:val="1"/>
      <w:numFmt w:val="bullet"/>
      <w:lvlText w:val="•"/>
      <w:lvlJc w:val="left"/>
      <w:pPr>
        <w:tabs>
          <w:tab w:val="num" w:pos="520"/>
        </w:tabs>
        <w:ind w:left="520" w:hanging="520"/>
      </w:pPr>
      <w:rPr>
        <w:rFonts w:ascii="Times New Roman" w:hAnsi="Times New Roman" w:cs="Times New Roman" w:hint="default"/>
      </w:rPr>
    </w:lvl>
    <w:lvl w:ilvl="1">
      <w:start w:val="1"/>
      <w:numFmt w:val="bullet"/>
      <w:lvlText w:val="o"/>
      <w:lvlJc w:val="left"/>
      <w:pPr>
        <w:tabs>
          <w:tab w:val="num" w:pos="1040"/>
        </w:tabs>
        <w:ind w:left="1040" w:hanging="520"/>
      </w:pPr>
      <w:rPr>
        <w:rFonts w:ascii="Courier New" w:hAnsi="Courier New" w:cs="Courier New" w:hint="default"/>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72F8140E"/>
    <w:numStyleLink w:val="OutlineList"/>
  </w:abstractNum>
  <w:abstractNum w:abstractNumId="17"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0"/>
  </w:num>
  <w:num w:numId="2">
    <w:abstractNumId w:val="0"/>
  </w:num>
  <w:num w:numId="3">
    <w:abstractNumId w:val="13"/>
  </w:num>
  <w:num w:numId="4">
    <w:abstractNumId w:val="2"/>
  </w:num>
  <w:num w:numId="5">
    <w:abstractNumId w:val="4"/>
  </w:num>
  <w:num w:numId="6">
    <w:abstractNumId w:val="16"/>
  </w:num>
  <w:num w:numId="7">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1"/>
  </w:num>
  <w:num w:numId="10">
    <w:abstractNumId w:val="8"/>
  </w:num>
  <w:num w:numId="11">
    <w:abstractNumId w:val="21"/>
  </w:num>
  <w:num w:numId="12">
    <w:abstractNumId w:val="16"/>
  </w:num>
  <w:num w:numId="13">
    <w:abstractNumId w:val="22"/>
  </w:num>
  <w:num w:numId="14">
    <w:abstractNumId w:val="15"/>
  </w:num>
  <w:num w:numId="15">
    <w:abstractNumId w:val="7"/>
  </w:num>
  <w:num w:numId="16">
    <w:abstractNumId w:val="19"/>
  </w:num>
  <w:num w:numId="17">
    <w:abstractNumId w:val="12"/>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9"/>
  </w:num>
  <w:num w:numId="21">
    <w:abstractNumId w:val="6"/>
  </w:num>
  <w:num w:numId="22">
    <w:abstractNumId w:val="17"/>
  </w:num>
  <w:num w:numId="23">
    <w:abstractNumId w:val="3"/>
  </w:num>
  <w:num w:numId="24">
    <w:abstractNumId w:val="1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F8"/>
    <w:rsid w:val="0000166E"/>
    <w:rsid w:val="00001B0A"/>
    <w:rsid w:val="00001CB2"/>
    <w:rsid w:val="0000366C"/>
    <w:rsid w:val="00004355"/>
    <w:rsid w:val="00006A53"/>
    <w:rsid w:val="00011725"/>
    <w:rsid w:val="00012C62"/>
    <w:rsid w:val="0001396A"/>
    <w:rsid w:val="000168CA"/>
    <w:rsid w:val="00017405"/>
    <w:rsid w:val="0002544D"/>
    <w:rsid w:val="00025495"/>
    <w:rsid w:val="00026476"/>
    <w:rsid w:val="00030D18"/>
    <w:rsid w:val="00031DB1"/>
    <w:rsid w:val="00032616"/>
    <w:rsid w:val="00033E17"/>
    <w:rsid w:val="00034056"/>
    <w:rsid w:val="000370E6"/>
    <w:rsid w:val="000414E8"/>
    <w:rsid w:val="00041E0C"/>
    <w:rsid w:val="0004274D"/>
    <w:rsid w:val="00043348"/>
    <w:rsid w:val="0004483F"/>
    <w:rsid w:val="000452F5"/>
    <w:rsid w:val="0005138B"/>
    <w:rsid w:val="000522B7"/>
    <w:rsid w:val="0005592A"/>
    <w:rsid w:val="00056880"/>
    <w:rsid w:val="000625E8"/>
    <w:rsid w:val="0006657D"/>
    <w:rsid w:val="000675D1"/>
    <w:rsid w:val="00067BEF"/>
    <w:rsid w:val="00073521"/>
    <w:rsid w:val="000767B4"/>
    <w:rsid w:val="000775DE"/>
    <w:rsid w:val="0008106A"/>
    <w:rsid w:val="00084A79"/>
    <w:rsid w:val="0008641B"/>
    <w:rsid w:val="000870D2"/>
    <w:rsid w:val="00087FAF"/>
    <w:rsid w:val="0009336C"/>
    <w:rsid w:val="000A19CE"/>
    <w:rsid w:val="000A449E"/>
    <w:rsid w:val="000A5DF6"/>
    <w:rsid w:val="000A6D20"/>
    <w:rsid w:val="000A7E27"/>
    <w:rsid w:val="000B1F87"/>
    <w:rsid w:val="000B37DE"/>
    <w:rsid w:val="000B55DE"/>
    <w:rsid w:val="000C5540"/>
    <w:rsid w:val="000C571D"/>
    <w:rsid w:val="000C5A3C"/>
    <w:rsid w:val="000C5F40"/>
    <w:rsid w:val="000C7003"/>
    <w:rsid w:val="000D0255"/>
    <w:rsid w:val="000D07E7"/>
    <w:rsid w:val="000D3D3F"/>
    <w:rsid w:val="000E0B74"/>
    <w:rsid w:val="000E49B5"/>
    <w:rsid w:val="000E7901"/>
    <w:rsid w:val="000F17DD"/>
    <w:rsid w:val="000F511B"/>
    <w:rsid w:val="000F608E"/>
    <w:rsid w:val="00101566"/>
    <w:rsid w:val="00103FBE"/>
    <w:rsid w:val="00105494"/>
    <w:rsid w:val="00107721"/>
    <w:rsid w:val="00107F2F"/>
    <w:rsid w:val="00111AAA"/>
    <w:rsid w:val="00122A54"/>
    <w:rsid w:val="00124020"/>
    <w:rsid w:val="00131DC3"/>
    <w:rsid w:val="00134DE2"/>
    <w:rsid w:val="00135E4C"/>
    <w:rsid w:val="001373F5"/>
    <w:rsid w:val="00140205"/>
    <w:rsid w:val="001445FA"/>
    <w:rsid w:val="00150089"/>
    <w:rsid w:val="001558DB"/>
    <w:rsid w:val="001574C0"/>
    <w:rsid w:val="001606CF"/>
    <w:rsid w:val="0016128D"/>
    <w:rsid w:val="00164044"/>
    <w:rsid w:val="00164807"/>
    <w:rsid w:val="00164C45"/>
    <w:rsid w:val="00164F43"/>
    <w:rsid w:val="001676F7"/>
    <w:rsid w:val="00167DE6"/>
    <w:rsid w:val="0017089D"/>
    <w:rsid w:val="00174ECA"/>
    <w:rsid w:val="00177059"/>
    <w:rsid w:val="00181091"/>
    <w:rsid w:val="001903A8"/>
    <w:rsid w:val="0019101A"/>
    <w:rsid w:val="001953EC"/>
    <w:rsid w:val="00196EC6"/>
    <w:rsid w:val="001972D2"/>
    <w:rsid w:val="001A1802"/>
    <w:rsid w:val="001B0A5B"/>
    <w:rsid w:val="001B0D32"/>
    <w:rsid w:val="001B60F4"/>
    <w:rsid w:val="001C358D"/>
    <w:rsid w:val="001D1430"/>
    <w:rsid w:val="001D16E2"/>
    <w:rsid w:val="001D5436"/>
    <w:rsid w:val="001E4BCA"/>
    <w:rsid w:val="001E79B5"/>
    <w:rsid w:val="001F1B27"/>
    <w:rsid w:val="001F3F44"/>
    <w:rsid w:val="001F774A"/>
    <w:rsid w:val="002000A5"/>
    <w:rsid w:val="00201C2D"/>
    <w:rsid w:val="00204860"/>
    <w:rsid w:val="002057B9"/>
    <w:rsid w:val="00211E80"/>
    <w:rsid w:val="0021434F"/>
    <w:rsid w:val="00215AC6"/>
    <w:rsid w:val="00221EC0"/>
    <w:rsid w:val="00222105"/>
    <w:rsid w:val="00225576"/>
    <w:rsid w:val="00231049"/>
    <w:rsid w:val="002314D2"/>
    <w:rsid w:val="0023305C"/>
    <w:rsid w:val="00236789"/>
    <w:rsid w:val="00241881"/>
    <w:rsid w:val="0024294C"/>
    <w:rsid w:val="00242A0E"/>
    <w:rsid w:val="002462BB"/>
    <w:rsid w:val="002471A3"/>
    <w:rsid w:val="002549CF"/>
    <w:rsid w:val="0025652F"/>
    <w:rsid w:val="0025690D"/>
    <w:rsid w:val="00256D39"/>
    <w:rsid w:val="00263B6C"/>
    <w:rsid w:val="0026721F"/>
    <w:rsid w:val="00272939"/>
    <w:rsid w:val="0027590B"/>
    <w:rsid w:val="0028450F"/>
    <w:rsid w:val="00285969"/>
    <w:rsid w:val="0029102B"/>
    <w:rsid w:val="00291CA1"/>
    <w:rsid w:val="00292C66"/>
    <w:rsid w:val="00293932"/>
    <w:rsid w:val="002A07D2"/>
    <w:rsid w:val="002A74EF"/>
    <w:rsid w:val="002B3829"/>
    <w:rsid w:val="002C22EF"/>
    <w:rsid w:val="002D059E"/>
    <w:rsid w:val="002D56CA"/>
    <w:rsid w:val="002D5941"/>
    <w:rsid w:val="002E454C"/>
    <w:rsid w:val="002E4957"/>
    <w:rsid w:val="002F617F"/>
    <w:rsid w:val="002F779B"/>
    <w:rsid w:val="00300109"/>
    <w:rsid w:val="00301755"/>
    <w:rsid w:val="0030665E"/>
    <w:rsid w:val="00306894"/>
    <w:rsid w:val="003122F4"/>
    <w:rsid w:val="00316E70"/>
    <w:rsid w:val="00321177"/>
    <w:rsid w:val="00323AC5"/>
    <w:rsid w:val="00324D2F"/>
    <w:rsid w:val="003268D5"/>
    <w:rsid w:val="003272F0"/>
    <w:rsid w:val="0033606D"/>
    <w:rsid w:val="00336590"/>
    <w:rsid w:val="00336FA1"/>
    <w:rsid w:val="003375A3"/>
    <w:rsid w:val="003441CB"/>
    <w:rsid w:val="003448F6"/>
    <w:rsid w:val="00350759"/>
    <w:rsid w:val="003539BE"/>
    <w:rsid w:val="0035445A"/>
    <w:rsid w:val="00354D27"/>
    <w:rsid w:val="00356C10"/>
    <w:rsid w:val="0035738A"/>
    <w:rsid w:val="00361E9B"/>
    <w:rsid w:val="00374C9E"/>
    <w:rsid w:val="003818EB"/>
    <w:rsid w:val="003858A6"/>
    <w:rsid w:val="003920FC"/>
    <w:rsid w:val="00392DCC"/>
    <w:rsid w:val="003968AF"/>
    <w:rsid w:val="003A5B36"/>
    <w:rsid w:val="003B237C"/>
    <w:rsid w:val="003B4B90"/>
    <w:rsid w:val="003B6156"/>
    <w:rsid w:val="003C24B4"/>
    <w:rsid w:val="003C33CD"/>
    <w:rsid w:val="003C639C"/>
    <w:rsid w:val="003D7478"/>
    <w:rsid w:val="003E0A52"/>
    <w:rsid w:val="003E20D6"/>
    <w:rsid w:val="003E4D87"/>
    <w:rsid w:val="003F0FCF"/>
    <w:rsid w:val="003F6C18"/>
    <w:rsid w:val="00401082"/>
    <w:rsid w:val="004032EC"/>
    <w:rsid w:val="0041447B"/>
    <w:rsid w:val="00416762"/>
    <w:rsid w:val="00416E55"/>
    <w:rsid w:val="00417742"/>
    <w:rsid w:val="0042518A"/>
    <w:rsid w:val="00426994"/>
    <w:rsid w:val="00426E6C"/>
    <w:rsid w:val="004276A0"/>
    <w:rsid w:val="00430BB9"/>
    <w:rsid w:val="00431421"/>
    <w:rsid w:val="004375FE"/>
    <w:rsid w:val="0044144B"/>
    <w:rsid w:val="00443CB2"/>
    <w:rsid w:val="0044439E"/>
    <w:rsid w:val="00445265"/>
    <w:rsid w:val="00454ABA"/>
    <w:rsid w:val="004554E0"/>
    <w:rsid w:val="004559CE"/>
    <w:rsid w:val="0045779A"/>
    <w:rsid w:val="00460E1A"/>
    <w:rsid w:val="00463685"/>
    <w:rsid w:val="00463DF8"/>
    <w:rsid w:val="00464D63"/>
    <w:rsid w:val="004743ED"/>
    <w:rsid w:val="00475085"/>
    <w:rsid w:val="00476CF6"/>
    <w:rsid w:val="00477AA8"/>
    <w:rsid w:val="00482EDD"/>
    <w:rsid w:val="00492FCB"/>
    <w:rsid w:val="00492FFA"/>
    <w:rsid w:val="004942B9"/>
    <w:rsid w:val="00495E67"/>
    <w:rsid w:val="00496AAD"/>
    <w:rsid w:val="004A0F11"/>
    <w:rsid w:val="004A1006"/>
    <w:rsid w:val="004A3EAA"/>
    <w:rsid w:val="004A7D97"/>
    <w:rsid w:val="004B1D98"/>
    <w:rsid w:val="004B21A3"/>
    <w:rsid w:val="004B429D"/>
    <w:rsid w:val="004B5133"/>
    <w:rsid w:val="004B7875"/>
    <w:rsid w:val="004C000F"/>
    <w:rsid w:val="004C41B6"/>
    <w:rsid w:val="004C627D"/>
    <w:rsid w:val="004C7FDB"/>
    <w:rsid w:val="004D64DC"/>
    <w:rsid w:val="004D6E37"/>
    <w:rsid w:val="004D7240"/>
    <w:rsid w:val="004E00EA"/>
    <w:rsid w:val="004E69EB"/>
    <w:rsid w:val="004F08CE"/>
    <w:rsid w:val="004F1B08"/>
    <w:rsid w:val="004F4B92"/>
    <w:rsid w:val="004F5C77"/>
    <w:rsid w:val="004F6A95"/>
    <w:rsid w:val="0050101E"/>
    <w:rsid w:val="00501553"/>
    <w:rsid w:val="005023D0"/>
    <w:rsid w:val="00503385"/>
    <w:rsid w:val="00504CF6"/>
    <w:rsid w:val="005054F3"/>
    <w:rsid w:val="0050579D"/>
    <w:rsid w:val="00505C12"/>
    <w:rsid w:val="00507112"/>
    <w:rsid w:val="00516785"/>
    <w:rsid w:val="0052419D"/>
    <w:rsid w:val="00526BDF"/>
    <w:rsid w:val="005301F8"/>
    <w:rsid w:val="005312FC"/>
    <w:rsid w:val="0053136E"/>
    <w:rsid w:val="00533D50"/>
    <w:rsid w:val="0053569E"/>
    <w:rsid w:val="0053603D"/>
    <w:rsid w:val="005364B5"/>
    <w:rsid w:val="0053742A"/>
    <w:rsid w:val="00537C85"/>
    <w:rsid w:val="00541D29"/>
    <w:rsid w:val="0055218E"/>
    <w:rsid w:val="00555E92"/>
    <w:rsid w:val="00562F17"/>
    <w:rsid w:val="0056582C"/>
    <w:rsid w:val="005721B0"/>
    <w:rsid w:val="00585EEF"/>
    <w:rsid w:val="005868DE"/>
    <w:rsid w:val="005877AC"/>
    <w:rsid w:val="00587C1E"/>
    <w:rsid w:val="005901FC"/>
    <w:rsid w:val="005966B7"/>
    <w:rsid w:val="00597A22"/>
    <w:rsid w:val="005A1BE5"/>
    <w:rsid w:val="005B4C12"/>
    <w:rsid w:val="005B5E2A"/>
    <w:rsid w:val="005B625C"/>
    <w:rsid w:val="005C02A4"/>
    <w:rsid w:val="005C20D2"/>
    <w:rsid w:val="005C3034"/>
    <w:rsid w:val="005C32FE"/>
    <w:rsid w:val="005C503A"/>
    <w:rsid w:val="005D024A"/>
    <w:rsid w:val="005D4FD4"/>
    <w:rsid w:val="005D6D64"/>
    <w:rsid w:val="005E02E6"/>
    <w:rsid w:val="005E4492"/>
    <w:rsid w:val="005E4CE8"/>
    <w:rsid w:val="005E4F10"/>
    <w:rsid w:val="005E5CAC"/>
    <w:rsid w:val="00601650"/>
    <w:rsid w:val="00604EEF"/>
    <w:rsid w:val="00605AFD"/>
    <w:rsid w:val="006123D4"/>
    <w:rsid w:val="00614343"/>
    <w:rsid w:val="0061445B"/>
    <w:rsid w:val="006148EB"/>
    <w:rsid w:val="00616B16"/>
    <w:rsid w:val="00622387"/>
    <w:rsid w:val="00624C4B"/>
    <w:rsid w:val="00627DDD"/>
    <w:rsid w:val="0063192D"/>
    <w:rsid w:val="00635775"/>
    <w:rsid w:val="00636E54"/>
    <w:rsid w:val="006410F7"/>
    <w:rsid w:val="0064349D"/>
    <w:rsid w:val="006435E8"/>
    <w:rsid w:val="006564D3"/>
    <w:rsid w:val="006678A0"/>
    <w:rsid w:val="0067622C"/>
    <w:rsid w:val="0068191A"/>
    <w:rsid w:val="00685CF7"/>
    <w:rsid w:val="00686165"/>
    <w:rsid w:val="00691CB5"/>
    <w:rsid w:val="0069212F"/>
    <w:rsid w:val="006923DF"/>
    <w:rsid w:val="00697BF6"/>
    <w:rsid w:val="006A37F5"/>
    <w:rsid w:val="006A3A54"/>
    <w:rsid w:val="006A4CD0"/>
    <w:rsid w:val="006B38FF"/>
    <w:rsid w:val="006B4442"/>
    <w:rsid w:val="006B4533"/>
    <w:rsid w:val="006B7CA3"/>
    <w:rsid w:val="006C1892"/>
    <w:rsid w:val="006C42C2"/>
    <w:rsid w:val="006C49CA"/>
    <w:rsid w:val="006C5B73"/>
    <w:rsid w:val="006C5DD2"/>
    <w:rsid w:val="006C645D"/>
    <w:rsid w:val="006C703C"/>
    <w:rsid w:val="006D0117"/>
    <w:rsid w:val="006D0EA2"/>
    <w:rsid w:val="006E2109"/>
    <w:rsid w:val="006E2D2A"/>
    <w:rsid w:val="006E3CC3"/>
    <w:rsid w:val="006E5865"/>
    <w:rsid w:val="006E7C2D"/>
    <w:rsid w:val="006F1D5D"/>
    <w:rsid w:val="006F2AB0"/>
    <w:rsid w:val="006F45E9"/>
    <w:rsid w:val="006F4F99"/>
    <w:rsid w:val="00706E8E"/>
    <w:rsid w:val="0071554A"/>
    <w:rsid w:val="00720C15"/>
    <w:rsid w:val="00722B53"/>
    <w:rsid w:val="007255E5"/>
    <w:rsid w:val="007268B0"/>
    <w:rsid w:val="00727E10"/>
    <w:rsid w:val="007331C0"/>
    <w:rsid w:val="00734DBF"/>
    <w:rsid w:val="007379B6"/>
    <w:rsid w:val="00741C04"/>
    <w:rsid w:val="007509DD"/>
    <w:rsid w:val="007564D1"/>
    <w:rsid w:val="00763474"/>
    <w:rsid w:val="00764BC6"/>
    <w:rsid w:val="00773A68"/>
    <w:rsid w:val="00775336"/>
    <w:rsid w:val="007778D1"/>
    <w:rsid w:val="00780604"/>
    <w:rsid w:val="0078119A"/>
    <w:rsid w:val="00784776"/>
    <w:rsid w:val="00784C0A"/>
    <w:rsid w:val="0078757B"/>
    <w:rsid w:val="00793306"/>
    <w:rsid w:val="00794B40"/>
    <w:rsid w:val="007A0678"/>
    <w:rsid w:val="007A1079"/>
    <w:rsid w:val="007A25C1"/>
    <w:rsid w:val="007B061F"/>
    <w:rsid w:val="007B0F9E"/>
    <w:rsid w:val="007B2677"/>
    <w:rsid w:val="007B2A25"/>
    <w:rsid w:val="007B5A2F"/>
    <w:rsid w:val="007B76AB"/>
    <w:rsid w:val="007B7849"/>
    <w:rsid w:val="007C18ED"/>
    <w:rsid w:val="007C72F4"/>
    <w:rsid w:val="007D592B"/>
    <w:rsid w:val="007D5AA6"/>
    <w:rsid w:val="007D7A91"/>
    <w:rsid w:val="007E6456"/>
    <w:rsid w:val="007E7F97"/>
    <w:rsid w:val="007F5B82"/>
    <w:rsid w:val="00801964"/>
    <w:rsid w:val="008037DA"/>
    <w:rsid w:val="00807B78"/>
    <w:rsid w:val="00810D9C"/>
    <w:rsid w:val="00811943"/>
    <w:rsid w:val="00814C0E"/>
    <w:rsid w:val="00820FBB"/>
    <w:rsid w:val="00821EF8"/>
    <w:rsid w:val="008241BF"/>
    <w:rsid w:val="00824D22"/>
    <w:rsid w:val="00825687"/>
    <w:rsid w:val="00830049"/>
    <w:rsid w:val="008308D6"/>
    <w:rsid w:val="008311B8"/>
    <w:rsid w:val="00834243"/>
    <w:rsid w:val="00835D59"/>
    <w:rsid w:val="00841CA0"/>
    <w:rsid w:val="008464ED"/>
    <w:rsid w:val="0084742F"/>
    <w:rsid w:val="008507D2"/>
    <w:rsid w:val="0085230A"/>
    <w:rsid w:val="00857969"/>
    <w:rsid w:val="00861DC2"/>
    <w:rsid w:val="0087545B"/>
    <w:rsid w:val="00882CC4"/>
    <w:rsid w:val="008844AC"/>
    <w:rsid w:val="00890C9F"/>
    <w:rsid w:val="00891B57"/>
    <w:rsid w:val="00896EB7"/>
    <w:rsid w:val="008A4840"/>
    <w:rsid w:val="008B0252"/>
    <w:rsid w:val="008B31EB"/>
    <w:rsid w:val="008B532F"/>
    <w:rsid w:val="008C68EB"/>
    <w:rsid w:val="008C7F71"/>
    <w:rsid w:val="008D1D05"/>
    <w:rsid w:val="008D339F"/>
    <w:rsid w:val="008D6817"/>
    <w:rsid w:val="008E3B6C"/>
    <w:rsid w:val="008E3EFE"/>
    <w:rsid w:val="008E6292"/>
    <w:rsid w:val="008E7090"/>
    <w:rsid w:val="008F23EB"/>
    <w:rsid w:val="008F2F09"/>
    <w:rsid w:val="008F5B68"/>
    <w:rsid w:val="008F7573"/>
    <w:rsid w:val="00911665"/>
    <w:rsid w:val="00915237"/>
    <w:rsid w:val="00917E28"/>
    <w:rsid w:val="00925AA5"/>
    <w:rsid w:val="009270CA"/>
    <w:rsid w:val="0093050B"/>
    <w:rsid w:val="00931C14"/>
    <w:rsid w:val="0093320C"/>
    <w:rsid w:val="0093540D"/>
    <w:rsid w:val="00935C45"/>
    <w:rsid w:val="0094019D"/>
    <w:rsid w:val="00942C11"/>
    <w:rsid w:val="0094351F"/>
    <w:rsid w:val="00943689"/>
    <w:rsid w:val="009547F8"/>
    <w:rsid w:val="009627A0"/>
    <w:rsid w:val="00964425"/>
    <w:rsid w:val="009729D4"/>
    <w:rsid w:val="00976FBD"/>
    <w:rsid w:val="0098011D"/>
    <w:rsid w:val="00980759"/>
    <w:rsid w:val="009817B0"/>
    <w:rsid w:val="009821CE"/>
    <w:rsid w:val="0098409E"/>
    <w:rsid w:val="00984D4F"/>
    <w:rsid w:val="00991BA7"/>
    <w:rsid w:val="00992DD9"/>
    <w:rsid w:val="00994C2E"/>
    <w:rsid w:val="009A277C"/>
    <w:rsid w:val="009A3210"/>
    <w:rsid w:val="009A3899"/>
    <w:rsid w:val="009A658F"/>
    <w:rsid w:val="009B349F"/>
    <w:rsid w:val="009C4E5B"/>
    <w:rsid w:val="009C64B3"/>
    <w:rsid w:val="009D4AD3"/>
    <w:rsid w:val="009D4D63"/>
    <w:rsid w:val="009D6CFB"/>
    <w:rsid w:val="009D7C4D"/>
    <w:rsid w:val="009E171B"/>
    <w:rsid w:val="009E68A9"/>
    <w:rsid w:val="009F69BC"/>
    <w:rsid w:val="00A015E8"/>
    <w:rsid w:val="00A01A6C"/>
    <w:rsid w:val="00A07D47"/>
    <w:rsid w:val="00A115B1"/>
    <w:rsid w:val="00A12F62"/>
    <w:rsid w:val="00A12FE7"/>
    <w:rsid w:val="00A13FC1"/>
    <w:rsid w:val="00A14FE9"/>
    <w:rsid w:val="00A23B5B"/>
    <w:rsid w:val="00A266BF"/>
    <w:rsid w:val="00A269ED"/>
    <w:rsid w:val="00A36854"/>
    <w:rsid w:val="00A3749B"/>
    <w:rsid w:val="00A37D87"/>
    <w:rsid w:val="00A41DA5"/>
    <w:rsid w:val="00A45963"/>
    <w:rsid w:val="00A50D88"/>
    <w:rsid w:val="00A51501"/>
    <w:rsid w:val="00A56923"/>
    <w:rsid w:val="00A57B53"/>
    <w:rsid w:val="00A62E42"/>
    <w:rsid w:val="00A64A71"/>
    <w:rsid w:val="00A71802"/>
    <w:rsid w:val="00A72960"/>
    <w:rsid w:val="00A72D8F"/>
    <w:rsid w:val="00A73A4F"/>
    <w:rsid w:val="00A769D2"/>
    <w:rsid w:val="00A8757A"/>
    <w:rsid w:val="00A93401"/>
    <w:rsid w:val="00AA57D0"/>
    <w:rsid w:val="00AA6929"/>
    <w:rsid w:val="00AB0427"/>
    <w:rsid w:val="00AB31B8"/>
    <w:rsid w:val="00AB679C"/>
    <w:rsid w:val="00AB696D"/>
    <w:rsid w:val="00AC073B"/>
    <w:rsid w:val="00AC3196"/>
    <w:rsid w:val="00AD2D96"/>
    <w:rsid w:val="00AD3F90"/>
    <w:rsid w:val="00AD568D"/>
    <w:rsid w:val="00AD5E0B"/>
    <w:rsid w:val="00AE0702"/>
    <w:rsid w:val="00AE2666"/>
    <w:rsid w:val="00AE2F90"/>
    <w:rsid w:val="00AF28FC"/>
    <w:rsid w:val="00AF6AFF"/>
    <w:rsid w:val="00AF7E5C"/>
    <w:rsid w:val="00B03DD6"/>
    <w:rsid w:val="00B066E6"/>
    <w:rsid w:val="00B13C06"/>
    <w:rsid w:val="00B14B22"/>
    <w:rsid w:val="00B15118"/>
    <w:rsid w:val="00B23271"/>
    <w:rsid w:val="00B31E8A"/>
    <w:rsid w:val="00B322B4"/>
    <w:rsid w:val="00B34B5B"/>
    <w:rsid w:val="00B3583B"/>
    <w:rsid w:val="00B36132"/>
    <w:rsid w:val="00B37A8B"/>
    <w:rsid w:val="00B37A8F"/>
    <w:rsid w:val="00B40475"/>
    <w:rsid w:val="00B4195B"/>
    <w:rsid w:val="00B45B9F"/>
    <w:rsid w:val="00B4705C"/>
    <w:rsid w:val="00B5114F"/>
    <w:rsid w:val="00B51FEA"/>
    <w:rsid w:val="00B52847"/>
    <w:rsid w:val="00B5337B"/>
    <w:rsid w:val="00B53454"/>
    <w:rsid w:val="00B53722"/>
    <w:rsid w:val="00B54F63"/>
    <w:rsid w:val="00B55994"/>
    <w:rsid w:val="00B65347"/>
    <w:rsid w:val="00B65DE1"/>
    <w:rsid w:val="00B70DA1"/>
    <w:rsid w:val="00B72720"/>
    <w:rsid w:val="00B73944"/>
    <w:rsid w:val="00B80C58"/>
    <w:rsid w:val="00B87927"/>
    <w:rsid w:val="00B92343"/>
    <w:rsid w:val="00B9281B"/>
    <w:rsid w:val="00B92E02"/>
    <w:rsid w:val="00B95414"/>
    <w:rsid w:val="00B95519"/>
    <w:rsid w:val="00BA08B4"/>
    <w:rsid w:val="00BA3FAD"/>
    <w:rsid w:val="00BA6459"/>
    <w:rsid w:val="00BA7C7C"/>
    <w:rsid w:val="00BB2856"/>
    <w:rsid w:val="00BB471A"/>
    <w:rsid w:val="00BC05D8"/>
    <w:rsid w:val="00BC4D8B"/>
    <w:rsid w:val="00BD05AA"/>
    <w:rsid w:val="00BD1567"/>
    <w:rsid w:val="00BD26AA"/>
    <w:rsid w:val="00BD454F"/>
    <w:rsid w:val="00BE2246"/>
    <w:rsid w:val="00BE62D3"/>
    <w:rsid w:val="00BE644F"/>
    <w:rsid w:val="00BF3F5F"/>
    <w:rsid w:val="00BF7685"/>
    <w:rsid w:val="00C005CC"/>
    <w:rsid w:val="00C01DCC"/>
    <w:rsid w:val="00C06B11"/>
    <w:rsid w:val="00C07BA2"/>
    <w:rsid w:val="00C07F29"/>
    <w:rsid w:val="00C11241"/>
    <w:rsid w:val="00C12781"/>
    <w:rsid w:val="00C202B3"/>
    <w:rsid w:val="00C216E2"/>
    <w:rsid w:val="00C21EE0"/>
    <w:rsid w:val="00C24F13"/>
    <w:rsid w:val="00C30297"/>
    <w:rsid w:val="00C33311"/>
    <w:rsid w:val="00C34CD2"/>
    <w:rsid w:val="00C3651A"/>
    <w:rsid w:val="00C40001"/>
    <w:rsid w:val="00C452D8"/>
    <w:rsid w:val="00C56811"/>
    <w:rsid w:val="00C60FF6"/>
    <w:rsid w:val="00C6582B"/>
    <w:rsid w:val="00C6714C"/>
    <w:rsid w:val="00C72318"/>
    <w:rsid w:val="00C724E6"/>
    <w:rsid w:val="00C747A5"/>
    <w:rsid w:val="00C805D1"/>
    <w:rsid w:val="00C834A7"/>
    <w:rsid w:val="00C85314"/>
    <w:rsid w:val="00C946F8"/>
    <w:rsid w:val="00CA0116"/>
    <w:rsid w:val="00CA2B13"/>
    <w:rsid w:val="00CA4BC0"/>
    <w:rsid w:val="00CA5CA8"/>
    <w:rsid w:val="00CA7D60"/>
    <w:rsid w:val="00CB0157"/>
    <w:rsid w:val="00CB04A9"/>
    <w:rsid w:val="00CB31B6"/>
    <w:rsid w:val="00CB5205"/>
    <w:rsid w:val="00CC4C8E"/>
    <w:rsid w:val="00CC5258"/>
    <w:rsid w:val="00CC559D"/>
    <w:rsid w:val="00CD105B"/>
    <w:rsid w:val="00CD1B94"/>
    <w:rsid w:val="00CD654B"/>
    <w:rsid w:val="00CE1B93"/>
    <w:rsid w:val="00CE223E"/>
    <w:rsid w:val="00CE4587"/>
    <w:rsid w:val="00CE7E98"/>
    <w:rsid w:val="00CF10B0"/>
    <w:rsid w:val="00CF3F0D"/>
    <w:rsid w:val="00D0128E"/>
    <w:rsid w:val="00D03883"/>
    <w:rsid w:val="00D077E6"/>
    <w:rsid w:val="00D101F7"/>
    <w:rsid w:val="00D145F5"/>
    <w:rsid w:val="00D161A9"/>
    <w:rsid w:val="00D162F7"/>
    <w:rsid w:val="00D237D2"/>
    <w:rsid w:val="00D355F0"/>
    <w:rsid w:val="00D37C3F"/>
    <w:rsid w:val="00D4296D"/>
    <w:rsid w:val="00D43AC8"/>
    <w:rsid w:val="00D503D4"/>
    <w:rsid w:val="00D50853"/>
    <w:rsid w:val="00D534A6"/>
    <w:rsid w:val="00D5515C"/>
    <w:rsid w:val="00D554D7"/>
    <w:rsid w:val="00D56113"/>
    <w:rsid w:val="00D565FE"/>
    <w:rsid w:val="00D6031C"/>
    <w:rsid w:val="00D74342"/>
    <w:rsid w:val="00D757F5"/>
    <w:rsid w:val="00D75FE2"/>
    <w:rsid w:val="00D805F4"/>
    <w:rsid w:val="00D833D9"/>
    <w:rsid w:val="00D83932"/>
    <w:rsid w:val="00D83BD9"/>
    <w:rsid w:val="00D8736C"/>
    <w:rsid w:val="00D91723"/>
    <w:rsid w:val="00D92473"/>
    <w:rsid w:val="00D94DCF"/>
    <w:rsid w:val="00D94EAE"/>
    <w:rsid w:val="00DA586F"/>
    <w:rsid w:val="00DB006C"/>
    <w:rsid w:val="00DB08DA"/>
    <w:rsid w:val="00DB2828"/>
    <w:rsid w:val="00DB28A9"/>
    <w:rsid w:val="00DB77C6"/>
    <w:rsid w:val="00DB7F09"/>
    <w:rsid w:val="00DC00E8"/>
    <w:rsid w:val="00DC1C56"/>
    <w:rsid w:val="00DC4756"/>
    <w:rsid w:val="00DC6379"/>
    <w:rsid w:val="00DD1B1E"/>
    <w:rsid w:val="00DD5A15"/>
    <w:rsid w:val="00DD6371"/>
    <w:rsid w:val="00DE3C77"/>
    <w:rsid w:val="00DE5364"/>
    <w:rsid w:val="00DF2B08"/>
    <w:rsid w:val="00DF6F61"/>
    <w:rsid w:val="00E01438"/>
    <w:rsid w:val="00E05E34"/>
    <w:rsid w:val="00E07C1F"/>
    <w:rsid w:val="00E101C6"/>
    <w:rsid w:val="00E21B1A"/>
    <w:rsid w:val="00E22D51"/>
    <w:rsid w:val="00E279F4"/>
    <w:rsid w:val="00E31447"/>
    <w:rsid w:val="00E32A82"/>
    <w:rsid w:val="00E50E7C"/>
    <w:rsid w:val="00E51545"/>
    <w:rsid w:val="00E51D9E"/>
    <w:rsid w:val="00E537D1"/>
    <w:rsid w:val="00E549D1"/>
    <w:rsid w:val="00E567E6"/>
    <w:rsid w:val="00E56971"/>
    <w:rsid w:val="00E60EFE"/>
    <w:rsid w:val="00E61484"/>
    <w:rsid w:val="00E61ABC"/>
    <w:rsid w:val="00E65DBB"/>
    <w:rsid w:val="00E711D7"/>
    <w:rsid w:val="00E71C89"/>
    <w:rsid w:val="00E75E11"/>
    <w:rsid w:val="00E815E1"/>
    <w:rsid w:val="00E87C36"/>
    <w:rsid w:val="00E902B0"/>
    <w:rsid w:val="00E902E8"/>
    <w:rsid w:val="00E9450F"/>
    <w:rsid w:val="00E94ED3"/>
    <w:rsid w:val="00E97756"/>
    <w:rsid w:val="00EA23AC"/>
    <w:rsid w:val="00EA2CDC"/>
    <w:rsid w:val="00EA79D1"/>
    <w:rsid w:val="00EA7C3D"/>
    <w:rsid w:val="00EB0A61"/>
    <w:rsid w:val="00EB271E"/>
    <w:rsid w:val="00EB6878"/>
    <w:rsid w:val="00EC1E0E"/>
    <w:rsid w:val="00EC236D"/>
    <w:rsid w:val="00EC3750"/>
    <w:rsid w:val="00EC3B2F"/>
    <w:rsid w:val="00EC5980"/>
    <w:rsid w:val="00EC6B16"/>
    <w:rsid w:val="00ED002C"/>
    <w:rsid w:val="00ED01B3"/>
    <w:rsid w:val="00ED1C64"/>
    <w:rsid w:val="00ED5967"/>
    <w:rsid w:val="00EE1447"/>
    <w:rsid w:val="00EE67D8"/>
    <w:rsid w:val="00EF145E"/>
    <w:rsid w:val="00EF2BBB"/>
    <w:rsid w:val="00EF530C"/>
    <w:rsid w:val="00EF6C47"/>
    <w:rsid w:val="00F0082D"/>
    <w:rsid w:val="00F015AB"/>
    <w:rsid w:val="00F07179"/>
    <w:rsid w:val="00F07610"/>
    <w:rsid w:val="00F07C90"/>
    <w:rsid w:val="00F11B68"/>
    <w:rsid w:val="00F147A1"/>
    <w:rsid w:val="00F151BD"/>
    <w:rsid w:val="00F33DB8"/>
    <w:rsid w:val="00F350D3"/>
    <w:rsid w:val="00F4566A"/>
    <w:rsid w:val="00F55500"/>
    <w:rsid w:val="00F55890"/>
    <w:rsid w:val="00F579BA"/>
    <w:rsid w:val="00F57BED"/>
    <w:rsid w:val="00F60198"/>
    <w:rsid w:val="00F64F12"/>
    <w:rsid w:val="00F65712"/>
    <w:rsid w:val="00F66CE4"/>
    <w:rsid w:val="00F714C6"/>
    <w:rsid w:val="00F7600E"/>
    <w:rsid w:val="00F7613A"/>
    <w:rsid w:val="00F82746"/>
    <w:rsid w:val="00F836F9"/>
    <w:rsid w:val="00F845D7"/>
    <w:rsid w:val="00F87F1A"/>
    <w:rsid w:val="00F87FF1"/>
    <w:rsid w:val="00F92279"/>
    <w:rsid w:val="00F93C00"/>
    <w:rsid w:val="00FA559A"/>
    <w:rsid w:val="00FB4D21"/>
    <w:rsid w:val="00FB762B"/>
    <w:rsid w:val="00FC68A5"/>
    <w:rsid w:val="00FC6ADA"/>
    <w:rsid w:val="00FD134B"/>
    <w:rsid w:val="00FD337B"/>
    <w:rsid w:val="00FD490C"/>
    <w:rsid w:val="00FD7989"/>
    <w:rsid w:val="00FE32BB"/>
    <w:rsid w:val="00FE508B"/>
    <w:rsid w:val="00FF3458"/>
    <w:rsid w:val="00FF4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F286D5"/>
  <w15:docId w15:val="{CEF03353-64CF-4FF5-A389-EB897C68C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21"/>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31421"/>
    <w:pPr>
      <w:spacing w:before="480"/>
      <w:outlineLvl w:val="0"/>
    </w:pPr>
    <w:rPr>
      <w:bCs w:val="0"/>
    </w:rPr>
  </w:style>
  <w:style w:type="paragraph" w:styleId="Heading2">
    <w:name w:val="heading 2"/>
    <w:basedOn w:val="HeadingBase"/>
    <w:next w:val="Normal"/>
    <w:link w:val="Heading2Char"/>
    <w:qFormat/>
    <w:rsid w:val="00431421"/>
    <w:pPr>
      <w:spacing w:before="360"/>
      <w:outlineLvl w:val="1"/>
    </w:pPr>
    <w:rPr>
      <w:bCs w:val="0"/>
      <w:iCs/>
      <w:sz w:val="36"/>
      <w:szCs w:val="28"/>
    </w:rPr>
  </w:style>
  <w:style w:type="paragraph" w:styleId="Heading3">
    <w:name w:val="heading 3"/>
    <w:basedOn w:val="HeadingBase"/>
    <w:next w:val="Normal"/>
    <w:link w:val="Heading3Char"/>
    <w:qFormat/>
    <w:rsid w:val="00431421"/>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431421"/>
    <w:pPr>
      <w:outlineLvl w:val="3"/>
    </w:pPr>
    <w:rPr>
      <w:bCs w:val="0"/>
      <w:color w:val="3A6FAF" w:themeColor="accent2"/>
      <w:sz w:val="26"/>
      <w:szCs w:val="26"/>
    </w:rPr>
  </w:style>
  <w:style w:type="paragraph" w:styleId="Heading5">
    <w:name w:val="heading 5"/>
    <w:basedOn w:val="HeadingBase"/>
    <w:next w:val="Normal"/>
    <w:link w:val="Heading5Char"/>
    <w:qFormat/>
    <w:rsid w:val="00431421"/>
    <w:pPr>
      <w:outlineLvl w:val="4"/>
    </w:pPr>
    <w:rPr>
      <w:b/>
      <w:bCs w:val="0"/>
      <w:iCs/>
      <w:sz w:val="22"/>
    </w:rPr>
  </w:style>
  <w:style w:type="paragraph" w:styleId="Heading6">
    <w:name w:val="heading 6"/>
    <w:basedOn w:val="HeadingBase"/>
    <w:next w:val="Normal"/>
    <w:link w:val="Heading6Char"/>
    <w:qFormat/>
    <w:rsid w:val="00431421"/>
    <w:pPr>
      <w:outlineLvl w:val="5"/>
    </w:pPr>
    <w:rPr>
      <w:bCs w:val="0"/>
      <w:sz w:val="22"/>
      <w:szCs w:val="22"/>
    </w:rPr>
  </w:style>
  <w:style w:type="paragraph" w:styleId="Heading7">
    <w:name w:val="heading 7"/>
    <w:basedOn w:val="Normal"/>
    <w:next w:val="Normal"/>
    <w:link w:val="Heading7Char"/>
    <w:uiPriority w:val="9"/>
    <w:semiHidden/>
    <w:unhideWhenUsed/>
    <w:qFormat/>
    <w:rsid w:val="00431421"/>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rsid w:val="004314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31421"/>
  </w:style>
  <w:style w:type="character" w:customStyle="1" w:styleId="Heading1Char">
    <w:name w:val="Heading 1 Char"/>
    <w:basedOn w:val="DefaultParagraphFont"/>
    <w:link w:val="Heading1"/>
    <w:rsid w:val="00431421"/>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431421"/>
    <w:rPr>
      <w:rFonts w:ascii="Calibri" w:eastAsia="Times New Roman" w:hAnsi="Calibri" w:cs="Arial"/>
      <w:iCs/>
      <w:color w:val="002C47" w:themeColor="accent1"/>
      <w:kern w:val="32"/>
      <w:sz w:val="36"/>
      <w:szCs w:val="28"/>
      <w:lang w:eastAsia="en-AU"/>
    </w:rPr>
  </w:style>
  <w:style w:type="character" w:customStyle="1" w:styleId="Heading3Char">
    <w:name w:val="Heading 3 Char"/>
    <w:basedOn w:val="DefaultParagraphFont"/>
    <w:link w:val="Heading3"/>
    <w:rsid w:val="00431421"/>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431421"/>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431421"/>
    <w:rPr>
      <w:rFonts w:ascii="Calibri" w:eastAsia="Times New Roman" w:hAnsi="Calibri" w:cs="Arial"/>
      <w:b/>
      <w:iCs/>
      <w:color w:val="002C47" w:themeColor="accent1"/>
      <w:kern w:val="32"/>
      <w:szCs w:val="36"/>
      <w:lang w:eastAsia="en-AU"/>
    </w:rPr>
  </w:style>
  <w:style w:type="character" w:customStyle="1" w:styleId="Heading6Char">
    <w:name w:val="Heading 6 Char"/>
    <w:basedOn w:val="DefaultParagraphFont"/>
    <w:link w:val="Heading6"/>
    <w:rsid w:val="00431421"/>
    <w:rPr>
      <w:rFonts w:ascii="Calibri" w:eastAsia="Times New Roman" w:hAnsi="Calibri" w:cs="Arial"/>
      <w:color w:val="002C47" w:themeColor="accent1"/>
      <w:kern w:val="32"/>
      <w:lang w:eastAsia="en-AU"/>
    </w:rPr>
  </w:style>
  <w:style w:type="paragraph" w:customStyle="1" w:styleId="ChartGraphic">
    <w:name w:val="Chart Graphic"/>
    <w:basedOn w:val="Normal"/>
    <w:next w:val="Normal"/>
    <w:rsid w:val="00431421"/>
    <w:pPr>
      <w:keepNext/>
      <w:spacing w:before="0" w:after="0"/>
      <w:jc w:val="center"/>
    </w:pPr>
    <w:rPr>
      <w:color w:val="004A7F"/>
      <w:sz w:val="20"/>
    </w:rPr>
  </w:style>
  <w:style w:type="paragraph" w:customStyle="1" w:styleId="AlphaParagraph">
    <w:name w:val="Alpha Paragraph"/>
    <w:basedOn w:val="Normal"/>
    <w:qFormat/>
    <w:rsid w:val="00431421"/>
    <w:pPr>
      <w:numPr>
        <w:ilvl w:val="1"/>
        <w:numId w:val="10"/>
      </w:numPr>
      <w:spacing w:before="0"/>
    </w:pPr>
  </w:style>
  <w:style w:type="paragraph" w:customStyle="1" w:styleId="BoxBullet">
    <w:name w:val="Box Bullet"/>
    <w:basedOn w:val="Normal"/>
    <w:rsid w:val="00431421"/>
    <w:pPr>
      <w:numPr>
        <w:numId w:val="2"/>
      </w:numPr>
      <w:spacing w:before="0"/>
      <w:ind w:left="284" w:hanging="284"/>
    </w:pPr>
  </w:style>
  <w:style w:type="paragraph" w:customStyle="1" w:styleId="BoxDash">
    <w:name w:val="Box Dash"/>
    <w:basedOn w:val="Normal"/>
    <w:rsid w:val="00431421"/>
    <w:pPr>
      <w:numPr>
        <w:ilvl w:val="1"/>
        <w:numId w:val="2"/>
      </w:numPr>
      <w:spacing w:before="0"/>
      <w:ind w:left="568"/>
    </w:pPr>
  </w:style>
  <w:style w:type="paragraph" w:customStyle="1" w:styleId="BoxDoubleDot">
    <w:name w:val="Box Double Dot"/>
    <w:basedOn w:val="Normal"/>
    <w:rsid w:val="00431421"/>
    <w:pPr>
      <w:numPr>
        <w:ilvl w:val="2"/>
        <w:numId w:val="2"/>
      </w:numPr>
      <w:spacing w:before="0"/>
      <w:ind w:left="851" w:hanging="284"/>
    </w:pPr>
  </w:style>
  <w:style w:type="paragraph" w:customStyle="1" w:styleId="BoxHeading">
    <w:name w:val="Box Heading"/>
    <w:basedOn w:val="Normal"/>
    <w:next w:val="Normal"/>
    <w:rsid w:val="00431421"/>
    <w:pPr>
      <w:keepNext/>
      <w:spacing w:before="240"/>
    </w:pPr>
    <w:rPr>
      <w:b/>
      <w:color w:val="002C47" w:themeColor="accent1"/>
      <w:sz w:val="26"/>
      <w:szCs w:val="26"/>
    </w:rPr>
  </w:style>
  <w:style w:type="paragraph" w:customStyle="1" w:styleId="BoxText">
    <w:name w:val="Box Text"/>
    <w:basedOn w:val="Normal"/>
    <w:rsid w:val="00431421"/>
  </w:style>
  <w:style w:type="paragraph" w:customStyle="1" w:styleId="Bullet">
    <w:name w:val="Bullet"/>
    <w:basedOn w:val="Normal"/>
    <w:link w:val="BulletChar"/>
    <w:rsid w:val="00431421"/>
    <w:pPr>
      <w:numPr>
        <w:numId w:val="1"/>
      </w:numPr>
      <w:spacing w:before="0"/>
      <w:ind w:left="284" w:hanging="284"/>
    </w:pPr>
  </w:style>
  <w:style w:type="paragraph" w:customStyle="1" w:styleId="ChartandTableFootnoteAlpha">
    <w:name w:val="Chart and Table Footnote Alpha"/>
    <w:rsid w:val="00431421"/>
    <w:pPr>
      <w:numPr>
        <w:numId w:val="1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431421"/>
    <w:pPr>
      <w:jc w:val="center"/>
    </w:pPr>
  </w:style>
  <w:style w:type="paragraph" w:customStyle="1" w:styleId="ChartorTableNote">
    <w:name w:val="Chart or Table Note"/>
    <w:next w:val="Normal"/>
    <w:rsid w:val="0043142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31421"/>
    <w:pPr>
      <w:jc w:val="center"/>
    </w:pPr>
  </w:style>
  <w:style w:type="paragraph" w:customStyle="1" w:styleId="ReportDate">
    <w:name w:val="Report Date"/>
    <w:basedOn w:val="Normal"/>
    <w:link w:val="ReportDateChar"/>
    <w:rsid w:val="00431421"/>
    <w:pPr>
      <w:keepNext/>
      <w:spacing w:before="0" w:after="360"/>
    </w:pPr>
    <w:rPr>
      <w:color w:val="00818F" w:themeColor="accent5"/>
      <w:sz w:val="44"/>
    </w:rPr>
  </w:style>
  <w:style w:type="paragraph" w:customStyle="1" w:styleId="Dash">
    <w:name w:val="Dash"/>
    <w:basedOn w:val="Normal"/>
    <w:link w:val="DashChar"/>
    <w:rsid w:val="00431421"/>
    <w:pPr>
      <w:numPr>
        <w:ilvl w:val="1"/>
        <w:numId w:val="1"/>
      </w:numPr>
      <w:spacing w:before="0"/>
      <w:ind w:left="568"/>
    </w:pPr>
  </w:style>
  <w:style w:type="paragraph" w:customStyle="1" w:styleId="DoubleDot">
    <w:name w:val="Double Dot"/>
    <w:basedOn w:val="Normal"/>
    <w:rsid w:val="00431421"/>
    <w:pPr>
      <w:numPr>
        <w:ilvl w:val="2"/>
        <w:numId w:val="1"/>
      </w:numPr>
      <w:spacing w:before="0"/>
      <w:ind w:left="851" w:hanging="284"/>
    </w:pPr>
  </w:style>
  <w:style w:type="paragraph" w:customStyle="1" w:styleId="TableMainHeading">
    <w:name w:val="Table Main Heading"/>
    <w:basedOn w:val="Heading3"/>
    <w:next w:val="Normal"/>
    <w:rsid w:val="00431421"/>
    <w:pPr>
      <w:spacing w:before="120" w:after="0"/>
    </w:pPr>
    <w:rPr>
      <w:b/>
    </w:rPr>
  </w:style>
  <w:style w:type="paragraph" w:customStyle="1" w:styleId="FooterEven">
    <w:name w:val="Footer Even"/>
    <w:basedOn w:val="Footer"/>
    <w:rsid w:val="00431421"/>
    <w:pPr>
      <w:keepNext/>
      <w:tabs>
        <w:tab w:val="clear" w:pos="4513"/>
        <w:tab w:val="clear" w:pos="9026"/>
      </w:tabs>
      <w:jc w:val="left"/>
    </w:pPr>
    <w:rPr>
      <w:noProof/>
    </w:rPr>
  </w:style>
  <w:style w:type="paragraph" w:customStyle="1" w:styleId="FooterOdd">
    <w:name w:val="Footer Odd"/>
    <w:basedOn w:val="Footer"/>
    <w:rsid w:val="00431421"/>
    <w:pPr>
      <w:keepNext/>
      <w:tabs>
        <w:tab w:val="clear" w:pos="4513"/>
        <w:tab w:val="clear" w:pos="9026"/>
      </w:tabs>
      <w:jc w:val="right"/>
    </w:pPr>
  </w:style>
  <w:style w:type="character" w:styleId="Hyperlink">
    <w:name w:val="Hyperlink"/>
    <w:basedOn w:val="DefaultParagraphFont"/>
    <w:uiPriority w:val="99"/>
    <w:rsid w:val="00431421"/>
    <w:rPr>
      <w:color w:val="3A6FAF" w:themeColor="accent2"/>
      <w:u w:val="none"/>
    </w:rPr>
  </w:style>
  <w:style w:type="paragraph" w:customStyle="1" w:styleId="OutlineNumbered1">
    <w:name w:val="Outline Numbered 1"/>
    <w:basedOn w:val="Normal"/>
    <w:rsid w:val="00431421"/>
    <w:pPr>
      <w:numPr>
        <w:numId w:val="6"/>
      </w:numPr>
      <w:spacing w:before="0"/>
    </w:pPr>
  </w:style>
  <w:style w:type="paragraph" w:customStyle="1" w:styleId="OneLevelNumberedParagraph">
    <w:name w:val="One Level Numbered Paragraph"/>
    <w:basedOn w:val="Normal"/>
    <w:rsid w:val="00431421"/>
    <w:pPr>
      <w:numPr>
        <w:numId w:val="5"/>
      </w:numPr>
      <w:spacing w:before="0"/>
    </w:pPr>
  </w:style>
  <w:style w:type="paragraph" w:customStyle="1" w:styleId="OutlineNumbered2">
    <w:name w:val="Outline Numbered 2"/>
    <w:basedOn w:val="Normal"/>
    <w:rsid w:val="00431421"/>
    <w:pPr>
      <w:numPr>
        <w:ilvl w:val="1"/>
        <w:numId w:val="6"/>
      </w:numPr>
      <w:spacing w:before="0"/>
    </w:pPr>
  </w:style>
  <w:style w:type="paragraph" w:customStyle="1" w:styleId="OutlineNumbered3">
    <w:name w:val="Outline Numbered 3"/>
    <w:basedOn w:val="Normal"/>
    <w:rsid w:val="00431421"/>
    <w:pPr>
      <w:numPr>
        <w:ilvl w:val="2"/>
        <w:numId w:val="6"/>
      </w:numPr>
      <w:spacing w:before="0"/>
    </w:pPr>
  </w:style>
  <w:style w:type="paragraph" w:customStyle="1" w:styleId="Romannumeral">
    <w:name w:val="Roman numeral"/>
    <w:basedOn w:val="Normal"/>
    <w:rsid w:val="00431421"/>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431421"/>
    <w:pPr>
      <w:spacing w:before="0" w:after="0"/>
    </w:pPr>
  </w:style>
  <w:style w:type="paragraph" w:customStyle="1" w:styleId="TableSecondHeading">
    <w:name w:val="Table Second Heading"/>
    <w:basedOn w:val="Normal"/>
    <w:next w:val="Normal"/>
    <w:rsid w:val="00431421"/>
    <w:pPr>
      <w:keepNext/>
      <w:spacing w:before="0" w:after="20"/>
    </w:pPr>
    <w:rPr>
      <w:b/>
      <w:color w:val="3A6FAF" w:themeColor="accent2"/>
    </w:rPr>
  </w:style>
  <w:style w:type="paragraph" w:customStyle="1" w:styleId="TableColumnHeadingCentred">
    <w:name w:val="Table Column Heading Centred"/>
    <w:basedOn w:val="TableTextLeft"/>
    <w:rsid w:val="00431421"/>
    <w:pPr>
      <w:jc w:val="center"/>
    </w:pPr>
    <w:rPr>
      <w:b/>
      <w:color w:val="002C47" w:themeColor="accent1"/>
      <w:sz w:val="20"/>
    </w:rPr>
  </w:style>
  <w:style w:type="paragraph" w:customStyle="1" w:styleId="TableColumnHeadingLeft">
    <w:name w:val="Table Column Heading Left"/>
    <w:basedOn w:val="TableTextLeft"/>
    <w:rsid w:val="00431421"/>
    <w:rPr>
      <w:b/>
      <w:color w:val="002C47" w:themeColor="accent1"/>
      <w:sz w:val="20"/>
    </w:rPr>
  </w:style>
  <w:style w:type="paragraph" w:customStyle="1" w:styleId="TableColumnHeadingRight">
    <w:name w:val="Table Column Heading Right"/>
    <w:basedOn w:val="TableTextLeft"/>
    <w:rsid w:val="00431421"/>
    <w:pPr>
      <w:jc w:val="right"/>
    </w:pPr>
    <w:rPr>
      <w:b/>
      <w:color w:val="002C47" w:themeColor="accent1"/>
      <w:sz w:val="20"/>
    </w:rPr>
  </w:style>
  <w:style w:type="table" w:styleId="TableGrid">
    <w:name w:val="Table Grid"/>
    <w:basedOn w:val="TableNormal"/>
    <w:rsid w:val="0043142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431421"/>
    <w:pPr>
      <w:jc w:val="center"/>
    </w:pPr>
  </w:style>
  <w:style w:type="paragraph" w:customStyle="1" w:styleId="TableTextLeft">
    <w:name w:val="Table Text Left"/>
    <w:basedOn w:val="TableTextRight"/>
    <w:rsid w:val="00431421"/>
    <w:pPr>
      <w:jc w:val="left"/>
    </w:pPr>
  </w:style>
  <w:style w:type="paragraph" w:customStyle="1" w:styleId="TableTextRight">
    <w:name w:val="Table Text Right"/>
    <w:basedOn w:val="Normal"/>
    <w:rsid w:val="00431421"/>
    <w:pPr>
      <w:spacing w:before="40" w:after="40"/>
      <w:jc w:val="right"/>
    </w:pPr>
    <w:rPr>
      <w:color w:val="000000"/>
      <w:sz w:val="18"/>
    </w:rPr>
  </w:style>
  <w:style w:type="paragraph" w:styleId="TOC1">
    <w:name w:val="toc 1"/>
    <w:basedOn w:val="Normal"/>
    <w:next w:val="Normal"/>
    <w:uiPriority w:val="39"/>
    <w:qFormat/>
    <w:rsid w:val="00431421"/>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431421"/>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431421"/>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431421"/>
    <w:pPr>
      <w:numPr>
        <w:numId w:val="4"/>
      </w:numPr>
    </w:pPr>
  </w:style>
  <w:style w:type="numbering" w:customStyle="1" w:styleId="BulletedList">
    <w:name w:val="Bulleted List"/>
    <w:uiPriority w:val="99"/>
    <w:rsid w:val="00431421"/>
    <w:pPr>
      <w:numPr>
        <w:numId w:val="1"/>
      </w:numPr>
    </w:pPr>
  </w:style>
  <w:style w:type="numbering" w:customStyle="1" w:styleId="BoxBulletedList">
    <w:name w:val="Box Bulleted List"/>
    <w:uiPriority w:val="99"/>
    <w:rsid w:val="00431421"/>
    <w:pPr>
      <w:numPr>
        <w:numId w:val="2"/>
      </w:numPr>
    </w:pPr>
  </w:style>
  <w:style w:type="numbering" w:customStyle="1" w:styleId="OneLevelList">
    <w:name w:val="OneLevelList"/>
    <w:uiPriority w:val="99"/>
    <w:rsid w:val="00431421"/>
    <w:pPr>
      <w:numPr>
        <w:numId w:val="3"/>
      </w:numPr>
    </w:pPr>
  </w:style>
  <w:style w:type="numbering" w:customStyle="1" w:styleId="ChartandTableFootnoteAlphaList">
    <w:name w:val="ChartandTableFootnoteAlphaList"/>
    <w:uiPriority w:val="99"/>
    <w:rsid w:val="00431421"/>
    <w:pPr>
      <w:numPr>
        <w:numId w:val="17"/>
      </w:numPr>
    </w:pPr>
  </w:style>
  <w:style w:type="paragraph" w:customStyle="1" w:styleId="Crest">
    <w:name w:val="Crest"/>
    <w:basedOn w:val="Header"/>
    <w:rsid w:val="00431421"/>
    <w:pPr>
      <w:spacing w:after="480"/>
      <w:jc w:val="center"/>
    </w:pPr>
    <w:rPr>
      <w:color w:val="000000" w:themeColor="text1"/>
    </w:rPr>
  </w:style>
  <w:style w:type="paragraph" w:customStyle="1" w:styleId="Heading1Numbered">
    <w:name w:val="Heading 1 Numbered"/>
    <w:basedOn w:val="Heading1"/>
    <w:next w:val="Normal"/>
    <w:rsid w:val="00431421"/>
    <w:pPr>
      <w:numPr>
        <w:numId w:val="8"/>
      </w:numPr>
    </w:pPr>
  </w:style>
  <w:style w:type="character" w:customStyle="1" w:styleId="SingleParagraphChar">
    <w:name w:val="Single Paragraph Char"/>
    <w:basedOn w:val="DefaultParagraphFont"/>
    <w:link w:val="SingleParagraph"/>
    <w:rsid w:val="00431421"/>
    <w:rPr>
      <w:rFonts w:ascii="Calibri" w:eastAsia="Times New Roman" w:hAnsi="Calibri" w:cs="Times New Roman"/>
      <w:szCs w:val="20"/>
      <w:lang w:eastAsia="en-AU"/>
    </w:rPr>
  </w:style>
  <w:style w:type="paragraph" w:customStyle="1" w:styleId="Heading2Numbered">
    <w:name w:val="Heading 2 Numbered"/>
    <w:basedOn w:val="Heading2"/>
    <w:next w:val="Normal"/>
    <w:rsid w:val="00431421"/>
    <w:pPr>
      <w:numPr>
        <w:ilvl w:val="1"/>
        <w:numId w:val="8"/>
      </w:numPr>
      <w:ind w:left="284" w:hanging="284"/>
    </w:pPr>
  </w:style>
  <w:style w:type="paragraph" w:customStyle="1" w:styleId="Heading3Numbered">
    <w:name w:val="Heading 3 Numbered"/>
    <w:basedOn w:val="Heading3"/>
    <w:qFormat/>
    <w:rsid w:val="00431421"/>
    <w:pPr>
      <w:numPr>
        <w:ilvl w:val="2"/>
        <w:numId w:val="8"/>
      </w:numPr>
      <w:ind w:left="284" w:hanging="284"/>
    </w:pPr>
  </w:style>
  <w:style w:type="paragraph" w:styleId="Title">
    <w:name w:val="Title"/>
    <w:basedOn w:val="Normal"/>
    <w:next w:val="Normal"/>
    <w:link w:val="TitleChar"/>
    <w:uiPriority w:val="10"/>
    <w:qFormat/>
    <w:rsid w:val="00431421"/>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431421"/>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431421"/>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431421"/>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431421"/>
    <w:rPr>
      <w:i/>
      <w:iCs/>
      <w:color w:val="808080" w:themeColor="text1" w:themeTint="7F"/>
    </w:rPr>
  </w:style>
  <w:style w:type="paragraph" w:styleId="Footer">
    <w:name w:val="footer"/>
    <w:basedOn w:val="Normal"/>
    <w:link w:val="FooterChar"/>
    <w:unhideWhenUsed/>
    <w:rsid w:val="00431421"/>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431421"/>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431421"/>
    <w:pPr>
      <w:keepNext/>
      <w:spacing w:before="0" w:after="0"/>
      <w:jc w:val="right"/>
    </w:pPr>
    <w:rPr>
      <w:color w:val="004A7F"/>
      <w:sz w:val="20"/>
    </w:rPr>
  </w:style>
  <w:style w:type="character" w:customStyle="1" w:styleId="HeaderChar">
    <w:name w:val="Header Char"/>
    <w:basedOn w:val="DefaultParagraphFont"/>
    <w:link w:val="Header"/>
    <w:uiPriority w:val="99"/>
    <w:rsid w:val="00431421"/>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431421"/>
    <w:rPr>
      <w:color w:val="808080"/>
    </w:rPr>
  </w:style>
  <w:style w:type="paragraph" w:customStyle="1" w:styleId="AppendixHeading">
    <w:name w:val="Appendix Heading"/>
    <w:basedOn w:val="Normal"/>
    <w:next w:val="Normal"/>
    <w:rsid w:val="00431421"/>
    <w:pPr>
      <w:keepNext/>
      <w:spacing w:before="720" w:after="360"/>
    </w:pPr>
    <w:rPr>
      <w:rFonts w:ascii="Arial Bold" w:hAnsi="Arial Bold"/>
      <w:b/>
      <w:smallCaps/>
      <w:color w:val="004A7F"/>
      <w:sz w:val="36"/>
      <w:szCs w:val="36"/>
    </w:rPr>
  </w:style>
  <w:style w:type="paragraph" w:customStyle="1" w:styleId="HeadingBase">
    <w:name w:val="Heading Base"/>
    <w:qFormat/>
    <w:rsid w:val="00431421"/>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431421"/>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431421"/>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31421"/>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431421"/>
    <w:pPr>
      <w:spacing w:after="1800"/>
    </w:pPr>
    <w:rPr>
      <w:rFonts w:ascii="Rockwell" w:hAnsi="Rockwell"/>
      <w:sz w:val="24"/>
    </w:rPr>
  </w:style>
  <w:style w:type="character" w:customStyle="1" w:styleId="FramedFooter">
    <w:name w:val="Framed Footer"/>
    <w:rsid w:val="00431421"/>
    <w:rPr>
      <w:rFonts w:ascii="Arial" w:hAnsi="Arial"/>
      <w:color w:val="002C47"/>
      <w:sz w:val="18"/>
    </w:rPr>
  </w:style>
  <w:style w:type="character" w:customStyle="1" w:styleId="FramedHeader">
    <w:name w:val="Framed Header"/>
    <w:basedOn w:val="DefaultParagraphFont"/>
    <w:rsid w:val="00431421"/>
    <w:rPr>
      <w:rFonts w:ascii="Arial" w:hAnsi="Arial"/>
      <w:dstrike w:val="0"/>
      <w:color w:val="auto"/>
      <w:sz w:val="18"/>
      <w:vertAlign w:val="baseline"/>
    </w:rPr>
  </w:style>
  <w:style w:type="paragraph" w:customStyle="1" w:styleId="TableTextIndented">
    <w:name w:val="Table Text Indented"/>
    <w:basedOn w:val="TableTextLeft"/>
    <w:qFormat/>
    <w:rsid w:val="00431421"/>
    <w:pPr>
      <w:ind w:left="284"/>
    </w:pPr>
  </w:style>
  <w:style w:type="paragraph" w:customStyle="1" w:styleId="TableHeadingContinued">
    <w:name w:val="Table Heading Continued"/>
    <w:basedOn w:val="TableMainHeading"/>
    <w:next w:val="TableGraphic"/>
    <w:qFormat/>
    <w:rsid w:val="00431421"/>
  </w:style>
  <w:style w:type="paragraph" w:customStyle="1" w:styleId="TableGraphic">
    <w:name w:val="Table Graphic"/>
    <w:basedOn w:val="HeadingBase"/>
    <w:next w:val="Normal"/>
    <w:qFormat/>
    <w:rsid w:val="00431421"/>
    <w:pPr>
      <w:spacing w:after="0"/>
    </w:pPr>
  </w:style>
  <w:style w:type="paragraph" w:customStyle="1" w:styleId="HeaderEven">
    <w:name w:val="Header Even"/>
    <w:basedOn w:val="Header"/>
    <w:qFormat/>
    <w:rsid w:val="00431421"/>
    <w:pPr>
      <w:jc w:val="left"/>
    </w:pPr>
    <w:rPr>
      <w:color w:val="002C47"/>
    </w:rPr>
  </w:style>
  <w:style w:type="paragraph" w:customStyle="1" w:styleId="HeaderOdd">
    <w:name w:val="Header Odd"/>
    <w:basedOn w:val="Header"/>
    <w:qFormat/>
    <w:rsid w:val="00431421"/>
    <w:rPr>
      <w:color w:val="002C47"/>
    </w:rPr>
  </w:style>
  <w:style w:type="paragraph" w:styleId="FootnoteText">
    <w:name w:val="footnote text"/>
    <w:basedOn w:val="Normal"/>
    <w:link w:val="FootnoteTextChar"/>
    <w:uiPriority w:val="99"/>
    <w:rsid w:val="00431421"/>
    <w:pPr>
      <w:spacing w:before="0" w:after="0"/>
    </w:pPr>
    <w:rPr>
      <w:sz w:val="20"/>
    </w:rPr>
  </w:style>
  <w:style w:type="character" w:customStyle="1" w:styleId="FootnoteTextChar">
    <w:name w:val="Footnote Text Char"/>
    <w:basedOn w:val="DefaultParagraphFont"/>
    <w:link w:val="FootnoteText"/>
    <w:uiPriority w:val="99"/>
    <w:rsid w:val="0043142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31421"/>
    <w:rPr>
      <w:rFonts w:ascii="Calibri" w:hAnsi="Calibri"/>
      <w:sz w:val="20"/>
      <w:vertAlign w:val="superscript"/>
    </w:rPr>
  </w:style>
  <w:style w:type="paragraph" w:styleId="BalloonText">
    <w:name w:val="Balloon Text"/>
    <w:basedOn w:val="Normal"/>
    <w:link w:val="BalloonTextChar"/>
    <w:uiPriority w:val="99"/>
    <w:semiHidden/>
    <w:unhideWhenUsed/>
    <w:rsid w:val="0043142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421"/>
    <w:rPr>
      <w:rFonts w:ascii="Tahoma" w:eastAsia="Times New Roman" w:hAnsi="Tahoma" w:cs="Tahoma"/>
      <w:sz w:val="16"/>
      <w:szCs w:val="16"/>
      <w:lang w:eastAsia="en-AU"/>
    </w:rPr>
  </w:style>
  <w:style w:type="character" w:styleId="Strong">
    <w:name w:val="Strong"/>
    <w:basedOn w:val="DefaultParagraphFont"/>
    <w:uiPriority w:val="22"/>
    <w:qFormat/>
    <w:rsid w:val="001F3F44"/>
    <w:rPr>
      <w:b/>
      <w:bCs/>
    </w:rPr>
  </w:style>
  <w:style w:type="paragraph" w:styleId="ListParagraph">
    <w:name w:val="List Paragraph"/>
    <w:basedOn w:val="Normal"/>
    <w:uiPriority w:val="8"/>
    <w:qFormat/>
    <w:rsid w:val="001F3F44"/>
    <w:pPr>
      <w:numPr>
        <w:numId w:val="22"/>
      </w:numPr>
      <w:spacing w:before="0" w:after="160" w:line="259" w:lineRule="auto"/>
      <w:contextualSpacing/>
    </w:pPr>
    <w:rPr>
      <w:rFonts w:asciiTheme="minorHAnsi" w:eastAsiaTheme="minorHAnsi" w:hAnsiTheme="minorHAnsi" w:cstheme="minorBidi"/>
      <w:szCs w:val="22"/>
      <w:lang w:eastAsia="en-US"/>
    </w:rPr>
  </w:style>
  <w:style w:type="paragraph" w:styleId="Caption">
    <w:name w:val="caption"/>
    <w:basedOn w:val="Normal"/>
    <w:next w:val="Normal"/>
    <w:uiPriority w:val="35"/>
    <w:unhideWhenUsed/>
    <w:qFormat/>
    <w:rsid w:val="001F3F44"/>
    <w:pPr>
      <w:spacing w:before="0"/>
    </w:pPr>
    <w:rPr>
      <w:rFonts w:asciiTheme="minorHAnsi" w:eastAsiaTheme="minorHAnsi" w:hAnsiTheme="minorHAnsi" w:cstheme="minorBidi"/>
      <w:i/>
      <w:iCs/>
      <w:color w:val="5F5F5F" w:themeColor="text2"/>
      <w:szCs w:val="18"/>
      <w:lang w:eastAsia="en-US"/>
    </w:rPr>
  </w:style>
  <w:style w:type="paragraph" w:styleId="TOCHeading">
    <w:name w:val="TOC Heading"/>
    <w:basedOn w:val="Heading1"/>
    <w:next w:val="Normal"/>
    <w:uiPriority w:val="39"/>
    <w:unhideWhenUsed/>
    <w:qFormat/>
    <w:rsid w:val="001F3F44"/>
    <w:pPr>
      <w:keepLines/>
      <w:spacing w:before="240" w:after="480" w:line="259" w:lineRule="auto"/>
      <w:outlineLvl w:val="9"/>
    </w:pPr>
    <w:rPr>
      <w:rFonts w:asciiTheme="majorHAnsi" w:eastAsiaTheme="majorEastAsia" w:hAnsiTheme="majorHAnsi" w:cstheme="majorBidi"/>
      <w:color w:val="5F5F5F" w:themeColor="text2"/>
      <w:kern w:val="0"/>
      <w:szCs w:val="32"/>
      <w:lang w:val="en-US" w:eastAsia="en-US"/>
    </w:rPr>
  </w:style>
  <w:style w:type="character" w:customStyle="1" w:styleId="BulletChar">
    <w:name w:val="Bullet Char"/>
    <w:basedOn w:val="DefaultParagraphFont"/>
    <w:link w:val="Bullet"/>
    <w:rsid w:val="001F3F44"/>
    <w:rPr>
      <w:rFonts w:ascii="Calibri" w:eastAsia="Times New Roman" w:hAnsi="Calibri" w:cs="Times New Roman"/>
      <w:szCs w:val="20"/>
      <w:lang w:eastAsia="en-AU"/>
    </w:rPr>
  </w:style>
  <w:style w:type="table" w:styleId="LightShading-Accent1">
    <w:name w:val="Light Shading Accent 1"/>
    <w:basedOn w:val="TableNormal"/>
    <w:uiPriority w:val="60"/>
    <w:rsid w:val="00F55890"/>
    <w:pPr>
      <w:spacing w:after="0" w:line="240" w:lineRule="auto"/>
    </w:pPr>
    <w:rPr>
      <w:color w:val="002035" w:themeColor="accent1" w:themeShade="BF"/>
    </w:rPr>
    <w:tblPr>
      <w:tblStyleRowBandSize w:val="1"/>
      <w:tblStyleColBandSize w:val="1"/>
      <w:tblBorders>
        <w:top w:val="single" w:sz="8" w:space="0" w:color="002C47" w:themeColor="accent1"/>
        <w:bottom w:val="single" w:sz="8" w:space="0" w:color="002C47" w:themeColor="accent1"/>
      </w:tblBorders>
    </w:tblPr>
    <w:tcPr>
      <w:shd w:val="clear" w:color="auto" w:fill="EBF7FF"/>
    </w:tcPr>
    <w:tblStylePr w:type="firstRow">
      <w:pPr>
        <w:spacing w:before="0" w:after="0" w:line="240" w:lineRule="auto"/>
      </w:pPr>
      <w:rPr>
        <w:b/>
        <w:bCs/>
      </w:rPr>
      <w:tblPr/>
      <w:tcPr>
        <w:shd w:val="clear" w:color="auto" w:fill="002C47"/>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DashChar">
    <w:name w:val="Dash Char"/>
    <w:basedOn w:val="DefaultParagraphFont"/>
    <w:link w:val="Dash"/>
    <w:rsid w:val="001F3F44"/>
    <w:rPr>
      <w:rFonts w:ascii="Calibri" w:eastAsia="Times New Roman" w:hAnsi="Calibri" w:cs="Times New Roman"/>
      <w:szCs w:val="20"/>
      <w:lang w:eastAsia="en-AU"/>
    </w:rPr>
  </w:style>
  <w:style w:type="paragraph" w:customStyle="1" w:styleId="SecurityClassificationHeader">
    <w:name w:val="Security Classification Header"/>
    <w:link w:val="SecurityClassificationHeaderChar"/>
    <w:rsid w:val="001F3F44"/>
    <w:pPr>
      <w:spacing w:before="240" w:after="60"/>
      <w:jc w:val="center"/>
    </w:pPr>
    <w:rPr>
      <w:rFonts w:ascii="Calibri" w:eastAsia="Times New Roman" w:hAnsi="Calibri" w:cs="Calibri"/>
      <w:b/>
      <w:caps/>
      <w:color w:val="FF0000"/>
      <w:sz w:val="24"/>
      <w:szCs w:val="28"/>
      <w:lang w:eastAsia="en-AU"/>
    </w:rPr>
  </w:style>
  <w:style w:type="character" w:customStyle="1" w:styleId="SecurityClassificationHeaderChar">
    <w:name w:val="Security Classification Header Char"/>
    <w:basedOn w:val="HeaderChar"/>
    <w:link w:val="SecurityClassificationHeader"/>
    <w:rsid w:val="001F3F44"/>
    <w:rPr>
      <w:rFonts w:ascii="Calibri" w:eastAsia="Times New Roman" w:hAnsi="Calibri" w:cs="Calibri"/>
      <w:b/>
      <w:caps/>
      <w:color w:val="FF0000"/>
      <w:sz w:val="24"/>
      <w:szCs w:val="28"/>
      <w:lang w:eastAsia="en-AU"/>
    </w:rPr>
  </w:style>
  <w:style w:type="paragraph" w:customStyle="1" w:styleId="SecurityClassificationFooter">
    <w:name w:val="Security Classification Footer"/>
    <w:link w:val="SecurityClassificationFooterChar"/>
    <w:rsid w:val="001F3F44"/>
    <w:pPr>
      <w:spacing w:before="60" w:after="240"/>
      <w:jc w:val="center"/>
    </w:pPr>
    <w:rPr>
      <w:rFonts w:ascii="Calibri" w:eastAsia="Times New Roman" w:hAnsi="Calibri" w:cs="Calibri"/>
      <w:b/>
      <w:caps/>
      <w:color w:val="FF0000"/>
      <w:sz w:val="24"/>
      <w:szCs w:val="28"/>
      <w:lang w:eastAsia="en-AU"/>
    </w:rPr>
  </w:style>
  <w:style w:type="character" w:customStyle="1" w:styleId="SecurityClassificationFooterChar">
    <w:name w:val="Security Classification Footer Char"/>
    <w:basedOn w:val="HeaderChar"/>
    <w:link w:val="SecurityClassificationFooter"/>
    <w:rsid w:val="001F3F44"/>
    <w:rPr>
      <w:rFonts w:ascii="Calibri" w:eastAsia="Times New Roman" w:hAnsi="Calibri" w:cs="Calibri"/>
      <w:b/>
      <w:caps/>
      <w:color w:val="FF0000"/>
      <w:sz w:val="24"/>
      <w:szCs w:val="28"/>
      <w:lang w:eastAsia="en-AU"/>
    </w:rPr>
  </w:style>
  <w:style w:type="character" w:styleId="CommentReference">
    <w:name w:val="annotation reference"/>
    <w:basedOn w:val="DefaultParagraphFont"/>
    <w:uiPriority w:val="99"/>
    <w:semiHidden/>
    <w:unhideWhenUsed/>
    <w:rsid w:val="005721B0"/>
    <w:rPr>
      <w:sz w:val="16"/>
      <w:szCs w:val="16"/>
    </w:rPr>
  </w:style>
  <w:style w:type="paragraph" w:styleId="CommentText">
    <w:name w:val="annotation text"/>
    <w:basedOn w:val="Normal"/>
    <w:link w:val="CommentTextChar"/>
    <w:uiPriority w:val="99"/>
    <w:semiHidden/>
    <w:unhideWhenUsed/>
    <w:rsid w:val="005721B0"/>
    <w:rPr>
      <w:sz w:val="20"/>
    </w:rPr>
  </w:style>
  <w:style w:type="character" w:customStyle="1" w:styleId="CommentTextChar">
    <w:name w:val="Comment Text Char"/>
    <w:basedOn w:val="DefaultParagraphFont"/>
    <w:link w:val="CommentText"/>
    <w:uiPriority w:val="99"/>
    <w:semiHidden/>
    <w:rsid w:val="005721B0"/>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721B0"/>
    <w:rPr>
      <w:b/>
      <w:bCs/>
    </w:rPr>
  </w:style>
  <w:style w:type="character" w:customStyle="1" w:styleId="CommentSubjectChar">
    <w:name w:val="Comment Subject Char"/>
    <w:basedOn w:val="CommentTextChar"/>
    <w:link w:val="CommentSubject"/>
    <w:uiPriority w:val="99"/>
    <w:semiHidden/>
    <w:rsid w:val="005721B0"/>
    <w:rPr>
      <w:rFonts w:ascii="Calibri" w:eastAsia="Times New Roman" w:hAnsi="Calibri" w:cs="Times New Roman"/>
      <w:b/>
      <w:bCs/>
      <w:sz w:val="20"/>
      <w:szCs w:val="20"/>
      <w:lang w:eastAsia="en-AU"/>
    </w:rPr>
  </w:style>
  <w:style w:type="character" w:styleId="UnresolvedMention">
    <w:name w:val="Unresolved Mention"/>
    <w:basedOn w:val="DefaultParagraphFont"/>
    <w:uiPriority w:val="99"/>
    <w:semiHidden/>
    <w:unhideWhenUsed/>
    <w:rsid w:val="00EF5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742">
      <w:bodyDiv w:val="1"/>
      <w:marLeft w:val="0"/>
      <w:marRight w:val="0"/>
      <w:marTop w:val="0"/>
      <w:marBottom w:val="0"/>
      <w:divBdr>
        <w:top w:val="none" w:sz="0" w:space="0" w:color="auto"/>
        <w:left w:val="none" w:sz="0" w:space="0" w:color="auto"/>
        <w:bottom w:val="none" w:sz="0" w:space="0" w:color="auto"/>
        <w:right w:val="none" w:sz="0" w:space="0" w:color="auto"/>
      </w:divBdr>
    </w:div>
    <w:div w:id="194390600">
      <w:bodyDiv w:val="1"/>
      <w:marLeft w:val="0"/>
      <w:marRight w:val="0"/>
      <w:marTop w:val="0"/>
      <w:marBottom w:val="0"/>
      <w:divBdr>
        <w:top w:val="none" w:sz="0" w:space="0" w:color="auto"/>
        <w:left w:val="none" w:sz="0" w:space="0" w:color="auto"/>
        <w:bottom w:val="none" w:sz="0" w:space="0" w:color="auto"/>
        <w:right w:val="none" w:sz="0" w:space="0" w:color="auto"/>
      </w:divBdr>
    </w:div>
    <w:div w:id="34868128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710492630">
      <w:bodyDiv w:val="1"/>
      <w:marLeft w:val="0"/>
      <w:marRight w:val="0"/>
      <w:marTop w:val="0"/>
      <w:marBottom w:val="0"/>
      <w:divBdr>
        <w:top w:val="none" w:sz="0" w:space="0" w:color="auto"/>
        <w:left w:val="none" w:sz="0" w:space="0" w:color="auto"/>
        <w:bottom w:val="none" w:sz="0" w:space="0" w:color="auto"/>
        <w:right w:val="none" w:sz="0" w:space="0" w:color="auto"/>
      </w:divBdr>
    </w:div>
    <w:div w:id="15486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pmc.gov.au/government/commonwealth-coat-arm"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s://www.finance.gov.au/publications/resource-management-guides-rmgs/supplier-pay-time-or-pay-interest-policy-rmg-41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3.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tweb/sites/mg/sb/PTPTeam/Pay%20On-Time%20Survey/PoTS%202020-21/PoTS%20data%2020-21%20TSY%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tweb/sites/mg/sb/PTPTeam/Pay%20On-Time%20Survey/PoTS%202020-21/PoTS%20data%2020-21%20TSY%20templ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tweb/sites/mg/sb/PTPTeam/Pay%20On-Time%20Survey/PoTS%202020-21/PoTS%20data%2020-21%20TSY%20templa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1016303246482E-3"/>
          <c:y val="4.9613115850309267E-2"/>
          <c:w val="0.98593538778269751"/>
          <c:h val="0.9503867249381065"/>
        </c:manualLayout>
      </c:layout>
      <c:barChart>
        <c:barDir val="col"/>
        <c:grouping val="clustered"/>
        <c:varyColors val="0"/>
        <c:ser>
          <c:idx val="0"/>
          <c:order val="0"/>
          <c:tx>
            <c:strRef>
              <c:f>Charts!$B$41</c:f>
              <c:strCache>
                <c:ptCount val="1"/>
                <c:pt idx="0">
                  <c:v>Percentage paid on time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Charts!$A$42:$A$43</c:f>
              <c:strCache>
                <c:ptCount val="2"/>
                <c:pt idx="0">
                  <c:v>2019–20</c:v>
                </c:pt>
                <c:pt idx="1">
                  <c:v>2020–21</c:v>
                </c:pt>
              </c:strCache>
            </c:strRef>
          </c:cat>
          <c:val>
            <c:numRef>
              <c:f>Charts!$B$42:$B$43</c:f>
              <c:numCache>
                <c:formatCode>0.0</c:formatCode>
                <c:ptCount val="2"/>
                <c:pt idx="0">
                  <c:v>90.6</c:v>
                </c:pt>
                <c:pt idx="1">
                  <c:v>93.2</c:v>
                </c:pt>
              </c:numCache>
            </c:numRef>
          </c:val>
          <c:extLst>
            <c:ext xmlns:c16="http://schemas.microsoft.com/office/drawing/2014/chart" uri="{C3380CC4-5D6E-409C-BE32-E72D297353CC}">
              <c16:uniqueId val="{00000001-CDF8-49D8-BC57-41385260DFA7}"/>
            </c:ext>
          </c:extLst>
        </c:ser>
        <c:dLbls>
          <c:dLblPos val="outEnd"/>
          <c:showLegendKey val="0"/>
          <c:showVal val="1"/>
          <c:showCatName val="0"/>
          <c:showSerName val="0"/>
          <c:showPercent val="0"/>
          <c:showBubbleSize val="0"/>
        </c:dLbls>
        <c:gapWidth val="50"/>
        <c:overlap val="-27"/>
        <c:axId val="529749568"/>
        <c:axId val="529754488"/>
      </c:barChart>
      <c:barChart>
        <c:barDir val="col"/>
        <c:grouping val="clustered"/>
        <c:varyColors val="0"/>
        <c:ser>
          <c:idx val="1"/>
          <c:order val="1"/>
          <c:tx>
            <c:v>DUMMY</c:v>
          </c:tx>
          <c:spPr>
            <a:noFill/>
            <a:ln>
              <a:noFill/>
            </a:ln>
            <a:effectLst/>
            <a:extLst>
              <a:ext uri="{909E8E84-426E-40DD-AFC4-6F175D3DCCD1}">
                <a14:hiddenFill xmlns:a14="http://schemas.microsoft.com/office/drawing/2010/main">
                  <a:solidFill>
                    <a:srgbClr val="E61E26"/>
                  </a:solidFill>
                </a14:hiddenFill>
              </a:ext>
              <a:ext uri="{91240B29-F687-4F45-9708-019B960494DF}">
                <a14:hiddenLine xmlns:a14="http://schemas.microsoft.com/office/drawing/2010/main">
                  <a:noFill/>
                </a14:hiddenLine>
              </a:ext>
            </a:ex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2-CDF8-49D8-BC57-41385260DFA7}"/>
            </c:ext>
          </c:extLst>
        </c:ser>
        <c:dLbls>
          <c:showLegendKey val="0"/>
          <c:showVal val="0"/>
          <c:showCatName val="0"/>
          <c:showSerName val="0"/>
          <c:showPercent val="0"/>
          <c:showBubbleSize val="0"/>
        </c:dLbls>
        <c:gapWidth val="50"/>
        <c:overlap val="-27"/>
        <c:axId val="414294992"/>
        <c:axId val="481453872"/>
      </c:barChart>
      <c:catAx>
        <c:axId val="529749568"/>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29754488"/>
        <c:crosses val="autoZero"/>
        <c:auto val="1"/>
        <c:lblAlgn val="ctr"/>
        <c:lblOffset val="100"/>
        <c:noMultiLvlLbl val="0"/>
      </c:catAx>
      <c:valAx>
        <c:axId val="529754488"/>
        <c:scaling>
          <c:orientation val="minMax"/>
        </c:scaling>
        <c:delete val="0"/>
        <c:axPos val="l"/>
        <c:majorGridlines>
          <c:spPr>
            <a:ln w="25400" cap="flat" cmpd="sng" algn="ctr">
              <a:noFill/>
              <a:round/>
            </a:ln>
            <a:effectLst/>
          </c:spPr>
        </c:majorGridlines>
        <c:title>
          <c:tx>
            <c:rich>
              <a:bodyPr rot="0" spcFirstLastPara="1" vertOverflow="ellipsis" wrap="square" anchor="t" anchorCtr="0"/>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6.3855352451347477E-2"/>
              <c:y val="5.0549677994570887E-3"/>
            </c:manualLayout>
          </c:layout>
          <c:overlay val="0"/>
          <c:spPr>
            <a:noFill/>
            <a:ln>
              <a:noFill/>
            </a:ln>
            <a:effectLst/>
          </c:spPr>
          <c:txPr>
            <a:bodyPr rot="0" spcFirstLastPara="1" vertOverflow="ellipsis" wrap="square" anchor="t" anchorCtr="0"/>
            <a:lstStyle/>
            <a:p>
              <a:pPr>
                <a:defRPr sz="800" b="0"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29749568"/>
        <c:crosses val="autoZero"/>
        <c:crossBetween val="between"/>
      </c:valAx>
      <c:valAx>
        <c:axId val="481453872"/>
        <c:scaling>
          <c:orientation val="minMax"/>
          <c:max val="93.5"/>
          <c:min val="89"/>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85677471954200091"/>
              <c:y val="1.5164903398371265E-2"/>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14294992"/>
        <c:crosses val="max"/>
        <c:crossBetween val="between"/>
      </c:valAx>
      <c:catAx>
        <c:axId val="414294992"/>
        <c:scaling>
          <c:orientation val="minMax"/>
        </c:scaling>
        <c:delete val="1"/>
        <c:axPos val="b"/>
        <c:majorTickMark val="out"/>
        <c:minorTickMark val="none"/>
        <c:tickLblPos val="nextTo"/>
        <c:crossAx val="481453872"/>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29969928731801E-2"/>
          <c:y val="6.7166603255099641E-2"/>
          <c:w val="0.88387978068043405"/>
          <c:h val="0.73935572982011855"/>
        </c:manualLayout>
      </c:layout>
      <c:barChart>
        <c:barDir val="col"/>
        <c:grouping val="stacked"/>
        <c:varyColors val="0"/>
        <c:ser>
          <c:idx val="0"/>
          <c:order val="0"/>
          <c:tx>
            <c:strRef>
              <c:f>Charts!$B$57</c:f>
              <c:strCache>
                <c:ptCount val="1"/>
                <c:pt idx="0">
                  <c:v>1-20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Charts!$A$58:$A$61</c:f>
              <c:strCache>
                <c:ptCount val="4"/>
                <c:pt idx="0">
                  <c:v>2019–20 value</c:v>
                </c:pt>
                <c:pt idx="1">
                  <c:v>2020–21 value</c:v>
                </c:pt>
                <c:pt idx="2">
                  <c:v>2019–20 number</c:v>
                </c:pt>
                <c:pt idx="3">
                  <c:v>2020–21 number</c:v>
                </c:pt>
              </c:strCache>
            </c:strRef>
          </c:cat>
          <c:val>
            <c:numRef>
              <c:f>Charts!$B$58:$B$61</c:f>
              <c:numCache>
                <c:formatCode>0.0</c:formatCode>
                <c:ptCount val="4"/>
                <c:pt idx="0">
                  <c:v>85.1</c:v>
                </c:pt>
                <c:pt idx="1">
                  <c:v>86.1</c:v>
                </c:pt>
                <c:pt idx="2">
                  <c:v>90.6</c:v>
                </c:pt>
                <c:pt idx="3">
                  <c:v>93.2</c:v>
                </c:pt>
              </c:numCache>
            </c:numRef>
          </c:val>
          <c:extLst>
            <c:ext xmlns:c16="http://schemas.microsoft.com/office/drawing/2014/chart" uri="{C3380CC4-5D6E-409C-BE32-E72D297353CC}">
              <c16:uniqueId val="{00000000-9D2B-4D0A-BF51-EA5DA7F0D4E8}"/>
            </c:ext>
          </c:extLst>
        </c:ser>
        <c:ser>
          <c:idx val="1"/>
          <c:order val="1"/>
          <c:tx>
            <c:strRef>
              <c:f>Charts!$C$57</c:f>
              <c:strCache>
                <c:ptCount val="1"/>
                <c:pt idx="0">
                  <c:v>21+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Charts!$A$58:$A$61</c:f>
              <c:strCache>
                <c:ptCount val="4"/>
                <c:pt idx="0">
                  <c:v>2019–20 value</c:v>
                </c:pt>
                <c:pt idx="1">
                  <c:v>2020–21 value</c:v>
                </c:pt>
                <c:pt idx="2">
                  <c:v>2019–20 number</c:v>
                </c:pt>
                <c:pt idx="3">
                  <c:v>2020–21 number</c:v>
                </c:pt>
              </c:strCache>
            </c:strRef>
          </c:cat>
          <c:val>
            <c:numRef>
              <c:f>Charts!$C$58:$C$61</c:f>
              <c:numCache>
                <c:formatCode>0.0</c:formatCode>
                <c:ptCount val="4"/>
                <c:pt idx="0">
                  <c:v>14.9</c:v>
                </c:pt>
                <c:pt idx="1">
                  <c:v>13.9</c:v>
                </c:pt>
                <c:pt idx="2">
                  <c:v>9.4</c:v>
                </c:pt>
                <c:pt idx="3">
                  <c:v>6.8</c:v>
                </c:pt>
              </c:numCache>
            </c:numRef>
          </c:val>
          <c:extLst>
            <c:ext xmlns:c16="http://schemas.microsoft.com/office/drawing/2014/chart" uri="{C3380CC4-5D6E-409C-BE32-E72D297353CC}">
              <c16:uniqueId val="{00000001-9D2B-4D0A-BF51-EA5DA7F0D4E8}"/>
            </c:ext>
          </c:extLst>
        </c:ser>
        <c:dLbls>
          <c:showLegendKey val="0"/>
          <c:showVal val="0"/>
          <c:showCatName val="0"/>
          <c:showSerName val="0"/>
          <c:showPercent val="0"/>
          <c:showBubbleSize val="0"/>
        </c:dLbls>
        <c:gapWidth val="50"/>
        <c:overlap val="100"/>
        <c:axId val="790795864"/>
        <c:axId val="790788648"/>
      </c:barChart>
      <c:barChart>
        <c:barDir val="col"/>
        <c:grouping val="stacked"/>
        <c:varyColors val="0"/>
        <c:ser>
          <c:idx val="2"/>
          <c:order val="2"/>
          <c:tx>
            <c:v>DUMMY</c:v>
          </c:tx>
          <c:spPr>
            <a:noFill/>
            <a:ln>
              <a:noFill/>
            </a:ln>
            <a:effectLst/>
            <a:extLst>
              <a:ext uri="{909E8E84-426E-40DD-AFC4-6F175D3DCCD1}">
                <a14:hiddenFill xmlns:a14="http://schemas.microsoft.com/office/drawing/2010/main">
                  <a:solidFill>
                    <a:srgbClr val="3A6FA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2-9D2B-4D0A-BF51-EA5DA7F0D4E8}"/>
            </c:ext>
          </c:extLst>
        </c:ser>
        <c:dLbls>
          <c:showLegendKey val="0"/>
          <c:showVal val="0"/>
          <c:showCatName val="0"/>
          <c:showSerName val="0"/>
          <c:showPercent val="0"/>
          <c:showBubbleSize val="0"/>
        </c:dLbls>
        <c:gapWidth val="150"/>
        <c:overlap val="100"/>
        <c:axId val="790774216"/>
        <c:axId val="790771920"/>
      </c:barChart>
      <c:catAx>
        <c:axId val="790795864"/>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90788648"/>
        <c:crosses val="autoZero"/>
        <c:auto val="1"/>
        <c:lblAlgn val="ctr"/>
        <c:lblOffset val="100"/>
        <c:noMultiLvlLbl val="0"/>
      </c:catAx>
      <c:valAx>
        <c:axId val="790788648"/>
        <c:scaling>
          <c:orientation val="minMax"/>
          <c:max val="100"/>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5.5284430540835629E-2"/>
              <c:y val="1.5192605612534913E-2"/>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90795864"/>
        <c:crosses val="autoZero"/>
        <c:crossBetween val="between"/>
      </c:valAx>
      <c:valAx>
        <c:axId val="790771920"/>
        <c:scaling>
          <c:orientation val="minMax"/>
          <c:max val="100"/>
          <c:min val="75"/>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86694566745244461"/>
              <c:y val="1.5455721628770881E-2"/>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90774216"/>
        <c:crosses val="max"/>
        <c:crossBetween val="between"/>
        <c:majorUnit val="5"/>
        <c:minorUnit val="1"/>
      </c:valAx>
      <c:catAx>
        <c:axId val="790774216"/>
        <c:scaling>
          <c:orientation val="minMax"/>
        </c:scaling>
        <c:delete val="1"/>
        <c:axPos val="b"/>
        <c:majorTickMark val="out"/>
        <c:minorTickMark val="none"/>
        <c:tickLblPos val="nextTo"/>
        <c:crossAx val="790771920"/>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r"/>
      <c:legendEntry>
        <c:idx val="2"/>
        <c:delete val="1"/>
      </c:legendEntry>
      <c:layout>
        <c:manualLayout>
          <c:xMode val="edge"/>
          <c:yMode val="edge"/>
          <c:x val="0.44163161191378886"/>
          <c:y val="0.87096287411248041"/>
          <c:w val="0.11606157629067278"/>
          <c:h val="0.129037246471200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64297992114663E-2"/>
          <c:y val="6.9790465973545754E-2"/>
          <c:w val="0.88381119511268813"/>
          <c:h val="0.71894650947810501"/>
        </c:manualLayout>
      </c:layout>
      <c:barChart>
        <c:barDir val="col"/>
        <c:grouping val="stacked"/>
        <c:varyColors val="0"/>
        <c:ser>
          <c:idx val="0"/>
          <c:order val="0"/>
          <c:tx>
            <c:strRef>
              <c:f>Charts!$B$116</c:f>
              <c:strCache>
                <c:ptCount val="1"/>
                <c:pt idx="0">
                  <c:v>1-5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Charts!$A$117:$A$118</c:f>
              <c:strCache>
                <c:ptCount val="2"/>
                <c:pt idx="0">
                  <c:v>2020–21 value</c:v>
                </c:pt>
                <c:pt idx="1">
                  <c:v>2020–21 number</c:v>
                </c:pt>
              </c:strCache>
            </c:strRef>
          </c:cat>
          <c:val>
            <c:numRef>
              <c:f>Charts!$B$117:$B$118</c:f>
              <c:numCache>
                <c:formatCode>0.0</c:formatCode>
                <c:ptCount val="2"/>
                <c:pt idx="0">
                  <c:v>56.3</c:v>
                </c:pt>
                <c:pt idx="1">
                  <c:v>62</c:v>
                </c:pt>
              </c:numCache>
            </c:numRef>
          </c:val>
          <c:extLst>
            <c:ext xmlns:c16="http://schemas.microsoft.com/office/drawing/2014/chart" uri="{C3380CC4-5D6E-409C-BE32-E72D297353CC}">
              <c16:uniqueId val="{00000000-EE8F-4A2F-B5EB-BE1DF2237F97}"/>
            </c:ext>
          </c:extLst>
        </c:ser>
        <c:ser>
          <c:idx val="1"/>
          <c:order val="1"/>
          <c:tx>
            <c:strRef>
              <c:f>Charts!$C$116</c:f>
              <c:strCache>
                <c:ptCount val="1"/>
                <c:pt idx="0">
                  <c:v>5+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Charts!$A$117:$A$118</c:f>
              <c:strCache>
                <c:ptCount val="2"/>
                <c:pt idx="0">
                  <c:v>2020–21 value</c:v>
                </c:pt>
                <c:pt idx="1">
                  <c:v>2020–21 number</c:v>
                </c:pt>
              </c:strCache>
            </c:strRef>
          </c:cat>
          <c:val>
            <c:numRef>
              <c:f>Charts!$C$117:$C$118</c:f>
              <c:numCache>
                <c:formatCode>0.0</c:formatCode>
                <c:ptCount val="2"/>
                <c:pt idx="0">
                  <c:v>43.7</c:v>
                </c:pt>
                <c:pt idx="1">
                  <c:v>38</c:v>
                </c:pt>
              </c:numCache>
            </c:numRef>
          </c:val>
          <c:extLst>
            <c:ext xmlns:c16="http://schemas.microsoft.com/office/drawing/2014/chart" uri="{C3380CC4-5D6E-409C-BE32-E72D297353CC}">
              <c16:uniqueId val="{00000001-EE8F-4A2F-B5EB-BE1DF2237F97}"/>
            </c:ext>
          </c:extLst>
        </c:ser>
        <c:dLbls>
          <c:showLegendKey val="0"/>
          <c:showVal val="1"/>
          <c:showCatName val="0"/>
          <c:showSerName val="0"/>
          <c:showPercent val="0"/>
          <c:showBubbleSize val="0"/>
        </c:dLbls>
        <c:gapWidth val="50"/>
        <c:overlap val="100"/>
        <c:axId val="752146632"/>
        <c:axId val="752150896"/>
      </c:barChart>
      <c:barChart>
        <c:barDir val="col"/>
        <c:grouping val="stacked"/>
        <c:varyColors val="0"/>
        <c:ser>
          <c:idx val="2"/>
          <c:order val="2"/>
          <c:tx>
            <c:v>DUMMY</c:v>
          </c:tx>
          <c:spPr>
            <a:noFill/>
            <a:ln>
              <a:noFill/>
            </a:ln>
            <a:effectLst/>
            <a:extLst>
              <a:ext uri="{909E8E84-426E-40DD-AFC4-6F175D3DCCD1}">
                <a14:hiddenFill xmlns:a14="http://schemas.microsoft.com/office/drawing/2010/main">
                  <a:solidFill>
                    <a:srgbClr val="3A6FAF"/>
                  </a:solidFill>
                </a14:hiddenFill>
              </a:ext>
              <a:ext uri="{91240B29-F687-4F45-9708-019B960494DF}">
                <a14:hiddenLine xmlns:a14="http://schemas.microsoft.com/office/drawing/2010/main">
                  <a:noFill/>
                </a14:hiddenLine>
              </a:ext>
            </a:extLst>
          </c:spPr>
          <c:invertIfNegative val="0"/>
          <c:dLbls>
            <c:delete val="1"/>
          </c:dLbls>
          <c:val>
            <c:numLit>
              <c:formatCode>General</c:formatCode>
              <c:ptCount val="1"/>
              <c:pt idx="0">
                <c:v>0</c:v>
              </c:pt>
            </c:numLit>
          </c:val>
          <c:extLst>
            <c:ext xmlns:c16="http://schemas.microsoft.com/office/drawing/2014/chart" uri="{C3380CC4-5D6E-409C-BE32-E72D297353CC}">
              <c16:uniqueId val="{00000002-EE8F-4A2F-B5EB-BE1DF2237F97}"/>
            </c:ext>
          </c:extLst>
        </c:ser>
        <c:dLbls>
          <c:showLegendKey val="0"/>
          <c:showVal val="1"/>
          <c:showCatName val="0"/>
          <c:showSerName val="0"/>
          <c:showPercent val="0"/>
          <c:showBubbleSize val="0"/>
        </c:dLbls>
        <c:gapWidth val="150"/>
        <c:overlap val="100"/>
        <c:axId val="752140400"/>
        <c:axId val="752145648"/>
      </c:barChart>
      <c:catAx>
        <c:axId val="752146632"/>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52150896"/>
        <c:crosses val="autoZero"/>
        <c:auto val="1"/>
        <c:lblAlgn val="ctr"/>
        <c:lblOffset val="100"/>
        <c:noMultiLvlLbl val="0"/>
      </c:catAx>
      <c:valAx>
        <c:axId val="752150896"/>
        <c:scaling>
          <c:orientation val="minMax"/>
          <c:max val="100"/>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5.9196432811893747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52146632"/>
        <c:crosses val="autoZero"/>
        <c:crossBetween val="between"/>
      </c:valAx>
      <c:valAx>
        <c:axId val="752145648"/>
        <c:scaling>
          <c:orientation val="minMax"/>
          <c:max val="1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86324375038644241"/>
              <c:y val="4.410143329658214E-3"/>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52140400"/>
        <c:crosses val="max"/>
        <c:crossBetween val="between"/>
        <c:majorUnit val="10"/>
        <c:minorUnit val="4"/>
      </c:valAx>
      <c:catAx>
        <c:axId val="752140400"/>
        <c:scaling>
          <c:orientation val="minMax"/>
        </c:scaling>
        <c:delete val="1"/>
        <c:axPos val="b"/>
        <c:majorTickMark val="out"/>
        <c:minorTickMark val="none"/>
        <c:tickLblPos val="nextTo"/>
        <c:crossAx val="752145648"/>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r"/>
      <c:legendEntry>
        <c:idx val="2"/>
        <c:delete val="1"/>
      </c:legendEntry>
      <c:layout>
        <c:manualLayout>
          <c:xMode val="edge"/>
          <c:yMode val="edge"/>
          <c:x val="0.44903746462297195"/>
          <c:y val="0.79303412667980488"/>
          <c:w val="0.10568260735929688"/>
          <c:h val="0.132301984400127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46EFF83CAF444DA2284208C3EE5081"/>
        <w:category>
          <w:name w:val="General"/>
          <w:gallery w:val="placeholder"/>
        </w:category>
        <w:types>
          <w:type w:val="bbPlcHdr"/>
        </w:types>
        <w:behaviors>
          <w:behavior w:val="content"/>
        </w:behaviors>
        <w:guid w:val="{EDE776C7-DC4E-4D2F-93E0-3CE7F8ECCBAF}"/>
      </w:docPartPr>
      <w:docPartBody>
        <w:p w:rsidR="00803E8D" w:rsidRDefault="00F62E2B" w:rsidP="00F62E2B">
          <w:pPr>
            <w:pStyle w:val="6746EFF83CAF444DA2284208C3EE5081"/>
          </w:pPr>
          <w:r w:rsidRPr="006923DF">
            <w:rPr>
              <w:rFonts w:eastAsiaTheme="minorHAnsi"/>
            </w:rPr>
            <w:t>Click here to enter a date.</w:t>
          </w:r>
        </w:p>
      </w:docPartBody>
    </w:docPart>
    <w:docPart>
      <w:docPartPr>
        <w:name w:val="0784035EF3EB42A18B0744F018D81570"/>
        <w:category>
          <w:name w:val="General"/>
          <w:gallery w:val="placeholder"/>
        </w:category>
        <w:types>
          <w:type w:val="bbPlcHdr"/>
        </w:types>
        <w:behaviors>
          <w:behavior w:val="content"/>
        </w:behaviors>
        <w:guid w:val="{5C175845-3C46-4647-854D-E2B1EF04BD4F}"/>
      </w:docPartPr>
      <w:docPartBody>
        <w:p w:rsidR="00803E8D" w:rsidRDefault="00F62E2B" w:rsidP="00F62E2B">
          <w:pPr>
            <w:pStyle w:val="0784035EF3EB42A18B0744F018D81570"/>
          </w:pPr>
          <w:r w:rsidRPr="006923DF">
            <w:rPr>
              <w:rFonts w:eastAsiaTheme="minorHAnsi"/>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B6"/>
    <w:rsid w:val="00545194"/>
    <w:rsid w:val="005E564C"/>
    <w:rsid w:val="00717957"/>
    <w:rsid w:val="00803E8D"/>
    <w:rsid w:val="008430C6"/>
    <w:rsid w:val="008E2342"/>
    <w:rsid w:val="00A96E4F"/>
    <w:rsid w:val="00A971F9"/>
    <w:rsid w:val="00AB2084"/>
    <w:rsid w:val="00AC53A0"/>
    <w:rsid w:val="00B34C9F"/>
    <w:rsid w:val="00B675F8"/>
    <w:rsid w:val="00CA7CB6"/>
    <w:rsid w:val="00D43B8D"/>
    <w:rsid w:val="00D4502D"/>
    <w:rsid w:val="00D63807"/>
    <w:rsid w:val="00D67C24"/>
    <w:rsid w:val="00DB74EE"/>
    <w:rsid w:val="00E042F1"/>
    <w:rsid w:val="00E17A6B"/>
    <w:rsid w:val="00E26451"/>
    <w:rsid w:val="00F13F0E"/>
    <w:rsid w:val="00F62E2B"/>
    <w:rsid w:val="00FA7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CB6"/>
    <w:rPr>
      <w:color w:val="808080"/>
    </w:rPr>
  </w:style>
  <w:style w:type="paragraph" w:customStyle="1" w:styleId="6746EFF83CAF444DA2284208C3EE5081">
    <w:name w:val="6746EFF83CAF444DA2284208C3EE5081"/>
    <w:rsid w:val="00F62E2B"/>
  </w:style>
  <w:style w:type="paragraph" w:customStyle="1" w:styleId="0784035EF3EB42A18B0744F018D81570">
    <w:name w:val="0784035EF3EB42A18B0744F018D81570"/>
    <w:rsid w:val="00F62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_x0020_Classification xmlns="133e0141-47d0-4aee-a162-44721d1a7303">OFFICIAL</Security_x0020_Classification>
    <_dlc_DocId xmlns="0f563589-9cf9-4143-b1eb-fb0534803d38">2021MG-1782199125-494</_dlc_DocId>
    <_dlc_DocIdUrl xmlns="0f563589-9cf9-4143-b1eb-fb0534803d38">
      <Url>http://tweb/sites/mg/sb/_layouts/15/DocIdRedir.aspx?ID=2021MG-1782199125-494</Url>
      <Description>2021MG-1782199125-494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11300DDC08F854893D6A1A6A832A8BF" ma:contentTypeVersion="43591" ma:contentTypeDescription="Create a new document." ma:contentTypeScope="" ma:versionID="42a07b8aa0cde053bed9d72b52034dd2">
  <xsd:schema xmlns:xsd="http://www.w3.org/2001/XMLSchema" xmlns:xs="http://www.w3.org/2001/XMLSchema" xmlns:p="http://schemas.microsoft.com/office/2006/metadata/properties" xmlns:ns2="0f563589-9cf9-4143-b1eb-fb0534803d38" xmlns:ns3="133e0141-47d0-4aee-a162-44721d1a7303" targetNamespace="http://schemas.microsoft.com/office/2006/metadata/properties" ma:root="true" ma:fieldsID="32109153be87860b3c68aa514f7af128" ns2:_="" ns3:_="">
    <xsd:import namespace="0f563589-9cf9-4143-b1eb-fb0534803d38"/>
    <xsd:import namespace="133e0141-47d0-4aee-a162-44721d1a7303"/>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33e0141-47d0-4aee-a162-44721d1a7303" elementFormDefault="qualified">
    <xsd:import namespace="http://schemas.microsoft.com/office/2006/documentManagement/types"/>
    <xsd:import namespace="http://schemas.microsoft.com/office/infopath/2007/PartnerControls"/>
    <xsd:element name="Security_x0020_Classification" ma:index="7" nillable="true" ma:displayName="Security Classification" ma:default="OFFICIAL" ma:format="Dropdown" ma:internalName="Security_x0020_Classification" ma:readOnly="false">
      <xsd:simpleType>
        <xsd:union memberTypes="dms:Text">
          <xsd:simpleType>
            <xsd:restriction base="dms:Choice">
              <xsd:enumeration value="OFFICIAL"/>
              <xsd:enumeration value="OFFICIAL:Sensitiv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B72B51-C0F0-4F0A-A58E-1FBA7B6E3693}">
  <ds:schemaRefs>
    <ds:schemaRef ds:uri="http://schemas.microsoft.com/sharepoint/events"/>
  </ds:schemaRefs>
</ds:datastoreItem>
</file>

<file path=customXml/itemProps2.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customXml/itemProps3.xml><?xml version="1.0" encoding="utf-8"?>
<ds:datastoreItem xmlns:ds="http://schemas.openxmlformats.org/officeDocument/2006/customXml" ds:itemID="{72696526-D89C-4D9D-8D94-7DC19EAEE44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133e0141-47d0-4aee-a162-44721d1a7303"/>
    <ds:schemaRef ds:uri="http://www.w3.org/XML/1998/namespace"/>
    <ds:schemaRef ds:uri="http://purl.org/dc/dcmitype/"/>
  </ds:schemaRefs>
</ds:datastoreItem>
</file>

<file path=customXml/itemProps4.xml><?xml version="1.0" encoding="utf-8"?>
<ds:datastoreItem xmlns:ds="http://schemas.openxmlformats.org/officeDocument/2006/customXml" ds:itemID="{32C8EF3C-C4BE-4169-BD2F-13F7E8DF55F2}">
  <ds:schemaRefs>
    <ds:schemaRef ds:uri="http://schemas.microsoft.com/sharepoint/v3/contenttype/forms"/>
  </ds:schemaRefs>
</ds:datastoreItem>
</file>

<file path=customXml/itemProps5.xml><?xml version="1.0" encoding="utf-8"?>
<ds:datastoreItem xmlns:ds="http://schemas.openxmlformats.org/officeDocument/2006/customXml" ds:itemID="{5B024B49-0382-49D8-BF93-6056465AC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3589-9cf9-4143-b1eb-fb0534803d38"/>
    <ds:schemaRef ds:uri="133e0141-47d0-4aee-a162-44721d1a7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14</TotalTime>
  <Pages>12</Pages>
  <Words>1999</Words>
  <Characters>10897</Characters>
  <Application>Microsoft Office Word</Application>
  <DocSecurity>0</DocSecurity>
  <Lines>479</Lines>
  <Paragraphs>381</Paragraphs>
  <ScaleCrop>false</ScaleCrop>
  <HeadingPairs>
    <vt:vector size="2" baseType="variant">
      <vt:variant>
        <vt:lpstr>Title</vt:lpstr>
      </vt:variant>
      <vt:variant>
        <vt:i4>1</vt:i4>
      </vt:variant>
    </vt:vector>
  </HeadingPairs>
  <TitlesOfParts>
    <vt:vector size="1" baseType="lpstr">
      <vt:lpstr>Australian Government Pay On-Time Survey Performance Report 2020–21</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Pay On-Time Survey Performance Report 2020–21</dc:title>
  <dc:subject>Performance Report</dc:subject>
  <dc:creator>Treasury</dc:creator>
  <cp:keywords/>
  <cp:lastModifiedBy>Matthew</cp:lastModifiedBy>
  <cp:revision>3</cp:revision>
  <cp:lastPrinted>2019-05-17T02:37:00Z</cp:lastPrinted>
  <dcterms:created xsi:type="dcterms:W3CDTF">2022-01-20T04:21:00Z</dcterms:created>
  <dcterms:modified xsi:type="dcterms:W3CDTF">2022-01-20T04:25:00Z</dcterms:modified>
  <cp:category/>
</cp:coreProperties>
</file>