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86217899"/>
        <w:docPartObj>
          <w:docPartGallery w:val="Cover Pages"/>
          <w:docPartUnique/>
        </w:docPartObj>
      </w:sdtPr>
      <w:sdtEndPr>
        <w:rPr>
          <w:noProof/>
        </w:rPr>
      </w:sdtEndPr>
      <w:sdtContent>
        <w:p w14:paraId="708E33DB" w14:textId="2D75EA81" w:rsidR="00F72AA4" w:rsidRPr="006D0240" w:rsidRDefault="00F72AA4" w:rsidP="00F72AA4">
          <w:r>
            <w:rPr>
              <w:noProof/>
              <w:lang w:eastAsia="zh-CN"/>
            </w:rPr>
            <w:drawing>
              <wp:anchor distT="0" distB="0" distL="114300" distR="114300" simplePos="0" relativeHeight="251658241" behindDoc="1" locked="0" layoutInCell="1" allowOverlap="1" wp14:anchorId="0DB71F4E" wp14:editId="533D914C">
                <wp:simplePos x="0" y="0"/>
                <wp:positionH relativeFrom="page">
                  <wp:align>center</wp:align>
                </wp:positionH>
                <wp:positionV relativeFrom="page">
                  <wp:align>center</wp:align>
                </wp:positionV>
                <wp:extent cx="7197680" cy="10178582"/>
                <wp:effectExtent l="0" t="0" r="381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97680" cy="101785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840B6" w14:textId="77777777" w:rsidR="00F72AA4" w:rsidRPr="006D0240" w:rsidRDefault="00F72AA4" w:rsidP="00F72AA4">
          <w:pPr>
            <w:pStyle w:val="Crest"/>
            <w:spacing w:after="1200"/>
            <w:jc w:val="right"/>
          </w:pPr>
        </w:p>
        <w:p w14:paraId="2C874C2D" w14:textId="77777777" w:rsidR="00F72AA4" w:rsidRPr="006923DF" w:rsidRDefault="00F72AA4" w:rsidP="00F72AA4">
          <w:pPr>
            <w:pStyle w:val="Title"/>
            <w:spacing w:after="120"/>
          </w:pPr>
          <w:r>
            <w:t xml:space="preserve">Terrorism Insurance Act </w:t>
          </w:r>
          <w:r w:rsidRPr="00562238">
            <w:rPr>
              <w:rFonts w:ascii="Calibri Light" w:hAnsi="Calibri Light" w:cs="Calibri Light"/>
              <w:b w:val="0"/>
              <w:bCs/>
            </w:rPr>
            <w:t>Review</w:t>
          </w:r>
        </w:p>
        <w:p w14:paraId="5D822DD1" w14:textId="3B134ED5" w:rsidR="00F72AA4" w:rsidRPr="00562238" w:rsidRDefault="00514394" w:rsidP="00F72AA4">
          <w:pPr>
            <w:pStyle w:val="ReportDate"/>
            <w:rPr>
              <w:rFonts w:ascii="Rockwell" w:hAnsi="Rockwell"/>
              <w:sz w:val="18"/>
              <w:szCs w:val="14"/>
            </w:rPr>
          </w:pPr>
          <w:r>
            <w:rPr>
              <w:rStyle w:val="ReportDateChar"/>
              <w:sz w:val="32"/>
              <w:szCs w:val="14"/>
            </w:rPr>
            <w:t>December</w:t>
          </w:r>
          <w:r w:rsidR="00F72AA4" w:rsidRPr="00562238">
            <w:rPr>
              <w:rStyle w:val="ReportDateChar"/>
              <w:sz w:val="32"/>
              <w:szCs w:val="14"/>
            </w:rPr>
            <w:t xml:space="preserve"> 2021</w:t>
          </w:r>
        </w:p>
        <w:p w14:paraId="6624921A" w14:textId="77777777" w:rsidR="00F72AA4" w:rsidRDefault="00597FC3" w:rsidP="00F72AA4">
          <w:pPr>
            <w:spacing w:before="0" w:after="160" w:line="259" w:lineRule="auto"/>
            <w:rPr>
              <w:noProof/>
            </w:rPr>
          </w:pPr>
        </w:p>
      </w:sdtContent>
    </w:sdt>
    <w:p w14:paraId="2405CDDB" w14:textId="77777777" w:rsidR="00F72AA4" w:rsidRDefault="00F72AA4" w:rsidP="00F72AA4">
      <w:pPr>
        <w:spacing w:before="0" w:after="160" w:line="259" w:lineRule="auto"/>
        <w:rPr>
          <w:noProof/>
        </w:rPr>
      </w:pPr>
      <w:r>
        <w:rPr>
          <w:noProof/>
        </w:rPr>
        <w:br w:type="page"/>
      </w:r>
    </w:p>
    <w:p w14:paraId="2FA3C4B3" w14:textId="4106577E" w:rsidR="000E0B74" w:rsidRDefault="000E0B74" w:rsidP="005877AC">
      <w:pPr>
        <w:spacing w:before="0" w:after="160" w:line="259" w:lineRule="auto"/>
        <w:rPr>
          <w:noProof/>
        </w:rPr>
      </w:pPr>
      <w:r w:rsidRPr="00661BF0">
        <w:lastRenderedPageBreak/>
        <w:t xml:space="preserve">© Commonwealth of Australia </w:t>
      </w:r>
      <w:r w:rsidRPr="00442A3C">
        <w:t>20</w:t>
      </w:r>
      <w:r w:rsidR="006564D3" w:rsidRPr="00442A3C">
        <w:t>2</w:t>
      </w:r>
      <w:r w:rsidR="00442A3C" w:rsidRPr="00442A3C">
        <w:t>1</w:t>
      </w:r>
    </w:p>
    <w:p w14:paraId="38BDE0DE" w14:textId="045B1315"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2"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3"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67687651" w14:textId="77777777" w:rsidR="000E0B74" w:rsidRDefault="000E0B74" w:rsidP="000E0B74">
      <w:pPr>
        <w:pStyle w:val="ChartGraphic"/>
        <w:jc w:val="left"/>
      </w:pPr>
      <w:r w:rsidRPr="00E56DFB">
        <w:rPr>
          <w:noProof/>
          <w:lang w:eastAsia="zh-CN"/>
        </w:rPr>
        <w:drawing>
          <wp:inline distT="0" distB="0" distL="0" distR="0" wp14:anchorId="776368D4" wp14:editId="3BB975D7">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D90012E"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5"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088A0FF1"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339235F1"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0B2C2A88" w14:textId="6EA3E113" w:rsidR="000E0B74" w:rsidRPr="00A13A11" w:rsidRDefault="000E0B74" w:rsidP="000E0B74">
      <w:pPr>
        <w:ind w:firstLine="720"/>
      </w:pPr>
      <w:r w:rsidRPr="002F1BC2">
        <w:rPr>
          <w:i/>
        </w:rPr>
        <w:t xml:space="preserve">Source: The </w:t>
      </w:r>
      <w:r w:rsidRPr="002F1BC2">
        <w:rPr>
          <w:i/>
          <w:iCs/>
        </w:rPr>
        <w:t>Australian Government the Treasury</w:t>
      </w:r>
      <w:r>
        <w:t>.</w:t>
      </w:r>
    </w:p>
    <w:p w14:paraId="38685DED" w14:textId="77777777" w:rsidR="000E0B74" w:rsidRPr="006627B4" w:rsidRDefault="000E0B74" w:rsidP="000E0B74">
      <w:pPr>
        <w:spacing w:before="240"/>
      </w:pPr>
      <w:r w:rsidRPr="00CC63CC">
        <w:rPr>
          <w:b/>
        </w:rPr>
        <w:t>Derivative</w:t>
      </w:r>
      <w:r w:rsidRPr="006627B4">
        <w:t xml:space="preserve"> </w:t>
      </w:r>
      <w:r w:rsidRPr="00CC63CC">
        <w:rPr>
          <w:b/>
        </w:rPr>
        <w:t>material</w:t>
      </w:r>
    </w:p>
    <w:p w14:paraId="16E8219F"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625E800A" w14:textId="409757C5" w:rsidR="000E0B74" w:rsidRPr="006627B4" w:rsidRDefault="000E0B74" w:rsidP="000E0B74">
      <w:pPr>
        <w:ind w:firstLine="720"/>
      </w:pPr>
      <w:r w:rsidRPr="002F1BC2">
        <w:rPr>
          <w:i/>
        </w:rPr>
        <w:t>Based on The Australian Government the Treasury data</w:t>
      </w:r>
      <w:r>
        <w:t>.</w:t>
      </w:r>
    </w:p>
    <w:p w14:paraId="5E62F113" w14:textId="77777777" w:rsidR="000E0B74" w:rsidRPr="006627B4" w:rsidRDefault="000E0B74" w:rsidP="000E0B74">
      <w:pPr>
        <w:spacing w:before="240"/>
        <w:rPr>
          <w:b/>
        </w:rPr>
      </w:pPr>
      <w:r w:rsidRPr="006627B4">
        <w:rPr>
          <w:b/>
        </w:rPr>
        <w:t>Use of the Coat of Arms</w:t>
      </w:r>
    </w:p>
    <w:p w14:paraId="14C73FE5" w14:textId="2E737CB6"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6" w:history="1">
        <w:r w:rsidR="00405F1A">
          <w:rPr>
            <w:rStyle w:val="Hyperlink"/>
          </w:rPr>
          <w:t>www.pmc.gov.au/government/commonwealth-coat-arms</w:t>
        </w:r>
      </w:hyperlink>
      <w:r w:rsidRPr="005C503A">
        <w:t>).</w:t>
      </w:r>
    </w:p>
    <w:p w14:paraId="3AEAED70" w14:textId="77777777" w:rsidR="000E0B74" w:rsidRPr="006627B4" w:rsidRDefault="000E0B74" w:rsidP="000E0B74">
      <w:pPr>
        <w:spacing w:before="240"/>
        <w:rPr>
          <w:b/>
        </w:rPr>
      </w:pPr>
      <w:r>
        <w:rPr>
          <w:b/>
        </w:rPr>
        <w:t>Other u</w:t>
      </w:r>
      <w:r w:rsidRPr="006627B4">
        <w:rPr>
          <w:b/>
        </w:rPr>
        <w:t>ses</w:t>
      </w:r>
    </w:p>
    <w:p w14:paraId="61A3B2D5" w14:textId="77777777" w:rsidR="000E0B74" w:rsidRPr="006627B4" w:rsidRDefault="000E0B74" w:rsidP="000E0B74">
      <w:r>
        <w:t>E</w:t>
      </w:r>
      <w:r w:rsidRPr="006627B4">
        <w:t>nquiries regarding this licence and any other use of this document are welcome at:</w:t>
      </w:r>
    </w:p>
    <w:p w14:paraId="60108AB7" w14:textId="77777777" w:rsidR="000E0B74" w:rsidRPr="002F1BC2" w:rsidRDefault="000E0B74" w:rsidP="000E0B74">
      <w:pPr>
        <w:ind w:left="720"/>
        <w:rPr>
          <w:rStyle w:val="Hyperlink"/>
        </w:rPr>
      </w:pPr>
      <w:r w:rsidRPr="006627B4">
        <w:t>Manager</w:t>
      </w:r>
      <w:r w:rsidR="00A72960">
        <w:br/>
      </w:r>
      <w: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7" w:history="1">
        <w:r w:rsidR="00FF447A" w:rsidRPr="000951A5">
          <w:rPr>
            <w:rStyle w:val="Hyperlink"/>
          </w:rPr>
          <w:t>media@treasury.gov.au</w:t>
        </w:r>
      </w:hyperlink>
      <w:r w:rsidR="00FF447A">
        <w:rPr>
          <w:rStyle w:val="Hyperlink"/>
        </w:rPr>
        <w:t xml:space="preserve"> </w:t>
      </w:r>
    </w:p>
    <w:p w14:paraId="75A6798D" w14:textId="77777777" w:rsidR="00F836F9" w:rsidRDefault="00F836F9" w:rsidP="000E0B74">
      <w:pPr>
        <w:pStyle w:val="Heading1"/>
        <w:sectPr w:rsidR="00F836F9" w:rsidSect="00917E28">
          <w:footerReference w:type="default" r:id="rId18"/>
          <w:pgSz w:w="11906" w:h="16838" w:code="9"/>
          <w:pgMar w:top="1418" w:right="1418" w:bottom="1418" w:left="1418" w:header="709" w:footer="709" w:gutter="0"/>
          <w:pgNumType w:fmt="lowerRoman" w:start="0"/>
          <w:cols w:space="708"/>
          <w:titlePg/>
          <w:docGrid w:linePitch="360"/>
        </w:sectPr>
      </w:pPr>
    </w:p>
    <w:p w14:paraId="0E9205B8" w14:textId="46D0B1CF" w:rsidR="000E0B74" w:rsidRDefault="000E0B74" w:rsidP="001F1B27">
      <w:pPr>
        <w:pStyle w:val="Heading1"/>
      </w:pPr>
      <w:bookmarkStart w:id="0" w:name="_Toc81844172"/>
      <w:bookmarkStart w:id="1" w:name="_Toc89070010"/>
      <w:r w:rsidRPr="001F1B27">
        <w:lastRenderedPageBreak/>
        <w:t>Contents</w:t>
      </w:r>
      <w:bookmarkEnd w:id="0"/>
      <w:bookmarkEnd w:id="1"/>
    </w:p>
    <w:p w14:paraId="5EE049DA" w14:textId="5D70DBCC" w:rsidR="00991CC4" w:rsidRDefault="000E0B74">
      <w:pPr>
        <w:pStyle w:val="TOC1"/>
        <w:rPr>
          <w:rFonts w:asciiTheme="minorHAnsi" w:eastAsiaTheme="minorEastAsia" w:hAnsiTheme="minorHAnsi" w:cstheme="minorBidi"/>
          <w:b w:val="0"/>
          <w:color w:val="auto"/>
        </w:rPr>
      </w:pPr>
      <w:r>
        <w:rPr>
          <w:color w:val="004A7F"/>
        </w:rPr>
        <w:fldChar w:fldCharType="begin"/>
      </w:r>
      <w:r w:rsidRPr="0025652F">
        <w:instrText xml:space="preserve"> TOC \o "1-3" \h \z \u </w:instrText>
      </w:r>
      <w:r>
        <w:rPr>
          <w:color w:val="004A7F"/>
        </w:rPr>
        <w:fldChar w:fldCharType="separate"/>
      </w:r>
      <w:hyperlink w:anchor="_Toc89070010" w:history="1">
        <w:r w:rsidR="00991CC4" w:rsidRPr="00797308">
          <w:rPr>
            <w:rStyle w:val="Hyperlink"/>
          </w:rPr>
          <w:t>Contents</w:t>
        </w:r>
        <w:r w:rsidR="00991CC4">
          <w:rPr>
            <w:webHidden/>
          </w:rPr>
          <w:tab/>
        </w:r>
        <w:r w:rsidR="00991CC4">
          <w:rPr>
            <w:webHidden/>
          </w:rPr>
          <w:fldChar w:fldCharType="begin"/>
        </w:r>
        <w:r w:rsidR="00991CC4">
          <w:rPr>
            <w:webHidden/>
          </w:rPr>
          <w:instrText xml:space="preserve"> PAGEREF _Toc89070010 \h </w:instrText>
        </w:r>
        <w:r w:rsidR="00991CC4">
          <w:rPr>
            <w:webHidden/>
          </w:rPr>
        </w:r>
        <w:r w:rsidR="00991CC4">
          <w:rPr>
            <w:webHidden/>
          </w:rPr>
          <w:fldChar w:fldCharType="separate"/>
        </w:r>
        <w:r w:rsidR="00597FC3">
          <w:rPr>
            <w:webHidden/>
          </w:rPr>
          <w:t>ii</w:t>
        </w:r>
        <w:r w:rsidR="00991CC4">
          <w:rPr>
            <w:webHidden/>
          </w:rPr>
          <w:fldChar w:fldCharType="end"/>
        </w:r>
      </w:hyperlink>
    </w:p>
    <w:p w14:paraId="5D7E1220" w14:textId="5D44F468" w:rsidR="00991CC4" w:rsidRDefault="00597FC3">
      <w:pPr>
        <w:pStyle w:val="TOC1"/>
        <w:rPr>
          <w:rFonts w:asciiTheme="minorHAnsi" w:eastAsiaTheme="minorEastAsia" w:hAnsiTheme="minorHAnsi" w:cstheme="minorBidi"/>
          <w:b w:val="0"/>
          <w:color w:val="auto"/>
        </w:rPr>
      </w:pPr>
      <w:hyperlink w:anchor="_Toc89070011" w:history="1">
        <w:r w:rsidR="00991CC4" w:rsidRPr="00797308">
          <w:rPr>
            <w:rStyle w:val="Hyperlink"/>
          </w:rPr>
          <w:t>Executive Summary</w:t>
        </w:r>
        <w:r w:rsidR="00991CC4">
          <w:rPr>
            <w:webHidden/>
          </w:rPr>
          <w:tab/>
        </w:r>
        <w:r w:rsidR="00991CC4">
          <w:rPr>
            <w:webHidden/>
          </w:rPr>
          <w:fldChar w:fldCharType="begin"/>
        </w:r>
        <w:r w:rsidR="00991CC4">
          <w:rPr>
            <w:webHidden/>
          </w:rPr>
          <w:instrText xml:space="preserve"> PAGEREF _Toc89070011 \h </w:instrText>
        </w:r>
        <w:r w:rsidR="00991CC4">
          <w:rPr>
            <w:webHidden/>
          </w:rPr>
        </w:r>
        <w:r w:rsidR="00991CC4">
          <w:rPr>
            <w:webHidden/>
          </w:rPr>
          <w:fldChar w:fldCharType="separate"/>
        </w:r>
        <w:r>
          <w:rPr>
            <w:webHidden/>
          </w:rPr>
          <w:t>iii</w:t>
        </w:r>
        <w:r w:rsidR="00991CC4">
          <w:rPr>
            <w:webHidden/>
          </w:rPr>
          <w:fldChar w:fldCharType="end"/>
        </w:r>
      </w:hyperlink>
    </w:p>
    <w:p w14:paraId="488A3EF9" w14:textId="5FF4E17F" w:rsidR="00991CC4" w:rsidRDefault="00597FC3">
      <w:pPr>
        <w:pStyle w:val="TOC1"/>
        <w:rPr>
          <w:rFonts w:asciiTheme="minorHAnsi" w:eastAsiaTheme="minorEastAsia" w:hAnsiTheme="minorHAnsi" w:cstheme="minorBidi"/>
          <w:b w:val="0"/>
          <w:color w:val="auto"/>
        </w:rPr>
      </w:pPr>
      <w:hyperlink w:anchor="_Toc89070012" w:history="1">
        <w:r w:rsidR="00991CC4" w:rsidRPr="00797308">
          <w:rPr>
            <w:rStyle w:val="Hyperlink"/>
          </w:rPr>
          <w:t>Recommendations and findings</w:t>
        </w:r>
        <w:r w:rsidR="00991CC4">
          <w:rPr>
            <w:webHidden/>
          </w:rPr>
          <w:tab/>
        </w:r>
        <w:r w:rsidR="00991CC4">
          <w:rPr>
            <w:webHidden/>
          </w:rPr>
          <w:fldChar w:fldCharType="begin"/>
        </w:r>
        <w:r w:rsidR="00991CC4">
          <w:rPr>
            <w:webHidden/>
          </w:rPr>
          <w:instrText xml:space="preserve"> PAGEREF _Toc89070012 \h </w:instrText>
        </w:r>
        <w:r w:rsidR="00991CC4">
          <w:rPr>
            <w:webHidden/>
          </w:rPr>
        </w:r>
        <w:r w:rsidR="00991CC4">
          <w:rPr>
            <w:webHidden/>
          </w:rPr>
          <w:fldChar w:fldCharType="separate"/>
        </w:r>
        <w:r>
          <w:rPr>
            <w:webHidden/>
          </w:rPr>
          <w:t>iv</w:t>
        </w:r>
        <w:r w:rsidR="00991CC4">
          <w:rPr>
            <w:webHidden/>
          </w:rPr>
          <w:fldChar w:fldCharType="end"/>
        </w:r>
      </w:hyperlink>
    </w:p>
    <w:p w14:paraId="7A9EBF21" w14:textId="336BD906" w:rsidR="00991CC4" w:rsidRDefault="00597FC3">
      <w:pPr>
        <w:pStyle w:val="TOC1"/>
        <w:rPr>
          <w:rFonts w:asciiTheme="minorHAnsi" w:eastAsiaTheme="minorEastAsia" w:hAnsiTheme="minorHAnsi" w:cstheme="minorBidi"/>
          <w:b w:val="0"/>
          <w:color w:val="auto"/>
        </w:rPr>
      </w:pPr>
      <w:hyperlink w:anchor="_Toc89070013" w:history="1">
        <w:r w:rsidR="00991CC4" w:rsidRPr="00797308">
          <w:rPr>
            <w:rStyle w:val="Hyperlink"/>
          </w:rPr>
          <w:t>Chapter 1: Introduction</w:t>
        </w:r>
        <w:r w:rsidR="00991CC4">
          <w:rPr>
            <w:webHidden/>
          </w:rPr>
          <w:tab/>
        </w:r>
        <w:r w:rsidR="00991CC4">
          <w:rPr>
            <w:webHidden/>
          </w:rPr>
          <w:fldChar w:fldCharType="begin"/>
        </w:r>
        <w:r w:rsidR="00991CC4">
          <w:rPr>
            <w:webHidden/>
          </w:rPr>
          <w:instrText xml:space="preserve"> PAGEREF _Toc89070013 \h </w:instrText>
        </w:r>
        <w:r w:rsidR="00991CC4">
          <w:rPr>
            <w:webHidden/>
          </w:rPr>
        </w:r>
        <w:r w:rsidR="00991CC4">
          <w:rPr>
            <w:webHidden/>
          </w:rPr>
          <w:fldChar w:fldCharType="separate"/>
        </w:r>
        <w:r>
          <w:rPr>
            <w:webHidden/>
          </w:rPr>
          <w:t>1</w:t>
        </w:r>
        <w:r w:rsidR="00991CC4">
          <w:rPr>
            <w:webHidden/>
          </w:rPr>
          <w:fldChar w:fldCharType="end"/>
        </w:r>
      </w:hyperlink>
    </w:p>
    <w:p w14:paraId="37174BAD" w14:textId="6054A824" w:rsidR="00991CC4" w:rsidRDefault="00597FC3">
      <w:pPr>
        <w:pStyle w:val="TOC2"/>
        <w:rPr>
          <w:rFonts w:asciiTheme="minorHAnsi" w:eastAsiaTheme="minorEastAsia" w:hAnsiTheme="minorHAnsi" w:cstheme="minorBidi"/>
          <w:color w:val="auto"/>
          <w:szCs w:val="22"/>
        </w:rPr>
      </w:pPr>
      <w:hyperlink w:anchor="_Toc89070014" w:history="1">
        <w:r w:rsidR="00991CC4" w:rsidRPr="00797308">
          <w:rPr>
            <w:rStyle w:val="Hyperlink"/>
          </w:rPr>
          <w:t>Recent developments</w:t>
        </w:r>
        <w:r w:rsidR="00991CC4">
          <w:rPr>
            <w:webHidden/>
          </w:rPr>
          <w:tab/>
        </w:r>
        <w:r w:rsidR="00991CC4">
          <w:rPr>
            <w:webHidden/>
          </w:rPr>
          <w:fldChar w:fldCharType="begin"/>
        </w:r>
        <w:r w:rsidR="00991CC4">
          <w:rPr>
            <w:webHidden/>
          </w:rPr>
          <w:instrText xml:space="preserve"> PAGEREF _Toc89070014 \h </w:instrText>
        </w:r>
        <w:r w:rsidR="00991CC4">
          <w:rPr>
            <w:webHidden/>
          </w:rPr>
        </w:r>
        <w:r w:rsidR="00991CC4">
          <w:rPr>
            <w:webHidden/>
          </w:rPr>
          <w:fldChar w:fldCharType="separate"/>
        </w:r>
        <w:r>
          <w:rPr>
            <w:webHidden/>
          </w:rPr>
          <w:t>1</w:t>
        </w:r>
        <w:r w:rsidR="00991CC4">
          <w:rPr>
            <w:webHidden/>
          </w:rPr>
          <w:fldChar w:fldCharType="end"/>
        </w:r>
      </w:hyperlink>
    </w:p>
    <w:p w14:paraId="13BEFAE6" w14:textId="22C91CEC" w:rsidR="00991CC4" w:rsidRDefault="00597FC3">
      <w:pPr>
        <w:pStyle w:val="TOC3"/>
        <w:rPr>
          <w:rFonts w:asciiTheme="minorHAnsi" w:eastAsiaTheme="minorEastAsia" w:hAnsiTheme="minorHAnsi" w:cstheme="minorBidi"/>
          <w:color w:val="auto"/>
          <w:szCs w:val="22"/>
        </w:rPr>
      </w:pPr>
      <w:hyperlink w:anchor="_Toc89070015" w:history="1">
        <w:r w:rsidR="00991CC4" w:rsidRPr="00797308">
          <w:rPr>
            <w:rStyle w:val="Hyperlink"/>
          </w:rPr>
          <w:t>Cyclone reinsurance pool</w:t>
        </w:r>
        <w:r w:rsidR="00991CC4">
          <w:rPr>
            <w:webHidden/>
          </w:rPr>
          <w:tab/>
        </w:r>
        <w:r w:rsidR="00991CC4">
          <w:rPr>
            <w:webHidden/>
          </w:rPr>
          <w:fldChar w:fldCharType="begin"/>
        </w:r>
        <w:r w:rsidR="00991CC4">
          <w:rPr>
            <w:webHidden/>
          </w:rPr>
          <w:instrText xml:space="preserve"> PAGEREF _Toc89070015 \h </w:instrText>
        </w:r>
        <w:r w:rsidR="00991CC4">
          <w:rPr>
            <w:webHidden/>
          </w:rPr>
        </w:r>
        <w:r w:rsidR="00991CC4">
          <w:rPr>
            <w:webHidden/>
          </w:rPr>
          <w:fldChar w:fldCharType="separate"/>
        </w:r>
        <w:r>
          <w:rPr>
            <w:webHidden/>
          </w:rPr>
          <w:t>1</w:t>
        </w:r>
        <w:r w:rsidR="00991CC4">
          <w:rPr>
            <w:webHidden/>
          </w:rPr>
          <w:fldChar w:fldCharType="end"/>
        </w:r>
      </w:hyperlink>
    </w:p>
    <w:p w14:paraId="20AC153C" w14:textId="4D4D7F26" w:rsidR="00991CC4" w:rsidRDefault="00597FC3">
      <w:pPr>
        <w:pStyle w:val="TOC3"/>
        <w:rPr>
          <w:rFonts w:asciiTheme="minorHAnsi" w:eastAsiaTheme="minorEastAsia" w:hAnsiTheme="minorHAnsi" w:cstheme="minorBidi"/>
          <w:color w:val="auto"/>
          <w:szCs w:val="22"/>
        </w:rPr>
      </w:pPr>
      <w:hyperlink w:anchor="_Toc89070016" w:history="1">
        <w:r w:rsidR="00991CC4" w:rsidRPr="00797308">
          <w:rPr>
            <w:rStyle w:val="Hyperlink"/>
          </w:rPr>
          <w:t>Cyber terrorism resulting in property damage</w:t>
        </w:r>
        <w:r w:rsidR="00991CC4">
          <w:rPr>
            <w:webHidden/>
          </w:rPr>
          <w:tab/>
        </w:r>
        <w:r w:rsidR="00991CC4">
          <w:rPr>
            <w:webHidden/>
          </w:rPr>
          <w:fldChar w:fldCharType="begin"/>
        </w:r>
        <w:r w:rsidR="00991CC4">
          <w:rPr>
            <w:webHidden/>
          </w:rPr>
          <w:instrText xml:space="preserve"> PAGEREF _Toc89070016 \h </w:instrText>
        </w:r>
        <w:r w:rsidR="00991CC4">
          <w:rPr>
            <w:webHidden/>
          </w:rPr>
        </w:r>
        <w:r w:rsidR="00991CC4">
          <w:rPr>
            <w:webHidden/>
          </w:rPr>
          <w:fldChar w:fldCharType="separate"/>
        </w:r>
        <w:r>
          <w:rPr>
            <w:webHidden/>
          </w:rPr>
          <w:t>1</w:t>
        </w:r>
        <w:r w:rsidR="00991CC4">
          <w:rPr>
            <w:webHidden/>
          </w:rPr>
          <w:fldChar w:fldCharType="end"/>
        </w:r>
      </w:hyperlink>
    </w:p>
    <w:p w14:paraId="04B763CF" w14:textId="5BA3FBAA" w:rsidR="00991CC4" w:rsidRDefault="00597FC3">
      <w:pPr>
        <w:pStyle w:val="TOC2"/>
        <w:rPr>
          <w:rFonts w:asciiTheme="minorHAnsi" w:eastAsiaTheme="minorEastAsia" w:hAnsiTheme="minorHAnsi" w:cstheme="minorBidi"/>
          <w:color w:val="auto"/>
          <w:szCs w:val="22"/>
        </w:rPr>
      </w:pPr>
      <w:hyperlink w:anchor="_Toc89070017" w:history="1">
        <w:r w:rsidR="00991CC4" w:rsidRPr="00797308">
          <w:rPr>
            <w:rStyle w:val="Hyperlink"/>
          </w:rPr>
          <w:t>Scheme coverage and operating model</w:t>
        </w:r>
        <w:r w:rsidR="00991CC4">
          <w:rPr>
            <w:webHidden/>
          </w:rPr>
          <w:tab/>
        </w:r>
        <w:r w:rsidR="00991CC4">
          <w:rPr>
            <w:webHidden/>
          </w:rPr>
          <w:fldChar w:fldCharType="begin"/>
        </w:r>
        <w:r w:rsidR="00991CC4">
          <w:rPr>
            <w:webHidden/>
          </w:rPr>
          <w:instrText xml:space="preserve"> PAGEREF _Toc89070017 \h </w:instrText>
        </w:r>
        <w:r w:rsidR="00991CC4">
          <w:rPr>
            <w:webHidden/>
          </w:rPr>
        </w:r>
        <w:r w:rsidR="00991CC4">
          <w:rPr>
            <w:webHidden/>
          </w:rPr>
          <w:fldChar w:fldCharType="separate"/>
        </w:r>
        <w:r>
          <w:rPr>
            <w:webHidden/>
          </w:rPr>
          <w:t>2</w:t>
        </w:r>
        <w:r w:rsidR="00991CC4">
          <w:rPr>
            <w:webHidden/>
          </w:rPr>
          <w:fldChar w:fldCharType="end"/>
        </w:r>
      </w:hyperlink>
    </w:p>
    <w:p w14:paraId="0A7CBAD8" w14:textId="71B5F626" w:rsidR="00991CC4" w:rsidRDefault="00597FC3">
      <w:pPr>
        <w:pStyle w:val="TOC3"/>
        <w:rPr>
          <w:rFonts w:asciiTheme="minorHAnsi" w:eastAsiaTheme="minorEastAsia" w:hAnsiTheme="minorHAnsi" w:cstheme="minorBidi"/>
          <w:color w:val="auto"/>
          <w:szCs w:val="22"/>
        </w:rPr>
      </w:pPr>
      <w:hyperlink w:anchor="_Toc89070018" w:history="1">
        <w:r w:rsidR="00991CC4" w:rsidRPr="00797308">
          <w:rPr>
            <w:rStyle w:val="Hyperlink"/>
          </w:rPr>
          <w:t>Scheme eligibility</w:t>
        </w:r>
        <w:r w:rsidR="00991CC4">
          <w:rPr>
            <w:webHidden/>
          </w:rPr>
          <w:tab/>
        </w:r>
        <w:r w:rsidR="00991CC4">
          <w:rPr>
            <w:webHidden/>
          </w:rPr>
          <w:fldChar w:fldCharType="begin"/>
        </w:r>
        <w:r w:rsidR="00991CC4">
          <w:rPr>
            <w:webHidden/>
          </w:rPr>
          <w:instrText xml:space="preserve"> PAGEREF _Toc89070018 \h </w:instrText>
        </w:r>
        <w:r w:rsidR="00991CC4">
          <w:rPr>
            <w:webHidden/>
          </w:rPr>
        </w:r>
        <w:r w:rsidR="00991CC4">
          <w:rPr>
            <w:webHidden/>
          </w:rPr>
          <w:fldChar w:fldCharType="separate"/>
        </w:r>
        <w:r>
          <w:rPr>
            <w:webHidden/>
          </w:rPr>
          <w:t>2</w:t>
        </w:r>
        <w:r w:rsidR="00991CC4">
          <w:rPr>
            <w:webHidden/>
          </w:rPr>
          <w:fldChar w:fldCharType="end"/>
        </w:r>
      </w:hyperlink>
    </w:p>
    <w:p w14:paraId="6E189E3F" w14:textId="5C5BD587" w:rsidR="00991CC4" w:rsidRDefault="00597FC3">
      <w:pPr>
        <w:pStyle w:val="TOC3"/>
        <w:rPr>
          <w:rFonts w:asciiTheme="minorHAnsi" w:eastAsiaTheme="minorEastAsia" w:hAnsiTheme="minorHAnsi" w:cstheme="minorBidi"/>
          <w:color w:val="auto"/>
          <w:szCs w:val="22"/>
        </w:rPr>
      </w:pPr>
      <w:hyperlink w:anchor="_Toc89070019" w:history="1">
        <w:r w:rsidR="00991CC4" w:rsidRPr="00797308">
          <w:rPr>
            <w:rStyle w:val="Hyperlink"/>
          </w:rPr>
          <w:t>When can a claim on the scheme be made?</w:t>
        </w:r>
        <w:r w:rsidR="00991CC4">
          <w:rPr>
            <w:webHidden/>
          </w:rPr>
          <w:tab/>
        </w:r>
        <w:r w:rsidR="00991CC4">
          <w:rPr>
            <w:webHidden/>
          </w:rPr>
          <w:fldChar w:fldCharType="begin"/>
        </w:r>
        <w:r w:rsidR="00991CC4">
          <w:rPr>
            <w:webHidden/>
          </w:rPr>
          <w:instrText xml:space="preserve"> PAGEREF _Toc89070019 \h </w:instrText>
        </w:r>
        <w:r w:rsidR="00991CC4">
          <w:rPr>
            <w:webHidden/>
          </w:rPr>
        </w:r>
        <w:r w:rsidR="00991CC4">
          <w:rPr>
            <w:webHidden/>
          </w:rPr>
          <w:fldChar w:fldCharType="separate"/>
        </w:r>
        <w:r>
          <w:rPr>
            <w:webHidden/>
          </w:rPr>
          <w:t>2</w:t>
        </w:r>
        <w:r w:rsidR="00991CC4">
          <w:rPr>
            <w:webHidden/>
          </w:rPr>
          <w:fldChar w:fldCharType="end"/>
        </w:r>
      </w:hyperlink>
    </w:p>
    <w:p w14:paraId="417BD66A" w14:textId="1E0CC82B" w:rsidR="00991CC4" w:rsidRDefault="00597FC3">
      <w:pPr>
        <w:pStyle w:val="TOC3"/>
        <w:rPr>
          <w:rFonts w:asciiTheme="minorHAnsi" w:eastAsiaTheme="minorEastAsia" w:hAnsiTheme="minorHAnsi" w:cstheme="minorBidi"/>
          <w:color w:val="auto"/>
          <w:szCs w:val="22"/>
        </w:rPr>
      </w:pPr>
      <w:hyperlink w:anchor="_Toc89070020" w:history="1">
        <w:r w:rsidR="00991CC4" w:rsidRPr="00797308">
          <w:rPr>
            <w:rStyle w:val="Hyperlink"/>
          </w:rPr>
          <w:t>How a claim is funded</w:t>
        </w:r>
        <w:r w:rsidR="00991CC4">
          <w:rPr>
            <w:webHidden/>
          </w:rPr>
          <w:tab/>
        </w:r>
        <w:r w:rsidR="00991CC4">
          <w:rPr>
            <w:webHidden/>
          </w:rPr>
          <w:fldChar w:fldCharType="begin"/>
        </w:r>
        <w:r w:rsidR="00991CC4">
          <w:rPr>
            <w:webHidden/>
          </w:rPr>
          <w:instrText xml:space="preserve"> PAGEREF _Toc89070020 \h </w:instrText>
        </w:r>
        <w:r w:rsidR="00991CC4">
          <w:rPr>
            <w:webHidden/>
          </w:rPr>
        </w:r>
        <w:r w:rsidR="00991CC4">
          <w:rPr>
            <w:webHidden/>
          </w:rPr>
          <w:fldChar w:fldCharType="separate"/>
        </w:r>
        <w:r>
          <w:rPr>
            <w:webHidden/>
          </w:rPr>
          <w:t>3</w:t>
        </w:r>
        <w:r w:rsidR="00991CC4">
          <w:rPr>
            <w:webHidden/>
          </w:rPr>
          <w:fldChar w:fldCharType="end"/>
        </w:r>
      </w:hyperlink>
    </w:p>
    <w:p w14:paraId="46DD8057" w14:textId="09AF78B0" w:rsidR="00991CC4" w:rsidRDefault="00597FC3">
      <w:pPr>
        <w:pStyle w:val="TOC1"/>
        <w:rPr>
          <w:rFonts w:asciiTheme="minorHAnsi" w:eastAsiaTheme="minorEastAsia" w:hAnsiTheme="minorHAnsi" w:cstheme="minorBidi"/>
          <w:b w:val="0"/>
          <w:color w:val="auto"/>
        </w:rPr>
      </w:pPr>
      <w:hyperlink w:anchor="_Toc89070021" w:history="1">
        <w:r w:rsidR="00991CC4" w:rsidRPr="00797308">
          <w:rPr>
            <w:rStyle w:val="Hyperlink"/>
          </w:rPr>
          <w:t>Chapter 2: Continuation of the Act</w:t>
        </w:r>
        <w:r w:rsidR="00991CC4">
          <w:rPr>
            <w:webHidden/>
          </w:rPr>
          <w:tab/>
        </w:r>
        <w:r w:rsidR="00991CC4">
          <w:rPr>
            <w:webHidden/>
          </w:rPr>
          <w:fldChar w:fldCharType="begin"/>
        </w:r>
        <w:r w:rsidR="00991CC4">
          <w:rPr>
            <w:webHidden/>
          </w:rPr>
          <w:instrText xml:space="preserve"> PAGEREF _Toc89070021 \h </w:instrText>
        </w:r>
        <w:r w:rsidR="00991CC4">
          <w:rPr>
            <w:webHidden/>
          </w:rPr>
        </w:r>
        <w:r w:rsidR="00991CC4">
          <w:rPr>
            <w:webHidden/>
          </w:rPr>
          <w:fldChar w:fldCharType="separate"/>
        </w:r>
        <w:r>
          <w:rPr>
            <w:webHidden/>
          </w:rPr>
          <w:t>5</w:t>
        </w:r>
        <w:r w:rsidR="00991CC4">
          <w:rPr>
            <w:webHidden/>
          </w:rPr>
          <w:fldChar w:fldCharType="end"/>
        </w:r>
      </w:hyperlink>
    </w:p>
    <w:p w14:paraId="3A916FA9" w14:textId="7269DF98" w:rsidR="00991CC4" w:rsidRDefault="00597FC3">
      <w:pPr>
        <w:pStyle w:val="TOC2"/>
        <w:rPr>
          <w:rFonts w:asciiTheme="minorHAnsi" w:eastAsiaTheme="minorEastAsia" w:hAnsiTheme="minorHAnsi" w:cstheme="minorBidi"/>
          <w:color w:val="auto"/>
          <w:szCs w:val="22"/>
        </w:rPr>
      </w:pPr>
      <w:hyperlink w:anchor="_Toc89070022" w:history="1">
        <w:r w:rsidR="00991CC4" w:rsidRPr="00797308">
          <w:rPr>
            <w:rStyle w:val="Hyperlink"/>
          </w:rPr>
          <w:t>Assessment</w:t>
        </w:r>
        <w:r w:rsidR="00991CC4">
          <w:rPr>
            <w:webHidden/>
          </w:rPr>
          <w:tab/>
        </w:r>
        <w:r w:rsidR="00991CC4">
          <w:rPr>
            <w:webHidden/>
          </w:rPr>
          <w:fldChar w:fldCharType="begin"/>
        </w:r>
        <w:r w:rsidR="00991CC4">
          <w:rPr>
            <w:webHidden/>
          </w:rPr>
          <w:instrText xml:space="preserve"> PAGEREF _Toc89070022 \h </w:instrText>
        </w:r>
        <w:r w:rsidR="00991CC4">
          <w:rPr>
            <w:webHidden/>
          </w:rPr>
        </w:r>
        <w:r w:rsidR="00991CC4">
          <w:rPr>
            <w:webHidden/>
          </w:rPr>
          <w:fldChar w:fldCharType="separate"/>
        </w:r>
        <w:r>
          <w:rPr>
            <w:webHidden/>
          </w:rPr>
          <w:t>5</w:t>
        </w:r>
        <w:r w:rsidR="00991CC4">
          <w:rPr>
            <w:webHidden/>
          </w:rPr>
          <w:fldChar w:fldCharType="end"/>
        </w:r>
      </w:hyperlink>
    </w:p>
    <w:p w14:paraId="78756901" w14:textId="22645148" w:rsidR="00991CC4" w:rsidRDefault="00597FC3">
      <w:pPr>
        <w:pStyle w:val="TOC3"/>
        <w:rPr>
          <w:rFonts w:asciiTheme="minorHAnsi" w:eastAsiaTheme="minorEastAsia" w:hAnsiTheme="minorHAnsi" w:cstheme="minorBidi"/>
          <w:color w:val="auto"/>
          <w:szCs w:val="22"/>
        </w:rPr>
      </w:pPr>
      <w:hyperlink w:anchor="_Toc89070023" w:history="1">
        <w:r w:rsidR="00991CC4" w:rsidRPr="00797308">
          <w:rPr>
            <w:rStyle w:val="Hyperlink"/>
          </w:rPr>
          <w:t>Private market capacity</w:t>
        </w:r>
        <w:r w:rsidR="00991CC4">
          <w:rPr>
            <w:webHidden/>
          </w:rPr>
          <w:tab/>
        </w:r>
        <w:r w:rsidR="00991CC4">
          <w:rPr>
            <w:webHidden/>
          </w:rPr>
          <w:fldChar w:fldCharType="begin"/>
        </w:r>
        <w:r w:rsidR="00991CC4">
          <w:rPr>
            <w:webHidden/>
          </w:rPr>
          <w:instrText xml:space="preserve"> PAGEREF _Toc89070023 \h </w:instrText>
        </w:r>
        <w:r w:rsidR="00991CC4">
          <w:rPr>
            <w:webHidden/>
          </w:rPr>
        </w:r>
        <w:r w:rsidR="00991CC4">
          <w:rPr>
            <w:webHidden/>
          </w:rPr>
          <w:fldChar w:fldCharType="separate"/>
        </w:r>
        <w:r>
          <w:rPr>
            <w:webHidden/>
          </w:rPr>
          <w:t>5</w:t>
        </w:r>
        <w:r w:rsidR="00991CC4">
          <w:rPr>
            <w:webHidden/>
          </w:rPr>
          <w:fldChar w:fldCharType="end"/>
        </w:r>
      </w:hyperlink>
    </w:p>
    <w:p w14:paraId="4B4A378F" w14:textId="7266D102" w:rsidR="00991CC4" w:rsidRDefault="00597FC3">
      <w:pPr>
        <w:pStyle w:val="TOC2"/>
        <w:rPr>
          <w:rFonts w:asciiTheme="minorHAnsi" w:eastAsiaTheme="minorEastAsia" w:hAnsiTheme="minorHAnsi" w:cstheme="minorBidi"/>
          <w:color w:val="auto"/>
          <w:szCs w:val="22"/>
        </w:rPr>
      </w:pPr>
      <w:hyperlink w:anchor="_Toc89070024" w:history="1">
        <w:r w:rsidR="00991CC4" w:rsidRPr="00797308">
          <w:rPr>
            <w:rStyle w:val="Hyperlink"/>
          </w:rPr>
          <w:t>Conclusion</w:t>
        </w:r>
        <w:r w:rsidR="00991CC4">
          <w:rPr>
            <w:webHidden/>
          </w:rPr>
          <w:tab/>
        </w:r>
        <w:r w:rsidR="00991CC4">
          <w:rPr>
            <w:webHidden/>
          </w:rPr>
          <w:fldChar w:fldCharType="begin"/>
        </w:r>
        <w:r w:rsidR="00991CC4">
          <w:rPr>
            <w:webHidden/>
          </w:rPr>
          <w:instrText xml:space="preserve"> PAGEREF _Toc89070024 \h </w:instrText>
        </w:r>
        <w:r w:rsidR="00991CC4">
          <w:rPr>
            <w:webHidden/>
          </w:rPr>
        </w:r>
        <w:r w:rsidR="00991CC4">
          <w:rPr>
            <w:webHidden/>
          </w:rPr>
          <w:fldChar w:fldCharType="separate"/>
        </w:r>
        <w:r>
          <w:rPr>
            <w:webHidden/>
          </w:rPr>
          <w:t>6</w:t>
        </w:r>
        <w:r w:rsidR="00991CC4">
          <w:rPr>
            <w:webHidden/>
          </w:rPr>
          <w:fldChar w:fldCharType="end"/>
        </w:r>
      </w:hyperlink>
    </w:p>
    <w:p w14:paraId="79424DE0" w14:textId="0F7FD1CD" w:rsidR="00991CC4" w:rsidRDefault="00597FC3">
      <w:pPr>
        <w:pStyle w:val="TOC1"/>
        <w:rPr>
          <w:rFonts w:asciiTheme="minorHAnsi" w:eastAsiaTheme="minorEastAsia" w:hAnsiTheme="minorHAnsi" w:cstheme="minorBidi"/>
          <w:b w:val="0"/>
          <w:color w:val="auto"/>
        </w:rPr>
      </w:pPr>
      <w:hyperlink w:anchor="_Toc89070025" w:history="1">
        <w:r w:rsidR="00991CC4" w:rsidRPr="00797308">
          <w:rPr>
            <w:rStyle w:val="Hyperlink"/>
          </w:rPr>
          <w:t>Chapter 3: Cyber-terror attacks that cause physical property damage</w:t>
        </w:r>
        <w:r w:rsidR="00991CC4">
          <w:rPr>
            <w:webHidden/>
          </w:rPr>
          <w:tab/>
        </w:r>
        <w:r w:rsidR="00991CC4">
          <w:rPr>
            <w:webHidden/>
          </w:rPr>
          <w:fldChar w:fldCharType="begin"/>
        </w:r>
        <w:r w:rsidR="00991CC4">
          <w:rPr>
            <w:webHidden/>
          </w:rPr>
          <w:instrText xml:space="preserve"> PAGEREF _Toc89070025 \h </w:instrText>
        </w:r>
        <w:r w:rsidR="00991CC4">
          <w:rPr>
            <w:webHidden/>
          </w:rPr>
        </w:r>
        <w:r w:rsidR="00991CC4">
          <w:rPr>
            <w:webHidden/>
          </w:rPr>
          <w:fldChar w:fldCharType="separate"/>
        </w:r>
        <w:r>
          <w:rPr>
            <w:webHidden/>
          </w:rPr>
          <w:t>7</w:t>
        </w:r>
        <w:r w:rsidR="00991CC4">
          <w:rPr>
            <w:webHidden/>
          </w:rPr>
          <w:fldChar w:fldCharType="end"/>
        </w:r>
      </w:hyperlink>
    </w:p>
    <w:p w14:paraId="7FB27DE9" w14:textId="64E5A3E9" w:rsidR="00991CC4" w:rsidRDefault="00597FC3">
      <w:pPr>
        <w:pStyle w:val="TOC2"/>
        <w:rPr>
          <w:rFonts w:asciiTheme="minorHAnsi" w:eastAsiaTheme="minorEastAsia" w:hAnsiTheme="minorHAnsi" w:cstheme="minorBidi"/>
          <w:color w:val="auto"/>
          <w:szCs w:val="22"/>
        </w:rPr>
      </w:pPr>
      <w:hyperlink w:anchor="_Toc89070026" w:history="1">
        <w:r w:rsidR="00991CC4" w:rsidRPr="00797308">
          <w:rPr>
            <w:rStyle w:val="Hyperlink"/>
          </w:rPr>
          <w:t>Cyber</w:t>
        </w:r>
        <w:r w:rsidR="00991CC4">
          <w:rPr>
            <w:webHidden/>
          </w:rPr>
          <w:tab/>
        </w:r>
        <w:r w:rsidR="00991CC4">
          <w:rPr>
            <w:webHidden/>
          </w:rPr>
          <w:fldChar w:fldCharType="begin"/>
        </w:r>
        <w:r w:rsidR="00991CC4">
          <w:rPr>
            <w:webHidden/>
          </w:rPr>
          <w:instrText xml:space="preserve"> PAGEREF _Toc89070026 \h </w:instrText>
        </w:r>
        <w:r w:rsidR="00991CC4">
          <w:rPr>
            <w:webHidden/>
          </w:rPr>
        </w:r>
        <w:r w:rsidR="00991CC4">
          <w:rPr>
            <w:webHidden/>
          </w:rPr>
          <w:fldChar w:fldCharType="separate"/>
        </w:r>
        <w:r>
          <w:rPr>
            <w:webHidden/>
          </w:rPr>
          <w:t>7</w:t>
        </w:r>
        <w:r w:rsidR="00991CC4">
          <w:rPr>
            <w:webHidden/>
          </w:rPr>
          <w:fldChar w:fldCharType="end"/>
        </w:r>
      </w:hyperlink>
    </w:p>
    <w:p w14:paraId="7D955771" w14:textId="750CA97D" w:rsidR="00991CC4" w:rsidRDefault="00597FC3">
      <w:pPr>
        <w:pStyle w:val="TOC2"/>
        <w:rPr>
          <w:rFonts w:asciiTheme="minorHAnsi" w:eastAsiaTheme="minorEastAsia" w:hAnsiTheme="minorHAnsi" w:cstheme="minorBidi"/>
          <w:color w:val="auto"/>
          <w:szCs w:val="22"/>
        </w:rPr>
      </w:pPr>
      <w:hyperlink w:anchor="_Toc89070027" w:history="1">
        <w:r w:rsidR="00991CC4" w:rsidRPr="00797308">
          <w:rPr>
            <w:rStyle w:val="Hyperlink"/>
          </w:rPr>
          <w:t>Cyber insurance market trends</w:t>
        </w:r>
        <w:r w:rsidR="00991CC4">
          <w:rPr>
            <w:webHidden/>
          </w:rPr>
          <w:tab/>
        </w:r>
        <w:r w:rsidR="00991CC4">
          <w:rPr>
            <w:webHidden/>
          </w:rPr>
          <w:fldChar w:fldCharType="begin"/>
        </w:r>
        <w:r w:rsidR="00991CC4">
          <w:rPr>
            <w:webHidden/>
          </w:rPr>
          <w:instrText xml:space="preserve"> PAGEREF _Toc89070027 \h </w:instrText>
        </w:r>
        <w:r w:rsidR="00991CC4">
          <w:rPr>
            <w:webHidden/>
          </w:rPr>
        </w:r>
        <w:r w:rsidR="00991CC4">
          <w:rPr>
            <w:webHidden/>
          </w:rPr>
          <w:fldChar w:fldCharType="separate"/>
        </w:r>
        <w:r>
          <w:rPr>
            <w:webHidden/>
          </w:rPr>
          <w:t>7</w:t>
        </w:r>
        <w:r w:rsidR="00991CC4">
          <w:rPr>
            <w:webHidden/>
          </w:rPr>
          <w:fldChar w:fldCharType="end"/>
        </w:r>
      </w:hyperlink>
    </w:p>
    <w:p w14:paraId="6548775F" w14:textId="7DD32A71" w:rsidR="00991CC4" w:rsidRDefault="00597FC3">
      <w:pPr>
        <w:pStyle w:val="TOC2"/>
        <w:rPr>
          <w:rFonts w:asciiTheme="minorHAnsi" w:eastAsiaTheme="minorEastAsia" w:hAnsiTheme="minorHAnsi" w:cstheme="minorBidi"/>
          <w:color w:val="auto"/>
          <w:szCs w:val="22"/>
        </w:rPr>
      </w:pPr>
      <w:hyperlink w:anchor="_Toc89070028" w:history="1">
        <w:r w:rsidR="00991CC4" w:rsidRPr="00797308">
          <w:rPr>
            <w:rStyle w:val="Hyperlink"/>
          </w:rPr>
          <w:t>Risk mitigation</w:t>
        </w:r>
        <w:r w:rsidR="00991CC4">
          <w:rPr>
            <w:webHidden/>
          </w:rPr>
          <w:tab/>
        </w:r>
        <w:r w:rsidR="00991CC4">
          <w:rPr>
            <w:webHidden/>
          </w:rPr>
          <w:fldChar w:fldCharType="begin"/>
        </w:r>
        <w:r w:rsidR="00991CC4">
          <w:rPr>
            <w:webHidden/>
          </w:rPr>
          <w:instrText xml:space="preserve"> PAGEREF _Toc89070028 \h </w:instrText>
        </w:r>
        <w:r w:rsidR="00991CC4">
          <w:rPr>
            <w:webHidden/>
          </w:rPr>
        </w:r>
        <w:r w:rsidR="00991CC4">
          <w:rPr>
            <w:webHidden/>
          </w:rPr>
          <w:fldChar w:fldCharType="separate"/>
        </w:r>
        <w:r>
          <w:rPr>
            <w:webHidden/>
          </w:rPr>
          <w:t>8</w:t>
        </w:r>
        <w:r w:rsidR="00991CC4">
          <w:rPr>
            <w:webHidden/>
          </w:rPr>
          <w:fldChar w:fldCharType="end"/>
        </w:r>
      </w:hyperlink>
    </w:p>
    <w:p w14:paraId="281851F4" w14:textId="69E8B9C5" w:rsidR="00991CC4" w:rsidRDefault="00597FC3">
      <w:pPr>
        <w:pStyle w:val="TOC2"/>
        <w:rPr>
          <w:rFonts w:asciiTheme="minorHAnsi" w:eastAsiaTheme="minorEastAsia" w:hAnsiTheme="minorHAnsi" w:cstheme="minorBidi"/>
          <w:color w:val="auto"/>
          <w:szCs w:val="22"/>
        </w:rPr>
      </w:pPr>
      <w:hyperlink w:anchor="_Toc89070029" w:history="1">
        <w:r w:rsidR="00991CC4" w:rsidRPr="00797308">
          <w:rPr>
            <w:rStyle w:val="Hyperlink"/>
          </w:rPr>
          <w:t>Risk of cyber terrorism causing physical property damage</w:t>
        </w:r>
        <w:r w:rsidR="00991CC4">
          <w:rPr>
            <w:webHidden/>
          </w:rPr>
          <w:tab/>
        </w:r>
        <w:r w:rsidR="00991CC4">
          <w:rPr>
            <w:webHidden/>
          </w:rPr>
          <w:fldChar w:fldCharType="begin"/>
        </w:r>
        <w:r w:rsidR="00991CC4">
          <w:rPr>
            <w:webHidden/>
          </w:rPr>
          <w:instrText xml:space="preserve"> PAGEREF _Toc89070029 \h </w:instrText>
        </w:r>
        <w:r w:rsidR="00991CC4">
          <w:rPr>
            <w:webHidden/>
          </w:rPr>
        </w:r>
        <w:r w:rsidR="00991CC4">
          <w:rPr>
            <w:webHidden/>
          </w:rPr>
          <w:fldChar w:fldCharType="separate"/>
        </w:r>
        <w:r>
          <w:rPr>
            <w:webHidden/>
          </w:rPr>
          <w:t>9</w:t>
        </w:r>
        <w:r w:rsidR="00991CC4">
          <w:rPr>
            <w:webHidden/>
          </w:rPr>
          <w:fldChar w:fldCharType="end"/>
        </w:r>
      </w:hyperlink>
    </w:p>
    <w:p w14:paraId="480CBA55" w14:textId="47BA53F9" w:rsidR="00991CC4" w:rsidRDefault="00597FC3">
      <w:pPr>
        <w:pStyle w:val="TOC3"/>
        <w:rPr>
          <w:rFonts w:asciiTheme="minorHAnsi" w:eastAsiaTheme="minorEastAsia" w:hAnsiTheme="minorHAnsi" w:cstheme="minorBidi"/>
          <w:color w:val="auto"/>
          <w:szCs w:val="22"/>
        </w:rPr>
      </w:pPr>
      <w:hyperlink w:anchor="_Toc89070030" w:history="1">
        <w:r w:rsidR="00991CC4" w:rsidRPr="00797308">
          <w:rPr>
            <w:rStyle w:val="Hyperlink"/>
          </w:rPr>
          <w:t>Defining a cyber terror incident</w:t>
        </w:r>
        <w:r w:rsidR="00991CC4">
          <w:rPr>
            <w:webHidden/>
          </w:rPr>
          <w:tab/>
        </w:r>
        <w:r w:rsidR="00991CC4">
          <w:rPr>
            <w:webHidden/>
          </w:rPr>
          <w:fldChar w:fldCharType="begin"/>
        </w:r>
        <w:r w:rsidR="00991CC4">
          <w:rPr>
            <w:webHidden/>
          </w:rPr>
          <w:instrText xml:space="preserve"> PAGEREF _Toc89070030 \h </w:instrText>
        </w:r>
        <w:r w:rsidR="00991CC4">
          <w:rPr>
            <w:webHidden/>
          </w:rPr>
        </w:r>
        <w:r w:rsidR="00991CC4">
          <w:rPr>
            <w:webHidden/>
          </w:rPr>
          <w:fldChar w:fldCharType="separate"/>
        </w:r>
        <w:r>
          <w:rPr>
            <w:webHidden/>
          </w:rPr>
          <w:t>10</w:t>
        </w:r>
        <w:r w:rsidR="00991CC4">
          <w:rPr>
            <w:webHidden/>
          </w:rPr>
          <w:fldChar w:fldCharType="end"/>
        </w:r>
      </w:hyperlink>
    </w:p>
    <w:p w14:paraId="2B552DAA" w14:textId="3B92C89E" w:rsidR="00991CC4" w:rsidRDefault="00597FC3">
      <w:pPr>
        <w:pStyle w:val="TOC3"/>
        <w:rPr>
          <w:rFonts w:asciiTheme="minorHAnsi" w:eastAsiaTheme="minorEastAsia" w:hAnsiTheme="minorHAnsi" w:cstheme="minorBidi"/>
          <w:color w:val="auto"/>
          <w:szCs w:val="22"/>
        </w:rPr>
      </w:pPr>
      <w:hyperlink w:anchor="_Toc89070031" w:history="1">
        <w:r w:rsidR="00991CC4" w:rsidRPr="00797308">
          <w:rPr>
            <w:rStyle w:val="Hyperlink"/>
          </w:rPr>
          <w:t>Operations and pricing</w:t>
        </w:r>
        <w:r w:rsidR="00991CC4">
          <w:rPr>
            <w:webHidden/>
          </w:rPr>
          <w:tab/>
        </w:r>
        <w:r w:rsidR="00991CC4">
          <w:rPr>
            <w:webHidden/>
          </w:rPr>
          <w:fldChar w:fldCharType="begin"/>
        </w:r>
        <w:r w:rsidR="00991CC4">
          <w:rPr>
            <w:webHidden/>
          </w:rPr>
          <w:instrText xml:space="preserve"> PAGEREF _Toc89070031 \h </w:instrText>
        </w:r>
        <w:r w:rsidR="00991CC4">
          <w:rPr>
            <w:webHidden/>
          </w:rPr>
        </w:r>
        <w:r w:rsidR="00991CC4">
          <w:rPr>
            <w:webHidden/>
          </w:rPr>
          <w:fldChar w:fldCharType="separate"/>
        </w:r>
        <w:r>
          <w:rPr>
            <w:webHidden/>
          </w:rPr>
          <w:t>10</w:t>
        </w:r>
        <w:r w:rsidR="00991CC4">
          <w:rPr>
            <w:webHidden/>
          </w:rPr>
          <w:fldChar w:fldCharType="end"/>
        </w:r>
      </w:hyperlink>
    </w:p>
    <w:p w14:paraId="7DC5A3FA" w14:textId="40BED826" w:rsidR="00991CC4" w:rsidRDefault="00597FC3">
      <w:pPr>
        <w:pStyle w:val="TOC3"/>
        <w:rPr>
          <w:rFonts w:asciiTheme="minorHAnsi" w:eastAsiaTheme="minorEastAsia" w:hAnsiTheme="minorHAnsi" w:cstheme="minorBidi"/>
          <w:color w:val="auto"/>
          <w:szCs w:val="22"/>
        </w:rPr>
      </w:pPr>
      <w:hyperlink w:anchor="_Toc89070032" w:history="1">
        <w:r w:rsidR="00991CC4" w:rsidRPr="00797308">
          <w:rPr>
            <w:rStyle w:val="Hyperlink"/>
          </w:rPr>
          <w:t>Impact on broader insurance markets</w:t>
        </w:r>
        <w:r w:rsidR="00991CC4">
          <w:rPr>
            <w:webHidden/>
          </w:rPr>
          <w:tab/>
        </w:r>
        <w:r w:rsidR="00991CC4">
          <w:rPr>
            <w:webHidden/>
          </w:rPr>
          <w:fldChar w:fldCharType="begin"/>
        </w:r>
        <w:r w:rsidR="00991CC4">
          <w:rPr>
            <w:webHidden/>
          </w:rPr>
          <w:instrText xml:space="preserve"> PAGEREF _Toc89070032 \h </w:instrText>
        </w:r>
        <w:r w:rsidR="00991CC4">
          <w:rPr>
            <w:webHidden/>
          </w:rPr>
        </w:r>
        <w:r w:rsidR="00991CC4">
          <w:rPr>
            <w:webHidden/>
          </w:rPr>
          <w:fldChar w:fldCharType="separate"/>
        </w:r>
        <w:r>
          <w:rPr>
            <w:webHidden/>
          </w:rPr>
          <w:t>10</w:t>
        </w:r>
        <w:r w:rsidR="00991CC4">
          <w:rPr>
            <w:webHidden/>
          </w:rPr>
          <w:fldChar w:fldCharType="end"/>
        </w:r>
      </w:hyperlink>
    </w:p>
    <w:p w14:paraId="2230AA21" w14:textId="159439F4" w:rsidR="00991CC4" w:rsidRDefault="00597FC3">
      <w:pPr>
        <w:pStyle w:val="TOC2"/>
        <w:rPr>
          <w:rFonts w:asciiTheme="minorHAnsi" w:eastAsiaTheme="minorEastAsia" w:hAnsiTheme="minorHAnsi" w:cstheme="minorBidi"/>
          <w:color w:val="auto"/>
          <w:szCs w:val="22"/>
        </w:rPr>
      </w:pPr>
      <w:hyperlink w:anchor="_Toc89070033" w:history="1">
        <w:r w:rsidR="00991CC4" w:rsidRPr="00797308">
          <w:rPr>
            <w:rStyle w:val="Hyperlink"/>
          </w:rPr>
          <w:t>Conclusion</w:t>
        </w:r>
        <w:r w:rsidR="00991CC4">
          <w:rPr>
            <w:webHidden/>
          </w:rPr>
          <w:tab/>
        </w:r>
        <w:r w:rsidR="00991CC4">
          <w:rPr>
            <w:webHidden/>
          </w:rPr>
          <w:fldChar w:fldCharType="begin"/>
        </w:r>
        <w:r w:rsidR="00991CC4">
          <w:rPr>
            <w:webHidden/>
          </w:rPr>
          <w:instrText xml:space="preserve"> PAGEREF _Toc89070033 \h </w:instrText>
        </w:r>
        <w:r w:rsidR="00991CC4">
          <w:rPr>
            <w:webHidden/>
          </w:rPr>
        </w:r>
        <w:r w:rsidR="00991CC4">
          <w:rPr>
            <w:webHidden/>
          </w:rPr>
          <w:fldChar w:fldCharType="separate"/>
        </w:r>
        <w:r>
          <w:rPr>
            <w:webHidden/>
          </w:rPr>
          <w:t>11</w:t>
        </w:r>
        <w:r w:rsidR="00991CC4">
          <w:rPr>
            <w:webHidden/>
          </w:rPr>
          <w:fldChar w:fldCharType="end"/>
        </w:r>
      </w:hyperlink>
    </w:p>
    <w:p w14:paraId="3FFB74A7" w14:textId="31541348" w:rsidR="00991CC4" w:rsidRDefault="00597FC3">
      <w:pPr>
        <w:pStyle w:val="TOC1"/>
        <w:rPr>
          <w:rFonts w:asciiTheme="minorHAnsi" w:eastAsiaTheme="minorEastAsia" w:hAnsiTheme="minorHAnsi" w:cstheme="minorBidi"/>
          <w:b w:val="0"/>
          <w:color w:val="auto"/>
        </w:rPr>
      </w:pPr>
      <w:hyperlink w:anchor="_Toc89070034" w:history="1">
        <w:r w:rsidR="00991CC4" w:rsidRPr="00797308">
          <w:rPr>
            <w:rStyle w:val="Hyperlink"/>
          </w:rPr>
          <w:t>Chapter 4: Interactions between the terrorism pool and the proposed Cyclone reinsurance pool</w:t>
        </w:r>
        <w:r w:rsidR="00991CC4">
          <w:rPr>
            <w:webHidden/>
          </w:rPr>
          <w:tab/>
        </w:r>
        <w:r w:rsidR="00991CC4">
          <w:rPr>
            <w:webHidden/>
          </w:rPr>
          <w:fldChar w:fldCharType="begin"/>
        </w:r>
        <w:r w:rsidR="00991CC4">
          <w:rPr>
            <w:webHidden/>
          </w:rPr>
          <w:instrText xml:space="preserve"> PAGEREF _Toc89070034 \h </w:instrText>
        </w:r>
        <w:r w:rsidR="00991CC4">
          <w:rPr>
            <w:webHidden/>
          </w:rPr>
        </w:r>
        <w:r w:rsidR="00991CC4">
          <w:rPr>
            <w:webHidden/>
          </w:rPr>
          <w:fldChar w:fldCharType="separate"/>
        </w:r>
        <w:r>
          <w:rPr>
            <w:webHidden/>
          </w:rPr>
          <w:t>12</w:t>
        </w:r>
        <w:r w:rsidR="00991CC4">
          <w:rPr>
            <w:webHidden/>
          </w:rPr>
          <w:fldChar w:fldCharType="end"/>
        </w:r>
      </w:hyperlink>
    </w:p>
    <w:p w14:paraId="2CB6FB24" w14:textId="6B6D53B1" w:rsidR="00991CC4" w:rsidRDefault="00597FC3">
      <w:pPr>
        <w:pStyle w:val="TOC2"/>
        <w:rPr>
          <w:rFonts w:asciiTheme="minorHAnsi" w:eastAsiaTheme="minorEastAsia" w:hAnsiTheme="minorHAnsi" w:cstheme="minorBidi"/>
          <w:color w:val="auto"/>
          <w:szCs w:val="22"/>
        </w:rPr>
      </w:pPr>
      <w:hyperlink w:anchor="_Toc89070035" w:history="1">
        <w:r w:rsidR="00991CC4" w:rsidRPr="00797308">
          <w:rPr>
            <w:rStyle w:val="Hyperlink"/>
            <w:rFonts w:cs="Arial"/>
            <w:iCs/>
            <w:kern w:val="32"/>
          </w:rPr>
          <w:t>ARPC Board background</w:t>
        </w:r>
        <w:r w:rsidR="00991CC4">
          <w:rPr>
            <w:webHidden/>
          </w:rPr>
          <w:tab/>
        </w:r>
        <w:r w:rsidR="00991CC4">
          <w:rPr>
            <w:webHidden/>
          </w:rPr>
          <w:fldChar w:fldCharType="begin"/>
        </w:r>
        <w:r w:rsidR="00991CC4">
          <w:rPr>
            <w:webHidden/>
          </w:rPr>
          <w:instrText xml:space="preserve"> PAGEREF _Toc89070035 \h </w:instrText>
        </w:r>
        <w:r w:rsidR="00991CC4">
          <w:rPr>
            <w:webHidden/>
          </w:rPr>
        </w:r>
        <w:r w:rsidR="00991CC4">
          <w:rPr>
            <w:webHidden/>
          </w:rPr>
          <w:fldChar w:fldCharType="separate"/>
        </w:r>
        <w:r>
          <w:rPr>
            <w:webHidden/>
          </w:rPr>
          <w:t>12</w:t>
        </w:r>
        <w:r w:rsidR="00991CC4">
          <w:rPr>
            <w:webHidden/>
          </w:rPr>
          <w:fldChar w:fldCharType="end"/>
        </w:r>
      </w:hyperlink>
    </w:p>
    <w:p w14:paraId="02CD7111" w14:textId="4ED3F54F" w:rsidR="00991CC4" w:rsidRDefault="00597FC3">
      <w:pPr>
        <w:pStyle w:val="TOC2"/>
        <w:rPr>
          <w:rFonts w:asciiTheme="minorHAnsi" w:eastAsiaTheme="minorEastAsia" w:hAnsiTheme="minorHAnsi" w:cstheme="minorBidi"/>
          <w:color w:val="auto"/>
          <w:szCs w:val="22"/>
        </w:rPr>
      </w:pPr>
      <w:hyperlink w:anchor="_Toc89070036" w:history="1">
        <w:r w:rsidR="00991CC4" w:rsidRPr="00797308">
          <w:rPr>
            <w:rStyle w:val="Hyperlink"/>
            <w:rFonts w:cs="Arial"/>
            <w:iCs/>
            <w:kern w:val="32"/>
          </w:rPr>
          <w:t>ARPC administration and resourcing</w:t>
        </w:r>
        <w:r w:rsidR="00991CC4">
          <w:rPr>
            <w:webHidden/>
          </w:rPr>
          <w:tab/>
        </w:r>
        <w:r w:rsidR="00991CC4">
          <w:rPr>
            <w:webHidden/>
          </w:rPr>
          <w:fldChar w:fldCharType="begin"/>
        </w:r>
        <w:r w:rsidR="00991CC4">
          <w:rPr>
            <w:webHidden/>
          </w:rPr>
          <w:instrText xml:space="preserve"> PAGEREF _Toc89070036 \h </w:instrText>
        </w:r>
        <w:r w:rsidR="00991CC4">
          <w:rPr>
            <w:webHidden/>
          </w:rPr>
        </w:r>
        <w:r w:rsidR="00991CC4">
          <w:rPr>
            <w:webHidden/>
          </w:rPr>
          <w:fldChar w:fldCharType="separate"/>
        </w:r>
        <w:r>
          <w:rPr>
            <w:webHidden/>
          </w:rPr>
          <w:t>13</w:t>
        </w:r>
        <w:r w:rsidR="00991CC4">
          <w:rPr>
            <w:webHidden/>
          </w:rPr>
          <w:fldChar w:fldCharType="end"/>
        </w:r>
      </w:hyperlink>
    </w:p>
    <w:p w14:paraId="1E775C9D" w14:textId="49746212" w:rsidR="00991CC4" w:rsidRDefault="00597FC3">
      <w:pPr>
        <w:pStyle w:val="TOC2"/>
        <w:rPr>
          <w:rFonts w:asciiTheme="minorHAnsi" w:eastAsiaTheme="minorEastAsia" w:hAnsiTheme="minorHAnsi" w:cstheme="minorBidi"/>
          <w:color w:val="auto"/>
          <w:szCs w:val="22"/>
        </w:rPr>
      </w:pPr>
      <w:hyperlink w:anchor="_Toc89070037" w:history="1">
        <w:r w:rsidR="00991CC4" w:rsidRPr="00797308">
          <w:rPr>
            <w:rStyle w:val="Hyperlink"/>
            <w:rFonts w:cs="Arial"/>
            <w:iCs/>
            <w:kern w:val="32"/>
          </w:rPr>
          <w:t>Board skills assessment</w:t>
        </w:r>
        <w:r w:rsidR="00991CC4">
          <w:rPr>
            <w:webHidden/>
          </w:rPr>
          <w:tab/>
        </w:r>
        <w:r w:rsidR="00991CC4">
          <w:rPr>
            <w:webHidden/>
          </w:rPr>
          <w:fldChar w:fldCharType="begin"/>
        </w:r>
        <w:r w:rsidR="00991CC4">
          <w:rPr>
            <w:webHidden/>
          </w:rPr>
          <w:instrText xml:space="preserve"> PAGEREF _Toc89070037 \h </w:instrText>
        </w:r>
        <w:r w:rsidR="00991CC4">
          <w:rPr>
            <w:webHidden/>
          </w:rPr>
        </w:r>
        <w:r w:rsidR="00991CC4">
          <w:rPr>
            <w:webHidden/>
          </w:rPr>
          <w:fldChar w:fldCharType="separate"/>
        </w:r>
        <w:r>
          <w:rPr>
            <w:webHidden/>
          </w:rPr>
          <w:t>13</w:t>
        </w:r>
        <w:r w:rsidR="00991CC4">
          <w:rPr>
            <w:webHidden/>
          </w:rPr>
          <w:fldChar w:fldCharType="end"/>
        </w:r>
      </w:hyperlink>
    </w:p>
    <w:p w14:paraId="6428B8CB" w14:textId="75AE841F" w:rsidR="00991CC4" w:rsidRDefault="00597FC3">
      <w:pPr>
        <w:pStyle w:val="TOC3"/>
        <w:rPr>
          <w:rFonts w:asciiTheme="minorHAnsi" w:eastAsiaTheme="minorEastAsia" w:hAnsiTheme="minorHAnsi" w:cstheme="minorBidi"/>
          <w:color w:val="auto"/>
          <w:szCs w:val="22"/>
        </w:rPr>
      </w:pPr>
      <w:hyperlink w:anchor="_Toc89070038" w:history="1">
        <w:r w:rsidR="00991CC4" w:rsidRPr="00797308">
          <w:rPr>
            <w:rStyle w:val="Hyperlink"/>
            <w:rFonts w:cs="Arial"/>
            <w:kern w:val="32"/>
          </w:rPr>
          <w:t>New skill requirements</w:t>
        </w:r>
        <w:r w:rsidR="00991CC4">
          <w:rPr>
            <w:webHidden/>
          </w:rPr>
          <w:tab/>
        </w:r>
        <w:r w:rsidR="00991CC4">
          <w:rPr>
            <w:webHidden/>
          </w:rPr>
          <w:fldChar w:fldCharType="begin"/>
        </w:r>
        <w:r w:rsidR="00991CC4">
          <w:rPr>
            <w:webHidden/>
          </w:rPr>
          <w:instrText xml:space="preserve"> PAGEREF _Toc89070038 \h </w:instrText>
        </w:r>
        <w:r w:rsidR="00991CC4">
          <w:rPr>
            <w:webHidden/>
          </w:rPr>
        </w:r>
        <w:r w:rsidR="00991CC4">
          <w:rPr>
            <w:webHidden/>
          </w:rPr>
          <w:fldChar w:fldCharType="separate"/>
        </w:r>
        <w:r>
          <w:rPr>
            <w:webHidden/>
          </w:rPr>
          <w:t>13</w:t>
        </w:r>
        <w:r w:rsidR="00991CC4">
          <w:rPr>
            <w:webHidden/>
          </w:rPr>
          <w:fldChar w:fldCharType="end"/>
        </w:r>
      </w:hyperlink>
    </w:p>
    <w:p w14:paraId="094638B6" w14:textId="48935B26" w:rsidR="00991CC4" w:rsidRDefault="00597FC3">
      <w:pPr>
        <w:pStyle w:val="TOC3"/>
        <w:rPr>
          <w:rFonts w:asciiTheme="minorHAnsi" w:eastAsiaTheme="minorEastAsia" w:hAnsiTheme="minorHAnsi" w:cstheme="minorBidi"/>
          <w:color w:val="auto"/>
          <w:szCs w:val="22"/>
        </w:rPr>
      </w:pPr>
      <w:hyperlink w:anchor="_Toc89070039" w:history="1">
        <w:r w:rsidR="00991CC4" w:rsidRPr="00797308">
          <w:rPr>
            <w:rStyle w:val="Hyperlink"/>
            <w:rFonts w:cs="Arial"/>
            <w:kern w:val="32"/>
          </w:rPr>
          <w:t>Increased demands on the Board</w:t>
        </w:r>
        <w:r w:rsidR="00991CC4">
          <w:rPr>
            <w:webHidden/>
          </w:rPr>
          <w:tab/>
        </w:r>
        <w:r w:rsidR="00991CC4">
          <w:rPr>
            <w:webHidden/>
          </w:rPr>
          <w:fldChar w:fldCharType="begin"/>
        </w:r>
        <w:r w:rsidR="00991CC4">
          <w:rPr>
            <w:webHidden/>
          </w:rPr>
          <w:instrText xml:space="preserve"> PAGEREF _Toc89070039 \h </w:instrText>
        </w:r>
        <w:r w:rsidR="00991CC4">
          <w:rPr>
            <w:webHidden/>
          </w:rPr>
        </w:r>
        <w:r w:rsidR="00991CC4">
          <w:rPr>
            <w:webHidden/>
          </w:rPr>
          <w:fldChar w:fldCharType="separate"/>
        </w:r>
        <w:r>
          <w:rPr>
            <w:webHidden/>
          </w:rPr>
          <w:t>14</w:t>
        </w:r>
        <w:r w:rsidR="00991CC4">
          <w:rPr>
            <w:webHidden/>
          </w:rPr>
          <w:fldChar w:fldCharType="end"/>
        </w:r>
      </w:hyperlink>
    </w:p>
    <w:p w14:paraId="65FA6659" w14:textId="5A183820" w:rsidR="00991CC4" w:rsidRDefault="00597FC3">
      <w:pPr>
        <w:pStyle w:val="TOC2"/>
        <w:rPr>
          <w:rFonts w:asciiTheme="minorHAnsi" w:eastAsiaTheme="minorEastAsia" w:hAnsiTheme="minorHAnsi" w:cstheme="minorBidi"/>
          <w:color w:val="auto"/>
          <w:szCs w:val="22"/>
        </w:rPr>
      </w:pPr>
      <w:hyperlink w:anchor="_Toc89070040" w:history="1">
        <w:r w:rsidR="00991CC4" w:rsidRPr="00797308">
          <w:rPr>
            <w:rStyle w:val="Hyperlink"/>
            <w:rFonts w:cs="Arial"/>
            <w:iCs/>
            <w:kern w:val="32"/>
          </w:rPr>
          <w:t>Implementation of Cyclone Pool</w:t>
        </w:r>
        <w:r w:rsidR="00991CC4">
          <w:rPr>
            <w:webHidden/>
          </w:rPr>
          <w:tab/>
        </w:r>
        <w:r w:rsidR="00991CC4">
          <w:rPr>
            <w:webHidden/>
          </w:rPr>
          <w:fldChar w:fldCharType="begin"/>
        </w:r>
        <w:r w:rsidR="00991CC4">
          <w:rPr>
            <w:webHidden/>
          </w:rPr>
          <w:instrText xml:space="preserve"> PAGEREF _Toc89070040 \h </w:instrText>
        </w:r>
        <w:r w:rsidR="00991CC4">
          <w:rPr>
            <w:webHidden/>
          </w:rPr>
        </w:r>
        <w:r w:rsidR="00991CC4">
          <w:rPr>
            <w:webHidden/>
          </w:rPr>
          <w:fldChar w:fldCharType="separate"/>
        </w:r>
        <w:r>
          <w:rPr>
            <w:webHidden/>
          </w:rPr>
          <w:t>15</w:t>
        </w:r>
        <w:r w:rsidR="00991CC4">
          <w:rPr>
            <w:webHidden/>
          </w:rPr>
          <w:fldChar w:fldCharType="end"/>
        </w:r>
      </w:hyperlink>
    </w:p>
    <w:p w14:paraId="52354211" w14:textId="756FEF41" w:rsidR="00991CC4" w:rsidRDefault="00597FC3">
      <w:pPr>
        <w:pStyle w:val="TOC2"/>
        <w:rPr>
          <w:rFonts w:asciiTheme="minorHAnsi" w:eastAsiaTheme="minorEastAsia" w:hAnsiTheme="minorHAnsi" w:cstheme="minorBidi"/>
          <w:color w:val="auto"/>
          <w:szCs w:val="22"/>
        </w:rPr>
      </w:pPr>
      <w:hyperlink w:anchor="_Toc89070041" w:history="1">
        <w:r w:rsidR="00991CC4" w:rsidRPr="00797308">
          <w:rPr>
            <w:rStyle w:val="Hyperlink"/>
            <w:rFonts w:cs="Arial"/>
            <w:iCs/>
            <w:kern w:val="32"/>
          </w:rPr>
          <w:t>Interval between reviews</w:t>
        </w:r>
        <w:r w:rsidR="00991CC4">
          <w:rPr>
            <w:webHidden/>
          </w:rPr>
          <w:tab/>
        </w:r>
        <w:r w:rsidR="00991CC4">
          <w:rPr>
            <w:webHidden/>
          </w:rPr>
          <w:fldChar w:fldCharType="begin"/>
        </w:r>
        <w:r w:rsidR="00991CC4">
          <w:rPr>
            <w:webHidden/>
          </w:rPr>
          <w:instrText xml:space="preserve"> PAGEREF _Toc89070041 \h </w:instrText>
        </w:r>
        <w:r w:rsidR="00991CC4">
          <w:rPr>
            <w:webHidden/>
          </w:rPr>
        </w:r>
        <w:r w:rsidR="00991CC4">
          <w:rPr>
            <w:webHidden/>
          </w:rPr>
          <w:fldChar w:fldCharType="separate"/>
        </w:r>
        <w:r>
          <w:rPr>
            <w:webHidden/>
          </w:rPr>
          <w:t>15</w:t>
        </w:r>
        <w:r w:rsidR="00991CC4">
          <w:rPr>
            <w:webHidden/>
          </w:rPr>
          <w:fldChar w:fldCharType="end"/>
        </w:r>
      </w:hyperlink>
    </w:p>
    <w:p w14:paraId="603468EE" w14:textId="78AD97E1" w:rsidR="00991CC4" w:rsidRDefault="00597FC3">
      <w:pPr>
        <w:pStyle w:val="TOC2"/>
        <w:rPr>
          <w:rFonts w:asciiTheme="minorHAnsi" w:eastAsiaTheme="minorEastAsia" w:hAnsiTheme="minorHAnsi" w:cstheme="minorBidi"/>
          <w:color w:val="auto"/>
          <w:szCs w:val="22"/>
        </w:rPr>
      </w:pPr>
      <w:hyperlink w:anchor="_Toc89070042" w:history="1">
        <w:r w:rsidR="00991CC4" w:rsidRPr="00797308">
          <w:rPr>
            <w:rStyle w:val="Hyperlink"/>
            <w:rFonts w:cs="Arial"/>
            <w:iCs/>
            <w:kern w:val="32"/>
          </w:rPr>
          <w:t>Conclusion</w:t>
        </w:r>
        <w:r w:rsidR="00991CC4">
          <w:rPr>
            <w:webHidden/>
          </w:rPr>
          <w:tab/>
        </w:r>
        <w:r w:rsidR="00991CC4">
          <w:rPr>
            <w:webHidden/>
          </w:rPr>
          <w:fldChar w:fldCharType="begin"/>
        </w:r>
        <w:r w:rsidR="00991CC4">
          <w:rPr>
            <w:webHidden/>
          </w:rPr>
          <w:instrText xml:space="preserve"> PAGEREF _Toc89070042 \h </w:instrText>
        </w:r>
        <w:r w:rsidR="00991CC4">
          <w:rPr>
            <w:webHidden/>
          </w:rPr>
        </w:r>
        <w:r w:rsidR="00991CC4">
          <w:rPr>
            <w:webHidden/>
          </w:rPr>
          <w:fldChar w:fldCharType="separate"/>
        </w:r>
        <w:r>
          <w:rPr>
            <w:webHidden/>
          </w:rPr>
          <w:t>16</w:t>
        </w:r>
        <w:r w:rsidR="00991CC4">
          <w:rPr>
            <w:webHidden/>
          </w:rPr>
          <w:fldChar w:fldCharType="end"/>
        </w:r>
      </w:hyperlink>
    </w:p>
    <w:p w14:paraId="55AA5BBC" w14:textId="7D8708F2" w:rsidR="00991CC4" w:rsidRDefault="00597FC3">
      <w:pPr>
        <w:pStyle w:val="TOC1"/>
        <w:rPr>
          <w:rFonts w:asciiTheme="minorHAnsi" w:eastAsiaTheme="minorEastAsia" w:hAnsiTheme="minorHAnsi" w:cstheme="minorBidi"/>
          <w:b w:val="0"/>
          <w:color w:val="auto"/>
        </w:rPr>
      </w:pPr>
      <w:hyperlink w:anchor="_Toc89070043" w:history="1">
        <w:r w:rsidR="00991CC4" w:rsidRPr="00797308">
          <w:rPr>
            <w:rStyle w:val="Hyperlink"/>
          </w:rPr>
          <w:t>Appendix A: Terms of Reference</w:t>
        </w:r>
        <w:r w:rsidR="00991CC4">
          <w:rPr>
            <w:webHidden/>
          </w:rPr>
          <w:tab/>
        </w:r>
        <w:r w:rsidR="00991CC4">
          <w:rPr>
            <w:webHidden/>
          </w:rPr>
          <w:fldChar w:fldCharType="begin"/>
        </w:r>
        <w:r w:rsidR="00991CC4">
          <w:rPr>
            <w:webHidden/>
          </w:rPr>
          <w:instrText xml:space="preserve"> PAGEREF _Toc89070043 \h </w:instrText>
        </w:r>
        <w:r w:rsidR="00991CC4">
          <w:rPr>
            <w:webHidden/>
          </w:rPr>
        </w:r>
        <w:r w:rsidR="00991CC4">
          <w:rPr>
            <w:webHidden/>
          </w:rPr>
          <w:fldChar w:fldCharType="separate"/>
        </w:r>
        <w:r>
          <w:rPr>
            <w:webHidden/>
          </w:rPr>
          <w:t>17</w:t>
        </w:r>
        <w:r w:rsidR="00991CC4">
          <w:rPr>
            <w:webHidden/>
          </w:rPr>
          <w:fldChar w:fldCharType="end"/>
        </w:r>
      </w:hyperlink>
    </w:p>
    <w:p w14:paraId="7D175BB9" w14:textId="75AC25CF" w:rsidR="00976FBD" w:rsidRDefault="000E0B74" w:rsidP="0056582C">
      <w:pPr>
        <w:pStyle w:val="SingleParagraph"/>
        <w:ind w:right="-2"/>
      </w:pPr>
      <w:r>
        <w:fldChar w:fldCharType="end"/>
      </w:r>
      <w:bookmarkStart w:id="2" w:name="_Toc432067103"/>
      <w:bookmarkStart w:id="3" w:name="_Toc452635030"/>
    </w:p>
    <w:p w14:paraId="0426B036" w14:textId="77777777" w:rsidR="00976FBD" w:rsidRDefault="00976FBD">
      <w:pPr>
        <w:spacing w:before="0" w:after="160" w:line="259" w:lineRule="auto"/>
      </w:pPr>
    </w:p>
    <w:p w14:paraId="5B42BF96" w14:textId="77777777" w:rsidR="00F836F9" w:rsidRDefault="00F836F9" w:rsidP="0056582C">
      <w:pPr>
        <w:pStyle w:val="SingleParagraph"/>
        <w:ind w:right="-2"/>
        <w:sectPr w:rsidR="00F836F9" w:rsidSect="003602E9">
          <w:headerReference w:type="even" r:id="rId19"/>
          <w:headerReference w:type="default" r:id="rId20"/>
          <w:footerReference w:type="even" r:id="rId21"/>
          <w:headerReference w:type="first" r:id="rId22"/>
          <w:footerReference w:type="first" r:id="rId23"/>
          <w:pgSz w:w="11906" w:h="16838" w:code="9"/>
          <w:pgMar w:top="1418" w:right="1418" w:bottom="1418" w:left="1418" w:header="709" w:footer="709" w:gutter="0"/>
          <w:pgNumType w:fmt="lowerRoman" w:start="2"/>
          <w:cols w:space="708"/>
          <w:docGrid w:linePitch="360"/>
        </w:sectPr>
      </w:pPr>
    </w:p>
    <w:p w14:paraId="6DA260BE" w14:textId="412DB9FA" w:rsidR="003526C8" w:rsidRPr="006B62FF" w:rsidRDefault="003526C8" w:rsidP="003526C8">
      <w:pPr>
        <w:pStyle w:val="Heading1"/>
      </w:pPr>
      <w:bookmarkStart w:id="6" w:name="_Toc81844173"/>
      <w:bookmarkStart w:id="7" w:name="_Toc89070011"/>
      <w:bookmarkStart w:id="8" w:name="_Hlk81844854"/>
      <w:bookmarkStart w:id="9" w:name="_Hlk81264534"/>
      <w:bookmarkEnd w:id="2"/>
      <w:bookmarkEnd w:id="3"/>
      <w:r>
        <w:lastRenderedPageBreak/>
        <w:t>Executive Summary</w:t>
      </w:r>
      <w:bookmarkEnd w:id="6"/>
      <w:bookmarkEnd w:id="7"/>
    </w:p>
    <w:p w14:paraId="755E33EE" w14:textId="3AC2AC33" w:rsidR="007271A4" w:rsidRDefault="007271A4" w:rsidP="007271A4">
      <w:bookmarkStart w:id="10" w:name="_Hlk81844870"/>
      <w:bookmarkEnd w:id="8"/>
      <w:r>
        <w:t xml:space="preserve">The Australian Government established </w:t>
      </w:r>
      <w:r w:rsidR="008D6316">
        <w:t>the</w:t>
      </w:r>
      <w:r>
        <w:t xml:space="preserve"> </w:t>
      </w:r>
      <w:r w:rsidR="009F2A80">
        <w:t>T</w:t>
      </w:r>
      <w:r>
        <w:t xml:space="preserve">errorism </w:t>
      </w:r>
      <w:r w:rsidR="009F2A80">
        <w:t>I</w:t>
      </w:r>
      <w:r>
        <w:t xml:space="preserve">nsurance </w:t>
      </w:r>
      <w:r w:rsidR="009F2A80">
        <w:t>S</w:t>
      </w:r>
      <w:r>
        <w:t xml:space="preserve">cheme (the scheme) on 1 July 2003 under The </w:t>
      </w:r>
      <w:r w:rsidRPr="00D8708F">
        <w:rPr>
          <w:i/>
          <w:iCs/>
        </w:rPr>
        <w:t>Terrorism Insurance Act 2003</w:t>
      </w:r>
      <w:r>
        <w:t xml:space="preserve">. </w:t>
      </w:r>
    </w:p>
    <w:p w14:paraId="39FB2A05" w14:textId="3C4E53BB" w:rsidR="007271A4" w:rsidRDefault="007271A4" w:rsidP="007271A4">
      <w:r>
        <w:t xml:space="preserve">The scheme was </w:t>
      </w:r>
      <w:r w:rsidR="00C67132" w:rsidRPr="00A82BF2">
        <w:t>introduced to alleviate the market failure</w:t>
      </w:r>
      <w:r w:rsidR="00E66267" w:rsidRPr="00A82BF2">
        <w:t>, which occurred</w:t>
      </w:r>
      <w:r>
        <w:t xml:space="preserve"> following the </w:t>
      </w:r>
      <w:r w:rsidRPr="00A82BF2">
        <w:t>terroris</w:t>
      </w:r>
      <w:r w:rsidR="00E66267" w:rsidRPr="00A82BF2">
        <w:t>t attacks</w:t>
      </w:r>
      <w:r>
        <w:t xml:space="preserve"> in the United States on September 11, 2001</w:t>
      </w:r>
      <w:r w:rsidR="00E66267" w:rsidRPr="00A82BF2">
        <w:t xml:space="preserve"> that resulted in</w:t>
      </w:r>
      <w:r w:rsidRPr="00A82BF2">
        <w:t xml:space="preserve"> global reinsurers refusing to underwrite commercial property </w:t>
      </w:r>
      <w:r w:rsidR="00E66267" w:rsidRPr="00A82BF2">
        <w:t xml:space="preserve">damage </w:t>
      </w:r>
      <w:r w:rsidR="008D6316">
        <w:t>caused by</w:t>
      </w:r>
      <w:r w:rsidR="00E66267" w:rsidRPr="00A82BF2">
        <w:t xml:space="preserve"> acts of terror</w:t>
      </w:r>
      <w:r w:rsidRPr="00A82BF2">
        <w:t>.</w:t>
      </w:r>
      <w:r>
        <w:t xml:space="preserve"> </w:t>
      </w:r>
    </w:p>
    <w:p w14:paraId="3F83BC60" w14:textId="7344F71D" w:rsidR="007271A4" w:rsidRDefault="007271A4" w:rsidP="007271A4">
      <w:r>
        <w:t xml:space="preserve">The scheme is administered by the Australian Reinsurance Pool Corporation (ARPC), a public financial corporation operating with Government capital and backed by a $10 billion Commonwealth guarantee. The Minister responsible for the Act is required to prepare a report every three years reviewing whether the scheme should continue. </w:t>
      </w:r>
      <w:r w:rsidR="008542F1">
        <w:t xml:space="preserve">All </w:t>
      </w:r>
      <w:r w:rsidR="00707617">
        <w:t>p</w:t>
      </w:r>
      <w:r>
        <w:t>revious review</w:t>
      </w:r>
      <w:r w:rsidR="008542F1">
        <w:t>s</w:t>
      </w:r>
      <w:r>
        <w:t xml:space="preserve"> recommended the Act remain in force. </w:t>
      </w:r>
    </w:p>
    <w:p w14:paraId="3BDE7921" w14:textId="0D110CE3" w:rsidR="007271A4" w:rsidRDefault="004B4A63" w:rsidP="007271A4">
      <w:r>
        <w:t>The 2021 Triennial</w:t>
      </w:r>
      <w:r w:rsidR="007271A4" w:rsidRPr="00E66267">
        <w:t xml:space="preserve"> </w:t>
      </w:r>
      <w:r w:rsidR="008D6316">
        <w:t>R</w:t>
      </w:r>
      <w:r w:rsidR="007271A4" w:rsidRPr="00E66267">
        <w:t>eview</w:t>
      </w:r>
      <w:r>
        <w:t xml:space="preserve"> (the Review)</w:t>
      </w:r>
      <w:r w:rsidR="007271A4" w:rsidRPr="00E66267">
        <w:t xml:space="preserve"> recommends that the scheme remain in place.</w:t>
      </w:r>
      <w:r w:rsidR="007271A4">
        <w:t xml:space="preserve"> </w:t>
      </w:r>
    </w:p>
    <w:p w14:paraId="60D9C10D" w14:textId="629094CB" w:rsidR="007271A4" w:rsidRDefault="007271A4" w:rsidP="007271A4">
      <w:r>
        <w:t xml:space="preserve">In the absence of the Act there would likely be a market failure in the terrorism insurance market with wider economic implications. The estimated global commercial market capacity available for Australian terrorism reinsurance is considered short of the level required to cover against large, but possible, terrorism incidents. </w:t>
      </w:r>
      <w:r w:rsidR="008D6316">
        <w:t>Furthermore, industry</w:t>
      </w:r>
      <w:r w:rsidR="00785093" w:rsidRPr="00A82BF2">
        <w:t xml:space="preserve"> stakeholders, including</w:t>
      </w:r>
      <w:r w:rsidRPr="00A82BF2">
        <w:t xml:space="preserve"> reinsurers</w:t>
      </w:r>
      <w:r w:rsidR="00785093" w:rsidRPr="00A82BF2">
        <w:t xml:space="preserve"> and brokers</w:t>
      </w:r>
      <w:r w:rsidRPr="00A82BF2">
        <w:t xml:space="preserve"> indicated they would find it difficult to participate in the Australian terrorism insurance market without a mechanism like the ARPC.</w:t>
      </w:r>
      <w:r>
        <w:t xml:space="preserve"> </w:t>
      </w:r>
    </w:p>
    <w:p w14:paraId="7128B4FF" w14:textId="6B2123D6" w:rsidR="007271A4" w:rsidRDefault="007271A4" w:rsidP="007271A4">
      <w:r>
        <w:t xml:space="preserve">This </w:t>
      </w:r>
      <w:r w:rsidR="008D6316">
        <w:t>R</w:t>
      </w:r>
      <w:r>
        <w:t xml:space="preserve">eview also </w:t>
      </w:r>
      <w:r w:rsidR="00785093">
        <w:t xml:space="preserve">considered </w:t>
      </w:r>
      <w:r w:rsidR="00AB4838">
        <w:t>whether</w:t>
      </w:r>
      <w:r w:rsidR="00362F91">
        <w:t xml:space="preserve"> </w:t>
      </w:r>
      <w:r w:rsidR="00785093">
        <w:t>the</w:t>
      </w:r>
      <w:r>
        <w:t xml:space="preserve"> scope of the scheme</w:t>
      </w:r>
      <w:r w:rsidR="00785093">
        <w:t xml:space="preserve"> </w:t>
      </w:r>
      <w:r w:rsidR="00D03841">
        <w:t xml:space="preserve">should be expanded </w:t>
      </w:r>
      <w:r w:rsidR="00785093">
        <w:t xml:space="preserve">to </w:t>
      </w:r>
      <w:r w:rsidR="00785093" w:rsidRPr="002152B1">
        <w:t>include coverage for cyber terror attacks that result in physical property damage</w:t>
      </w:r>
      <w:r w:rsidR="002152B1">
        <w:t>.</w:t>
      </w:r>
      <w:r w:rsidR="002152B1" w:rsidRPr="002152B1">
        <w:t xml:space="preserve"> </w:t>
      </w:r>
      <w:r w:rsidR="00FD355D">
        <w:t xml:space="preserve">The Review </w:t>
      </w:r>
      <w:r w:rsidR="002152B1">
        <w:t xml:space="preserve">finds that cyber terrorism is an emerging risk and there is yet to be a clear and evident market failure in relation to physical property damage from cyber terrorism requiring government </w:t>
      </w:r>
      <w:r w:rsidR="00FD355D">
        <w:t>provision of reinsurance through the APRC</w:t>
      </w:r>
      <w:r w:rsidR="00707617">
        <w:t xml:space="preserve"> </w:t>
      </w:r>
      <w:r w:rsidR="002152B1">
        <w:t>at this time</w:t>
      </w:r>
      <w:r w:rsidR="008D6316">
        <w:t xml:space="preserve">. </w:t>
      </w:r>
    </w:p>
    <w:p w14:paraId="1E83B122" w14:textId="5E6E9ECF" w:rsidR="008D6316" w:rsidRDefault="008D6316" w:rsidP="004B4A63">
      <w:r>
        <w:t>Lastly, this Review also considered w</w:t>
      </w:r>
      <w:r w:rsidRPr="008D6316">
        <w:t>hether the ARPC</w:t>
      </w:r>
      <w:r>
        <w:t xml:space="preserve"> </w:t>
      </w:r>
      <w:r w:rsidRPr="008D6316">
        <w:t>Governance arrangements remain appropriate</w:t>
      </w:r>
      <w:r>
        <w:t xml:space="preserve"> and found that the current arrangements remain appropriate for </w:t>
      </w:r>
      <w:r w:rsidR="00B64B48">
        <w:t xml:space="preserve">its existing functions. </w:t>
      </w:r>
    </w:p>
    <w:p w14:paraId="480CA9AA" w14:textId="5B2803C2" w:rsidR="0029357B" w:rsidRDefault="007271A4" w:rsidP="0029357B">
      <w:r>
        <w:t xml:space="preserve">The Terms of Reference for the </w:t>
      </w:r>
      <w:r w:rsidR="004B4A63">
        <w:t>Review</w:t>
      </w:r>
      <w:r>
        <w:t xml:space="preserve"> were released on </w:t>
      </w:r>
      <w:r w:rsidR="008E0B64">
        <w:t>2</w:t>
      </w:r>
      <w:r>
        <w:t xml:space="preserve"> </w:t>
      </w:r>
      <w:r w:rsidR="008E0B64">
        <w:t xml:space="preserve">July </w:t>
      </w:r>
      <w:r>
        <w:t>20</w:t>
      </w:r>
      <w:r w:rsidR="008E0B64">
        <w:t>21</w:t>
      </w:r>
      <w:r>
        <w:t xml:space="preserve"> (Appendix A).</w:t>
      </w:r>
    </w:p>
    <w:p w14:paraId="2FA70899" w14:textId="77777777" w:rsidR="0029357B" w:rsidRDefault="0029357B" w:rsidP="0029357B"/>
    <w:p w14:paraId="2AE8A7BF" w14:textId="5E2C6CF6" w:rsidR="00DB6E46" w:rsidRDefault="0029357B" w:rsidP="00F2363D">
      <w:pPr>
        <w:jc w:val="both"/>
      </w:pPr>
      <w:r>
        <w:rPr>
          <w:noProof/>
        </w:rPr>
        <w:drawing>
          <wp:inline distT="0" distB="0" distL="0" distR="0" wp14:anchorId="695CFD65" wp14:editId="05600A1B">
            <wp:extent cx="2035834" cy="632563"/>
            <wp:effectExtent l="0" t="0" r="254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8351" cy="642667"/>
                    </a:xfrm>
                    <a:prstGeom prst="rect">
                      <a:avLst/>
                    </a:prstGeom>
                  </pic:spPr>
                </pic:pic>
              </a:graphicData>
            </a:graphic>
          </wp:inline>
        </w:drawing>
      </w:r>
    </w:p>
    <w:p w14:paraId="37C82F6F" w14:textId="30B69097" w:rsidR="00475085" w:rsidRPr="002152B1" w:rsidRDefault="002152B1" w:rsidP="00475085">
      <w:pPr>
        <w:pStyle w:val="SingleParagraph"/>
        <w:rPr>
          <w:rFonts w:cs="Calibri"/>
          <w:b/>
          <w:highlight w:val="yellow"/>
        </w:rPr>
      </w:pPr>
      <w:r w:rsidRPr="002152B1">
        <w:t>The Hon Michael Sukkar MP</w:t>
      </w:r>
    </w:p>
    <w:p w14:paraId="21FF3A3F" w14:textId="77777777" w:rsidR="00E96F44" w:rsidRDefault="002152B1" w:rsidP="004B4A63">
      <w:pPr>
        <w:pStyle w:val="SingleParagraph"/>
      </w:pPr>
      <w:r w:rsidRPr="002152B1">
        <w:t>Assistant Treasurer</w:t>
      </w:r>
      <w:r>
        <w:t xml:space="preserve">, </w:t>
      </w:r>
      <w:r w:rsidRPr="002152B1">
        <w:t>Minister for Housing</w:t>
      </w:r>
      <w:r>
        <w:t xml:space="preserve">, </w:t>
      </w:r>
      <w:r w:rsidRPr="002152B1">
        <w:t>Minister for Homelessness, Social and Community Housing</w:t>
      </w:r>
    </w:p>
    <w:p w14:paraId="76BB9DF7" w14:textId="4781840A" w:rsidR="00E96F44" w:rsidRDefault="00E96F44" w:rsidP="000671EA">
      <w:pPr>
        <w:rPr>
          <w:rStyle w:val="Heading1Char"/>
        </w:rPr>
      </w:pPr>
      <w:r>
        <w:br w:type="column"/>
      </w:r>
      <w:bookmarkStart w:id="11" w:name="_Toc81844174"/>
      <w:bookmarkStart w:id="12" w:name="_Hlk81844922"/>
      <w:bookmarkStart w:id="13" w:name="_Toc81909206"/>
      <w:bookmarkStart w:id="14" w:name="_Toc89070012"/>
      <w:r>
        <w:rPr>
          <w:rStyle w:val="Heading1Char"/>
        </w:rPr>
        <w:lastRenderedPageBreak/>
        <w:t>Recommendations and findings</w:t>
      </w:r>
      <w:bookmarkEnd w:id="11"/>
      <w:bookmarkEnd w:id="12"/>
      <w:bookmarkEnd w:id="13"/>
      <w:bookmarkEnd w:id="14"/>
    </w:p>
    <w:p w14:paraId="4EB36047" w14:textId="1AC52878" w:rsidR="000671EA" w:rsidRPr="000671EA" w:rsidRDefault="000671EA" w:rsidP="00BC07E5">
      <w:pPr>
        <w:spacing w:after="0"/>
        <w:rPr>
          <w:b/>
          <w:bCs/>
          <w:color w:val="3A6FAF" w:themeColor="accent2"/>
          <w:sz w:val="32"/>
          <w:szCs w:val="28"/>
        </w:rPr>
      </w:pPr>
      <w:r w:rsidRPr="000671EA">
        <w:rPr>
          <w:b/>
          <w:bCs/>
          <w:color w:val="3A6FAF" w:themeColor="accent2"/>
          <w:sz w:val="32"/>
          <w:szCs w:val="28"/>
        </w:rPr>
        <w:t>Chapter 2: Continuation of the Act</w:t>
      </w:r>
    </w:p>
    <w:tbl>
      <w:tblPr>
        <w:tblpPr w:leftFromText="180" w:rightFromText="180" w:vertAnchor="text" w:horzAnchor="margin" w:tblpY="198"/>
        <w:tblW w:w="5000" w:type="pct"/>
        <w:shd w:val="clear" w:color="auto" w:fill="D5E1F1" w:themeFill="accent2" w:themeFillTint="33"/>
        <w:tblLook w:val="01E0" w:firstRow="1" w:lastRow="1" w:firstColumn="1" w:lastColumn="1" w:noHBand="0" w:noVBand="0"/>
      </w:tblPr>
      <w:tblGrid>
        <w:gridCol w:w="9070"/>
      </w:tblGrid>
      <w:tr w:rsidR="00E96F44" w14:paraId="4FA25D59" w14:textId="77777777" w:rsidTr="00EA7BE5">
        <w:trPr>
          <w:trHeight w:val="760"/>
        </w:trPr>
        <w:tc>
          <w:tcPr>
            <w:tcW w:w="5000" w:type="pct"/>
            <w:shd w:val="clear" w:color="auto" w:fill="D5E1F1" w:themeFill="accent2" w:themeFillTint="33"/>
          </w:tcPr>
          <w:p w14:paraId="16A80CA3" w14:textId="587D3FA9" w:rsidR="00E96F44" w:rsidRDefault="00E96F44" w:rsidP="00EA7BE5">
            <w:pPr>
              <w:pStyle w:val="BoxText"/>
            </w:pPr>
            <w:r w:rsidRPr="00B17C3E">
              <w:rPr>
                <w:b/>
                <w:color w:val="002C47" w:themeColor="accent1"/>
                <w:sz w:val="26"/>
                <w:szCs w:val="26"/>
              </w:rPr>
              <w:t>Issue:</w:t>
            </w:r>
            <w:r>
              <w:t xml:space="preserve"> </w:t>
            </w:r>
            <w:r w:rsidRPr="00534D31">
              <w:t>Whether there continues to be a need for the Act</w:t>
            </w:r>
            <w:r w:rsidR="00D85497">
              <w:t>.</w:t>
            </w:r>
          </w:p>
          <w:p w14:paraId="47F97F17" w14:textId="4583EA2D" w:rsidR="00E96F44" w:rsidRPr="003870C5" w:rsidRDefault="00E96F44" w:rsidP="00EA7BE5">
            <w:pPr>
              <w:pStyle w:val="BoxText"/>
              <w:rPr>
                <w:b/>
                <w:color w:val="002C47" w:themeColor="accent1"/>
                <w:sz w:val="26"/>
                <w:szCs w:val="26"/>
              </w:rPr>
            </w:pPr>
            <w:r w:rsidRPr="003870C5">
              <w:rPr>
                <w:b/>
                <w:color w:val="002C47" w:themeColor="accent1"/>
                <w:sz w:val="26"/>
                <w:szCs w:val="26"/>
              </w:rPr>
              <w:t>Finding 1</w:t>
            </w:r>
            <w:r>
              <w:rPr>
                <w:b/>
                <w:color w:val="002C47" w:themeColor="accent1"/>
                <w:sz w:val="26"/>
                <w:szCs w:val="26"/>
              </w:rPr>
              <w:t xml:space="preserve">: </w:t>
            </w:r>
            <w:r w:rsidRPr="003870C5">
              <w:t>In the ARPC’s</w:t>
            </w:r>
            <w:r>
              <w:t xml:space="preserve"> absence, a market failure in terrorism insurance markets covering physical property would likely re-emerge.</w:t>
            </w:r>
          </w:p>
          <w:p w14:paraId="498D5FD5" w14:textId="0B2B560F" w:rsidR="00E96F44" w:rsidRPr="008950C5" w:rsidRDefault="00E96F44" w:rsidP="00EA7BE5">
            <w:pPr>
              <w:pStyle w:val="BoxText"/>
            </w:pPr>
            <w:r w:rsidRPr="00534D31">
              <w:cr/>
            </w:r>
            <w:r w:rsidRPr="00534D31">
              <w:cr/>
            </w:r>
            <w:r w:rsidRPr="00B17C3E">
              <w:rPr>
                <w:b/>
                <w:color w:val="002C47" w:themeColor="accent1"/>
                <w:sz w:val="26"/>
                <w:szCs w:val="26"/>
              </w:rPr>
              <w:t xml:space="preserve">Recommendation </w:t>
            </w:r>
            <w:r>
              <w:rPr>
                <w:b/>
                <w:color w:val="002C47" w:themeColor="accent1"/>
                <w:sz w:val="26"/>
                <w:szCs w:val="26"/>
              </w:rPr>
              <w:t>1</w:t>
            </w:r>
            <w:r w:rsidRPr="00B17C3E">
              <w:rPr>
                <w:b/>
                <w:color w:val="002C47" w:themeColor="accent1"/>
                <w:sz w:val="26"/>
                <w:szCs w:val="26"/>
              </w:rPr>
              <w:t>:</w:t>
            </w:r>
            <w:r w:rsidRPr="00EA51C3">
              <w:rPr>
                <w:rFonts w:ascii="Arial" w:eastAsia="Arial" w:hAnsi="Arial" w:cs="Arial"/>
                <w:b/>
                <w:color w:val="000000"/>
                <w:sz w:val="20"/>
                <w:szCs w:val="22"/>
              </w:rPr>
              <w:t xml:space="preserve"> </w:t>
            </w:r>
            <w:r w:rsidRPr="00181AC8">
              <w:t xml:space="preserve">That the </w:t>
            </w:r>
            <w:r>
              <w:t>A</w:t>
            </w:r>
            <w:r w:rsidRPr="00181AC8">
              <w:t>ct remains in force</w:t>
            </w:r>
            <w:r>
              <w:t>.</w:t>
            </w:r>
          </w:p>
        </w:tc>
      </w:tr>
    </w:tbl>
    <w:p w14:paraId="22E3F98C" w14:textId="77777777" w:rsidR="00E96F44" w:rsidRPr="000671EA" w:rsidRDefault="000671EA" w:rsidP="00BC07E5">
      <w:pPr>
        <w:spacing w:after="0"/>
        <w:rPr>
          <w:b/>
          <w:bCs/>
          <w:color w:val="3A6FAF" w:themeColor="accent2"/>
          <w:sz w:val="32"/>
          <w:szCs w:val="28"/>
        </w:rPr>
      </w:pPr>
      <w:r w:rsidRPr="000671EA">
        <w:rPr>
          <w:b/>
          <w:bCs/>
          <w:color w:val="3A6FAF" w:themeColor="accent2"/>
          <w:sz w:val="32"/>
          <w:szCs w:val="28"/>
        </w:rPr>
        <w:t>Chapter 3: Cyber-terror attacks that cause physical property damage</w:t>
      </w:r>
    </w:p>
    <w:tbl>
      <w:tblPr>
        <w:tblpPr w:leftFromText="180" w:rightFromText="180" w:vertAnchor="text" w:horzAnchor="margin" w:tblpY="216"/>
        <w:tblW w:w="5000" w:type="pct"/>
        <w:shd w:val="clear" w:color="auto" w:fill="D5E1F1" w:themeFill="accent2" w:themeFillTint="33"/>
        <w:tblLook w:val="01E0" w:firstRow="1" w:lastRow="1" w:firstColumn="1" w:lastColumn="1" w:noHBand="0" w:noVBand="0"/>
      </w:tblPr>
      <w:tblGrid>
        <w:gridCol w:w="9070"/>
      </w:tblGrid>
      <w:tr w:rsidR="00E96F44" w14:paraId="5257A48A" w14:textId="77777777" w:rsidTr="00EA7BE5">
        <w:tc>
          <w:tcPr>
            <w:tcW w:w="5000" w:type="pct"/>
            <w:shd w:val="clear" w:color="auto" w:fill="D5E1F1" w:themeFill="accent2" w:themeFillTint="33"/>
          </w:tcPr>
          <w:p w14:paraId="1EE93E03" w14:textId="071AB3FA" w:rsidR="00E96F44" w:rsidRDefault="00E96F44" w:rsidP="00EA7BE5">
            <w:pPr>
              <w:pStyle w:val="BoxText"/>
            </w:pPr>
            <w:r w:rsidRPr="00B17C3E">
              <w:rPr>
                <w:b/>
                <w:color w:val="002C47" w:themeColor="accent1"/>
                <w:sz w:val="26"/>
                <w:szCs w:val="26"/>
              </w:rPr>
              <w:t>Issue:</w:t>
            </w:r>
            <w:r>
              <w:t xml:space="preserve"> </w:t>
            </w:r>
            <w:r w:rsidRPr="000573E5">
              <w:t xml:space="preserve">Whether cyber terrorism causing </w:t>
            </w:r>
            <w:r w:rsidR="004B4A63">
              <w:t>physical</w:t>
            </w:r>
            <w:r w:rsidRPr="000573E5">
              <w:t xml:space="preserve"> property </w:t>
            </w:r>
            <w:r w:rsidR="004B4A63">
              <w:t xml:space="preserve">damage </w:t>
            </w:r>
            <w:r w:rsidRPr="000573E5">
              <w:t xml:space="preserve">should be included in the scheme. </w:t>
            </w:r>
          </w:p>
          <w:p w14:paraId="74FCBDDF" w14:textId="1EADB109" w:rsidR="00E96F44" w:rsidRDefault="00E96F44" w:rsidP="00EA7BE5">
            <w:pPr>
              <w:pStyle w:val="BoxText"/>
            </w:pPr>
            <w:r w:rsidRPr="000573E5">
              <w:rPr>
                <w:b/>
                <w:color w:val="002C47" w:themeColor="accent1"/>
                <w:sz w:val="26"/>
                <w:szCs w:val="26"/>
              </w:rPr>
              <w:t>Finding</w:t>
            </w:r>
            <w:r>
              <w:rPr>
                <w:b/>
                <w:color w:val="002C47" w:themeColor="accent1"/>
                <w:sz w:val="26"/>
                <w:szCs w:val="26"/>
              </w:rPr>
              <w:t xml:space="preserve"> </w:t>
            </w:r>
            <w:r w:rsidR="008B4DB1">
              <w:rPr>
                <w:b/>
                <w:color w:val="002C47" w:themeColor="accent1"/>
                <w:sz w:val="26"/>
                <w:szCs w:val="26"/>
              </w:rPr>
              <w:t>2</w:t>
            </w:r>
            <w:r>
              <w:rPr>
                <w:b/>
                <w:color w:val="002C47" w:themeColor="accent1"/>
                <w:sz w:val="26"/>
                <w:szCs w:val="26"/>
              </w:rPr>
              <w:t xml:space="preserve">: </w:t>
            </w:r>
            <w:r w:rsidRPr="003E5AFF">
              <w:t>Cyber insurance is an evolving market and there is yet to be a clear and evident market failure in relation to physical property damage from cyber terrorism</w:t>
            </w:r>
            <w:r>
              <w:t>.</w:t>
            </w:r>
          </w:p>
          <w:p w14:paraId="1F0D0A7A" w14:textId="71BC1AE9" w:rsidR="00E96F44" w:rsidRPr="008950C5" w:rsidRDefault="00E96F44" w:rsidP="00EA7BE5">
            <w:pPr>
              <w:pStyle w:val="BoxText"/>
            </w:pPr>
            <w:r w:rsidRPr="00B17C3E">
              <w:rPr>
                <w:b/>
                <w:color w:val="002C47" w:themeColor="accent1"/>
                <w:sz w:val="26"/>
                <w:szCs w:val="26"/>
              </w:rPr>
              <w:t xml:space="preserve">Recommendation </w:t>
            </w:r>
            <w:r w:rsidR="008B4DB1">
              <w:rPr>
                <w:b/>
                <w:color w:val="002C47" w:themeColor="accent1"/>
                <w:sz w:val="26"/>
                <w:szCs w:val="26"/>
              </w:rPr>
              <w:t>2</w:t>
            </w:r>
            <w:r w:rsidRPr="00B17C3E">
              <w:rPr>
                <w:b/>
                <w:color w:val="002C47" w:themeColor="accent1"/>
                <w:sz w:val="26"/>
                <w:szCs w:val="26"/>
              </w:rPr>
              <w:t>:</w:t>
            </w:r>
            <w:r w:rsidRPr="00EA51C3">
              <w:rPr>
                <w:rFonts w:ascii="Arial" w:eastAsia="Arial" w:hAnsi="Arial" w:cs="Arial"/>
                <w:b/>
                <w:color w:val="000000"/>
                <w:sz w:val="20"/>
                <w:szCs w:val="22"/>
              </w:rPr>
              <w:t xml:space="preserve"> </w:t>
            </w:r>
            <w:r w:rsidRPr="00181AC8">
              <w:t xml:space="preserve">That the </w:t>
            </w:r>
            <w:r>
              <w:t>A</w:t>
            </w:r>
            <w:r w:rsidRPr="00181AC8">
              <w:t xml:space="preserve">ct </w:t>
            </w:r>
            <w:r>
              <w:t>maintains its current ‘computer</w:t>
            </w:r>
            <w:r w:rsidR="004B4A63">
              <w:t>-</w:t>
            </w:r>
            <w:r>
              <w:t>crime’ exclusion.</w:t>
            </w:r>
          </w:p>
        </w:tc>
      </w:tr>
    </w:tbl>
    <w:p w14:paraId="0B5C3DA3" w14:textId="77777777" w:rsidR="00FA4699" w:rsidRDefault="00FA4699" w:rsidP="000671EA">
      <w:pPr>
        <w:rPr>
          <w:b/>
          <w:bCs/>
          <w:color w:val="3A6FAF" w:themeColor="accent2"/>
          <w:sz w:val="32"/>
          <w:szCs w:val="28"/>
        </w:rPr>
      </w:pPr>
    </w:p>
    <w:p w14:paraId="07502125" w14:textId="6CB54A5D" w:rsidR="000671EA" w:rsidRPr="000671EA" w:rsidRDefault="00FA4699" w:rsidP="000671EA">
      <w:pPr>
        <w:rPr>
          <w:b/>
          <w:bCs/>
          <w:color w:val="3A6FAF" w:themeColor="accent2"/>
          <w:sz w:val="32"/>
          <w:szCs w:val="28"/>
        </w:rPr>
      </w:pPr>
      <w:r>
        <w:rPr>
          <w:b/>
          <w:bCs/>
          <w:color w:val="3A6FAF" w:themeColor="accent2"/>
          <w:sz w:val="32"/>
          <w:szCs w:val="28"/>
        </w:rPr>
        <w:br w:type="column"/>
      </w:r>
      <w:r w:rsidR="000671EA" w:rsidRPr="000671EA">
        <w:rPr>
          <w:b/>
          <w:bCs/>
          <w:color w:val="3A6FAF" w:themeColor="accent2"/>
          <w:sz w:val="32"/>
          <w:szCs w:val="28"/>
        </w:rPr>
        <w:lastRenderedPageBreak/>
        <w:t>Chapter 4: Interactions between the Terror</w:t>
      </w:r>
      <w:r w:rsidR="0015721A">
        <w:rPr>
          <w:b/>
          <w:bCs/>
          <w:color w:val="3A6FAF" w:themeColor="accent2"/>
          <w:sz w:val="32"/>
          <w:szCs w:val="28"/>
        </w:rPr>
        <w:t>ism</w:t>
      </w:r>
      <w:r w:rsidR="000671EA" w:rsidRPr="000671EA">
        <w:rPr>
          <w:b/>
          <w:bCs/>
          <w:color w:val="3A6FAF" w:themeColor="accent2"/>
          <w:sz w:val="32"/>
          <w:szCs w:val="28"/>
        </w:rPr>
        <w:t xml:space="preserve"> pool and the proposed Cyclone reinsurance pool</w:t>
      </w:r>
    </w:p>
    <w:tbl>
      <w:tblPr>
        <w:tblW w:w="5000" w:type="pct"/>
        <w:shd w:val="clear" w:color="auto" w:fill="D5E1F1" w:themeFill="accent2" w:themeFillTint="33"/>
        <w:tblLook w:val="01E0" w:firstRow="1" w:lastRow="1" w:firstColumn="1" w:lastColumn="1" w:noHBand="0" w:noVBand="0"/>
      </w:tblPr>
      <w:tblGrid>
        <w:gridCol w:w="9070"/>
      </w:tblGrid>
      <w:tr w:rsidR="00E96F44" w14:paraId="70F66071" w14:textId="77777777" w:rsidTr="00EA7BE5">
        <w:tc>
          <w:tcPr>
            <w:tcW w:w="5000" w:type="pct"/>
            <w:shd w:val="clear" w:color="auto" w:fill="D5E1F1" w:themeFill="accent2" w:themeFillTint="33"/>
          </w:tcPr>
          <w:p w14:paraId="68E4EB76" w14:textId="77777777" w:rsidR="00FA4699" w:rsidRPr="008352B8" w:rsidRDefault="00FA4699" w:rsidP="00FA4699">
            <w:pPr>
              <w:pStyle w:val="BoxText"/>
            </w:pPr>
            <w:r w:rsidRPr="008352B8">
              <w:rPr>
                <w:b/>
                <w:color w:val="002C47" w:themeColor="accent1"/>
                <w:sz w:val="26"/>
                <w:szCs w:val="26"/>
              </w:rPr>
              <w:t>Issue:</w:t>
            </w:r>
            <w:r w:rsidRPr="008352B8">
              <w:t xml:space="preserve"> Whether the ARPC Board governance arrangements remain appropriate.</w:t>
            </w:r>
          </w:p>
          <w:p w14:paraId="3129F126" w14:textId="77777777" w:rsidR="00FA4699" w:rsidRPr="008352B8" w:rsidRDefault="00FA4699" w:rsidP="00FA4699">
            <w:pPr>
              <w:pStyle w:val="BoxText"/>
            </w:pPr>
            <w:r w:rsidRPr="008352B8">
              <w:rPr>
                <w:b/>
                <w:color w:val="002C47" w:themeColor="accent1"/>
                <w:sz w:val="26"/>
                <w:szCs w:val="26"/>
              </w:rPr>
              <w:t xml:space="preserve">Finding 3: </w:t>
            </w:r>
            <w:r w:rsidRPr="008352B8">
              <w:t>The current Board size remains appropriate for the ARPC’s existing responsibilities. If the proposed cyclone reinsurance pool is implemented, the ARPC Board will require additional resourcing to ensure that it can provide sufficient scrutiny.</w:t>
            </w:r>
          </w:p>
          <w:p w14:paraId="31150C22" w14:textId="77777777" w:rsidR="00FA4699" w:rsidRPr="00A9723F" w:rsidRDefault="00FA4699" w:rsidP="00FA4699">
            <w:pPr>
              <w:pStyle w:val="BoxText"/>
            </w:pPr>
            <w:r w:rsidRPr="00A9723F">
              <w:rPr>
                <w:b/>
                <w:color w:val="002C47" w:themeColor="accent1"/>
                <w:sz w:val="26"/>
                <w:szCs w:val="26"/>
              </w:rPr>
              <w:t>Recommendation 3</w:t>
            </w:r>
            <w:r w:rsidRPr="00A9723F">
              <w:t xml:space="preserve"> If the proposed cyclone pool is implemented:</w:t>
            </w:r>
          </w:p>
          <w:p w14:paraId="0F7F3937" w14:textId="1077308D" w:rsidR="00FA4699" w:rsidRPr="0026530F" w:rsidRDefault="00FA4699" w:rsidP="00FA4699">
            <w:pPr>
              <w:pStyle w:val="Bullet"/>
            </w:pPr>
            <w:r w:rsidRPr="00A9723F">
              <w:rPr>
                <w:b/>
                <w:color w:val="002C47" w:themeColor="accent1"/>
                <w:sz w:val="26"/>
                <w:szCs w:val="26"/>
              </w:rPr>
              <w:t>3.1</w:t>
            </w:r>
            <w:r w:rsidRPr="00A9723F">
              <w:rPr>
                <w:rFonts w:ascii="Arial" w:eastAsia="Arial" w:hAnsi="Arial" w:cs="Arial"/>
                <w:b/>
                <w:color w:val="000000"/>
                <w:sz w:val="20"/>
                <w:szCs w:val="22"/>
              </w:rPr>
              <w:t xml:space="preserve"> </w:t>
            </w:r>
            <w:r w:rsidR="008352B8" w:rsidRPr="008352B8">
              <w:t>The Government should ensure that ARPC’s Board is appropriately r</w:t>
            </w:r>
            <w:r w:rsidR="008352B8" w:rsidRPr="00A9723F">
              <w:t>esourced</w:t>
            </w:r>
            <w:r w:rsidR="0051040F">
              <w:t>,</w:t>
            </w:r>
            <w:r w:rsidR="008352B8" w:rsidRPr="00A9723F">
              <w:t xml:space="preserve"> including consideration of an expansion in the Board’s size and/or increases in the time commitments of Board members</w:t>
            </w:r>
            <w:r w:rsidRPr="0026530F">
              <w:t xml:space="preserve">. </w:t>
            </w:r>
          </w:p>
          <w:p w14:paraId="1EC2A3B0" w14:textId="0F5E034C" w:rsidR="00FA4699" w:rsidRPr="0026530F" w:rsidRDefault="00FA4699" w:rsidP="00FA4699">
            <w:pPr>
              <w:pStyle w:val="Bullet"/>
              <w:rPr>
                <w:b/>
                <w:color w:val="002C47" w:themeColor="accent1"/>
                <w:sz w:val="26"/>
                <w:szCs w:val="26"/>
              </w:rPr>
            </w:pPr>
            <w:r w:rsidRPr="0026530F">
              <w:rPr>
                <w:b/>
                <w:color w:val="002C47" w:themeColor="accent1"/>
                <w:sz w:val="26"/>
                <w:szCs w:val="26"/>
              </w:rPr>
              <w:t>3.2</w:t>
            </w:r>
            <w:r w:rsidRPr="0026530F">
              <w:t xml:space="preserve"> </w:t>
            </w:r>
            <w:r w:rsidR="00415C87" w:rsidRPr="0026530F">
              <w:t>The Government should appoint a new Board member(s) who is experienced with the insurance pressures facing residents of cyclone-prone areas.</w:t>
            </w:r>
          </w:p>
          <w:p w14:paraId="2C0E4CF6" w14:textId="644824BF" w:rsidR="00FA4699" w:rsidRPr="0026530F" w:rsidRDefault="00FA4699" w:rsidP="00FA4699">
            <w:pPr>
              <w:pStyle w:val="Bullet"/>
              <w:rPr>
                <w:b/>
                <w:color w:val="002C47" w:themeColor="accent1"/>
                <w:sz w:val="26"/>
                <w:szCs w:val="26"/>
              </w:rPr>
            </w:pPr>
            <w:r w:rsidRPr="0026530F">
              <w:rPr>
                <w:b/>
                <w:color w:val="002C47" w:themeColor="accent1"/>
                <w:sz w:val="26"/>
                <w:szCs w:val="26"/>
              </w:rPr>
              <w:t xml:space="preserve">3.3 </w:t>
            </w:r>
            <w:r w:rsidRPr="0026530F">
              <w:t>The Government should appoint two board observers</w:t>
            </w:r>
            <w:r w:rsidR="002041B3" w:rsidRPr="0026530F">
              <w:t>, one from</w:t>
            </w:r>
            <w:r w:rsidRPr="0026530F">
              <w:t xml:space="preserve"> APRA and </w:t>
            </w:r>
            <w:r w:rsidR="002041B3" w:rsidRPr="0026530F">
              <w:t xml:space="preserve">one from the </w:t>
            </w:r>
            <w:r w:rsidRPr="0026530F">
              <w:t xml:space="preserve">Commonwealth (such as the Australian Government Actuary), on a temporary basis, to help ensure a smooth implementation of the cyclone scheme. </w:t>
            </w:r>
          </w:p>
          <w:p w14:paraId="3BAB51C8" w14:textId="77777777" w:rsidR="00FA4699" w:rsidRPr="008352B8" w:rsidRDefault="00FA4699" w:rsidP="00FA4699">
            <w:pPr>
              <w:pStyle w:val="BoxText"/>
            </w:pPr>
            <w:r w:rsidRPr="0026530F">
              <w:rPr>
                <w:b/>
                <w:color w:val="002C47" w:themeColor="accent1"/>
                <w:sz w:val="26"/>
                <w:szCs w:val="26"/>
              </w:rPr>
              <w:t xml:space="preserve">Issue: </w:t>
            </w:r>
            <w:r w:rsidRPr="0026530F">
              <w:t>Whether the ARPC remains adequately resourced and administered.</w:t>
            </w:r>
          </w:p>
          <w:p w14:paraId="366D4C62" w14:textId="24804B6C" w:rsidR="00FA4699" w:rsidRPr="008352B8" w:rsidRDefault="00FA4699" w:rsidP="00FA4699">
            <w:pPr>
              <w:pStyle w:val="BoxText"/>
            </w:pPr>
            <w:r w:rsidRPr="00A9723F">
              <w:rPr>
                <w:b/>
                <w:color w:val="002C47" w:themeColor="accent1"/>
                <w:sz w:val="26"/>
              </w:rPr>
              <w:t xml:space="preserve">Finding 4: </w:t>
            </w:r>
            <w:r w:rsidRPr="00A9723F">
              <w:t>The ARPC is appropriately resourced to administer the terrorism pool and is taking steps to ensure it is ready to administer the new cyclo</w:t>
            </w:r>
            <w:r w:rsidRPr="008352B8">
              <w:t xml:space="preserve">ne pool should it be confirmed. However, given the substantial change in functions, a review of the ongoing administration and resourcing of the ARPC may be necessary </w:t>
            </w:r>
            <w:r w:rsidR="002041B3" w:rsidRPr="008352B8">
              <w:t>after</w:t>
            </w:r>
            <w:r w:rsidRPr="008352B8">
              <w:t xml:space="preserve"> the </w:t>
            </w:r>
            <w:r w:rsidR="002041B3" w:rsidRPr="008352B8">
              <w:t xml:space="preserve">proposed </w:t>
            </w:r>
            <w:r w:rsidRPr="008352B8">
              <w:t xml:space="preserve">new pool is operational. </w:t>
            </w:r>
          </w:p>
          <w:p w14:paraId="1A182691" w14:textId="77777777" w:rsidR="00FA4699" w:rsidRPr="008352B8" w:rsidRDefault="00FA4699" w:rsidP="00FA4699">
            <w:pPr>
              <w:pStyle w:val="BoxText"/>
            </w:pPr>
            <w:r w:rsidRPr="008352B8">
              <w:rPr>
                <w:b/>
                <w:color w:val="002C47" w:themeColor="accent1"/>
                <w:sz w:val="26"/>
                <w:szCs w:val="26"/>
              </w:rPr>
              <w:t>Recommendation 4:</w:t>
            </w:r>
            <w:r w:rsidRPr="008352B8">
              <w:t xml:space="preserve"> If the proposed cyclone pool is implemented, a review of the ARPC’s governance arrangements should be undertaken once their new governance arrangements are in place and the cyclone pool is in operation. </w:t>
            </w:r>
          </w:p>
          <w:p w14:paraId="2B8C4FC9" w14:textId="77777777" w:rsidR="00FA4699" w:rsidRPr="00A9723F" w:rsidRDefault="00FA4699" w:rsidP="00FA4699">
            <w:pPr>
              <w:pStyle w:val="BoxText"/>
            </w:pPr>
            <w:r w:rsidRPr="00A9723F">
              <w:rPr>
                <w:b/>
                <w:color w:val="002C47" w:themeColor="accent1"/>
                <w:sz w:val="26"/>
                <w:szCs w:val="26"/>
              </w:rPr>
              <w:t>Issue</w:t>
            </w:r>
            <w:r w:rsidRPr="00A9723F">
              <w:t>: Whether the interval between TIA reviews remains appropriate</w:t>
            </w:r>
          </w:p>
          <w:p w14:paraId="40DD93F5" w14:textId="77777777" w:rsidR="00FA4699" w:rsidRPr="00A9723F" w:rsidRDefault="00FA4699" w:rsidP="00FA4699">
            <w:pPr>
              <w:pStyle w:val="BoxText"/>
            </w:pPr>
            <w:r w:rsidRPr="00A9723F">
              <w:rPr>
                <w:b/>
                <w:color w:val="002C47" w:themeColor="accent1"/>
                <w:sz w:val="26"/>
              </w:rPr>
              <w:t xml:space="preserve">Finding 5: </w:t>
            </w:r>
            <w:r w:rsidRPr="00A9723F">
              <w:t xml:space="preserve">The TIA Review is a statutory requirement for the Government to assess whether there remains a continuing market failure in the private market for terrorism insurance. However, significant improvements in this market are unlikely to occur within the current review interval. </w:t>
            </w:r>
          </w:p>
          <w:p w14:paraId="2E64ED75" w14:textId="59918CD8" w:rsidR="00AF3B59" w:rsidRPr="008352B8" w:rsidRDefault="00FA4699" w:rsidP="00D12F97">
            <w:pPr>
              <w:pStyle w:val="BoxText"/>
            </w:pPr>
            <w:r w:rsidRPr="00A9723F">
              <w:rPr>
                <w:b/>
                <w:color w:val="002C47" w:themeColor="accent1"/>
                <w:sz w:val="26"/>
                <w:szCs w:val="26"/>
              </w:rPr>
              <w:t>Recommendation 5:</w:t>
            </w:r>
            <w:r w:rsidRPr="00A9723F">
              <w:t xml:space="preserve"> </w:t>
            </w:r>
            <w:bookmarkStart w:id="15" w:name="_Hlk88487138"/>
            <w:r w:rsidRPr="00A9723F">
              <w:t>The interval between reviews of the Scheme should be expanded from three years to five years.</w:t>
            </w:r>
            <w:bookmarkEnd w:id="15"/>
          </w:p>
        </w:tc>
      </w:tr>
    </w:tbl>
    <w:p w14:paraId="5A3DAC04" w14:textId="36DEBF12" w:rsidR="003C24B4" w:rsidRDefault="003C24B4" w:rsidP="00475085">
      <w:pPr>
        <w:pStyle w:val="SingleParagraph"/>
        <w:rPr>
          <w:rFonts w:cs="Arial"/>
          <w:b/>
          <w:szCs w:val="24"/>
        </w:rPr>
        <w:sectPr w:rsidR="003C24B4" w:rsidSect="00E96F44">
          <w:headerReference w:type="default" r:id="rId25"/>
          <w:footerReference w:type="even" r:id="rId26"/>
          <w:footerReference w:type="default" r:id="rId27"/>
          <w:type w:val="oddPage"/>
          <w:pgSz w:w="11906" w:h="16838" w:code="9"/>
          <w:pgMar w:top="1418" w:right="1418" w:bottom="1418" w:left="1418" w:header="709" w:footer="709" w:gutter="0"/>
          <w:pgNumType w:fmt="lowerRoman"/>
          <w:cols w:space="708"/>
          <w:docGrid w:linePitch="360"/>
        </w:sectPr>
      </w:pPr>
    </w:p>
    <w:p w14:paraId="276DC387" w14:textId="4A74C1C6" w:rsidR="008D1C23" w:rsidRPr="00AF6129" w:rsidRDefault="00655466" w:rsidP="00B85995">
      <w:pPr>
        <w:spacing w:before="0" w:after="160" w:line="259" w:lineRule="auto"/>
        <w:rPr>
          <w:rStyle w:val="Heading1Char"/>
          <w:color w:val="002C47" w:themeColor="accent1"/>
        </w:rPr>
      </w:pPr>
      <w:bookmarkStart w:id="20" w:name="_Toc81844177"/>
      <w:bookmarkStart w:id="21" w:name="_Toc89070013"/>
      <w:bookmarkStart w:id="22" w:name="_Hlk81844948"/>
      <w:bookmarkEnd w:id="10"/>
      <w:r w:rsidRPr="00AF6129">
        <w:rPr>
          <w:rStyle w:val="Heading1Char"/>
          <w:color w:val="002C47" w:themeColor="accent1"/>
        </w:rPr>
        <w:lastRenderedPageBreak/>
        <w:t>Chapter 1: Introduction</w:t>
      </w:r>
      <w:bookmarkEnd w:id="20"/>
      <w:bookmarkEnd w:id="21"/>
    </w:p>
    <w:p w14:paraId="77650FA2" w14:textId="7C3A2AAF" w:rsidR="00AB77E6" w:rsidRPr="0021242F" w:rsidRDefault="00DA7128" w:rsidP="00F2363D">
      <w:pPr>
        <w:spacing w:after="232" w:line="238" w:lineRule="auto"/>
        <w:ind w:left="-3" w:hanging="9"/>
      </w:pPr>
      <w:r>
        <w:rPr>
          <w:rFonts w:eastAsia="Calibri" w:cs="Calibri"/>
        </w:rPr>
        <w:t xml:space="preserve">The </w:t>
      </w:r>
      <w:r w:rsidR="0026471C">
        <w:rPr>
          <w:rFonts w:eastAsia="Calibri" w:cs="Calibri"/>
        </w:rPr>
        <w:t>Australian Government established</w:t>
      </w:r>
      <w:r>
        <w:rPr>
          <w:rFonts w:eastAsia="Calibri" w:cs="Calibri"/>
        </w:rPr>
        <w:t xml:space="preserve"> the </w:t>
      </w:r>
      <w:r w:rsidR="009F2A80">
        <w:rPr>
          <w:rFonts w:eastAsia="Calibri" w:cs="Calibri"/>
        </w:rPr>
        <w:t>T</w:t>
      </w:r>
      <w:r>
        <w:rPr>
          <w:rFonts w:eastAsia="Calibri" w:cs="Calibri"/>
        </w:rPr>
        <w:t xml:space="preserve">errorism </w:t>
      </w:r>
      <w:r w:rsidR="009F2A80">
        <w:rPr>
          <w:rFonts w:eastAsia="Calibri" w:cs="Calibri"/>
        </w:rPr>
        <w:t>I</w:t>
      </w:r>
      <w:r>
        <w:rPr>
          <w:rFonts w:eastAsia="Calibri" w:cs="Calibri"/>
        </w:rPr>
        <w:t xml:space="preserve">nsurance </w:t>
      </w:r>
      <w:r w:rsidR="009F2A80">
        <w:rPr>
          <w:rFonts w:eastAsia="Calibri" w:cs="Calibri"/>
        </w:rPr>
        <w:t>S</w:t>
      </w:r>
      <w:r>
        <w:rPr>
          <w:rFonts w:eastAsia="Calibri" w:cs="Calibri"/>
        </w:rPr>
        <w:t xml:space="preserve">cheme </w:t>
      </w:r>
      <w:r w:rsidR="0026471C">
        <w:rPr>
          <w:rFonts w:eastAsia="Calibri" w:cs="Calibri"/>
        </w:rPr>
        <w:t xml:space="preserve">(the scheme) </w:t>
      </w:r>
      <w:r w:rsidR="0026471C" w:rsidRPr="0021242F">
        <w:rPr>
          <w:rFonts w:eastAsia="Calibri" w:cs="Calibri"/>
        </w:rPr>
        <w:t xml:space="preserve">under the </w:t>
      </w:r>
      <w:r w:rsidR="0026471C" w:rsidRPr="0021242F">
        <w:rPr>
          <w:rFonts w:eastAsia="Calibri" w:cs="Calibri"/>
          <w:i/>
        </w:rPr>
        <w:t xml:space="preserve">Terrorism Insurance Act 2003 </w:t>
      </w:r>
      <w:r w:rsidR="0026471C" w:rsidRPr="0021242F">
        <w:rPr>
          <w:rFonts w:eastAsia="Calibri" w:cs="Calibri"/>
        </w:rPr>
        <w:t xml:space="preserve">(the Act) </w:t>
      </w:r>
      <w:r w:rsidR="004B4A63">
        <w:rPr>
          <w:rFonts w:eastAsia="Calibri" w:cs="Calibri"/>
        </w:rPr>
        <w:t>in response to</w:t>
      </w:r>
      <w:r>
        <w:rPr>
          <w:rFonts w:eastAsia="Calibri" w:cs="Calibri"/>
        </w:rPr>
        <w:t xml:space="preserve"> the impact of </w:t>
      </w:r>
      <w:r w:rsidR="00AB77E6" w:rsidRPr="0021242F">
        <w:rPr>
          <w:rFonts w:eastAsia="Calibri" w:cs="Calibri"/>
        </w:rPr>
        <w:t>terrorism events in the United States on September 11, 2001</w:t>
      </w:r>
      <w:r w:rsidR="004B4A63">
        <w:rPr>
          <w:rFonts w:eastAsia="Calibri" w:cs="Calibri"/>
        </w:rPr>
        <w:t>. These attacks</w:t>
      </w:r>
      <w:r>
        <w:rPr>
          <w:rFonts w:eastAsia="Calibri" w:cs="Calibri"/>
        </w:rPr>
        <w:t xml:space="preserve"> </w:t>
      </w:r>
      <w:r w:rsidR="00AB77E6" w:rsidRPr="0021242F">
        <w:rPr>
          <w:rFonts w:eastAsia="Calibri" w:cs="Calibri"/>
        </w:rPr>
        <w:t xml:space="preserve">caused </w:t>
      </w:r>
      <w:r w:rsidR="00242533">
        <w:rPr>
          <w:rFonts w:eastAsia="Calibri" w:cs="Calibri"/>
        </w:rPr>
        <w:t>significant</w:t>
      </w:r>
      <w:r w:rsidR="00242533" w:rsidRPr="0021242F">
        <w:rPr>
          <w:rFonts w:eastAsia="Calibri" w:cs="Calibri"/>
        </w:rPr>
        <w:t xml:space="preserve"> </w:t>
      </w:r>
      <w:r w:rsidR="00AB77E6" w:rsidRPr="0021242F">
        <w:rPr>
          <w:rFonts w:eastAsia="Calibri" w:cs="Calibri"/>
        </w:rPr>
        <w:t xml:space="preserve">commercial property </w:t>
      </w:r>
      <w:r w:rsidR="00242533">
        <w:rPr>
          <w:rFonts w:eastAsia="Calibri" w:cs="Calibri"/>
        </w:rPr>
        <w:t>losses, with</w:t>
      </w:r>
      <w:r w:rsidR="00AB77E6" w:rsidRPr="0021242F">
        <w:rPr>
          <w:rFonts w:eastAsia="Calibri" w:cs="Calibri"/>
        </w:rPr>
        <w:t xml:space="preserve"> corresponding </w:t>
      </w:r>
      <w:r w:rsidR="004B4A63">
        <w:rPr>
          <w:rFonts w:eastAsia="Calibri" w:cs="Calibri"/>
        </w:rPr>
        <w:t xml:space="preserve">large </w:t>
      </w:r>
      <w:r w:rsidR="00AB77E6" w:rsidRPr="0021242F">
        <w:rPr>
          <w:rFonts w:eastAsia="Calibri" w:cs="Calibri"/>
        </w:rPr>
        <w:t xml:space="preserve">insurance payouts. </w:t>
      </w:r>
      <w:r w:rsidR="004B4A63">
        <w:rPr>
          <w:rFonts w:eastAsia="Calibri" w:cs="Calibri"/>
        </w:rPr>
        <w:t>Consequently</w:t>
      </w:r>
      <w:r w:rsidR="00AB77E6" w:rsidRPr="0021242F">
        <w:rPr>
          <w:rFonts w:eastAsia="Calibri" w:cs="Calibri"/>
        </w:rPr>
        <w:t>, global reinsurers refused to underwrite for loss or damage to commercial property caused by terrorist activity</w:t>
      </w:r>
      <w:r w:rsidR="00AB77E6">
        <w:rPr>
          <w:rFonts w:eastAsia="Calibri" w:cs="Calibri"/>
        </w:rPr>
        <w:t xml:space="preserve">, leaving </w:t>
      </w:r>
      <w:r w:rsidR="00AB77E6" w:rsidRPr="0021242F">
        <w:rPr>
          <w:rFonts w:eastAsia="Calibri" w:cs="Calibri"/>
        </w:rPr>
        <w:t xml:space="preserve">commercial property owners to assume the risk of loss or damage to their properties. </w:t>
      </w:r>
    </w:p>
    <w:p w14:paraId="7B15A106" w14:textId="25CBE117" w:rsidR="00AB77E6" w:rsidRDefault="00AB77E6" w:rsidP="00F2363D">
      <w:pPr>
        <w:spacing w:after="232" w:line="238" w:lineRule="auto"/>
        <w:ind w:left="-3" w:hanging="9"/>
        <w:rPr>
          <w:rFonts w:eastAsia="Calibri" w:cs="Calibri"/>
        </w:rPr>
      </w:pPr>
      <w:r w:rsidRPr="0021242F">
        <w:rPr>
          <w:rFonts w:eastAsia="Calibri" w:cs="Calibri"/>
        </w:rPr>
        <w:t xml:space="preserve">The </w:t>
      </w:r>
      <w:r>
        <w:rPr>
          <w:rFonts w:eastAsia="Calibri" w:cs="Calibri"/>
        </w:rPr>
        <w:t>scheme</w:t>
      </w:r>
      <w:r w:rsidRPr="0021242F">
        <w:rPr>
          <w:rFonts w:eastAsia="Calibri" w:cs="Calibri"/>
        </w:rPr>
        <w:t xml:space="preserve"> </w:t>
      </w:r>
      <w:r w:rsidR="0026471C">
        <w:rPr>
          <w:rFonts w:eastAsia="Calibri" w:cs="Calibri"/>
        </w:rPr>
        <w:t>provides</w:t>
      </w:r>
      <w:r w:rsidRPr="0021242F">
        <w:rPr>
          <w:rFonts w:eastAsia="Calibri" w:cs="Calibri"/>
        </w:rPr>
        <w:t xml:space="preserve"> terrorism insurance coverage for commercial property and associated business interruption losses and public liability claims. </w:t>
      </w:r>
      <w:r w:rsidR="00242533">
        <w:rPr>
          <w:rFonts w:eastAsia="Calibri" w:cs="Calibri"/>
        </w:rPr>
        <w:t xml:space="preserve">The scheme commenced on 1 July 2003 and </w:t>
      </w:r>
      <w:r w:rsidRPr="0021242F">
        <w:rPr>
          <w:rFonts w:eastAsia="Calibri" w:cs="Calibri"/>
        </w:rPr>
        <w:t>is administered by the Australian Reinsurance Pool Corporation (ARPC).</w:t>
      </w:r>
    </w:p>
    <w:p w14:paraId="57F8C593" w14:textId="23C031E0" w:rsidR="008D1C23" w:rsidRPr="00D22EBF" w:rsidRDefault="008D1C23" w:rsidP="0026471C">
      <w:pPr>
        <w:spacing w:after="240" w:line="238" w:lineRule="auto"/>
        <w:ind w:hanging="11"/>
        <w:rPr>
          <w:rFonts w:eastAsia="Calibri" w:cs="Calibri"/>
        </w:rPr>
      </w:pPr>
      <w:r w:rsidRPr="00E41FC3">
        <w:rPr>
          <w:rFonts w:eastAsia="Calibri" w:cs="Calibri"/>
        </w:rPr>
        <w:t>The Act is intended to be a temporary measure to allow the re-emergence of a</w:t>
      </w:r>
      <w:r w:rsidR="00953CE8">
        <w:rPr>
          <w:rFonts w:eastAsia="Calibri" w:cs="Calibri"/>
        </w:rPr>
        <w:t>n adequate</w:t>
      </w:r>
      <w:r w:rsidRPr="00E41FC3">
        <w:rPr>
          <w:rFonts w:eastAsia="Calibri" w:cs="Calibri"/>
        </w:rPr>
        <w:t xml:space="preserve"> private reinsurance market for terrorism risk. As such, there is a statutory requirement that the Act is subject to triennial reviews to determine whether there is a</w:t>
      </w:r>
      <w:r w:rsidR="0026471C">
        <w:rPr>
          <w:rFonts w:eastAsia="Calibri" w:cs="Calibri"/>
        </w:rPr>
        <w:t>n ongoing</w:t>
      </w:r>
      <w:r w:rsidRPr="00E41FC3">
        <w:rPr>
          <w:rFonts w:eastAsia="Calibri" w:cs="Calibri"/>
        </w:rPr>
        <w:t xml:space="preserve"> need for the scheme. </w:t>
      </w:r>
      <w:bookmarkStart w:id="23" w:name="_Toc121825"/>
      <w:r w:rsidRPr="00D22EBF">
        <w:rPr>
          <w:rFonts w:eastAsia="Calibri" w:cs="Calibri"/>
        </w:rPr>
        <w:t>Th</w:t>
      </w:r>
      <w:r>
        <w:rPr>
          <w:rFonts w:eastAsia="Calibri" w:cs="Calibri"/>
        </w:rPr>
        <w:t xml:space="preserve">is triennial </w:t>
      </w:r>
      <w:r w:rsidR="00707617">
        <w:rPr>
          <w:rFonts w:eastAsia="Calibri" w:cs="Calibri"/>
        </w:rPr>
        <w:t>R</w:t>
      </w:r>
      <w:r>
        <w:rPr>
          <w:rFonts w:eastAsia="Calibri" w:cs="Calibri"/>
        </w:rPr>
        <w:t>eview covers the following issues:</w:t>
      </w:r>
    </w:p>
    <w:p w14:paraId="7DC07CBA" w14:textId="77777777" w:rsidR="008D1C23" w:rsidRPr="00D22EBF" w:rsidRDefault="008D1C23" w:rsidP="00F2363D">
      <w:pPr>
        <w:numPr>
          <w:ilvl w:val="0"/>
          <w:numId w:val="25"/>
        </w:numPr>
        <w:spacing w:before="0" w:after="255" w:line="238" w:lineRule="auto"/>
        <w:ind w:hanging="425"/>
        <w:rPr>
          <w:rFonts w:asciiTheme="majorHAnsi" w:hAnsiTheme="majorHAnsi" w:cstheme="majorHAnsi"/>
          <w:szCs w:val="22"/>
        </w:rPr>
      </w:pPr>
      <w:r w:rsidRPr="002D344E">
        <w:rPr>
          <w:rFonts w:eastAsia="Calibri" w:cs="Calibri"/>
        </w:rPr>
        <w:t>whether there continues to be market failure in the private sector supply of terrorism</w:t>
      </w:r>
      <w:r w:rsidRPr="00D22EBF">
        <w:rPr>
          <w:rFonts w:asciiTheme="majorHAnsi" w:hAnsiTheme="majorHAnsi" w:cstheme="majorHAnsi"/>
          <w:szCs w:val="22"/>
        </w:rPr>
        <w:t xml:space="preserve"> insurance, and consequently whether there is a need for the Act to </w:t>
      </w:r>
      <w:proofErr w:type="gramStart"/>
      <w:r w:rsidRPr="00D22EBF">
        <w:rPr>
          <w:rFonts w:asciiTheme="majorHAnsi" w:hAnsiTheme="majorHAnsi" w:cstheme="majorHAnsi"/>
          <w:szCs w:val="22"/>
        </w:rPr>
        <w:t>continue;</w:t>
      </w:r>
      <w:proofErr w:type="gramEnd"/>
      <w:r w:rsidRPr="00D22EBF">
        <w:rPr>
          <w:rFonts w:asciiTheme="majorHAnsi" w:hAnsiTheme="majorHAnsi" w:cstheme="majorHAnsi"/>
          <w:szCs w:val="22"/>
        </w:rPr>
        <w:t xml:space="preserve"> </w:t>
      </w:r>
    </w:p>
    <w:p w14:paraId="66810349" w14:textId="3BD3A481" w:rsidR="008A2647" w:rsidRDefault="008A2647" w:rsidP="008A2647">
      <w:pPr>
        <w:numPr>
          <w:ilvl w:val="0"/>
          <w:numId w:val="25"/>
        </w:numPr>
        <w:spacing w:before="0" w:after="255" w:line="238" w:lineRule="auto"/>
        <w:ind w:hanging="425"/>
      </w:pPr>
      <w:r w:rsidRPr="002D344E">
        <w:rPr>
          <w:rFonts w:eastAsia="Calibri" w:cs="Calibri"/>
        </w:rPr>
        <w:t xml:space="preserve">whether the risk of cyber terrorism causing physical property damage should be included in the </w:t>
      </w:r>
      <w:r w:rsidRPr="00D22EBF">
        <w:rPr>
          <w:rFonts w:asciiTheme="majorHAnsi" w:hAnsiTheme="majorHAnsi" w:cstheme="majorHAnsi"/>
          <w:szCs w:val="22"/>
        </w:rPr>
        <w:t>scheme</w:t>
      </w:r>
      <w:r>
        <w:rPr>
          <w:rFonts w:asciiTheme="majorHAnsi" w:hAnsiTheme="majorHAnsi" w:cstheme="majorHAnsi"/>
          <w:szCs w:val="22"/>
        </w:rPr>
        <w:t>; and</w:t>
      </w:r>
    </w:p>
    <w:p w14:paraId="5C7DF417" w14:textId="1371D104" w:rsidR="008D1C23" w:rsidRPr="00D22EBF" w:rsidRDefault="008D1C23" w:rsidP="00F2363D">
      <w:pPr>
        <w:numPr>
          <w:ilvl w:val="0"/>
          <w:numId w:val="25"/>
        </w:numPr>
        <w:spacing w:before="0" w:after="255" w:line="238" w:lineRule="auto"/>
        <w:ind w:hanging="425"/>
        <w:rPr>
          <w:rFonts w:asciiTheme="majorHAnsi" w:hAnsiTheme="majorHAnsi" w:cstheme="majorHAnsi"/>
          <w:szCs w:val="22"/>
        </w:rPr>
      </w:pPr>
      <w:r w:rsidRPr="002D344E">
        <w:rPr>
          <w:rFonts w:eastAsia="Calibri" w:cs="Calibri"/>
        </w:rPr>
        <w:t>whether the governance, admini</w:t>
      </w:r>
      <w:r w:rsidRPr="00D22EBF">
        <w:rPr>
          <w:rFonts w:asciiTheme="majorHAnsi" w:hAnsiTheme="majorHAnsi" w:cstheme="majorHAnsi"/>
          <w:szCs w:val="22"/>
        </w:rPr>
        <w:t>stration and resourcing of the scheme remain appropriate, including interactions between the Cyclone Reinsurance Pool and the Terrorism Reinsurance Pool</w:t>
      </w:r>
      <w:r w:rsidR="008A2647">
        <w:rPr>
          <w:rFonts w:asciiTheme="majorHAnsi" w:hAnsiTheme="majorHAnsi" w:cstheme="majorHAnsi"/>
          <w:szCs w:val="22"/>
        </w:rPr>
        <w:t>.</w:t>
      </w:r>
    </w:p>
    <w:p w14:paraId="414181CB" w14:textId="2F3E85C3" w:rsidR="00884861" w:rsidRPr="006D0DF3" w:rsidRDefault="001C674C" w:rsidP="006D0DF3">
      <w:pPr>
        <w:pStyle w:val="Heading2"/>
        <w:contextualSpacing/>
      </w:pPr>
      <w:bookmarkStart w:id="24" w:name="_Toc81844178"/>
      <w:bookmarkStart w:id="25" w:name="_Toc89070014"/>
      <w:r>
        <w:t>Recent developments</w:t>
      </w:r>
      <w:bookmarkEnd w:id="24"/>
      <w:bookmarkEnd w:id="25"/>
    </w:p>
    <w:p w14:paraId="356E78D1" w14:textId="77777777" w:rsidR="00886ED9" w:rsidRPr="00583969" w:rsidRDefault="00886ED9" w:rsidP="00886ED9">
      <w:pPr>
        <w:pStyle w:val="Heading3"/>
      </w:pPr>
      <w:bookmarkStart w:id="26" w:name="_Toc81844179"/>
      <w:bookmarkStart w:id="27" w:name="_Toc89070015"/>
      <w:r w:rsidRPr="00583969">
        <w:t>Cyclone reinsurance pool</w:t>
      </w:r>
      <w:bookmarkEnd w:id="26"/>
      <w:bookmarkEnd w:id="27"/>
    </w:p>
    <w:p w14:paraId="6A1DA8CA" w14:textId="383B6C08" w:rsidR="00886ED9" w:rsidRDefault="00886ED9" w:rsidP="00886ED9">
      <w:r>
        <w:t xml:space="preserve">On 4 May 2021, the Australian </w:t>
      </w:r>
      <w:r w:rsidRPr="004C1E24">
        <w:t xml:space="preserve">Government announced that it intends to establish a reinsurance pool covering the risk of property damage caused by cyclones and cyclone-related flood damage. </w:t>
      </w:r>
      <w:r w:rsidR="00835AA3" w:rsidRPr="006D0DF3">
        <w:t>The pool would seek to improve the accessibility of insurance for households and small businesses mainly located in northern Australia</w:t>
      </w:r>
      <w:r w:rsidR="004C1E24" w:rsidRPr="004C1E24">
        <w:t>.</w:t>
      </w:r>
      <w:r w:rsidRPr="004C1E24">
        <w:t xml:space="preserve"> The </w:t>
      </w:r>
      <w:r w:rsidR="00D8708F">
        <w:t>ARPC</w:t>
      </w:r>
      <w:r>
        <w:t xml:space="preserve"> would administer the pool, which </w:t>
      </w:r>
      <w:r w:rsidR="00237AE8">
        <w:t xml:space="preserve">is intended to </w:t>
      </w:r>
      <w:r w:rsidR="007C3C03">
        <w:t>commence</w:t>
      </w:r>
      <w:r w:rsidR="00237AE8">
        <w:t xml:space="preserve"> on</w:t>
      </w:r>
      <w:r>
        <w:t xml:space="preserve"> 1 July 2022.</w:t>
      </w:r>
    </w:p>
    <w:p w14:paraId="0EE13670" w14:textId="546A92A2" w:rsidR="00886ED9" w:rsidRPr="004E31BE" w:rsidRDefault="00886ED9" w:rsidP="00886ED9">
      <w:r>
        <w:t>The Reinsurance Pool Taskforce is considering the key design features of the reinsurance pool</w:t>
      </w:r>
      <w:r w:rsidR="00E13A38">
        <w:t xml:space="preserve"> a</w:t>
      </w:r>
      <w:r>
        <w:t xml:space="preserve">nd how this function will link to </w:t>
      </w:r>
      <w:r w:rsidR="007F5732">
        <w:t xml:space="preserve">the </w:t>
      </w:r>
      <w:r>
        <w:t xml:space="preserve">ARPC’s terrorism reinsurance pool </w:t>
      </w:r>
      <w:r w:rsidR="00662696">
        <w:t>operations</w:t>
      </w:r>
      <w:r>
        <w:t xml:space="preserve">. </w:t>
      </w:r>
    </w:p>
    <w:p w14:paraId="586DB3DF" w14:textId="77777777" w:rsidR="00596D57" w:rsidRPr="004E31BE" w:rsidRDefault="00596D57" w:rsidP="00596D57">
      <w:pPr>
        <w:pStyle w:val="Heading3"/>
      </w:pPr>
      <w:bookmarkStart w:id="28" w:name="_Toc81844180"/>
      <w:bookmarkStart w:id="29" w:name="_Toc89070016"/>
      <w:r w:rsidRPr="004E31BE">
        <w:t>Cyber terrorism resulting in property damage</w:t>
      </w:r>
      <w:bookmarkEnd w:id="28"/>
      <w:bookmarkEnd w:id="29"/>
    </w:p>
    <w:p w14:paraId="15C07EAB" w14:textId="176CBFE5" w:rsidR="00884861" w:rsidRPr="009067ED" w:rsidRDefault="00596D57" w:rsidP="006D0DF3">
      <w:pPr>
        <w:rPr>
          <w:highlight w:val="yellow"/>
        </w:rPr>
      </w:pPr>
      <w:r w:rsidRPr="004E31BE">
        <w:t>The 2018 Review considered the issue of whether to include cyber terrorism causing damage to property in the scheme. At the time, it found that there was no evident market failure for cyber terrorism insurance in relation to physical property damage. In support of that finding, it found that</w:t>
      </w:r>
      <w:r w:rsidR="005B684B">
        <w:t xml:space="preserve"> t</w:t>
      </w:r>
      <w:r w:rsidRPr="004E31BE">
        <w:t>he underlying risk was considered low</w:t>
      </w:r>
      <w:r w:rsidR="0023308A">
        <w:t xml:space="preserve"> and that t</w:t>
      </w:r>
      <w:r w:rsidRPr="004E31BE">
        <w:t>errorist groups lack the technical sophistication to threaten Australia’s security using cyber means at this time.</w:t>
      </w:r>
      <w:r w:rsidR="005B684B">
        <w:t xml:space="preserve"> It also noted that</w:t>
      </w:r>
      <w:r w:rsidRPr="004E31BE">
        <w:t xml:space="preserve"> </w:t>
      </w:r>
      <w:r w:rsidR="005B684B">
        <w:t>c</w:t>
      </w:r>
      <w:r w:rsidRPr="004E31BE">
        <w:t xml:space="preserve">yber insurance was </w:t>
      </w:r>
      <w:r w:rsidR="0023308A">
        <w:t>a rapidly emerging</w:t>
      </w:r>
      <w:r w:rsidRPr="004E31BE">
        <w:t xml:space="preserve"> sector of the Australian commercial insurance market, with coverage increasingly incorporated into business insurance packages or sold as an individual product. </w:t>
      </w:r>
    </w:p>
    <w:p w14:paraId="6CED191A" w14:textId="70E03B9E" w:rsidR="00655466" w:rsidRPr="009070B4" w:rsidRDefault="00B65E87" w:rsidP="00E41FC3">
      <w:pPr>
        <w:pStyle w:val="Heading2"/>
      </w:pPr>
      <w:bookmarkStart w:id="30" w:name="_Toc81844181"/>
      <w:bookmarkStart w:id="31" w:name="_Toc89070017"/>
      <w:bookmarkEnd w:id="23"/>
      <w:r w:rsidRPr="003766F0">
        <w:lastRenderedPageBreak/>
        <w:t>Scheme coverage and operating model</w:t>
      </w:r>
      <w:bookmarkEnd w:id="30"/>
      <w:bookmarkEnd w:id="31"/>
    </w:p>
    <w:p w14:paraId="11E78374" w14:textId="16D39D79" w:rsidR="0033155F" w:rsidRPr="006D0DF3" w:rsidRDefault="00B65E87" w:rsidP="006D0DF3">
      <w:pPr>
        <w:pStyle w:val="Heading3"/>
      </w:pPr>
      <w:bookmarkStart w:id="32" w:name="_Toc81844182"/>
      <w:bookmarkStart w:id="33" w:name="_Toc89070018"/>
      <w:r>
        <w:t>Scheme eligibility</w:t>
      </w:r>
      <w:bookmarkEnd w:id="32"/>
      <w:bookmarkEnd w:id="33"/>
    </w:p>
    <w:p w14:paraId="5EE8F70D" w14:textId="7CC24B05" w:rsidR="00655466" w:rsidRPr="00E41FC3" w:rsidRDefault="00655466" w:rsidP="00F2363D">
      <w:pPr>
        <w:spacing w:after="282" w:line="238" w:lineRule="auto"/>
        <w:ind w:left="-3" w:hanging="9"/>
      </w:pPr>
      <w:r w:rsidRPr="00E41FC3">
        <w:rPr>
          <w:rFonts w:eastAsia="Calibri" w:cs="Calibri"/>
        </w:rPr>
        <w:t>The Act operates by overriding terrorism exclusion clauses in eligible insurance contracts</w:t>
      </w:r>
      <w:r w:rsidRPr="00E41FC3">
        <w:rPr>
          <w:rFonts w:eastAsia="Calibri" w:cs="Calibri"/>
          <w:sz w:val="20"/>
          <w:vertAlign w:val="superscript"/>
        </w:rPr>
        <w:footnoteReference w:id="2"/>
      </w:r>
      <w:r w:rsidRPr="00E41FC3">
        <w:rPr>
          <w:rFonts w:eastAsia="Calibri" w:cs="Calibri"/>
        </w:rPr>
        <w:t xml:space="preserve">. An eligible insurance contract is a contract that provides insurance coverage for: </w:t>
      </w:r>
    </w:p>
    <w:p w14:paraId="2A5A8A43" w14:textId="11677F7B" w:rsidR="00655466" w:rsidRPr="00E41FC3" w:rsidRDefault="00655466" w:rsidP="00F2363D">
      <w:pPr>
        <w:numPr>
          <w:ilvl w:val="0"/>
          <w:numId w:val="25"/>
        </w:numPr>
        <w:spacing w:before="0" w:after="277" w:line="238" w:lineRule="auto"/>
        <w:ind w:hanging="425"/>
      </w:pPr>
      <w:r w:rsidRPr="00E41FC3">
        <w:rPr>
          <w:rFonts w:eastAsia="Calibri" w:cs="Calibri"/>
        </w:rPr>
        <w:t xml:space="preserve">loss of, or damage to, eligible property owned by the </w:t>
      </w:r>
      <w:proofErr w:type="gramStart"/>
      <w:r w:rsidRPr="00E41FC3">
        <w:rPr>
          <w:rFonts w:eastAsia="Calibri" w:cs="Calibri"/>
        </w:rPr>
        <w:t>insured;</w:t>
      </w:r>
      <w:proofErr w:type="gramEnd"/>
      <w:r w:rsidRPr="00E41FC3">
        <w:rPr>
          <w:rFonts w:eastAsia="Calibri" w:cs="Calibri"/>
        </w:rPr>
        <w:t xml:space="preserve"> </w:t>
      </w:r>
    </w:p>
    <w:p w14:paraId="6E76EC53" w14:textId="144A7DA2" w:rsidR="00655466" w:rsidRPr="00E41FC3" w:rsidRDefault="00655466" w:rsidP="00F2363D">
      <w:pPr>
        <w:numPr>
          <w:ilvl w:val="0"/>
          <w:numId w:val="25"/>
        </w:numPr>
        <w:spacing w:before="0" w:after="264" w:line="242" w:lineRule="auto"/>
        <w:ind w:hanging="425"/>
      </w:pPr>
      <w:r w:rsidRPr="00E41FC3">
        <w:rPr>
          <w:rFonts w:eastAsia="Calibri" w:cs="Calibri"/>
        </w:rPr>
        <w:t xml:space="preserve">business interruption and consequential loss arising from loss of, or damage to, eligible property that is owned or occupied by the insured or an inability to use all or part of such property; or </w:t>
      </w:r>
    </w:p>
    <w:p w14:paraId="63553100" w14:textId="77777777" w:rsidR="00655466" w:rsidRPr="00E41FC3" w:rsidRDefault="00655466" w:rsidP="00F2363D">
      <w:pPr>
        <w:numPr>
          <w:ilvl w:val="0"/>
          <w:numId w:val="25"/>
        </w:numPr>
        <w:spacing w:before="0" w:after="255" w:line="238" w:lineRule="auto"/>
        <w:ind w:hanging="425"/>
      </w:pPr>
      <w:r w:rsidRPr="00E41FC3">
        <w:rPr>
          <w:rFonts w:eastAsia="Calibri" w:cs="Calibri"/>
        </w:rPr>
        <w:t>liability of the insured that arises from the insured being the owner or occupier of eligible property.</w:t>
      </w:r>
      <w:r w:rsidRPr="00E41FC3">
        <w:rPr>
          <w:rFonts w:eastAsia="Calibri" w:cs="Calibri"/>
          <w:sz w:val="20"/>
          <w:vertAlign w:val="superscript"/>
        </w:rPr>
        <w:footnoteReference w:id="3"/>
      </w:r>
      <w:r w:rsidRPr="00E41FC3">
        <w:rPr>
          <w:rFonts w:eastAsia="Calibri" w:cs="Calibri"/>
        </w:rPr>
        <w:t xml:space="preserve"> </w:t>
      </w:r>
    </w:p>
    <w:p w14:paraId="5645A8C9" w14:textId="77777777" w:rsidR="00655466" w:rsidRPr="00E41FC3" w:rsidRDefault="00655466" w:rsidP="00F2363D">
      <w:pPr>
        <w:spacing w:after="283" w:line="238" w:lineRule="auto"/>
        <w:ind w:left="-3" w:hanging="9"/>
      </w:pPr>
      <w:r w:rsidRPr="00E41FC3">
        <w:rPr>
          <w:rFonts w:eastAsia="Calibri" w:cs="Calibri"/>
        </w:rPr>
        <w:t xml:space="preserve">Further, the Act defines ‘eligible property’ as the following property located in Australia: </w:t>
      </w:r>
    </w:p>
    <w:p w14:paraId="4969146A" w14:textId="77777777" w:rsidR="00655466" w:rsidRPr="00E41FC3" w:rsidRDefault="00655466" w:rsidP="00F2363D">
      <w:pPr>
        <w:numPr>
          <w:ilvl w:val="0"/>
          <w:numId w:val="25"/>
        </w:numPr>
        <w:spacing w:before="0" w:after="276" w:line="238" w:lineRule="auto"/>
        <w:ind w:hanging="425"/>
      </w:pPr>
      <w:r w:rsidRPr="00E41FC3">
        <w:rPr>
          <w:rFonts w:eastAsia="Calibri" w:cs="Calibri"/>
        </w:rPr>
        <w:t xml:space="preserve">buildings (including fixtures) or other structures or works on, in or under </w:t>
      </w:r>
      <w:proofErr w:type="gramStart"/>
      <w:r w:rsidRPr="00E41FC3">
        <w:rPr>
          <w:rFonts w:eastAsia="Calibri" w:cs="Calibri"/>
        </w:rPr>
        <w:t>land;</w:t>
      </w:r>
      <w:proofErr w:type="gramEnd"/>
      <w:r w:rsidRPr="00E41FC3">
        <w:rPr>
          <w:rFonts w:eastAsia="Calibri" w:cs="Calibri"/>
        </w:rPr>
        <w:t xml:space="preserve"> </w:t>
      </w:r>
    </w:p>
    <w:p w14:paraId="5F4107D7" w14:textId="77777777" w:rsidR="00655466" w:rsidRPr="00E41FC3" w:rsidRDefault="00655466" w:rsidP="00F2363D">
      <w:pPr>
        <w:numPr>
          <w:ilvl w:val="0"/>
          <w:numId w:val="25"/>
        </w:numPr>
        <w:spacing w:before="0" w:after="258" w:line="238" w:lineRule="auto"/>
        <w:ind w:hanging="425"/>
      </w:pPr>
      <w:r w:rsidRPr="00E41FC3">
        <w:rPr>
          <w:rFonts w:eastAsia="Calibri" w:cs="Calibri"/>
        </w:rPr>
        <w:t xml:space="preserve">tangible property that is located in, or on, such property; and </w:t>
      </w:r>
    </w:p>
    <w:p w14:paraId="5CD69B12" w14:textId="6C683D0D" w:rsidR="00655466" w:rsidRPr="00E41FC3" w:rsidRDefault="00655466" w:rsidP="00F2363D">
      <w:pPr>
        <w:numPr>
          <w:ilvl w:val="0"/>
          <w:numId w:val="25"/>
        </w:numPr>
        <w:spacing w:before="0" w:after="232" w:line="238" w:lineRule="auto"/>
        <w:ind w:hanging="425"/>
      </w:pPr>
      <w:r w:rsidRPr="00E41FC3">
        <w:rPr>
          <w:rFonts w:eastAsia="Calibri" w:cs="Calibri"/>
        </w:rPr>
        <w:t>property prescribed by regulation</w:t>
      </w:r>
      <w:r w:rsidR="002A662F">
        <w:rPr>
          <w:rFonts w:eastAsia="Calibri" w:cs="Calibri"/>
        </w:rPr>
        <w:t>.</w:t>
      </w:r>
      <w:r w:rsidRPr="00E41FC3">
        <w:rPr>
          <w:rFonts w:eastAsia="Calibri" w:cs="Calibri"/>
          <w:sz w:val="20"/>
          <w:vertAlign w:val="superscript"/>
        </w:rPr>
        <w:footnoteReference w:id="4"/>
      </w:r>
      <w:r w:rsidRPr="00E41FC3">
        <w:rPr>
          <w:rFonts w:eastAsia="Calibri" w:cs="Calibri"/>
        </w:rPr>
        <w:t xml:space="preserve"> </w:t>
      </w:r>
    </w:p>
    <w:p w14:paraId="3007E4D2" w14:textId="77777777" w:rsidR="00655466" w:rsidRPr="00E41FC3" w:rsidRDefault="00655466" w:rsidP="00F2363D">
      <w:pPr>
        <w:spacing w:after="232" w:line="238" w:lineRule="auto"/>
        <w:ind w:left="-3" w:hanging="9"/>
      </w:pPr>
      <w:r w:rsidRPr="00E41FC3">
        <w:rPr>
          <w:rFonts w:eastAsia="Calibri" w:cs="Calibri"/>
        </w:rPr>
        <w:t xml:space="preserve">In practice, this means that insurers have an obligation to insure for the risk of terrorism, which encourages them to seek reinsurance. Reinsurance is available through the ARPC; insurers may choose to reinsure through the scheme, through the private reinsurance market, or retain the risk to their own balance sheet. </w:t>
      </w:r>
    </w:p>
    <w:p w14:paraId="39E2199E" w14:textId="0709000C" w:rsidR="00655466" w:rsidRPr="00E41FC3" w:rsidRDefault="00655466" w:rsidP="00F2363D">
      <w:pPr>
        <w:spacing w:after="274" w:line="238" w:lineRule="auto"/>
        <w:ind w:left="-3" w:hanging="9"/>
      </w:pPr>
      <w:r w:rsidRPr="00E41FC3">
        <w:rPr>
          <w:rFonts w:eastAsia="Calibri" w:cs="Calibri"/>
        </w:rPr>
        <w:t xml:space="preserve">Schedule 1 of the </w:t>
      </w:r>
      <w:r w:rsidRPr="00E80B2B">
        <w:rPr>
          <w:rFonts w:eastAsia="Calibri" w:cs="Calibri"/>
          <w:i/>
          <w:iCs/>
        </w:rPr>
        <w:t>Terrorism Insurance Regulations 2003</w:t>
      </w:r>
      <w:r w:rsidRPr="00E41FC3">
        <w:rPr>
          <w:rFonts w:eastAsia="Calibri" w:cs="Calibri"/>
        </w:rPr>
        <w:t xml:space="preserve"> (the Regulations) sets out a number of exclusions to the definition of an ‘eligible insurance contract’, including a contract for insurance that provides cover for destruction or damage to a ‘mainly residential building’</w:t>
      </w:r>
      <w:r w:rsidR="002A662F">
        <w:rPr>
          <w:rFonts w:eastAsia="Calibri" w:cs="Calibri"/>
        </w:rPr>
        <w:t>.</w:t>
      </w:r>
      <w:r w:rsidRPr="00E41FC3">
        <w:rPr>
          <w:rFonts w:eastAsia="Calibri" w:cs="Calibri"/>
          <w:sz w:val="20"/>
          <w:vertAlign w:val="superscript"/>
        </w:rPr>
        <w:footnoteReference w:id="5"/>
      </w:r>
      <w:r w:rsidRPr="00E41FC3">
        <w:rPr>
          <w:rFonts w:eastAsia="Calibri" w:cs="Calibri"/>
        </w:rPr>
        <w:t xml:space="preserve"> Accordingly, the Act primarily applies to commercial property, however, following a recommendation in the 2015 Triennial Review, the scheme was extended to insurance cover for mixed-use and high value buildings.</w:t>
      </w:r>
      <w:r w:rsidRPr="00E41FC3">
        <w:rPr>
          <w:rFonts w:eastAsia="Calibri" w:cs="Calibri"/>
          <w:sz w:val="20"/>
          <w:vertAlign w:val="superscript"/>
        </w:rPr>
        <w:footnoteReference w:id="6"/>
      </w:r>
      <w:r w:rsidRPr="00E41FC3">
        <w:rPr>
          <w:rFonts w:eastAsia="Calibri" w:cs="Calibri"/>
        </w:rPr>
        <w:t xml:space="preserve"> </w:t>
      </w:r>
    </w:p>
    <w:p w14:paraId="663AC60B" w14:textId="30AF6FCC" w:rsidR="00655466" w:rsidRPr="00E41FC3" w:rsidRDefault="00655466" w:rsidP="00F2363D">
      <w:pPr>
        <w:spacing w:after="271" w:line="238" w:lineRule="auto"/>
        <w:ind w:left="-3" w:hanging="9"/>
      </w:pPr>
      <w:r w:rsidRPr="00E41FC3">
        <w:rPr>
          <w:rFonts w:eastAsia="Calibri" w:cs="Calibri"/>
        </w:rPr>
        <w:t>Schedule 1 also provides that a contract of insurance to the extent that it provides cover for loss arising from computer crime is not an eligible insurance contract for the purpose of s7(2) of the Act</w:t>
      </w:r>
      <w:r w:rsidR="002A662F">
        <w:rPr>
          <w:rFonts w:eastAsia="Calibri" w:cs="Calibri"/>
        </w:rPr>
        <w:t>.</w:t>
      </w:r>
      <w:r w:rsidRPr="00E41FC3">
        <w:rPr>
          <w:rFonts w:eastAsia="Calibri" w:cs="Calibri"/>
          <w:sz w:val="20"/>
          <w:vertAlign w:val="superscript"/>
        </w:rPr>
        <w:footnoteReference w:id="7"/>
      </w:r>
      <w:r w:rsidRPr="00E41FC3">
        <w:rPr>
          <w:rFonts w:eastAsia="Calibri" w:cs="Calibri"/>
        </w:rPr>
        <w:t xml:space="preserve"> The scheme does not provide cover for personal injury or death caused by a terrorist incident. </w:t>
      </w:r>
    </w:p>
    <w:p w14:paraId="77CC7061" w14:textId="77777777" w:rsidR="00655466" w:rsidRPr="00E41FC3" w:rsidRDefault="00655466" w:rsidP="00E41FC3">
      <w:pPr>
        <w:pStyle w:val="Heading3"/>
      </w:pPr>
      <w:bookmarkStart w:id="34" w:name="_Toc81844183"/>
      <w:bookmarkStart w:id="35" w:name="_Toc89070019"/>
      <w:bookmarkStart w:id="36" w:name="_Toc121827"/>
      <w:r w:rsidRPr="00E41FC3">
        <w:t>When can a claim on the scheme be made?</w:t>
      </w:r>
      <w:bookmarkEnd w:id="34"/>
      <w:bookmarkEnd w:id="35"/>
      <w:r w:rsidRPr="00E41FC3">
        <w:t xml:space="preserve"> </w:t>
      </w:r>
      <w:bookmarkEnd w:id="36"/>
    </w:p>
    <w:p w14:paraId="79003804" w14:textId="023E2024" w:rsidR="00655466" w:rsidRPr="00E41FC3" w:rsidRDefault="00655466" w:rsidP="00F2363D">
      <w:pPr>
        <w:spacing w:after="270" w:line="238" w:lineRule="auto"/>
        <w:ind w:left="-3" w:hanging="9"/>
      </w:pPr>
      <w:r w:rsidRPr="00E41FC3">
        <w:rPr>
          <w:rFonts w:eastAsia="Calibri" w:cs="Calibri"/>
        </w:rPr>
        <w:t xml:space="preserve">A claim on the scheme may be made for eligible terrorism losses arising from any declared terrorist incident covered by an eligible insurance contract where the insurer has a reinsurance agreement </w:t>
      </w:r>
      <w:r w:rsidRPr="00E41FC3">
        <w:rPr>
          <w:rFonts w:eastAsia="Calibri" w:cs="Calibri"/>
        </w:rPr>
        <w:lastRenderedPageBreak/>
        <w:t>with the ARPC. The scheme will not be triggered unless the Minister who has administrative responsibility for the Act declares that a terrorist incident has occurred for the purpose of the Act</w:t>
      </w:r>
      <w:r w:rsidR="002A662F">
        <w:rPr>
          <w:rFonts w:eastAsia="Calibri" w:cs="Calibri"/>
        </w:rPr>
        <w:t>.</w:t>
      </w:r>
      <w:r w:rsidRPr="00E41FC3">
        <w:rPr>
          <w:rFonts w:eastAsia="Calibri" w:cs="Calibri"/>
          <w:sz w:val="20"/>
          <w:vertAlign w:val="superscript"/>
        </w:rPr>
        <w:footnoteReference w:id="8"/>
      </w:r>
      <w:r w:rsidRPr="00E41FC3">
        <w:rPr>
          <w:rFonts w:eastAsia="Calibri" w:cs="Calibri"/>
        </w:rPr>
        <w:t xml:space="preserve"> </w:t>
      </w:r>
    </w:p>
    <w:p w14:paraId="1871D82F" w14:textId="5129AB1D" w:rsidR="00655466" w:rsidRPr="006D0DF3" w:rsidRDefault="00655466" w:rsidP="00F2363D">
      <w:pPr>
        <w:spacing w:after="232" w:line="238" w:lineRule="auto"/>
        <w:ind w:left="-3" w:hanging="9"/>
      </w:pPr>
      <w:r w:rsidRPr="00E41FC3">
        <w:rPr>
          <w:rFonts w:eastAsia="Calibri" w:cs="Calibri"/>
        </w:rPr>
        <w:t xml:space="preserve">There has been one declared terrorist incident in the history of the scheme </w:t>
      </w:r>
      <w:r w:rsidR="005E6155">
        <w:rPr>
          <w:rFonts w:eastAsia="Calibri" w:cs="Calibri"/>
        </w:rPr>
        <w:t xml:space="preserve">with 92 claims recorded </w:t>
      </w:r>
      <w:r w:rsidR="00CE226A">
        <w:rPr>
          <w:rFonts w:eastAsia="Calibri" w:cs="Calibri"/>
        </w:rPr>
        <w:t>as a</w:t>
      </w:r>
      <w:r w:rsidR="00CE226A" w:rsidRPr="001D3287">
        <w:rPr>
          <w:rFonts w:eastAsia="Calibri" w:cs="Calibri"/>
        </w:rPr>
        <w:t xml:space="preserve"> result of the Lindt Café siege</w:t>
      </w:r>
      <w:r w:rsidR="00CE226A">
        <w:rPr>
          <w:rFonts w:eastAsia="Calibri" w:cs="Calibri"/>
        </w:rPr>
        <w:t xml:space="preserve">, </w:t>
      </w:r>
      <w:r w:rsidR="005E6155">
        <w:rPr>
          <w:rFonts w:eastAsia="Calibri" w:cs="Calibri"/>
        </w:rPr>
        <w:t>totalling $2.3 million from 20 insurers</w:t>
      </w:r>
      <w:r w:rsidRPr="006D0DF3">
        <w:rPr>
          <w:rFonts w:eastAsia="Calibri" w:cs="Calibri"/>
        </w:rPr>
        <w:t xml:space="preserve">. As such, there has been no call on the Commonwealth guarantee (outlined below) in the history of the scheme. </w:t>
      </w:r>
    </w:p>
    <w:p w14:paraId="627F37BF" w14:textId="14CA1584" w:rsidR="00655466" w:rsidRPr="006D0DF3" w:rsidRDefault="00655466" w:rsidP="00F2363D">
      <w:pPr>
        <w:spacing w:after="405" w:line="238" w:lineRule="auto"/>
        <w:ind w:left="-3" w:hanging="9"/>
      </w:pPr>
      <w:r w:rsidRPr="006D0DF3">
        <w:rPr>
          <w:rFonts w:eastAsia="Calibri" w:cs="Calibri"/>
        </w:rPr>
        <w:t xml:space="preserve">Further, claims may only be made for ‘eligible terrorism </w:t>
      </w:r>
      <w:proofErr w:type="gramStart"/>
      <w:r w:rsidRPr="006D0DF3">
        <w:rPr>
          <w:rFonts w:eastAsia="Calibri" w:cs="Calibri"/>
        </w:rPr>
        <w:t>losses’</w:t>
      </w:r>
      <w:proofErr w:type="gramEnd"/>
      <w:r w:rsidRPr="006D0DF3">
        <w:rPr>
          <w:rFonts w:eastAsia="Calibri" w:cs="Calibri"/>
        </w:rPr>
        <w:t>. ‘Eligible terrorism losses’ are losses or liabilities arising out of a declared terrorist incident that are not losses or liabilities arising from the hazardous properties (including radioactive, toxic or explosive properties) of nuclear fuel, nuclear material or nuclear waste</w:t>
      </w:r>
      <w:r w:rsidRPr="006D0DF3">
        <w:rPr>
          <w:rFonts w:eastAsia="Calibri" w:cs="Calibri"/>
          <w:sz w:val="20"/>
          <w:vertAlign w:val="superscript"/>
        </w:rPr>
        <w:footnoteReference w:id="9"/>
      </w:r>
      <w:r w:rsidRPr="006D0DF3">
        <w:rPr>
          <w:rFonts w:eastAsia="Calibri" w:cs="Calibri"/>
        </w:rPr>
        <w:t xml:space="preserve">. </w:t>
      </w:r>
    </w:p>
    <w:p w14:paraId="458A8ED3" w14:textId="242405BE" w:rsidR="00655466" w:rsidRPr="006D0DF3" w:rsidRDefault="00655466" w:rsidP="006D0DF3">
      <w:pPr>
        <w:pStyle w:val="Heading3"/>
      </w:pPr>
      <w:bookmarkStart w:id="37" w:name="_Toc81844184"/>
      <w:bookmarkStart w:id="38" w:name="_Toc89070020"/>
      <w:bookmarkStart w:id="39" w:name="_Toc121828"/>
      <w:r w:rsidRPr="006D0DF3">
        <w:t>How a claim is funded</w:t>
      </w:r>
      <w:bookmarkEnd w:id="37"/>
      <w:bookmarkEnd w:id="38"/>
      <w:r w:rsidRPr="006D0DF3">
        <w:t xml:space="preserve"> </w:t>
      </w:r>
      <w:bookmarkEnd w:id="39"/>
    </w:p>
    <w:p w14:paraId="6F9618D4" w14:textId="16CB7F8A" w:rsidR="00655466" w:rsidRPr="006D0DF3" w:rsidRDefault="00655466" w:rsidP="00F2363D">
      <w:pPr>
        <w:spacing w:after="292" w:line="238" w:lineRule="auto"/>
        <w:ind w:left="-3" w:hanging="9"/>
      </w:pPr>
      <w:r w:rsidRPr="006D0DF3">
        <w:rPr>
          <w:rFonts w:eastAsia="Calibri" w:cs="Calibri"/>
        </w:rPr>
        <w:t xml:space="preserve">In the event of a declared terrorist incident for the purposes of the Act, claims would progress along the following sequence (Figure 1.1): </w:t>
      </w:r>
    </w:p>
    <w:p w14:paraId="6C437799" w14:textId="568AF40F" w:rsidR="00655466" w:rsidRPr="006D0DF3" w:rsidRDefault="00655466" w:rsidP="00C52A1B">
      <w:pPr>
        <w:pStyle w:val="AlphaParagraph"/>
      </w:pPr>
      <w:bookmarkStart w:id="40" w:name="_Ref82008881"/>
      <w:r w:rsidRPr="006D0DF3">
        <w:rPr>
          <w:rFonts w:eastAsia="Calibri"/>
        </w:rPr>
        <w:t>Losses would be met first by industry up to the level of each insurer’s retention; then</w:t>
      </w:r>
      <w:bookmarkEnd w:id="40"/>
      <w:r w:rsidRPr="006D0DF3">
        <w:rPr>
          <w:rFonts w:eastAsia="Calibri"/>
        </w:rPr>
        <w:t xml:space="preserve"> </w:t>
      </w:r>
    </w:p>
    <w:p w14:paraId="735008B6" w14:textId="431E074E" w:rsidR="00655466" w:rsidRPr="006D0DF3" w:rsidRDefault="00655466" w:rsidP="00C52A1B">
      <w:pPr>
        <w:pStyle w:val="AlphaParagraph"/>
      </w:pPr>
      <w:r w:rsidRPr="006D0DF3">
        <w:rPr>
          <w:rFonts w:eastAsia="Calibri"/>
        </w:rPr>
        <w:t xml:space="preserve">From the ARPC capital up to the value of the deductible on the retrocession cover; then </w:t>
      </w:r>
    </w:p>
    <w:p w14:paraId="606B301E" w14:textId="6B90C366" w:rsidR="00655466" w:rsidRPr="006D0DF3" w:rsidRDefault="00655466" w:rsidP="00C52A1B">
      <w:pPr>
        <w:pStyle w:val="AlphaParagraph"/>
      </w:pPr>
      <w:r w:rsidRPr="006D0DF3">
        <w:rPr>
          <w:rFonts w:eastAsia="Calibri"/>
        </w:rPr>
        <w:t xml:space="preserve">From the retrocession program (with any </w:t>
      </w:r>
      <w:r w:rsidR="003F4937">
        <w:rPr>
          <w:rFonts w:eastAsia="Calibri"/>
        </w:rPr>
        <w:t xml:space="preserve">ARPC </w:t>
      </w:r>
      <w:r w:rsidRPr="006D0DF3">
        <w:rPr>
          <w:rFonts w:eastAsia="Calibri"/>
        </w:rPr>
        <w:t xml:space="preserve">co-contribution being made from the ARPC capital and then through the Commonwealth guarantee) and </w:t>
      </w:r>
      <w:proofErr w:type="gramStart"/>
      <w:r w:rsidRPr="006D0DF3">
        <w:rPr>
          <w:rFonts w:eastAsia="Calibri"/>
        </w:rPr>
        <w:t>finally</w:t>
      </w:r>
      <w:r w:rsidR="00FC1CE8">
        <w:rPr>
          <w:rFonts w:eastAsia="Calibri"/>
        </w:rPr>
        <w:t>;</w:t>
      </w:r>
      <w:proofErr w:type="gramEnd"/>
      <w:r w:rsidRPr="006D0DF3">
        <w:rPr>
          <w:rFonts w:eastAsia="Calibri"/>
        </w:rPr>
        <w:t xml:space="preserve"> </w:t>
      </w:r>
    </w:p>
    <w:p w14:paraId="0B21CE70" w14:textId="77777777" w:rsidR="00655466" w:rsidRPr="006D0DF3" w:rsidRDefault="00655466" w:rsidP="00C52A1B">
      <w:pPr>
        <w:pStyle w:val="AlphaParagraph"/>
      </w:pPr>
      <w:r w:rsidRPr="006D0DF3">
        <w:rPr>
          <w:rFonts w:eastAsia="Calibri"/>
        </w:rPr>
        <w:t xml:space="preserve">Through the Commonwealth guarantee, up to the $10 billion cap. </w:t>
      </w:r>
    </w:p>
    <w:p w14:paraId="2E9D032D" w14:textId="0F66C00F" w:rsidR="000571E2" w:rsidRPr="006400B7" w:rsidRDefault="00D9748C" w:rsidP="006400B7">
      <w:pPr>
        <w:spacing w:after="0"/>
        <w:ind w:left="48" w:right="-42"/>
        <w:rPr>
          <w:rFonts w:eastAsia="Calibri"/>
          <w:highlight w:val="yellow"/>
        </w:rPr>
      </w:pPr>
      <w:r w:rsidRPr="00CE6B13">
        <w:rPr>
          <w:rFonts w:ascii="Arial" w:eastAsia="Arial" w:hAnsi="Arial" w:cs="Arial"/>
          <w:b/>
          <w:noProof/>
          <w:color w:val="00497E"/>
          <w:sz w:val="20"/>
        </w:rPr>
        <w:drawing>
          <wp:anchor distT="0" distB="0" distL="114300" distR="114300" simplePos="0" relativeHeight="251658240" behindDoc="0" locked="0" layoutInCell="1" allowOverlap="1" wp14:anchorId="626812FA" wp14:editId="282181E3">
            <wp:simplePos x="0" y="0"/>
            <wp:positionH relativeFrom="margin">
              <wp:align>center</wp:align>
            </wp:positionH>
            <wp:positionV relativeFrom="paragraph">
              <wp:posOffset>345689</wp:posOffset>
            </wp:positionV>
            <wp:extent cx="5557962" cy="2834818"/>
            <wp:effectExtent l="0" t="0" r="5080" b="3810"/>
            <wp:wrapNone/>
            <wp:docPr id="7" name="Picture 7" descr="This graphic displays the funding layers of the ARPC’s terror scheme. These layers are: &#10;The policy deductible, which is the excess or deductible in the underlying insurance policies. &#10;The industry retention that is between $100 thousand and $200 million, which represents the aggregate of the treaty retentions of all insurers involved in a calendar year. &#10;The ARPC’s deductible of $225 million, which is funded from the ARPC’s net assets. &#10;The ARPC’s $3.475 billion retrocession program, which is the layer of funding that is sourced from the commercial reinsurance market. It is mostly placed as multi-year deals. &#10;And the Commonwealth guarantee, which is a solvency guarantee for the ARPC that is limited to $10 billion as per the Terrorism Insurance Ac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graphic displays the funding layers of the ARPC’s terror scheme. These layers are: &#10;The policy deductible, which is the excess or deductible in the underlying insurance policies. &#10;The industry retention that is between $100 thousand and $200 million, which represents the aggregate of the treaty retentions of all insurers involved in a calendar year. &#10;The ARPC’s deductible of $225 million, which is funded from the ARPC’s net assets. &#10;The ARPC’s $3.475 billion retrocession program, which is the layer of funding that is sourced from the commercial reinsurance market. It is mostly placed as multi-year deals. &#10;And the Commonwealth guarantee, which is a solvency guarantee for the ARPC that is limited to $10 billion as per the Terrorism Insurance Act 200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4172" b="7661"/>
                    <a:stretch/>
                  </pic:blipFill>
                  <pic:spPr bwMode="auto">
                    <a:xfrm>
                      <a:off x="0" y="0"/>
                      <a:ext cx="5557962" cy="28348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466" w:rsidRPr="006D0DF3">
        <w:rPr>
          <w:noProof/>
        </w:rPr>
        <mc:AlternateContent>
          <mc:Choice Requires="wpg">
            <w:drawing>
              <wp:inline distT="0" distB="0" distL="0" distR="0" wp14:anchorId="347F87B4" wp14:editId="47140F9F">
                <wp:extent cx="5749146" cy="3387257"/>
                <wp:effectExtent l="0" t="0" r="0" b="0"/>
                <wp:docPr id="87369" name="Group 87369" descr="This graphic displays the funding layers of the ARPC’s terror scheme. These layers are: &#10;The policy deductible, which is the excess or deductible in the underlying insurance policies. &#10;The industry retention that is between $100 thousand and $200 million, which represents the aggregate of the treaty retentions of all insurers involved in a calendar year. &#10;The ARPC’s deductible of $225 million, which is funded from the ARPC’s net assets. &#10;The ARPC’s $3.475 billion retrocession program, which is the layer of funding that is sourced from the commercial reinsurance market. It is mostly placed as multi-year deals. &#10;And the Commonwealth guarantee, which is a solvency guarantee for the ARPC that is limited to $10 billion as per the Terrorism Insurance Act 2003."/>
                <wp:cNvGraphicFramePr/>
                <a:graphic xmlns:a="http://schemas.openxmlformats.org/drawingml/2006/main">
                  <a:graphicData uri="http://schemas.microsoft.com/office/word/2010/wordprocessingGroup">
                    <wpg:wgp>
                      <wpg:cNvGrpSpPr/>
                      <wpg:grpSpPr>
                        <a:xfrm>
                          <a:off x="0" y="0"/>
                          <a:ext cx="5749146" cy="3387257"/>
                          <a:chOff x="148394" y="-1"/>
                          <a:chExt cx="5660382" cy="4590944"/>
                        </a:xfrm>
                      </wpg:grpSpPr>
                      <wps:wsp>
                        <wps:cNvPr id="24259" name="Shape 24259"/>
                        <wps:cNvSpPr/>
                        <wps:spPr>
                          <a:xfrm>
                            <a:off x="148394" y="493822"/>
                            <a:ext cx="5487735" cy="3827697"/>
                          </a:xfrm>
                          <a:custGeom>
                            <a:avLst/>
                            <a:gdLst/>
                            <a:ahLst/>
                            <a:cxnLst/>
                            <a:rect l="0" t="0" r="0" b="0"/>
                            <a:pathLst>
                              <a:path w="5694020" h="4182745">
                                <a:moveTo>
                                  <a:pt x="0" y="4182745"/>
                                </a:moveTo>
                                <a:lnTo>
                                  <a:pt x="5694020" y="4182745"/>
                                </a:lnTo>
                                <a:lnTo>
                                  <a:pt x="5694020" y="0"/>
                                </a:lnTo>
                                <a:lnTo>
                                  <a:pt x="0" y="0"/>
                                </a:lnTo>
                                <a:close/>
                              </a:path>
                            </a:pathLst>
                          </a:custGeom>
                          <a:ln w="6350" cap="flat">
                            <a:noFill/>
                            <a:round/>
                          </a:ln>
                        </wps:spPr>
                        <wps:style>
                          <a:lnRef idx="1">
                            <a:srgbClr val="C0C0C0"/>
                          </a:lnRef>
                          <a:fillRef idx="0">
                            <a:srgbClr val="000000">
                              <a:alpha val="0"/>
                            </a:srgbClr>
                          </a:fillRef>
                          <a:effectRef idx="0">
                            <a:scrgbClr r="0" g="0" b="0"/>
                          </a:effectRef>
                          <a:fontRef idx="none"/>
                        </wps:style>
                        <wps:bodyPr/>
                      </wps:wsp>
                      <wps:wsp>
                        <wps:cNvPr id="24237" name="Rectangle 24237"/>
                        <wps:cNvSpPr/>
                        <wps:spPr>
                          <a:xfrm>
                            <a:off x="5717159" y="4178037"/>
                            <a:ext cx="91617" cy="412906"/>
                          </a:xfrm>
                          <a:prstGeom prst="rect">
                            <a:avLst/>
                          </a:prstGeom>
                          <a:ln>
                            <a:noFill/>
                          </a:ln>
                        </wps:spPr>
                        <wps:txbx>
                          <w:txbxContent>
                            <w:p w14:paraId="140093D2" w14:textId="77777777" w:rsidR="007537AC" w:rsidRPr="006400B7" w:rsidRDefault="007537AC" w:rsidP="00655466">
                              <w:r w:rsidRPr="006400B7">
                                <w:rPr>
                                  <w:rFonts w:eastAsia="Calibri" w:cs="Calibri"/>
                                  <w:sz w:val="48"/>
                                </w:rPr>
                                <w:t xml:space="preserve"> </w:t>
                              </w:r>
                            </w:p>
                          </w:txbxContent>
                        </wps:txbx>
                        <wps:bodyPr horzOverflow="overflow" vert="horz" lIns="0" tIns="0" rIns="0" bIns="0" rtlCol="0">
                          <a:noAutofit/>
                        </wps:bodyPr>
                      </wps:wsp>
                      <wps:wsp>
                        <wps:cNvPr id="24236" name="Rectangle 24236"/>
                        <wps:cNvSpPr/>
                        <wps:spPr>
                          <a:xfrm>
                            <a:off x="1704334" y="-1"/>
                            <a:ext cx="3097335" cy="377189"/>
                          </a:xfrm>
                          <a:prstGeom prst="rect">
                            <a:avLst/>
                          </a:prstGeom>
                          <a:ln>
                            <a:noFill/>
                          </a:ln>
                        </wps:spPr>
                        <wps:txbx>
                          <w:txbxContent>
                            <w:p w14:paraId="0C3D20E5" w14:textId="77777777" w:rsidR="007537AC" w:rsidRPr="006400B7" w:rsidRDefault="007537AC" w:rsidP="00655466">
                              <w:r w:rsidRPr="006400B7">
                                <w:rPr>
                                  <w:rFonts w:ascii="Arial" w:eastAsia="Arial" w:hAnsi="Arial" w:cs="Arial"/>
                                  <w:b/>
                                  <w:sz w:val="20"/>
                                </w:rPr>
                                <w:t xml:space="preserve">FIGURE 1.1: ARPC FUNDING LAYERS </w:t>
                              </w:r>
                            </w:p>
                          </w:txbxContent>
                        </wps:txbx>
                        <wps:bodyPr horzOverflow="overflow" vert="horz" lIns="0" tIns="0" rIns="0" bIns="0" rtlCol="0">
                          <a:noAutofit/>
                        </wps:bodyPr>
                      </wps:wsp>
                    </wpg:wgp>
                  </a:graphicData>
                </a:graphic>
              </wp:inline>
            </w:drawing>
          </mc:Choice>
          <mc:Fallback>
            <w:pict>
              <v:group w14:anchorId="347F87B4" id="Group 87369" o:spid="_x0000_s1026" alt="This graphic displays the funding layers of the ARPC’s terror scheme. These layers are: &#10;The policy deductible, which is the excess or deductible in the underlying insurance policies. &#10;The industry retention that is between $100 thousand and $200 million, which represents the aggregate of the treaty retentions of all insurers involved in a calendar year. &#10;The ARPC’s deductible of $225 million, which is funded from the ARPC’s net assets. &#10;The ARPC’s $3.475 billion retrocession program, which is the layer of funding that is sourced from the commercial reinsurance market. It is mostly placed as multi-year deals. &#10;And the Commonwealth guarantee, which is a solvency guarantee for the ARPC that is limited to $10 billion as per the Terrorism Insurance Act 2003." style="width:452.7pt;height:266.7pt;mso-position-horizontal-relative:char;mso-position-vertical-relative:line" coordorigin="1483" coordsize="56603,4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">
                <v:shape id="Shape 24259" o:spid="_x0000_s1027" style="position:absolute;left:1483;top:4938;width:54878;height:38277;visibility:visible;mso-wrap-style:square;v-text-anchor:top" coordsize="5694020,418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" path="m,4182745r5694020,l5694020,,,,,4182745xe" filled="f" stroked="f" strokeweight=".5pt">
                  <v:path arrowok="t" textboxrect="0,0,5694020,4182745"/>
                </v:shape>
                <v:rect id="Rectangle 24237" o:spid="_x0000_s1028" style="position:absolute;left:57171;top:41780;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" filled="f" stroked="f">
                  <v:textbox inset="0,0,0,0">
                    <w:txbxContent>
                      <w:p w14:paraId="140093D2" w14:textId="77777777" w:rsidR="007537AC" w:rsidRPr="006400B7" w:rsidRDefault="007537AC" w:rsidP="00655466">
                        <w:r w:rsidRPr="006400B7">
                          <w:rPr>
                            <w:rFonts w:eastAsia="Calibri" w:cs="Calibri"/>
                            <w:sz w:val="48"/>
                          </w:rPr>
                          <w:t xml:space="preserve"> </w:t>
                        </w:r>
                      </w:p>
                    </w:txbxContent>
                  </v:textbox>
                </v:rect>
                <v:rect id="Rectangle 24236" o:spid="_x0000_s1029" style="position:absolute;left:17043;width:30973;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" filled="f" stroked="f">
                  <v:textbox inset="0,0,0,0">
                    <w:txbxContent>
                      <w:p w14:paraId="0C3D20E5" w14:textId="77777777" w:rsidR="007537AC" w:rsidRPr="006400B7" w:rsidRDefault="007537AC" w:rsidP="00655466">
                        <w:r w:rsidRPr="006400B7">
                          <w:rPr>
                            <w:rFonts w:ascii="Arial" w:eastAsia="Arial" w:hAnsi="Arial" w:cs="Arial"/>
                            <w:b/>
                            <w:sz w:val="20"/>
                          </w:rPr>
                          <w:t xml:space="preserve">FIGURE 1.1: ARPC FUNDING LAYERS </w:t>
                        </w:r>
                      </w:p>
                    </w:txbxContent>
                  </v:textbox>
                </v:rect>
                <w10:anchorlock/>
              </v:group>
            </w:pict>
          </mc:Fallback>
        </mc:AlternateContent>
      </w:r>
      <w:r w:rsidR="00655466" w:rsidRPr="006D0DF3">
        <w:rPr>
          <w:rFonts w:eastAsia="Calibri" w:cs="Calibri"/>
          <w:sz w:val="18"/>
        </w:rPr>
        <w:t>Source: ARPC</w:t>
      </w:r>
      <w:r w:rsidR="0098574B">
        <w:rPr>
          <w:rFonts w:eastAsia="Calibri" w:cs="Calibri"/>
          <w:sz w:val="18"/>
        </w:rPr>
        <w:t>,</w:t>
      </w:r>
      <w:r w:rsidR="00655466" w:rsidRPr="006D0DF3">
        <w:rPr>
          <w:rFonts w:eastAsia="Calibri" w:cs="Calibri"/>
          <w:sz w:val="18"/>
        </w:rPr>
        <w:t xml:space="preserve"> </w:t>
      </w:r>
      <w:r w:rsidR="0098574B">
        <w:rPr>
          <w:rFonts w:eastAsia="Calibri" w:cs="Calibri"/>
          <w:sz w:val="18"/>
        </w:rPr>
        <w:t xml:space="preserve">as </w:t>
      </w:r>
      <w:r w:rsidR="00264208">
        <w:rPr>
          <w:rFonts w:eastAsia="Calibri" w:cs="Calibri"/>
          <w:sz w:val="18"/>
        </w:rPr>
        <w:t>of</w:t>
      </w:r>
      <w:r w:rsidR="005B7F97">
        <w:rPr>
          <w:rFonts w:eastAsia="Calibri" w:cs="Calibri"/>
          <w:sz w:val="18"/>
        </w:rPr>
        <w:t xml:space="preserve"> </w:t>
      </w:r>
      <w:r w:rsidR="003766F0">
        <w:rPr>
          <w:rFonts w:eastAsia="Calibri" w:cs="Calibri"/>
          <w:sz w:val="18"/>
        </w:rPr>
        <w:t>01</w:t>
      </w:r>
      <w:r w:rsidR="005B7F97">
        <w:rPr>
          <w:rFonts w:eastAsia="Calibri" w:cs="Calibri"/>
          <w:sz w:val="18"/>
        </w:rPr>
        <w:t xml:space="preserve"> J</w:t>
      </w:r>
      <w:r w:rsidR="003766F0">
        <w:rPr>
          <w:rFonts w:eastAsia="Calibri" w:cs="Calibri"/>
          <w:sz w:val="18"/>
        </w:rPr>
        <w:t>anuary</w:t>
      </w:r>
      <w:r w:rsidR="005B7F97">
        <w:rPr>
          <w:rFonts w:eastAsia="Calibri" w:cs="Calibri"/>
          <w:sz w:val="18"/>
        </w:rPr>
        <w:t xml:space="preserve"> 202</w:t>
      </w:r>
      <w:r w:rsidR="003766F0">
        <w:rPr>
          <w:rFonts w:eastAsia="Calibri" w:cs="Calibri"/>
          <w:sz w:val="18"/>
        </w:rPr>
        <w:t>1</w:t>
      </w:r>
      <w:r w:rsidR="00BE4ABF">
        <w:rPr>
          <w:rStyle w:val="FootnoteReference"/>
          <w:rFonts w:eastAsia="Calibri" w:cs="Calibri"/>
        </w:rPr>
        <w:footnoteReference w:id="10"/>
      </w:r>
    </w:p>
    <w:p w14:paraId="748D2C0A" w14:textId="2B2425E7" w:rsidR="00655466" w:rsidRPr="006D0DF3" w:rsidRDefault="00655466" w:rsidP="00F2363D">
      <w:pPr>
        <w:spacing w:after="232" w:line="238" w:lineRule="auto"/>
        <w:ind w:left="-3" w:hanging="9"/>
      </w:pPr>
      <w:r w:rsidRPr="006D0DF3">
        <w:rPr>
          <w:rFonts w:eastAsia="Calibri" w:cs="Calibri"/>
        </w:rPr>
        <w:t xml:space="preserve">The sum of these tiers represents the maximum claimable amount under the scheme. Should the total claimed losses exceed the capital of the ARPC, the value of retrocession cover purchased and </w:t>
      </w:r>
      <w:r w:rsidRPr="006D0DF3">
        <w:rPr>
          <w:rFonts w:eastAsia="Calibri" w:cs="Calibri"/>
        </w:rPr>
        <w:lastRenderedPageBreak/>
        <w:t>the $10 billion Commonwealth guarantee, a ‘reduction percentage’ would be applied and claims would be paid on a pro rata basis</w:t>
      </w:r>
      <w:r w:rsidR="00AA6CC1">
        <w:rPr>
          <w:rFonts w:eastAsia="Calibri" w:cs="Calibri"/>
        </w:rPr>
        <w:t>.</w:t>
      </w:r>
      <w:r w:rsidR="00A60001">
        <w:rPr>
          <w:rStyle w:val="FootnoteReference"/>
          <w:rFonts w:eastAsia="Calibri" w:cs="Calibri"/>
        </w:rPr>
        <w:footnoteReference w:id="11"/>
      </w:r>
      <w:r w:rsidRPr="006D0DF3">
        <w:rPr>
          <w:rFonts w:eastAsia="Calibri" w:cs="Calibri"/>
        </w:rPr>
        <w:t xml:space="preserve"> </w:t>
      </w:r>
    </w:p>
    <w:p w14:paraId="66DF74DD" w14:textId="6CBC8F5F" w:rsidR="00655466" w:rsidRPr="003766F0" w:rsidRDefault="00655466" w:rsidP="00F2363D">
      <w:pPr>
        <w:spacing w:after="232" w:line="238" w:lineRule="auto"/>
        <w:ind w:left="-3" w:hanging="9"/>
      </w:pPr>
      <w:r w:rsidRPr="006D0DF3">
        <w:rPr>
          <w:rFonts w:eastAsia="Calibri" w:cs="Calibri"/>
        </w:rPr>
        <w:t xml:space="preserve">Insurers that reinsure their terrorism risks with the ARPC retain part of the cost from a terrorist incident. The retention, similar to an excess or deductible, requires the insurer to pay the first part of any claim. Retentions for individual insurers are calculated as </w:t>
      </w:r>
      <w:r w:rsidR="00AB624E">
        <w:rPr>
          <w:rFonts w:eastAsia="Calibri" w:cs="Calibri"/>
        </w:rPr>
        <w:t>5</w:t>
      </w:r>
      <w:r w:rsidR="00C658B9">
        <w:rPr>
          <w:rFonts w:eastAsia="Calibri" w:cs="Calibri"/>
        </w:rPr>
        <w:t> </w:t>
      </w:r>
      <w:r w:rsidRPr="006D0DF3">
        <w:rPr>
          <w:rFonts w:eastAsia="Calibri" w:cs="Calibri"/>
        </w:rPr>
        <w:t>per</w:t>
      </w:r>
      <w:r w:rsidR="00C658B9">
        <w:rPr>
          <w:rFonts w:eastAsia="Calibri" w:cs="Calibri"/>
        </w:rPr>
        <w:t> </w:t>
      </w:r>
      <w:r w:rsidRPr="006D0DF3">
        <w:rPr>
          <w:rFonts w:eastAsia="Calibri" w:cs="Calibri"/>
        </w:rPr>
        <w:t>cent of fire and industrial special risk premiums collected by the insurer, with a minimum retention of $100,000 and a maximum retention of $12.5 million</w:t>
      </w:r>
      <w:r w:rsidR="00AA6CC1">
        <w:rPr>
          <w:rFonts w:eastAsia="Calibri" w:cs="Calibri"/>
        </w:rPr>
        <w:t>.</w:t>
      </w:r>
      <w:r w:rsidR="00A60001">
        <w:rPr>
          <w:rStyle w:val="FootnoteReference"/>
          <w:rFonts w:eastAsia="Calibri" w:cs="Calibri"/>
        </w:rPr>
        <w:footnoteReference w:id="12"/>
      </w:r>
    </w:p>
    <w:p w14:paraId="10E2AC0D" w14:textId="6B300E5F" w:rsidR="006C5B73" w:rsidRDefault="00655466" w:rsidP="003766F0">
      <w:r w:rsidRPr="003766F0">
        <w:rPr>
          <w:rFonts w:eastAsia="Calibri" w:cs="Calibri"/>
        </w:rPr>
        <w:t>The ARPC’s reinsurance agreement also provides for a maximum industry wide retention of $200 million. If the sum of the retentions of maximum individual insurers in respect of all eligible terrorism losses caused by a single terrorist incident exceeds the maximum industry wide retention of $200 million, then each insurer’s retention is reduced proportionately</w:t>
      </w:r>
      <w:r w:rsidR="00BD3A89">
        <w:rPr>
          <w:rFonts w:eastAsia="Calibri" w:cs="Calibri"/>
        </w:rPr>
        <w:t>.</w:t>
      </w:r>
      <w:r w:rsidR="00A60001">
        <w:rPr>
          <w:rStyle w:val="FootnoteReference"/>
          <w:rFonts w:eastAsia="Calibri" w:cs="Calibri"/>
        </w:rPr>
        <w:footnoteReference w:id="13"/>
      </w:r>
      <w:r>
        <w:rPr>
          <w:rFonts w:eastAsia="Calibri" w:cs="Calibri"/>
        </w:rPr>
        <w:t xml:space="preserve"> </w:t>
      </w:r>
    </w:p>
    <w:p w14:paraId="2320AD50" w14:textId="77777777" w:rsidR="0005138B" w:rsidRDefault="0005138B" w:rsidP="006C5B73">
      <w:pPr>
        <w:pStyle w:val="SingleParagraph"/>
      </w:pPr>
    </w:p>
    <w:p w14:paraId="62EF34EE" w14:textId="0C012622" w:rsidR="00655466" w:rsidRDefault="00655466" w:rsidP="006C5B73">
      <w:pPr>
        <w:pStyle w:val="SingleParagraph"/>
        <w:sectPr w:rsidR="00655466" w:rsidSect="00BB4A6D">
          <w:footerReference w:type="even" r:id="rId29"/>
          <w:footerReference w:type="default" r:id="rId30"/>
          <w:pgSz w:w="11906" w:h="16838" w:code="9"/>
          <w:pgMar w:top="1418" w:right="1418" w:bottom="1418" w:left="1418" w:header="709" w:footer="709" w:gutter="0"/>
          <w:pgNumType w:start="1"/>
          <w:cols w:space="708"/>
          <w:docGrid w:linePitch="360"/>
        </w:sectPr>
      </w:pPr>
    </w:p>
    <w:p w14:paraId="16C0B7BC" w14:textId="176315AF" w:rsidR="005A0F2F" w:rsidRDefault="005A0F2F" w:rsidP="005A0F2F">
      <w:pPr>
        <w:pStyle w:val="Heading1"/>
      </w:pPr>
      <w:bookmarkStart w:id="41" w:name="_Toc81844185"/>
      <w:bookmarkStart w:id="42" w:name="_Toc89070021"/>
      <w:bookmarkStart w:id="43" w:name="_Hlk81847210"/>
      <w:r>
        <w:lastRenderedPageBreak/>
        <w:t>Chapter 2: Continuation of the Act</w:t>
      </w:r>
      <w:bookmarkEnd w:id="41"/>
      <w:bookmarkEnd w:id="42"/>
    </w:p>
    <w:tbl>
      <w:tblPr>
        <w:tblpPr w:leftFromText="180" w:rightFromText="180" w:vertAnchor="text" w:horzAnchor="margin" w:tblpY="198"/>
        <w:tblW w:w="5000" w:type="pct"/>
        <w:shd w:val="clear" w:color="auto" w:fill="D5E1F1" w:themeFill="accent2" w:themeFillTint="33"/>
        <w:tblLook w:val="01E0" w:firstRow="1" w:lastRow="1" w:firstColumn="1" w:lastColumn="1" w:noHBand="0" w:noVBand="0"/>
      </w:tblPr>
      <w:tblGrid>
        <w:gridCol w:w="9072"/>
      </w:tblGrid>
      <w:tr w:rsidR="00014666" w14:paraId="6911F877" w14:textId="77777777" w:rsidTr="00B25387">
        <w:trPr>
          <w:trHeight w:val="760"/>
        </w:trPr>
        <w:tc>
          <w:tcPr>
            <w:tcW w:w="5000" w:type="pct"/>
            <w:shd w:val="clear" w:color="auto" w:fill="D5E1F1" w:themeFill="accent2" w:themeFillTint="33"/>
          </w:tcPr>
          <w:bookmarkEnd w:id="43"/>
          <w:p w14:paraId="5061C1BF" w14:textId="67920B7C" w:rsidR="00014666" w:rsidRDefault="00014666" w:rsidP="00014666">
            <w:pPr>
              <w:pStyle w:val="BoxText"/>
            </w:pPr>
            <w:r w:rsidRPr="00B17C3E">
              <w:rPr>
                <w:b/>
                <w:color w:val="002C47" w:themeColor="accent1"/>
                <w:sz w:val="26"/>
                <w:szCs w:val="26"/>
              </w:rPr>
              <w:t>Issue:</w:t>
            </w:r>
            <w:r>
              <w:t xml:space="preserve"> </w:t>
            </w:r>
            <w:r w:rsidRPr="00534D31">
              <w:t>Whether there continues to be a need for the Act</w:t>
            </w:r>
            <w:r w:rsidR="00D85497">
              <w:t>.</w:t>
            </w:r>
          </w:p>
          <w:p w14:paraId="77C71CF2" w14:textId="2F679D81" w:rsidR="003870C5" w:rsidRPr="003870C5" w:rsidRDefault="003870C5" w:rsidP="00014666">
            <w:pPr>
              <w:pStyle w:val="BoxText"/>
              <w:rPr>
                <w:b/>
                <w:color w:val="002C47" w:themeColor="accent1"/>
                <w:sz w:val="26"/>
                <w:szCs w:val="26"/>
              </w:rPr>
            </w:pPr>
            <w:r w:rsidRPr="003870C5">
              <w:rPr>
                <w:b/>
                <w:color w:val="002C47" w:themeColor="accent1"/>
                <w:sz w:val="26"/>
                <w:szCs w:val="26"/>
              </w:rPr>
              <w:t>Finding 1</w:t>
            </w:r>
            <w:r>
              <w:rPr>
                <w:b/>
                <w:color w:val="002C47" w:themeColor="accent1"/>
                <w:sz w:val="26"/>
                <w:szCs w:val="26"/>
              </w:rPr>
              <w:t xml:space="preserve">: </w:t>
            </w:r>
            <w:r w:rsidRPr="003870C5">
              <w:t>In the ARPC’s</w:t>
            </w:r>
            <w:r>
              <w:t xml:space="preserve"> absence</w:t>
            </w:r>
            <w:r w:rsidR="002508D3">
              <w:t>,</w:t>
            </w:r>
            <w:r>
              <w:t xml:space="preserve"> </w:t>
            </w:r>
            <w:r w:rsidR="002508D3">
              <w:t>a market failure in terrorism insurance markets covering physical property would likely re-emerge.</w:t>
            </w:r>
          </w:p>
          <w:p w14:paraId="51529B05" w14:textId="3C9C6009" w:rsidR="00014666" w:rsidRPr="008950C5" w:rsidRDefault="00014666" w:rsidP="00014666">
            <w:pPr>
              <w:pStyle w:val="BoxText"/>
            </w:pPr>
            <w:r w:rsidRPr="00534D31">
              <w:cr/>
            </w:r>
            <w:r w:rsidRPr="00534D31">
              <w:cr/>
            </w:r>
            <w:r w:rsidRPr="00B17C3E">
              <w:rPr>
                <w:b/>
                <w:color w:val="002C47" w:themeColor="accent1"/>
                <w:sz w:val="26"/>
                <w:szCs w:val="26"/>
              </w:rPr>
              <w:t>Recommendation 1:</w:t>
            </w:r>
            <w:r w:rsidRPr="00EA51C3">
              <w:rPr>
                <w:rFonts w:ascii="Arial" w:eastAsia="Arial" w:hAnsi="Arial" w:cs="Arial"/>
                <w:b/>
                <w:color w:val="000000"/>
                <w:sz w:val="20"/>
                <w:szCs w:val="22"/>
              </w:rPr>
              <w:t xml:space="preserve"> </w:t>
            </w:r>
            <w:r w:rsidRPr="00181AC8">
              <w:t xml:space="preserve">That the </w:t>
            </w:r>
            <w:r>
              <w:t>A</w:t>
            </w:r>
            <w:r w:rsidRPr="00181AC8">
              <w:t>ct remains in force</w:t>
            </w:r>
            <w:r>
              <w:t>.</w:t>
            </w:r>
          </w:p>
        </w:tc>
      </w:tr>
    </w:tbl>
    <w:p w14:paraId="598792E4" w14:textId="01B9496D" w:rsidR="007271A4" w:rsidRDefault="00C60687" w:rsidP="00C60687">
      <w:pPr>
        <w:pStyle w:val="Heading2"/>
      </w:pPr>
      <w:bookmarkStart w:id="44" w:name="_Toc81844186"/>
      <w:bookmarkStart w:id="45" w:name="_Toc89070022"/>
      <w:r>
        <w:t>Assessment</w:t>
      </w:r>
      <w:bookmarkEnd w:id="44"/>
      <w:bookmarkEnd w:id="45"/>
    </w:p>
    <w:p w14:paraId="1C65043F" w14:textId="78779443" w:rsidR="00D97F5B" w:rsidRDefault="00D97F5B" w:rsidP="00181AC8">
      <w:pPr>
        <w:pStyle w:val="Heading4"/>
      </w:pPr>
      <w:r>
        <w:t>Risk of terror</w:t>
      </w:r>
    </w:p>
    <w:p w14:paraId="437AE32A" w14:textId="05BBE086" w:rsidR="00C60687" w:rsidRDefault="00C60687" w:rsidP="00C60687">
      <w:r>
        <w:t xml:space="preserve">The current National Terrorism Threat Level in Australia is </w:t>
      </w:r>
      <w:r w:rsidR="00707617">
        <w:t>‘</w:t>
      </w:r>
      <w:r w:rsidR="00ED5E72">
        <w:t>P</w:t>
      </w:r>
      <w:r w:rsidR="00707617">
        <w:t>robable’</w:t>
      </w:r>
      <w:r>
        <w:t xml:space="preserve">. </w:t>
      </w:r>
      <w:r w:rsidRPr="00285B72">
        <w:t xml:space="preserve">Individuals and groups continue to possess the intent and capability to conduct a terrorist attack in Australia. </w:t>
      </w:r>
      <w:r w:rsidR="00682155">
        <w:t>D</w:t>
      </w:r>
      <w:r w:rsidR="002D407A" w:rsidRPr="00285B72">
        <w:t>ensely populated cities such as Sydney and Melbourne</w:t>
      </w:r>
      <w:r w:rsidR="002D407A">
        <w:t xml:space="preserve"> </w:t>
      </w:r>
      <w:r w:rsidR="00682155">
        <w:t>remain</w:t>
      </w:r>
      <w:r w:rsidR="002D407A" w:rsidRPr="003F0489">
        <w:t xml:space="preserve"> the most exposed to a</w:t>
      </w:r>
      <w:r w:rsidR="00682155">
        <w:t xml:space="preserve"> terrorist</w:t>
      </w:r>
      <w:r w:rsidR="002D407A" w:rsidRPr="003F0489">
        <w:t xml:space="preserve"> attack</w:t>
      </w:r>
      <w:r w:rsidRPr="003F0489">
        <w:t>.</w:t>
      </w:r>
      <w:r>
        <w:t xml:space="preserve"> </w:t>
      </w:r>
    </w:p>
    <w:p w14:paraId="3A3E612F" w14:textId="3F0E9617" w:rsidR="007F7144" w:rsidRDefault="00C60687" w:rsidP="00C60687">
      <w:r>
        <w:t xml:space="preserve">Terrorists </w:t>
      </w:r>
      <w:r w:rsidR="00072886">
        <w:t xml:space="preserve">continue to </w:t>
      </w:r>
      <w:r>
        <w:t xml:space="preserve">plot attacks in Australia. </w:t>
      </w:r>
      <w:r w:rsidR="00D85497">
        <w:t>For example, o</w:t>
      </w:r>
      <w:r w:rsidR="00030710">
        <w:t xml:space="preserve">ver the last year, there were two religiously motivated terrorist attacks in Australia </w:t>
      </w:r>
      <w:r w:rsidR="00D85497">
        <w:t>with</w:t>
      </w:r>
      <w:r w:rsidR="00030710">
        <w:t xml:space="preserve"> arrests made in November 2020 and February </w:t>
      </w:r>
      <w:r w:rsidR="00D85497">
        <w:t>2021</w:t>
      </w:r>
      <w:r w:rsidR="00030710">
        <w:t xml:space="preserve"> </w:t>
      </w:r>
      <w:r w:rsidR="00D85497">
        <w:t>on charges of</w:t>
      </w:r>
      <w:r w:rsidR="00030710">
        <w:t xml:space="preserve"> planning for or preparing a terrorist attack</w:t>
      </w:r>
      <w:r w:rsidR="00AA6CC1">
        <w:t>.</w:t>
      </w:r>
      <w:r w:rsidR="00725161">
        <w:rPr>
          <w:rStyle w:val="FootnoteReference"/>
        </w:rPr>
        <w:footnoteReference w:id="14"/>
      </w:r>
    </w:p>
    <w:p w14:paraId="7D9DB77F" w14:textId="43346C60" w:rsidR="00B21133" w:rsidRDefault="00072886" w:rsidP="00C60687">
      <w:r>
        <w:t>Furthermore, major</w:t>
      </w:r>
      <w:r w:rsidR="002F69EF">
        <w:t xml:space="preserve"> industry stakeholders consulted </w:t>
      </w:r>
      <w:r w:rsidR="00003025">
        <w:t xml:space="preserve">in </w:t>
      </w:r>
      <w:r w:rsidR="002F69EF">
        <w:t xml:space="preserve">this </w:t>
      </w:r>
      <w:r w:rsidR="002E136D">
        <w:t>R</w:t>
      </w:r>
      <w:r w:rsidR="002F69EF">
        <w:t xml:space="preserve">eview consistently ranked terrorism </w:t>
      </w:r>
      <w:r w:rsidR="00C206F7">
        <w:t xml:space="preserve">highly </w:t>
      </w:r>
      <w:r w:rsidR="002F69EF">
        <w:t xml:space="preserve">in </w:t>
      </w:r>
      <w:r>
        <w:t xml:space="preserve">their </w:t>
      </w:r>
      <w:r w:rsidR="002F69EF">
        <w:t xml:space="preserve">risk </w:t>
      </w:r>
      <w:r>
        <w:t>management frameworks</w:t>
      </w:r>
      <w:r w:rsidR="002F69EF">
        <w:t>.</w:t>
      </w:r>
      <w:r w:rsidR="00003025">
        <w:t xml:space="preserve"> </w:t>
      </w:r>
      <w:r w:rsidR="00A97B4D">
        <w:t xml:space="preserve">Stakeholders indicated </w:t>
      </w:r>
      <w:r w:rsidR="000C0C04">
        <w:t xml:space="preserve">that </w:t>
      </w:r>
      <w:r w:rsidR="00A97B4D">
        <w:t>while</w:t>
      </w:r>
      <w:r w:rsidR="00003025">
        <w:t xml:space="preserve"> large scale terror events were rare, the potential </w:t>
      </w:r>
      <w:r w:rsidR="00C206F7">
        <w:t>of</w:t>
      </w:r>
      <w:r w:rsidR="00003025">
        <w:t xml:space="preserve"> a large</w:t>
      </w:r>
      <w:r w:rsidR="00C206F7">
        <w:t>-</w:t>
      </w:r>
      <w:r w:rsidR="00003025">
        <w:t>scale terror loss</w:t>
      </w:r>
      <w:r w:rsidR="00C206F7">
        <w:t xml:space="preserve"> </w:t>
      </w:r>
      <w:r w:rsidR="00003025">
        <w:t xml:space="preserve">in the absence of </w:t>
      </w:r>
      <w:r w:rsidR="00A97B4D">
        <w:t xml:space="preserve">the scheme, </w:t>
      </w:r>
      <w:r w:rsidR="00003025">
        <w:t>would be</w:t>
      </w:r>
      <w:r w:rsidR="00A97B4D">
        <w:t xml:space="preserve"> financially detrimental. </w:t>
      </w:r>
    </w:p>
    <w:p w14:paraId="40BEB060" w14:textId="2120BB8A" w:rsidR="00030710" w:rsidRDefault="007F7144" w:rsidP="00181AC8">
      <w:pPr>
        <w:pStyle w:val="Heading3"/>
      </w:pPr>
      <w:bookmarkStart w:id="46" w:name="_Toc81844187"/>
      <w:bookmarkStart w:id="47" w:name="_Toc89070023"/>
      <w:r>
        <w:t>Private market capacity</w:t>
      </w:r>
      <w:bookmarkEnd w:id="46"/>
      <w:bookmarkEnd w:id="47"/>
    </w:p>
    <w:p w14:paraId="5BF4ECFA" w14:textId="1F783C98" w:rsidR="00C60687" w:rsidRDefault="00C60687" w:rsidP="00C60687">
      <w:r>
        <w:t xml:space="preserve">This </w:t>
      </w:r>
      <w:r w:rsidR="00707617">
        <w:t>R</w:t>
      </w:r>
      <w:r>
        <w:t xml:space="preserve">eview finds that there would likely be market failure in the absence of the Act and </w:t>
      </w:r>
      <w:r w:rsidR="00565624">
        <w:t xml:space="preserve">thus recommends </w:t>
      </w:r>
      <w:r>
        <w:t xml:space="preserve">that the Act continue. While it is difficult to directly observe market failure given the presence of the ARPC and the $10 billion Commonwealth guarantee, there are signposts pointing to likely market failure in </w:t>
      </w:r>
      <w:r w:rsidR="00380A17">
        <w:t xml:space="preserve">its </w:t>
      </w:r>
      <w:r>
        <w:t xml:space="preserve">absence. </w:t>
      </w:r>
    </w:p>
    <w:p w14:paraId="2D2BA437" w14:textId="41AF4F50" w:rsidR="00285B72" w:rsidRDefault="00C206F7" w:rsidP="00C60687">
      <w:r>
        <w:t>T</w:t>
      </w:r>
      <w:r w:rsidR="00C60687">
        <w:t xml:space="preserve">here continues to be a shortage of </w:t>
      </w:r>
      <w:r>
        <w:t xml:space="preserve">private market </w:t>
      </w:r>
      <w:r w:rsidR="00C60687">
        <w:t xml:space="preserve">capacity </w:t>
      </w:r>
      <w:r>
        <w:t>for</w:t>
      </w:r>
      <w:r w:rsidR="00C60687">
        <w:t xml:space="preserve"> terrorism insurance. </w:t>
      </w:r>
      <w:r w:rsidR="00380A17">
        <w:t xml:space="preserve">Through our consultation with reinsurers and brokers, we </w:t>
      </w:r>
      <w:r w:rsidR="00726A59">
        <w:t>assess</w:t>
      </w:r>
      <w:r w:rsidR="00380A17">
        <w:t xml:space="preserve"> that </w:t>
      </w:r>
      <w:r w:rsidR="00726A59">
        <w:t>there has not been significant change in</w:t>
      </w:r>
      <w:r w:rsidR="00380A17">
        <w:t xml:space="preserve"> </w:t>
      </w:r>
      <w:r w:rsidR="00C60687" w:rsidRPr="00582A4D">
        <w:t xml:space="preserve">global commercial market capacity for Australian terrorism </w:t>
      </w:r>
      <w:r>
        <w:t>re</w:t>
      </w:r>
      <w:r w:rsidR="00C60687" w:rsidRPr="00BC195C">
        <w:t xml:space="preserve">insurance </w:t>
      </w:r>
      <w:r w:rsidR="00726A59">
        <w:t xml:space="preserve">since the 2018 </w:t>
      </w:r>
      <w:r w:rsidR="00707617">
        <w:t>R</w:t>
      </w:r>
      <w:r w:rsidR="00726A59">
        <w:t xml:space="preserve">eview, which </w:t>
      </w:r>
      <w:r w:rsidR="00380A17">
        <w:t>estimate</w:t>
      </w:r>
      <w:r w:rsidR="00726A59">
        <w:t>d capacity at</w:t>
      </w:r>
      <w:r w:rsidR="00C60687" w:rsidRPr="00BC195C">
        <w:t xml:space="preserve"> </w:t>
      </w:r>
      <w:r w:rsidR="00380A17">
        <w:t>approximately $4</w:t>
      </w:r>
      <w:r w:rsidR="00AA6CC1">
        <w:t xml:space="preserve"> billion</w:t>
      </w:r>
      <w:r w:rsidR="00380A17">
        <w:t>.</w:t>
      </w:r>
      <w:r w:rsidR="00333D07" w:rsidRPr="00333D07">
        <w:rPr>
          <w:rStyle w:val="FootnoteReference"/>
        </w:rPr>
        <w:t xml:space="preserve"> </w:t>
      </w:r>
      <w:r w:rsidR="00333D07">
        <w:rPr>
          <w:rStyle w:val="FootnoteReference"/>
        </w:rPr>
        <w:footnoteReference w:id="15"/>
      </w:r>
      <w:r w:rsidR="00380A17">
        <w:t xml:space="preserve"> The vast majority of this </w:t>
      </w:r>
      <w:r w:rsidR="00C60687">
        <w:t>capacity</w:t>
      </w:r>
      <w:r w:rsidR="00380A17">
        <w:t xml:space="preserve"> (</w:t>
      </w:r>
      <w:r w:rsidR="00380A17" w:rsidRPr="00380A17">
        <w:t>$3.475</w:t>
      </w:r>
      <w:r w:rsidR="00AA6CC1">
        <w:t xml:space="preserve"> billion</w:t>
      </w:r>
      <w:r w:rsidR="00380A17">
        <w:t>)</w:t>
      </w:r>
      <w:r w:rsidR="00E927E2">
        <w:rPr>
          <w:rStyle w:val="FootnoteReference"/>
        </w:rPr>
        <w:footnoteReference w:id="16"/>
      </w:r>
      <w:r w:rsidR="00C60687">
        <w:t xml:space="preserve"> is deployed into the Australian market through the ARPC’s retrocession program. </w:t>
      </w:r>
      <w:r>
        <w:t>I</w:t>
      </w:r>
      <w:r w:rsidR="00003025">
        <w:t>ndustry</w:t>
      </w:r>
      <w:r w:rsidR="00380A17" w:rsidRPr="00E41D20">
        <w:t xml:space="preserve"> </w:t>
      </w:r>
      <w:r w:rsidR="00285B72" w:rsidRPr="00E41D20">
        <w:t>stakeholders indicated</w:t>
      </w:r>
      <w:r w:rsidR="00E41D20" w:rsidRPr="00181AC8">
        <w:t xml:space="preserve"> that</w:t>
      </w:r>
      <w:r>
        <w:t xml:space="preserve"> the scarce</w:t>
      </w:r>
      <w:r w:rsidR="00E41D20" w:rsidRPr="00181AC8">
        <w:t xml:space="preserve"> </w:t>
      </w:r>
      <w:r>
        <w:t>terror</w:t>
      </w:r>
      <w:r w:rsidR="00707617">
        <w:t>ism</w:t>
      </w:r>
      <w:r w:rsidR="00E41D20" w:rsidRPr="00181AC8">
        <w:t xml:space="preserve"> </w:t>
      </w:r>
      <w:r>
        <w:t>cover available</w:t>
      </w:r>
      <w:r w:rsidR="00380A17">
        <w:t xml:space="preserve"> outside the ARPC</w:t>
      </w:r>
      <w:r w:rsidR="00E41D20" w:rsidRPr="00181AC8">
        <w:t xml:space="preserve"> </w:t>
      </w:r>
      <w:r w:rsidR="00565624">
        <w:t>is</w:t>
      </w:r>
      <w:r w:rsidR="00E41D20" w:rsidRPr="00181AC8">
        <w:t xml:space="preserve"> </w:t>
      </w:r>
      <w:r>
        <w:t xml:space="preserve">often </w:t>
      </w:r>
      <w:r w:rsidR="00285B72" w:rsidRPr="00181AC8">
        <w:t>commercially</w:t>
      </w:r>
      <w:r w:rsidR="00285B72" w:rsidRPr="00E41D20">
        <w:t xml:space="preserve"> unaffordabl</w:t>
      </w:r>
      <w:r w:rsidR="00E41D20" w:rsidRPr="00181AC8">
        <w:t xml:space="preserve">e. </w:t>
      </w:r>
    </w:p>
    <w:p w14:paraId="0D2A08D4" w14:textId="1F65A3B8" w:rsidR="00C60687" w:rsidRDefault="00C206F7" w:rsidP="00C60687">
      <w:r>
        <w:t>This</w:t>
      </w:r>
      <w:r w:rsidR="00897B54">
        <w:t xml:space="preserve"> private sector capacity</w:t>
      </w:r>
      <w:r w:rsidR="00C60687">
        <w:t xml:space="preserve"> remains </w:t>
      </w:r>
      <w:r w:rsidR="00B22401">
        <w:t>significantly below the level of</w:t>
      </w:r>
      <w:r w:rsidR="00C60687">
        <w:t xml:space="preserve"> cover required to </w:t>
      </w:r>
      <w:r w:rsidR="00897B54">
        <w:t xml:space="preserve">insure </w:t>
      </w:r>
      <w:r w:rsidR="00C60687">
        <w:t>against large, but possible, terrorism incidents.</w:t>
      </w:r>
      <w:r w:rsidR="00B22401">
        <w:t xml:space="preserve"> ARPC m</w:t>
      </w:r>
      <w:r w:rsidR="00C60687">
        <w:t xml:space="preserve">odelling suggests that </w:t>
      </w:r>
      <w:r w:rsidR="00897B54">
        <w:t>financial losses from a probable</w:t>
      </w:r>
      <w:r w:rsidR="00C60687">
        <w:t xml:space="preserve"> maximum single event loss from a conventional blast—an event which the Act was </w:t>
      </w:r>
      <w:r w:rsidR="00C60687">
        <w:lastRenderedPageBreak/>
        <w:t>designed to protect against</w:t>
      </w:r>
      <w:r w:rsidR="00897B54" w:rsidRPr="00897B54">
        <w:t>—</w:t>
      </w:r>
      <w:r w:rsidR="00897B54">
        <w:t>significantly exceeds this capacity</w:t>
      </w:r>
      <w:r w:rsidR="007F718A">
        <w:fldChar w:fldCharType="begin"/>
      </w:r>
      <w:r w:rsidR="007F718A">
        <w:instrText xml:space="preserve"> NOTEREF _Ref82008901 \f \p \h </w:instrText>
      </w:r>
      <w:r w:rsidR="00597FC3">
        <w:fldChar w:fldCharType="separate"/>
      </w:r>
      <w:r w:rsidR="00597FC3">
        <w:rPr>
          <w:b/>
          <w:bCs/>
          <w:lang w:val="en-US"/>
        </w:rPr>
        <w:t>Error! Bookmark not defined.</w:t>
      </w:r>
      <w:r w:rsidR="007F718A">
        <w:fldChar w:fldCharType="end"/>
      </w:r>
      <w:r w:rsidR="007F718A">
        <w:t>.</w:t>
      </w:r>
      <w:r w:rsidR="00333D07" w:rsidRPr="00333D07">
        <w:t xml:space="preserve"> </w:t>
      </w:r>
      <w:r w:rsidR="00333D07">
        <w:fldChar w:fldCharType="begin"/>
      </w:r>
      <w:r w:rsidR="00333D07">
        <w:instrText xml:space="preserve"> NOTEREF _Ref82008901 \f \h </w:instrText>
      </w:r>
      <w:r w:rsidR="00333D07">
        <w:fldChar w:fldCharType="separate"/>
      </w:r>
      <w:r w:rsidR="00597FC3">
        <w:rPr>
          <w:b/>
          <w:bCs/>
          <w:lang w:val="en-US"/>
        </w:rPr>
        <w:t>Error! Bookmark not defined.</w:t>
      </w:r>
      <w:r w:rsidR="00333D07">
        <w:fldChar w:fldCharType="end"/>
      </w:r>
      <w:r w:rsidR="00C60687">
        <w:t xml:space="preserve"> </w:t>
      </w:r>
    </w:p>
    <w:p w14:paraId="269631A1" w14:textId="678FC715" w:rsidR="00F70097" w:rsidRDefault="00C206F7" w:rsidP="00F2363D">
      <w:pPr>
        <w:spacing w:after="259" w:line="238" w:lineRule="auto"/>
        <w:ind w:left="-3" w:hanging="9"/>
        <w:rPr>
          <w:rFonts w:eastAsia="Calibri" w:cs="Calibri"/>
        </w:rPr>
      </w:pPr>
      <w:r>
        <w:rPr>
          <w:rFonts w:eastAsia="Calibri" w:cs="Calibri"/>
        </w:rPr>
        <w:t xml:space="preserve">There are also </w:t>
      </w:r>
      <w:r w:rsidR="000C0C04">
        <w:rPr>
          <w:rFonts w:eastAsia="Calibri" w:cs="Calibri"/>
        </w:rPr>
        <w:t>several reasons</w:t>
      </w:r>
      <w:r>
        <w:rPr>
          <w:rFonts w:eastAsia="Calibri" w:cs="Calibri"/>
        </w:rPr>
        <w:t xml:space="preserve"> to believe p</w:t>
      </w:r>
      <w:r w:rsidR="00C60687" w:rsidRPr="006E4CA4">
        <w:rPr>
          <w:rFonts w:eastAsia="Calibri" w:cs="Calibri"/>
        </w:rPr>
        <w:t xml:space="preserve">rivate sector capacity </w:t>
      </w:r>
      <w:r>
        <w:rPr>
          <w:rFonts w:eastAsia="Calibri" w:cs="Calibri"/>
        </w:rPr>
        <w:t>would</w:t>
      </w:r>
      <w:r w:rsidR="00C60687" w:rsidRPr="006E4CA4">
        <w:rPr>
          <w:rFonts w:eastAsia="Calibri" w:cs="Calibri"/>
        </w:rPr>
        <w:t xml:space="preserve"> fall further in the absence of the ARPC: </w:t>
      </w:r>
    </w:p>
    <w:p w14:paraId="5691C588" w14:textId="24D61FD1" w:rsidR="00F70097" w:rsidRPr="006E4CA4" w:rsidRDefault="00C60687" w:rsidP="00582A4D">
      <w:pPr>
        <w:pStyle w:val="Bullet"/>
        <w:rPr>
          <w:rFonts w:eastAsia="Calibri"/>
        </w:rPr>
      </w:pPr>
      <w:r w:rsidRPr="006E4CA4">
        <w:rPr>
          <w:rFonts w:eastAsia="Calibri"/>
        </w:rPr>
        <w:t>Terrorism risk is not easily understood by the market. Terrorism incidents are not random events</w:t>
      </w:r>
      <w:r w:rsidR="002B422F">
        <w:rPr>
          <w:rFonts w:eastAsia="Calibri"/>
        </w:rPr>
        <w:t>,</w:t>
      </w:r>
      <w:r w:rsidRPr="006E4CA4">
        <w:rPr>
          <w:rFonts w:eastAsia="Calibri"/>
        </w:rPr>
        <w:t xml:space="preserve"> </w:t>
      </w:r>
      <w:r w:rsidR="002B422F">
        <w:rPr>
          <w:rFonts w:eastAsia="Calibri"/>
        </w:rPr>
        <w:t>with both t</w:t>
      </w:r>
      <w:r w:rsidRPr="006E4CA4">
        <w:rPr>
          <w:rFonts w:eastAsia="Calibri"/>
        </w:rPr>
        <w:t>he likelihood and scale of loss events depend</w:t>
      </w:r>
      <w:r w:rsidR="002B422F">
        <w:rPr>
          <w:rFonts w:eastAsia="Calibri"/>
        </w:rPr>
        <w:t>ing</w:t>
      </w:r>
      <w:r w:rsidRPr="006E4CA4">
        <w:rPr>
          <w:rFonts w:eastAsia="Calibri"/>
        </w:rPr>
        <w:t xml:space="preserve"> on the activity of terrorist groups and government </w:t>
      </w:r>
      <w:r w:rsidR="00EC534F" w:rsidRPr="006E4CA4">
        <w:rPr>
          <w:rFonts w:eastAsia="Calibri"/>
        </w:rPr>
        <w:t>counterterrorism</w:t>
      </w:r>
      <w:r w:rsidRPr="006E4CA4">
        <w:rPr>
          <w:rFonts w:eastAsia="Calibri"/>
        </w:rPr>
        <w:t xml:space="preserve"> capabilities.</w:t>
      </w:r>
      <w:r>
        <w:rPr>
          <w:rFonts w:eastAsia="Calibri"/>
        </w:rPr>
        <w:t xml:space="preserve"> </w:t>
      </w:r>
      <w:r w:rsidR="00B40F4E">
        <w:rPr>
          <w:rFonts w:eastAsia="Calibri"/>
        </w:rPr>
        <w:t>This information is not generally available to insurers</w:t>
      </w:r>
      <w:r w:rsidR="006154B1">
        <w:rPr>
          <w:rFonts w:eastAsia="Calibri"/>
        </w:rPr>
        <w:t>.</w:t>
      </w:r>
    </w:p>
    <w:p w14:paraId="7AFC76FF" w14:textId="28A4215E" w:rsidR="00C60687" w:rsidRPr="003F0489" w:rsidRDefault="006E4CA4" w:rsidP="00582A4D">
      <w:pPr>
        <w:pStyle w:val="Bullet"/>
      </w:pPr>
      <w:r>
        <w:rPr>
          <w:rFonts w:eastAsia="Calibri"/>
        </w:rPr>
        <w:t>F</w:t>
      </w:r>
      <w:r w:rsidR="00C60687" w:rsidRPr="003F0489">
        <w:rPr>
          <w:rFonts w:eastAsia="Calibri"/>
        </w:rPr>
        <w:t xml:space="preserve">or the purposes of underwriting insurance products, there continues to be considerable uncertainty in determining what an actuarially sound price for terrorism risk would be. This is particularly </w:t>
      </w:r>
      <w:r w:rsidR="00AB4CE0">
        <w:rPr>
          <w:rFonts w:eastAsia="Calibri"/>
        </w:rPr>
        <w:t>an issue</w:t>
      </w:r>
      <w:r w:rsidR="00C60687" w:rsidRPr="003F0489">
        <w:rPr>
          <w:rFonts w:eastAsia="Calibri"/>
        </w:rPr>
        <w:t xml:space="preserve"> </w:t>
      </w:r>
      <w:r w:rsidR="00565624">
        <w:rPr>
          <w:rFonts w:eastAsia="Calibri"/>
        </w:rPr>
        <w:t>because</w:t>
      </w:r>
      <w:r w:rsidR="00C60687" w:rsidRPr="003F0489">
        <w:rPr>
          <w:rFonts w:eastAsia="Calibri"/>
        </w:rPr>
        <w:t xml:space="preserve"> there </w:t>
      </w:r>
      <w:r>
        <w:rPr>
          <w:rFonts w:eastAsia="Calibri"/>
        </w:rPr>
        <w:t>is</w:t>
      </w:r>
      <w:r w:rsidR="00C60687" w:rsidRPr="003F0489">
        <w:rPr>
          <w:rFonts w:eastAsia="Calibri"/>
        </w:rPr>
        <w:t xml:space="preserve"> a lack of depth in claims history. </w:t>
      </w:r>
    </w:p>
    <w:p w14:paraId="33C62C4B" w14:textId="34F6DFD9" w:rsidR="005A78AE" w:rsidRPr="003F0489" w:rsidRDefault="00C60687" w:rsidP="00582A4D">
      <w:pPr>
        <w:pStyle w:val="Bullet"/>
      </w:pPr>
      <w:r w:rsidRPr="003F0489">
        <w:rPr>
          <w:rFonts w:eastAsia="Calibri"/>
        </w:rPr>
        <w:t xml:space="preserve">The ARPC has been in a position to help the market gain insight into exposure and risk through the security agencies. As a ‘centre of expertise’, </w:t>
      </w:r>
      <w:r w:rsidR="006E4CA4">
        <w:rPr>
          <w:rFonts w:eastAsia="Calibri"/>
        </w:rPr>
        <w:t>a number of reinsurers noted that the</w:t>
      </w:r>
      <w:r w:rsidR="006E4CA4" w:rsidRPr="003F0489">
        <w:rPr>
          <w:rFonts w:eastAsia="Calibri"/>
        </w:rPr>
        <w:t xml:space="preserve"> </w:t>
      </w:r>
      <w:r w:rsidRPr="003F0489">
        <w:rPr>
          <w:rFonts w:eastAsia="Calibri"/>
        </w:rPr>
        <w:t>ARPC</w:t>
      </w:r>
      <w:r w:rsidR="0092206C">
        <w:rPr>
          <w:rFonts w:eastAsia="Calibri"/>
        </w:rPr>
        <w:t>’s analytical work</w:t>
      </w:r>
      <w:r w:rsidRPr="003F0489">
        <w:rPr>
          <w:rFonts w:eastAsia="Calibri"/>
        </w:rPr>
        <w:t xml:space="preserve"> has </w:t>
      </w:r>
      <w:r w:rsidR="0092206C">
        <w:rPr>
          <w:rFonts w:eastAsia="Calibri"/>
        </w:rPr>
        <w:t>improve</w:t>
      </w:r>
      <w:r w:rsidR="00AB4CE0">
        <w:rPr>
          <w:rFonts w:eastAsia="Calibri"/>
        </w:rPr>
        <w:t>d</w:t>
      </w:r>
      <w:r w:rsidR="00C206F7">
        <w:rPr>
          <w:rFonts w:eastAsia="Calibri"/>
        </w:rPr>
        <w:t xml:space="preserve"> their</w:t>
      </w:r>
      <w:r w:rsidR="0092206C">
        <w:rPr>
          <w:rFonts w:eastAsia="Calibri"/>
        </w:rPr>
        <w:t xml:space="preserve"> understanding</w:t>
      </w:r>
      <w:r w:rsidR="0092206C" w:rsidRPr="003F0489">
        <w:rPr>
          <w:rFonts w:eastAsia="Calibri"/>
        </w:rPr>
        <w:t xml:space="preserve"> </w:t>
      </w:r>
      <w:r w:rsidR="00C206F7">
        <w:rPr>
          <w:rFonts w:eastAsia="Calibri"/>
        </w:rPr>
        <w:t>of</w:t>
      </w:r>
      <w:r w:rsidR="0092206C">
        <w:rPr>
          <w:rFonts w:eastAsia="Calibri"/>
        </w:rPr>
        <w:t xml:space="preserve"> Australian terror</w:t>
      </w:r>
      <w:r w:rsidR="00707617">
        <w:rPr>
          <w:rFonts w:eastAsia="Calibri"/>
        </w:rPr>
        <w:t>ism</w:t>
      </w:r>
      <w:r w:rsidR="0092206C">
        <w:rPr>
          <w:rFonts w:eastAsia="Calibri"/>
        </w:rPr>
        <w:t xml:space="preserve"> risks</w:t>
      </w:r>
      <w:r w:rsidR="006E4CA4">
        <w:rPr>
          <w:rFonts w:eastAsia="Calibri"/>
        </w:rPr>
        <w:t>. This has</w:t>
      </w:r>
      <w:r w:rsidR="0092206C">
        <w:rPr>
          <w:rFonts w:eastAsia="Calibri"/>
        </w:rPr>
        <w:t xml:space="preserve"> </w:t>
      </w:r>
      <w:r w:rsidR="006E4CA4">
        <w:rPr>
          <w:rFonts w:eastAsia="Calibri"/>
        </w:rPr>
        <w:t>enable</w:t>
      </w:r>
      <w:r w:rsidR="00475A03">
        <w:rPr>
          <w:rFonts w:eastAsia="Calibri"/>
        </w:rPr>
        <w:t>d</w:t>
      </w:r>
      <w:r w:rsidR="006E4CA4">
        <w:rPr>
          <w:rFonts w:eastAsia="Calibri"/>
        </w:rPr>
        <w:t xml:space="preserve"> </w:t>
      </w:r>
      <w:r w:rsidR="0092206C">
        <w:rPr>
          <w:rFonts w:eastAsia="Calibri"/>
        </w:rPr>
        <w:t xml:space="preserve">the ARPC </w:t>
      </w:r>
      <w:r w:rsidR="003951D2">
        <w:rPr>
          <w:rFonts w:eastAsia="Calibri"/>
        </w:rPr>
        <w:t xml:space="preserve">to </w:t>
      </w:r>
      <w:r w:rsidR="0092206C">
        <w:rPr>
          <w:rFonts w:eastAsia="Calibri"/>
        </w:rPr>
        <w:t>bring in</w:t>
      </w:r>
      <w:r w:rsidR="005A78AE">
        <w:rPr>
          <w:rFonts w:eastAsia="Calibri"/>
        </w:rPr>
        <w:t xml:space="preserve"> </w:t>
      </w:r>
      <w:r w:rsidR="0092206C">
        <w:rPr>
          <w:rFonts w:eastAsia="Calibri"/>
        </w:rPr>
        <w:t>private market</w:t>
      </w:r>
      <w:r w:rsidR="0092206C" w:rsidRPr="003F0489">
        <w:rPr>
          <w:rFonts w:eastAsia="Calibri"/>
        </w:rPr>
        <w:t xml:space="preserve"> </w:t>
      </w:r>
      <w:r w:rsidRPr="003F0489">
        <w:rPr>
          <w:rFonts w:eastAsia="Calibri"/>
        </w:rPr>
        <w:t xml:space="preserve">capacity through the </w:t>
      </w:r>
      <w:r w:rsidR="0047265A">
        <w:rPr>
          <w:rFonts w:eastAsia="Calibri"/>
        </w:rPr>
        <w:t>ARPC</w:t>
      </w:r>
      <w:r w:rsidRPr="003F0489">
        <w:rPr>
          <w:rFonts w:eastAsia="Calibri"/>
        </w:rPr>
        <w:t xml:space="preserve">’s retrocession program. </w:t>
      </w:r>
    </w:p>
    <w:p w14:paraId="36AFDCCC" w14:textId="501691A5" w:rsidR="007E0BD1" w:rsidRDefault="00EF5B6C" w:rsidP="00F2363D">
      <w:pPr>
        <w:pStyle w:val="Bullet"/>
        <w:rPr>
          <w:rFonts w:eastAsia="Calibri"/>
        </w:rPr>
      </w:pPr>
      <w:r w:rsidRPr="00EC534F">
        <w:rPr>
          <w:rFonts w:eastAsia="Calibri"/>
        </w:rPr>
        <w:t>A number of</w:t>
      </w:r>
      <w:r w:rsidR="00C60687" w:rsidRPr="00EC534F">
        <w:rPr>
          <w:rFonts w:eastAsia="Calibri"/>
        </w:rPr>
        <w:t xml:space="preserve"> reinsurers indicated </w:t>
      </w:r>
      <w:r w:rsidR="00AC2A61">
        <w:rPr>
          <w:rFonts w:eastAsia="Calibri"/>
        </w:rPr>
        <w:t>that</w:t>
      </w:r>
      <w:r w:rsidR="00C60687">
        <w:rPr>
          <w:rFonts w:eastAsia="Calibri"/>
        </w:rPr>
        <w:t xml:space="preserve"> </w:t>
      </w:r>
      <w:r w:rsidR="00C60687" w:rsidRPr="00735809">
        <w:rPr>
          <w:rFonts w:eastAsia="Calibri"/>
        </w:rPr>
        <w:t xml:space="preserve">they would find it difficult to participate in the Australian terrorism insurance market without a mechanism like the ARPC. </w:t>
      </w:r>
      <w:r w:rsidR="006E4CA4" w:rsidRPr="00582A4D">
        <w:rPr>
          <w:rFonts w:eastAsia="Calibri"/>
        </w:rPr>
        <w:t>They noted that the ARPC is an efficient mechanism to pool terror</w:t>
      </w:r>
      <w:r w:rsidR="00707617">
        <w:rPr>
          <w:rFonts w:eastAsia="Calibri"/>
        </w:rPr>
        <w:t>ism</w:t>
      </w:r>
      <w:r w:rsidR="006E4CA4" w:rsidRPr="00582A4D">
        <w:rPr>
          <w:rFonts w:eastAsia="Calibri"/>
        </w:rPr>
        <w:t xml:space="preserve"> risks</w:t>
      </w:r>
      <w:r w:rsidR="0092206C" w:rsidRPr="00582A4D">
        <w:rPr>
          <w:rFonts w:eastAsia="Calibri"/>
        </w:rPr>
        <w:t xml:space="preserve"> and without </w:t>
      </w:r>
      <w:r w:rsidR="00693C91" w:rsidRPr="005A78AE">
        <w:rPr>
          <w:rFonts w:eastAsia="Calibri"/>
        </w:rPr>
        <w:t>it</w:t>
      </w:r>
      <w:r w:rsidR="00693C91">
        <w:rPr>
          <w:rFonts w:eastAsia="Calibri"/>
        </w:rPr>
        <w:t xml:space="preserve">s existence </w:t>
      </w:r>
      <w:r w:rsidR="0092206C">
        <w:rPr>
          <w:rFonts w:eastAsia="Calibri"/>
        </w:rPr>
        <w:t>it</w:t>
      </w:r>
      <w:r w:rsidR="0092206C" w:rsidRPr="00735809">
        <w:rPr>
          <w:rFonts w:eastAsia="Calibri"/>
        </w:rPr>
        <w:t xml:space="preserve"> would be very difficult</w:t>
      </w:r>
      <w:r w:rsidR="0092206C" w:rsidRPr="00582A4D">
        <w:rPr>
          <w:rFonts w:eastAsia="Calibri"/>
        </w:rPr>
        <w:t xml:space="preserve"> to otherwise affordably insure the sum of properties in the ARPC portfolio ($3.6 trillion) for terror</w:t>
      </w:r>
      <w:r w:rsidR="00707617">
        <w:rPr>
          <w:rFonts w:eastAsia="Calibri"/>
        </w:rPr>
        <w:t>ism</w:t>
      </w:r>
      <w:r w:rsidR="0092206C" w:rsidRPr="00582A4D">
        <w:rPr>
          <w:rFonts w:eastAsia="Calibri"/>
        </w:rPr>
        <w:t xml:space="preserve"> risks. </w:t>
      </w:r>
    </w:p>
    <w:p w14:paraId="20DF7944" w14:textId="2BFFD0FE" w:rsidR="00D608F2" w:rsidRPr="00A60349" w:rsidRDefault="00D608F2" w:rsidP="00582A4D">
      <w:pPr>
        <w:pStyle w:val="Heading2"/>
      </w:pPr>
      <w:bookmarkStart w:id="48" w:name="_Toc81844188"/>
      <w:bookmarkStart w:id="49" w:name="_Toc89070024"/>
      <w:r w:rsidRPr="00A60349">
        <w:t>Conclusion</w:t>
      </w:r>
      <w:bookmarkEnd w:id="48"/>
      <w:bookmarkEnd w:id="49"/>
    </w:p>
    <w:p w14:paraId="0023360E" w14:textId="06399868" w:rsidR="00A60349" w:rsidRDefault="00A60349" w:rsidP="00A60349">
      <w:r>
        <w:t xml:space="preserve">This </w:t>
      </w:r>
      <w:r w:rsidR="00A6335E">
        <w:t>R</w:t>
      </w:r>
      <w:r>
        <w:t xml:space="preserve">eview supports the continuation of the </w:t>
      </w:r>
      <w:r w:rsidR="00D8708F">
        <w:t>s</w:t>
      </w:r>
      <w:r>
        <w:t xml:space="preserve">cheme. </w:t>
      </w:r>
    </w:p>
    <w:p w14:paraId="2DA9874C" w14:textId="25ECC9E4" w:rsidR="00A60349" w:rsidRPr="00A60349" w:rsidRDefault="00A60349" w:rsidP="00A60349">
      <w:r w:rsidRPr="00E87DC2">
        <w:t xml:space="preserve">At this time, there is no viable alternative for insurers to seek terrorism reinsurance cover at commercially </w:t>
      </w:r>
      <w:r>
        <w:t>reasonable</w:t>
      </w:r>
      <w:r w:rsidRPr="00E87DC2">
        <w:t xml:space="preserve"> </w:t>
      </w:r>
      <w:r>
        <w:t>prices</w:t>
      </w:r>
      <w:r w:rsidRPr="000137EB">
        <w:t xml:space="preserve">. This Review </w:t>
      </w:r>
      <w:r>
        <w:t>finds</w:t>
      </w:r>
      <w:r w:rsidRPr="000137EB">
        <w:t xml:space="preserve"> that without the scheme, a market failure for terrorism insurance would </w:t>
      </w:r>
      <w:r>
        <w:t xml:space="preserve">likely </w:t>
      </w:r>
      <w:r w:rsidRPr="000137EB">
        <w:t xml:space="preserve">re-emerge that </w:t>
      </w:r>
      <w:r>
        <w:t xml:space="preserve">would </w:t>
      </w:r>
      <w:r w:rsidR="00934BE0">
        <w:t>have significant</w:t>
      </w:r>
      <w:r>
        <w:t xml:space="preserve"> </w:t>
      </w:r>
      <w:r w:rsidR="00934BE0">
        <w:t>negative</w:t>
      </w:r>
      <w:r>
        <w:t xml:space="preserve"> impact</w:t>
      </w:r>
      <w:r w:rsidR="00565624">
        <w:t>s</w:t>
      </w:r>
      <w:r w:rsidRPr="000137EB">
        <w:t xml:space="preserve"> </w:t>
      </w:r>
      <w:r w:rsidR="00934BE0">
        <w:t xml:space="preserve">on </w:t>
      </w:r>
      <w:r w:rsidRPr="000137EB">
        <w:t xml:space="preserve">economic activity. Most stakeholders who engaged </w:t>
      </w:r>
      <w:r>
        <w:t>in the Review’s</w:t>
      </w:r>
      <w:r w:rsidRPr="000137EB">
        <w:t xml:space="preserve"> consultation process supported the continuation of the Act. </w:t>
      </w:r>
    </w:p>
    <w:p w14:paraId="5BB8429A" w14:textId="712ADAE7" w:rsidR="00A60349" w:rsidRPr="00DE36D6" w:rsidRDefault="00A60349" w:rsidP="00A60349">
      <w:r w:rsidRPr="00DE36D6">
        <w:t>This recommendation aligns with previous reviews and with policy outcomes in international jurisdictions, with Governments continuing to support terrorism pools or government-backed reinsurance schemes. There are around 20 foreign jurisdictions with terrorism pools or reinsurance schemes</w:t>
      </w:r>
      <w:r w:rsidR="00AB0486">
        <w:rPr>
          <w:rStyle w:val="FootnoteReference"/>
        </w:rPr>
        <w:footnoteReference w:id="17"/>
      </w:r>
      <w:r w:rsidRPr="00DE36D6">
        <w:t xml:space="preserve">. Existing schemes that are subject to periodic reviews </w:t>
      </w:r>
      <w:r w:rsidR="000C0C04">
        <w:t>continue to be</w:t>
      </w:r>
      <w:r w:rsidRPr="00DE36D6">
        <w:t xml:space="preserve"> renewed. For example, the </w:t>
      </w:r>
      <w:r w:rsidRPr="00E80B2B">
        <w:rPr>
          <w:i/>
          <w:iCs/>
        </w:rPr>
        <w:t>Terrorism Risk Insurance Act</w:t>
      </w:r>
      <w:r w:rsidRPr="00DE36D6">
        <w:t xml:space="preserve"> in the United States, which was set up in 2002 and is subject to periodic reauthorisation in order to continue, has been extended in 2005, 2007, 2015 and most recently in 2019 until 2027. </w:t>
      </w:r>
    </w:p>
    <w:p w14:paraId="3D327BAE" w14:textId="6FD3FCCA" w:rsidR="005A0F2F" w:rsidRDefault="00E650E5" w:rsidP="00E650E5">
      <w:pPr>
        <w:pStyle w:val="Heading1"/>
      </w:pPr>
      <w:r>
        <w:br w:type="column"/>
      </w:r>
      <w:bookmarkStart w:id="50" w:name="_Toc81844189"/>
      <w:bookmarkStart w:id="51" w:name="_Toc89070025"/>
      <w:r w:rsidR="005A0F2F">
        <w:lastRenderedPageBreak/>
        <w:t>Chapter 3: Cyber-terror attacks that cause physical property damage</w:t>
      </w:r>
      <w:bookmarkEnd w:id="50"/>
      <w:bookmarkEnd w:id="51"/>
    </w:p>
    <w:tbl>
      <w:tblPr>
        <w:tblW w:w="5000" w:type="pct"/>
        <w:shd w:val="clear" w:color="auto" w:fill="D5E1F1" w:themeFill="accent2" w:themeFillTint="33"/>
        <w:tblLook w:val="01E0" w:firstRow="1" w:lastRow="1" w:firstColumn="1" w:lastColumn="1" w:noHBand="0" w:noVBand="0"/>
      </w:tblPr>
      <w:tblGrid>
        <w:gridCol w:w="9072"/>
      </w:tblGrid>
      <w:tr w:rsidR="000573E5" w14:paraId="651A6000" w14:textId="77777777" w:rsidTr="00464D63">
        <w:tc>
          <w:tcPr>
            <w:tcW w:w="5000" w:type="pct"/>
            <w:shd w:val="clear" w:color="auto" w:fill="D5E1F1" w:themeFill="accent2" w:themeFillTint="33"/>
          </w:tcPr>
          <w:p w14:paraId="030FA518" w14:textId="30613432" w:rsidR="002508D3" w:rsidRDefault="002508D3" w:rsidP="002508D3">
            <w:pPr>
              <w:pStyle w:val="BoxText"/>
            </w:pPr>
            <w:bookmarkStart w:id="52" w:name="_Hlk81846568"/>
            <w:r w:rsidRPr="00B17C3E">
              <w:rPr>
                <w:b/>
                <w:color w:val="002C47" w:themeColor="accent1"/>
                <w:sz w:val="26"/>
                <w:szCs w:val="26"/>
              </w:rPr>
              <w:t>Issue:</w:t>
            </w:r>
            <w:r>
              <w:t xml:space="preserve"> </w:t>
            </w:r>
            <w:r w:rsidRPr="000573E5">
              <w:t xml:space="preserve">Whether cyber terrorism causing damage to </w:t>
            </w:r>
            <w:r w:rsidR="00EA2858">
              <w:t xml:space="preserve">physical </w:t>
            </w:r>
            <w:r w:rsidRPr="000573E5">
              <w:t xml:space="preserve">property should be included in the scheme. </w:t>
            </w:r>
          </w:p>
          <w:p w14:paraId="0A3D32C8" w14:textId="2A96863D" w:rsidR="002508D3" w:rsidRDefault="002508D3" w:rsidP="002508D3">
            <w:pPr>
              <w:pStyle w:val="BoxText"/>
            </w:pPr>
            <w:r w:rsidRPr="000573E5">
              <w:rPr>
                <w:b/>
                <w:color w:val="002C47" w:themeColor="accent1"/>
                <w:sz w:val="26"/>
                <w:szCs w:val="26"/>
              </w:rPr>
              <w:t>Finding</w:t>
            </w:r>
            <w:r>
              <w:rPr>
                <w:b/>
                <w:color w:val="002C47" w:themeColor="accent1"/>
                <w:sz w:val="26"/>
                <w:szCs w:val="26"/>
              </w:rPr>
              <w:t xml:space="preserve"> </w:t>
            </w:r>
            <w:r w:rsidR="007C3A55">
              <w:rPr>
                <w:b/>
                <w:color w:val="002C47" w:themeColor="accent1"/>
                <w:sz w:val="26"/>
                <w:szCs w:val="26"/>
              </w:rPr>
              <w:t>2</w:t>
            </w:r>
            <w:r>
              <w:rPr>
                <w:b/>
                <w:color w:val="002C47" w:themeColor="accent1"/>
                <w:sz w:val="26"/>
                <w:szCs w:val="26"/>
              </w:rPr>
              <w:t xml:space="preserve">: </w:t>
            </w:r>
            <w:r w:rsidRPr="003E5AFF">
              <w:t>Cyber insurance is an evolving market and there is yet to be a clear and evident market failure in relation to physical property damage from cyber terrorism</w:t>
            </w:r>
            <w:r>
              <w:t>.</w:t>
            </w:r>
          </w:p>
          <w:p w14:paraId="05212F25" w14:textId="5854535B" w:rsidR="000573E5" w:rsidRPr="008950C5" w:rsidRDefault="002508D3" w:rsidP="002508D3">
            <w:pPr>
              <w:pStyle w:val="BoxText"/>
            </w:pPr>
            <w:r w:rsidRPr="00B17C3E">
              <w:rPr>
                <w:b/>
                <w:color w:val="002C47" w:themeColor="accent1"/>
                <w:sz w:val="26"/>
                <w:szCs w:val="26"/>
              </w:rPr>
              <w:t xml:space="preserve">Recommendation </w:t>
            </w:r>
            <w:r w:rsidR="007C3A55">
              <w:rPr>
                <w:b/>
                <w:color w:val="002C47" w:themeColor="accent1"/>
                <w:sz w:val="26"/>
                <w:szCs w:val="26"/>
              </w:rPr>
              <w:t>2</w:t>
            </w:r>
            <w:r w:rsidRPr="00B17C3E">
              <w:rPr>
                <w:b/>
                <w:color w:val="002C47" w:themeColor="accent1"/>
                <w:sz w:val="26"/>
                <w:szCs w:val="26"/>
              </w:rPr>
              <w:t>:</w:t>
            </w:r>
            <w:r w:rsidRPr="00EA51C3">
              <w:rPr>
                <w:rFonts w:ascii="Arial" w:eastAsia="Arial" w:hAnsi="Arial" w:cs="Arial"/>
                <w:b/>
                <w:color w:val="000000"/>
                <w:sz w:val="20"/>
                <w:szCs w:val="22"/>
              </w:rPr>
              <w:t xml:space="preserve"> </w:t>
            </w:r>
            <w:r w:rsidRPr="00181AC8">
              <w:t xml:space="preserve">That the </w:t>
            </w:r>
            <w:r>
              <w:t>A</w:t>
            </w:r>
            <w:r w:rsidRPr="00181AC8">
              <w:t xml:space="preserve">ct </w:t>
            </w:r>
            <w:r>
              <w:t>maintains its current ‘computer crime’ exclusion.</w:t>
            </w:r>
          </w:p>
        </w:tc>
      </w:tr>
    </w:tbl>
    <w:p w14:paraId="7229E383" w14:textId="77777777" w:rsidR="00445DD6" w:rsidRDefault="00445DD6" w:rsidP="00F2363D">
      <w:pPr>
        <w:pStyle w:val="Heading2"/>
      </w:pPr>
      <w:bookmarkStart w:id="53" w:name="_Toc81844191"/>
      <w:bookmarkStart w:id="54" w:name="_Toc89070026"/>
      <w:bookmarkEnd w:id="52"/>
      <w:r w:rsidRPr="00C51EDE">
        <w:t>Cyber</w:t>
      </w:r>
      <w:bookmarkEnd w:id="53"/>
      <w:bookmarkEnd w:id="54"/>
      <w:r w:rsidRPr="00C51EDE">
        <w:t xml:space="preserve"> </w:t>
      </w:r>
    </w:p>
    <w:p w14:paraId="4C0A0DED" w14:textId="77777777" w:rsidR="00445DD6" w:rsidRDefault="00445DD6" w:rsidP="00F2363D">
      <w:pPr>
        <w:spacing w:after="232" w:line="238" w:lineRule="auto"/>
        <w:ind w:left="-3" w:hanging="9"/>
      </w:pPr>
      <w:r>
        <w:t>Australia’s growing adoption of digital technology has produced an interconnected and technologically dependent society, which enjoys both a high quality of life and a resilient economy. This process has only accelerated since the beginning of the COVID-19 pandemic, where much of Australia’s workforce transitioned to remote working arrangements.</w:t>
      </w:r>
    </w:p>
    <w:p w14:paraId="2C4FDC16" w14:textId="366A3050" w:rsidR="00AF3623" w:rsidRDefault="00C65D7C" w:rsidP="00F2363D">
      <w:pPr>
        <w:spacing w:after="232" w:line="238" w:lineRule="auto"/>
        <w:ind w:left="-3" w:hanging="9"/>
      </w:pPr>
      <w:r>
        <w:t xml:space="preserve">However, </w:t>
      </w:r>
      <w:r w:rsidR="008632DF">
        <w:t xml:space="preserve">while </w:t>
      </w:r>
      <w:r w:rsidR="00286243">
        <w:t>digitisation</w:t>
      </w:r>
      <w:r w:rsidR="00044814">
        <w:t xml:space="preserve"> has</w:t>
      </w:r>
      <w:r w:rsidR="008632DF">
        <w:t xml:space="preserve"> </w:t>
      </w:r>
      <w:r w:rsidR="00044814">
        <w:t xml:space="preserve">created opportunities, </w:t>
      </w:r>
      <w:r w:rsidR="00282187">
        <w:t xml:space="preserve">it </w:t>
      </w:r>
      <w:r w:rsidR="0006549C">
        <w:t>is</w:t>
      </w:r>
      <w:r w:rsidR="00282187">
        <w:t xml:space="preserve"> not without</w:t>
      </w:r>
      <w:r>
        <w:t xml:space="preserve"> risks. </w:t>
      </w:r>
      <w:r w:rsidR="00044814">
        <w:t xml:space="preserve">The </w:t>
      </w:r>
      <w:r w:rsidR="002F3F37">
        <w:t xml:space="preserve">integration of </w:t>
      </w:r>
      <w:r w:rsidR="00286243">
        <w:t>information technology</w:t>
      </w:r>
      <w:r w:rsidR="002F3F37">
        <w:t xml:space="preserve"> has </w:t>
      </w:r>
      <w:r w:rsidR="00445DD6">
        <w:t xml:space="preserve">increased </w:t>
      </w:r>
      <w:r w:rsidR="00D86438">
        <w:t>businesses’</w:t>
      </w:r>
      <w:r w:rsidR="0006549C">
        <w:t xml:space="preserve"> </w:t>
      </w:r>
      <w:r w:rsidR="00E444C4">
        <w:t xml:space="preserve">exposure </w:t>
      </w:r>
      <w:r w:rsidR="00082C58">
        <w:t>to</w:t>
      </w:r>
      <w:r w:rsidR="002F3F37">
        <w:t xml:space="preserve"> cyber-attacks. </w:t>
      </w:r>
      <w:r w:rsidR="009F1E55">
        <w:t>These attacks can vary</w:t>
      </w:r>
      <w:r w:rsidR="00135A40">
        <w:t xml:space="preserve"> from</w:t>
      </w:r>
      <w:r w:rsidR="00121DAE">
        <w:t xml:space="preserve"> </w:t>
      </w:r>
      <w:r w:rsidR="00286243">
        <w:t>data theft</w:t>
      </w:r>
      <w:r w:rsidR="00121DAE">
        <w:t xml:space="preserve">, </w:t>
      </w:r>
      <w:r w:rsidR="00F3773D">
        <w:t>ransomware that</w:t>
      </w:r>
      <w:r w:rsidR="00286243">
        <w:t xml:space="preserve"> </w:t>
      </w:r>
      <w:r w:rsidR="00121DAE">
        <w:t>render</w:t>
      </w:r>
      <w:r w:rsidR="00286243">
        <w:t>s</w:t>
      </w:r>
      <w:r w:rsidR="00121DAE">
        <w:t xml:space="preserve"> </w:t>
      </w:r>
      <w:r w:rsidR="00135A40">
        <w:t>computers</w:t>
      </w:r>
      <w:r w:rsidR="00121DAE">
        <w:t xml:space="preserve"> inoperable, or even </w:t>
      </w:r>
      <w:r w:rsidR="00632395">
        <w:t xml:space="preserve">attacks that </w:t>
      </w:r>
      <w:r w:rsidR="008E33F4">
        <w:t>result in</w:t>
      </w:r>
      <w:r w:rsidR="00121DAE">
        <w:t xml:space="preserve"> physical property</w:t>
      </w:r>
      <w:r w:rsidR="00F3773D" w:rsidRPr="00F3773D">
        <w:t xml:space="preserve"> </w:t>
      </w:r>
      <w:r w:rsidR="00F3773D">
        <w:t>damage</w:t>
      </w:r>
      <w:r w:rsidR="00121DAE">
        <w:t>. The capabilities and motives of</w:t>
      </w:r>
      <w:r w:rsidR="00082C58">
        <w:t xml:space="preserve"> </w:t>
      </w:r>
      <w:r w:rsidR="0006549C">
        <w:t>cyber-attackers</w:t>
      </w:r>
      <w:r w:rsidR="00121DAE">
        <w:t xml:space="preserve"> also vary, from sophisticated state</w:t>
      </w:r>
      <w:r w:rsidR="008E33F4">
        <w:t>-</w:t>
      </w:r>
      <w:r w:rsidR="00121DAE">
        <w:t>sponsored attacks</w:t>
      </w:r>
      <w:r w:rsidR="00944E2E">
        <w:t>,</w:t>
      </w:r>
      <w:r w:rsidR="00121DAE">
        <w:t xml:space="preserve"> to </w:t>
      </w:r>
      <w:r w:rsidR="00944E2E">
        <w:t xml:space="preserve">financially motivated cyber criminals </w:t>
      </w:r>
      <w:r w:rsidR="0006549C">
        <w:t>using</w:t>
      </w:r>
      <w:r w:rsidR="00944E2E">
        <w:t xml:space="preserve"> ransomware, to terrorist groups </w:t>
      </w:r>
      <w:r w:rsidR="00632395">
        <w:t>that</w:t>
      </w:r>
      <w:r w:rsidR="00944E2E">
        <w:t xml:space="preserve"> </w:t>
      </w:r>
      <w:r w:rsidR="00F3773D">
        <w:t>typically</w:t>
      </w:r>
      <w:r w:rsidR="00944E2E">
        <w:t xml:space="preserve"> employ basic</w:t>
      </w:r>
      <w:r w:rsidR="008E33F4">
        <w:t xml:space="preserve"> </w:t>
      </w:r>
      <w:r w:rsidR="00944E2E">
        <w:t>cyber methods</w:t>
      </w:r>
      <w:r w:rsidR="00F3773D">
        <w:t xml:space="preserve">. </w:t>
      </w:r>
    </w:p>
    <w:p w14:paraId="4AAB6D99" w14:textId="2E3A7922" w:rsidR="00B97208" w:rsidRDefault="00082C58" w:rsidP="00F2363D">
      <w:pPr>
        <w:spacing w:after="232" w:line="238" w:lineRule="auto"/>
        <w:ind w:left="-3" w:hanging="9"/>
      </w:pPr>
      <w:r>
        <w:t>In recent years</w:t>
      </w:r>
      <w:r w:rsidR="00282187">
        <w:t>,</w:t>
      </w:r>
      <w:r>
        <w:t xml:space="preserve"> b</w:t>
      </w:r>
      <w:r w:rsidR="002F3F37">
        <w:t xml:space="preserve">usinesses and individuals </w:t>
      </w:r>
      <w:r w:rsidR="00282187">
        <w:t>have become</w:t>
      </w:r>
      <w:r w:rsidR="002F3F37">
        <w:t xml:space="preserve"> increasingly aware of </w:t>
      </w:r>
      <w:r w:rsidR="00B462B7">
        <w:t>this</w:t>
      </w:r>
      <w:r w:rsidR="002F3F37">
        <w:t xml:space="preserve"> risk</w:t>
      </w:r>
      <w:r>
        <w:t xml:space="preserve">, </w:t>
      </w:r>
      <w:r w:rsidR="002F3F37">
        <w:t xml:space="preserve">and </w:t>
      </w:r>
      <w:r>
        <w:t>in response</w:t>
      </w:r>
      <w:r w:rsidR="002425DE">
        <w:t>,</w:t>
      </w:r>
      <w:r w:rsidR="002F3F37">
        <w:t xml:space="preserve"> </w:t>
      </w:r>
      <w:r>
        <w:t>markets are developing</w:t>
      </w:r>
      <w:r w:rsidR="00CF6DCA">
        <w:t xml:space="preserve"> solutions</w:t>
      </w:r>
      <w:r w:rsidR="002F3F37">
        <w:t xml:space="preserve"> to help customers manage these risks, primarily through </w:t>
      </w:r>
      <w:r>
        <w:t>cyber security measures and to a lesser extent, cyber insurance.</w:t>
      </w:r>
    </w:p>
    <w:p w14:paraId="09C15E9C" w14:textId="1908EE19" w:rsidR="00944E2E" w:rsidRPr="00B97208" w:rsidRDefault="00632395" w:rsidP="00F2363D">
      <w:pPr>
        <w:spacing w:after="232" w:line="238" w:lineRule="auto"/>
        <w:ind w:left="-3" w:hanging="9"/>
      </w:pPr>
      <w:r>
        <w:t>In this</w:t>
      </w:r>
      <w:r w:rsidR="00944E2E">
        <w:t xml:space="preserve"> Review</w:t>
      </w:r>
      <w:r>
        <w:t xml:space="preserve">, </w:t>
      </w:r>
      <w:r w:rsidR="00944E2E">
        <w:t xml:space="preserve">Treasury has considered the inclusion of cyber </w:t>
      </w:r>
      <w:r w:rsidR="00944E2E" w:rsidRPr="001A64FD">
        <w:t xml:space="preserve">terror attacks </w:t>
      </w:r>
      <w:r w:rsidR="00F3773D" w:rsidRPr="001A64FD">
        <w:t xml:space="preserve">that cause </w:t>
      </w:r>
      <w:r w:rsidR="00944E2E" w:rsidRPr="001A64FD">
        <w:t>physical property damage within the scheme</w:t>
      </w:r>
      <w:r w:rsidR="00F3773D" w:rsidRPr="001A64FD">
        <w:t xml:space="preserve">. </w:t>
      </w:r>
      <w:r w:rsidR="00780BB1" w:rsidRPr="001A64FD">
        <w:t>This assessment has taken into account</w:t>
      </w:r>
      <w:r w:rsidR="00944E2E" w:rsidRPr="001A64FD">
        <w:t xml:space="preserve"> that</w:t>
      </w:r>
      <w:r w:rsidR="00F3773D" w:rsidRPr="001A64FD">
        <w:t xml:space="preserve"> cyber </w:t>
      </w:r>
      <w:r w:rsidR="00E45AD5" w:rsidRPr="001A64FD">
        <w:t xml:space="preserve">terror </w:t>
      </w:r>
      <w:r w:rsidR="00530F6F" w:rsidRPr="001A64FD">
        <w:t>causing</w:t>
      </w:r>
      <w:r w:rsidR="00E45AD5" w:rsidRPr="001A64FD">
        <w:t xml:space="preserve"> physical property damage </w:t>
      </w:r>
      <w:r w:rsidR="00530F6F" w:rsidRPr="001A64FD">
        <w:t>is only a s</w:t>
      </w:r>
      <w:r w:rsidR="00530F6F" w:rsidRPr="00530F6F">
        <w:t xml:space="preserve">mall portion of </w:t>
      </w:r>
      <w:r w:rsidR="001A64FD">
        <w:t>cyber risk broadly</w:t>
      </w:r>
      <w:r w:rsidR="00530F6F" w:rsidRPr="00530F6F">
        <w:t>.</w:t>
      </w:r>
      <w:r w:rsidR="00530F6F" w:rsidRPr="00530F6F" w:rsidDel="00530F6F">
        <w:t xml:space="preserve"> </w:t>
      </w:r>
    </w:p>
    <w:p w14:paraId="61F68B37" w14:textId="48130190" w:rsidR="00B97208" w:rsidRPr="00AF3623" w:rsidRDefault="00AF3623" w:rsidP="00D67709">
      <w:pPr>
        <w:pStyle w:val="Heading2"/>
      </w:pPr>
      <w:bookmarkStart w:id="55" w:name="_Toc81844192"/>
      <w:bookmarkStart w:id="56" w:name="_Toc89070027"/>
      <w:r w:rsidRPr="00AF3623">
        <w:t>Cyber insurance market trends</w:t>
      </w:r>
      <w:bookmarkEnd w:id="55"/>
      <w:bookmarkEnd w:id="56"/>
    </w:p>
    <w:p w14:paraId="1D3CA61E" w14:textId="4074DB26" w:rsidR="00445DD6" w:rsidRDefault="00445DD6" w:rsidP="00F2363D">
      <w:pPr>
        <w:spacing w:after="232" w:line="238" w:lineRule="auto"/>
        <w:ind w:left="-3" w:hanging="9"/>
      </w:pPr>
      <w:r w:rsidRPr="00025AE4">
        <w:t>The Cyber insurance market is an emerging</w:t>
      </w:r>
      <w:r>
        <w:t xml:space="preserve"> and rapidly evolving</w:t>
      </w:r>
      <w:r w:rsidRPr="00025AE4">
        <w:t xml:space="preserve"> market.</w:t>
      </w:r>
      <w:r>
        <w:t xml:space="preserve"> While in Australia the cyber market is small compared to other insurance markets, estimated</w:t>
      </w:r>
      <w:r w:rsidR="002C2F43">
        <w:t xml:space="preserve"> at approximately </w:t>
      </w:r>
      <w:r>
        <w:t>$1</w:t>
      </w:r>
      <w:r w:rsidR="002C2F43">
        <w:t>1</w:t>
      </w:r>
      <w:r>
        <w:t>0</w:t>
      </w:r>
      <w:r w:rsidR="002E6E64">
        <w:t xml:space="preserve"> million</w:t>
      </w:r>
      <w:r w:rsidR="002C2F43">
        <w:t xml:space="preserve"> </w:t>
      </w:r>
      <w:r w:rsidR="00C94E1E">
        <w:t xml:space="preserve">in premiums </w:t>
      </w:r>
      <w:r w:rsidR="002C2F43">
        <w:t>in 2021</w:t>
      </w:r>
      <w:r w:rsidR="00271715">
        <w:rPr>
          <w:rStyle w:val="FootnoteReference"/>
        </w:rPr>
        <w:footnoteReference w:id="18"/>
      </w:r>
      <w:r>
        <w:t>, it is growing. Marsh client data reveals that the number of Australian cyber insurance policies grew by almost 20 per cent in 2020 compared to the previous year</w:t>
      </w:r>
      <w:bookmarkStart w:id="57" w:name="_Ref81780085"/>
      <w:r w:rsidR="00780BB1">
        <w:t>.</w:t>
      </w:r>
      <w:r w:rsidR="000B4D02">
        <w:rPr>
          <w:rStyle w:val="FootnoteReference"/>
        </w:rPr>
        <w:footnoteReference w:id="19"/>
      </w:r>
      <w:bookmarkEnd w:id="57"/>
    </w:p>
    <w:p w14:paraId="56EA4E83" w14:textId="2C340F6B" w:rsidR="00EE22A6" w:rsidRDefault="00EE22A6" w:rsidP="00F2363D">
      <w:pPr>
        <w:spacing w:after="232" w:line="238" w:lineRule="auto"/>
        <w:ind w:left="-3" w:hanging="9"/>
      </w:pPr>
      <w:r>
        <w:lastRenderedPageBreak/>
        <w:t>In recent years cyber insurers have experienced a marked rise in the severity of cyber insurance claims, with direct loss ratios</w:t>
      </w:r>
      <w:r w:rsidR="008B7399">
        <w:t xml:space="preserve"> (the proportion of insurer income paid to </w:t>
      </w:r>
      <w:r w:rsidR="00C65790">
        <w:t>claimants</w:t>
      </w:r>
      <w:r w:rsidR="008B7399">
        <w:t>)</w:t>
      </w:r>
      <w:r>
        <w:t xml:space="preserve"> jumping from 47</w:t>
      </w:r>
      <w:r w:rsidR="00C658B9">
        <w:t> </w:t>
      </w:r>
      <w:r>
        <w:t>per</w:t>
      </w:r>
      <w:r w:rsidR="00C658B9">
        <w:t> </w:t>
      </w:r>
      <w:r>
        <w:t xml:space="preserve">cent to </w:t>
      </w:r>
      <w:r w:rsidR="005E3E0F">
        <w:t>73</w:t>
      </w:r>
      <w:r w:rsidR="00C658B9">
        <w:t> </w:t>
      </w:r>
      <w:r>
        <w:t>per</w:t>
      </w:r>
      <w:r w:rsidR="00C658B9">
        <w:t> </w:t>
      </w:r>
      <w:r>
        <w:t>cent between 2019 and 2020</w:t>
      </w:r>
      <w:bookmarkStart w:id="58" w:name="_Hlk81918184"/>
      <w:r w:rsidR="00F00A8B">
        <w:t>.</w:t>
      </w:r>
      <w:r w:rsidR="00273055">
        <w:rPr>
          <w:rStyle w:val="FootnoteReference"/>
        </w:rPr>
        <w:footnoteReference w:id="20"/>
      </w:r>
      <w:bookmarkEnd w:id="58"/>
    </w:p>
    <w:p w14:paraId="6D217AA6" w14:textId="44029944" w:rsidR="0029005C" w:rsidRDefault="003F7732" w:rsidP="00F2363D">
      <w:pPr>
        <w:spacing w:after="232" w:line="238" w:lineRule="auto"/>
        <w:ind w:left="-3" w:hanging="9"/>
      </w:pPr>
      <w:r>
        <w:t xml:space="preserve">However, insurers </w:t>
      </w:r>
      <w:r w:rsidR="00445DD6">
        <w:t xml:space="preserve">have not </w:t>
      </w:r>
      <w:r w:rsidR="00074EC1">
        <w:t>responded with</w:t>
      </w:r>
      <w:r w:rsidR="00445DD6">
        <w:t xml:space="preserve"> a broad-based withdrawal in market capacity. </w:t>
      </w:r>
      <w:r w:rsidR="00701722">
        <w:t>Instead</w:t>
      </w:r>
      <w:r w:rsidR="0029005C">
        <w:t>,</w:t>
      </w:r>
      <w:r w:rsidR="00701722">
        <w:t xml:space="preserve"> </w:t>
      </w:r>
      <w:r w:rsidR="0029005C">
        <w:t>insurers and reinsurers are</w:t>
      </w:r>
      <w:r w:rsidR="00701722">
        <w:t xml:space="preserve"> </w:t>
      </w:r>
      <w:r w:rsidR="003D0472">
        <w:t xml:space="preserve">adjusting their practices to ensure more sustainable underwriting </w:t>
      </w:r>
      <w:r w:rsidR="009F1E55">
        <w:t>practices</w:t>
      </w:r>
      <w:r w:rsidR="00445DD6">
        <w:t xml:space="preserve">. </w:t>
      </w:r>
      <w:r w:rsidR="00074EC1">
        <w:t>Insurers</w:t>
      </w:r>
      <w:r w:rsidR="00445DD6">
        <w:t xml:space="preserve"> are also revaluating the scale and frequency of cyber claims in response to poor claims results;</w:t>
      </w:r>
      <w:r>
        <w:t xml:space="preserve"> and</w:t>
      </w:r>
      <w:r w:rsidR="00445DD6">
        <w:t xml:space="preserve"> accordingly, premiums grew 51</w:t>
      </w:r>
      <w:r w:rsidR="00C658B9">
        <w:t> </w:t>
      </w:r>
      <w:r w:rsidR="00445DD6">
        <w:t>per</w:t>
      </w:r>
      <w:r w:rsidR="00C658B9">
        <w:t> </w:t>
      </w:r>
      <w:r w:rsidR="00445DD6">
        <w:t>cent in 2020</w:t>
      </w:r>
      <w:r w:rsidR="00F00A8B">
        <w:t>.</w:t>
      </w:r>
      <w:r w:rsidR="007C4CAA">
        <w:fldChar w:fldCharType="begin"/>
      </w:r>
      <w:r w:rsidR="007C4CAA">
        <w:instrText xml:space="preserve"> NOTEREF _Ref81780085 \f \h </w:instrText>
      </w:r>
      <w:r w:rsidR="007C4CAA">
        <w:fldChar w:fldCharType="separate"/>
      </w:r>
      <w:r w:rsidR="00597FC3" w:rsidRPr="00597FC3">
        <w:rPr>
          <w:rStyle w:val="FootnoteReference"/>
        </w:rPr>
        <w:t>18</w:t>
      </w:r>
      <w:r w:rsidR="007C4CAA">
        <w:fldChar w:fldCharType="end"/>
      </w:r>
    </w:p>
    <w:p w14:paraId="4904B31D" w14:textId="2904D7B7" w:rsidR="009F1E55" w:rsidRPr="00B90280" w:rsidRDefault="00074EC1" w:rsidP="005407E7">
      <w:r>
        <w:t>This process has</w:t>
      </w:r>
      <w:r w:rsidR="00D8708F">
        <w:t xml:space="preserve"> also</w:t>
      </w:r>
      <w:r>
        <w:t xml:space="preserve"> included efforts to provide improved clarity to policyholders. </w:t>
      </w:r>
      <w:r w:rsidR="00E77E32">
        <w:t xml:space="preserve">Up until recently, </w:t>
      </w:r>
      <w:r w:rsidR="00AA1F87">
        <w:t>most</w:t>
      </w:r>
      <w:r w:rsidR="00E77E32">
        <w:t xml:space="preserve"> </w:t>
      </w:r>
      <w:r w:rsidR="00AC12F4">
        <w:t xml:space="preserve">cyber </w:t>
      </w:r>
      <w:r w:rsidR="00E77E32">
        <w:t xml:space="preserve">insurance </w:t>
      </w:r>
      <w:r w:rsidR="00CF6DCA">
        <w:t xml:space="preserve">coverage </w:t>
      </w:r>
      <w:r w:rsidR="00C4503F">
        <w:t>was non-affirmative</w:t>
      </w:r>
      <w:r w:rsidR="00CF6DCA">
        <w:t>. This</w:t>
      </w:r>
      <w:r w:rsidR="00AC12F4">
        <w:t xml:space="preserve"> means that </w:t>
      </w:r>
      <w:r w:rsidR="00022EA3">
        <w:t>generalised clauses in non-cyber specific policies (such as a property insurance contract), would likely have covered cyber-related losses</w:t>
      </w:r>
      <w:r w:rsidR="00C4503F">
        <w:t xml:space="preserve">. </w:t>
      </w:r>
      <w:r w:rsidR="00912F78">
        <w:t xml:space="preserve">“Silent cyber” as this type of cover is known, </w:t>
      </w:r>
      <w:r w:rsidR="00261308">
        <w:t>created significant</w:t>
      </w:r>
      <w:r w:rsidR="00C4503F">
        <w:t xml:space="preserve"> ambiguity </w:t>
      </w:r>
      <w:r w:rsidR="00912F78">
        <w:t>on</w:t>
      </w:r>
      <w:r w:rsidR="00AC12F4">
        <w:t xml:space="preserve"> </w:t>
      </w:r>
      <w:r>
        <w:t>which</w:t>
      </w:r>
      <w:r w:rsidR="00261308">
        <w:t xml:space="preserve"> type</w:t>
      </w:r>
      <w:r w:rsidR="00AC12F4">
        <w:t>s of</w:t>
      </w:r>
      <w:r w:rsidR="00261308">
        <w:t xml:space="preserve"> </w:t>
      </w:r>
      <w:r w:rsidR="00C4503F">
        <w:t xml:space="preserve">cyber incidents </w:t>
      </w:r>
      <w:r>
        <w:t xml:space="preserve">were </w:t>
      </w:r>
      <w:r w:rsidR="00C4503F">
        <w:t>covered</w:t>
      </w:r>
      <w:r w:rsidR="00AC12F4">
        <w:t xml:space="preserve"> and</w:t>
      </w:r>
      <w:r w:rsidR="00261308">
        <w:t xml:space="preserve"> if they were </w:t>
      </w:r>
      <w:r w:rsidR="00AC12F4">
        <w:t xml:space="preserve">even </w:t>
      </w:r>
      <w:r w:rsidR="00261308">
        <w:t>intended to be covered at all</w:t>
      </w:r>
      <w:r w:rsidR="00C4503F">
        <w:t xml:space="preserve">. </w:t>
      </w:r>
      <w:r w:rsidR="002425DE">
        <w:t>Concerned by this ambiguity and it</w:t>
      </w:r>
      <w:r w:rsidR="0077354D">
        <w:t>s</w:t>
      </w:r>
      <w:r w:rsidR="002425DE">
        <w:t xml:space="preserve"> </w:t>
      </w:r>
      <w:r w:rsidR="0077354D">
        <w:t>consequence for</w:t>
      </w:r>
      <w:r w:rsidR="002425DE">
        <w:t xml:space="preserve"> </w:t>
      </w:r>
      <w:r w:rsidR="00D60821">
        <w:t xml:space="preserve">insurer solvency, the </w:t>
      </w:r>
      <w:r w:rsidR="00C4503F">
        <w:t>industry</w:t>
      </w:r>
      <w:r w:rsidR="00D60821">
        <w:t xml:space="preserve">, led </w:t>
      </w:r>
      <w:r w:rsidR="00C4503F">
        <w:t>by Lloyd’s of London</w:t>
      </w:r>
      <w:r w:rsidR="00D60821">
        <w:t xml:space="preserve">, has </w:t>
      </w:r>
      <w:r w:rsidR="00445DD6">
        <w:t>taken</w:t>
      </w:r>
      <w:r w:rsidR="006819BF">
        <w:t xml:space="preserve"> steps to remove</w:t>
      </w:r>
      <w:r w:rsidR="0096269D">
        <w:t xml:space="preserve"> silent cyber from their policies</w:t>
      </w:r>
      <w:r w:rsidR="00D60821">
        <w:t xml:space="preserve">. Today </w:t>
      </w:r>
      <w:r w:rsidR="002425DE">
        <w:t>most renewals either</w:t>
      </w:r>
      <w:r w:rsidR="0052228C">
        <w:t xml:space="preserve"> expressly</w:t>
      </w:r>
      <w:r w:rsidR="002425DE">
        <w:t xml:space="preserve"> </w:t>
      </w:r>
      <w:r w:rsidR="00445DD6">
        <w:t>include</w:t>
      </w:r>
      <w:r w:rsidR="002425DE">
        <w:t xml:space="preserve"> cyber</w:t>
      </w:r>
      <w:r w:rsidR="0052228C">
        <w:t xml:space="preserve"> cover or </w:t>
      </w:r>
      <w:r w:rsidR="00E7635B">
        <w:t xml:space="preserve">expressly </w:t>
      </w:r>
      <w:r w:rsidR="0052228C">
        <w:t>exclud</w:t>
      </w:r>
      <w:r w:rsidR="00D60821">
        <w:t>e</w:t>
      </w:r>
      <w:r w:rsidR="0052228C">
        <w:t xml:space="preserve"> </w:t>
      </w:r>
      <w:r w:rsidR="00445DD6">
        <w:t>cyber</w:t>
      </w:r>
      <w:r w:rsidR="0052228C">
        <w:t xml:space="preserve"> exposures</w:t>
      </w:r>
      <w:r w:rsidR="00B90280">
        <w:t>.</w:t>
      </w:r>
      <w:r w:rsidR="00C4503F">
        <w:t xml:space="preserve"> </w:t>
      </w:r>
    </w:p>
    <w:p w14:paraId="5C40AF93" w14:textId="4A6AC7B1" w:rsidR="00901CE7" w:rsidRPr="00D27BC7" w:rsidRDefault="00D27BC7" w:rsidP="005407E7">
      <w:r w:rsidRPr="00D27BC7">
        <w:t>Similarly,</w:t>
      </w:r>
      <w:r w:rsidR="00613C4A" w:rsidRPr="00D27BC7">
        <w:t xml:space="preserve"> </w:t>
      </w:r>
      <w:r w:rsidR="00AA1F87" w:rsidRPr="00D27BC7">
        <w:t>because of</w:t>
      </w:r>
      <w:r w:rsidR="00B40A90" w:rsidRPr="00D27BC7">
        <w:t xml:space="preserve"> clarifying cyber coverage</w:t>
      </w:r>
      <w:r w:rsidR="00613C4A" w:rsidRPr="00D27BC7">
        <w:t>,</w:t>
      </w:r>
      <w:r w:rsidR="00B40A90" w:rsidRPr="00D27BC7">
        <w:t xml:space="preserve"> </w:t>
      </w:r>
      <w:r w:rsidR="007C6934">
        <w:t>some</w:t>
      </w:r>
      <w:r w:rsidR="00B40A90" w:rsidRPr="00D27BC7">
        <w:t xml:space="preserve"> insurers and reinsurers </w:t>
      </w:r>
      <w:r w:rsidRPr="00D27BC7">
        <w:t xml:space="preserve">have identified </w:t>
      </w:r>
      <w:r w:rsidR="00B40A90" w:rsidRPr="00D27BC7">
        <w:t>cyber</w:t>
      </w:r>
      <w:r w:rsidR="00613C4A" w:rsidRPr="00D27BC7">
        <w:t>-attacks caus</w:t>
      </w:r>
      <w:r w:rsidRPr="00D27BC7">
        <w:t>ing</w:t>
      </w:r>
      <w:r w:rsidR="00613C4A" w:rsidRPr="00D27BC7">
        <w:t xml:space="preserve"> physical property </w:t>
      </w:r>
      <w:r w:rsidRPr="00D27BC7">
        <w:t xml:space="preserve">as an unintended risk. </w:t>
      </w:r>
      <w:r w:rsidR="00445DD6">
        <w:t>As such, many</w:t>
      </w:r>
      <w:r w:rsidR="007C6934">
        <w:t xml:space="preserve"> insurers have moved to exclude</w:t>
      </w:r>
      <w:r w:rsidR="00901CE7" w:rsidRPr="00D27BC7">
        <w:t xml:space="preserve"> property damage </w:t>
      </w:r>
      <w:r w:rsidR="00E77E32" w:rsidRPr="00D27BC7">
        <w:t xml:space="preserve">from </w:t>
      </w:r>
      <w:r w:rsidR="00D60821">
        <w:t xml:space="preserve">their </w:t>
      </w:r>
      <w:r w:rsidR="006819BF">
        <w:t xml:space="preserve">standalone </w:t>
      </w:r>
      <w:r w:rsidR="00D60821">
        <w:t>cyber offerings</w:t>
      </w:r>
      <w:r w:rsidR="007C6934">
        <w:t xml:space="preserve">. </w:t>
      </w:r>
    </w:p>
    <w:p w14:paraId="689DB736" w14:textId="2BAFD95D" w:rsidR="00B90280" w:rsidRDefault="00074EC1" w:rsidP="005407E7">
      <w:r>
        <w:t>Improved</w:t>
      </w:r>
      <w:r w:rsidR="001811AF">
        <w:t xml:space="preserve"> awareness</w:t>
      </w:r>
      <w:r w:rsidR="007C6934">
        <w:t xml:space="preserve"> of cyber risk</w:t>
      </w:r>
      <w:r w:rsidR="001811AF">
        <w:t xml:space="preserve"> </w:t>
      </w:r>
      <w:r w:rsidR="00B90280">
        <w:t>is</w:t>
      </w:r>
      <w:r w:rsidR="001811AF">
        <w:t xml:space="preserve"> </w:t>
      </w:r>
      <w:r w:rsidR="00B90280">
        <w:t>spur</w:t>
      </w:r>
      <w:r w:rsidR="007C6934">
        <w:t>ring</w:t>
      </w:r>
      <w:r w:rsidR="00B90280">
        <w:t xml:space="preserve"> more stringent underwriting practices. Insurers increasingly</w:t>
      </w:r>
      <w:r w:rsidR="001811AF">
        <w:t xml:space="preserve"> assess </w:t>
      </w:r>
      <w:r w:rsidR="00B90280">
        <w:t>business exposure to cyber losses (</w:t>
      </w:r>
      <w:proofErr w:type="gramStart"/>
      <w:r w:rsidR="00B90280">
        <w:t>i.e.</w:t>
      </w:r>
      <w:proofErr w:type="gramEnd"/>
      <w:r w:rsidR="00B90280">
        <w:t xml:space="preserve"> scale </w:t>
      </w:r>
      <w:r w:rsidR="001811AF">
        <w:t>and dependence on</w:t>
      </w:r>
      <w:r w:rsidR="00B90280">
        <w:t xml:space="preserve"> IT infrastructure) as well as the cyber mitigation strategies </w:t>
      </w:r>
      <w:r w:rsidR="00E7635B">
        <w:t xml:space="preserve">businesses </w:t>
      </w:r>
      <w:r w:rsidR="00B90280">
        <w:t>employ</w:t>
      </w:r>
      <w:r w:rsidR="007C6934">
        <w:t>,</w:t>
      </w:r>
      <w:r w:rsidR="00B90280">
        <w:t xml:space="preserve"> such as cyber security software</w:t>
      </w:r>
      <w:r w:rsidR="001811AF">
        <w:t xml:space="preserve"> and</w:t>
      </w:r>
      <w:r w:rsidR="00B90280">
        <w:t xml:space="preserve"> staff training on cyber safety protocols</w:t>
      </w:r>
      <w:r w:rsidR="001811AF">
        <w:t>.</w:t>
      </w:r>
    </w:p>
    <w:p w14:paraId="205A26E4" w14:textId="247D3824" w:rsidR="00AF41A9" w:rsidRPr="00E03D5E" w:rsidRDefault="00022EA3" w:rsidP="005407E7">
      <w:r w:rsidDel="00A450A2">
        <w:t xml:space="preserve">Insurers are </w:t>
      </w:r>
      <w:r w:rsidR="003108D8">
        <w:t>also</w:t>
      </w:r>
      <w:r w:rsidR="00912F78">
        <w:t xml:space="preserve"> </w:t>
      </w:r>
      <w:r w:rsidR="00D449DA">
        <w:t>reassessing the nature of cyber risk in their portfolios</w:t>
      </w:r>
      <w:r w:rsidR="00A450A2">
        <w:t xml:space="preserve">, with many insurers now considering cyber </w:t>
      </w:r>
      <w:r w:rsidR="003108D8">
        <w:t>as</w:t>
      </w:r>
      <w:r w:rsidR="00445DD6">
        <w:t xml:space="preserve"> </w:t>
      </w:r>
      <w:r w:rsidR="00A450A2">
        <w:t xml:space="preserve">a systemic risk that is </w:t>
      </w:r>
      <w:r w:rsidR="00836141">
        <w:t>difficult</w:t>
      </w:r>
      <w:r w:rsidR="00A450A2">
        <w:t xml:space="preserve"> to insure</w:t>
      </w:r>
      <w:r w:rsidR="00D449DA">
        <w:t xml:space="preserve">. </w:t>
      </w:r>
      <w:r w:rsidR="008E33F4">
        <w:t>The modern economy runs on interconnected information technology infrastructure, which is</w:t>
      </w:r>
      <w:r w:rsidR="00901CE7">
        <w:t xml:space="preserve"> not </w:t>
      </w:r>
      <w:r w:rsidR="006773CB">
        <w:t>de</w:t>
      </w:r>
      <w:r w:rsidR="008E33F4">
        <w:t xml:space="preserve">limited by </w:t>
      </w:r>
      <w:r w:rsidR="00901CE7">
        <w:t>geograph</w:t>
      </w:r>
      <w:r w:rsidR="008E33F4">
        <w:t>y</w:t>
      </w:r>
      <w:r w:rsidR="00445DD6">
        <w:t xml:space="preserve">.  </w:t>
      </w:r>
      <w:r w:rsidR="003108D8">
        <w:t>C</w:t>
      </w:r>
      <w:r w:rsidR="00445DD6">
        <w:t>onsequently</w:t>
      </w:r>
      <w:r w:rsidR="008E33F4">
        <w:t xml:space="preserve">, </w:t>
      </w:r>
      <w:r w:rsidR="00AF41A9">
        <w:t xml:space="preserve">reinsurers are concerned </w:t>
      </w:r>
      <w:r w:rsidR="002E136D">
        <w:t xml:space="preserve">about </w:t>
      </w:r>
      <w:r w:rsidR="00D27BC7">
        <w:t>potential</w:t>
      </w:r>
      <w:r w:rsidR="0077354D">
        <w:t>ly</w:t>
      </w:r>
      <w:r w:rsidR="00901CE7">
        <w:t xml:space="preserve"> </w:t>
      </w:r>
      <w:r w:rsidR="009F1E55">
        <w:t>widespread</w:t>
      </w:r>
      <w:r w:rsidR="002F3979">
        <w:t xml:space="preserve"> </w:t>
      </w:r>
      <w:r w:rsidR="008E33F4">
        <w:t>claims</w:t>
      </w:r>
      <w:r w:rsidR="002F3979">
        <w:t xml:space="preserve"> </w:t>
      </w:r>
      <w:r w:rsidR="00D27BC7">
        <w:t>over</w:t>
      </w:r>
      <w:r w:rsidR="002F3979">
        <w:t xml:space="preserve"> short periods of time</w:t>
      </w:r>
      <w:r w:rsidR="00901CE7">
        <w:t xml:space="preserve">, </w:t>
      </w:r>
      <w:r w:rsidR="00D60821">
        <w:t>similar to how</w:t>
      </w:r>
      <w:r w:rsidR="00D27BC7">
        <w:t xml:space="preserve"> insurers were exposed to business interruption losses from the COVID-19 pandemic.</w:t>
      </w:r>
      <w:r w:rsidR="009F1E55">
        <w:t xml:space="preserve"> </w:t>
      </w:r>
      <w:r w:rsidR="00D449DA">
        <w:t xml:space="preserve">To manage this accumulation risk, </w:t>
      </w:r>
      <w:r w:rsidR="00AF41A9">
        <w:t>insurers</w:t>
      </w:r>
      <w:r w:rsidR="0029005C">
        <w:t xml:space="preserve"> are actively capping limits on </w:t>
      </w:r>
      <w:r w:rsidR="00D27BC7">
        <w:t>individual</w:t>
      </w:r>
      <w:r w:rsidR="0029005C">
        <w:t xml:space="preserve"> risk</w:t>
      </w:r>
      <w:r w:rsidR="00D27BC7">
        <w:t xml:space="preserve">s. </w:t>
      </w:r>
    </w:p>
    <w:p w14:paraId="61118390" w14:textId="77777777" w:rsidR="008605EF" w:rsidRDefault="008605EF" w:rsidP="008605EF">
      <w:pPr>
        <w:pStyle w:val="Heading2"/>
      </w:pPr>
      <w:bookmarkStart w:id="59" w:name="_Toc81844193"/>
      <w:bookmarkStart w:id="60" w:name="_Toc89070028"/>
      <w:r>
        <w:t>Risk mitigation</w:t>
      </w:r>
      <w:bookmarkEnd w:id="59"/>
      <w:bookmarkEnd w:id="60"/>
    </w:p>
    <w:p w14:paraId="77F12046" w14:textId="24ED2150" w:rsidR="008605EF" w:rsidRPr="002F3979" w:rsidRDefault="00C13818" w:rsidP="008605EF">
      <w:r>
        <w:t>The</w:t>
      </w:r>
      <w:r w:rsidR="009A1083" w:rsidRPr="000922D4">
        <w:t xml:space="preserve"> Government and private businesses are proactively taking </w:t>
      </w:r>
      <w:r w:rsidR="009A1083" w:rsidRPr="002F3979">
        <w:t xml:space="preserve">measures to mitigate the risk of cyber-attacks. </w:t>
      </w:r>
    </w:p>
    <w:p w14:paraId="605AEA19" w14:textId="471C0E56" w:rsidR="009A1083" w:rsidRPr="002F3979" w:rsidRDefault="009A1083" w:rsidP="00D0562B">
      <w:r w:rsidRPr="002F3979">
        <w:t xml:space="preserve">Over the last decade a substantial cyber security industry has developed in Australia, with </w:t>
      </w:r>
      <w:r w:rsidR="00DC1F9D" w:rsidRPr="002F3979">
        <w:t xml:space="preserve">cyber security spending now amounting to </w:t>
      </w:r>
      <w:r w:rsidR="0010028E">
        <w:t xml:space="preserve">approximately </w:t>
      </w:r>
      <w:r w:rsidR="00445DD6" w:rsidRPr="002F3979">
        <w:t>$5</w:t>
      </w:r>
      <w:r w:rsidR="00836141">
        <w:t>.6</w:t>
      </w:r>
      <w:r w:rsidR="002E136D">
        <w:t>billion</w:t>
      </w:r>
      <w:r w:rsidR="00DC1F9D" w:rsidRPr="002F3979">
        <w:t xml:space="preserve"> Australia</w:t>
      </w:r>
      <w:r w:rsidR="003F309B">
        <w:t xml:space="preserve"> </w:t>
      </w:r>
      <w:r w:rsidR="00DC1F9D" w:rsidRPr="002F3979">
        <w:t>wide</w:t>
      </w:r>
      <w:r w:rsidR="00B11D54" w:rsidRPr="002F3979">
        <w:t xml:space="preserve">, with </w:t>
      </w:r>
      <w:r w:rsidR="003D485A">
        <w:t>10</w:t>
      </w:r>
      <w:r w:rsidR="00C658B9">
        <w:t> </w:t>
      </w:r>
      <w:r w:rsidR="00B11D54" w:rsidRPr="002F3979">
        <w:t>per</w:t>
      </w:r>
      <w:r w:rsidR="00C658B9">
        <w:t> </w:t>
      </w:r>
      <w:r w:rsidR="00B11D54" w:rsidRPr="002F3979">
        <w:t>cent</w:t>
      </w:r>
      <w:r w:rsidR="007516E8">
        <w:rPr>
          <w:rStyle w:val="FootnoteReference"/>
        </w:rPr>
        <w:footnoteReference w:id="21"/>
      </w:r>
      <w:r w:rsidR="00B11D54" w:rsidRPr="002F3979">
        <w:t xml:space="preserve"> growth in 2020 alone, a sum which dwarfs the size of the Australian cyber insurance market</w:t>
      </w:r>
      <w:r w:rsidR="000922D4" w:rsidRPr="002F3979">
        <w:t xml:space="preserve"> (</w:t>
      </w:r>
      <w:r w:rsidR="00E437AF">
        <w:t xml:space="preserve">approximately </w:t>
      </w:r>
      <w:r w:rsidR="000922D4" w:rsidRPr="002F3979">
        <w:t>$</w:t>
      </w:r>
      <w:r w:rsidR="00445DD6" w:rsidRPr="002F3979">
        <w:t>1</w:t>
      </w:r>
      <w:r w:rsidR="00836141">
        <w:t>1</w:t>
      </w:r>
      <w:r w:rsidR="00445DD6" w:rsidRPr="002F3979">
        <w:t>0</w:t>
      </w:r>
      <w:r w:rsidR="002E136D">
        <w:t xml:space="preserve"> million</w:t>
      </w:r>
      <w:r w:rsidR="00445DD6" w:rsidRPr="002F3979">
        <w:t xml:space="preserve">). </w:t>
      </w:r>
      <w:r w:rsidR="00136218">
        <w:t>S</w:t>
      </w:r>
      <w:r w:rsidR="002F3979" w:rsidRPr="002F3979">
        <w:t xml:space="preserve">takeholders </w:t>
      </w:r>
      <w:r w:rsidR="00C13818">
        <w:t>consulted</w:t>
      </w:r>
      <w:r w:rsidR="002F3979" w:rsidRPr="002F3979">
        <w:t xml:space="preserve"> as part of this Review, also shared that their cyber resilience strategies</w:t>
      </w:r>
      <w:r w:rsidR="00C13818">
        <w:t xml:space="preserve"> </w:t>
      </w:r>
      <w:r w:rsidR="009678F6">
        <w:t xml:space="preserve">extended to their internal procedures, </w:t>
      </w:r>
      <w:r w:rsidR="00FB403A">
        <w:t>which included</w:t>
      </w:r>
      <w:r w:rsidR="009678F6">
        <w:t xml:space="preserve"> </w:t>
      </w:r>
      <w:r w:rsidR="002F3979" w:rsidRPr="002F3979">
        <w:t xml:space="preserve">cyber safety checks, training and </w:t>
      </w:r>
      <w:r w:rsidR="009678F6">
        <w:t>attention</w:t>
      </w:r>
      <w:r w:rsidR="002F3979" w:rsidRPr="002F3979">
        <w:t xml:space="preserve"> from corporate board</w:t>
      </w:r>
      <w:r w:rsidR="00C13818">
        <w:t>s</w:t>
      </w:r>
      <w:r w:rsidR="002F3979" w:rsidRPr="002F3979">
        <w:t>.</w:t>
      </w:r>
    </w:p>
    <w:p w14:paraId="072AE431" w14:textId="2F83F1FB" w:rsidR="002F3979" w:rsidRPr="002F3979" w:rsidRDefault="002F3979" w:rsidP="003A6F97">
      <w:pPr>
        <w:keepNext/>
        <w:spacing w:after="232" w:line="238" w:lineRule="auto"/>
        <w:ind w:hanging="11"/>
      </w:pPr>
      <w:bookmarkStart w:id="61" w:name="_Hlk83118151"/>
      <w:r w:rsidRPr="002F3979">
        <w:lastRenderedPageBreak/>
        <w:t>T</w:t>
      </w:r>
      <w:r w:rsidR="00D0562B" w:rsidRPr="002F3979">
        <w:t xml:space="preserve">he government and regulators </w:t>
      </w:r>
      <w:r w:rsidRPr="002F3979">
        <w:t xml:space="preserve">are focusing greater </w:t>
      </w:r>
      <w:r w:rsidR="002B2417">
        <w:t>efforts</w:t>
      </w:r>
      <w:r w:rsidRPr="002F3979">
        <w:t xml:space="preserve"> on the </w:t>
      </w:r>
      <w:r w:rsidR="00D0562B" w:rsidRPr="002F3979">
        <w:t xml:space="preserve">cyber security </w:t>
      </w:r>
      <w:r w:rsidRPr="002F3979">
        <w:t xml:space="preserve">of </w:t>
      </w:r>
      <w:r w:rsidR="002B2417">
        <w:t xml:space="preserve">Australian </w:t>
      </w:r>
      <w:r w:rsidR="00D0562B" w:rsidRPr="002F3979">
        <w:t xml:space="preserve">businesses. </w:t>
      </w:r>
      <w:r w:rsidRPr="002F3979">
        <w:t xml:space="preserve">These efforts include: </w:t>
      </w:r>
    </w:p>
    <w:p w14:paraId="1F9A5927" w14:textId="40C9BDA4" w:rsidR="00723486" w:rsidRDefault="00723486" w:rsidP="00723486">
      <w:pPr>
        <w:pStyle w:val="Bullet"/>
      </w:pPr>
      <w:r w:rsidRPr="002B2417">
        <w:t>In July 2019, APRA introduced Prudential Standard CPS 234, which aims to minimise the likelihood and impact of information security incidents on the confidentiality, integrity or availability of information assets, including information assets managed by related parties or third parties</w:t>
      </w:r>
      <w:r w:rsidR="00CE2FF7">
        <w:t>.</w:t>
      </w:r>
      <w:r>
        <w:rPr>
          <w:rStyle w:val="FootnoteReference"/>
        </w:rPr>
        <w:footnoteReference w:id="22"/>
      </w:r>
      <w:r w:rsidRPr="002B2417">
        <w:t xml:space="preserve"> </w:t>
      </w:r>
    </w:p>
    <w:p w14:paraId="2BE16544" w14:textId="055E74A5" w:rsidR="003F7732" w:rsidRPr="0060341D" w:rsidRDefault="00445DD6" w:rsidP="00F2363D">
      <w:pPr>
        <w:pStyle w:val="Bullet"/>
      </w:pPr>
      <w:r w:rsidRPr="0060341D">
        <w:t>In September 2020, the Government introduce a voluntary code of practice for smart product manufacturers</w:t>
      </w:r>
      <w:r w:rsidR="00CE2FF7">
        <w:t>.</w:t>
      </w:r>
      <w:r w:rsidRPr="0060341D">
        <w:t xml:space="preserve"> The Code of Practice contains thirteen principles that signal Government expectations to manufacturers about the security of smart products</w:t>
      </w:r>
      <w:r w:rsidR="00CE2FF7">
        <w:t>.</w:t>
      </w:r>
      <w:r w:rsidR="006E482A">
        <w:rPr>
          <w:rStyle w:val="FootnoteReference"/>
        </w:rPr>
        <w:footnoteReference w:id="23"/>
      </w:r>
    </w:p>
    <w:p w14:paraId="7C50D8C8" w14:textId="2CBD7B60" w:rsidR="00E6570C" w:rsidRPr="0060341D" w:rsidRDefault="00445DD6" w:rsidP="00F2363D">
      <w:pPr>
        <w:pStyle w:val="Bullet"/>
      </w:pPr>
      <w:r>
        <w:t>In late 2020, c</w:t>
      </w:r>
      <w:r w:rsidRPr="0060341D">
        <w:t xml:space="preserve">hanges to the </w:t>
      </w:r>
      <w:r w:rsidRPr="005407E7">
        <w:rPr>
          <w:i/>
          <w:iCs/>
        </w:rPr>
        <w:t>Security of Critical Infrastructure Act 2018</w:t>
      </w:r>
      <w:r w:rsidRPr="0060341D">
        <w:t xml:space="preserve"> </w:t>
      </w:r>
      <w:r>
        <w:t xml:space="preserve">were </w:t>
      </w:r>
      <w:r w:rsidR="00C94E1E">
        <w:t>introduced into parliament</w:t>
      </w:r>
      <w:r>
        <w:t xml:space="preserve">, which </w:t>
      </w:r>
      <w:r w:rsidRPr="0060341D">
        <w:t xml:space="preserve">aim to strengthen the security of Australia’s infrastructure through positive cyber security </w:t>
      </w:r>
      <w:r>
        <w:t>obligations</w:t>
      </w:r>
      <w:r w:rsidR="00CE2FF7">
        <w:t>.</w:t>
      </w:r>
      <w:r w:rsidR="00F77AC7">
        <w:rPr>
          <w:rStyle w:val="FootnoteReference"/>
        </w:rPr>
        <w:footnoteReference w:id="24"/>
      </w:r>
    </w:p>
    <w:p w14:paraId="4A4F7000" w14:textId="6BB6E893" w:rsidR="002B2417" w:rsidRPr="00362F91" w:rsidRDefault="00E437AF" w:rsidP="002B2417">
      <w:pPr>
        <w:pStyle w:val="Bullet"/>
        <w:rPr>
          <w:rStyle w:val="Hyperlink"/>
          <w:color w:val="auto"/>
        </w:rPr>
      </w:pPr>
      <w:r w:rsidRPr="00CE2FF7">
        <w:t>In 2020, the</w:t>
      </w:r>
      <w:r w:rsidR="00D0562B" w:rsidRPr="00CE2FF7">
        <w:t xml:space="preserve"> Government commenced a review of the </w:t>
      </w:r>
      <w:r w:rsidR="00D0562B" w:rsidRPr="005407E7">
        <w:rPr>
          <w:i/>
          <w:iCs/>
        </w:rPr>
        <w:t>Privacy Act 1988</w:t>
      </w:r>
      <w:r w:rsidR="002B2417" w:rsidRPr="00CE2FF7">
        <w:t>. This aims to bring Australia's privacy laws into the digital era, strengthen privacy protections for individuals and streamline compliance for businesses working across international borders</w:t>
      </w:r>
      <w:r w:rsidR="00CE2FF7">
        <w:t>.</w:t>
      </w:r>
      <w:r w:rsidR="00F77AC7" w:rsidRPr="00CE2FF7">
        <w:rPr>
          <w:rStyle w:val="FootnoteReference"/>
        </w:rPr>
        <w:footnoteReference w:id="25"/>
      </w:r>
      <w:r w:rsidR="00445DD6" w:rsidRPr="00CE2FF7">
        <w:t xml:space="preserve"> </w:t>
      </w:r>
    </w:p>
    <w:p w14:paraId="3D859839" w14:textId="40F8196C" w:rsidR="00F56885" w:rsidRPr="00CE2FF7" w:rsidRDefault="00A07CF3" w:rsidP="00F2363D">
      <w:pPr>
        <w:pStyle w:val="Bullet"/>
      </w:pPr>
      <w:r w:rsidRPr="00CE2FF7">
        <w:rPr>
          <w:rStyle w:val="Hyperlink"/>
          <w:color w:val="auto"/>
        </w:rPr>
        <w:t>In July 2021, the Government opened consultation on options for regulatory reforms and voluntary incentives to strengthen the cyber security of Australia’s digital economy</w:t>
      </w:r>
      <w:r w:rsidR="00CE2FF7">
        <w:rPr>
          <w:rStyle w:val="Hyperlink"/>
          <w:color w:val="auto"/>
        </w:rPr>
        <w:t>.</w:t>
      </w:r>
      <w:bookmarkEnd w:id="61"/>
      <w:r w:rsidR="00F77AC7" w:rsidRPr="00CE2FF7">
        <w:rPr>
          <w:rStyle w:val="FootnoteReference"/>
        </w:rPr>
        <w:footnoteReference w:id="26"/>
      </w:r>
      <w:r w:rsidR="00F56885" w:rsidRPr="00CE2FF7">
        <w:t xml:space="preserve"> </w:t>
      </w:r>
    </w:p>
    <w:p w14:paraId="70B40C10" w14:textId="1C43EC67" w:rsidR="00B10940" w:rsidRPr="00EC6FB8" w:rsidRDefault="00B10940" w:rsidP="00B10940">
      <w:pPr>
        <w:pStyle w:val="Heading2"/>
      </w:pPr>
      <w:bookmarkStart w:id="62" w:name="_Toc81844194"/>
      <w:bookmarkStart w:id="63" w:name="_Toc89070029"/>
      <w:r>
        <w:t xml:space="preserve">Risk of </w:t>
      </w:r>
      <w:r w:rsidR="000922D4">
        <w:t>c</w:t>
      </w:r>
      <w:r>
        <w:t xml:space="preserve">yber </w:t>
      </w:r>
      <w:r w:rsidRPr="0065247E">
        <w:t>terrorism causing physical property damage</w:t>
      </w:r>
      <w:bookmarkEnd w:id="62"/>
      <w:bookmarkEnd w:id="63"/>
    </w:p>
    <w:p w14:paraId="463FB2CE" w14:textId="197CA24A" w:rsidR="00B10940" w:rsidRPr="00A60349" w:rsidRDefault="00B10940" w:rsidP="00F2363D">
      <w:pPr>
        <w:spacing w:after="232" w:line="238" w:lineRule="auto"/>
      </w:pPr>
      <w:r w:rsidRPr="00A60349">
        <w:t xml:space="preserve">The Australian Cyber Security Strategy notes that while terrorist groups and extremists are effective at using the internet to communicate and generate attention, they generally employ very basic cyber techniques and capabilities such as distributed denial of service (DDoS) activities, hijacking social media accounts and defacing websites. These groups currently pose a relatively low cyber threat, particularly </w:t>
      </w:r>
      <w:r w:rsidR="009D4BB0">
        <w:t xml:space="preserve">a </w:t>
      </w:r>
      <w:r w:rsidR="006358AE">
        <w:t xml:space="preserve">low </w:t>
      </w:r>
      <w:r w:rsidR="009D4BB0">
        <w:t xml:space="preserve">threat </w:t>
      </w:r>
      <w:r w:rsidR="0080512F">
        <w:t xml:space="preserve">of </w:t>
      </w:r>
      <w:r w:rsidRPr="00A60349">
        <w:t>the kind of technically sophisticated cyber-attack that would typically be required to cause major physical property damage</w:t>
      </w:r>
      <w:r w:rsidR="00834DFB">
        <w:t>.</w:t>
      </w:r>
      <w:r w:rsidR="00900CE1">
        <w:rPr>
          <w:rStyle w:val="FootnoteReference"/>
        </w:rPr>
        <w:footnoteReference w:id="27"/>
      </w:r>
      <w:r w:rsidR="003F7732">
        <w:t xml:space="preserve"> </w:t>
      </w:r>
    </w:p>
    <w:p w14:paraId="5E6448A3" w14:textId="53284E2D" w:rsidR="000D03B0" w:rsidRDefault="00341728" w:rsidP="002126D4">
      <w:r>
        <w:t>Stakeholders</w:t>
      </w:r>
      <w:r w:rsidR="005B3848">
        <w:t xml:space="preserve"> </w:t>
      </w:r>
      <w:r w:rsidR="00765FAA">
        <w:t xml:space="preserve">consulted during this Review, frequently raised that </w:t>
      </w:r>
      <w:r w:rsidR="001431F8">
        <w:t>cyber-</w:t>
      </w:r>
      <w:r w:rsidR="00765FAA">
        <w:t xml:space="preserve">threats </w:t>
      </w:r>
      <w:r w:rsidR="001431F8">
        <w:t>such as</w:t>
      </w:r>
      <w:r w:rsidR="00765FAA">
        <w:t xml:space="preserve"> </w:t>
      </w:r>
      <w:r w:rsidR="005B41F7">
        <w:t xml:space="preserve">data theft </w:t>
      </w:r>
      <w:r w:rsidR="00765FAA">
        <w:t>and ransomware presented far</w:t>
      </w:r>
      <w:r w:rsidR="005B3848">
        <w:t xml:space="preserve"> </w:t>
      </w:r>
      <w:r w:rsidR="00220694">
        <w:t xml:space="preserve">greater </w:t>
      </w:r>
      <w:r w:rsidR="00445DD6">
        <w:t>risk</w:t>
      </w:r>
      <w:r w:rsidR="001431F8">
        <w:t>s</w:t>
      </w:r>
      <w:r w:rsidR="00445DD6">
        <w:t xml:space="preserve"> to</w:t>
      </w:r>
      <w:r w:rsidR="001431F8">
        <w:t xml:space="preserve"> their</w:t>
      </w:r>
      <w:r w:rsidR="005B41F7">
        <w:t xml:space="preserve"> businesses </w:t>
      </w:r>
      <w:r w:rsidR="00765FAA">
        <w:t xml:space="preserve">than </w:t>
      </w:r>
      <w:r w:rsidR="000D03B0">
        <w:t>those</w:t>
      </w:r>
      <w:r w:rsidR="00220694">
        <w:t xml:space="preserve"> </w:t>
      </w:r>
      <w:r w:rsidR="00765FAA">
        <w:t>posed by</w:t>
      </w:r>
      <w:r w:rsidR="00220694">
        <w:t xml:space="preserve"> </w:t>
      </w:r>
      <w:r w:rsidR="00CC7C4A">
        <w:t>cyber terror attacks caus</w:t>
      </w:r>
      <w:r w:rsidR="00765FAA">
        <w:t>ing</w:t>
      </w:r>
      <w:r w:rsidR="00CC7C4A">
        <w:t xml:space="preserve"> physical property damage. </w:t>
      </w:r>
      <w:r w:rsidR="0080512F">
        <w:t xml:space="preserve">This feedback appears to be supported by industry research: </w:t>
      </w:r>
    </w:p>
    <w:p w14:paraId="0AA024BF" w14:textId="70E4A7D8" w:rsidR="000D03B0" w:rsidRDefault="00445DD6" w:rsidP="000D03B0">
      <w:pPr>
        <w:pStyle w:val="Bullet"/>
      </w:pPr>
      <w:r>
        <w:t xml:space="preserve">A </w:t>
      </w:r>
      <w:proofErr w:type="spellStart"/>
      <w:r w:rsidR="00420E7D">
        <w:t>Crowdstrike</w:t>
      </w:r>
      <w:proofErr w:type="spellEnd"/>
      <w:r w:rsidR="00B2541C">
        <w:t xml:space="preserve"> survey conducted of </w:t>
      </w:r>
      <w:r w:rsidR="00B2541C" w:rsidRPr="00B2541C">
        <w:t>200 senior IT decision-makers and security professionals across Australia's major industry sectors</w:t>
      </w:r>
      <w:r w:rsidR="00B2541C">
        <w:t>, f</w:t>
      </w:r>
      <w:r w:rsidR="000D03B0" w:rsidRPr="000D03B0">
        <w:t>ound</w:t>
      </w:r>
      <w:r w:rsidR="00B2541C">
        <w:t xml:space="preserve"> that</w:t>
      </w:r>
      <w:r w:rsidR="000D03B0" w:rsidRPr="000D03B0">
        <w:t xml:space="preserve"> two thirds had suffered a ransomware attack in the 12-month period to November 2020</w:t>
      </w:r>
      <w:r w:rsidR="00B2541C">
        <w:t>, of which one third paid the ransom</w:t>
      </w:r>
      <w:r w:rsidR="00834DFB">
        <w:t>.</w:t>
      </w:r>
      <w:r w:rsidR="00CA6EE3">
        <w:rPr>
          <w:rStyle w:val="FootnoteReference"/>
        </w:rPr>
        <w:footnoteReference w:id="28"/>
      </w:r>
      <w:r w:rsidRPr="000D03B0">
        <w:t xml:space="preserve"> </w:t>
      </w:r>
    </w:p>
    <w:p w14:paraId="3378C5ED" w14:textId="4AD6BFDB" w:rsidR="00445DD6" w:rsidRDefault="00445DD6" w:rsidP="00F2363D">
      <w:pPr>
        <w:pStyle w:val="Bullet"/>
      </w:pPr>
      <w:r>
        <w:t xml:space="preserve">An IBM report released this year found that the </w:t>
      </w:r>
      <w:r w:rsidRPr="005B41F7">
        <w:t xml:space="preserve">average time to detect and contain a data breach over the past year was </w:t>
      </w:r>
      <w:r w:rsidR="00AD0CAC">
        <w:t>287</w:t>
      </w:r>
      <w:r w:rsidR="00AD0CAC" w:rsidRPr="005B41F7">
        <w:t xml:space="preserve"> </w:t>
      </w:r>
      <w:r w:rsidRPr="005B41F7">
        <w:t>days</w:t>
      </w:r>
      <w:r>
        <w:t xml:space="preserve">, </w:t>
      </w:r>
      <w:r w:rsidR="00AD0CAC">
        <w:t xml:space="preserve">and in Australia </w:t>
      </w:r>
      <w:r>
        <w:t xml:space="preserve">data breaches cost </w:t>
      </w:r>
      <w:r w:rsidRPr="005B41F7">
        <w:t>companies an average of $</w:t>
      </w:r>
      <w:r w:rsidR="000908DD">
        <w:t>2.82</w:t>
      </w:r>
      <w:r w:rsidRPr="005B41F7">
        <w:t xml:space="preserve"> million</w:t>
      </w:r>
      <w:r w:rsidR="000908DD">
        <w:t xml:space="preserve"> ($USD)</w:t>
      </w:r>
      <w:r w:rsidRPr="005B41F7">
        <w:t xml:space="preserve"> per incident</w:t>
      </w:r>
      <w:r w:rsidR="00834DFB">
        <w:t>.</w:t>
      </w:r>
      <w:r w:rsidR="00420E7D">
        <w:rPr>
          <w:rStyle w:val="FootnoteReference"/>
        </w:rPr>
        <w:footnoteReference w:id="29"/>
      </w:r>
    </w:p>
    <w:p w14:paraId="2A9CA941" w14:textId="00EF899C" w:rsidR="00701722" w:rsidRPr="00A60349" w:rsidRDefault="005B3848" w:rsidP="002126D4">
      <w:r>
        <w:lastRenderedPageBreak/>
        <w:t>Consequently, this Review finds that while cyber terror causing physical property damage does pose a risk to Australian business</w:t>
      </w:r>
      <w:r w:rsidR="007B6484">
        <w:t>es</w:t>
      </w:r>
      <w:r>
        <w:t xml:space="preserve">, </w:t>
      </w:r>
      <w:r w:rsidR="00220694">
        <w:t>it</w:t>
      </w:r>
      <w:r>
        <w:t xml:space="preserve"> </w:t>
      </w:r>
      <w:r w:rsidR="005B41F7">
        <w:t xml:space="preserve">not </w:t>
      </w:r>
      <w:r w:rsidR="007D7E0A">
        <w:t xml:space="preserve">the main driver of </w:t>
      </w:r>
      <w:r w:rsidR="0092270D">
        <w:t>cyber</w:t>
      </w:r>
      <w:r w:rsidR="001431F8">
        <w:t>-</w:t>
      </w:r>
      <w:r w:rsidR="0092270D">
        <w:t xml:space="preserve">related </w:t>
      </w:r>
      <w:r w:rsidR="007D7E0A">
        <w:t xml:space="preserve">financial losses, </w:t>
      </w:r>
      <w:r w:rsidR="0092270D">
        <w:t>n</w:t>
      </w:r>
      <w:r w:rsidR="007D7E0A">
        <w:t xml:space="preserve">or </w:t>
      </w:r>
      <w:r w:rsidR="0092270D">
        <w:t xml:space="preserve">is it </w:t>
      </w:r>
      <w:r w:rsidR="007D7E0A">
        <w:t>the main motivator for businesses pursu</w:t>
      </w:r>
      <w:r w:rsidR="0092270D">
        <w:t>ing</w:t>
      </w:r>
      <w:r w:rsidR="007D7E0A">
        <w:t xml:space="preserve"> cyber risk mitigation strategies.</w:t>
      </w:r>
      <w:r w:rsidR="005B41F7">
        <w:t xml:space="preserve"> </w:t>
      </w:r>
    </w:p>
    <w:p w14:paraId="36F736D7" w14:textId="60F5BF89" w:rsidR="008605EF" w:rsidRPr="00C51EDE" w:rsidRDefault="00B9085F" w:rsidP="008605EF">
      <w:pPr>
        <w:spacing w:after="160" w:line="259" w:lineRule="auto"/>
        <w:rPr>
          <w:color w:val="00497E"/>
          <w:sz w:val="36"/>
        </w:rPr>
      </w:pPr>
      <w:r>
        <w:rPr>
          <w:color w:val="00497E"/>
          <w:sz w:val="36"/>
        </w:rPr>
        <w:t>Expanding</w:t>
      </w:r>
      <w:r w:rsidR="000B2BF5">
        <w:rPr>
          <w:color w:val="00497E"/>
          <w:sz w:val="36"/>
        </w:rPr>
        <w:t xml:space="preserve"> the terror scheme</w:t>
      </w:r>
    </w:p>
    <w:p w14:paraId="44FFA00F" w14:textId="00A7461F" w:rsidR="008605EF" w:rsidRPr="000B2BF5" w:rsidRDefault="008605EF" w:rsidP="00F2363D">
      <w:pPr>
        <w:spacing w:after="232" w:line="238" w:lineRule="auto"/>
        <w:ind w:left="-3" w:hanging="9"/>
      </w:pPr>
      <w:r w:rsidRPr="000B2BF5">
        <w:t xml:space="preserve">While some stakeholders, including those representing business policyholders, supported the inclusion of cyber terrorism causing physical damage, others highlighted a number of concerns in operating such a scheme. </w:t>
      </w:r>
    </w:p>
    <w:p w14:paraId="1DAC4401" w14:textId="77777777" w:rsidR="008605EF" w:rsidRPr="000B2BF5" w:rsidRDefault="008605EF" w:rsidP="008605EF">
      <w:pPr>
        <w:pStyle w:val="Heading3"/>
      </w:pPr>
      <w:bookmarkStart w:id="64" w:name="_Toc81844195"/>
      <w:bookmarkStart w:id="65" w:name="_Toc89070030"/>
      <w:r w:rsidRPr="000B2BF5">
        <w:t>Defining a cyber terror incident</w:t>
      </w:r>
      <w:bookmarkEnd w:id="64"/>
      <w:bookmarkEnd w:id="65"/>
    </w:p>
    <w:p w14:paraId="74B9AB0F" w14:textId="56C296AC" w:rsidR="008605EF" w:rsidRPr="000B2BF5" w:rsidRDefault="008605EF" w:rsidP="00F2363D">
      <w:pPr>
        <w:spacing w:after="232" w:line="238" w:lineRule="auto"/>
        <w:ind w:left="-3" w:hanging="9"/>
      </w:pPr>
      <w:r w:rsidRPr="000B2BF5">
        <w:t xml:space="preserve">There are practical difficulties with providing cyber cover through the scheme purely for ‘terrorism’. Stakeholders noted that it is most likely that cyber incidents will be </w:t>
      </w:r>
      <w:r w:rsidR="001431F8">
        <w:t xml:space="preserve">motivated by </w:t>
      </w:r>
      <w:r w:rsidRPr="000B2BF5">
        <w:t xml:space="preserve">malicious </w:t>
      </w:r>
      <w:r w:rsidR="001431F8">
        <w:t>motives</w:t>
      </w:r>
      <w:r w:rsidRPr="000B2BF5">
        <w:t xml:space="preserve"> </w:t>
      </w:r>
      <w:r w:rsidR="006358AE">
        <w:t xml:space="preserve">other </w:t>
      </w:r>
      <w:r w:rsidRPr="000B2BF5">
        <w:t xml:space="preserve">than terrorism. As incidents tend to emanate from overseas, the culprits and their intent could be difficult to determine. If the scheme were to be extended to cover cyber terrorism, this could lead to uncertainty as to whether the ARPC would be liable in the event of an attack. </w:t>
      </w:r>
      <w:r w:rsidR="00445DD6" w:rsidRPr="000B2BF5">
        <w:t>Th</w:t>
      </w:r>
      <w:r w:rsidR="00FE273D">
        <w:t>is</w:t>
      </w:r>
      <w:r w:rsidR="00445DD6" w:rsidRPr="000B2BF5">
        <w:t xml:space="preserve"> </w:t>
      </w:r>
      <w:r w:rsidR="00FE273D">
        <w:t>could place</w:t>
      </w:r>
      <w:r w:rsidRPr="000B2BF5">
        <w:t xml:space="preserve"> pressure </w:t>
      </w:r>
      <w:r w:rsidR="00FE273D">
        <w:t>on the Government</w:t>
      </w:r>
      <w:r w:rsidR="00FE273D" w:rsidRPr="000B2BF5">
        <w:t xml:space="preserve"> </w:t>
      </w:r>
      <w:r w:rsidRPr="000B2BF5">
        <w:t xml:space="preserve">to respond even when </w:t>
      </w:r>
      <w:r w:rsidR="006358AE">
        <w:t>an incident</w:t>
      </w:r>
      <w:r w:rsidR="006358AE" w:rsidRPr="000B2BF5">
        <w:t xml:space="preserve"> </w:t>
      </w:r>
      <w:r w:rsidRPr="000B2BF5">
        <w:t xml:space="preserve">may not be a terrorism incident. </w:t>
      </w:r>
    </w:p>
    <w:p w14:paraId="3ED9E0CA" w14:textId="77777777" w:rsidR="00626AC2" w:rsidRPr="000B2BF5" w:rsidRDefault="00626AC2" w:rsidP="00626AC2">
      <w:pPr>
        <w:pStyle w:val="Heading3"/>
      </w:pPr>
      <w:bookmarkStart w:id="66" w:name="_Toc81844196"/>
      <w:bookmarkStart w:id="67" w:name="_Toc89070031"/>
      <w:r w:rsidRPr="000B2BF5">
        <w:t>Operations and pricing</w:t>
      </w:r>
      <w:bookmarkEnd w:id="66"/>
      <w:bookmarkEnd w:id="67"/>
    </w:p>
    <w:p w14:paraId="4791788E" w14:textId="0A3A1790" w:rsidR="00626AC2" w:rsidRPr="000B2BF5" w:rsidRDefault="00626AC2" w:rsidP="00F2363D">
      <w:pPr>
        <w:spacing w:after="232" w:line="238" w:lineRule="auto"/>
        <w:ind w:left="-3" w:hanging="9"/>
      </w:pPr>
      <w:r w:rsidRPr="000B2BF5">
        <w:t>Some stakeholders noted that the ARPC’s current premium structure, which is based on postcodes and urban density, would be inappropriate if the scheme were broadened to cover cyber events. This is because cyber risk to physical property would likely have a different geographic and industry profile to the existing terror</w:t>
      </w:r>
      <w:r w:rsidR="00707617">
        <w:t>ism</w:t>
      </w:r>
      <w:r w:rsidRPr="000B2BF5">
        <w:t xml:space="preserve"> scheme. </w:t>
      </w:r>
    </w:p>
    <w:p w14:paraId="11E45058" w14:textId="1A17FB8A" w:rsidR="008605EF" w:rsidRPr="00EC6FB8" w:rsidRDefault="008605EF" w:rsidP="008605EF">
      <w:pPr>
        <w:pStyle w:val="Heading3"/>
        <w:rPr>
          <w:highlight w:val="yellow"/>
        </w:rPr>
      </w:pPr>
      <w:bookmarkStart w:id="68" w:name="_Toc81844197"/>
      <w:bookmarkStart w:id="69" w:name="_Toc89070032"/>
      <w:r w:rsidRPr="00D545C8">
        <w:t xml:space="preserve">Impact on </w:t>
      </w:r>
      <w:r w:rsidR="003342E3" w:rsidRPr="00D545C8">
        <w:t>broader</w:t>
      </w:r>
      <w:r w:rsidRPr="00D545C8">
        <w:t xml:space="preserve"> insurance markets</w:t>
      </w:r>
      <w:bookmarkEnd w:id="68"/>
      <w:bookmarkEnd w:id="69"/>
      <w:r w:rsidR="00CF4E15" w:rsidRPr="00D545C8">
        <w:t xml:space="preserve"> </w:t>
      </w:r>
    </w:p>
    <w:p w14:paraId="2157786D" w14:textId="0DCD7E09" w:rsidR="007C7FC5" w:rsidRPr="00D545C8" w:rsidRDefault="00341728" w:rsidP="00F2363D">
      <w:pPr>
        <w:spacing w:after="232" w:line="238" w:lineRule="auto"/>
        <w:ind w:left="-3" w:hanging="9"/>
      </w:pPr>
      <w:r>
        <w:t>Several</w:t>
      </w:r>
      <w:r w:rsidR="00373508" w:rsidRPr="00D545C8">
        <w:t xml:space="preserve"> stakeholders noted that e</w:t>
      </w:r>
      <w:r w:rsidR="008605EF" w:rsidRPr="00D545C8">
        <w:t>xtending the scheme to include cyber terrorism risk</w:t>
      </w:r>
      <w:r w:rsidR="00FF7C69" w:rsidRPr="00D545C8">
        <w:t xml:space="preserve"> causing physical property damage</w:t>
      </w:r>
      <w:r w:rsidR="008605EF" w:rsidRPr="00D545C8">
        <w:t xml:space="preserve"> </w:t>
      </w:r>
      <w:r w:rsidR="00FF7C69" w:rsidRPr="00D545C8">
        <w:t xml:space="preserve">could have a number of potential impacts on the broader insurance and reinsurance market. </w:t>
      </w:r>
    </w:p>
    <w:p w14:paraId="67D5C437" w14:textId="4A21EF20" w:rsidR="00FF7C69" w:rsidRPr="00D545C8" w:rsidRDefault="00FF7C69" w:rsidP="00F2363D">
      <w:pPr>
        <w:spacing w:after="232" w:line="238" w:lineRule="auto"/>
        <w:ind w:left="-3" w:hanging="9"/>
      </w:pPr>
      <w:r w:rsidRPr="00D545C8">
        <w:t xml:space="preserve">Some of these </w:t>
      </w:r>
      <w:r w:rsidR="00296D97" w:rsidRPr="00D545C8">
        <w:t>could adverse</w:t>
      </w:r>
      <w:r w:rsidR="0097562C">
        <w:t xml:space="preserve">ly impact </w:t>
      </w:r>
      <w:r w:rsidR="00296D97" w:rsidRPr="00D545C8">
        <w:t>the function of the</w:t>
      </w:r>
      <w:r w:rsidR="00485337" w:rsidRPr="00D545C8">
        <w:t xml:space="preserve"> current</w:t>
      </w:r>
      <w:r w:rsidR="00296D97" w:rsidRPr="00D545C8">
        <w:t xml:space="preserve"> scheme and private markets</w:t>
      </w:r>
      <w:r w:rsidR="003C6F86" w:rsidRPr="00D545C8">
        <w:t>:</w:t>
      </w:r>
    </w:p>
    <w:p w14:paraId="24FF37E1" w14:textId="081F6FA5" w:rsidR="007C7FC5" w:rsidRPr="00296D97" w:rsidRDefault="00626AC2" w:rsidP="00D545C8">
      <w:pPr>
        <w:pStyle w:val="Bullet"/>
      </w:pPr>
      <w:r>
        <w:t>Stakeholders</w:t>
      </w:r>
      <w:r w:rsidR="00220EFD" w:rsidRPr="00296D97">
        <w:t xml:space="preserve"> indicated </w:t>
      </w:r>
      <w:r w:rsidR="0050092B">
        <w:t xml:space="preserve">that </w:t>
      </w:r>
      <w:r w:rsidR="001801D5" w:rsidRPr="00296D97">
        <w:t>including cyber risk</w:t>
      </w:r>
      <w:r w:rsidR="00F43233" w:rsidRPr="00296D97">
        <w:t xml:space="preserve"> </w:t>
      </w:r>
      <w:r w:rsidR="00220EFD" w:rsidRPr="00296D97">
        <w:t xml:space="preserve">in the ARPC’s </w:t>
      </w:r>
      <w:r w:rsidR="00604432" w:rsidRPr="00296D97">
        <w:t xml:space="preserve">reinsurance scheme would reduce </w:t>
      </w:r>
      <w:r w:rsidR="001801D5" w:rsidRPr="00296D97">
        <w:t>the already limited</w:t>
      </w:r>
      <w:r w:rsidR="008A54BF" w:rsidRPr="00296D97">
        <w:t xml:space="preserve"> </w:t>
      </w:r>
      <w:r w:rsidR="00F43233" w:rsidRPr="00296D97">
        <w:t>appetite for</w:t>
      </w:r>
      <w:r w:rsidR="008A54BF" w:rsidRPr="00296D97">
        <w:t xml:space="preserve"> </w:t>
      </w:r>
      <w:r w:rsidR="001801D5" w:rsidRPr="00296D97">
        <w:t>Australian terror</w:t>
      </w:r>
      <w:r w:rsidR="00707617">
        <w:t>ism</w:t>
      </w:r>
      <w:r w:rsidR="001801D5" w:rsidRPr="00296D97">
        <w:t xml:space="preserve"> risk</w:t>
      </w:r>
      <w:r>
        <w:t xml:space="preserve"> through the ARPC’s retrocession program</w:t>
      </w:r>
      <w:r w:rsidR="00855BD7" w:rsidRPr="00296D97">
        <w:t xml:space="preserve">. </w:t>
      </w:r>
      <w:r w:rsidR="008605EF" w:rsidRPr="00296D97">
        <w:t>Th</w:t>
      </w:r>
      <w:r w:rsidR="00F43233" w:rsidRPr="00296D97">
        <w:t>is feedback aligns with the</w:t>
      </w:r>
      <w:r w:rsidR="008605EF" w:rsidRPr="00296D97">
        <w:t xml:space="preserve"> inclusion of chemical and biological attacks </w:t>
      </w:r>
      <w:r w:rsidR="001801D5" w:rsidRPr="00296D97">
        <w:t>in</w:t>
      </w:r>
      <w:r w:rsidR="008605EF" w:rsidRPr="00296D97">
        <w:t xml:space="preserve"> the ARPC’s terror</w:t>
      </w:r>
      <w:r w:rsidR="00707617">
        <w:t>ism</w:t>
      </w:r>
      <w:r w:rsidR="008605EF" w:rsidRPr="00296D97">
        <w:t xml:space="preserve"> scheme in 2015, </w:t>
      </w:r>
      <w:r w:rsidR="00F43233" w:rsidRPr="00296D97">
        <w:t>which reduced</w:t>
      </w:r>
      <w:r w:rsidR="008605EF" w:rsidRPr="00296D97">
        <w:t xml:space="preserve"> private sector </w:t>
      </w:r>
      <w:r w:rsidR="00F43233" w:rsidRPr="00296D97">
        <w:t>demand</w:t>
      </w:r>
      <w:r w:rsidR="008605EF" w:rsidRPr="00296D97">
        <w:t xml:space="preserve"> for</w:t>
      </w:r>
      <w:r w:rsidR="003C6F86" w:rsidRPr="00296D97">
        <w:t xml:space="preserve"> the ARPC’s retrocession program</w:t>
      </w:r>
      <w:r w:rsidR="0050092B">
        <w:t>.</w:t>
      </w:r>
      <w:r w:rsidR="00B240FB">
        <w:rPr>
          <w:rStyle w:val="FootnoteReference"/>
        </w:rPr>
        <w:footnoteReference w:id="30"/>
      </w:r>
      <w:r w:rsidR="008605EF" w:rsidRPr="00296D97">
        <w:t xml:space="preserve"> </w:t>
      </w:r>
    </w:p>
    <w:p w14:paraId="171427E2" w14:textId="5A24F793" w:rsidR="008605EF" w:rsidRPr="009070B4" w:rsidRDefault="007A410C" w:rsidP="003C6F86">
      <w:pPr>
        <w:pStyle w:val="Bullet"/>
      </w:pPr>
      <w:r>
        <w:t>A</w:t>
      </w:r>
      <w:r w:rsidR="001801D5" w:rsidRPr="00296D97">
        <w:t>s</w:t>
      </w:r>
      <w:r w:rsidR="000A22CA" w:rsidRPr="00296D97">
        <w:t xml:space="preserve"> noted in the 2018 </w:t>
      </w:r>
      <w:r w:rsidR="00707617">
        <w:t>R</w:t>
      </w:r>
      <w:r w:rsidR="000A22CA" w:rsidRPr="00296D97">
        <w:t xml:space="preserve">eview, </w:t>
      </w:r>
      <w:r w:rsidR="001801D5" w:rsidRPr="00296D97">
        <w:t>c</w:t>
      </w:r>
      <w:r w:rsidR="008605EF" w:rsidRPr="00296D97">
        <w:t xml:space="preserve">yber insurers </w:t>
      </w:r>
      <w:r w:rsidR="000A22CA" w:rsidRPr="00296D97">
        <w:t>could be</w:t>
      </w:r>
      <w:r w:rsidR="008605EF" w:rsidRPr="00296D97">
        <w:t xml:space="preserve"> crowded out if the scheme were broadened, as they would not be able to compete against a government-backed scheme. </w:t>
      </w:r>
      <w:r w:rsidR="001801D5" w:rsidRPr="00296D97">
        <w:t>Some</w:t>
      </w:r>
      <w:r w:rsidR="000A22CA" w:rsidRPr="00296D97">
        <w:t xml:space="preserve"> </w:t>
      </w:r>
      <w:r w:rsidR="001801D5" w:rsidRPr="00296D97">
        <w:t xml:space="preserve">also </w:t>
      </w:r>
      <w:r w:rsidR="000A22CA" w:rsidRPr="00296D97">
        <w:t>feared</w:t>
      </w:r>
      <w:r w:rsidR="008605EF" w:rsidRPr="00296D97">
        <w:t xml:space="preserve"> that if the scheme were extended to provide cover only for property damage from cyber terrorism, and </w:t>
      </w:r>
      <w:r w:rsidR="001801D5" w:rsidRPr="00296D97">
        <w:t xml:space="preserve">if </w:t>
      </w:r>
      <w:r w:rsidR="008605EF" w:rsidRPr="00296D97">
        <w:t xml:space="preserve">the direct insurer </w:t>
      </w:r>
      <w:r w:rsidR="001801D5" w:rsidRPr="00296D97">
        <w:t>did</w:t>
      </w:r>
      <w:r w:rsidR="008605EF" w:rsidRPr="00296D97">
        <w:t xml:space="preserve"> not already provide cover for all losses arising from a cyber incident (‘all</w:t>
      </w:r>
      <w:r w:rsidR="003602E9" w:rsidRPr="00296D97">
        <w:t>-</w:t>
      </w:r>
      <w:r w:rsidR="008605EF" w:rsidRPr="00296D97">
        <w:t>risks’), the direct insurer would be under pressure to offer the ‘all</w:t>
      </w:r>
      <w:r w:rsidR="003602E9" w:rsidRPr="00296D97">
        <w:t>-</w:t>
      </w:r>
      <w:r w:rsidR="008605EF" w:rsidRPr="00296D97">
        <w:t xml:space="preserve">risks’ </w:t>
      </w:r>
      <w:r w:rsidR="008605EF" w:rsidRPr="009070B4">
        <w:t xml:space="preserve">part of the cover—even if they </w:t>
      </w:r>
      <w:r w:rsidR="0050092B">
        <w:t>did</w:t>
      </w:r>
      <w:r w:rsidR="0050092B" w:rsidRPr="009070B4">
        <w:t xml:space="preserve"> </w:t>
      </w:r>
      <w:r w:rsidR="008605EF" w:rsidRPr="009070B4">
        <w:t xml:space="preserve">not have the capacity to do so. </w:t>
      </w:r>
    </w:p>
    <w:p w14:paraId="389C83C5" w14:textId="3059C6D5" w:rsidR="003C6F86" w:rsidRPr="009070B4" w:rsidRDefault="00296D97" w:rsidP="003C6F86">
      <w:r w:rsidRPr="009070B4">
        <w:t xml:space="preserve">Whereas others </w:t>
      </w:r>
      <w:r w:rsidR="007A410C">
        <w:t xml:space="preserve">were more </w:t>
      </w:r>
      <w:r w:rsidR="00176AFF">
        <w:t>positive</w:t>
      </w:r>
      <w:r w:rsidR="003C6F86" w:rsidRPr="009070B4">
        <w:t xml:space="preserve">: </w:t>
      </w:r>
    </w:p>
    <w:p w14:paraId="5E2C3C95" w14:textId="69997457" w:rsidR="00162BA6" w:rsidRPr="00D545C8" w:rsidRDefault="001801D5" w:rsidP="00162BA6">
      <w:pPr>
        <w:pStyle w:val="Bullet"/>
      </w:pPr>
      <w:r w:rsidRPr="009070B4">
        <w:t>Stakeholders argued t</w:t>
      </w:r>
      <w:r w:rsidR="00162BA6" w:rsidRPr="009070B4">
        <w:t>he ARPC could perform a role</w:t>
      </w:r>
      <w:r w:rsidR="00AE2490" w:rsidRPr="009070B4">
        <w:t xml:space="preserve"> </w:t>
      </w:r>
      <w:r w:rsidRPr="009070B4">
        <w:t>a</w:t>
      </w:r>
      <w:r w:rsidR="00162BA6" w:rsidRPr="009070B4">
        <w:t>s a ‘centre of expertise’</w:t>
      </w:r>
      <w:r w:rsidR="00AE2490" w:rsidRPr="009070B4">
        <w:t>, similar to its existing terror</w:t>
      </w:r>
      <w:r w:rsidR="00707617">
        <w:t>ism</w:t>
      </w:r>
      <w:r w:rsidR="00AE2490" w:rsidRPr="009070B4">
        <w:t xml:space="preserve"> program</w:t>
      </w:r>
      <w:r w:rsidR="00063B77" w:rsidRPr="009070B4">
        <w:t>.</w:t>
      </w:r>
      <w:r w:rsidR="003C629D" w:rsidRPr="009070B4">
        <w:t xml:space="preserve"> </w:t>
      </w:r>
      <w:r w:rsidR="00AE2490" w:rsidRPr="009070B4">
        <w:t xml:space="preserve">By leveraging the ARPC’s access to </w:t>
      </w:r>
      <w:r w:rsidR="003C629D" w:rsidRPr="009070B4">
        <w:t>Australia’s security agencies</w:t>
      </w:r>
      <w:r w:rsidR="00540D24" w:rsidRPr="009070B4">
        <w:t xml:space="preserve">, it could provide </w:t>
      </w:r>
      <w:r w:rsidR="003C629D" w:rsidRPr="009070B4">
        <w:t xml:space="preserve">analytical work </w:t>
      </w:r>
      <w:r w:rsidR="00540D24" w:rsidRPr="009070B4">
        <w:t xml:space="preserve">that </w:t>
      </w:r>
      <w:r w:rsidR="00162BA6" w:rsidRPr="009070B4">
        <w:t>improve</w:t>
      </w:r>
      <w:r w:rsidR="00540D24" w:rsidRPr="009070B4">
        <w:t>s</w:t>
      </w:r>
      <w:r w:rsidR="00162BA6" w:rsidRPr="009070B4">
        <w:t xml:space="preserve"> </w:t>
      </w:r>
      <w:r w:rsidR="003C629D" w:rsidRPr="009070B4">
        <w:t>market understanding</w:t>
      </w:r>
      <w:r w:rsidR="00540D24" w:rsidRPr="009070B4">
        <w:t xml:space="preserve"> of</w:t>
      </w:r>
      <w:r w:rsidR="00162BA6" w:rsidRPr="009070B4">
        <w:t xml:space="preserve"> Australian</w:t>
      </w:r>
      <w:r w:rsidR="003C629D" w:rsidRPr="009070B4">
        <w:t xml:space="preserve"> cyber</w:t>
      </w:r>
      <w:r w:rsidR="00162BA6" w:rsidRPr="009070B4">
        <w:t xml:space="preserve"> terror</w:t>
      </w:r>
      <w:r w:rsidR="00707617">
        <w:t>ism</w:t>
      </w:r>
      <w:r w:rsidR="00162BA6" w:rsidRPr="009070B4">
        <w:t xml:space="preserve"> risks</w:t>
      </w:r>
      <w:r w:rsidR="00540D24" w:rsidRPr="009070B4">
        <w:t xml:space="preserve">. </w:t>
      </w:r>
      <w:r w:rsidR="00485337" w:rsidRPr="009070B4">
        <w:lastRenderedPageBreak/>
        <w:t xml:space="preserve">This may improve the market’s assessment of risk and pricing, and hence </w:t>
      </w:r>
      <w:r w:rsidR="00AE2490" w:rsidRPr="009070B4">
        <w:t xml:space="preserve">support commercial </w:t>
      </w:r>
      <w:r w:rsidR="00485337" w:rsidRPr="009070B4">
        <w:t>appetite</w:t>
      </w:r>
      <w:r w:rsidR="00162BA6" w:rsidRPr="009070B4">
        <w:t xml:space="preserve">. </w:t>
      </w:r>
    </w:p>
    <w:p w14:paraId="167206E5" w14:textId="3A6B6FA9" w:rsidR="003C629D" w:rsidRPr="00485337" w:rsidRDefault="00CB3EE3" w:rsidP="00485337">
      <w:pPr>
        <w:pStyle w:val="Bullet"/>
      </w:pPr>
      <w:r>
        <w:t>Some</w:t>
      </w:r>
      <w:r w:rsidR="003E42D4">
        <w:t xml:space="preserve"> also speculated that</w:t>
      </w:r>
      <w:r w:rsidR="003C629D" w:rsidRPr="003C629D">
        <w:t xml:space="preserve"> </w:t>
      </w:r>
      <w:r>
        <w:t xml:space="preserve">the </w:t>
      </w:r>
      <w:r w:rsidR="003C629D" w:rsidRPr="003C629D">
        <w:t xml:space="preserve">ARPC </w:t>
      </w:r>
      <w:r>
        <w:t xml:space="preserve">‘s unique ability </w:t>
      </w:r>
      <w:r w:rsidR="003C629D" w:rsidRPr="003C629D">
        <w:t xml:space="preserve">to pool risks, </w:t>
      </w:r>
      <w:r>
        <w:t>could potentially create an attractive retrocession product</w:t>
      </w:r>
      <w:r w:rsidR="003C629D" w:rsidRPr="003C629D">
        <w:t xml:space="preserve">. </w:t>
      </w:r>
      <w:r w:rsidR="003E42D4">
        <w:t xml:space="preserve">However, they noted that this would require further investigation. </w:t>
      </w:r>
    </w:p>
    <w:p w14:paraId="5805F4D0" w14:textId="0A176352" w:rsidR="0095734F" w:rsidRPr="003F2FFC" w:rsidRDefault="00063B77" w:rsidP="00F2363D">
      <w:pPr>
        <w:pStyle w:val="Bullet"/>
        <w:numPr>
          <w:ilvl w:val="0"/>
          <w:numId w:val="0"/>
        </w:numPr>
        <w:tabs>
          <w:tab w:val="num" w:pos="520"/>
        </w:tabs>
        <w:spacing w:after="232" w:line="238" w:lineRule="auto"/>
      </w:pPr>
      <w:r w:rsidRPr="003F2FFC">
        <w:t xml:space="preserve">However, </w:t>
      </w:r>
      <w:r w:rsidR="00341728">
        <w:t>most</w:t>
      </w:r>
      <w:r w:rsidRPr="003F2FFC">
        <w:t xml:space="preserve"> </w:t>
      </w:r>
      <w:r w:rsidR="0095734F" w:rsidRPr="003F2FFC">
        <w:t>stakeholders stressed</w:t>
      </w:r>
      <w:r w:rsidRPr="003F2FFC">
        <w:t xml:space="preserve"> that the inclusion of cyber </w:t>
      </w:r>
      <w:r w:rsidR="00296D97" w:rsidRPr="003F2FFC">
        <w:t>in the terror</w:t>
      </w:r>
      <w:r w:rsidR="00707617">
        <w:t>ism</w:t>
      </w:r>
      <w:r w:rsidR="00296D97" w:rsidRPr="003F2FFC">
        <w:t xml:space="preserve"> scheme</w:t>
      </w:r>
      <w:r w:rsidR="00485337" w:rsidRPr="003F2FFC">
        <w:t xml:space="preserve"> would be a </w:t>
      </w:r>
      <w:r w:rsidR="003E6A42" w:rsidRPr="003F2FFC">
        <w:t>substantial</w:t>
      </w:r>
      <w:r w:rsidR="00485337" w:rsidRPr="003F2FFC">
        <w:t xml:space="preserve"> intervention</w:t>
      </w:r>
      <w:r w:rsidR="00292450">
        <w:t xml:space="preserve"> at a time when the ARPC is undergoing significant change</w:t>
      </w:r>
      <w:r w:rsidR="00485337" w:rsidRPr="003F2FFC">
        <w:t>.</w:t>
      </w:r>
      <w:r w:rsidR="00CF4E15" w:rsidRPr="003F2FFC">
        <w:t xml:space="preserve"> As noted above, cyber risks are</w:t>
      </w:r>
      <w:r w:rsidR="00292450">
        <w:t xml:space="preserve"> a</w:t>
      </w:r>
      <w:r w:rsidR="00CF4E15" w:rsidRPr="003F2FFC">
        <w:t xml:space="preserve"> </w:t>
      </w:r>
      <w:r w:rsidR="00292450">
        <w:t>fundamentally different</w:t>
      </w:r>
      <w:r w:rsidR="00CF4E15" w:rsidRPr="003F2FFC">
        <w:t xml:space="preserve"> risk</w:t>
      </w:r>
      <w:r w:rsidR="00292450">
        <w:t xml:space="preserve"> to those</w:t>
      </w:r>
      <w:r w:rsidR="00CF4E15" w:rsidRPr="003F2FFC">
        <w:t xml:space="preserve"> covered by the existing terror</w:t>
      </w:r>
      <w:r w:rsidR="00707617">
        <w:t>ism</w:t>
      </w:r>
      <w:r w:rsidR="00CF4E15" w:rsidRPr="003F2FFC">
        <w:t xml:space="preserve"> </w:t>
      </w:r>
      <w:r w:rsidR="003F2FFC" w:rsidRPr="003F2FFC">
        <w:t>scheme and hence</w:t>
      </w:r>
      <w:r w:rsidR="00CF4E15" w:rsidRPr="003F2FFC">
        <w:t xml:space="preserve"> would require significant increases in </w:t>
      </w:r>
      <w:r w:rsidR="003E6A42" w:rsidRPr="003F2FFC">
        <w:t xml:space="preserve">the ARPC’s </w:t>
      </w:r>
      <w:r w:rsidR="00CF4E15" w:rsidRPr="003F2FFC">
        <w:t xml:space="preserve">capability to ensure </w:t>
      </w:r>
      <w:r w:rsidR="003E6A42" w:rsidRPr="003F2FFC">
        <w:t xml:space="preserve">the </w:t>
      </w:r>
      <w:r w:rsidR="00CF4E15" w:rsidRPr="003F2FFC">
        <w:t xml:space="preserve">risk was appropriately priced and modelled. </w:t>
      </w:r>
      <w:r w:rsidR="003F2FFC" w:rsidRPr="003F2FFC">
        <w:t>Accordingly,</w:t>
      </w:r>
      <w:r w:rsidR="00485337" w:rsidRPr="003F2FFC">
        <w:t xml:space="preserve"> </w:t>
      </w:r>
      <w:r w:rsidR="00D8265B">
        <w:t>these</w:t>
      </w:r>
      <w:r w:rsidR="00485337" w:rsidRPr="003F2FFC">
        <w:t xml:space="preserve"> </w:t>
      </w:r>
      <w:r w:rsidR="003E6A42" w:rsidRPr="003F2FFC">
        <w:t>stakeholders argued that given the ongoing implementation of the cyclone and related flooding reinsurance pool</w:t>
      </w:r>
      <w:r w:rsidR="007E217A">
        <w:t xml:space="preserve"> (cyclone pool)</w:t>
      </w:r>
      <w:r w:rsidR="00445DD6">
        <w:t>,</w:t>
      </w:r>
      <w:r w:rsidR="00D8265B">
        <w:t xml:space="preserve"> </w:t>
      </w:r>
      <w:r w:rsidR="003E6A42" w:rsidRPr="003F2FFC">
        <w:t xml:space="preserve">another </w:t>
      </w:r>
      <w:r w:rsidR="00D8265B">
        <w:t>substantial</w:t>
      </w:r>
      <w:r w:rsidR="003E6A42" w:rsidRPr="003F2FFC">
        <w:t xml:space="preserve"> intervention could disrupt </w:t>
      </w:r>
      <w:r w:rsidR="00D8265B">
        <w:t>the ARPC’s</w:t>
      </w:r>
      <w:r w:rsidR="003E6A42" w:rsidRPr="003F2FFC">
        <w:t xml:space="preserve"> ability to carry out its </w:t>
      </w:r>
      <w:r w:rsidR="00D8265B">
        <w:t>other</w:t>
      </w:r>
      <w:r w:rsidR="003E6A42" w:rsidRPr="003F2FFC">
        <w:t xml:space="preserve"> functions. </w:t>
      </w:r>
    </w:p>
    <w:p w14:paraId="6AEDF946" w14:textId="77777777" w:rsidR="008605EF" w:rsidRPr="00C51EDE" w:rsidRDefault="008605EF" w:rsidP="008605EF">
      <w:pPr>
        <w:pStyle w:val="Heading2"/>
      </w:pPr>
      <w:bookmarkStart w:id="70" w:name="_Toc81844198"/>
      <w:bookmarkStart w:id="71" w:name="_Toc89070033"/>
      <w:r>
        <w:t>Conclusion</w:t>
      </w:r>
      <w:bookmarkEnd w:id="70"/>
      <w:bookmarkEnd w:id="71"/>
    </w:p>
    <w:p w14:paraId="02862092" w14:textId="4AE186F6" w:rsidR="00B67493" w:rsidRDefault="00B67493" w:rsidP="00F2363D">
      <w:pPr>
        <w:spacing w:after="232" w:line="238" w:lineRule="auto"/>
        <w:ind w:left="-3" w:hanging="9"/>
      </w:pPr>
      <w:bookmarkStart w:id="72" w:name="_Hlk83119016"/>
      <w:r>
        <w:t>T</w:t>
      </w:r>
      <w:r w:rsidRPr="00B67493">
        <w:t xml:space="preserve">he cyber insurance market is still nascent, </w:t>
      </w:r>
      <w:r w:rsidR="0092270D">
        <w:t xml:space="preserve">with a </w:t>
      </w:r>
      <w:r>
        <w:t xml:space="preserve">limited capacity </w:t>
      </w:r>
      <w:r w:rsidR="0092270D">
        <w:t>to underwrite</w:t>
      </w:r>
      <w:r>
        <w:t xml:space="preserve"> </w:t>
      </w:r>
      <w:r w:rsidR="00C12E2A">
        <w:t xml:space="preserve">cyber </w:t>
      </w:r>
      <w:r>
        <w:t>risk</w:t>
      </w:r>
      <w:r w:rsidR="00C12E2A">
        <w:t>s</w:t>
      </w:r>
      <w:r>
        <w:t>, including cyber terror</w:t>
      </w:r>
      <w:r w:rsidR="00707617">
        <w:t>ism</w:t>
      </w:r>
      <w:r>
        <w:t xml:space="preserve"> risk</w:t>
      </w:r>
      <w:r w:rsidR="0092270D">
        <w:t>s</w:t>
      </w:r>
      <w:r>
        <w:t xml:space="preserve"> causing physical property damage. </w:t>
      </w:r>
      <w:bookmarkEnd w:id="72"/>
      <w:r>
        <w:t xml:space="preserve">However, in emerging </w:t>
      </w:r>
      <w:r w:rsidR="007A410C">
        <w:t xml:space="preserve">financial </w:t>
      </w:r>
      <w:r>
        <w:t xml:space="preserve">markets </w:t>
      </w:r>
      <w:r w:rsidRPr="00B67493">
        <w:t xml:space="preserve">it is not uncommon for there to be gaps. New risks not previously contemplated often fall between existing classes of commercial insurance </w:t>
      </w:r>
      <w:r w:rsidRPr="001116E9">
        <w:t xml:space="preserve">products. Since the last </w:t>
      </w:r>
      <w:r w:rsidR="00707617">
        <w:t>R</w:t>
      </w:r>
      <w:r w:rsidRPr="001116E9">
        <w:t>eview in 2018, the industry has proactively sought to clarify</w:t>
      </w:r>
      <w:r w:rsidR="00C12E2A" w:rsidRPr="001116E9">
        <w:t xml:space="preserve"> and develop cyber insurance products which are financially sustainable</w:t>
      </w:r>
      <w:r w:rsidRPr="001116E9">
        <w:t xml:space="preserve">. </w:t>
      </w:r>
      <w:r w:rsidR="00C12E2A" w:rsidRPr="001116E9">
        <w:t>In time</w:t>
      </w:r>
      <w:r w:rsidR="00C12E2A">
        <w:t xml:space="preserve">, the cyber insurance market may mature to better understand </w:t>
      </w:r>
      <w:r w:rsidR="001116E9">
        <w:t>risk and</w:t>
      </w:r>
      <w:r w:rsidR="00C12E2A">
        <w:t xml:space="preserve"> increase its capacity to provide insurance solutions to customers.</w:t>
      </w:r>
    </w:p>
    <w:p w14:paraId="6D2F564D" w14:textId="064F52B3" w:rsidR="001116E9" w:rsidRPr="000922D4" w:rsidRDefault="001116E9" w:rsidP="00F2363D">
      <w:pPr>
        <w:spacing w:after="232" w:line="238" w:lineRule="auto"/>
        <w:ind w:left="-3" w:hanging="9"/>
      </w:pPr>
      <w:r>
        <w:t>Furthermore, insurance is not a panacea</w:t>
      </w:r>
      <w:r w:rsidR="00AF1DD6">
        <w:t xml:space="preserve"> and</w:t>
      </w:r>
      <w:r>
        <w:t xml:space="preserve"> </w:t>
      </w:r>
      <w:r w:rsidR="00AF1DD6">
        <w:t>n</w:t>
      </w:r>
      <w:r>
        <w:t xml:space="preserve">ot all risks can or should be insured. Governments, businesses and individuals, both in Australia and </w:t>
      </w:r>
      <w:r w:rsidR="007A410C">
        <w:t>i</w:t>
      </w:r>
      <w:r>
        <w:t>nternational</w:t>
      </w:r>
      <w:r w:rsidR="00AF1DD6">
        <w:t>ly</w:t>
      </w:r>
      <w:r>
        <w:t xml:space="preserve">, are increasingly becoming aware of the need </w:t>
      </w:r>
      <w:r w:rsidR="00AF1DD6">
        <w:t>for mitigation-based</w:t>
      </w:r>
      <w:r>
        <w:t xml:space="preserve"> solutions to </w:t>
      </w:r>
      <w:r w:rsidR="00AF1DD6">
        <w:t>cyber risks</w:t>
      </w:r>
      <w:r>
        <w:t xml:space="preserve">. </w:t>
      </w:r>
      <w:r w:rsidR="00AF1DD6">
        <w:t>Indeed,</w:t>
      </w:r>
      <w:r>
        <w:t xml:space="preserve"> over time, </w:t>
      </w:r>
      <w:r w:rsidR="00AF1DD6">
        <w:t>these</w:t>
      </w:r>
      <w:r>
        <w:t xml:space="preserve"> actions may</w:t>
      </w:r>
      <w:r w:rsidR="00AF1DD6">
        <w:t xml:space="preserve"> even</w:t>
      </w:r>
      <w:r>
        <w:t xml:space="preserve"> help </w:t>
      </w:r>
      <w:r w:rsidR="00AF1DD6">
        <w:t xml:space="preserve">foster </w:t>
      </w:r>
      <w:r w:rsidR="00EE71B3">
        <w:t xml:space="preserve">insurer </w:t>
      </w:r>
      <w:r w:rsidR="00AF1DD6">
        <w:t xml:space="preserve">appetite to underwrite new risks. </w:t>
      </w:r>
    </w:p>
    <w:p w14:paraId="58C2CFDB" w14:textId="4FE00A70" w:rsidR="0092270D" w:rsidRDefault="00EE71B3" w:rsidP="0092270D">
      <w:pPr>
        <w:spacing w:after="0"/>
      </w:pPr>
      <w:r>
        <w:t xml:space="preserve">This </w:t>
      </w:r>
      <w:r w:rsidR="00A6335E">
        <w:t>R</w:t>
      </w:r>
      <w:r>
        <w:t>eview does not consider the current exclusion of computer crimes as producing a market failure that warrant</w:t>
      </w:r>
      <w:r w:rsidR="00D67709">
        <w:t>s</w:t>
      </w:r>
      <w:r>
        <w:t xml:space="preserve"> intervention through the ARPC. However, t</w:t>
      </w:r>
      <w:r w:rsidRPr="000922D4">
        <w:t>here is potential for terrorist groups to develop</w:t>
      </w:r>
      <w:r w:rsidR="00341728">
        <w:t xml:space="preserve"> greater</w:t>
      </w:r>
      <w:r w:rsidRPr="000922D4">
        <w:t xml:space="preserve"> capabilities in the longer term</w:t>
      </w:r>
      <w:r w:rsidR="0080512F">
        <w:t>, which could change this assessment in a future review.</w:t>
      </w:r>
      <w:r w:rsidRPr="000922D4">
        <w:t xml:space="preserve"> </w:t>
      </w:r>
    </w:p>
    <w:p w14:paraId="529DBAC0" w14:textId="07A52F5E" w:rsidR="005A0F2F" w:rsidRDefault="005A0F2F" w:rsidP="00445DD6">
      <w:pPr>
        <w:pStyle w:val="Heading1"/>
      </w:pPr>
      <w:r>
        <w:br w:type="column"/>
      </w:r>
      <w:bookmarkStart w:id="73" w:name="_Toc81844199"/>
      <w:bookmarkStart w:id="74" w:name="_Toc89070034"/>
      <w:r>
        <w:lastRenderedPageBreak/>
        <w:t xml:space="preserve">Chapter 4: Interactions between the </w:t>
      </w:r>
      <w:r w:rsidR="007B6484">
        <w:t>t</w:t>
      </w:r>
      <w:r>
        <w:t>error</w:t>
      </w:r>
      <w:r w:rsidR="00707617">
        <w:t>ism</w:t>
      </w:r>
      <w:r>
        <w:t xml:space="preserve"> pool and the proposed Cyclone r</w:t>
      </w:r>
      <w:r w:rsidR="008A0DDB">
        <w:t>einsurance pool</w:t>
      </w:r>
      <w:bookmarkEnd w:id="73"/>
      <w:bookmarkEnd w:id="74"/>
    </w:p>
    <w:p w14:paraId="7D8D54BD" w14:textId="210B1D00" w:rsidR="00A60349" w:rsidRPr="00A60349" w:rsidRDefault="00A60349" w:rsidP="00A60349">
      <w:r w:rsidRPr="00A60349">
        <w:t xml:space="preserve">The </w:t>
      </w:r>
      <w:r w:rsidR="00DD1D09">
        <w:t>proposed</w:t>
      </w:r>
      <w:r w:rsidR="00DD1D09" w:rsidRPr="00A60349">
        <w:t xml:space="preserve"> </w:t>
      </w:r>
      <w:r w:rsidRPr="00A60349">
        <w:t>cyclone pool will pose both challenges and opportunities</w:t>
      </w:r>
      <w:r w:rsidR="00F56647">
        <w:t xml:space="preserve"> for the </w:t>
      </w:r>
      <w:r w:rsidR="00E40CA3">
        <w:t>ARPC</w:t>
      </w:r>
      <w:r w:rsidRPr="00A60349">
        <w:t xml:space="preserve">. The Review closely considered the ARPC’s strategic settings to ensure that they remain appropriate. </w:t>
      </w:r>
    </w:p>
    <w:tbl>
      <w:tblPr>
        <w:tblW w:w="5000" w:type="pct"/>
        <w:shd w:val="clear" w:color="auto" w:fill="D5E1F1" w:themeFill="accent2" w:themeFillTint="33"/>
        <w:tblLook w:val="01E0" w:firstRow="1" w:lastRow="1" w:firstColumn="1" w:lastColumn="1" w:noHBand="0" w:noVBand="0"/>
      </w:tblPr>
      <w:tblGrid>
        <w:gridCol w:w="9072"/>
      </w:tblGrid>
      <w:tr w:rsidR="000E3489" w14:paraId="37876ECD" w14:textId="77777777" w:rsidTr="001C3F9B">
        <w:tc>
          <w:tcPr>
            <w:tcW w:w="5000" w:type="pct"/>
            <w:shd w:val="clear" w:color="auto" w:fill="D5E1F1" w:themeFill="accent2" w:themeFillTint="33"/>
          </w:tcPr>
          <w:p w14:paraId="3EDF1E48" w14:textId="2860D04F" w:rsidR="002508D3" w:rsidRPr="00A9723F" w:rsidRDefault="002508D3" w:rsidP="002508D3">
            <w:pPr>
              <w:pStyle w:val="BoxText"/>
            </w:pPr>
            <w:bookmarkStart w:id="75" w:name="_Hlk86153829"/>
            <w:bookmarkStart w:id="76" w:name="_Hlk81847839"/>
            <w:r w:rsidRPr="008352B8">
              <w:rPr>
                <w:b/>
                <w:color w:val="002C47" w:themeColor="accent1"/>
                <w:sz w:val="26"/>
                <w:szCs w:val="26"/>
              </w:rPr>
              <w:t>Issue:</w:t>
            </w:r>
            <w:r w:rsidRPr="008352B8">
              <w:t xml:space="preserve"> Whether the ARPC </w:t>
            </w:r>
            <w:r w:rsidR="00BD7958" w:rsidRPr="008352B8">
              <w:t>Board g</w:t>
            </w:r>
            <w:r w:rsidRPr="00A9723F">
              <w:t>overnance arrangements remain appropriate.</w:t>
            </w:r>
          </w:p>
          <w:p w14:paraId="1099807C" w14:textId="53813B09" w:rsidR="002508D3" w:rsidRPr="00A9723F" w:rsidRDefault="002508D3" w:rsidP="002508D3">
            <w:pPr>
              <w:pStyle w:val="BoxText"/>
            </w:pPr>
            <w:r w:rsidRPr="00A9723F">
              <w:rPr>
                <w:b/>
                <w:color w:val="002C47" w:themeColor="accent1"/>
                <w:sz w:val="26"/>
                <w:szCs w:val="26"/>
              </w:rPr>
              <w:t xml:space="preserve">Finding </w:t>
            </w:r>
            <w:r w:rsidR="00D7563E" w:rsidRPr="00A9723F">
              <w:rPr>
                <w:b/>
                <w:color w:val="002C47" w:themeColor="accent1"/>
                <w:sz w:val="26"/>
                <w:szCs w:val="26"/>
              </w:rPr>
              <w:t>3</w:t>
            </w:r>
            <w:r w:rsidRPr="00A9723F">
              <w:rPr>
                <w:b/>
                <w:color w:val="002C47" w:themeColor="accent1"/>
                <w:sz w:val="26"/>
                <w:szCs w:val="26"/>
              </w:rPr>
              <w:t xml:space="preserve">: </w:t>
            </w:r>
            <w:r w:rsidRPr="00A9723F">
              <w:t xml:space="preserve">The current Board size remains appropriate for the ARPC’s existing </w:t>
            </w:r>
            <w:r w:rsidR="00DE2B98" w:rsidRPr="00A9723F">
              <w:t>responsibilities</w:t>
            </w:r>
            <w:r w:rsidRPr="00A9723F">
              <w:t xml:space="preserve">. If the proposed cyclone </w:t>
            </w:r>
            <w:r w:rsidR="0025462F" w:rsidRPr="00A9723F">
              <w:t xml:space="preserve">reinsurance </w:t>
            </w:r>
            <w:r w:rsidRPr="00A9723F">
              <w:t xml:space="preserve">pool is </w:t>
            </w:r>
            <w:r w:rsidR="00707617" w:rsidRPr="00A9723F">
              <w:t>implemented</w:t>
            </w:r>
            <w:r w:rsidRPr="00A9723F">
              <w:t xml:space="preserve">, </w:t>
            </w:r>
            <w:r w:rsidR="00D9497D" w:rsidRPr="00A9723F">
              <w:t>the</w:t>
            </w:r>
            <w:r w:rsidRPr="00A9723F">
              <w:t xml:space="preserve"> ARPC Board </w:t>
            </w:r>
            <w:r w:rsidR="009D5CCF" w:rsidRPr="00A9723F">
              <w:t>will require additional resourc</w:t>
            </w:r>
            <w:r w:rsidR="005471A1" w:rsidRPr="00A9723F">
              <w:t>ing to ensure that it can provide sufficient scrutiny.</w:t>
            </w:r>
          </w:p>
          <w:p w14:paraId="0BEB453C" w14:textId="33A7970B" w:rsidR="0056379D" w:rsidRPr="00A9723F" w:rsidRDefault="0056379D" w:rsidP="002508D3">
            <w:pPr>
              <w:pStyle w:val="BoxText"/>
            </w:pPr>
            <w:r w:rsidRPr="00A9723F">
              <w:rPr>
                <w:b/>
                <w:color w:val="002C47" w:themeColor="accent1"/>
                <w:sz w:val="26"/>
                <w:szCs w:val="26"/>
              </w:rPr>
              <w:t>Recommendation 3</w:t>
            </w:r>
            <w:r w:rsidRPr="00A9723F">
              <w:t xml:space="preserve"> If the proposed cyclone pool is implemented:</w:t>
            </w:r>
          </w:p>
          <w:p w14:paraId="1E77287D" w14:textId="50C25B16" w:rsidR="00544EAF" w:rsidRPr="00D62206" w:rsidRDefault="00544EAF" w:rsidP="00C924FA">
            <w:pPr>
              <w:pStyle w:val="Bullet"/>
            </w:pPr>
            <w:r w:rsidRPr="00A9723F">
              <w:rPr>
                <w:b/>
                <w:color w:val="002C47" w:themeColor="accent1"/>
                <w:sz w:val="26"/>
                <w:szCs w:val="26"/>
              </w:rPr>
              <w:t>3</w:t>
            </w:r>
            <w:r w:rsidR="009D5CCF" w:rsidRPr="00A9723F">
              <w:rPr>
                <w:b/>
                <w:color w:val="002C47" w:themeColor="accent1"/>
                <w:sz w:val="26"/>
                <w:szCs w:val="26"/>
              </w:rPr>
              <w:t>.1</w:t>
            </w:r>
            <w:r w:rsidRPr="00A9723F">
              <w:rPr>
                <w:rFonts w:ascii="Arial" w:eastAsia="Arial" w:hAnsi="Arial" w:cs="Arial"/>
                <w:b/>
                <w:color w:val="000000"/>
                <w:sz w:val="20"/>
                <w:szCs w:val="22"/>
              </w:rPr>
              <w:t xml:space="preserve"> </w:t>
            </w:r>
            <w:r w:rsidR="008352B8" w:rsidRPr="008352B8">
              <w:t>The Government should ensure that ARPC’s Board is appropriately resourced</w:t>
            </w:r>
            <w:r w:rsidR="0051040F">
              <w:t>,</w:t>
            </w:r>
            <w:r w:rsidR="008352B8" w:rsidRPr="008352B8">
              <w:t xml:space="preserve"> including consideration of an expansion in the Board’s size and/or increases in the time commitments of Board members.</w:t>
            </w:r>
          </w:p>
          <w:p w14:paraId="3A4CAFFE" w14:textId="626FD4AD" w:rsidR="009D5CCF" w:rsidRPr="00D62206" w:rsidRDefault="009D5CCF" w:rsidP="00C924FA">
            <w:pPr>
              <w:pStyle w:val="Bullet"/>
              <w:rPr>
                <w:b/>
                <w:color w:val="002C47" w:themeColor="accent1"/>
                <w:sz w:val="26"/>
                <w:szCs w:val="26"/>
              </w:rPr>
            </w:pPr>
            <w:r w:rsidRPr="00D62206">
              <w:rPr>
                <w:b/>
                <w:color w:val="002C47" w:themeColor="accent1"/>
                <w:sz w:val="26"/>
                <w:szCs w:val="26"/>
              </w:rPr>
              <w:t>3.2</w:t>
            </w:r>
            <w:r w:rsidRPr="00D62206">
              <w:t xml:space="preserve"> </w:t>
            </w:r>
            <w:r w:rsidR="0056379D" w:rsidRPr="00D62206">
              <w:t>T</w:t>
            </w:r>
            <w:r w:rsidR="005471A1" w:rsidRPr="00D62206">
              <w:t>he Government should appoint a new Board member(s</w:t>
            </w:r>
            <w:r w:rsidR="00415C87" w:rsidRPr="00D62206">
              <w:t>) who is experienced with the insurance pressures facing residents of cyclone-prone areas</w:t>
            </w:r>
            <w:r w:rsidR="005471A1" w:rsidRPr="00D62206">
              <w:t>.</w:t>
            </w:r>
          </w:p>
          <w:p w14:paraId="0A60BD81" w14:textId="05238A9C" w:rsidR="009D5CCF" w:rsidRPr="00D62206" w:rsidRDefault="009D5CCF" w:rsidP="00C924FA">
            <w:pPr>
              <w:pStyle w:val="Bullet"/>
              <w:rPr>
                <w:b/>
                <w:color w:val="002C47" w:themeColor="accent1"/>
                <w:sz w:val="26"/>
                <w:szCs w:val="26"/>
              </w:rPr>
            </w:pPr>
            <w:r w:rsidRPr="00D62206">
              <w:rPr>
                <w:b/>
                <w:color w:val="002C47" w:themeColor="accent1"/>
                <w:sz w:val="26"/>
                <w:szCs w:val="26"/>
              </w:rPr>
              <w:t xml:space="preserve">3.3 </w:t>
            </w:r>
            <w:r w:rsidR="0056379D" w:rsidRPr="00D62206">
              <w:t>The</w:t>
            </w:r>
            <w:r w:rsidR="005471A1" w:rsidRPr="00D62206">
              <w:t xml:space="preserve"> Government should appoint two board observers</w:t>
            </w:r>
            <w:r w:rsidR="002041B3" w:rsidRPr="00D62206">
              <w:t>, one</w:t>
            </w:r>
            <w:r w:rsidR="005471A1" w:rsidRPr="00D62206">
              <w:t xml:space="preserve"> from APRA and </w:t>
            </w:r>
            <w:r w:rsidR="002041B3" w:rsidRPr="00D62206">
              <w:t xml:space="preserve">one from </w:t>
            </w:r>
            <w:r w:rsidR="005471A1" w:rsidRPr="00D62206">
              <w:t>the Commonwealth (such as the Australian Government Actuary)</w:t>
            </w:r>
            <w:r w:rsidR="0056379D" w:rsidRPr="00D62206">
              <w:t>,</w:t>
            </w:r>
            <w:r w:rsidR="005471A1" w:rsidRPr="00D62206">
              <w:t xml:space="preserve"> on a temporary basis</w:t>
            </w:r>
            <w:r w:rsidR="0056379D" w:rsidRPr="00D62206">
              <w:t>,</w:t>
            </w:r>
            <w:r w:rsidR="005471A1" w:rsidRPr="00D62206">
              <w:t xml:space="preserve"> to help </w:t>
            </w:r>
            <w:r w:rsidR="001E53D3" w:rsidRPr="00D62206">
              <w:t xml:space="preserve">ensure a smooth implementation of the cyclone scheme. </w:t>
            </w:r>
          </w:p>
          <w:bookmarkEnd w:id="75"/>
          <w:p w14:paraId="6774424A" w14:textId="77777777" w:rsidR="00BD7958" w:rsidRDefault="00BD7958" w:rsidP="00BD7958">
            <w:pPr>
              <w:pStyle w:val="BoxText"/>
            </w:pPr>
            <w:r>
              <w:rPr>
                <w:b/>
                <w:color w:val="002C47" w:themeColor="accent1"/>
                <w:sz w:val="26"/>
                <w:szCs w:val="26"/>
              </w:rPr>
              <w:t xml:space="preserve">Issue: </w:t>
            </w:r>
            <w:r w:rsidRPr="000E3489">
              <w:t xml:space="preserve">Whether the ARPC </w:t>
            </w:r>
            <w:r>
              <w:t>remains adequately resourced and administered</w:t>
            </w:r>
            <w:r w:rsidRPr="000573E5">
              <w:t>.</w:t>
            </w:r>
          </w:p>
          <w:p w14:paraId="40FE7741" w14:textId="085F14F4" w:rsidR="00586727" w:rsidRDefault="00BD7958" w:rsidP="002508D3">
            <w:pPr>
              <w:pStyle w:val="BoxText"/>
            </w:pPr>
            <w:r>
              <w:rPr>
                <w:b/>
                <w:color w:val="002C47" w:themeColor="accent1"/>
                <w:sz w:val="26"/>
              </w:rPr>
              <w:t>Finding</w:t>
            </w:r>
            <w:r w:rsidR="00782E54">
              <w:rPr>
                <w:b/>
                <w:color w:val="002C47" w:themeColor="accent1"/>
                <w:sz w:val="26"/>
              </w:rPr>
              <w:t xml:space="preserve"> 4</w:t>
            </w:r>
            <w:r>
              <w:rPr>
                <w:b/>
                <w:color w:val="002C47" w:themeColor="accent1"/>
                <w:sz w:val="26"/>
              </w:rPr>
              <w:t xml:space="preserve">: </w:t>
            </w:r>
            <w:bookmarkStart w:id="77" w:name="_Hlk82381925"/>
            <w:r>
              <w:t>The ARPC</w:t>
            </w:r>
            <w:r w:rsidR="00782E54">
              <w:t xml:space="preserve"> is</w:t>
            </w:r>
            <w:r>
              <w:t xml:space="preserve"> </w:t>
            </w:r>
            <w:r w:rsidR="00782E54">
              <w:t>appropriate</w:t>
            </w:r>
            <w:r w:rsidR="001B0B48">
              <w:t>ly</w:t>
            </w:r>
            <w:r w:rsidR="00782E54">
              <w:t xml:space="preserve"> resourced to </w:t>
            </w:r>
            <w:r>
              <w:t>administer the terror</w:t>
            </w:r>
            <w:r w:rsidR="00707617">
              <w:t>ism</w:t>
            </w:r>
            <w:r>
              <w:t xml:space="preserve"> pool and </w:t>
            </w:r>
            <w:r w:rsidR="001B0B48">
              <w:t xml:space="preserve">is taking steps to ensure it is ready to administer the </w:t>
            </w:r>
            <w:r>
              <w:t>new cyclone pool</w:t>
            </w:r>
            <w:r w:rsidR="001B0B48">
              <w:t xml:space="preserve"> </w:t>
            </w:r>
            <w:r w:rsidR="00DF111E">
              <w:t>should it be confirmed</w:t>
            </w:r>
            <w:r w:rsidR="001B4BB6">
              <w:t xml:space="preserve">. </w:t>
            </w:r>
            <w:r w:rsidR="000C0B99">
              <w:t>However, given the substantial change in functions, a</w:t>
            </w:r>
            <w:r w:rsidR="001B4BB6">
              <w:t xml:space="preserve"> review of the ongoing administration and resourcing of the ARPC may be </w:t>
            </w:r>
            <w:r w:rsidR="000C0B99">
              <w:t>necessary</w:t>
            </w:r>
            <w:r w:rsidR="001B4BB6">
              <w:t xml:space="preserve"> </w:t>
            </w:r>
            <w:r w:rsidR="002041B3">
              <w:t>after</w:t>
            </w:r>
            <w:r w:rsidR="001B4BB6">
              <w:t xml:space="preserve"> the </w:t>
            </w:r>
            <w:r w:rsidR="002041B3">
              <w:t xml:space="preserve">proposed </w:t>
            </w:r>
            <w:r w:rsidR="001B4BB6">
              <w:t xml:space="preserve">new pool is operational. </w:t>
            </w:r>
            <w:bookmarkEnd w:id="77"/>
          </w:p>
          <w:p w14:paraId="477878AC" w14:textId="7E8C77A5" w:rsidR="001B0B48" w:rsidRDefault="001B0B48" w:rsidP="002508D3">
            <w:pPr>
              <w:pStyle w:val="BoxText"/>
            </w:pPr>
            <w:r w:rsidRPr="005303CD">
              <w:rPr>
                <w:b/>
                <w:color w:val="002C47" w:themeColor="accent1"/>
                <w:sz w:val="26"/>
                <w:szCs w:val="26"/>
              </w:rPr>
              <w:t>Recommendation 4:</w:t>
            </w:r>
            <w:r>
              <w:t xml:space="preserve"> If the proposed cyclone pool is </w:t>
            </w:r>
            <w:r w:rsidR="00707617">
              <w:t>implemented</w:t>
            </w:r>
            <w:r>
              <w:t xml:space="preserve">, a review of the ARPC’s governance arrangements should be undertaken once their new governance arrangements are in place and the cyclone pool is in operation. </w:t>
            </w:r>
          </w:p>
          <w:p w14:paraId="161A1A71" w14:textId="0AC2DAB0" w:rsidR="00D9497D" w:rsidRPr="00A9723F" w:rsidRDefault="00D9497D" w:rsidP="002508D3">
            <w:pPr>
              <w:pStyle w:val="BoxText"/>
            </w:pPr>
            <w:bookmarkStart w:id="78" w:name="_Hlk86153840"/>
            <w:r w:rsidRPr="00A9723F">
              <w:rPr>
                <w:b/>
                <w:color w:val="002C47" w:themeColor="accent1"/>
                <w:sz w:val="26"/>
                <w:szCs w:val="26"/>
              </w:rPr>
              <w:t>Issue</w:t>
            </w:r>
            <w:r w:rsidRPr="00A9723F">
              <w:t xml:space="preserve">: Whether the </w:t>
            </w:r>
            <w:r w:rsidR="006818DA" w:rsidRPr="00A9723F">
              <w:t xml:space="preserve">interval between </w:t>
            </w:r>
            <w:r w:rsidR="00BA32BC" w:rsidRPr="00A9723F">
              <w:t xml:space="preserve">TIA </w:t>
            </w:r>
            <w:r w:rsidR="006818DA" w:rsidRPr="00A9723F">
              <w:t>r</w:t>
            </w:r>
            <w:r w:rsidRPr="00A9723F">
              <w:t>eview</w:t>
            </w:r>
            <w:r w:rsidR="006818DA" w:rsidRPr="00A9723F">
              <w:t>s</w:t>
            </w:r>
            <w:r w:rsidRPr="00A9723F">
              <w:t xml:space="preserve"> </w:t>
            </w:r>
            <w:r w:rsidR="00BA32BC" w:rsidRPr="00A9723F">
              <w:t>remain</w:t>
            </w:r>
            <w:r w:rsidR="009D5CCF" w:rsidRPr="00A9723F">
              <w:t>s</w:t>
            </w:r>
            <w:r w:rsidR="00BA32BC" w:rsidRPr="00A9723F">
              <w:t xml:space="preserve"> appropriate</w:t>
            </w:r>
          </w:p>
          <w:p w14:paraId="231BCD81" w14:textId="49D386B6" w:rsidR="004E56D9" w:rsidRPr="00A9723F" w:rsidRDefault="00D9497D" w:rsidP="004E56D9">
            <w:pPr>
              <w:pStyle w:val="BoxText"/>
            </w:pPr>
            <w:r w:rsidRPr="00A9723F">
              <w:rPr>
                <w:b/>
                <w:color w:val="002C47" w:themeColor="accent1"/>
                <w:sz w:val="26"/>
              </w:rPr>
              <w:t xml:space="preserve">Finding 5: </w:t>
            </w:r>
            <w:r w:rsidR="00BA32BC" w:rsidRPr="00A9723F">
              <w:t>The TIA Review is</w:t>
            </w:r>
            <w:r w:rsidR="00502626" w:rsidRPr="00A9723F">
              <w:t xml:space="preserve"> a statutory requirement</w:t>
            </w:r>
            <w:r w:rsidR="00BA32BC" w:rsidRPr="00A9723F">
              <w:t xml:space="preserve"> </w:t>
            </w:r>
            <w:r w:rsidR="006818DA" w:rsidRPr="00A9723F">
              <w:t xml:space="preserve">for the Government </w:t>
            </w:r>
            <w:r w:rsidR="00BA32BC" w:rsidRPr="00A9723F">
              <w:t>to assess whether there remains a continuing market failure in the private market for terrorism insurance.</w:t>
            </w:r>
            <w:r w:rsidR="00502626" w:rsidRPr="00A9723F">
              <w:t xml:space="preserve"> However, </w:t>
            </w:r>
            <w:r w:rsidR="00BA32BC" w:rsidRPr="00A9723F">
              <w:t xml:space="preserve">significant improvements </w:t>
            </w:r>
            <w:r w:rsidR="006818DA" w:rsidRPr="00A9723F">
              <w:t xml:space="preserve">in this market </w:t>
            </w:r>
            <w:r w:rsidR="00502626" w:rsidRPr="00A9723F">
              <w:t>are unlikely to occur within the current</w:t>
            </w:r>
            <w:r w:rsidR="009D5CCF" w:rsidRPr="00A9723F">
              <w:t xml:space="preserve"> review</w:t>
            </w:r>
            <w:r w:rsidR="006818DA" w:rsidRPr="00A9723F">
              <w:t xml:space="preserve"> </w:t>
            </w:r>
            <w:r w:rsidR="00BA32BC" w:rsidRPr="00A9723F">
              <w:t xml:space="preserve">interval. </w:t>
            </w:r>
          </w:p>
          <w:p w14:paraId="40DB48DF" w14:textId="03CF954A" w:rsidR="00D9497D" w:rsidRPr="000C0B99" w:rsidRDefault="00D9497D" w:rsidP="004E56D9">
            <w:pPr>
              <w:pStyle w:val="BoxText"/>
            </w:pPr>
            <w:r w:rsidRPr="00A9723F">
              <w:rPr>
                <w:b/>
                <w:color w:val="002C47" w:themeColor="accent1"/>
                <w:sz w:val="26"/>
                <w:szCs w:val="26"/>
              </w:rPr>
              <w:t>Recommendation 5:</w:t>
            </w:r>
            <w:r w:rsidR="00BA32BC" w:rsidRPr="00A9723F">
              <w:t xml:space="preserve"> </w:t>
            </w:r>
            <w:r w:rsidR="00502626" w:rsidRPr="00A9723F">
              <w:t xml:space="preserve">The </w:t>
            </w:r>
            <w:r w:rsidR="004E56D9" w:rsidRPr="00A9723F">
              <w:t>interval between</w:t>
            </w:r>
            <w:r w:rsidR="00502626" w:rsidRPr="00A9723F">
              <w:t xml:space="preserve"> </w:t>
            </w:r>
            <w:r w:rsidR="00CE7D39" w:rsidRPr="00A9723F">
              <w:t xml:space="preserve">reviews of </w:t>
            </w:r>
            <w:r w:rsidR="00502626" w:rsidRPr="00A9723F">
              <w:t xml:space="preserve">the </w:t>
            </w:r>
            <w:r w:rsidR="006818DA" w:rsidRPr="00A9723F">
              <w:t>Scheme</w:t>
            </w:r>
            <w:r w:rsidR="00502626" w:rsidRPr="00A9723F">
              <w:t xml:space="preserve"> should be expanded from three years to five years</w:t>
            </w:r>
            <w:r w:rsidR="009F69B4" w:rsidRPr="00A9723F">
              <w:t>.</w:t>
            </w:r>
            <w:bookmarkEnd w:id="78"/>
          </w:p>
        </w:tc>
      </w:tr>
    </w:tbl>
    <w:p w14:paraId="753EFC80" w14:textId="5A1123B0" w:rsidR="00A60349" w:rsidRPr="00A60349" w:rsidRDefault="00A60349" w:rsidP="00A60349">
      <w:pPr>
        <w:keepNext/>
        <w:spacing w:before="360"/>
        <w:outlineLvl w:val="1"/>
        <w:rPr>
          <w:rFonts w:cs="Arial"/>
          <w:iCs/>
          <w:color w:val="002C47" w:themeColor="accent1"/>
          <w:kern w:val="32"/>
          <w:sz w:val="36"/>
          <w:szCs w:val="28"/>
        </w:rPr>
      </w:pPr>
      <w:bookmarkStart w:id="79" w:name="_Toc81844200"/>
      <w:bookmarkStart w:id="80" w:name="_Toc89070035"/>
      <w:bookmarkEnd w:id="76"/>
      <w:r w:rsidRPr="00A60349">
        <w:rPr>
          <w:rFonts w:cs="Arial"/>
          <w:iCs/>
          <w:color w:val="002C47" w:themeColor="accent1"/>
          <w:kern w:val="32"/>
          <w:sz w:val="36"/>
          <w:szCs w:val="28"/>
        </w:rPr>
        <w:t>ARPC Board background</w:t>
      </w:r>
      <w:bookmarkEnd w:id="79"/>
      <w:bookmarkEnd w:id="80"/>
    </w:p>
    <w:p w14:paraId="707C618C" w14:textId="35736E29" w:rsidR="00A60349" w:rsidRPr="00A60349" w:rsidRDefault="00A60349" w:rsidP="00F2363D">
      <w:pPr>
        <w:jc w:val="both"/>
      </w:pPr>
      <w:r w:rsidRPr="00A60349">
        <w:t xml:space="preserve">Under section 12 of the TI Act, the ARPC is required to have a Chair and at least four, but no more than six, part-time members on the </w:t>
      </w:r>
      <w:r w:rsidR="005115CD">
        <w:t>B</w:t>
      </w:r>
      <w:r w:rsidRPr="00A60349">
        <w:t xml:space="preserve">oard. </w:t>
      </w:r>
      <w:r w:rsidR="00EA7446">
        <w:t xml:space="preserve">As </w:t>
      </w:r>
      <w:r w:rsidR="00B81F4B">
        <w:t>of</w:t>
      </w:r>
      <w:r w:rsidR="00EA7446">
        <w:t xml:space="preserve"> September 2021</w:t>
      </w:r>
      <w:r w:rsidRPr="00A60349">
        <w:t xml:space="preserve">, the ARPC Board consisted of five </w:t>
      </w:r>
      <w:r w:rsidRPr="00A60349">
        <w:lastRenderedPageBreak/>
        <w:t>members, with one vacancy</w:t>
      </w:r>
      <w:r w:rsidR="00EA7446">
        <w:t>.</w:t>
      </w:r>
      <w:r w:rsidR="0080237F">
        <w:t xml:space="preserve"> </w:t>
      </w:r>
      <w:r w:rsidRPr="00A60349">
        <w:t>In accordance with the ARPC Board Charter</w:t>
      </w:r>
      <w:r w:rsidR="00393224">
        <w:rPr>
          <w:rStyle w:val="FootnoteReference"/>
        </w:rPr>
        <w:footnoteReference w:id="31"/>
      </w:r>
      <w:r w:rsidRPr="00A60349">
        <w:t>, the Board’s responsibilities include:</w:t>
      </w:r>
    </w:p>
    <w:p w14:paraId="6FA8ACCC" w14:textId="4203D0E5" w:rsidR="00A60349" w:rsidRPr="00A60349" w:rsidRDefault="00A60349" w:rsidP="00F2363D">
      <w:pPr>
        <w:numPr>
          <w:ilvl w:val="0"/>
          <w:numId w:val="1"/>
        </w:numPr>
        <w:tabs>
          <w:tab w:val="clear" w:pos="283"/>
          <w:tab w:val="num" w:pos="520"/>
        </w:tabs>
        <w:spacing w:before="0"/>
        <w:ind w:left="284" w:hanging="284"/>
        <w:jc w:val="both"/>
      </w:pPr>
      <w:r w:rsidRPr="00A60349">
        <w:t xml:space="preserve">setting the strategic direction and financial objectives for </w:t>
      </w:r>
      <w:r w:rsidR="00A72E14">
        <w:t xml:space="preserve">the </w:t>
      </w:r>
      <w:r w:rsidRPr="00A60349">
        <w:t xml:space="preserve">ARPC and monitoring their </w:t>
      </w:r>
      <w:proofErr w:type="gramStart"/>
      <w:r w:rsidRPr="00A60349">
        <w:t>implementation;</w:t>
      </w:r>
      <w:proofErr w:type="gramEnd"/>
      <w:r w:rsidRPr="00A60349">
        <w:t xml:space="preserve"> </w:t>
      </w:r>
    </w:p>
    <w:p w14:paraId="51F2A04E" w14:textId="503CBA43" w:rsidR="00A60349" w:rsidRPr="00A60349" w:rsidRDefault="00A60349" w:rsidP="00F2363D">
      <w:pPr>
        <w:numPr>
          <w:ilvl w:val="0"/>
          <w:numId w:val="1"/>
        </w:numPr>
        <w:tabs>
          <w:tab w:val="clear" w:pos="283"/>
          <w:tab w:val="num" w:pos="520"/>
        </w:tabs>
        <w:spacing w:before="0"/>
        <w:ind w:left="284" w:hanging="284"/>
        <w:jc w:val="both"/>
      </w:pPr>
      <w:r w:rsidRPr="00A60349">
        <w:t xml:space="preserve">establishing and maintaining productive working relationships with the Treasury, the Minister’s office and other relevant Commonwealth and State/Territory agencies, as </w:t>
      </w:r>
      <w:proofErr w:type="gramStart"/>
      <w:r w:rsidRPr="00A60349">
        <w:t>appropriate;</w:t>
      </w:r>
      <w:proofErr w:type="gramEnd"/>
      <w:r w:rsidRPr="00A60349">
        <w:t xml:space="preserve"> </w:t>
      </w:r>
    </w:p>
    <w:p w14:paraId="7731CD60" w14:textId="77777777" w:rsidR="00A60349" w:rsidRPr="00A60349" w:rsidRDefault="00A60349" w:rsidP="00F2363D">
      <w:pPr>
        <w:numPr>
          <w:ilvl w:val="0"/>
          <w:numId w:val="1"/>
        </w:numPr>
        <w:tabs>
          <w:tab w:val="clear" w:pos="283"/>
          <w:tab w:val="num" w:pos="520"/>
        </w:tabs>
        <w:spacing w:before="0"/>
        <w:ind w:left="284" w:hanging="284"/>
        <w:jc w:val="both"/>
      </w:pPr>
      <w:r w:rsidRPr="00A60349">
        <w:t xml:space="preserve">establishing and maintaining productive working relationships with key stakeholders within the terrorism insurance and reinsurance markets, and in particular, global terrorism </w:t>
      </w:r>
      <w:proofErr w:type="gramStart"/>
      <w:r w:rsidRPr="00A60349">
        <w:t>reinsurers;</w:t>
      </w:r>
      <w:proofErr w:type="gramEnd"/>
      <w:r w:rsidRPr="00A60349">
        <w:t xml:space="preserve"> </w:t>
      </w:r>
    </w:p>
    <w:p w14:paraId="5EDB944B" w14:textId="186D5A79" w:rsidR="00A60349" w:rsidRPr="00A60349" w:rsidRDefault="00A60349" w:rsidP="00F2363D">
      <w:pPr>
        <w:numPr>
          <w:ilvl w:val="0"/>
          <w:numId w:val="1"/>
        </w:numPr>
        <w:tabs>
          <w:tab w:val="clear" w:pos="283"/>
          <w:tab w:val="num" w:pos="520"/>
        </w:tabs>
        <w:spacing w:before="0"/>
        <w:ind w:left="284" w:hanging="284"/>
        <w:jc w:val="both"/>
      </w:pPr>
      <w:r w:rsidRPr="00A60349">
        <w:t xml:space="preserve">determining that </w:t>
      </w:r>
      <w:r w:rsidR="00A72E14">
        <w:t xml:space="preserve">the </w:t>
      </w:r>
      <w:r w:rsidRPr="00A60349">
        <w:t xml:space="preserve">ARPC has an appropriate risk management framework in place, determining in consultation with management the risk appetite and risk tolerance levels within which </w:t>
      </w:r>
      <w:r w:rsidR="00A72E14">
        <w:t xml:space="preserve">the </w:t>
      </w:r>
      <w:r w:rsidRPr="00A60349">
        <w:t xml:space="preserve">ARPC should </w:t>
      </w:r>
      <w:proofErr w:type="gramStart"/>
      <w:r w:rsidRPr="00A60349">
        <w:t>operate;</w:t>
      </w:r>
      <w:proofErr w:type="gramEnd"/>
    </w:p>
    <w:p w14:paraId="6B29AA3C" w14:textId="11D0C1FC" w:rsidR="00A60349" w:rsidRPr="00A60349" w:rsidRDefault="00A60349" w:rsidP="00F2363D">
      <w:pPr>
        <w:numPr>
          <w:ilvl w:val="0"/>
          <w:numId w:val="1"/>
        </w:numPr>
        <w:tabs>
          <w:tab w:val="clear" w:pos="283"/>
          <w:tab w:val="num" w:pos="520"/>
        </w:tabs>
        <w:spacing w:before="0"/>
        <w:ind w:left="284" w:hanging="284"/>
        <w:jc w:val="both"/>
      </w:pPr>
      <w:r w:rsidRPr="00A60349">
        <w:t xml:space="preserve">monitoring compliance with regulatory requirements, ethical standards and external commitments, and the implementation of </w:t>
      </w:r>
      <w:r w:rsidR="00A72E14">
        <w:t xml:space="preserve">the </w:t>
      </w:r>
      <w:r w:rsidRPr="00A60349">
        <w:t>ARPC policies and relevant Government policies; and</w:t>
      </w:r>
    </w:p>
    <w:p w14:paraId="1FEF57E3" w14:textId="5B5EC1D7" w:rsidR="00A60349" w:rsidRDefault="00A60349" w:rsidP="00F2363D">
      <w:pPr>
        <w:numPr>
          <w:ilvl w:val="0"/>
          <w:numId w:val="1"/>
        </w:numPr>
        <w:tabs>
          <w:tab w:val="clear" w:pos="283"/>
          <w:tab w:val="num" w:pos="520"/>
        </w:tabs>
        <w:spacing w:before="0"/>
        <w:ind w:left="284" w:hanging="284"/>
        <w:jc w:val="both"/>
      </w:pPr>
      <w:r w:rsidRPr="00A60349">
        <w:t>appointing and reviewing the performance of the Chief Executive (CEO).</w:t>
      </w:r>
    </w:p>
    <w:p w14:paraId="1B77905C" w14:textId="17F90F38" w:rsidR="001B4BB6" w:rsidRDefault="001B4BB6" w:rsidP="00A60349">
      <w:pPr>
        <w:keepNext/>
        <w:spacing w:before="360"/>
        <w:outlineLvl w:val="1"/>
        <w:rPr>
          <w:rFonts w:cs="Arial"/>
          <w:iCs/>
          <w:color w:val="002C47" w:themeColor="accent1"/>
          <w:kern w:val="32"/>
          <w:sz w:val="36"/>
          <w:szCs w:val="28"/>
        </w:rPr>
      </w:pPr>
      <w:bookmarkStart w:id="81" w:name="_Toc89070036"/>
      <w:bookmarkStart w:id="82" w:name="_Toc81844201"/>
      <w:r>
        <w:rPr>
          <w:rFonts w:cs="Arial"/>
          <w:iCs/>
          <w:color w:val="002C47" w:themeColor="accent1"/>
          <w:kern w:val="32"/>
          <w:sz w:val="36"/>
          <w:szCs w:val="28"/>
        </w:rPr>
        <w:t>ARPC administration and resourcing</w:t>
      </w:r>
      <w:bookmarkEnd w:id="81"/>
    </w:p>
    <w:p w14:paraId="78B8D216" w14:textId="29DC9F8A" w:rsidR="005303CD" w:rsidRDefault="005303CD" w:rsidP="005303CD">
      <w:pPr>
        <w:jc w:val="both"/>
      </w:pPr>
      <w:r>
        <w:t xml:space="preserve">In the current context of terrorism risk, the governance, administration, and resourcing of </w:t>
      </w:r>
      <w:r w:rsidR="00565A5C">
        <w:t xml:space="preserve">the </w:t>
      </w:r>
      <w:r>
        <w:t>ARPC remains appropriate for the terrorism reinsurance scheme. In 2019, the Australian National Audit Office (ANAO) performance audit independently reviewed the terrorism reinsurance scheme. The ANAO reported that the ARPC operates effectively and enables Australian businesses to efficiently manage terrorism risk.</w:t>
      </w:r>
      <w:r w:rsidR="00F422DC">
        <w:rPr>
          <w:rStyle w:val="FootnoteReference"/>
        </w:rPr>
        <w:footnoteReference w:id="32"/>
      </w:r>
    </w:p>
    <w:p w14:paraId="0C7363E0" w14:textId="69C8B655" w:rsidR="00B25547" w:rsidRDefault="00BF12F7" w:rsidP="00B25547">
      <w:pPr>
        <w:jc w:val="both"/>
      </w:pPr>
      <w:r>
        <w:t xml:space="preserve">The </w:t>
      </w:r>
      <w:r w:rsidR="001B0B48">
        <w:t xml:space="preserve">proposed </w:t>
      </w:r>
      <w:r>
        <w:t>new cyclone pool w</w:t>
      </w:r>
      <w:r w:rsidR="001B0B48">
        <w:t>ould</w:t>
      </w:r>
      <w:r>
        <w:t xml:space="preserve"> demand significant increases in the resourcing</w:t>
      </w:r>
      <w:r w:rsidR="00D12F97">
        <w:t xml:space="preserve"> and capabilities of the ARPC. </w:t>
      </w:r>
      <w:r w:rsidR="00B25547">
        <w:t xml:space="preserve">Accordingly, the </w:t>
      </w:r>
      <w:r w:rsidR="00D12F97">
        <w:t xml:space="preserve">ARPC is </w:t>
      </w:r>
      <w:r w:rsidR="00B25547">
        <w:t>progressing</w:t>
      </w:r>
      <w:r w:rsidR="00D12F97">
        <w:t xml:space="preserve"> implementation work </w:t>
      </w:r>
      <w:r w:rsidR="00B25547">
        <w:t>to ensure</w:t>
      </w:r>
      <w:r w:rsidR="00D12F97">
        <w:t xml:space="preserve"> all the necessary people, systems, and processes </w:t>
      </w:r>
      <w:r w:rsidR="00565A5C">
        <w:t xml:space="preserve">are </w:t>
      </w:r>
      <w:r w:rsidR="00D12F97">
        <w:t>in place to commence the new pool from 1 July 2022</w:t>
      </w:r>
      <w:r w:rsidR="00B25547">
        <w:t xml:space="preserve">, while maintaining the ongoing </w:t>
      </w:r>
      <w:r w:rsidR="000128BB">
        <w:t xml:space="preserve">effective </w:t>
      </w:r>
      <w:r w:rsidR="00B25547">
        <w:t>administration of the terror</w:t>
      </w:r>
      <w:r w:rsidR="00707617">
        <w:t>ism</w:t>
      </w:r>
      <w:r w:rsidR="00B25547">
        <w:t xml:space="preserve"> pool</w:t>
      </w:r>
      <w:r w:rsidR="00D12F97">
        <w:t>.</w:t>
      </w:r>
      <w:r w:rsidR="00B25547">
        <w:t xml:space="preserve"> This includes </w:t>
      </w:r>
      <w:r w:rsidR="001C4CB0">
        <w:t>substantial upgrades in IT infrastructure, increased hiring, and</w:t>
      </w:r>
      <w:r w:rsidR="00D12F97">
        <w:t xml:space="preserve"> </w:t>
      </w:r>
      <w:r w:rsidR="001C4CB0">
        <w:t xml:space="preserve">liaising and </w:t>
      </w:r>
      <w:r w:rsidR="00D12F97">
        <w:t>supporting the Treasury-led</w:t>
      </w:r>
      <w:r w:rsidR="000128BB">
        <w:t xml:space="preserve"> Reinsurance Pool</w:t>
      </w:r>
      <w:r w:rsidR="00D12F97">
        <w:t xml:space="preserve"> Taskforce.</w:t>
      </w:r>
    </w:p>
    <w:p w14:paraId="48C99E13" w14:textId="19F90450" w:rsidR="001B4BB6" w:rsidRPr="00B25547" w:rsidRDefault="00BF12F7" w:rsidP="00B25547">
      <w:pPr>
        <w:jc w:val="both"/>
      </w:pPr>
      <w:bookmarkStart w:id="83" w:name="_Hlk88590179"/>
      <w:r>
        <w:t xml:space="preserve">The </w:t>
      </w:r>
      <w:r w:rsidR="00066526">
        <w:t xml:space="preserve">Review </w:t>
      </w:r>
      <w:r>
        <w:t xml:space="preserve">considers </w:t>
      </w:r>
      <w:r w:rsidR="001B0B48">
        <w:t>the</w:t>
      </w:r>
      <w:r>
        <w:t xml:space="preserve"> ARPC is </w:t>
      </w:r>
      <w:r w:rsidR="001B0B48">
        <w:t>taking appropriate steps to ensure it is ready</w:t>
      </w:r>
      <w:r>
        <w:t xml:space="preserve"> to administer the terror</w:t>
      </w:r>
      <w:r w:rsidR="00707617">
        <w:t>ism</w:t>
      </w:r>
      <w:r>
        <w:t xml:space="preserve"> pool and implement the </w:t>
      </w:r>
      <w:r w:rsidR="001B0B48">
        <w:t xml:space="preserve">proposed </w:t>
      </w:r>
      <w:r>
        <w:t xml:space="preserve">new cyclone pool. However, given the substantial </w:t>
      </w:r>
      <w:r w:rsidR="00F97980">
        <w:t>increase</w:t>
      </w:r>
      <w:r>
        <w:t xml:space="preserve"> in functions, </w:t>
      </w:r>
      <w:r w:rsidR="001C4CB0">
        <w:t xml:space="preserve">further resourcing and administration </w:t>
      </w:r>
      <w:r w:rsidR="00F97980">
        <w:t xml:space="preserve">needs </w:t>
      </w:r>
      <w:r w:rsidR="001C4CB0">
        <w:t xml:space="preserve">may become </w:t>
      </w:r>
      <w:r w:rsidR="00F97980">
        <w:t>apparent once the scheme is in operation</w:t>
      </w:r>
      <w:r w:rsidR="001C4CB0">
        <w:t xml:space="preserve">. </w:t>
      </w:r>
      <w:bookmarkEnd w:id="83"/>
      <w:r w:rsidR="001C4CB0">
        <w:t xml:space="preserve">Consequently, </w:t>
      </w:r>
      <w:r>
        <w:t>a review of the ongoing administration and resourcing of the ARPC may be necessary once the new pool is operational.</w:t>
      </w:r>
    </w:p>
    <w:p w14:paraId="732C4AD1" w14:textId="537F01A3" w:rsidR="00A60349" w:rsidRPr="00A60349" w:rsidRDefault="00A60349" w:rsidP="00A60349">
      <w:pPr>
        <w:keepNext/>
        <w:spacing w:before="360"/>
        <w:outlineLvl w:val="1"/>
        <w:rPr>
          <w:rFonts w:cs="Arial"/>
          <w:iCs/>
          <w:color w:val="002C47" w:themeColor="accent1"/>
          <w:kern w:val="32"/>
          <w:sz w:val="36"/>
          <w:szCs w:val="28"/>
        </w:rPr>
      </w:pPr>
      <w:bookmarkStart w:id="84" w:name="_Toc89070037"/>
      <w:r w:rsidRPr="00A60349">
        <w:rPr>
          <w:rFonts w:cs="Arial"/>
          <w:iCs/>
          <w:color w:val="002C47" w:themeColor="accent1"/>
          <w:kern w:val="32"/>
          <w:sz w:val="36"/>
          <w:szCs w:val="28"/>
        </w:rPr>
        <w:t>Board skills assessment</w:t>
      </w:r>
      <w:bookmarkEnd w:id="82"/>
      <w:bookmarkEnd w:id="84"/>
    </w:p>
    <w:p w14:paraId="6EBF8C35" w14:textId="530F1AEE" w:rsidR="00A60349" w:rsidRPr="00A60349" w:rsidRDefault="00A60349" w:rsidP="00A60349">
      <w:pPr>
        <w:keepNext/>
        <w:spacing w:before="240"/>
        <w:outlineLvl w:val="2"/>
        <w:rPr>
          <w:rFonts w:cs="Arial"/>
          <w:color w:val="3A6FAF" w:themeColor="accent2"/>
          <w:kern w:val="32"/>
          <w:sz w:val="28"/>
          <w:szCs w:val="26"/>
        </w:rPr>
      </w:pPr>
      <w:bookmarkStart w:id="85" w:name="_Toc81844202"/>
      <w:bookmarkStart w:id="86" w:name="_Toc89070038"/>
      <w:r w:rsidRPr="00A60349">
        <w:rPr>
          <w:rFonts w:cs="Arial"/>
          <w:color w:val="3A6FAF" w:themeColor="accent2"/>
          <w:kern w:val="32"/>
          <w:sz w:val="28"/>
          <w:szCs w:val="26"/>
        </w:rPr>
        <w:t>New skill requirements</w:t>
      </w:r>
      <w:bookmarkEnd w:id="85"/>
      <w:bookmarkEnd w:id="86"/>
    </w:p>
    <w:p w14:paraId="3F2DC0F6" w14:textId="18B9D1CC" w:rsidR="00A60349" w:rsidRPr="00A60349" w:rsidRDefault="00A60349" w:rsidP="00F2363D">
      <w:pPr>
        <w:jc w:val="both"/>
      </w:pPr>
      <w:r w:rsidRPr="00A60349">
        <w:t>To assess the ARPC Board’s changing skill requirements</w:t>
      </w:r>
      <w:r w:rsidR="0025462F">
        <w:t xml:space="preserve"> should the Government confirm the proposed cyclone reinsurance pool</w:t>
      </w:r>
      <w:r w:rsidR="00FE1EEC">
        <w:t xml:space="preserve"> </w:t>
      </w:r>
      <w:r w:rsidRPr="00A60349">
        <w:t>a Board skill matrix has been developed in Table 1.1.</w:t>
      </w:r>
    </w:p>
    <w:p w14:paraId="23B5299B" w14:textId="326F8790" w:rsidR="005303CD" w:rsidRDefault="00A60349" w:rsidP="00F2363D">
      <w:pPr>
        <w:jc w:val="both"/>
      </w:pPr>
      <w:r w:rsidRPr="00A60349">
        <w:t xml:space="preserve">This Table shows that the current skill composition largely remains appropriate for the organisation’s expected future </w:t>
      </w:r>
      <w:r w:rsidR="005303CD" w:rsidRPr="00A60349">
        <w:t>needs</w:t>
      </w:r>
      <w:r w:rsidR="005303CD">
        <w:t>.</w:t>
      </w:r>
      <w:r w:rsidRPr="00A60349">
        <w:t xml:space="preserve"> </w:t>
      </w:r>
      <w:r w:rsidR="005303CD">
        <w:t xml:space="preserve">Indeed, some of the new desirable board skills: experience in organisational </w:t>
      </w:r>
      <w:r w:rsidR="005303CD">
        <w:lastRenderedPageBreak/>
        <w:t xml:space="preserve">change and catastrophe modelling, which are two key skill areas that will help the organisation adapt and operate the new reinsurance pool, are already well represented on the Board. </w:t>
      </w:r>
    </w:p>
    <w:p w14:paraId="595073E8" w14:textId="11B22BD4" w:rsidR="00A60349" w:rsidRPr="00A60349" w:rsidRDefault="007A1EF0" w:rsidP="00F2363D">
      <w:pPr>
        <w:jc w:val="both"/>
      </w:pPr>
      <w:r>
        <w:t>However, there is one area that the Board should add expertise</w:t>
      </w:r>
      <w:r w:rsidR="00565A5C">
        <w:t xml:space="preserve"> in</w:t>
      </w:r>
      <w:r>
        <w:t xml:space="preserve">. </w:t>
      </w:r>
      <w:r w:rsidR="005303CD">
        <w:t>U</w:t>
      </w:r>
      <w:r w:rsidR="00A60349" w:rsidRPr="00A60349">
        <w:t xml:space="preserve">nlike the current </w:t>
      </w:r>
      <w:r w:rsidR="007B6484">
        <w:t>t</w:t>
      </w:r>
      <w:r w:rsidR="00A60349" w:rsidRPr="00A60349">
        <w:t>error</w:t>
      </w:r>
      <w:r w:rsidR="00707617">
        <w:t>ism</w:t>
      </w:r>
      <w:r w:rsidR="00A60349" w:rsidRPr="00A60349">
        <w:t xml:space="preserve"> pool, the cyclone pool is expected to pay substantial and </w:t>
      </w:r>
      <w:r w:rsidR="00EB2337">
        <w:t xml:space="preserve">more </w:t>
      </w:r>
      <w:r w:rsidR="00A60349" w:rsidRPr="00A60349">
        <w:t>frequent claims. While as a reinsurer</w:t>
      </w:r>
      <w:r w:rsidR="00A60349" w:rsidRPr="00A60349" w:rsidDel="00F422DC">
        <w:t xml:space="preserve"> </w:t>
      </w:r>
      <w:r w:rsidR="00A60349" w:rsidRPr="00A60349">
        <w:t xml:space="preserve">the ARPC will not handle claims at a policyholder level; it is the responsible entity for a significant intervention in the Australian reinsurance market, and there is strong community expectations and interest in the scheme. </w:t>
      </w:r>
    </w:p>
    <w:p w14:paraId="044C2EAF" w14:textId="0D03F73D" w:rsidR="006D37D7" w:rsidRDefault="00A60349" w:rsidP="00F2363D">
      <w:pPr>
        <w:jc w:val="both"/>
      </w:pPr>
      <w:bookmarkStart w:id="87" w:name="_Hlk88589748"/>
      <w:r w:rsidRPr="00A60349">
        <w:t xml:space="preserve">To ensure the ARPC is appropriately equipped to </w:t>
      </w:r>
      <w:r w:rsidR="00F422DC">
        <w:t>engage with</w:t>
      </w:r>
      <w:r w:rsidR="00F422DC" w:rsidRPr="00A60349">
        <w:t xml:space="preserve"> </w:t>
      </w:r>
      <w:r w:rsidR="00F422DC">
        <w:t xml:space="preserve">the </w:t>
      </w:r>
      <w:r w:rsidRPr="00A60349">
        <w:t xml:space="preserve">community, it will need to introduce new processes </w:t>
      </w:r>
      <w:r w:rsidR="00F422DC">
        <w:t>and build up new stakeholder relationships</w:t>
      </w:r>
      <w:r w:rsidRPr="00A60349">
        <w:t xml:space="preserve">. </w:t>
      </w:r>
      <w:r w:rsidR="006C01DC">
        <w:t xml:space="preserve">A </w:t>
      </w:r>
      <w:r w:rsidR="00A72E14">
        <w:t>B</w:t>
      </w:r>
      <w:r w:rsidR="006C01DC">
        <w:t xml:space="preserve">oard </w:t>
      </w:r>
      <w:r w:rsidR="00A72E14">
        <w:t>member</w:t>
      </w:r>
      <w:r w:rsidR="00707617">
        <w:t>(s)</w:t>
      </w:r>
      <w:r w:rsidR="00A72E14">
        <w:t xml:space="preserve"> </w:t>
      </w:r>
      <w:r w:rsidR="006C01DC">
        <w:t>that is familiar with the</w:t>
      </w:r>
      <w:r w:rsidR="00F422DC">
        <w:t xml:space="preserve"> insurance pressures facing cyclone prone areas, including the drivers of premium affordability, insurance claims processes and mitigation; and who is also well placed to help foster stakeholder relationships, including with consumers, brokers and the insurance industry,</w:t>
      </w:r>
      <w:r w:rsidR="00F422DC" w:rsidRPr="00F422DC">
        <w:t xml:space="preserve"> </w:t>
      </w:r>
      <w:r w:rsidR="00F422DC">
        <w:t>would help</w:t>
      </w:r>
      <w:r w:rsidR="00F422DC" w:rsidRPr="00A60349">
        <w:t xml:space="preserve"> ensure adequate oversight of these new functions</w:t>
      </w:r>
      <w:bookmarkEnd w:id="87"/>
      <w:r w:rsidR="00F422DC" w:rsidRPr="00A60349">
        <w:t>.</w:t>
      </w:r>
    </w:p>
    <w:p w14:paraId="05E74FBC" w14:textId="77777777" w:rsidR="005303CD" w:rsidRPr="00A60349" w:rsidRDefault="005303CD" w:rsidP="00F2363D">
      <w:pPr>
        <w:jc w:val="both"/>
      </w:pPr>
    </w:p>
    <w:p w14:paraId="7BEABD2C" w14:textId="440E5493" w:rsidR="00A60349" w:rsidRPr="00A60349" w:rsidRDefault="00A60349" w:rsidP="00F506E4">
      <w:pPr>
        <w:pStyle w:val="TableHeadingContinued"/>
        <w:outlineLvl w:val="9"/>
        <w:rPr>
          <w:b w:val="0"/>
        </w:rPr>
      </w:pPr>
      <w:bookmarkStart w:id="88" w:name="_Toc81844203"/>
      <w:r w:rsidRPr="00E96F44">
        <w:t>Table 1.1 Board Skill requirements</w:t>
      </w:r>
      <w:bookmarkEnd w:id="88"/>
    </w:p>
    <w:tbl>
      <w:tblPr>
        <w:tblStyle w:val="TableGrid2"/>
        <w:tblW w:w="9164" w:type="dxa"/>
        <w:tblLook w:val="04A0" w:firstRow="1" w:lastRow="0" w:firstColumn="1" w:lastColumn="0" w:noHBand="0" w:noVBand="1"/>
      </w:tblPr>
      <w:tblGrid>
        <w:gridCol w:w="5701"/>
        <w:gridCol w:w="3463"/>
      </w:tblGrid>
      <w:tr w:rsidR="00A60349" w:rsidRPr="00A60349" w14:paraId="64DD4D09" w14:textId="77777777" w:rsidTr="00A60349">
        <w:trPr>
          <w:trHeight w:val="303"/>
        </w:trPr>
        <w:tc>
          <w:tcPr>
            <w:tcW w:w="9164" w:type="dxa"/>
            <w:gridSpan w:val="2"/>
            <w:shd w:val="clear" w:color="auto" w:fill="82A7D5" w:themeFill="accent2" w:themeFillTint="99"/>
            <w:vAlign w:val="center"/>
          </w:tcPr>
          <w:p w14:paraId="4BFA856C" w14:textId="2D570F2B" w:rsidR="00A60349" w:rsidRPr="00A60349" w:rsidRDefault="00A60349" w:rsidP="00A60349">
            <w:pPr>
              <w:spacing w:before="0" w:after="0"/>
              <w:jc w:val="center"/>
              <w:rPr>
                <w:rFonts w:ascii="Arial" w:hAnsi="Arial" w:cs="Arial"/>
              </w:rPr>
            </w:pPr>
            <w:r w:rsidRPr="00A60349">
              <w:rPr>
                <w:rFonts w:ascii="Arial" w:hAnsi="Arial" w:cs="Arial"/>
                <w:b/>
                <w:bCs/>
              </w:rPr>
              <w:t xml:space="preserve">Current </w:t>
            </w:r>
            <w:r w:rsidR="005115CD">
              <w:rPr>
                <w:rFonts w:ascii="Arial" w:hAnsi="Arial" w:cs="Arial"/>
                <w:b/>
                <w:bCs/>
              </w:rPr>
              <w:t>B</w:t>
            </w:r>
            <w:r w:rsidRPr="00A60349">
              <w:rPr>
                <w:rFonts w:ascii="Arial" w:hAnsi="Arial" w:cs="Arial"/>
                <w:b/>
                <w:bCs/>
              </w:rPr>
              <w:t>oard requirements</w:t>
            </w:r>
          </w:p>
        </w:tc>
      </w:tr>
      <w:tr w:rsidR="00A60349" w:rsidRPr="00A60349" w14:paraId="3C3F68DC" w14:textId="77777777" w:rsidTr="00A60349">
        <w:trPr>
          <w:trHeight w:val="303"/>
        </w:trPr>
        <w:tc>
          <w:tcPr>
            <w:tcW w:w="5701" w:type="dxa"/>
            <w:vAlign w:val="center"/>
          </w:tcPr>
          <w:p w14:paraId="293ABFE6" w14:textId="56ED75B4" w:rsidR="00A60349" w:rsidRPr="00A60349" w:rsidRDefault="00A60349" w:rsidP="00A60349">
            <w:pPr>
              <w:spacing w:before="0" w:after="0"/>
              <w:rPr>
                <w:rFonts w:ascii="Arial" w:hAnsi="Arial" w:cs="Arial"/>
                <w:b/>
                <w:bCs/>
              </w:rPr>
            </w:pPr>
            <w:r w:rsidRPr="00A60349">
              <w:rPr>
                <w:rFonts w:ascii="Arial" w:hAnsi="Arial" w:cs="Arial"/>
                <w:b/>
                <w:bCs/>
              </w:rPr>
              <w:t>Skills</w:t>
            </w:r>
          </w:p>
        </w:tc>
        <w:tc>
          <w:tcPr>
            <w:tcW w:w="3463" w:type="dxa"/>
            <w:shd w:val="clear" w:color="auto" w:fill="auto"/>
            <w:vAlign w:val="center"/>
          </w:tcPr>
          <w:p w14:paraId="4DE0984C" w14:textId="72025A3C" w:rsidR="00A60349" w:rsidRPr="00A60349" w:rsidRDefault="00A60349" w:rsidP="00A60349">
            <w:pPr>
              <w:spacing w:before="0" w:after="0"/>
              <w:jc w:val="center"/>
              <w:rPr>
                <w:rFonts w:ascii="Arial" w:hAnsi="Arial" w:cs="Arial"/>
                <w:b/>
                <w:bCs/>
              </w:rPr>
            </w:pPr>
            <w:r w:rsidRPr="00A60349">
              <w:rPr>
                <w:rFonts w:ascii="Arial" w:hAnsi="Arial" w:cs="Arial"/>
                <w:b/>
                <w:bCs/>
              </w:rPr>
              <w:t xml:space="preserve">Presence on </w:t>
            </w:r>
            <w:r w:rsidR="005115CD">
              <w:rPr>
                <w:rFonts w:ascii="Arial" w:hAnsi="Arial" w:cs="Arial"/>
                <w:b/>
                <w:bCs/>
              </w:rPr>
              <w:t>B</w:t>
            </w:r>
            <w:r w:rsidRPr="00A60349">
              <w:rPr>
                <w:rFonts w:ascii="Arial" w:hAnsi="Arial" w:cs="Arial"/>
                <w:b/>
                <w:bCs/>
              </w:rPr>
              <w:t>oard</w:t>
            </w:r>
          </w:p>
        </w:tc>
      </w:tr>
      <w:tr w:rsidR="00A60349" w:rsidRPr="00A60349" w14:paraId="6346AEAA" w14:textId="77777777" w:rsidTr="00A60349">
        <w:trPr>
          <w:trHeight w:val="303"/>
        </w:trPr>
        <w:tc>
          <w:tcPr>
            <w:tcW w:w="5701" w:type="dxa"/>
            <w:vAlign w:val="center"/>
          </w:tcPr>
          <w:p w14:paraId="506673AB" w14:textId="77777777" w:rsidR="00A60349" w:rsidRPr="00A60349" w:rsidRDefault="00A60349" w:rsidP="00A60349">
            <w:pPr>
              <w:spacing w:before="0" w:after="0"/>
              <w:rPr>
                <w:rFonts w:ascii="Arial" w:hAnsi="Arial" w:cs="Arial"/>
              </w:rPr>
            </w:pPr>
            <w:bookmarkStart w:id="89" w:name="_Hlk80212000"/>
            <w:r w:rsidRPr="00A60349">
              <w:rPr>
                <w:rFonts w:ascii="Arial" w:hAnsi="Arial" w:cs="Arial"/>
              </w:rPr>
              <w:t>Actuarial</w:t>
            </w:r>
          </w:p>
        </w:tc>
        <w:tc>
          <w:tcPr>
            <w:tcW w:w="3463" w:type="dxa"/>
            <w:shd w:val="clear" w:color="auto" w:fill="auto"/>
            <w:vAlign w:val="center"/>
          </w:tcPr>
          <w:p w14:paraId="05704E87" w14:textId="6EF6789C"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tr w:rsidR="00A60349" w:rsidRPr="00A60349" w14:paraId="27912027" w14:textId="77777777" w:rsidTr="00A60349">
        <w:trPr>
          <w:trHeight w:val="287"/>
        </w:trPr>
        <w:tc>
          <w:tcPr>
            <w:tcW w:w="5701" w:type="dxa"/>
            <w:vAlign w:val="center"/>
          </w:tcPr>
          <w:p w14:paraId="29A7A88B" w14:textId="77777777" w:rsidR="00A60349" w:rsidRPr="00A60349" w:rsidRDefault="00A60349" w:rsidP="00A60349">
            <w:pPr>
              <w:spacing w:before="0" w:after="0"/>
              <w:rPr>
                <w:rFonts w:ascii="Arial" w:hAnsi="Arial" w:cs="Arial"/>
              </w:rPr>
            </w:pPr>
            <w:r w:rsidRPr="00A60349">
              <w:rPr>
                <w:rFonts w:ascii="Arial" w:hAnsi="Arial" w:cs="Arial"/>
              </w:rPr>
              <w:t>Audit</w:t>
            </w:r>
          </w:p>
        </w:tc>
        <w:tc>
          <w:tcPr>
            <w:tcW w:w="3463" w:type="dxa"/>
            <w:shd w:val="clear" w:color="auto" w:fill="auto"/>
            <w:vAlign w:val="center"/>
          </w:tcPr>
          <w:p w14:paraId="1FF9AED8" w14:textId="56D9D093"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bookmarkEnd w:id="89"/>
      <w:tr w:rsidR="00A60349" w:rsidRPr="00A60349" w14:paraId="317E191A" w14:textId="77777777" w:rsidTr="00A60349">
        <w:trPr>
          <w:trHeight w:val="287"/>
        </w:trPr>
        <w:tc>
          <w:tcPr>
            <w:tcW w:w="5701" w:type="dxa"/>
            <w:vAlign w:val="center"/>
          </w:tcPr>
          <w:p w14:paraId="058B3CBB" w14:textId="77777777" w:rsidR="00A60349" w:rsidRPr="00A60349" w:rsidRDefault="00A60349" w:rsidP="00A60349">
            <w:pPr>
              <w:spacing w:before="0" w:after="0"/>
              <w:rPr>
                <w:rFonts w:ascii="Arial" w:hAnsi="Arial" w:cs="Arial"/>
              </w:rPr>
            </w:pPr>
            <w:r w:rsidRPr="00A60349">
              <w:rPr>
                <w:rFonts w:ascii="Arial" w:hAnsi="Arial" w:cs="Arial"/>
              </w:rPr>
              <w:t>Board experience</w:t>
            </w:r>
          </w:p>
        </w:tc>
        <w:tc>
          <w:tcPr>
            <w:tcW w:w="3463" w:type="dxa"/>
            <w:shd w:val="clear" w:color="auto" w:fill="auto"/>
            <w:vAlign w:val="center"/>
          </w:tcPr>
          <w:p w14:paraId="49A58D20" w14:textId="1B95F29F"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tr w:rsidR="00A60349" w:rsidRPr="00A60349" w14:paraId="2ADCA2F0" w14:textId="77777777" w:rsidTr="00A60349">
        <w:trPr>
          <w:trHeight w:val="287"/>
        </w:trPr>
        <w:tc>
          <w:tcPr>
            <w:tcW w:w="5701" w:type="dxa"/>
            <w:vAlign w:val="center"/>
          </w:tcPr>
          <w:p w14:paraId="4D95B8A3" w14:textId="77777777" w:rsidR="00A60349" w:rsidRPr="00A60349" w:rsidRDefault="00A60349" w:rsidP="00A60349">
            <w:pPr>
              <w:spacing w:before="0" w:after="0"/>
              <w:rPr>
                <w:rFonts w:ascii="Arial" w:hAnsi="Arial" w:cs="Arial"/>
              </w:rPr>
            </w:pPr>
            <w:r w:rsidRPr="00A60349">
              <w:rPr>
                <w:rFonts w:ascii="Arial" w:hAnsi="Arial" w:cs="Arial"/>
              </w:rPr>
              <w:t>Corporate governance</w:t>
            </w:r>
          </w:p>
        </w:tc>
        <w:tc>
          <w:tcPr>
            <w:tcW w:w="3463" w:type="dxa"/>
            <w:shd w:val="clear" w:color="auto" w:fill="auto"/>
            <w:vAlign w:val="center"/>
          </w:tcPr>
          <w:p w14:paraId="03D915EB" w14:textId="4EE3B628"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tr w:rsidR="00A60349" w:rsidRPr="00A60349" w14:paraId="18A500C1" w14:textId="77777777" w:rsidTr="00A60349">
        <w:trPr>
          <w:trHeight w:val="287"/>
        </w:trPr>
        <w:tc>
          <w:tcPr>
            <w:tcW w:w="5701" w:type="dxa"/>
            <w:vAlign w:val="center"/>
          </w:tcPr>
          <w:p w14:paraId="6D6398E4" w14:textId="77777777" w:rsidR="00A60349" w:rsidRPr="00A60349" w:rsidRDefault="00A60349" w:rsidP="00A60349">
            <w:pPr>
              <w:spacing w:before="0" w:after="0"/>
              <w:rPr>
                <w:rFonts w:ascii="Arial" w:hAnsi="Arial" w:cs="Arial"/>
              </w:rPr>
            </w:pPr>
            <w:r w:rsidRPr="00A60349">
              <w:rPr>
                <w:rFonts w:ascii="Arial" w:hAnsi="Arial" w:cs="Arial"/>
              </w:rPr>
              <w:t>Directors Duties</w:t>
            </w:r>
          </w:p>
        </w:tc>
        <w:tc>
          <w:tcPr>
            <w:tcW w:w="3463" w:type="dxa"/>
            <w:shd w:val="clear" w:color="auto" w:fill="auto"/>
            <w:vAlign w:val="center"/>
          </w:tcPr>
          <w:p w14:paraId="20ED5C84" w14:textId="10D0080E"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tr w:rsidR="00A60349" w:rsidRPr="00A60349" w14:paraId="63B9D558" w14:textId="77777777" w:rsidTr="00A60349">
        <w:trPr>
          <w:trHeight w:val="416"/>
        </w:trPr>
        <w:tc>
          <w:tcPr>
            <w:tcW w:w="5701" w:type="dxa"/>
            <w:vAlign w:val="center"/>
          </w:tcPr>
          <w:p w14:paraId="0D1AB40C" w14:textId="77777777" w:rsidR="00A60349" w:rsidRPr="00A60349" w:rsidRDefault="00A60349" w:rsidP="00A60349">
            <w:pPr>
              <w:spacing w:before="0" w:after="0"/>
              <w:rPr>
                <w:rFonts w:ascii="Arial" w:hAnsi="Arial" w:cs="Arial"/>
              </w:rPr>
            </w:pPr>
            <w:r w:rsidRPr="00A60349">
              <w:rPr>
                <w:rFonts w:ascii="Arial" w:hAnsi="Arial" w:cs="Arial"/>
              </w:rPr>
              <w:t xml:space="preserve">Financial management / Accounting </w:t>
            </w:r>
          </w:p>
        </w:tc>
        <w:tc>
          <w:tcPr>
            <w:tcW w:w="3463" w:type="dxa"/>
            <w:shd w:val="clear" w:color="auto" w:fill="auto"/>
            <w:vAlign w:val="center"/>
          </w:tcPr>
          <w:p w14:paraId="5479F238" w14:textId="36A605F2"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tr w:rsidR="00A60349" w:rsidRPr="00A60349" w14:paraId="2DE7F3C6" w14:textId="77777777" w:rsidTr="00A60349">
        <w:trPr>
          <w:trHeight w:val="287"/>
        </w:trPr>
        <w:tc>
          <w:tcPr>
            <w:tcW w:w="5701" w:type="dxa"/>
            <w:shd w:val="clear" w:color="auto" w:fill="FFFFFF"/>
            <w:vAlign w:val="center"/>
          </w:tcPr>
          <w:p w14:paraId="6B3A7568" w14:textId="77777777" w:rsidR="00A60349" w:rsidRPr="00A60349" w:rsidRDefault="00A60349" w:rsidP="00A60349">
            <w:pPr>
              <w:spacing w:before="0" w:after="0"/>
              <w:rPr>
                <w:rFonts w:ascii="Arial" w:hAnsi="Arial" w:cs="Arial"/>
              </w:rPr>
            </w:pPr>
            <w:r w:rsidRPr="00A60349">
              <w:rPr>
                <w:rFonts w:ascii="Arial" w:hAnsi="Arial" w:cs="Arial"/>
              </w:rPr>
              <w:t>Insurance management</w:t>
            </w:r>
          </w:p>
        </w:tc>
        <w:tc>
          <w:tcPr>
            <w:tcW w:w="3463" w:type="dxa"/>
            <w:shd w:val="clear" w:color="auto" w:fill="auto"/>
            <w:vAlign w:val="center"/>
          </w:tcPr>
          <w:p w14:paraId="3CB7169C" w14:textId="1A3EDB33"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tr w:rsidR="00A60349" w:rsidRPr="00A60349" w14:paraId="5D463062" w14:textId="77777777" w:rsidTr="00A60349">
        <w:trPr>
          <w:trHeight w:val="287"/>
        </w:trPr>
        <w:tc>
          <w:tcPr>
            <w:tcW w:w="5701" w:type="dxa"/>
            <w:vAlign w:val="center"/>
          </w:tcPr>
          <w:p w14:paraId="367FB5C4" w14:textId="77777777" w:rsidR="00A60349" w:rsidRPr="00A60349" w:rsidRDefault="00A60349" w:rsidP="00A60349">
            <w:pPr>
              <w:spacing w:before="0" w:after="0"/>
              <w:rPr>
                <w:rFonts w:ascii="Arial" w:hAnsi="Arial" w:cs="Arial"/>
              </w:rPr>
            </w:pPr>
            <w:r w:rsidRPr="00A60349">
              <w:rPr>
                <w:rFonts w:ascii="Arial" w:hAnsi="Arial" w:cs="Arial"/>
              </w:rPr>
              <w:t>Investments</w:t>
            </w:r>
          </w:p>
        </w:tc>
        <w:tc>
          <w:tcPr>
            <w:tcW w:w="3463" w:type="dxa"/>
            <w:shd w:val="clear" w:color="auto" w:fill="auto"/>
            <w:vAlign w:val="center"/>
          </w:tcPr>
          <w:p w14:paraId="5C6CFAF1" w14:textId="786BF589"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tr w:rsidR="00A60349" w:rsidRPr="00A60349" w14:paraId="192F327A" w14:textId="77777777" w:rsidTr="00A60349">
        <w:trPr>
          <w:trHeight w:val="287"/>
        </w:trPr>
        <w:tc>
          <w:tcPr>
            <w:tcW w:w="5701" w:type="dxa"/>
            <w:vAlign w:val="center"/>
          </w:tcPr>
          <w:p w14:paraId="68BB12EA" w14:textId="77777777" w:rsidR="00A60349" w:rsidRPr="00A60349" w:rsidRDefault="00A60349" w:rsidP="00A60349">
            <w:pPr>
              <w:spacing w:before="0" w:after="0"/>
              <w:rPr>
                <w:rFonts w:ascii="Arial" w:hAnsi="Arial" w:cs="Arial"/>
              </w:rPr>
            </w:pPr>
            <w:r w:rsidRPr="00A60349">
              <w:rPr>
                <w:rFonts w:ascii="Arial" w:hAnsi="Arial" w:cs="Arial"/>
              </w:rPr>
              <w:t>Leadership</w:t>
            </w:r>
          </w:p>
        </w:tc>
        <w:tc>
          <w:tcPr>
            <w:tcW w:w="3463" w:type="dxa"/>
            <w:shd w:val="clear" w:color="auto" w:fill="auto"/>
            <w:vAlign w:val="center"/>
          </w:tcPr>
          <w:p w14:paraId="6BD189C0" w14:textId="7C33E872"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tr w:rsidR="00A60349" w:rsidRPr="00A60349" w14:paraId="754C319C" w14:textId="77777777" w:rsidTr="00A60349">
        <w:trPr>
          <w:trHeight w:val="287"/>
        </w:trPr>
        <w:tc>
          <w:tcPr>
            <w:tcW w:w="5701" w:type="dxa"/>
            <w:vAlign w:val="center"/>
          </w:tcPr>
          <w:p w14:paraId="42B03E4C" w14:textId="77777777" w:rsidR="00A60349" w:rsidRPr="00A60349" w:rsidRDefault="00A60349" w:rsidP="00A60349">
            <w:pPr>
              <w:spacing w:before="0" w:after="0"/>
              <w:rPr>
                <w:rFonts w:ascii="Arial" w:hAnsi="Arial" w:cs="Arial"/>
              </w:rPr>
            </w:pPr>
            <w:r w:rsidRPr="00A60349">
              <w:rPr>
                <w:rFonts w:ascii="Arial" w:hAnsi="Arial" w:cs="Arial"/>
              </w:rPr>
              <w:t>Legal</w:t>
            </w:r>
          </w:p>
        </w:tc>
        <w:tc>
          <w:tcPr>
            <w:tcW w:w="3463" w:type="dxa"/>
            <w:shd w:val="clear" w:color="auto" w:fill="auto"/>
            <w:vAlign w:val="center"/>
          </w:tcPr>
          <w:p w14:paraId="7E52CA7D" w14:textId="58E08340"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tr w:rsidR="00A60349" w:rsidRPr="00A60349" w14:paraId="5927C8A4" w14:textId="77777777" w:rsidTr="00A60349">
        <w:trPr>
          <w:trHeight w:val="210"/>
        </w:trPr>
        <w:tc>
          <w:tcPr>
            <w:tcW w:w="5701" w:type="dxa"/>
            <w:vAlign w:val="center"/>
          </w:tcPr>
          <w:p w14:paraId="071818C0" w14:textId="77777777" w:rsidR="00A60349" w:rsidRPr="00A60349" w:rsidRDefault="00A60349" w:rsidP="00A60349">
            <w:pPr>
              <w:spacing w:before="0" w:after="0"/>
              <w:rPr>
                <w:rFonts w:ascii="Arial" w:hAnsi="Arial" w:cs="Arial"/>
              </w:rPr>
            </w:pPr>
            <w:r w:rsidRPr="00A60349">
              <w:rPr>
                <w:rFonts w:ascii="Arial" w:hAnsi="Arial" w:cs="Arial"/>
              </w:rPr>
              <w:t>Private sector</w:t>
            </w:r>
          </w:p>
        </w:tc>
        <w:tc>
          <w:tcPr>
            <w:tcW w:w="3463" w:type="dxa"/>
            <w:shd w:val="clear" w:color="auto" w:fill="auto"/>
            <w:vAlign w:val="center"/>
          </w:tcPr>
          <w:p w14:paraId="427A2098" w14:textId="0BDBB8F7"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tr w:rsidR="00A60349" w:rsidRPr="00A60349" w14:paraId="63B42782" w14:textId="77777777" w:rsidTr="00A60349">
        <w:trPr>
          <w:trHeight w:val="287"/>
        </w:trPr>
        <w:tc>
          <w:tcPr>
            <w:tcW w:w="5701" w:type="dxa"/>
            <w:vAlign w:val="center"/>
          </w:tcPr>
          <w:p w14:paraId="66491185" w14:textId="77777777" w:rsidR="00A60349" w:rsidRPr="00A60349" w:rsidRDefault="00A60349" w:rsidP="00A60349">
            <w:pPr>
              <w:spacing w:before="0" w:after="0"/>
              <w:rPr>
                <w:rFonts w:ascii="Arial" w:hAnsi="Arial" w:cs="Arial"/>
              </w:rPr>
            </w:pPr>
            <w:r w:rsidRPr="00A60349">
              <w:rPr>
                <w:rFonts w:ascii="Arial" w:hAnsi="Arial" w:cs="Arial"/>
              </w:rPr>
              <w:t>Public sector</w:t>
            </w:r>
          </w:p>
        </w:tc>
        <w:tc>
          <w:tcPr>
            <w:tcW w:w="3463" w:type="dxa"/>
            <w:shd w:val="clear" w:color="auto" w:fill="auto"/>
            <w:vAlign w:val="center"/>
          </w:tcPr>
          <w:p w14:paraId="1C320245" w14:textId="2A1D07C6"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tr w:rsidR="00A60349" w:rsidRPr="00A60349" w14:paraId="73FF241B" w14:textId="77777777" w:rsidTr="00A60349">
        <w:trPr>
          <w:trHeight w:val="287"/>
        </w:trPr>
        <w:tc>
          <w:tcPr>
            <w:tcW w:w="5701" w:type="dxa"/>
            <w:vAlign w:val="center"/>
          </w:tcPr>
          <w:p w14:paraId="115C8072" w14:textId="77777777" w:rsidR="00A60349" w:rsidRPr="00A60349" w:rsidRDefault="00A60349" w:rsidP="00A60349">
            <w:pPr>
              <w:spacing w:before="0" w:after="0"/>
              <w:rPr>
                <w:rFonts w:ascii="Arial" w:hAnsi="Arial" w:cs="Arial"/>
              </w:rPr>
            </w:pPr>
            <w:r w:rsidRPr="00A60349">
              <w:rPr>
                <w:rFonts w:ascii="Arial" w:hAnsi="Arial" w:cs="Arial"/>
              </w:rPr>
              <w:t>Risk management</w:t>
            </w:r>
          </w:p>
        </w:tc>
        <w:tc>
          <w:tcPr>
            <w:tcW w:w="3463" w:type="dxa"/>
            <w:shd w:val="clear" w:color="auto" w:fill="auto"/>
            <w:vAlign w:val="center"/>
          </w:tcPr>
          <w:p w14:paraId="24B83D34" w14:textId="003C33A8"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tr w:rsidR="00A60349" w:rsidRPr="00A60349" w14:paraId="12F3DF04" w14:textId="77777777" w:rsidTr="00A60349">
        <w:trPr>
          <w:trHeight w:val="287"/>
        </w:trPr>
        <w:tc>
          <w:tcPr>
            <w:tcW w:w="5701" w:type="dxa"/>
            <w:vAlign w:val="center"/>
          </w:tcPr>
          <w:p w14:paraId="1E190A5A" w14:textId="77777777" w:rsidR="00A60349" w:rsidRPr="00A60349" w:rsidRDefault="00A60349" w:rsidP="00A60349">
            <w:pPr>
              <w:spacing w:before="0" w:after="0"/>
              <w:rPr>
                <w:rFonts w:ascii="Arial" w:hAnsi="Arial" w:cs="Arial"/>
              </w:rPr>
            </w:pPr>
            <w:r w:rsidRPr="00A60349">
              <w:rPr>
                <w:rFonts w:ascii="Arial" w:hAnsi="Arial" w:cs="Arial"/>
              </w:rPr>
              <w:t>Strategy</w:t>
            </w:r>
          </w:p>
        </w:tc>
        <w:tc>
          <w:tcPr>
            <w:tcW w:w="3463" w:type="dxa"/>
            <w:shd w:val="clear" w:color="auto" w:fill="auto"/>
            <w:vAlign w:val="center"/>
          </w:tcPr>
          <w:p w14:paraId="41AECE46" w14:textId="46C863FC" w:rsidR="00A60349" w:rsidRPr="00A60349" w:rsidRDefault="00A60349" w:rsidP="00A60349">
            <w:pPr>
              <w:spacing w:before="0" w:after="0"/>
              <w:jc w:val="center"/>
              <w:rPr>
                <w:rFonts w:ascii="Arial" w:hAnsi="Arial" w:cs="Arial"/>
              </w:rPr>
            </w:pPr>
            <w:r w:rsidRPr="00A60349">
              <w:rPr>
                <w:rFonts w:ascii="Arial" w:hAnsi="Arial" w:cs="Arial"/>
                <w:b/>
                <w:bCs/>
              </w:rPr>
              <w:sym w:font="Wingdings" w:char="F0FC"/>
            </w:r>
          </w:p>
        </w:tc>
      </w:tr>
      <w:tr w:rsidR="00A60349" w:rsidRPr="00A60349" w14:paraId="7C57838B" w14:textId="77777777" w:rsidTr="00A60349">
        <w:trPr>
          <w:trHeight w:val="287"/>
        </w:trPr>
        <w:tc>
          <w:tcPr>
            <w:tcW w:w="9164" w:type="dxa"/>
            <w:gridSpan w:val="2"/>
            <w:shd w:val="clear" w:color="auto" w:fill="E6DAED" w:themeFill="accent6" w:themeFillTint="33"/>
            <w:vAlign w:val="center"/>
          </w:tcPr>
          <w:p w14:paraId="749B13E7" w14:textId="051B7410" w:rsidR="00A60349" w:rsidRPr="00A60349" w:rsidRDefault="00A60349" w:rsidP="00A60349">
            <w:pPr>
              <w:spacing w:before="0" w:after="0"/>
              <w:jc w:val="center"/>
              <w:rPr>
                <w:rFonts w:ascii="Arial" w:hAnsi="Arial" w:cs="Arial"/>
                <w:b/>
                <w:bCs/>
              </w:rPr>
            </w:pPr>
            <w:r w:rsidRPr="00A60349">
              <w:rPr>
                <w:rFonts w:ascii="Arial" w:hAnsi="Arial" w:cs="Arial"/>
                <w:b/>
                <w:bCs/>
              </w:rPr>
              <w:t xml:space="preserve">New </w:t>
            </w:r>
            <w:r w:rsidR="005115CD">
              <w:rPr>
                <w:rFonts w:ascii="Arial" w:hAnsi="Arial" w:cs="Arial"/>
                <w:b/>
                <w:bCs/>
              </w:rPr>
              <w:t>B</w:t>
            </w:r>
            <w:r w:rsidRPr="00A60349">
              <w:rPr>
                <w:rFonts w:ascii="Arial" w:hAnsi="Arial" w:cs="Arial"/>
                <w:b/>
                <w:bCs/>
              </w:rPr>
              <w:t>oard skill requirements</w:t>
            </w:r>
          </w:p>
        </w:tc>
      </w:tr>
      <w:tr w:rsidR="005303CD" w:rsidRPr="00A60349" w14:paraId="6A7985CD" w14:textId="77777777" w:rsidTr="00A60349">
        <w:trPr>
          <w:trHeight w:val="287"/>
        </w:trPr>
        <w:tc>
          <w:tcPr>
            <w:tcW w:w="5701" w:type="dxa"/>
            <w:vAlign w:val="center"/>
          </w:tcPr>
          <w:p w14:paraId="4A0578F0" w14:textId="742D9C7F" w:rsidR="005303CD" w:rsidRPr="00A60349" w:rsidRDefault="005303CD" w:rsidP="00A60349">
            <w:pPr>
              <w:spacing w:before="0" w:after="0"/>
              <w:rPr>
                <w:rFonts w:ascii="Arial" w:hAnsi="Arial" w:cs="Arial"/>
              </w:rPr>
            </w:pPr>
            <w:r>
              <w:rPr>
                <w:rFonts w:ascii="Arial" w:hAnsi="Arial" w:cs="Arial"/>
              </w:rPr>
              <w:t>Organisational change</w:t>
            </w:r>
          </w:p>
        </w:tc>
        <w:tc>
          <w:tcPr>
            <w:tcW w:w="3463" w:type="dxa"/>
            <w:shd w:val="clear" w:color="auto" w:fill="auto"/>
            <w:vAlign w:val="center"/>
          </w:tcPr>
          <w:p w14:paraId="4EFD6787" w14:textId="565E8AFD" w:rsidR="005303CD" w:rsidRPr="00A60349" w:rsidRDefault="005303CD" w:rsidP="00A60349">
            <w:pPr>
              <w:spacing w:before="0" w:after="0"/>
              <w:jc w:val="center"/>
              <w:rPr>
                <w:rFonts w:ascii="Arial" w:hAnsi="Arial" w:cs="Arial"/>
                <w:b/>
                <w:bCs/>
              </w:rPr>
            </w:pPr>
            <w:r w:rsidRPr="00A60349">
              <w:rPr>
                <w:rFonts w:ascii="Arial" w:hAnsi="Arial" w:cs="Arial"/>
                <w:b/>
                <w:bCs/>
              </w:rPr>
              <w:sym w:font="Wingdings" w:char="F0FC"/>
            </w:r>
          </w:p>
        </w:tc>
      </w:tr>
      <w:tr w:rsidR="005303CD" w:rsidRPr="00A60349" w14:paraId="5A480B08" w14:textId="77777777" w:rsidTr="00A60349">
        <w:trPr>
          <w:trHeight w:val="287"/>
        </w:trPr>
        <w:tc>
          <w:tcPr>
            <w:tcW w:w="5701" w:type="dxa"/>
            <w:vAlign w:val="center"/>
          </w:tcPr>
          <w:p w14:paraId="530EE88E" w14:textId="55744C0E" w:rsidR="005303CD" w:rsidRPr="00A60349" w:rsidRDefault="005303CD" w:rsidP="00A60349">
            <w:pPr>
              <w:spacing w:before="0" w:after="0"/>
              <w:rPr>
                <w:rFonts w:ascii="Arial" w:hAnsi="Arial" w:cs="Arial"/>
              </w:rPr>
            </w:pPr>
            <w:r>
              <w:rPr>
                <w:rFonts w:ascii="Arial" w:hAnsi="Arial" w:cs="Arial"/>
              </w:rPr>
              <w:t>Catastrophe underwriting</w:t>
            </w:r>
          </w:p>
        </w:tc>
        <w:tc>
          <w:tcPr>
            <w:tcW w:w="3463" w:type="dxa"/>
            <w:shd w:val="clear" w:color="auto" w:fill="auto"/>
            <w:vAlign w:val="center"/>
          </w:tcPr>
          <w:p w14:paraId="7DFC7CAE" w14:textId="6F4E37EB" w:rsidR="005303CD" w:rsidRPr="00A60349" w:rsidRDefault="005303CD" w:rsidP="00A60349">
            <w:pPr>
              <w:spacing w:before="0" w:after="0"/>
              <w:jc w:val="center"/>
              <w:rPr>
                <w:rFonts w:ascii="Arial" w:hAnsi="Arial" w:cs="Arial"/>
                <w:b/>
                <w:bCs/>
              </w:rPr>
            </w:pPr>
            <w:r w:rsidRPr="00A60349">
              <w:rPr>
                <w:rFonts w:ascii="Arial" w:hAnsi="Arial" w:cs="Arial"/>
                <w:b/>
                <w:bCs/>
              </w:rPr>
              <w:sym w:font="Wingdings" w:char="F0FC"/>
            </w:r>
          </w:p>
        </w:tc>
      </w:tr>
      <w:tr w:rsidR="00A60349" w:rsidRPr="00A60349" w14:paraId="044E8490" w14:textId="77777777" w:rsidTr="00A60349">
        <w:trPr>
          <w:trHeight w:val="287"/>
        </w:trPr>
        <w:tc>
          <w:tcPr>
            <w:tcW w:w="5701" w:type="dxa"/>
            <w:vAlign w:val="center"/>
          </w:tcPr>
          <w:p w14:paraId="11DE2388" w14:textId="73D9D7C5" w:rsidR="00A60349" w:rsidRPr="00A60349" w:rsidRDefault="00A60349" w:rsidP="00A60349">
            <w:pPr>
              <w:spacing w:before="0" w:after="0"/>
              <w:rPr>
                <w:rFonts w:ascii="Arial" w:hAnsi="Arial" w:cs="Arial"/>
              </w:rPr>
            </w:pPr>
            <w:r w:rsidRPr="00A60349">
              <w:rPr>
                <w:rFonts w:ascii="Arial" w:hAnsi="Arial" w:cs="Arial"/>
              </w:rPr>
              <w:t xml:space="preserve">Community </w:t>
            </w:r>
            <w:r w:rsidR="00F422DC">
              <w:rPr>
                <w:rFonts w:ascii="Arial" w:hAnsi="Arial" w:cs="Arial"/>
              </w:rPr>
              <w:t>experience in cyclone prone areas</w:t>
            </w:r>
          </w:p>
        </w:tc>
        <w:tc>
          <w:tcPr>
            <w:tcW w:w="3463" w:type="dxa"/>
            <w:shd w:val="clear" w:color="auto" w:fill="auto"/>
            <w:vAlign w:val="center"/>
          </w:tcPr>
          <w:p w14:paraId="1205D1CE" w14:textId="4FC7B8C5" w:rsidR="00A60349" w:rsidRPr="00A60349" w:rsidRDefault="00A60349" w:rsidP="00A60349">
            <w:pPr>
              <w:spacing w:before="0" w:after="0"/>
              <w:jc w:val="center"/>
              <w:rPr>
                <w:rFonts w:ascii="Arial" w:hAnsi="Arial" w:cs="Arial"/>
                <w:b/>
                <w:bCs/>
              </w:rPr>
            </w:pPr>
            <w:r w:rsidRPr="00A60349">
              <w:rPr>
                <w:rFonts w:ascii="Arial" w:hAnsi="Arial" w:cs="Arial"/>
                <w:b/>
                <w:bCs/>
              </w:rPr>
              <w:t>X</w:t>
            </w:r>
          </w:p>
        </w:tc>
      </w:tr>
    </w:tbl>
    <w:p w14:paraId="1C96851F" w14:textId="77777777" w:rsidR="00A60349" w:rsidRPr="00A60349" w:rsidRDefault="00A60349" w:rsidP="00A60349"/>
    <w:p w14:paraId="61E976CA" w14:textId="04262831" w:rsidR="00A60349" w:rsidRPr="00A60349" w:rsidRDefault="00A60349" w:rsidP="00A60349">
      <w:pPr>
        <w:keepNext/>
        <w:spacing w:before="240"/>
        <w:outlineLvl w:val="2"/>
        <w:rPr>
          <w:rFonts w:cs="Arial"/>
          <w:color w:val="3A6FAF" w:themeColor="accent2"/>
          <w:kern w:val="32"/>
          <w:sz w:val="28"/>
          <w:szCs w:val="26"/>
        </w:rPr>
      </w:pPr>
      <w:bookmarkStart w:id="90" w:name="_Toc81844204"/>
      <w:bookmarkStart w:id="91" w:name="_Toc89070039"/>
      <w:r w:rsidRPr="00A60349">
        <w:rPr>
          <w:rFonts w:cs="Arial"/>
          <w:color w:val="3A6FAF" w:themeColor="accent2"/>
          <w:kern w:val="32"/>
          <w:sz w:val="28"/>
          <w:szCs w:val="26"/>
        </w:rPr>
        <w:t>Increased demands on the Board</w:t>
      </w:r>
      <w:bookmarkEnd w:id="90"/>
      <w:bookmarkEnd w:id="91"/>
    </w:p>
    <w:p w14:paraId="1BD51105" w14:textId="681DB536" w:rsidR="00A60349" w:rsidRPr="00A60349" w:rsidRDefault="00A60349" w:rsidP="00F2363D">
      <w:pPr>
        <w:jc w:val="both"/>
      </w:pPr>
      <w:r w:rsidRPr="00A60349">
        <w:t>The ARPC’s expanded functions will also require increased depth in certain skills and greater time commitments from Board members</w:t>
      </w:r>
      <w:r w:rsidR="008D0BB5">
        <w:t xml:space="preserve"> if the proposed cyclone pool is confirmed</w:t>
      </w:r>
      <w:r w:rsidRPr="00A60349">
        <w:t xml:space="preserve">. </w:t>
      </w:r>
    </w:p>
    <w:p w14:paraId="57FABBDD" w14:textId="4B608B75" w:rsidR="00A60349" w:rsidRPr="00A60349" w:rsidRDefault="00A60349" w:rsidP="00F2363D">
      <w:pPr>
        <w:jc w:val="both"/>
      </w:pPr>
      <w:r w:rsidRPr="00A60349">
        <w:t xml:space="preserve">As a consequence of the expansion, the </w:t>
      </w:r>
      <w:r w:rsidR="005115CD">
        <w:t>B</w:t>
      </w:r>
      <w:r w:rsidRPr="00A60349">
        <w:t xml:space="preserve">oard will experience increased workloads across its responsibilities, including its audit and compliance duties, assessing retrocession, oversight of the ARPC’s investment portfolio, and overseeing the implementation and management of the cyclone pool. </w:t>
      </w:r>
    </w:p>
    <w:p w14:paraId="4905FF53" w14:textId="2D618C53" w:rsidR="00A60349" w:rsidRPr="00A60349" w:rsidRDefault="00A60349" w:rsidP="00F2363D">
      <w:pPr>
        <w:jc w:val="both"/>
      </w:pPr>
      <w:r w:rsidRPr="00A60349">
        <w:lastRenderedPageBreak/>
        <w:t xml:space="preserve">Furthermore, there is enhanced significance of the Board’s role in ensuring the sustainable operation of the ARPC. As noted above, the new cyclone pool is expected to have </w:t>
      </w:r>
      <w:r w:rsidR="00EB2337">
        <w:t>more</w:t>
      </w:r>
      <w:r w:rsidRPr="00A60349">
        <w:t xml:space="preserve"> frequent, and at times substantial claims that could be funded from the Government’s guarantee. Consequently, Board oversight of the ARPC’s operations, especially from a risk management perspective, will take on increased significance. Currently</w:t>
      </w:r>
      <w:r w:rsidR="00CC3FFB">
        <w:t>,</w:t>
      </w:r>
      <w:r w:rsidRPr="00A60349">
        <w:t xml:space="preserve"> the ARPC Board reviews a </w:t>
      </w:r>
      <w:r w:rsidR="00A05C0C">
        <w:t>r</w:t>
      </w:r>
      <w:r w:rsidRPr="00A60349">
        <w:t xml:space="preserve">isk </w:t>
      </w:r>
      <w:r w:rsidR="00A05C0C">
        <w:t>m</w:t>
      </w:r>
      <w:r w:rsidRPr="00A60349">
        <w:t>anagement statement at each Board meeting. This statement identifies four broad risk categories:</w:t>
      </w:r>
    </w:p>
    <w:p w14:paraId="0620FE87" w14:textId="77777777" w:rsidR="00A60349" w:rsidRPr="00A60349" w:rsidRDefault="00A60349" w:rsidP="00F2363D">
      <w:pPr>
        <w:numPr>
          <w:ilvl w:val="0"/>
          <w:numId w:val="1"/>
        </w:numPr>
        <w:tabs>
          <w:tab w:val="clear" w:pos="283"/>
          <w:tab w:val="num" w:pos="520"/>
        </w:tabs>
        <w:spacing w:before="0"/>
        <w:ind w:left="284" w:hanging="284"/>
        <w:jc w:val="both"/>
      </w:pPr>
      <w:r w:rsidRPr="00A60349">
        <w:t xml:space="preserve">insurance risk —which covers risks across underwriting, claims and actuarial </w:t>
      </w:r>
      <w:proofErr w:type="gramStart"/>
      <w:r w:rsidRPr="00A60349">
        <w:t>disciplines;</w:t>
      </w:r>
      <w:proofErr w:type="gramEnd"/>
    </w:p>
    <w:p w14:paraId="3AD13FAF" w14:textId="77777777" w:rsidR="00A60349" w:rsidRPr="00A60349" w:rsidRDefault="00A60349" w:rsidP="00F2363D">
      <w:pPr>
        <w:numPr>
          <w:ilvl w:val="0"/>
          <w:numId w:val="1"/>
        </w:numPr>
        <w:tabs>
          <w:tab w:val="clear" w:pos="283"/>
          <w:tab w:val="num" w:pos="520"/>
        </w:tabs>
        <w:spacing w:before="0"/>
        <w:ind w:left="284" w:hanging="284"/>
        <w:jc w:val="both"/>
      </w:pPr>
      <w:r w:rsidRPr="00A60349">
        <w:t xml:space="preserve">operational risk —covering risks arising from system failure or inadequacies, human error or external </w:t>
      </w:r>
      <w:proofErr w:type="gramStart"/>
      <w:r w:rsidRPr="00A60349">
        <w:t>events;</w:t>
      </w:r>
      <w:proofErr w:type="gramEnd"/>
    </w:p>
    <w:p w14:paraId="0884F0B9" w14:textId="35CB4050" w:rsidR="00A60349" w:rsidRPr="00A60349" w:rsidRDefault="00A60349" w:rsidP="00F2363D">
      <w:pPr>
        <w:numPr>
          <w:ilvl w:val="0"/>
          <w:numId w:val="1"/>
        </w:numPr>
        <w:tabs>
          <w:tab w:val="clear" w:pos="283"/>
          <w:tab w:val="num" w:pos="520"/>
        </w:tabs>
        <w:spacing w:before="0"/>
        <w:ind w:left="284" w:hanging="284"/>
        <w:jc w:val="both"/>
      </w:pPr>
      <w:r w:rsidRPr="00A60349">
        <w:t>capital risk— which covers risks associated with the ARPC’s ability to make claims;</w:t>
      </w:r>
      <w:r w:rsidR="00955D78">
        <w:t xml:space="preserve"> and</w:t>
      </w:r>
    </w:p>
    <w:p w14:paraId="6F139C02" w14:textId="77777777" w:rsidR="00A60349" w:rsidRPr="00A60349" w:rsidRDefault="00A60349" w:rsidP="00F2363D">
      <w:pPr>
        <w:numPr>
          <w:ilvl w:val="0"/>
          <w:numId w:val="1"/>
        </w:numPr>
        <w:tabs>
          <w:tab w:val="clear" w:pos="283"/>
          <w:tab w:val="num" w:pos="520"/>
        </w:tabs>
        <w:spacing w:before="0"/>
        <w:ind w:left="284" w:hanging="284"/>
        <w:jc w:val="both"/>
      </w:pPr>
      <w:r w:rsidRPr="00A60349">
        <w:t>financial risk — which covers risks associated with market fluctuations, credit risk and liquidity risk.</w:t>
      </w:r>
    </w:p>
    <w:p w14:paraId="65333AA7" w14:textId="77777777" w:rsidR="008D0BB5" w:rsidRDefault="00A60349" w:rsidP="00F2363D">
      <w:pPr>
        <w:jc w:val="both"/>
      </w:pPr>
      <w:r w:rsidRPr="00A60349">
        <w:t xml:space="preserve">These risks will be significantly greater </w:t>
      </w:r>
      <w:r w:rsidR="0025462F">
        <w:t>if</w:t>
      </w:r>
      <w:r w:rsidRPr="00A60349">
        <w:t xml:space="preserve"> the cyclone pool </w:t>
      </w:r>
      <w:r w:rsidR="0025462F">
        <w:t>becomes</w:t>
      </w:r>
      <w:r w:rsidRPr="00A60349">
        <w:t xml:space="preserve"> operational.</w:t>
      </w:r>
    </w:p>
    <w:p w14:paraId="2D0D4066" w14:textId="602C0480" w:rsidR="008D0BB5" w:rsidRDefault="008D0BB5" w:rsidP="00F2363D">
      <w:pPr>
        <w:jc w:val="both"/>
      </w:pPr>
      <w:r>
        <w:t xml:space="preserve">Given these increased responsibilities, the ARPC board will require greater resources to fulfill its functions if the cyclone pool is confirmed. This could </w:t>
      </w:r>
      <w:r w:rsidR="001E28A1">
        <w:t>include</w:t>
      </w:r>
      <w:r>
        <w:t xml:space="preserve"> increas</w:t>
      </w:r>
      <w:r w:rsidR="001E28A1">
        <w:t>ing the</w:t>
      </w:r>
      <w:r>
        <w:t xml:space="preserve"> time commitments of the existing board or by increasing the </w:t>
      </w:r>
      <w:r w:rsidR="001E28A1">
        <w:t>board’s size</w:t>
      </w:r>
      <w:r>
        <w:t>.</w:t>
      </w:r>
    </w:p>
    <w:p w14:paraId="3C3D4574" w14:textId="77777777" w:rsidR="007C28DB" w:rsidRPr="00651301" w:rsidRDefault="007C28DB" w:rsidP="007C28DB">
      <w:pPr>
        <w:keepNext/>
        <w:spacing w:before="360"/>
        <w:outlineLvl w:val="1"/>
        <w:rPr>
          <w:rFonts w:ascii="Times New Roman" w:hAnsi="Times New Roman"/>
          <w:color w:val="000000"/>
          <w:sz w:val="27"/>
          <w:szCs w:val="27"/>
        </w:rPr>
      </w:pPr>
      <w:bookmarkStart w:id="92" w:name="_Toc89070040"/>
      <w:bookmarkStart w:id="93" w:name="_Toc81844205"/>
      <w:r w:rsidRPr="00651301">
        <w:rPr>
          <w:rFonts w:cs="Arial"/>
          <w:iCs/>
          <w:color w:val="002C47" w:themeColor="accent1"/>
          <w:kern w:val="32"/>
          <w:sz w:val="36"/>
          <w:szCs w:val="28"/>
        </w:rPr>
        <w:t>Implementation of Cyclone Pool</w:t>
      </w:r>
      <w:bookmarkEnd w:id="92"/>
    </w:p>
    <w:p w14:paraId="159E536D" w14:textId="01963629" w:rsidR="007C28DB" w:rsidRPr="00651301" w:rsidRDefault="007C28DB" w:rsidP="007C28DB">
      <w:pPr>
        <w:jc w:val="both"/>
      </w:pPr>
      <w:r w:rsidRPr="00651301">
        <w:t>Given the significant expansion of the ARPC’s functions, it is important for both smooth transition from the pool’s design to its implementation, and for Government visibility over the process. Accordingly, the Government should mak</w:t>
      </w:r>
      <w:r w:rsidR="00B83CB9" w:rsidRPr="00651301">
        <w:t>e</w:t>
      </w:r>
      <w:r w:rsidRPr="00651301">
        <w:t xml:space="preserve"> two observer appointments on a temporary basis to the ARPC Board from APRA and the Commonwealth (such as from the Australian Government Actuary (AGA)).</w:t>
      </w:r>
    </w:p>
    <w:p w14:paraId="75F33FBB" w14:textId="5FABB47E" w:rsidR="007C28DB" w:rsidRPr="00651301" w:rsidRDefault="007C28DB" w:rsidP="007C28DB">
      <w:pPr>
        <w:jc w:val="both"/>
      </w:pPr>
      <w:bookmarkStart w:id="94" w:name="_Hlk88590088"/>
      <w:r w:rsidRPr="00651301">
        <w:t xml:space="preserve">This approach is consistent with the ARPC’s establishment. During the initial set-up of the terrorism pool, two officials from the Treasury were appointed as part-time members for initial periods of six months. These appointees were responsible for drawing up the scheme and helped assist in the establishment of the Corporation. </w:t>
      </w:r>
    </w:p>
    <w:bookmarkEnd w:id="94"/>
    <w:p w14:paraId="0FE0DF8C" w14:textId="70F7A961" w:rsidR="007C28DB" w:rsidRPr="00651301" w:rsidRDefault="007C28DB" w:rsidP="007C28DB">
      <w:pPr>
        <w:jc w:val="both"/>
      </w:pPr>
      <w:r w:rsidRPr="00651301">
        <w:t xml:space="preserve">It is also consistent with recent Government practice, with a number of Government Boards appointed from within Government on both temporary and ongoing </w:t>
      </w:r>
      <w:r w:rsidR="001A7D75" w:rsidRPr="00651301">
        <w:t>bases</w:t>
      </w:r>
      <w:r w:rsidRPr="00651301">
        <w:t xml:space="preserve">. For example, a Treasury official was recently appointed as an observer to the National Housing Finance and Investment Corporation Board, which has improved Government/departmental oversight at a time of significant expansion to NHFIC’s functions. Likewise, the Tuition Protection Board, has a number of permanent Government officials, including appointees from APRA and the AGA, which provide oversight from prudential and actuarial perspectives respectively. </w:t>
      </w:r>
    </w:p>
    <w:p w14:paraId="7DC40F3F" w14:textId="3F27D606" w:rsidR="006818DA" w:rsidRPr="00651301" w:rsidRDefault="001C0E85" w:rsidP="00A60349">
      <w:pPr>
        <w:keepNext/>
        <w:spacing w:before="360"/>
        <w:outlineLvl w:val="1"/>
        <w:rPr>
          <w:rFonts w:cs="Arial"/>
          <w:iCs/>
          <w:color w:val="002C47" w:themeColor="accent1"/>
          <w:kern w:val="32"/>
          <w:sz w:val="36"/>
          <w:szCs w:val="28"/>
        </w:rPr>
      </w:pPr>
      <w:bookmarkStart w:id="95" w:name="_Toc89070041"/>
      <w:r w:rsidRPr="00651301">
        <w:rPr>
          <w:rFonts w:cs="Arial"/>
          <w:iCs/>
          <w:color w:val="002C47" w:themeColor="accent1"/>
          <w:kern w:val="32"/>
          <w:sz w:val="36"/>
          <w:szCs w:val="28"/>
        </w:rPr>
        <w:t>Interval between</w:t>
      </w:r>
      <w:r w:rsidR="006818DA" w:rsidRPr="00651301">
        <w:rPr>
          <w:rFonts w:cs="Arial"/>
          <w:iCs/>
          <w:color w:val="002C47" w:themeColor="accent1"/>
          <w:kern w:val="32"/>
          <w:sz w:val="36"/>
          <w:szCs w:val="28"/>
        </w:rPr>
        <w:t xml:space="preserve"> reviews</w:t>
      </w:r>
      <w:bookmarkEnd w:id="95"/>
    </w:p>
    <w:p w14:paraId="127DC336" w14:textId="19027583" w:rsidR="001C0E85" w:rsidRPr="00651301" w:rsidRDefault="001C0E85" w:rsidP="001A7D75">
      <w:pPr>
        <w:jc w:val="both"/>
      </w:pPr>
      <w:r w:rsidRPr="00651301">
        <w:t xml:space="preserve">When the Act was introduced in 2003, it was intended to be a temporary measure to allow the re-emergence of an adequate private reinsurance market for terrorism risk. As such, there is a statutory requirement that the Act is subject to triennial reviews to determine whether there is an ongoing need for the scheme. </w:t>
      </w:r>
    </w:p>
    <w:p w14:paraId="08EB51F9" w14:textId="3A1A8AE0" w:rsidR="005C4B5B" w:rsidRPr="00651301" w:rsidRDefault="001C0E85" w:rsidP="005C4B5B">
      <w:pPr>
        <w:jc w:val="both"/>
      </w:pPr>
      <w:r w:rsidRPr="00651301">
        <w:t xml:space="preserve">However, </w:t>
      </w:r>
      <w:r w:rsidR="009F69B4" w:rsidRPr="00651301">
        <w:t xml:space="preserve">all six reviews conducted </w:t>
      </w:r>
      <w:r w:rsidRPr="00651301">
        <w:t>since 2003</w:t>
      </w:r>
      <w:r w:rsidR="009F69B4" w:rsidRPr="00651301">
        <w:t xml:space="preserve"> (</w:t>
      </w:r>
      <w:r w:rsidRPr="00651301">
        <w:t>including this one</w:t>
      </w:r>
      <w:r w:rsidR="009F69B4" w:rsidRPr="00651301">
        <w:t>)</w:t>
      </w:r>
      <w:r w:rsidRPr="00651301">
        <w:t xml:space="preserve">, have found that there remains an ongoing need for the Scheme to continue. </w:t>
      </w:r>
      <w:r w:rsidR="005C4B5B" w:rsidRPr="00651301">
        <w:t>Furthermore, as noted in Chapter 2</w:t>
      </w:r>
      <w:r w:rsidRPr="00651301">
        <w:t xml:space="preserve">, overseas </w:t>
      </w:r>
      <w:r w:rsidR="001E658D" w:rsidRPr="00651301">
        <w:t xml:space="preserve">jurisdictions </w:t>
      </w:r>
      <w:r w:rsidRPr="00651301">
        <w:t xml:space="preserve">are continuing to introduce </w:t>
      </w:r>
      <w:r w:rsidR="005C4B5B" w:rsidRPr="00651301">
        <w:t xml:space="preserve">terrorism insurance schemes, or choosing to extend existing schemes. </w:t>
      </w:r>
    </w:p>
    <w:p w14:paraId="5B0E516C" w14:textId="7C4F073D" w:rsidR="005C4B5B" w:rsidRPr="00651301" w:rsidRDefault="00CE7D39" w:rsidP="005C4B5B">
      <w:pPr>
        <w:jc w:val="both"/>
      </w:pPr>
      <w:r w:rsidRPr="00651301">
        <w:t>There</w:t>
      </w:r>
      <w:r w:rsidR="005C4B5B" w:rsidRPr="00651301">
        <w:t xml:space="preserve"> are significant structural barriers to a private market </w:t>
      </w:r>
      <w:r w:rsidR="004E56D9" w:rsidRPr="00651301">
        <w:t>remerging</w:t>
      </w:r>
      <w:r w:rsidR="005C4B5B" w:rsidRPr="00651301">
        <w:t xml:space="preserve"> in Australia that could </w:t>
      </w:r>
      <w:r w:rsidR="004E56D9" w:rsidRPr="00651301">
        <w:t>offer terrorism insurance at commercially reasonable prices</w:t>
      </w:r>
      <w:r w:rsidRPr="00651301">
        <w:t xml:space="preserve"> (Chapter 2)</w:t>
      </w:r>
      <w:r w:rsidR="004E56D9" w:rsidRPr="00651301">
        <w:t xml:space="preserve">. </w:t>
      </w:r>
      <w:bookmarkStart w:id="96" w:name="_Hlk88590398"/>
      <w:r w:rsidRPr="00651301">
        <w:t>For the purposes of the Act, a</w:t>
      </w:r>
      <w:r w:rsidR="004E56D9" w:rsidRPr="00651301">
        <w:t xml:space="preserve">ny </w:t>
      </w:r>
      <w:r w:rsidRPr="00651301">
        <w:t>substantial growth</w:t>
      </w:r>
      <w:r w:rsidR="004E56D9" w:rsidRPr="00651301">
        <w:t xml:space="preserve"> in private market </w:t>
      </w:r>
      <w:r w:rsidRPr="00651301">
        <w:t>capacity</w:t>
      </w:r>
      <w:r w:rsidR="004E56D9" w:rsidRPr="00651301">
        <w:t xml:space="preserve">, </w:t>
      </w:r>
      <w:r w:rsidR="00B41C91" w:rsidRPr="00651301">
        <w:t>is</w:t>
      </w:r>
      <w:r w:rsidR="004E56D9" w:rsidRPr="00651301">
        <w:t xml:space="preserve"> likely to take </w:t>
      </w:r>
      <w:r w:rsidR="00B41C91" w:rsidRPr="00651301">
        <w:t>significantly longer</w:t>
      </w:r>
      <w:r w:rsidR="004E56D9" w:rsidRPr="00651301">
        <w:t xml:space="preserve"> time than the current </w:t>
      </w:r>
      <w:r w:rsidR="004E56D9" w:rsidRPr="00651301">
        <w:lastRenderedPageBreak/>
        <w:t>interval between Reviews</w:t>
      </w:r>
      <w:r w:rsidRPr="00651301">
        <w:t>.</w:t>
      </w:r>
      <w:bookmarkEnd w:id="96"/>
      <w:r w:rsidRPr="00651301">
        <w:t xml:space="preserve"> Accordingly,</w:t>
      </w:r>
      <w:r w:rsidR="004E56D9" w:rsidRPr="00651301">
        <w:t xml:space="preserve"> </w:t>
      </w:r>
      <w:r w:rsidRPr="00651301">
        <w:t xml:space="preserve">the interval between reviews of the Scheme should be </w:t>
      </w:r>
      <w:r w:rsidR="008F0099" w:rsidRPr="00651301">
        <w:t>increased</w:t>
      </w:r>
      <w:r w:rsidRPr="00651301">
        <w:t xml:space="preserve"> from three years to five years</w:t>
      </w:r>
      <w:r w:rsidR="008F0099" w:rsidRPr="00651301">
        <w:t>.</w:t>
      </w:r>
    </w:p>
    <w:p w14:paraId="7350995A" w14:textId="00C2960C" w:rsidR="00A60349" w:rsidRPr="00651301" w:rsidRDefault="00A60349" w:rsidP="00A60349">
      <w:pPr>
        <w:keepNext/>
        <w:spacing w:before="360"/>
        <w:outlineLvl w:val="1"/>
        <w:rPr>
          <w:rFonts w:cs="Arial"/>
          <w:iCs/>
          <w:color w:val="002C47" w:themeColor="accent1"/>
          <w:kern w:val="32"/>
          <w:sz w:val="36"/>
          <w:szCs w:val="28"/>
        </w:rPr>
      </w:pPr>
      <w:bookmarkStart w:id="97" w:name="_Toc89070042"/>
      <w:r w:rsidRPr="00651301">
        <w:rPr>
          <w:rFonts w:cs="Arial"/>
          <w:iCs/>
          <w:color w:val="002C47" w:themeColor="accent1"/>
          <w:kern w:val="32"/>
          <w:sz w:val="36"/>
          <w:szCs w:val="28"/>
        </w:rPr>
        <w:t>Conclusion</w:t>
      </w:r>
      <w:bookmarkEnd w:id="93"/>
      <w:bookmarkEnd w:id="97"/>
    </w:p>
    <w:p w14:paraId="2B7A280C" w14:textId="4B002564" w:rsidR="00E9341E" w:rsidRPr="00651301" w:rsidRDefault="00A60349" w:rsidP="008117B4">
      <w:pPr>
        <w:jc w:val="both"/>
      </w:pPr>
      <w:r w:rsidRPr="00651301">
        <w:t>The incorporation of the new cyclone pool w</w:t>
      </w:r>
      <w:r w:rsidR="00C95688" w:rsidRPr="00651301">
        <w:t>ould</w:t>
      </w:r>
      <w:r w:rsidRPr="00651301">
        <w:t xml:space="preserve"> increase demands on the ARPC Board. Given the significant increase in functions, </w:t>
      </w:r>
      <w:r w:rsidR="00C40BE0" w:rsidRPr="00651301">
        <w:t>the</w:t>
      </w:r>
      <w:r w:rsidR="00072792" w:rsidRPr="00651301">
        <w:t xml:space="preserve"> </w:t>
      </w:r>
      <w:r w:rsidRPr="00651301">
        <w:t>board</w:t>
      </w:r>
      <w:r w:rsidR="00072792" w:rsidRPr="00651301">
        <w:t xml:space="preserve"> must be sufficiently equipped to</w:t>
      </w:r>
      <w:r w:rsidRPr="00651301">
        <w:t xml:space="preserve"> ensure the appropriate implementation and management of the cyclone pool</w:t>
      </w:r>
      <w:r w:rsidR="00467FD1" w:rsidRPr="00651301">
        <w:t>.</w:t>
      </w:r>
      <w:r w:rsidR="00072792" w:rsidRPr="00651301">
        <w:t xml:space="preserve"> </w:t>
      </w:r>
    </w:p>
    <w:p w14:paraId="1F3E8255" w14:textId="5407D4FA" w:rsidR="00A60349" w:rsidRPr="00651301" w:rsidRDefault="0051040F" w:rsidP="008117B4">
      <w:pPr>
        <w:jc w:val="both"/>
      </w:pPr>
      <w:r w:rsidRPr="0051040F">
        <w:t>The Government should ensure that ARPC’s Board is appropriately resourced</w:t>
      </w:r>
      <w:r>
        <w:t>,</w:t>
      </w:r>
      <w:r w:rsidRPr="0051040F">
        <w:t xml:space="preserve"> including consideration of an expansion in the Board’s size and/or increases in the time commitments of Board members</w:t>
      </w:r>
      <w:r w:rsidR="00527A49" w:rsidRPr="00651301">
        <w:t xml:space="preserve">. </w:t>
      </w:r>
      <w:bookmarkStart w:id="98" w:name="_Hlk88589790"/>
      <w:r w:rsidR="00E9341E" w:rsidRPr="00651301">
        <w:t>Furthermore</w:t>
      </w:r>
      <w:r w:rsidR="002B7659" w:rsidRPr="00651301">
        <w:t>,</w:t>
      </w:r>
      <w:r w:rsidR="00E9341E" w:rsidRPr="00651301">
        <w:t xml:space="preserve"> </w:t>
      </w:r>
      <w:r w:rsidR="002B7659" w:rsidRPr="00651301">
        <w:t>the Government should appoint temporary observer</w:t>
      </w:r>
      <w:r w:rsidR="00FB50FF" w:rsidRPr="00651301">
        <w:t xml:space="preserve">s </w:t>
      </w:r>
      <w:r w:rsidR="002B7659" w:rsidRPr="00651301">
        <w:t xml:space="preserve">from APRA and the Commonwealth (such as the AGA) to ensure a smooth transition from the pool’s design to its implementation. </w:t>
      </w:r>
    </w:p>
    <w:bookmarkEnd w:id="98"/>
    <w:p w14:paraId="27C9FD5D" w14:textId="69F042EF" w:rsidR="00E9341E" w:rsidRPr="00651301" w:rsidRDefault="005C289E" w:rsidP="008117B4">
      <w:pPr>
        <w:jc w:val="both"/>
      </w:pPr>
      <w:r w:rsidRPr="00651301">
        <w:t>The Government</w:t>
      </w:r>
      <w:r w:rsidR="00A60349" w:rsidRPr="00651301">
        <w:t xml:space="preserve"> should </w:t>
      </w:r>
      <w:r w:rsidR="007C28DB" w:rsidRPr="00651301">
        <w:t xml:space="preserve">also </w:t>
      </w:r>
      <w:r w:rsidR="00286E03" w:rsidRPr="00651301">
        <w:t xml:space="preserve">seek </w:t>
      </w:r>
      <w:r w:rsidR="00655238" w:rsidRPr="00651301">
        <w:t>to</w:t>
      </w:r>
      <w:r w:rsidR="00E9341E" w:rsidRPr="00651301">
        <w:t xml:space="preserve"> appoint a Board member(s), who is</w:t>
      </w:r>
      <w:r w:rsidR="00655238" w:rsidRPr="00651301">
        <w:t xml:space="preserve"> </w:t>
      </w:r>
      <w:r w:rsidR="00FB50FF" w:rsidRPr="00651301">
        <w:t>familiar</w:t>
      </w:r>
      <w:r w:rsidR="00286E03" w:rsidRPr="00651301">
        <w:t xml:space="preserve"> with</w:t>
      </w:r>
      <w:r w:rsidR="00FB50FF" w:rsidRPr="00651301">
        <w:t xml:space="preserve"> the</w:t>
      </w:r>
      <w:r w:rsidR="00286E03" w:rsidRPr="00651301">
        <w:t xml:space="preserve"> </w:t>
      </w:r>
      <w:r w:rsidR="00072792" w:rsidRPr="00651301">
        <w:t>pressures facing</w:t>
      </w:r>
      <w:r w:rsidR="00655238" w:rsidRPr="00651301">
        <w:t xml:space="preserve"> residents of cyclone-prone areas, including knowledge of insurance premium affordability</w:t>
      </w:r>
      <w:r w:rsidR="00FB50FF" w:rsidRPr="00651301">
        <w:t xml:space="preserve"> issues</w:t>
      </w:r>
      <w:r w:rsidR="00655238" w:rsidRPr="00651301">
        <w:t xml:space="preserve"> and the role of mitigation.</w:t>
      </w:r>
    </w:p>
    <w:p w14:paraId="7AFB9561" w14:textId="13241FBE" w:rsidR="00655238" w:rsidRDefault="00E9341E" w:rsidP="008117B4">
      <w:pPr>
        <w:jc w:val="both"/>
      </w:pPr>
      <w:r w:rsidRPr="00651301">
        <w:t>The current</w:t>
      </w:r>
      <w:r w:rsidR="007C28DB" w:rsidRPr="00651301">
        <w:t xml:space="preserve"> three-year</w:t>
      </w:r>
      <w:r w:rsidRPr="00651301">
        <w:t xml:space="preserve"> interval between reviews of the TIA is </w:t>
      </w:r>
      <w:r w:rsidR="007C28DB" w:rsidRPr="00651301">
        <w:t>too short</w:t>
      </w:r>
      <w:r w:rsidR="00095F5C" w:rsidRPr="00651301">
        <w:t xml:space="preserve"> and should be increased to five years. Substantial developments in the market for private terrorism insurance are unlikely to occur over a three-year time horizon.</w:t>
      </w:r>
    </w:p>
    <w:p w14:paraId="09028C4D" w14:textId="58D738F5" w:rsidR="00085A40" w:rsidRDefault="00085A40" w:rsidP="008117B4">
      <w:pPr>
        <w:jc w:val="both"/>
      </w:pPr>
      <w:r>
        <w:t>Further implications for the ARPC’s governance</w:t>
      </w:r>
      <w:r w:rsidR="003A6F97">
        <w:t xml:space="preserve"> and administrative</w:t>
      </w:r>
      <w:r>
        <w:t xml:space="preserve"> arrangements are dependent on the final design of the cyclone reinsurance pool, and the requisite skills</w:t>
      </w:r>
      <w:r w:rsidR="003A6F97">
        <w:t>, oversight and resourcing</w:t>
      </w:r>
      <w:r>
        <w:t xml:space="preserve"> it demands.</w:t>
      </w:r>
    </w:p>
    <w:p w14:paraId="18C2ED75" w14:textId="14ADB53C" w:rsidR="008A0DDB" w:rsidRDefault="008A0DDB" w:rsidP="009C2279">
      <w:pPr>
        <w:pStyle w:val="Heading1"/>
      </w:pPr>
      <w:r>
        <w:br w:type="column"/>
      </w:r>
      <w:bookmarkStart w:id="99" w:name="_Toc81844206"/>
      <w:bookmarkStart w:id="100" w:name="_Toc89070043"/>
      <w:r>
        <w:lastRenderedPageBreak/>
        <w:t>Appendix A: Terms of Reference</w:t>
      </w:r>
      <w:bookmarkEnd w:id="99"/>
      <w:bookmarkEnd w:id="100"/>
    </w:p>
    <w:p w14:paraId="64692A1B" w14:textId="77777777" w:rsidR="006B62FF" w:rsidRPr="00FF5336" w:rsidRDefault="006B62FF" w:rsidP="00F2363D">
      <w:pPr>
        <w:spacing w:before="240"/>
        <w:rPr>
          <w:rFonts w:asciiTheme="minorHAnsi" w:hAnsiTheme="minorHAnsi" w:cstheme="minorHAnsi"/>
          <w:szCs w:val="22"/>
        </w:rPr>
      </w:pPr>
      <w:r w:rsidRPr="00FF5336">
        <w:rPr>
          <w:rFonts w:asciiTheme="minorHAnsi" w:hAnsiTheme="minorHAnsi" w:cstheme="minorHAnsi"/>
          <w:szCs w:val="22"/>
        </w:rPr>
        <w:t xml:space="preserve">The </w:t>
      </w:r>
      <w:r w:rsidRPr="00D8708F">
        <w:rPr>
          <w:rFonts w:asciiTheme="minorHAnsi" w:hAnsiTheme="minorHAnsi" w:cstheme="minorHAnsi"/>
          <w:i/>
          <w:iCs/>
          <w:szCs w:val="22"/>
        </w:rPr>
        <w:t>Terrorism Insurance Act 2003</w:t>
      </w:r>
      <w:r w:rsidRPr="00FF5336">
        <w:rPr>
          <w:rFonts w:asciiTheme="minorHAnsi" w:hAnsiTheme="minorHAnsi" w:cstheme="minorHAnsi"/>
          <w:szCs w:val="22"/>
        </w:rPr>
        <w:t xml:space="preserve"> (the Act) established a scheme for replacement terrorism insurance coverage for commercial property and associated business interruption. The Act also established the Australian Reinsurance Pool Corporation (ARPC) as a statutory authority to administer the scheme. Both the scheme and the ARPC began operations on 1 July 2003.</w:t>
      </w:r>
    </w:p>
    <w:p w14:paraId="31813F53" w14:textId="77777777" w:rsidR="006B62FF" w:rsidRPr="00FF5336" w:rsidRDefault="006B62FF" w:rsidP="00F2363D">
      <w:pPr>
        <w:rPr>
          <w:rFonts w:asciiTheme="minorHAnsi" w:hAnsiTheme="minorHAnsi" w:cstheme="minorHAnsi"/>
          <w:szCs w:val="22"/>
        </w:rPr>
      </w:pPr>
      <w:r w:rsidRPr="00FF5336">
        <w:rPr>
          <w:rFonts w:asciiTheme="minorHAnsi" w:hAnsiTheme="minorHAnsi" w:cstheme="minorHAnsi"/>
          <w:szCs w:val="22"/>
        </w:rPr>
        <w:t>The scheme was established as an interim measure to address a specific market failure in the private provision of terrorism insurance. The scheme is intended to operate only while terrorism cover is unavailable commercially on reasonable terms. As a result, s. 41 of the Act requires that: “At least once every three years after the start-up time, the Minister must prepare a report that reviews the need for this Act to continue in operation.”</w:t>
      </w:r>
    </w:p>
    <w:p w14:paraId="4667341C" w14:textId="77777777" w:rsidR="006B62FF" w:rsidRPr="00FF5336" w:rsidRDefault="006B62FF" w:rsidP="00F2363D">
      <w:pPr>
        <w:rPr>
          <w:rFonts w:asciiTheme="minorHAnsi" w:hAnsiTheme="minorHAnsi" w:cstheme="minorHAnsi"/>
          <w:szCs w:val="22"/>
        </w:rPr>
      </w:pPr>
      <w:r w:rsidRPr="00FF5336">
        <w:rPr>
          <w:rFonts w:asciiTheme="minorHAnsi" w:hAnsiTheme="minorHAnsi" w:cstheme="minorHAnsi"/>
          <w:szCs w:val="22"/>
        </w:rPr>
        <w:t>Previous reviews were completed in 2006, 2009, 2012, 2015 and 2018. Each review concluded that the Act should continue in operation, subject to further review in no more than three years.</w:t>
      </w:r>
    </w:p>
    <w:p w14:paraId="0046F1AA" w14:textId="77777777" w:rsidR="006B62FF" w:rsidRPr="00FF5336" w:rsidRDefault="006B62FF" w:rsidP="00F2363D">
      <w:pPr>
        <w:rPr>
          <w:rFonts w:asciiTheme="minorHAnsi" w:hAnsiTheme="minorHAnsi" w:cstheme="minorHAnsi"/>
          <w:szCs w:val="22"/>
        </w:rPr>
      </w:pPr>
      <w:r w:rsidRPr="00FF5336">
        <w:rPr>
          <w:rFonts w:asciiTheme="minorHAnsi" w:hAnsiTheme="minorHAnsi" w:cstheme="minorHAnsi"/>
          <w:szCs w:val="22"/>
        </w:rPr>
        <w:t>To allow for completion of the Review by 12 December 2021, Treasury will report to the Minister on:</w:t>
      </w:r>
    </w:p>
    <w:p w14:paraId="3CB1B1EB" w14:textId="77777777" w:rsidR="006B62FF" w:rsidRPr="00FF5336" w:rsidRDefault="006B62FF" w:rsidP="00F2363D">
      <w:pPr>
        <w:pStyle w:val="Bullet"/>
        <w:spacing w:before="120"/>
      </w:pPr>
      <w:r w:rsidRPr="00FF5336">
        <w:t xml:space="preserve">whether there continues to be market failure in the private sector supply of terrorism insurance, and consequently whether there is a need for the Act to </w:t>
      </w:r>
      <w:proofErr w:type="gramStart"/>
      <w:r w:rsidRPr="00FF5336">
        <w:t>continue;</w:t>
      </w:r>
      <w:proofErr w:type="gramEnd"/>
    </w:p>
    <w:p w14:paraId="08034FD4" w14:textId="77777777" w:rsidR="006B62FF" w:rsidRPr="00FF5336" w:rsidRDefault="006B62FF" w:rsidP="00F2363D">
      <w:pPr>
        <w:pStyle w:val="Bullet"/>
        <w:spacing w:before="120"/>
      </w:pPr>
      <w:r w:rsidRPr="00FF5336">
        <w:t>whether the governance, administration and resourcing of the scheme remain appropriate, including interactions between the Cyclone Reinsurance Pool and the Terrorism Reinsurance Pool; and</w:t>
      </w:r>
    </w:p>
    <w:p w14:paraId="021A3683" w14:textId="77777777" w:rsidR="006B62FF" w:rsidRPr="005A62F3" w:rsidRDefault="006B62FF" w:rsidP="00F2363D">
      <w:pPr>
        <w:pStyle w:val="Bullet"/>
        <w:spacing w:before="120"/>
      </w:pPr>
      <w:r w:rsidRPr="00FF5336">
        <w:t>whether the risk of cyber terrorism causing physical property damage should be included in the scheme.</w:t>
      </w:r>
    </w:p>
    <w:bookmarkEnd w:id="9"/>
    <w:bookmarkEnd w:id="22"/>
    <w:p w14:paraId="43A67695" w14:textId="27627A94" w:rsidR="0005138B" w:rsidRDefault="0005138B" w:rsidP="006B62FF"/>
    <w:sectPr w:rsidR="0005138B" w:rsidSect="00EC236D">
      <w:headerReference w:type="even" r:id="rId31"/>
      <w:headerReference w:type="default" r:id="rId32"/>
      <w:footerReference w:type="even" r:id="rId33"/>
      <w:headerReference w:type="first" r:id="rId34"/>
      <w:footerReference w:type="first" r:id="rId35"/>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D11E9" w14:textId="77777777" w:rsidR="00407302" w:rsidRDefault="00407302">
      <w:pPr>
        <w:spacing w:before="0" w:after="0"/>
      </w:pPr>
      <w:r>
        <w:separator/>
      </w:r>
    </w:p>
  </w:endnote>
  <w:endnote w:type="continuationSeparator" w:id="0">
    <w:p w14:paraId="31F75719" w14:textId="77777777" w:rsidR="00407302" w:rsidRDefault="00407302">
      <w:pPr>
        <w:spacing w:before="0" w:after="0"/>
      </w:pPr>
      <w:r>
        <w:continuationSeparator/>
      </w:r>
    </w:p>
  </w:endnote>
  <w:endnote w:type="continuationNotice" w:id="1">
    <w:p w14:paraId="25F39962" w14:textId="77777777" w:rsidR="00407302" w:rsidRDefault="0040730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18AB1" w14:textId="77777777" w:rsidR="007537AC" w:rsidRPr="00F60198" w:rsidRDefault="007537AC" w:rsidP="00F60198">
    <w:pPr>
      <w:pStyle w:val="FooterOdd"/>
    </w:pPr>
    <w:r w:rsidRPr="00F60198">
      <w:fldChar w:fldCharType="begin"/>
    </w:r>
    <w:r w:rsidRPr="00F60198">
      <w:instrText xml:space="preserve"> PAGE   \* MERGEFORMAT </w:instrText>
    </w:r>
    <w:r w:rsidRPr="00F60198">
      <w:fldChar w:fldCharType="separate"/>
    </w:r>
    <w:r>
      <w:rPr>
        <w:noProof/>
      </w:rPr>
      <w:t>i</w:t>
    </w:r>
    <w:r w:rsidRPr="00F6019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4" w:name="_Hlk81910308"/>
  <w:bookmarkStart w:id="5" w:name="_Hlk81910309"/>
  <w:p w14:paraId="7E0FE019" w14:textId="39F4C48A" w:rsidR="007537AC" w:rsidRPr="00E77C89" w:rsidRDefault="007537AC" w:rsidP="00EE1447">
    <w:pPr>
      <w:pStyle w:val="FooterEven"/>
    </w:pPr>
    <w:r>
      <w:fldChar w:fldCharType="begin"/>
    </w:r>
    <w:r>
      <w:instrText xml:space="preserve"> PAGE  \* roman  \* MERGEFORMAT </w:instrText>
    </w:r>
    <w:r>
      <w:fldChar w:fldCharType="separate"/>
    </w:r>
    <w:r>
      <w:t>ii</w:t>
    </w:r>
    <w:r>
      <w:fldChar w:fldCharType="end"/>
    </w:r>
    <w:bookmarkEnd w:id="4"/>
    <w:bookmarkEnd w:id="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DF3FB" w14:textId="77777777" w:rsidR="007537AC" w:rsidRDefault="007537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AA835" w14:textId="5DC7A0C1" w:rsidR="007537AC" w:rsidRPr="00E77C89" w:rsidRDefault="007537AC" w:rsidP="00EE1447">
    <w:pPr>
      <w:pStyle w:val="FooterEven"/>
    </w:pPr>
    <w:r>
      <w:fldChar w:fldCharType="begin"/>
    </w:r>
    <w:r>
      <w:instrText xml:space="preserve"> PAGE  \* roman  \* MERGEFORMAT </w:instrText>
    </w:r>
    <w:r>
      <w:fldChar w:fldCharType="separate"/>
    </w:r>
    <w: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6" w:name="_Hlk81910172"/>
  <w:bookmarkStart w:id="17" w:name="_Hlk81910173"/>
  <w:bookmarkStart w:id="18" w:name="_Hlk81910292"/>
  <w:bookmarkStart w:id="19" w:name="_Hlk81910293"/>
  <w:p w14:paraId="2B45A591" w14:textId="2C704BC2" w:rsidR="007537AC" w:rsidRPr="00F60198" w:rsidRDefault="007537AC" w:rsidP="00F60198">
    <w:pPr>
      <w:pStyle w:val="FooterOdd"/>
    </w:pPr>
    <w:r>
      <w:fldChar w:fldCharType="begin"/>
    </w:r>
    <w:r>
      <w:instrText xml:space="preserve"> PAGE  \* roman  \* MERGEFORMAT </w:instrText>
    </w:r>
    <w:r>
      <w:fldChar w:fldCharType="separate"/>
    </w:r>
    <w:r>
      <w:rPr>
        <w:noProof/>
      </w:rPr>
      <w:t>ii</w:t>
    </w:r>
    <w:r>
      <w:fldChar w:fldCharType="end"/>
    </w:r>
    <w:bookmarkEnd w:id="16"/>
    <w:bookmarkEnd w:id="17"/>
    <w:bookmarkEnd w:id="18"/>
    <w:bookmarkEnd w:id="19"/>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5214494"/>
      <w:docPartObj>
        <w:docPartGallery w:val="Page Numbers (Bottom of Page)"/>
        <w:docPartUnique/>
      </w:docPartObj>
    </w:sdtPr>
    <w:sdtEndPr>
      <w:rPr>
        <w:noProof/>
      </w:rPr>
    </w:sdtEndPr>
    <w:sdtContent>
      <w:p w14:paraId="1858AA47" w14:textId="77777777" w:rsidR="007537AC" w:rsidRDefault="007537AC" w:rsidP="00BB4A6D">
        <w:pPr>
          <w:pStyle w:val="Footer"/>
          <w:jc w:val="lef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893C7" w14:textId="77777777" w:rsidR="007537AC" w:rsidRDefault="007537AC" w:rsidP="00F60198">
    <w:pPr>
      <w:pStyle w:val="FooterOdd"/>
    </w:pPr>
    <w:r>
      <w:fldChar w:fldCharType="begin"/>
    </w:r>
    <w:r>
      <w:instrText xml:space="preserve"> PAGE  \* Arabic  \* MERGEFORMAT </w:instrText>
    </w:r>
    <w:r>
      <w:fldChar w:fldCharType="separate"/>
    </w:r>
    <w:r>
      <w:rPr>
        <w:noProof/>
      </w:rPr>
      <w:t>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7865F" w14:textId="77777777" w:rsidR="007537AC" w:rsidRPr="00E77C89" w:rsidRDefault="007537AC" w:rsidP="00EE1447">
    <w:pPr>
      <w:pStyle w:val="FooterEven"/>
    </w:pPr>
    <w:r>
      <w:fldChar w:fldCharType="begin"/>
    </w:r>
    <w:r>
      <w:instrText xml:space="preserve"> PAGE  \* Arabic  \* MERGEFORMAT </w:instrText>
    </w:r>
    <w:r>
      <w:fldChar w:fldCharType="separate"/>
    </w:r>
    <w:r>
      <w:t>4</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D1053" w14:textId="77777777" w:rsidR="007537AC" w:rsidRDefault="00753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EB341A" w14:textId="77777777" w:rsidR="00407302" w:rsidRDefault="00407302">
      <w:pPr>
        <w:spacing w:before="0" w:after="0"/>
      </w:pPr>
      <w:r>
        <w:separator/>
      </w:r>
    </w:p>
  </w:footnote>
  <w:footnote w:type="continuationSeparator" w:id="0">
    <w:p w14:paraId="6709460D" w14:textId="77777777" w:rsidR="00407302" w:rsidRDefault="00407302">
      <w:pPr>
        <w:spacing w:before="0" w:after="0"/>
      </w:pPr>
      <w:r>
        <w:continuationSeparator/>
      </w:r>
    </w:p>
  </w:footnote>
  <w:footnote w:type="continuationNotice" w:id="1">
    <w:p w14:paraId="1E60EE37" w14:textId="77777777" w:rsidR="00407302" w:rsidRDefault="00407302">
      <w:pPr>
        <w:spacing w:before="0" w:after="0"/>
      </w:pPr>
    </w:p>
  </w:footnote>
  <w:footnote w:id="2">
    <w:p w14:paraId="79E43354" w14:textId="77777777" w:rsidR="007537AC" w:rsidRDefault="007537AC" w:rsidP="00655466">
      <w:pPr>
        <w:pStyle w:val="footnotedescription"/>
        <w:tabs>
          <w:tab w:val="center" w:pos="1861"/>
        </w:tabs>
        <w:ind w:left="0"/>
      </w:pPr>
      <w:r>
        <w:rPr>
          <w:rStyle w:val="footnotemark"/>
        </w:rPr>
        <w:footnoteRef/>
      </w:r>
      <w:r>
        <w:t xml:space="preserve"> </w:t>
      </w:r>
      <w:r>
        <w:rPr>
          <w:i/>
        </w:rPr>
        <w:t>Terrorism Insurance Act 2003</w:t>
      </w:r>
      <w:r>
        <w:t xml:space="preserve"> (Cth), s8(1). </w:t>
      </w:r>
    </w:p>
  </w:footnote>
  <w:footnote w:id="3">
    <w:p w14:paraId="42921B65" w14:textId="77777777" w:rsidR="007537AC" w:rsidRDefault="007537AC" w:rsidP="00655466">
      <w:pPr>
        <w:pStyle w:val="footnotedescription"/>
        <w:tabs>
          <w:tab w:val="center" w:pos="1861"/>
        </w:tabs>
        <w:ind w:left="0"/>
      </w:pPr>
      <w:r>
        <w:rPr>
          <w:rStyle w:val="footnotemark"/>
        </w:rPr>
        <w:footnoteRef/>
      </w:r>
      <w:r>
        <w:t xml:space="preserve"> </w:t>
      </w:r>
      <w:r>
        <w:rPr>
          <w:i/>
        </w:rPr>
        <w:t>Terrorism Insurance Act 2003</w:t>
      </w:r>
      <w:r>
        <w:t xml:space="preserve"> (</w:t>
      </w:r>
      <w:r>
        <w:t xml:space="preserve">Cth), s7(1). </w:t>
      </w:r>
    </w:p>
  </w:footnote>
  <w:footnote w:id="4">
    <w:p w14:paraId="7A31D185" w14:textId="77777777" w:rsidR="007537AC" w:rsidRDefault="007537AC" w:rsidP="00655466">
      <w:pPr>
        <w:pStyle w:val="footnotedescription"/>
        <w:tabs>
          <w:tab w:val="center" w:pos="2168"/>
        </w:tabs>
        <w:ind w:left="0"/>
      </w:pPr>
      <w:r>
        <w:rPr>
          <w:rStyle w:val="footnotemark"/>
        </w:rPr>
        <w:footnoteRef/>
      </w:r>
      <w:r>
        <w:t xml:space="preserve"> </w:t>
      </w:r>
      <w:r>
        <w:rPr>
          <w:i/>
        </w:rPr>
        <w:t>Terrorism Insurance Act 2003</w:t>
      </w:r>
      <w:r>
        <w:t xml:space="preserve"> (</w:t>
      </w:r>
      <w:r>
        <w:t xml:space="preserve">Cth), s3(definition). </w:t>
      </w:r>
    </w:p>
  </w:footnote>
  <w:footnote w:id="5">
    <w:p w14:paraId="643FE7BB" w14:textId="77777777" w:rsidR="007537AC" w:rsidRDefault="007537AC" w:rsidP="00655466">
      <w:pPr>
        <w:pStyle w:val="footnotedescription"/>
        <w:tabs>
          <w:tab w:val="center" w:pos="2156"/>
        </w:tabs>
        <w:ind w:left="0"/>
      </w:pPr>
      <w:r>
        <w:rPr>
          <w:rStyle w:val="footnotemark"/>
        </w:rPr>
        <w:footnoteRef/>
      </w:r>
      <w:r>
        <w:t xml:space="preserve"> </w:t>
      </w:r>
      <w:r>
        <w:rPr>
          <w:i/>
        </w:rPr>
        <w:t>Terrorism Insurance Regulations 2003</w:t>
      </w:r>
      <w:r>
        <w:t xml:space="preserve"> (</w:t>
      </w:r>
      <w:r>
        <w:t xml:space="preserve">Cth), r 5.1. </w:t>
      </w:r>
    </w:p>
  </w:footnote>
  <w:footnote w:id="6">
    <w:p w14:paraId="02A9DA10" w14:textId="7305CA35" w:rsidR="007537AC" w:rsidRDefault="007537AC" w:rsidP="00655466">
      <w:pPr>
        <w:pStyle w:val="footnotedescription"/>
        <w:tabs>
          <w:tab w:val="center" w:pos="4550"/>
        </w:tabs>
        <w:ind w:left="0"/>
      </w:pPr>
      <w:r>
        <w:rPr>
          <w:rStyle w:val="footnotemark"/>
        </w:rPr>
        <w:footnoteRef/>
      </w:r>
      <w:r>
        <w:t xml:space="preserve"> </w:t>
      </w:r>
      <w:r w:rsidRPr="00A058BB">
        <w:t>The Treasury 2015</w:t>
      </w:r>
      <w:r>
        <w:t>, ‘</w:t>
      </w:r>
      <w:r w:rsidRPr="00E80B2B">
        <w:rPr>
          <w:iCs/>
        </w:rPr>
        <w:t>Terrorism Insurance Act Review: 2015</w:t>
      </w:r>
      <w:r>
        <w:rPr>
          <w:iCs/>
        </w:rPr>
        <w:t>’</w:t>
      </w:r>
      <w:r>
        <w:t xml:space="preserve">, recommendation 9, page 25. </w:t>
      </w:r>
    </w:p>
  </w:footnote>
  <w:footnote w:id="7">
    <w:p w14:paraId="491F4538" w14:textId="77777777" w:rsidR="007537AC" w:rsidRDefault="007537AC" w:rsidP="00655466">
      <w:pPr>
        <w:pStyle w:val="footnotedescription"/>
        <w:tabs>
          <w:tab w:val="center" w:pos="2201"/>
        </w:tabs>
        <w:ind w:left="0"/>
      </w:pPr>
      <w:r>
        <w:rPr>
          <w:rStyle w:val="footnotemark"/>
        </w:rPr>
        <w:footnoteRef/>
      </w:r>
      <w:r>
        <w:t xml:space="preserve"> </w:t>
      </w:r>
      <w:r>
        <w:rPr>
          <w:i/>
        </w:rPr>
        <w:t>Terrorism Insurance Regulations 2003</w:t>
      </w:r>
      <w:r>
        <w:t xml:space="preserve"> (</w:t>
      </w:r>
      <w:r>
        <w:t xml:space="preserve">Cth), r 5.32. </w:t>
      </w:r>
    </w:p>
  </w:footnote>
  <w:footnote w:id="8">
    <w:p w14:paraId="4FAF5208" w14:textId="31682774" w:rsidR="007537AC" w:rsidRDefault="007537AC" w:rsidP="00655466">
      <w:pPr>
        <w:pStyle w:val="footnotedescription"/>
        <w:tabs>
          <w:tab w:val="center" w:pos="1760"/>
        </w:tabs>
        <w:ind w:left="0"/>
      </w:pPr>
      <w:r>
        <w:rPr>
          <w:rStyle w:val="footnotemark"/>
        </w:rPr>
        <w:t>7</w:t>
      </w:r>
      <w:r>
        <w:t xml:space="preserve"> </w:t>
      </w:r>
      <w:r>
        <w:rPr>
          <w:i/>
        </w:rPr>
        <w:t>Terrorism Insurance Act 2003</w:t>
      </w:r>
      <w:r>
        <w:t xml:space="preserve"> (</w:t>
      </w:r>
      <w:r>
        <w:t xml:space="preserve">Cth), s6. </w:t>
      </w:r>
    </w:p>
  </w:footnote>
  <w:footnote w:id="9">
    <w:p w14:paraId="13EAE1D6" w14:textId="77777777" w:rsidR="007537AC" w:rsidRDefault="007537AC" w:rsidP="00655466">
      <w:pPr>
        <w:pStyle w:val="footnotedescription"/>
        <w:tabs>
          <w:tab w:val="center" w:pos="2188"/>
        </w:tabs>
        <w:ind w:left="0"/>
      </w:pPr>
      <w:r>
        <w:rPr>
          <w:rStyle w:val="footnotemark"/>
        </w:rPr>
        <w:footnoteRef/>
      </w:r>
      <w:r>
        <w:t xml:space="preserve"> </w:t>
      </w:r>
      <w:r>
        <w:rPr>
          <w:i/>
        </w:rPr>
        <w:t>Terrorism Insurance Act 2003</w:t>
      </w:r>
      <w:r>
        <w:t xml:space="preserve"> (</w:t>
      </w:r>
      <w:r>
        <w:t xml:space="preserve">Cth), s3 (definition). </w:t>
      </w:r>
    </w:p>
  </w:footnote>
  <w:footnote w:id="10">
    <w:p w14:paraId="73E2CA73" w14:textId="51AD3A49" w:rsidR="007537AC" w:rsidRPr="00333D07" w:rsidRDefault="007537AC">
      <w:pPr>
        <w:pStyle w:val="FootnoteText"/>
        <w:rPr>
          <w:sz w:val="18"/>
          <w:szCs w:val="18"/>
        </w:rPr>
      </w:pPr>
      <w:r w:rsidRPr="00333D07">
        <w:rPr>
          <w:rStyle w:val="FootnoteReference"/>
          <w:sz w:val="18"/>
          <w:szCs w:val="18"/>
        </w:rPr>
        <w:footnoteRef/>
      </w:r>
      <w:r w:rsidRPr="00333D07">
        <w:rPr>
          <w:sz w:val="18"/>
          <w:szCs w:val="18"/>
        </w:rPr>
        <w:t xml:space="preserve"> ARPC 2021, </w:t>
      </w:r>
      <w:r>
        <w:rPr>
          <w:sz w:val="18"/>
          <w:szCs w:val="18"/>
        </w:rPr>
        <w:t>‘</w:t>
      </w:r>
      <w:r w:rsidRPr="00E80B2B">
        <w:rPr>
          <w:sz w:val="18"/>
          <w:szCs w:val="18"/>
        </w:rPr>
        <w:t>Annual Report 2019-20</w:t>
      </w:r>
      <w:r>
        <w:rPr>
          <w:sz w:val="18"/>
          <w:szCs w:val="18"/>
        </w:rPr>
        <w:t>’</w:t>
      </w:r>
      <w:r w:rsidRPr="00333D07">
        <w:rPr>
          <w:i/>
          <w:iCs/>
          <w:sz w:val="18"/>
          <w:szCs w:val="18"/>
        </w:rPr>
        <w:t xml:space="preserve">, </w:t>
      </w:r>
      <w:r w:rsidRPr="00333D07">
        <w:rPr>
          <w:sz w:val="18"/>
          <w:szCs w:val="18"/>
        </w:rPr>
        <w:t>p.5</w:t>
      </w:r>
    </w:p>
  </w:footnote>
  <w:footnote w:id="11">
    <w:p w14:paraId="0490DA9D" w14:textId="3CD118F0" w:rsidR="007537AC" w:rsidRDefault="007537AC">
      <w:pPr>
        <w:pStyle w:val="FootnoteText"/>
      </w:pPr>
      <w:r>
        <w:rPr>
          <w:rStyle w:val="FootnoteReference"/>
        </w:rPr>
        <w:footnoteRef/>
      </w:r>
      <w:r>
        <w:t xml:space="preserve"> </w:t>
      </w:r>
      <w:r w:rsidRPr="00D147A8">
        <w:rPr>
          <w:sz w:val="18"/>
          <w:szCs w:val="18"/>
        </w:rPr>
        <w:t xml:space="preserve">ARPC 2021, </w:t>
      </w:r>
      <w:r>
        <w:rPr>
          <w:sz w:val="18"/>
          <w:szCs w:val="18"/>
        </w:rPr>
        <w:t>‘</w:t>
      </w:r>
      <w:r w:rsidRPr="00E80B2B">
        <w:rPr>
          <w:sz w:val="18"/>
          <w:szCs w:val="18"/>
        </w:rPr>
        <w:t>Annual Report 2019-20</w:t>
      </w:r>
      <w:r>
        <w:rPr>
          <w:sz w:val="18"/>
          <w:szCs w:val="18"/>
        </w:rPr>
        <w:t>’</w:t>
      </w:r>
      <w:r w:rsidRPr="00D147A8">
        <w:rPr>
          <w:i/>
          <w:iCs/>
          <w:sz w:val="18"/>
          <w:szCs w:val="18"/>
        </w:rPr>
        <w:t xml:space="preserve">, </w:t>
      </w:r>
      <w:r w:rsidRPr="00D147A8">
        <w:rPr>
          <w:sz w:val="18"/>
          <w:szCs w:val="18"/>
        </w:rPr>
        <w:t>p.</w:t>
      </w:r>
      <w:r>
        <w:rPr>
          <w:sz w:val="18"/>
          <w:szCs w:val="18"/>
        </w:rPr>
        <w:t xml:space="preserve"> 37</w:t>
      </w:r>
    </w:p>
  </w:footnote>
  <w:footnote w:id="12">
    <w:p w14:paraId="0C1A190B" w14:textId="5089C59F" w:rsidR="007537AC" w:rsidRDefault="007537AC">
      <w:pPr>
        <w:pStyle w:val="FootnoteText"/>
      </w:pPr>
      <w:r>
        <w:rPr>
          <w:rStyle w:val="FootnoteReference"/>
        </w:rPr>
        <w:footnoteRef/>
      </w:r>
      <w:r>
        <w:t xml:space="preserve"> </w:t>
      </w:r>
      <w:r w:rsidRPr="00D147A8">
        <w:rPr>
          <w:sz w:val="18"/>
          <w:szCs w:val="18"/>
        </w:rPr>
        <w:t xml:space="preserve">ARPC 2021, </w:t>
      </w:r>
      <w:r>
        <w:rPr>
          <w:sz w:val="18"/>
          <w:szCs w:val="18"/>
        </w:rPr>
        <w:t>‘</w:t>
      </w:r>
      <w:r w:rsidRPr="00E80B2B">
        <w:rPr>
          <w:sz w:val="18"/>
          <w:szCs w:val="18"/>
        </w:rPr>
        <w:t>Annual Report 2019-20</w:t>
      </w:r>
      <w:r>
        <w:rPr>
          <w:sz w:val="18"/>
          <w:szCs w:val="18"/>
        </w:rPr>
        <w:t>’</w:t>
      </w:r>
      <w:r w:rsidRPr="00D147A8">
        <w:rPr>
          <w:i/>
          <w:iCs/>
          <w:sz w:val="18"/>
          <w:szCs w:val="18"/>
        </w:rPr>
        <w:t xml:space="preserve">, </w:t>
      </w:r>
      <w:r w:rsidRPr="00D147A8">
        <w:rPr>
          <w:sz w:val="18"/>
          <w:szCs w:val="18"/>
        </w:rPr>
        <w:t>p.</w:t>
      </w:r>
      <w:r>
        <w:rPr>
          <w:sz w:val="18"/>
          <w:szCs w:val="18"/>
        </w:rPr>
        <w:t xml:space="preserve"> 12</w:t>
      </w:r>
    </w:p>
  </w:footnote>
  <w:footnote w:id="13">
    <w:p w14:paraId="42132E87" w14:textId="1FBE13C4" w:rsidR="007537AC" w:rsidRDefault="007537AC" w:rsidP="00A60001">
      <w:pPr>
        <w:pStyle w:val="FootnoteText"/>
      </w:pPr>
      <w:r>
        <w:rPr>
          <w:rStyle w:val="FootnoteReference"/>
        </w:rPr>
        <w:footnoteRef/>
      </w:r>
      <w:r>
        <w:t xml:space="preserve"> </w:t>
      </w:r>
      <w:r w:rsidRPr="00D147A8">
        <w:rPr>
          <w:sz w:val="18"/>
          <w:szCs w:val="18"/>
        </w:rPr>
        <w:t xml:space="preserve">ARPC 2021, </w:t>
      </w:r>
      <w:r>
        <w:rPr>
          <w:sz w:val="18"/>
          <w:szCs w:val="18"/>
        </w:rPr>
        <w:t>‘</w:t>
      </w:r>
      <w:r w:rsidRPr="00E80B2B">
        <w:rPr>
          <w:sz w:val="18"/>
          <w:szCs w:val="18"/>
        </w:rPr>
        <w:t>Annual Report 2019-20</w:t>
      </w:r>
      <w:r>
        <w:rPr>
          <w:sz w:val="18"/>
          <w:szCs w:val="18"/>
        </w:rPr>
        <w:t>’</w:t>
      </w:r>
      <w:r w:rsidRPr="00D147A8">
        <w:rPr>
          <w:i/>
          <w:iCs/>
          <w:sz w:val="18"/>
          <w:szCs w:val="18"/>
        </w:rPr>
        <w:t xml:space="preserve">, </w:t>
      </w:r>
      <w:r w:rsidRPr="00D147A8">
        <w:rPr>
          <w:sz w:val="18"/>
          <w:szCs w:val="18"/>
        </w:rPr>
        <w:t>p.</w:t>
      </w:r>
      <w:r>
        <w:rPr>
          <w:sz w:val="18"/>
          <w:szCs w:val="18"/>
        </w:rPr>
        <w:t xml:space="preserve"> 40</w:t>
      </w:r>
    </w:p>
    <w:p w14:paraId="537E4EDE" w14:textId="74ECCBA1" w:rsidR="007537AC" w:rsidRDefault="007537AC">
      <w:pPr>
        <w:pStyle w:val="FootnoteText"/>
      </w:pPr>
    </w:p>
  </w:footnote>
  <w:footnote w:id="14">
    <w:p w14:paraId="34B0B971" w14:textId="169BFF82" w:rsidR="007537AC" w:rsidRPr="001555B5" w:rsidRDefault="007537AC">
      <w:pPr>
        <w:pStyle w:val="FootnoteText"/>
        <w:rPr>
          <w:sz w:val="18"/>
          <w:szCs w:val="18"/>
        </w:rPr>
      </w:pPr>
      <w:r>
        <w:rPr>
          <w:rStyle w:val="FootnoteReference"/>
        </w:rPr>
        <w:footnoteRef/>
      </w:r>
      <w:r>
        <w:t xml:space="preserve"> </w:t>
      </w:r>
      <w:r w:rsidRPr="001555B5">
        <w:rPr>
          <w:sz w:val="18"/>
          <w:szCs w:val="18"/>
        </w:rPr>
        <w:t xml:space="preserve">Burgess, M 2021, </w:t>
      </w:r>
      <w:r>
        <w:rPr>
          <w:sz w:val="18"/>
          <w:szCs w:val="18"/>
        </w:rPr>
        <w:t>‘</w:t>
      </w:r>
      <w:r w:rsidRPr="001555B5">
        <w:rPr>
          <w:sz w:val="18"/>
          <w:szCs w:val="18"/>
        </w:rPr>
        <w:t>DIRECTOR-GENERAL’S ANNUAL THREAT ASSESSMENT 2021 ASIO</w:t>
      </w:r>
      <w:r>
        <w:rPr>
          <w:sz w:val="18"/>
          <w:szCs w:val="18"/>
        </w:rPr>
        <w:t>’</w:t>
      </w:r>
      <w:r w:rsidRPr="001555B5">
        <w:rPr>
          <w:sz w:val="18"/>
          <w:szCs w:val="18"/>
        </w:rPr>
        <w:t>, viewed 26 August 2021 &lt;https://www.asio.gov.au/publications/speeches-and-statements/director-generals-annual-threat-assessment-2021.html&gt;</w:t>
      </w:r>
    </w:p>
  </w:footnote>
  <w:footnote w:id="15">
    <w:p w14:paraId="78DD7569" w14:textId="566DDDD0" w:rsidR="007537AC" w:rsidRDefault="007537AC" w:rsidP="00333D07">
      <w:pPr>
        <w:pStyle w:val="FootnoteText"/>
      </w:pPr>
      <w:r>
        <w:rPr>
          <w:rStyle w:val="FootnoteReference"/>
        </w:rPr>
        <w:footnoteRef/>
      </w:r>
      <w:r>
        <w:t xml:space="preserve"> </w:t>
      </w:r>
      <w:r w:rsidRPr="001555B5">
        <w:rPr>
          <w:sz w:val="18"/>
          <w:szCs w:val="18"/>
        </w:rPr>
        <w:t xml:space="preserve">The Treasury 2018, </w:t>
      </w:r>
      <w:r>
        <w:rPr>
          <w:sz w:val="18"/>
          <w:szCs w:val="18"/>
        </w:rPr>
        <w:t>‘</w:t>
      </w:r>
      <w:r w:rsidRPr="00E80B2B">
        <w:rPr>
          <w:iCs/>
          <w:sz w:val="18"/>
          <w:szCs w:val="18"/>
        </w:rPr>
        <w:t>Terrorism Insurance Act Review: 2018</w:t>
      </w:r>
      <w:r>
        <w:rPr>
          <w:iCs/>
          <w:sz w:val="18"/>
          <w:szCs w:val="18"/>
        </w:rPr>
        <w:t>’</w:t>
      </w:r>
      <w:r w:rsidRPr="001555B5">
        <w:rPr>
          <w:sz w:val="18"/>
          <w:szCs w:val="18"/>
        </w:rPr>
        <w:t>, chapter 2, page 4.</w:t>
      </w:r>
    </w:p>
  </w:footnote>
  <w:footnote w:id="16">
    <w:p w14:paraId="0D0286F0" w14:textId="5C4668C7" w:rsidR="007537AC" w:rsidRDefault="007537AC">
      <w:pPr>
        <w:pStyle w:val="FootnoteText"/>
      </w:pPr>
      <w:r>
        <w:rPr>
          <w:rStyle w:val="FootnoteReference"/>
        </w:rPr>
        <w:footnoteRef/>
      </w:r>
      <w:r>
        <w:t xml:space="preserve"> </w:t>
      </w:r>
      <w:r w:rsidRPr="001555B5">
        <w:rPr>
          <w:sz w:val="18"/>
          <w:szCs w:val="18"/>
        </w:rPr>
        <w:t xml:space="preserve">ARPC 2021, </w:t>
      </w:r>
      <w:r>
        <w:rPr>
          <w:sz w:val="18"/>
          <w:szCs w:val="18"/>
        </w:rPr>
        <w:t>‘</w:t>
      </w:r>
      <w:r w:rsidRPr="001555B5">
        <w:rPr>
          <w:sz w:val="18"/>
          <w:szCs w:val="18"/>
        </w:rPr>
        <w:t>ARPC’s retrocession program builds terrorism scheme’s capital strength and helps cover the economy against terrorist attacks</w:t>
      </w:r>
      <w:r>
        <w:rPr>
          <w:sz w:val="18"/>
          <w:szCs w:val="18"/>
        </w:rPr>
        <w:t>’</w:t>
      </w:r>
      <w:r w:rsidRPr="001555B5">
        <w:rPr>
          <w:sz w:val="18"/>
          <w:szCs w:val="18"/>
        </w:rPr>
        <w:t>, viewed 23 August 2021 &lt;</w:t>
      </w:r>
      <w:hyperlink r:id="rId1" w:history="1">
        <w:r w:rsidRPr="001555B5">
          <w:rPr>
            <w:rStyle w:val="Hyperlink"/>
            <w:sz w:val="18"/>
            <w:szCs w:val="18"/>
          </w:rPr>
          <w:t>https://arpc.gov.au/2021/02/19/arpcs-retrocession-program-builds-terrorism-schemes-capital-strength-and-helps-cover-the-economy-against-terrorist-attacks/</w:t>
        </w:r>
      </w:hyperlink>
      <w:r w:rsidRPr="001555B5">
        <w:rPr>
          <w:sz w:val="18"/>
          <w:szCs w:val="18"/>
        </w:rPr>
        <w:t>&gt;</w:t>
      </w:r>
    </w:p>
  </w:footnote>
  <w:footnote w:id="17">
    <w:p w14:paraId="141CC15D" w14:textId="4516EE00" w:rsidR="007537AC" w:rsidRDefault="007537AC">
      <w:pPr>
        <w:pStyle w:val="FootnoteText"/>
      </w:pPr>
      <w:r>
        <w:rPr>
          <w:rStyle w:val="FootnoteReference"/>
        </w:rPr>
        <w:footnoteRef/>
      </w:r>
      <w:r>
        <w:t xml:space="preserve"> </w:t>
      </w:r>
      <w:r w:rsidRPr="00D147A8">
        <w:rPr>
          <w:sz w:val="18"/>
          <w:szCs w:val="18"/>
        </w:rPr>
        <w:t xml:space="preserve">ARPC 2021, </w:t>
      </w:r>
      <w:r>
        <w:rPr>
          <w:sz w:val="18"/>
          <w:szCs w:val="18"/>
        </w:rPr>
        <w:t>‘</w:t>
      </w:r>
      <w:r w:rsidRPr="00E80B2B">
        <w:rPr>
          <w:sz w:val="18"/>
          <w:szCs w:val="18"/>
        </w:rPr>
        <w:t>Annual Report 2019-20’,</w:t>
      </w:r>
      <w:r w:rsidRPr="00D147A8">
        <w:rPr>
          <w:i/>
          <w:iCs/>
          <w:sz w:val="18"/>
          <w:szCs w:val="18"/>
        </w:rPr>
        <w:t xml:space="preserve"> </w:t>
      </w:r>
      <w:r w:rsidRPr="00D147A8">
        <w:rPr>
          <w:sz w:val="18"/>
          <w:szCs w:val="18"/>
        </w:rPr>
        <w:t>p.</w:t>
      </w:r>
      <w:r>
        <w:rPr>
          <w:sz w:val="18"/>
          <w:szCs w:val="18"/>
        </w:rPr>
        <w:t xml:space="preserve"> 45</w:t>
      </w:r>
    </w:p>
  </w:footnote>
  <w:footnote w:id="18">
    <w:p w14:paraId="145E71F2" w14:textId="63BA5C2F" w:rsidR="007537AC" w:rsidRPr="002C2F43" w:rsidRDefault="007537AC">
      <w:pPr>
        <w:pStyle w:val="FootnoteText"/>
        <w:rPr>
          <w:sz w:val="18"/>
          <w:szCs w:val="18"/>
        </w:rPr>
      </w:pPr>
      <w:r>
        <w:rPr>
          <w:rStyle w:val="FootnoteReference"/>
        </w:rPr>
        <w:footnoteRef/>
      </w:r>
      <w:r>
        <w:t xml:space="preserve"> </w:t>
      </w:r>
      <w:r w:rsidRPr="001555B5">
        <w:rPr>
          <w:sz w:val="18"/>
          <w:szCs w:val="18"/>
        </w:rPr>
        <w:t>Parrant, M (Aon) 20</w:t>
      </w:r>
      <w:r>
        <w:rPr>
          <w:sz w:val="18"/>
          <w:szCs w:val="18"/>
        </w:rPr>
        <w:t>21</w:t>
      </w:r>
      <w:r w:rsidRPr="001555B5">
        <w:rPr>
          <w:sz w:val="18"/>
          <w:szCs w:val="18"/>
        </w:rPr>
        <w:t xml:space="preserve">, </w:t>
      </w:r>
      <w:r>
        <w:rPr>
          <w:sz w:val="18"/>
          <w:szCs w:val="18"/>
        </w:rPr>
        <w:t>‘</w:t>
      </w:r>
      <w:r w:rsidRPr="001555B5">
        <w:rPr>
          <w:sz w:val="18"/>
          <w:szCs w:val="18"/>
        </w:rPr>
        <w:t>Cyber Insurance Market Insights – Q</w:t>
      </w:r>
      <w:r>
        <w:rPr>
          <w:sz w:val="18"/>
          <w:szCs w:val="18"/>
        </w:rPr>
        <w:t>1</w:t>
      </w:r>
      <w:r w:rsidRPr="001555B5">
        <w:rPr>
          <w:sz w:val="18"/>
          <w:szCs w:val="18"/>
        </w:rPr>
        <w:t xml:space="preserve"> 20</w:t>
      </w:r>
      <w:r>
        <w:rPr>
          <w:sz w:val="18"/>
          <w:szCs w:val="18"/>
        </w:rPr>
        <w:t>21’</w:t>
      </w:r>
      <w:r w:rsidRPr="001555B5">
        <w:rPr>
          <w:sz w:val="18"/>
          <w:szCs w:val="18"/>
        </w:rPr>
        <w:t>, viewed 3 September 2021, &lt;</w:t>
      </w:r>
      <w:hyperlink r:id="rId2" w:history="1">
        <w:r w:rsidRPr="002C2F43">
          <w:rPr>
            <w:rStyle w:val="Hyperlink"/>
            <w:sz w:val="18"/>
            <w:szCs w:val="18"/>
          </w:rPr>
          <w:t>https://aoninsights.com.au/wp-content/uploads/Cyber-Insurance-Market-Insights-Q1-2021-Final.pdf</w:t>
        </w:r>
      </w:hyperlink>
      <w:r w:rsidRPr="001555B5">
        <w:rPr>
          <w:rStyle w:val="Hyperlink"/>
          <w:color w:val="auto"/>
          <w:sz w:val="18"/>
          <w:szCs w:val="18"/>
        </w:rPr>
        <w:t>&gt;</w:t>
      </w:r>
    </w:p>
  </w:footnote>
  <w:footnote w:id="19">
    <w:p w14:paraId="57C7279A" w14:textId="7872C66E" w:rsidR="007537AC" w:rsidRDefault="007537AC">
      <w:pPr>
        <w:pStyle w:val="FootnoteText"/>
      </w:pPr>
      <w:r>
        <w:rPr>
          <w:rStyle w:val="FootnoteReference"/>
        </w:rPr>
        <w:footnoteRef/>
      </w:r>
      <w:r w:rsidRPr="001555B5">
        <w:rPr>
          <w:sz w:val="18"/>
          <w:szCs w:val="18"/>
        </w:rPr>
        <w:t xml:space="preserve">Marsh 2021, </w:t>
      </w:r>
      <w:r>
        <w:rPr>
          <w:sz w:val="18"/>
          <w:szCs w:val="18"/>
        </w:rPr>
        <w:t>‘</w:t>
      </w:r>
      <w:r w:rsidRPr="001555B5">
        <w:rPr>
          <w:sz w:val="18"/>
          <w:szCs w:val="18"/>
        </w:rPr>
        <w:t>Cyber Insurance Market Recap 2020</w:t>
      </w:r>
      <w:r>
        <w:rPr>
          <w:sz w:val="18"/>
          <w:szCs w:val="18"/>
        </w:rPr>
        <w:t>’</w:t>
      </w:r>
      <w:r w:rsidRPr="001555B5">
        <w:rPr>
          <w:sz w:val="18"/>
          <w:szCs w:val="18"/>
        </w:rPr>
        <w:t xml:space="preserve">, </w:t>
      </w:r>
      <w:r>
        <w:rPr>
          <w:sz w:val="18"/>
          <w:szCs w:val="18"/>
        </w:rPr>
        <w:t>pg. 2</w:t>
      </w:r>
    </w:p>
  </w:footnote>
  <w:footnote w:id="20">
    <w:p w14:paraId="0073F960" w14:textId="58594664" w:rsidR="007537AC" w:rsidRPr="00E55B5B" w:rsidRDefault="007537AC">
      <w:pPr>
        <w:pStyle w:val="FootnoteText"/>
        <w:rPr>
          <w:sz w:val="18"/>
          <w:szCs w:val="18"/>
        </w:rPr>
      </w:pPr>
      <w:r>
        <w:rPr>
          <w:rStyle w:val="FootnoteReference"/>
        </w:rPr>
        <w:footnoteRef/>
      </w:r>
      <w:r w:rsidRPr="00E55B5B">
        <w:rPr>
          <w:sz w:val="18"/>
          <w:szCs w:val="18"/>
        </w:rPr>
        <w:t>Fitch Ratings 2021, ‘Sharply Rising Cyber Insurance Claims Signal Further Risk Challenges’, April 2021, viewed 1 September 2021, &lt;</w:t>
      </w:r>
      <w:hyperlink r:id="rId3" w:history="1">
        <w:r w:rsidRPr="00E55B5B">
          <w:rPr>
            <w:rStyle w:val="Hyperlink"/>
            <w:sz w:val="18"/>
            <w:szCs w:val="18"/>
          </w:rPr>
          <w:t>https://www.fitchratings.com/research/insurance/sharply-rising-cyber-insurance-claims-signal-further-risk-challenges-15-04-2021</w:t>
        </w:r>
      </w:hyperlink>
      <w:r w:rsidRPr="00E55B5B">
        <w:rPr>
          <w:sz w:val="18"/>
          <w:szCs w:val="18"/>
        </w:rPr>
        <w:t>&gt;</w:t>
      </w:r>
    </w:p>
  </w:footnote>
  <w:footnote w:id="21">
    <w:p w14:paraId="54C5C5D7" w14:textId="2A753074" w:rsidR="007537AC" w:rsidRPr="00E55B5B" w:rsidRDefault="007537AC" w:rsidP="007516E8">
      <w:pPr>
        <w:pStyle w:val="FootnoteText"/>
        <w:rPr>
          <w:sz w:val="18"/>
          <w:szCs w:val="18"/>
        </w:rPr>
      </w:pPr>
      <w:r w:rsidRPr="00E55B5B">
        <w:rPr>
          <w:rStyle w:val="FootnoteReference"/>
          <w:sz w:val="18"/>
          <w:szCs w:val="18"/>
        </w:rPr>
        <w:footnoteRef/>
      </w:r>
      <w:r w:rsidRPr="00E55B5B">
        <w:rPr>
          <w:sz w:val="18"/>
          <w:szCs w:val="18"/>
        </w:rPr>
        <w:t xml:space="preserve">AustCyber 2020, </w:t>
      </w:r>
      <w:r>
        <w:rPr>
          <w:sz w:val="18"/>
          <w:szCs w:val="18"/>
        </w:rPr>
        <w:t>‘</w:t>
      </w:r>
      <w:r w:rsidRPr="00E55B5B">
        <w:rPr>
          <w:sz w:val="18"/>
          <w:szCs w:val="18"/>
        </w:rPr>
        <w:t>Australia’s Cyber Security Sector Competitiveness Plan 2020</w:t>
      </w:r>
      <w:r>
        <w:rPr>
          <w:sz w:val="18"/>
          <w:szCs w:val="18"/>
        </w:rPr>
        <w:t>’</w:t>
      </w:r>
      <w:r w:rsidRPr="00E55B5B">
        <w:rPr>
          <w:sz w:val="18"/>
          <w:szCs w:val="18"/>
        </w:rPr>
        <w:t>, viewed 1 September &lt;</w:t>
      </w:r>
      <w:hyperlink r:id="rId4" w:history="1">
        <w:r w:rsidRPr="00E55B5B">
          <w:rPr>
            <w:rStyle w:val="Hyperlink"/>
            <w:sz w:val="18"/>
            <w:szCs w:val="18"/>
          </w:rPr>
          <w:t>https://www.austcyber.com/resources/sector-competitiveness-plan/chapter1</w:t>
        </w:r>
      </w:hyperlink>
      <w:r w:rsidRPr="00E55B5B">
        <w:rPr>
          <w:sz w:val="18"/>
          <w:szCs w:val="18"/>
        </w:rPr>
        <w:t>&gt;</w:t>
      </w:r>
    </w:p>
  </w:footnote>
  <w:footnote w:id="22">
    <w:p w14:paraId="7F5AE164" w14:textId="77777777" w:rsidR="007537AC" w:rsidRPr="00E55B5B" w:rsidRDefault="007537AC" w:rsidP="00723486">
      <w:pPr>
        <w:pStyle w:val="FootnoteText"/>
        <w:rPr>
          <w:sz w:val="18"/>
          <w:szCs w:val="18"/>
        </w:rPr>
      </w:pPr>
      <w:r w:rsidRPr="00E55B5B">
        <w:rPr>
          <w:rStyle w:val="FootnoteReference"/>
          <w:sz w:val="18"/>
          <w:szCs w:val="18"/>
        </w:rPr>
        <w:footnoteRef/>
      </w:r>
      <w:r w:rsidRPr="00E55B5B">
        <w:rPr>
          <w:sz w:val="18"/>
          <w:szCs w:val="18"/>
        </w:rPr>
        <w:t xml:space="preserve">Australian Prudential Regulatory Authority 2019, ‘CPS 234’, July 2019 </w:t>
      </w:r>
    </w:p>
  </w:footnote>
  <w:footnote w:id="23">
    <w:p w14:paraId="474F220A" w14:textId="0F929FAA" w:rsidR="007537AC" w:rsidRPr="00E55B5B" w:rsidRDefault="007537AC">
      <w:pPr>
        <w:pStyle w:val="FootnoteText"/>
        <w:rPr>
          <w:sz w:val="18"/>
          <w:szCs w:val="18"/>
        </w:rPr>
      </w:pPr>
      <w:r w:rsidRPr="00E55B5B">
        <w:rPr>
          <w:rStyle w:val="FootnoteReference"/>
          <w:sz w:val="18"/>
          <w:szCs w:val="18"/>
        </w:rPr>
        <w:footnoteRef/>
      </w:r>
      <w:r w:rsidRPr="00E55B5B">
        <w:rPr>
          <w:sz w:val="18"/>
          <w:szCs w:val="18"/>
        </w:rPr>
        <w:t xml:space="preserve">Department of Home Affairs 2021, </w:t>
      </w:r>
      <w:r>
        <w:rPr>
          <w:sz w:val="18"/>
          <w:szCs w:val="18"/>
        </w:rPr>
        <w:t>‘</w:t>
      </w:r>
      <w:r w:rsidRPr="00E55B5B">
        <w:rPr>
          <w:sz w:val="18"/>
          <w:szCs w:val="18"/>
        </w:rPr>
        <w:t>Voluntary Code of Practice</w:t>
      </w:r>
      <w:r>
        <w:rPr>
          <w:sz w:val="18"/>
          <w:szCs w:val="18"/>
        </w:rPr>
        <w:t>’</w:t>
      </w:r>
      <w:r w:rsidRPr="00E55B5B">
        <w:rPr>
          <w:sz w:val="18"/>
          <w:szCs w:val="18"/>
        </w:rPr>
        <w:t>, viewed 2 September 2021, &lt;</w:t>
      </w:r>
      <w:hyperlink r:id="rId5" w:history="1">
        <w:r w:rsidRPr="00E55B5B">
          <w:rPr>
            <w:rStyle w:val="Hyperlink"/>
            <w:sz w:val="18"/>
            <w:szCs w:val="18"/>
          </w:rPr>
          <w:t>https://www.homeaffairs.gov.au/reports-and-publications/submissions-and-discussion-papers/code-of-practice</w:t>
        </w:r>
      </w:hyperlink>
      <w:r w:rsidRPr="00E55B5B">
        <w:rPr>
          <w:sz w:val="18"/>
          <w:szCs w:val="18"/>
        </w:rPr>
        <w:t>&gt;</w:t>
      </w:r>
    </w:p>
  </w:footnote>
  <w:footnote w:id="24">
    <w:p w14:paraId="0FEC9655" w14:textId="07FCEF50" w:rsidR="007537AC" w:rsidRPr="00E55B5B" w:rsidRDefault="007537AC" w:rsidP="00CE4557">
      <w:pPr>
        <w:pStyle w:val="FootnoteText"/>
        <w:rPr>
          <w:sz w:val="18"/>
          <w:szCs w:val="18"/>
        </w:rPr>
      </w:pPr>
      <w:r w:rsidRPr="00E55B5B">
        <w:rPr>
          <w:rStyle w:val="FootnoteReference"/>
          <w:sz w:val="18"/>
          <w:szCs w:val="18"/>
        </w:rPr>
        <w:footnoteRef/>
      </w:r>
      <w:r>
        <w:rPr>
          <w:sz w:val="18"/>
          <w:szCs w:val="18"/>
        </w:rPr>
        <w:t>Australian Parliament House 2020, viewed 10 September 2021 &lt;</w:t>
      </w:r>
      <w:r w:rsidRPr="00E30EE6">
        <w:rPr>
          <w:sz w:val="18"/>
          <w:szCs w:val="18"/>
        </w:rPr>
        <w:t>https://parlinfo.aph.gov.au/parlInfo/search/display/display.w3p;query=Id%3A%22legislation%2Fbillhome%2Fr6657%22</w:t>
      </w:r>
      <w:r>
        <w:rPr>
          <w:sz w:val="18"/>
          <w:szCs w:val="18"/>
        </w:rPr>
        <w:t>&gt;</w:t>
      </w:r>
      <w:r w:rsidRPr="00E55B5B">
        <w:rPr>
          <w:rStyle w:val="Hyperlink"/>
          <w:sz w:val="18"/>
          <w:szCs w:val="18"/>
        </w:rPr>
        <w:t>&gt;</w:t>
      </w:r>
    </w:p>
  </w:footnote>
  <w:footnote w:id="25">
    <w:p w14:paraId="7B4FB2AB" w14:textId="02912F16" w:rsidR="007537AC" w:rsidRPr="00E55B5B" w:rsidRDefault="007537AC">
      <w:pPr>
        <w:pStyle w:val="FootnoteText"/>
        <w:rPr>
          <w:sz w:val="18"/>
          <w:szCs w:val="18"/>
        </w:rPr>
      </w:pPr>
      <w:r w:rsidRPr="00E55B5B">
        <w:rPr>
          <w:rStyle w:val="FootnoteReference"/>
          <w:sz w:val="18"/>
          <w:szCs w:val="18"/>
        </w:rPr>
        <w:footnoteRef/>
      </w:r>
      <w:r w:rsidRPr="00E55B5B">
        <w:rPr>
          <w:sz w:val="18"/>
          <w:szCs w:val="18"/>
        </w:rPr>
        <w:t>Attorney General’s Department 2020, ‘Privacy Act Review Issues Paper’, October 2020</w:t>
      </w:r>
    </w:p>
  </w:footnote>
  <w:footnote w:id="26">
    <w:p w14:paraId="17899842" w14:textId="555D67C8" w:rsidR="007537AC" w:rsidRPr="00E55B5B" w:rsidRDefault="007537AC" w:rsidP="00CA6EE3">
      <w:pPr>
        <w:pStyle w:val="FootnoteText"/>
        <w:rPr>
          <w:sz w:val="18"/>
          <w:szCs w:val="18"/>
        </w:rPr>
      </w:pPr>
      <w:r w:rsidRPr="00E55B5B">
        <w:rPr>
          <w:rStyle w:val="FootnoteReference"/>
          <w:sz w:val="18"/>
          <w:szCs w:val="18"/>
        </w:rPr>
        <w:footnoteRef/>
      </w:r>
      <w:r w:rsidRPr="00E55B5B">
        <w:rPr>
          <w:sz w:val="18"/>
          <w:szCs w:val="18"/>
        </w:rPr>
        <w:t>Home Affairs 2021, ‘Strengthening Australia’s cybersecurity regulations and incentives’, July 2021</w:t>
      </w:r>
    </w:p>
  </w:footnote>
  <w:footnote w:id="27">
    <w:p w14:paraId="61DE2A41" w14:textId="297D59B3" w:rsidR="007537AC" w:rsidRPr="00E55B5B" w:rsidRDefault="007537AC">
      <w:pPr>
        <w:pStyle w:val="FootnoteText"/>
        <w:rPr>
          <w:sz w:val="18"/>
          <w:szCs w:val="18"/>
        </w:rPr>
      </w:pPr>
      <w:r w:rsidRPr="00E55B5B">
        <w:rPr>
          <w:rStyle w:val="FootnoteReference"/>
          <w:sz w:val="18"/>
          <w:szCs w:val="18"/>
        </w:rPr>
        <w:footnoteRef/>
      </w:r>
      <w:r w:rsidRPr="00E55B5B">
        <w:rPr>
          <w:sz w:val="18"/>
          <w:szCs w:val="18"/>
        </w:rPr>
        <w:t>Home Affairs 2020, ‘Cyber Security Strategy 2020’, pg.13, August 2020</w:t>
      </w:r>
    </w:p>
  </w:footnote>
  <w:footnote w:id="28">
    <w:p w14:paraId="7FFBD79F" w14:textId="0ED024A2" w:rsidR="007537AC" w:rsidRPr="00E55B5B" w:rsidRDefault="007537AC">
      <w:pPr>
        <w:pStyle w:val="FootnoteText"/>
        <w:rPr>
          <w:sz w:val="18"/>
          <w:szCs w:val="18"/>
        </w:rPr>
      </w:pPr>
      <w:r w:rsidRPr="00E55B5B">
        <w:rPr>
          <w:rStyle w:val="FootnoteReference"/>
          <w:sz w:val="18"/>
          <w:szCs w:val="18"/>
        </w:rPr>
        <w:footnoteRef/>
      </w:r>
      <w:r w:rsidRPr="00E55B5B">
        <w:rPr>
          <w:sz w:val="18"/>
          <w:szCs w:val="18"/>
        </w:rPr>
        <w:t>Purtell, J (Australian Broadcasting Corporation), ‘Australian organisations are quietly paying hackers millions in a 'tsunami of cyber crime’, viewed 1 September 2021, &lt;</w:t>
      </w:r>
      <w:hyperlink r:id="rId6" w:history="1">
        <w:r w:rsidRPr="00E55B5B">
          <w:rPr>
            <w:rStyle w:val="Hyperlink"/>
            <w:sz w:val="18"/>
            <w:szCs w:val="18"/>
          </w:rPr>
          <w:t>https://www.abc.net.au/news/science/2021-07-16/australian-organisations-paying-millions-ransomware-hackers/100291542</w:t>
        </w:r>
      </w:hyperlink>
      <w:r w:rsidRPr="00E55B5B">
        <w:rPr>
          <w:sz w:val="18"/>
          <w:szCs w:val="18"/>
        </w:rPr>
        <w:t>&gt;</w:t>
      </w:r>
    </w:p>
  </w:footnote>
  <w:footnote w:id="29">
    <w:p w14:paraId="285ADEAD" w14:textId="7301D829" w:rsidR="007537AC" w:rsidRDefault="007537AC">
      <w:pPr>
        <w:pStyle w:val="FootnoteText"/>
      </w:pPr>
      <w:r w:rsidRPr="00E55B5B">
        <w:rPr>
          <w:rStyle w:val="FootnoteReference"/>
          <w:sz w:val="18"/>
          <w:szCs w:val="18"/>
        </w:rPr>
        <w:footnoteRef/>
      </w:r>
      <w:r w:rsidRPr="00E55B5B">
        <w:rPr>
          <w:sz w:val="18"/>
          <w:szCs w:val="18"/>
        </w:rPr>
        <w:t>IBM 2021, ‘Data Breach Report 2021’, July 2021</w:t>
      </w:r>
    </w:p>
  </w:footnote>
  <w:footnote w:id="30">
    <w:p w14:paraId="5F6BA8C0" w14:textId="07223143" w:rsidR="007537AC" w:rsidRDefault="007537AC">
      <w:pPr>
        <w:pStyle w:val="FootnoteText"/>
      </w:pPr>
      <w:r>
        <w:rPr>
          <w:rStyle w:val="FootnoteReference"/>
        </w:rPr>
        <w:footnoteRef/>
      </w:r>
      <w:r>
        <w:t xml:space="preserve"> </w:t>
      </w:r>
      <w:r>
        <w:rPr>
          <w:sz w:val="18"/>
          <w:szCs w:val="18"/>
        </w:rPr>
        <w:t>Finity</w:t>
      </w:r>
      <w:r w:rsidRPr="001555B5">
        <w:rPr>
          <w:sz w:val="18"/>
          <w:szCs w:val="18"/>
        </w:rPr>
        <w:t xml:space="preserve"> 2018, </w:t>
      </w:r>
      <w:r>
        <w:rPr>
          <w:sz w:val="18"/>
          <w:szCs w:val="18"/>
        </w:rPr>
        <w:t>‘</w:t>
      </w:r>
      <w:r w:rsidRPr="00E80B2B">
        <w:rPr>
          <w:sz w:val="18"/>
          <w:szCs w:val="18"/>
        </w:rPr>
        <w:t>2018 Review of Terrorism Insurance</w:t>
      </w:r>
      <w:r>
        <w:rPr>
          <w:sz w:val="18"/>
          <w:szCs w:val="18"/>
        </w:rPr>
        <w:t>’</w:t>
      </w:r>
      <w:r w:rsidRPr="001555B5">
        <w:rPr>
          <w:sz w:val="18"/>
          <w:szCs w:val="18"/>
        </w:rPr>
        <w:t>,</w:t>
      </w:r>
      <w:r>
        <w:rPr>
          <w:sz w:val="18"/>
          <w:szCs w:val="18"/>
        </w:rPr>
        <w:t xml:space="preserve"> p. 10</w:t>
      </w:r>
      <w:r w:rsidRPr="001555B5">
        <w:rPr>
          <w:sz w:val="18"/>
          <w:szCs w:val="18"/>
        </w:rPr>
        <w:t>.</w:t>
      </w:r>
    </w:p>
  </w:footnote>
  <w:footnote w:id="31">
    <w:p w14:paraId="6CE4FB4B" w14:textId="5EE79DDD" w:rsidR="007537AC" w:rsidRPr="00393224" w:rsidRDefault="007537AC">
      <w:pPr>
        <w:pStyle w:val="FootnoteText"/>
      </w:pPr>
      <w:r w:rsidRPr="005559D5">
        <w:rPr>
          <w:rStyle w:val="FootnoteReference"/>
          <w:sz w:val="18"/>
          <w:szCs w:val="18"/>
        </w:rPr>
        <w:footnoteRef/>
      </w:r>
      <w:r w:rsidRPr="005559D5">
        <w:rPr>
          <w:sz w:val="18"/>
          <w:szCs w:val="18"/>
        </w:rPr>
        <w:t xml:space="preserve"> Australian Reinsurance Pool Corporation 2019, ‘Board Charter’, p.</w:t>
      </w:r>
      <w:r>
        <w:rPr>
          <w:sz w:val="18"/>
          <w:szCs w:val="18"/>
        </w:rPr>
        <w:t xml:space="preserve"> </w:t>
      </w:r>
      <w:r w:rsidRPr="005559D5">
        <w:rPr>
          <w:sz w:val="18"/>
          <w:szCs w:val="18"/>
        </w:rPr>
        <w:t>4</w:t>
      </w:r>
    </w:p>
  </w:footnote>
  <w:footnote w:id="32">
    <w:p w14:paraId="67EA45D2" w14:textId="4E7B4C64" w:rsidR="007537AC" w:rsidRDefault="007537AC">
      <w:pPr>
        <w:pStyle w:val="FootnoteText"/>
      </w:pPr>
      <w:r>
        <w:rPr>
          <w:rStyle w:val="FootnoteReference"/>
        </w:rPr>
        <w:footnoteRef/>
      </w:r>
      <w:r>
        <w:t xml:space="preserve"> </w:t>
      </w:r>
      <w:r w:rsidRPr="00F1340B">
        <w:rPr>
          <w:sz w:val="18"/>
          <w:szCs w:val="18"/>
        </w:rPr>
        <w:t>Australian National Audit Office 2019, ‘Management of the Terrorism Reinsurance Scheme’, pg.8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4655F" w14:textId="797ABDF6" w:rsidR="007537AC" w:rsidRPr="001F3912" w:rsidRDefault="00597FC3" w:rsidP="00A12F62">
    <w:pPr>
      <w:pStyle w:val="HeaderEven"/>
    </w:pPr>
    <w:r>
      <w:fldChar w:fldCharType="begin"/>
    </w:r>
    <w:r>
      <w:instrText xml:space="preserve"> STYLEREF  "Title"  \* MERGEFORMAT </w:instrText>
    </w:r>
    <w:r>
      <w:fldChar w:fldCharType="separate"/>
    </w:r>
    <w:r>
      <w:rPr>
        <w:noProof/>
      </w:rPr>
      <w:t>Terrorism Insurance Act Review</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D7826" w14:textId="77777777" w:rsidR="007537AC" w:rsidRPr="00F836F9" w:rsidRDefault="007537AC" w:rsidP="00F83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167AB" w14:textId="77777777" w:rsidR="007537AC" w:rsidRDefault="007537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45610" w14:textId="7CCD7CAB" w:rsidR="007537AC" w:rsidRPr="00F60198" w:rsidRDefault="00597FC3" w:rsidP="00A12F62">
    <w:pPr>
      <w:pStyle w:val="HeaderOdd"/>
    </w:pPr>
    <w:r>
      <w:fldChar w:fldCharType="begin"/>
    </w:r>
    <w:r>
      <w:instrText xml:space="preserve"> STYLEREF  "Heading 1"  \* MERGEFORMAT </w:instrText>
    </w:r>
    <w:r>
      <w:fldChar w:fldCharType="separate"/>
    </w:r>
    <w:r>
      <w:rPr>
        <w:noProof/>
      </w:rPr>
      <w:t>Executive Summary</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23B71" w14:textId="6E707BD6" w:rsidR="007537AC" w:rsidRPr="001F3912" w:rsidRDefault="00597FC3" w:rsidP="00A12F62">
    <w:pPr>
      <w:pStyle w:val="HeaderEven"/>
    </w:pPr>
    <w:r>
      <w:fldChar w:fldCharType="begin"/>
    </w:r>
    <w:r>
      <w:instrText xml:space="preserve"> STYLEREF  Title</w:instrText>
    </w:r>
    <w:r>
      <w:instrText xml:space="preserve">  \* MERGEFORMAT </w:instrText>
    </w:r>
    <w:r>
      <w:fldChar w:fldCharType="separate"/>
    </w:r>
    <w:r>
      <w:rPr>
        <w:noProof/>
      </w:rPr>
      <w:t>Terrorism Insurance Act Review</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B3CD2" w14:textId="3132F5DE" w:rsidR="007537AC" w:rsidRPr="001F3912" w:rsidRDefault="00597FC3" w:rsidP="00A12F62">
    <w:pPr>
      <w:pStyle w:val="HeaderOdd"/>
    </w:pPr>
    <w:r>
      <w:fldChar w:fldCharType="begin"/>
    </w:r>
    <w:r>
      <w:instrText xml:space="preserve"> STYLEREF  "Heading 1"  \* MERGEFORMAT </w:instrText>
    </w:r>
    <w:r>
      <w:fldChar w:fldCharType="separate"/>
    </w:r>
    <w:r>
      <w:rPr>
        <w:noProof/>
      </w:rPr>
      <w:t>Appendix A: Terms of Reference</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A0D3B" w14:textId="77777777" w:rsidR="007537AC" w:rsidRDefault="007537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9BE024A"/>
    <w:multiLevelType w:val="hybridMultilevel"/>
    <w:tmpl w:val="2496E412"/>
    <w:lvl w:ilvl="0" w:tplc="435467B8">
      <w:start w:val="1"/>
      <w:numFmt w:val="bullet"/>
      <w:lvlText w:val="•"/>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450D49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385DF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E0E56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1AA65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AC677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74C14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E6767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7AD9E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8B6BD4"/>
    <w:multiLevelType w:val="hybridMultilevel"/>
    <w:tmpl w:val="18D4002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B2E65AB"/>
    <w:multiLevelType w:val="hybridMultilevel"/>
    <w:tmpl w:val="1584D4A0"/>
    <w:lvl w:ilvl="0" w:tplc="9CE46B8E">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CA42A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F0503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020C5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0055F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3671B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26E75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DA68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3A47B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4" w15:restartNumberingAfterBreak="0">
    <w:nsid w:val="510D2021"/>
    <w:multiLevelType w:val="multilevel"/>
    <w:tmpl w:val="72F8140E"/>
    <w:numStyleLink w:val="OutlineList"/>
  </w:abstractNum>
  <w:abstractNum w:abstractNumId="15" w15:restartNumberingAfterBreak="0">
    <w:nsid w:val="519A5527"/>
    <w:multiLevelType w:val="hybridMultilevel"/>
    <w:tmpl w:val="7C5416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634FAF"/>
    <w:multiLevelType w:val="multilevel"/>
    <w:tmpl w:val="37FACBFE"/>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B41868"/>
    <w:multiLevelType w:val="hybridMultilevel"/>
    <w:tmpl w:val="2A1A8F30"/>
    <w:lvl w:ilvl="0" w:tplc="9278AF2E">
      <w:start w:val="1"/>
      <w:numFmt w:val="bullet"/>
      <w:lvlText w:val="•"/>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20980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6E419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FEF41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34F1F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361FB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641F6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62605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285F3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A1C5FCC"/>
    <w:multiLevelType w:val="multilevel"/>
    <w:tmpl w:val="68E8EDE4"/>
    <w:name w:val="StandardBulletedList"/>
    <w:lvl w:ilvl="0">
      <w:start w:val="1"/>
      <w:numFmt w:val="bullet"/>
      <w:lvlText w:val="•"/>
      <w:lvlJc w:val="left"/>
      <w:pPr>
        <w:tabs>
          <w:tab w:val="num" w:pos="520"/>
        </w:tabs>
        <w:ind w:left="520" w:hanging="520"/>
      </w:pPr>
      <w:rPr>
        <w:rFonts w:ascii="Times New Roman" w:hAnsi="Times New Roman" w:cs="Times New Roman" w:hint="default"/>
        <w:b/>
        <w:i w:val="0"/>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B042A32"/>
    <w:multiLevelType w:val="hybridMultilevel"/>
    <w:tmpl w:val="0C78954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9"/>
  </w:num>
  <w:num w:numId="2">
    <w:abstractNumId w:val="0"/>
  </w:num>
  <w:num w:numId="3">
    <w:abstractNumId w:val="11"/>
  </w:num>
  <w:num w:numId="4">
    <w:abstractNumId w:val="3"/>
  </w:num>
  <w:num w:numId="5">
    <w:abstractNumId w:val="4"/>
  </w:num>
  <w:num w:numId="6">
    <w:abstractNumId w:val="14"/>
  </w:num>
  <w:num w:numId="7">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6"/>
  </w:num>
  <w:num w:numId="9">
    <w:abstractNumId w:val="2"/>
  </w:num>
  <w:num w:numId="10">
    <w:abstractNumId w:val="8"/>
  </w:num>
  <w:num w:numId="11">
    <w:abstractNumId w:val="22"/>
  </w:num>
  <w:num w:numId="12">
    <w:abstractNumId w:val="14"/>
  </w:num>
  <w:num w:numId="13">
    <w:abstractNumId w:val="23"/>
  </w:num>
  <w:num w:numId="14">
    <w:abstractNumId w:val="13"/>
  </w:num>
  <w:num w:numId="15">
    <w:abstractNumId w:val="7"/>
  </w:num>
  <w:num w:numId="16">
    <w:abstractNumId w:val="17"/>
  </w:num>
  <w:num w:numId="17">
    <w:abstractNumId w:val="10"/>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5"/>
  </w:num>
  <w:num w:numId="21">
    <w:abstractNumId w:val="1"/>
  </w:num>
  <w:num w:numId="22">
    <w:abstractNumId w:val="5"/>
  </w:num>
  <w:num w:numId="23">
    <w:abstractNumId w:val="20"/>
  </w:num>
  <w:num w:numId="24">
    <w:abstractNumId w:val="16"/>
  </w:num>
  <w:num w:numId="25">
    <w:abstractNumId w:val="1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proofState w:spelling="clean" w:grammar="clean"/>
  <w:attachedTemplate r:id="rId1"/>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AF9"/>
    <w:rsid w:val="00003025"/>
    <w:rsid w:val="00003CB7"/>
    <w:rsid w:val="0000495A"/>
    <w:rsid w:val="00006B53"/>
    <w:rsid w:val="00007598"/>
    <w:rsid w:val="00011725"/>
    <w:rsid w:val="000128BB"/>
    <w:rsid w:val="00012C62"/>
    <w:rsid w:val="00012D28"/>
    <w:rsid w:val="00012DF4"/>
    <w:rsid w:val="0001396A"/>
    <w:rsid w:val="00014496"/>
    <w:rsid w:val="00014666"/>
    <w:rsid w:val="00015BEA"/>
    <w:rsid w:val="00022CD7"/>
    <w:rsid w:val="00022EA3"/>
    <w:rsid w:val="0002544D"/>
    <w:rsid w:val="00025495"/>
    <w:rsid w:val="00025AE4"/>
    <w:rsid w:val="00025DAF"/>
    <w:rsid w:val="00030710"/>
    <w:rsid w:val="0003209A"/>
    <w:rsid w:val="000329F0"/>
    <w:rsid w:val="00032C5B"/>
    <w:rsid w:val="000333EA"/>
    <w:rsid w:val="000377B7"/>
    <w:rsid w:val="0004019E"/>
    <w:rsid w:val="0004274D"/>
    <w:rsid w:val="00043348"/>
    <w:rsid w:val="00044814"/>
    <w:rsid w:val="0004483F"/>
    <w:rsid w:val="00044F91"/>
    <w:rsid w:val="000467C3"/>
    <w:rsid w:val="00047192"/>
    <w:rsid w:val="00047A2F"/>
    <w:rsid w:val="0005138B"/>
    <w:rsid w:val="000522B7"/>
    <w:rsid w:val="00056880"/>
    <w:rsid w:val="000571E2"/>
    <w:rsid w:val="000573E5"/>
    <w:rsid w:val="00057B3B"/>
    <w:rsid w:val="000621D4"/>
    <w:rsid w:val="00063B77"/>
    <w:rsid w:val="00065066"/>
    <w:rsid w:val="0006549C"/>
    <w:rsid w:val="000655C9"/>
    <w:rsid w:val="00066389"/>
    <w:rsid w:val="00066526"/>
    <w:rsid w:val="000671EA"/>
    <w:rsid w:val="000675D1"/>
    <w:rsid w:val="00070501"/>
    <w:rsid w:val="00072792"/>
    <w:rsid w:val="00072886"/>
    <w:rsid w:val="000734A7"/>
    <w:rsid w:val="00073521"/>
    <w:rsid w:val="00073A87"/>
    <w:rsid w:val="00074EC1"/>
    <w:rsid w:val="00077005"/>
    <w:rsid w:val="000775DE"/>
    <w:rsid w:val="000813FD"/>
    <w:rsid w:val="00082C58"/>
    <w:rsid w:val="00083627"/>
    <w:rsid w:val="000846EF"/>
    <w:rsid w:val="00085A40"/>
    <w:rsid w:val="00085B0B"/>
    <w:rsid w:val="00087FAF"/>
    <w:rsid w:val="000908DD"/>
    <w:rsid w:val="000922D4"/>
    <w:rsid w:val="00095F5C"/>
    <w:rsid w:val="000971AC"/>
    <w:rsid w:val="000A00A9"/>
    <w:rsid w:val="000A22CA"/>
    <w:rsid w:val="000A4AC8"/>
    <w:rsid w:val="000A730E"/>
    <w:rsid w:val="000B2BF5"/>
    <w:rsid w:val="000B4D02"/>
    <w:rsid w:val="000C00F5"/>
    <w:rsid w:val="000C0B99"/>
    <w:rsid w:val="000C0C04"/>
    <w:rsid w:val="000C195C"/>
    <w:rsid w:val="000C24FB"/>
    <w:rsid w:val="000C2670"/>
    <w:rsid w:val="000C34D3"/>
    <w:rsid w:val="000C571D"/>
    <w:rsid w:val="000C5F40"/>
    <w:rsid w:val="000D03B0"/>
    <w:rsid w:val="000D5A78"/>
    <w:rsid w:val="000D61DE"/>
    <w:rsid w:val="000E0B74"/>
    <w:rsid w:val="000E3102"/>
    <w:rsid w:val="000E3489"/>
    <w:rsid w:val="000E3902"/>
    <w:rsid w:val="000E4291"/>
    <w:rsid w:val="000E488C"/>
    <w:rsid w:val="000E7901"/>
    <w:rsid w:val="000F0804"/>
    <w:rsid w:val="000F516C"/>
    <w:rsid w:val="000F6CD8"/>
    <w:rsid w:val="0010028E"/>
    <w:rsid w:val="00100A45"/>
    <w:rsid w:val="001044EE"/>
    <w:rsid w:val="001100B4"/>
    <w:rsid w:val="001116E9"/>
    <w:rsid w:val="00113197"/>
    <w:rsid w:val="00117B7C"/>
    <w:rsid w:val="00120F4C"/>
    <w:rsid w:val="00121DAE"/>
    <w:rsid w:val="00123F72"/>
    <w:rsid w:val="00131DC3"/>
    <w:rsid w:val="00135A40"/>
    <w:rsid w:val="00135E4C"/>
    <w:rsid w:val="00136218"/>
    <w:rsid w:val="00136C9C"/>
    <w:rsid w:val="001373D9"/>
    <w:rsid w:val="001373F5"/>
    <w:rsid w:val="00142916"/>
    <w:rsid w:val="00143080"/>
    <w:rsid w:val="001431F8"/>
    <w:rsid w:val="00144A9F"/>
    <w:rsid w:val="001526BC"/>
    <w:rsid w:val="00154448"/>
    <w:rsid w:val="001555B5"/>
    <w:rsid w:val="00155C56"/>
    <w:rsid w:val="0015624F"/>
    <w:rsid w:val="00156447"/>
    <w:rsid w:val="0015721A"/>
    <w:rsid w:val="0015726C"/>
    <w:rsid w:val="00157284"/>
    <w:rsid w:val="001574C0"/>
    <w:rsid w:val="001606CF"/>
    <w:rsid w:val="0016128D"/>
    <w:rsid w:val="00162BA6"/>
    <w:rsid w:val="00164FC4"/>
    <w:rsid w:val="0016572A"/>
    <w:rsid w:val="0017089D"/>
    <w:rsid w:val="00170F48"/>
    <w:rsid w:val="001716AC"/>
    <w:rsid w:val="00175395"/>
    <w:rsid w:val="00176AFF"/>
    <w:rsid w:val="00177715"/>
    <w:rsid w:val="001801D5"/>
    <w:rsid w:val="001806A0"/>
    <w:rsid w:val="001811AF"/>
    <w:rsid w:val="00181AC8"/>
    <w:rsid w:val="0018347E"/>
    <w:rsid w:val="00183FB8"/>
    <w:rsid w:val="001879A5"/>
    <w:rsid w:val="0019101A"/>
    <w:rsid w:val="00191115"/>
    <w:rsid w:val="00193B09"/>
    <w:rsid w:val="001972D2"/>
    <w:rsid w:val="001A64FD"/>
    <w:rsid w:val="001A7D75"/>
    <w:rsid w:val="001B0AA2"/>
    <w:rsid w:val="001B0B48"/>
    <w:rsid w:val="001B0ECF"/>
    <w:rsid w:val="001B4BB6"/>
    <w:rsid w:val="001B550C"/>
    <w:rsid w:val="001B6495"/>
    <w:rsid w:val="001C0A13"/>
    <w:rsid w:val="001C0E85"/>
    <w:rsid w:val="001C16C7"/>
    <w:rsid w:val="001C1E8D"/>
    <w:rsid w:val="001C358D"/>
    <w:rsid w:val="001C3F9B"/>
    <w:rsid w:val="001C4CB0"/>
    <w:rsid w:val="001C674C"/>
    <w:rsid w:val="001D1030"/>
    <w:rsid w:val="001D277E"/>
    <w:rsid w:val="001D3DF8"/>
    <w:rsid w:val="001D7E1F"/>
    <w:rsid w:val="001E1250"/>
    <w:rsid w:val="001E28A1"/>
    <w:rsid w:val="001E53D3"/>
    <w:rsid w:val="001E658D"/>
    <w:rsid w:val="001E7CA0"/>
    <w:rsid w:val="001F1154"/>
    <w:rsid w:val="001F1B27"/>
    <w:rsid w:val="001F28A6"/>
    <w:rsid w:val="001F7DCA"/>
    <w:rsid w:val="00201098"/>
    <w:rsid w:val="00202D3B"/>
    <w:rsid w:val="00203376"/>
    <w:rsid w:val="002041B3"/>
    <w:rsid w:val="00210CC2"/>
    <w:rsid w:val="002126D4"/>
    <w:rsid w:val="002152B1"/>
    <w:rsid w:val="00215ABB"/>
    <w:rsid w:val="00220694"/>
    <w:rsid w:val="00220EFD"/>
    <w:rsid w:val="00221EC0"/>
    <w:rsid w:val="00231049"/>
    <w:rsid w:val="002314D2"/>
    <w:rsid w:val="0023305C"/>
    <w:rsid w:val="0023308A"/>
    <w:rsid w:val="0023396C"/>
    <w:rsid w:val="00234365"/>
    <w:rsid w:val="00237AE8"/>
    <w:rsid w:val="00241881"/>
    <w:rsid w:val="00241C95"/>
    <w:rsid w:val="00242533"/>
    <w:rsid w:val="002425DE"/>
    <w:rsid w:val="0024294C"/>
    <w:rsid w:val="00244D7C"/>
    <w:rsid w:val="0024699E"/>
    <w:rsid w:val="002508D3"/>
    <w:rsid w:val="0025462F"/>
    <w:rsid w:val="00255D36"/>
    <w:rsid w:val="002563C1"/>
    <w:rsid w:val="0025652F"/>
    <w:rsid w:val="002570A0"/>
    <w:rsid w:val="00261308"/>
    <w:rsid w:val="00262448"/>
    <w:rsid w:val="00263B6C"/>
    <w:rsid w:val="00263FDC"/>
    <w:rsid w:val="00264208"/>
    <w:rsid w:val="0026471C"/>
    <w:rsid w:val="0026530F"/>
    <w:rsid w:val="0026649B"/>
    <w:rsid w:val="00271715"/>
    <w:rsid w:val="00272939"/>
    <w:rsid w:val="00273055"/>
    <w:rsid w:val="0027362F"/>
    <w:rsid w:val="00273CAA"/>
    <w:rsid w:val="0027590B"/>
    <w:rsid w:val="00281F7A"/>
    <w:rsid w:val="00282187"/>
    <w:rsid w:val="00285969"/>
    <w:rsid w:val="00285B72"/>
    <w:rsid w:val="00286243"/>
    <w:rsid w:val="00286E03"/>
    <w:rsid w:val="0029005C"/>
    <w:rsid w:val="00290097"/>
    <w:rsid w:val="00291CA1"/>
    <w:rsid w:val="00292450"/>
    <w:rsid w:val="00293473"/>
    <w:rsid w:val="0029357B"/>
    <w:rsid w:val="0029582A"/>
    <w:rsid w:val="002969E4"/>
    <w:rsid w:val="00296D97"/>
    <w:rsid w:val="002A662F"/>
    <w:rsid w:val="002A74EF"/>
    <w:rsid w:val="002B2417"/>
    <w:rsid w:val="002B31FD"/>
    <w:rsid w:val="002B362B"/>
    <w:rsid w:val="002B3829"/>
    <w:rsid w:val="002B422F"/>
    <w:rsid w:val="002B48EA"/>
    <w:rsid w:val="002B4F9B"/>
    <w:rsid w:val="002B7659"/>
    <w:rsid w:val="002C22EF"/>
    <w:rsid w:val="002C2F43"/>
    <w:rsid w:val="002C623F"/>
    <w:rsid w:val="002D0A46"/>
    <w:rsid w:val="002D3589"/>
    <w:rsid w:val="002D407A"/>
    <w:rsid w:val="002D431F"/>
    <w:rsid w:val="002E136D"/>
    <w:rsid w:val="002E4483"/>
    <w:rsid w:val="002E454C"/>
    <w:rsid w:val="002E6E64"/>
    <w:rsid w:val="002F20F7"/>
    <w:rsid w:val="002F2BCF"/>
    <w:rsid w:val="002F3979"/>
    <w:rsid w:val="002F3F37"/>
    <w:rsid w:val="002F617F"/>
    <w:rsid w:val="002F69EF"/>
    <w:rsid w:val="00300109"/>
    <w:rsid w:val="003010BB"/>
    <w:rsid w:val="003011AC"/>
    <w:rsid w:val="00301755"/>
    <w:rsid w:val="0030665E"/>
    <w:rsid w:val="00306894"/>
    <w:rsid w:val="00307DF6"/>
    <w:rsid w:val="003108D8"/>
    <w:rsid w:val="003122F4"/>
    <w:rsid w:val="00315252"/>
    <w:rsid w:val="00317067"/>
    <w:rsid w:val="00320505"/>
    <w:rsid w:val="00320BE1"/>
    <w:rsid w:val="0032371A"/>
    <w:rsid w:val="00326393"/>
    <w:rsid w:val="00326586"/>
    <w:rsid w:val="003268D5"/>
    <w:rsid w:val="00330E22"/>
    <w:rsid w:val="0033155F"/>
    <w:rsid w:val="0033300A"/>
    <w:rsid w:val="00333AB3"/>
    <w:rsid w:val="00333D07"/>
    <w:rsid w:val="003342E3"/>
    <w:rsid w:val="0033430B"/>
    <w:rsid w:val="00334EB4"/>
    <w:rsid w:val="0033536E"/>
    <w:rsid w:val="00335A32"/>
    <w:rsid w:val="00341728"/>
    <w:rsid w:val="003448F6"/>
    <w:rsid w:val="00346B7F"/>
    <w:rsid w:val="00350759"/>
    <w:rsid w:val="003526C8"/>
    <w:rsid w:val="0035298C"/>
    <w:rsid w:val="00354D27"/>
    <w:rsid w:val="00355AA9"/>
    <w:rsid w:val="0035738A"/>
    <w:rsid w:val="003602E9"/>
    <w:rsid w:val="00361B15"/>
    <w:rsid w:val="00362F91"/>
    <w:rsid w:val="00364B25"/>
    <w:rsid w:val="00364F51"/>
    <w:rsid w:val="00367DE5"/>
    <w:rsid w:val="0037175A"/>
    <w:rsid w:val="00371940"/>
    <w:rsid w:val="003730E0"/>
    <w:rsid w:val="00373508"/>
    <w:rsid w:val="00374AFB"/>
    <w:rsid w:val="003766F0"/>
    <w:rsid w:val="00376985"/>
    <w:rsid w:val="00380A17"/>
    <w:rsid w:val="00382AB4"/>
    <w:rsid w:val="0038443E"/>
    <w:rsid w:val="00384CE2"/>
    <w:rsid w:val="003858A6"/>
    <w:rsid w:val="003870C5"/>
    <w:rsid w:val="00392DCC"/>
    <w:rsid w:val="00393224"/>
    <w:rsid w:val="00393E8C"/>
    <w:rsid w:val="003951D2"/>
    <w:rsid w:val="003A1D0B"/>
    <w:rsid w:val="003A2D84"/>
    <w:rsid w:val="003A3E51"/>
    <w:rsid w:val="003A5B36"/>
    <w:rsid w:val="003A6BF1"/>
    <w:rsid w:val="003A6F97"/>
    <w:rsid w:val="003B1DBE"/>
    <w:rsid w:val="003B32C7"/>
    <w:rsid w:val="003B7EBB"/>
    <w:rsid w:val="003C0A77"/>
    <w:rsid w:val="003C0ECA"/>
    <w:rsid w:val="003C24B4"/>
    <w:rsid w:val="003C35AC"/>
    <w:rsid w:val="003C629D"/>
    <w:rsid w:val="003C6F86"/>
    <w:rsid w:val="003D0472"/>
    <w:rsid w:val="003D485A"/>
    <w:rsid w:val="003D4FA7"/>
    <w:rsid w:val="003E20D6"/>
    <w:rsid w:val="003E42D4"/>
    <w:rsid w:val="003E486C"/>
    <w:rsid w:val="003E4A83"/>
    <w:rsid w:val="003E4D87"/>
    <w:rsid w:val="003E5AFF"/>
    <w:rsid w:val="003E6A42"/>
    <w:rsid w:val="003F0489"/>
    <w:rsid w:val="003F2FFC"/>
    <w:rsid w:val="003F309B"/>
    <w:rsid w:val="003F4937"/>
    <w:rsid w:val="003F512D"/>
    <w:rsid w:val="003F5B85"/>
    <w:rsid w:val="003F7732"/>
    <w:rsid w:val="0040070D"/>
    <w:rsid w:val="004009C6"/>
    <w:rsid w:val="00401082"/>
    <w:rsid w:val="00401637"/>
    <w:rsid w:val="00404615"/>
    <w:rsid w:val="0040490B"/>
    <w:rsid w:val="00405F1A"/>
    <w:rsid w:val="004062E0"/>
    <w:rsid w:val="004066B1"/>
    <w:rsid w:val="00407302"/>
    <w:rsid w:val="00413BEC"/>
    <w:rsid w:val="00415933"/>
    <w:rsid w:val="00415C87"/>
    <w:rsid w:val="00416762"/>
    <w:rsid w:val="00416E55"/>
    <w:rsid w:val="00420E7D"/>
    <w:rsid w:val="0042518A"/>
    <w:rsid w:val="004276A0"/>
    <w:rsid w:val="00432CE5"/>
    <w:rsid w:val="0044144B"/>
    <w:rsid w:val="00442A3C"/>
    <w:rsid w:val="00443BB9"/>
    <w:rsid w:val="00445265"/>
    <w:rsid w:val="00445DD6"/>
    <w:rsid w:val="00446571"/>
    <w:rsid w:val="00451C79"/>
    <w:rsid w:val="0045268C"/>
    <w:rsid w:val="004549FC"/>
    <w:rsid w:val="004559CE"/>
    <w:rsid w:val="00460E1A"/>
    <w:rsid w:val="00463DF8"/>
    <w:rsid w:val="00464C80"/>
    <w:rsid w:val="00464D63"/>
    <w:rsid w:val="00465B9C"/>
    <w:rsid w:val="004663F1"/>
    <w:rsid w:val="00467FD1"/>
    <w:rsid w:val="0047093C"/>
    <w:rsid w:val="0047265A"/>
    <w:rsid w:val="00475085"/>
    <w:rsid w:val="00475A03"/>
    <w:rsid w:val="00476CF6"/>
    <w:rsid w:val="004778D6"/>
    <w:rsid w:val="00477AA8"/>
    <w:rsid w:val="00482274"/>
    <w:rsid w:val="004840F0"/>
    <w:rsid w:val="00484F5E"/>
    <w:rsid w:val="00485337"/>
    <w:rsid w:val="004872DE"/>
    <w:rsid w:val="00492FCB"/>
    <w:rsid w:val="00493DEA"/>
    <w:rsid w:val="00496EDC"/>
    <w:rsid w:val="004A0F11"/>
    <w:rsid w:val="004A3ADD"/>
    <w:rsid w:val="004A3EAA"/>
    <w:rsid w:val="004A4D15"/>
    <w:rsid w:val="004A587A"/>
    <w:rsid w:val="004A7277"/>
    <w:rsid w:val="004A7D97"/>
    <w:rsid w:val="004B4A63"/>
    <w:rsid w:val="004B5133"/>
    <w:rsid w:val="004C0D63"/>
    <w:rsid w:val="004C1E24"/>
    <w:rsid w:val="004C41B6"/>
    <w:rsid w:val="004C66B4"/>
    <w:rsid w:val="004D0A66"/>
    <w:rsid w:val="004D2529"/>
    <w:rsid w:val="004D6E37"/>
    <w:rsid w:val="004E00EA"/>
    <w:rsid w:val="004E14AD"/>
    <w:rsid w:val="004E56D9"/>
    <w:rsid w:val="004E5CB3"/>
    <w:rsid w:val="004E5CFB"/>
    <w:rsid w:val="004F1723"/>
    <w:rsid w:val="004F24BA"/>
    <w:rsid w:val="004F4B92"/>
    <w:rsid w:val="0050092B"/>
    <w:rsid w:val="00502626"/>
    <w:rsid w:val="005048E1"/>
    <w:rsid w:val="00506907"/>
    <w:rsid w:val="0051040F"/>
    <w:rsid w:val="005115CD"/>
    <w:rsid w:val="00514394"/>
    <w:rsid w:val="00515DE7"/>
    <w:rsid w:val="00516785"/>
    <w:rsid w:val="005176CD"/>
    <w:rsid w:val="0052228C"/>
    <w:rsid w:val="0052419D"/>
    <w:rsid w:val="005260A1"/>
    <w:rsid w:val="00527A49"/>
    <w:rsid w:val="005301F8"/>
    <w:rsid w:val="005303CD"/>
    <w:rsid w:val="00530F6F"/>
    <w:rsid w:val="005312FC"/>
    <w:rsid w:val="00531860"/>
    <w:rsid w:val="00534D31"/>
    <w:rsid w:val="0053569E"/>
    <w:rsid w:val="005359AF"/>
    <w:rsid w:val="0053603D"/>
    <w:rsid w:val="00536CB7"/>
    <w:rsid w:val="0053742A"/>
    <w:rsid w:val="00537C50"/>
    <w:rsid w:val="00537C85"/>
    <w:rsid w:val="005403A3"/>
    <w:rsid w:val="005407E7"/>
    <w:rsid w:val="0054095D"/>
    <w:rsid w:val="00540D24"/>
    <w:rsid w:val="00541B95"/>
    <w:rsid w:val="00541D29"/>
    <w:rsid w:val="00542045"/>
    <w:rsid w:val="005422D2"/>
    <w:rsid w:val="0054354D"/>
    <w:rsid w:val="005444E3"/>
    <w:rsid w:val="00544EAF"/>
    <w:rsid w:val="005471A1"/>
    <w:rsid w:val="005520AB"/>
    <w:rsid w:val="0055366D"/>
    <w:rsid w:val="005559D5"/>
    <w:rsid w:val="005564D5"/>
    <w:rsid w:val="005621A2"/>
    <w:rsid w:val="00562F17"/>
    <w:rsid w:val="00563343"/>
    <w:rsid w:val="0056379D"/>
    <w:rsid w:val="0056432E"/>
    <w:rsid w:val="005651FA"/>
    <w:rsid w:val="00565624"/>
    <w:rsid w:val="0056582C"/>
    <w:rsid w:val="00565A5C"/>
    <w:rsid w:val="005718D6"/>
    <w:rsid w:val="0057323A"/>
    <w:rsid w:val="00582A1D"/>
    <w:rsid w:val="00582A4D"/>
    <w:rsid w:val="00583969"/>
    <w:rsid w:val="005846F6"/>
    <w:rsid w:val="00586617"/>
    <w:rsid w:val="00586727"/>
    <w:rsid w:val="005868DE"/>
    <w:rsid w:val="00586ADA"/>
    <w:rsid w:val="00586F30"/>
    <w:rsid w:val="005877AC"/>
    <w:rsid w:val="00592165"/>
    <w:rsid w:val="005966B7"/>
    <w:rsid w:val="00596D57"/>
    <w:rsid w:val="005974D6"/>
    <w:rsid w:val="00597A1D"/>
    <w:rsid w:val="00597FC3"/>
    <w:rsid w:val="005A0F2F"/>
    <w:rsid w:val="005A5DAB"/>
    <w:rsid w:val="005A78AE"/>
    <w:rsid w:val="005B0FAD"/>
    <w:rsid w:val="005B22F0"/>
    <w:rsid w:val="005B3848"/>
    <w:rsid w:val="005B41F7"/>
    <w:rsid w:val="005B5E2A"/>
    <w:rsid w:val="005B684B"/>
    <w:rsid w:val="005B7F97"/>
    <w:rsid w:val="005C02A4"/>
    <w:rsid w:val="005C20D2"/>
    <w:rsid w:val="005C2664"/>
    <w:rsid w:val="005C289E"/>
    <w:rsid w:val="005C2905"/>
    <w:rsid w:val="005C32FE"/>
    <w:rsid w:val="005C4B5B"/>
    <w:rsid w:val="005C503A"/>
    <w:rsid w:val="005D024A"/>
    <w:rsid w:val="005D2992"/>
    <w:rsid w:val="005D4FD4"/>
    <w:rsid w:val="005D61A8"/>
    <w:rsid w:val="005D6D64"/>
    <w:rsid w:val="005E3E0F"/>
    <w:rsid w:val="005E6155"/>
    <w:rsid w:val="005F0117"/>
    <w:rsid w:val="005F04D4"/>
    <w:rsid w:val="005F3962"/>
    <w:rsid w:val="005F3B64"/>
    <w:rsid w:val="005F6A1A"/>
    <w:rsid w:val="005F6D3C"/>
    <w:rsid w:val="005F78C9"/>
    <w:rsid w:val="00601650"/>
    <w:rsid w:val="00601A78"/>
    <w:rsid w:val="00602488"/>
    <w:rsid w:val="0060341D"/>
    <w:rsid w:val="006038B1"/>
    <w:rsid w:val="00604432"/>
    <w:rsid w:val="00604EEF"/>
    <w:rsid w:val="00605A89"/>
    <w:rsid w:val="00605AFD"/>
    <w:rsid w:val="00605FE2"/>
    <w:rsid w:val="0061050D"/>
    <w:rsid w:val="00611BDC"/>
    <w:rsid w:val="006123D4"/>
    <w:rsid w:val="00612591"/>
    <w:rsid w:val="006128E9"/>
    <w:rsid w:val="00613C4A"/>
    <w:rsid w:val="0061445B"/>
    <w:rsid w:val="006154B1"/>
    <w:rsid w:val="00617A17"/>
    <w:rsid w:val="006213E1"/>
    <w:rsid w:val="00621687"/>
    <w:rsid w:val="00624C4B"/>
    <w:rsid w:val="00626AC2"/>
    <w:rsid w:val="00627040"/>
    <w:rsid w:val="006312D3"/>
    <w:rsid w:val="00632395"/>
    <w:rsid w:val="00632997"/>
    <w:rsid w:val="00633AEB"/>
    <w:rsid w:val="006358AE"/>
    <w:rsid w:val="006400B7"/>
    <w:rsid w:val="00642307"/>
    <w:rsid w:val="006430E3"/>
    <w:rsid w:val="00650B3D"/>
    <w:rsid w:val="00651301"/>
    <w:rsid w:val="00652DEF"/>
    <w:rsid w:val="00655238"/>
    <w:rsid w:val="00655466"/>
    <w:rsid w:val="006564D3"/>
    <w:rsid w:val="00656554"/>
    <w:rsid w:val="006567A5"/>
    <w:rsid w:val="00660D26"/>
    <w:rsid w:val="00661B71"/>
    <w:rsid w:val="00662117"/>
    <w:rsid w:val="00662696"/>
    <w:rsid w:val="006630A3"/>
    <w:rsid w:val="00665A84"/>
    <w:rsid w:val="006674A4"/>
    <w:rsid w:val="006721A7"/>
    <w:rsid w:val="00673142"/>
    <w:rsid w:val="006733D8"/>
    <w:rsid w:val="00673B13"/>
    <w:rsid w:val="00675003"/>
    <w:rsid w:val="0067622C"/>
    <w:rsid w:val="00676C4D"/>
    <w:rsid w:val="00676DA3"/>
    <w:rsid w:val="006773CB"/>
    <w:rsid w:val="006818DA"/>
    <w:rsid w:val="006819BF"/>
    <w:rsid w:val="00682155"/>
    <w:rsid w:val="00685CF7"/>
    <w:rsid w:val="00686165"/>
    <w:rsid w:val="00687BEB"/>
    <w:rsid w:val="00691CB5"/>
    <w:rsid w:val="006923DF"/>
    <w:rsid w:val="00693C4C"/>
    <w:rsid w:val="00693C91"/>
    <w:rsid w:val="00694D97"/>
    <w:rsid w:val="00696202"/>
    <w:rsid w:val="006A10B8"/>
    <w:rsid w:val="006A37F5"/>
    <w:rsid w:val="006B0F01"/>
    <w:rsid w:val="006B1AA3"/>
    <w:rsid w:val="006B2AB9"/>
    <w:rsid w:val="006B38FF"/>
    <w:rsid w:val="006B45C7"/>
    <w:rsid w:val="006B5C4C"/>
    <w:rsid w:val="006B62FF"/>
    <w:rsid w:val="006C01DC"/>
    <w:rsid w:val="006C0FDE"/>
    <w:rsid w:val="006C1892"/>
    <w:rsid w:val="006C383F"/>
    <w:rsid w:val="006C5B73"/>
    <w:rsid w:val="006C645D"/>
    <w:rsid w:val="006D0DF3"/>
    <w:rsid w:val="006D1484"/>
    <w:rsid w:val="006D1D20"/>
    <w:rsid w:val="006D37D7"/>
    <w:rsid w:val="006D67C5"/>
    <w:rsid w:val="006D7261"/>
    <w:rsid w:val="006D734B"/>
    <w:rsid w:val="006D7639"/>
    <w:rsid w:val="006E2D2A"/>
    <w:rsid w:val="006E3CC3"/>
    <w:rsid w:val="006E4243"/>
    <w:rsid w:val="006E482A"/>
    <w:rsid w:val="006E4CA4"/>
    <w:rsid w:val="006F156C"/>
    <w:rsid w:val="006F15EF"/>
    <w:rsid w:val="006F5488"/>
    <w:rsid w:val="00701722"/>
    <w:rsid w:val="00702E2F"/>
    <w:rsid w:val="00702FF4"/>
    <w:rsid w:val="00706E8E"/>
    <w:rsid w:val="0070747A"/>
    <w:rsid w:val="00707617"/>
    <w:rsid w:val="0071452D"/>
    <w:rsid w:val="0071782F"/>
    <w:rsid w:val="00722B53"/>
    <w:rsid w:val="00723486"/>
    <w:rsid w:val="007242CB"/>
    <w:rsid w:val="00724E29"/>
    <w:rsid w:val="00725161"/>
    <w:rsid w:val="00725AD6"/>
    <w:rsid w:val="007263E8"/>
    <w:rsid w:val="00726A59"/>
    <w:rsid w:val="007271A4"/>
    <w:rsid w:val="00727C63"/>
    <w:rsid w:val="00730930"/>
    <w:rsid w:val="00730A74"/>
    <w:rsid w:val="007331C0"/>
    <w:rsid w:val="007351AE"/>
    <w:rsid w:val="00735809"/>
    <w:rsid w:val="0073720C"/>
    <w:rsid w:val="007415D9"/>
    <w:rsid w:val="007427E5"/>
    <w:rsid w:val="00742F97"/>
    <w:rsid w:val="00744A45"/>
    <w:rsid w:val="00745E8A"/>
    <w:rsid w:val="007467B7"/>
    <w:rsid w:val="0075014C"/>
    <w:rsid w:val="007509DD"/>
    <w:rsid w:val="007516E8"/>
    <w:rsid w:val="007521A0"/>
    <w:rsid w:val="007537AC"/>
    <w:rsid w:val="00755262"/>
    <w:rsid w:val="007574D1"/>
    <w:rsid w:val="00757B2E"/>
    <w:rsid w:val="00763474"/>
    <w:rsid w:val="0076577A"/>
    <w:rsid w:val="00765FAA"/>
    <w:rsid w:val="00765FD9"/>
    <w:rsid w:val="0077354D"/>
    <w:rsid w:val="00774C74"/>
    <w:rsid w:val="0077674B"/>
    <w:rsid w:val="007768A8"/>
    <w:rsid w:val="00780639"/>
    <w:rsid w:val="00780BB1"/>
    <w:rsid w:val="00782DDE"/>
    <w:rsid w:val="00782E54"/>
    <w:rsid w:val="00784920"/>
    <w:rsid w:val="00784C0A"/>
    <w:rsid w:val="00785093"/>
    <w:rsid w:val="007868E4"/>
    <w:rsid w:val="00786C14"/>
    <w:rsid w:val="00791FA1"/>
    <w:rsid w:val="00793890"/>
    <w:rsid w:val="00793FDE"/>
    <w:rsid w:val="00794B40"/>
    <w:rsid w:val="007A03EB"/>
    <w:rsid w:val="007A1079"/>
    <w:rsid w:val="007A1EF0"/>
    <w:rsid w:val="007A410C"/>
    <w:rsid w:val="007A5358"/>
    <w:rsid w:val="007A61BE"/>
    <w:rsid w:val="007B2677"/>
    <w:rsid w:val="007B27AC"/>
    <w:rsid w:val="007B52D2"/>
    <w:rsid w:val="007B5B14"/>
    <w:rsid w:val="007B6484"/>
    <w:rsid w:val="007B76AB"/>
    <w:rsid w:val="007C28B5"/>
    <w:rsid w:val="007C28DB"/>
    <w:rsid w:val="007C3A55"/>
    <w:rsid w:val="007C3C00"/>
    <w:rsid w:val="007C3C03"/>
    <w:rsid w:val="007C4CAA"/>
    <w:rsid w:val="007C6934"/>
    <w:rsid w:val="007C7214"/>
    <w:rsid w:val="007C7FC5"/>
    <w:rsid w:val="007D3E6C"/>
    <w:rsid w:val="007D517A"/>
    <w:rsid w:val="007D5366"/>
    <w:rsid w:val="007D5414"/>
    <w:rsid w:val="007D592B"/>
    <w:rsid w:val="007D5AA6"/>
    <w:rsid w:val="007D7A91"/>
    <w:rsid w:val="007D7E0A"/>
    <w:rsid w:val="007E0BD1"/>
    <w:rsid w:val="007E185F"/>
    <w:rsid w:val="007E217A"/>
    <w:rsid w:val="007E2523"/>
    <w:rsid w:val="007E6456"/>
    <w:rsid w:val="007E648C"/>
    <w:rsid w:val="007E71A2"/>
    <w:rsid w:val="007E71A4"/>
    <w:rsid w:val="007F557C"/>
    <w:rsid w:val="007F5732"/>
    <w:rsid w:val="007F7144"/>
    <w:rsid w:val="007F718A"/>
    <w:rsid w:val="0080237F"/>
    <w:rsid w:val="0080512F"/>
    <w:rsid w:val="00807AA5"/>
    <w:rsid w:val="00807B33"/>
    <w:rsid w:val="008117B4"/>
    <w:rsid w:val="00811943"/>
    <w:rsid w:val="00815FC6"/>
    <w:rsid w:val="00822AA0"/>
    <w:rsid w:val="00822F3D"/>
    <w:rsid w:val="008233C7"/>
    <w:rsid w:val="00825015"/>
    <w:rsid w:val="0082637C"/>
    <w:rsid w:val="00827176"/>
    <w:rsid w:val="0082791C"/>
    <w:rsid w:val="008311B8"/>
    <w:rsid w:val="008311ED"/>
    <w:rsid w:val="008325D4"/>
    <w:rsid w:val="00834243"/>
    <w:rsid w:val="00834DFB"/>
    <w:rsid w:val="008352B8"/>
    <w:rsid w:val="00835AA3"/>
    <w:rsid w:val="00836141"/>
    <w:rsid w:val="008410DB"/>
    <w:rsid w:val="00841DE8"/>
    <w:rsid w:val="00843984"/>
    <w:rsid w:val="00843FCC"/>
    <w:rsid w:val="00847CDD"/>
    <w:rsid w:val="0085006A"/>
    <w:rsid w:val="008511AF"/>
    <w:rsid w:val="008542F1"/>
    <w:rsid w:val="00855BD7"/>
    <w:rsid w:val="00857969"/>
    <w:rsid w:val="008605EF"/>
    <w:rsid w:val="00860BF8"/>
    <w:rsid w:val="008632DF"/>
    <w:rsid w:val="00864387"/>
    <w:rsid w:val="00864AFF"/>
    <w:rsid w:val="008666C9"/>
    <w:rsid w:val="00872BE4"/>
    <w:rsid w:val="008734AF"/>
    <w:rsid w:val="0087786E"/>
    <w:rsid w:val="008812A4"/>
    <w:rsid w:val="00882CC4"/>
    <w:rsid w:val="008844AC"/>
    <w:rsid w:val="00884861"/>
    <w:rsid w:val="00886ED9"/>
    <w:rsid w:val="00893F94"/>
    <w:rsid w:val="008963CE"/>
    <w:rsid w:val="00897B54"/>
    <w:rsid w:val="008A0DDB"/>
    <w:rsid w:val="008A2647"/>
    <w:rsid w:val="008A2C92"/>
    <w:rsid w:val="008A54BF"/>
    <w:rsid w:val="008A75D3"/>
    <w:rsid w:val="008B0C64"/>
    <w:rsid w:val="008B4DB1"/>
    <w:rsid w:val="008B4FD9"/>
    <w:rsid w:val="008B67AD"/>
    <w:rsid w:val="008B7062"/>
    <w:rsid w:val="008B7399"/>
    <w:rsid w:val="008C246D"/>
    <w:rsid w:val="008C3347"/>
    <w:rsid w:val="008C3516"/>
    <w:rsid w:val="008C7F71"/>
    <w:rsid w:val="008D0BB5"/>
    <w:rsid w:val="008D0D08"/>
    <w:rsid w:val="008D1C23"/>
    <w:rsid w:val="008D2938"/>
    <w:rsid w:val="008D339F"/>
    <w:rsid w:val="008D6316"/>
    <w:rsid w:val="008D685B"/>
    <w:rsid w:val="008E0B64"/>
    <w:rsid w:val="008E33F4"/>
    <w:rsid w:val="008E53D3"/>
    <w:rsid w:val="008E6292"/>
    <w:rsid w:val="008F0099"/>
    <w:rsid w:val="008F1362"/>
    <w:rsid w:val="008F23EB"/>
    <w:rsid w:val="00900CE1"/>
    <w:rsid w:val="00901CE7"/>
    <w:rsid w:val="009064D0"/>
    <w:rsid w:val="009067ED"/>
    <w:rsid w:val="00906810"/>
    <w:rsid w:val="009070B4"/>
    <w:rsid w:val="00912F78"/>
    <w:rsid w:val="009142BA"/>
    <w:rsid w:val="009155BE"/>
    <w:rsid w:val="00917E28"/>
    <w:rsid w:val="0092206C"/>
    <w:rsid w:val="009223A3"/>
    <w:rsid w:val="0092270D"/>
    <w:rsid w:val="009239DC"/>
    <w:rsid w:val="00925AA5"/>
    <w:rsid w:val="00931AE3"/>
    <w:rsid w:val="00934B50"/>
    <w:rsid w:val="00934BE0"/>
    <w:rsid w:val="0093540D"/>
    <w:rsid w:val="00937CDF"/>
    <w:rsid w:val="0094019D"/>
    <w:rsid w:val="00942C11"/>
    <w:rsid w:val="0094351F"/>
    <w:rsid w:val="00944E2E"/>
    <w:rsid w:val="00953CE8"/>
    <w:rsid w:val="009547F8"/>
    <w:rsid w:val="00954CF1"/>
    <w:rsid w:val="009551F0"/>
    <w:rsid w:val="00955D78"/>
    <w:rsid w:val="0095734F"/>
    <w:rsid w:val="0096269D"/>
    <w:rsid w:val="00962D55"/>
    <w:rsid w:val="00965712"/>
    <w:rsid w:val="00966DFE"/>
    <w:rsid w:val="009678F6"/>
    <w:rsid w:val="00972183"/>
    <w:rsid w:val="009729D4"/>
    <w:rsid w:val="0097499D"/>
    <w:rsid w:val="0097562C"/>
    <w:rsid w:val="00976FBD"/>
    <w:rsid w:val="00980412"/>
    <w:rsid w:val="00980759"/>
    <w:rsid w:val="00980B39"/>
    <w:rsid w:val="009817B0"/>
    <w:rsid w:val="009821CE"/>
    <w:rsid w:val="009823D7"/>
    <w:rsid w:val="0098378D"/>
    <w:rsid w:val="00984888"/>
    <w:rsid w:val="009848FD"/>
    <w:rsid w:val="0098574B"/>
    <w:rsid w:val="009917C8"/>
    <w:rsid w:val="00991CC4"/>
    <w:rsid w:val="00994D04"/>
    <w:rsid w:val="00995373"/>
    <w:rsid w:val="009A1083"/>
    <w:rsid w:val="009A1508"/>
    <w:rsid w:val="009A277C"/>
    <w:rsid w:val="009A658F"/>
    <w:rsid w:val="009B0FA0"/>
    <w:rsid w:val="009B4FD0"/>
    <w:rsid w:val="009B593B"/>
    <w:rsid w:val="009B79DB"/>
    <w:rsid w:val="009B7BFC"/>
    <w:rsid w:val="009C2279"/>
    <w:rsid w:val="009C7A68"/>
    <w:rsid w:val="009D1840"/>
    <w:rsid w:val="009D455F"/>
    <w:rsid w:val="009D4BB0"/>
    <w:rsid w:val="009D5CCF"/>
    <w:rsid w:val="009D72F8"/>
    <w:rsid w:val="009E0133"/>
    <w:rsid w:val="009E0499"/>
    <w:rsid w:val="009E171B"/>
    <w:rsid w:val="009E1BB8"/>
    <w:rsid w:val="009E3056"/>
    <w:rsid w:val="009E4D34"/>
    <w:rsid w:val="009F1E55"/>
    <w:rsid w:val="009F2A80"/>
    <w:rsid w:val="009F69B4"/>
    <w:rsid w:val="009F7AF2"/>
    <w:rsid w:val="00A015E8"/>
    <w:rsid w:val="00A02AF4"/>
    <w:rsid w:val="00A02FC0"/>
    <w:rsid w:val="00A058BB"/>
    <w:rsid w:val="00A05C0C"/>
    <w:rsid w:val="00A07CF3"/>
    <w:rsid w:val="00A07D47"/>
    <w:rsid w:val="00A10A7A"/>
    <w:rsid w:val="00A12F62"/>
    <w:rsid w:val="00A14FE9"/>
    <w:rsid w:val="00A16AD7"/>
    <w:rsid w:val="00A20D65"/>
    <w:rsid w:val="00A24DF7"/>
    <w:rsid w:val="00A25698"/>
    <w:rsid w:val="00A261BE"/>
    <w:rsid w:val="00A30335"/>
    <w:rsid w:val="00A3424A"/>
    <w:rsid w:val="00A3749B"/>
    <w:rsid w:val="00A37D87"/>
    <w:rsid w:val="00A43643"/>
    <w:rsid w:val="00A43DB0"/>
    <w:rsid w:val="00A450A2"/>
    <w:rsid w:val="00A45BE1"/>
    <w:rsid w:val="00A4616C"/>
    <w:rsid w:val="00A50D88"/>
    <w:rsid w:val="00A54824"/>
    <w:rsid w:val="00A55AA6"/>
    <w:rsid w:val="00A56923"/>
    <w:rsid w:val="00A60001"/>
    <w:rsid w:val="00A60008"/>
    <w:rsid w:val="00A60349"/>
    <w:rsid w:val="00A611BF"/>
    <w:rsid w:val="00A62E42"/>
    <w:rsid w:val="00A632FA"/>
    <w:rsid w:val="00A6335E"/>
    <w:rsid w:val="00A63D25"/>
    <w:rsid w:val="00A64A71"/>
    <w:rsid w:val="00A7106D"/>
    <w:rsid w:val="00A72960"/>
    <w:rsid w:val="00A72A1E"/>
    <w:rsid w:val="00A72D8F"/>
    <w:rsid w:val="00A72E14"/>
    <w:rsid w:val="00A73DC2"/>
    <w:rsid w:val="00A7673A"/>
    <w:rsid w:val="00A80BA8"/>
    <w:rsid w:val="00A82BF2"/>
    <w:rsid w:val="00A83C3B"/>
    <w:rsid w:val="00A86208"/>
    <w:rsid w:val="00A87A00"/>
    <w:rsid w:val="00A93401"/>
    <w:rsid w:val="00A94EAA"/>
    <w:rsid w:val="00A95258"/>
    <w:rsid w:val="00A9723F"/>
    <w:rsid w:val="00A972A6"/>
    <w:rsid w:val="00A97B4D"/>
    <w:rsid w:val="00AA1F87"/>
    <w:rsid w:val="00AA336F"/>
    <w:rsid w:val="00AA41FB"/>
    <w:rsid w:val="00AA6929"/>
    <w:rsid w:val="00AA6CC1"/>
    <w:rsid w:val="00AB0427"/>
    <w:rsid w:val="00AB0486"/>
    <w:rsid w:val="00AB04A5"/>
    <w:rsid w:val="00AB0AF6"/>
    <w:rsid w:val="00AB0F2E"/>
    <w:rsid w:val="00AB4838"/>
    <w:rsid w:val="00AB4CE0"/>
    <w:rsid w:val="00AB4D1F"/>
    <w:rsid w:val="00AB624E"/>
    <w:rsid w:val="00AB77E6"/>
    <w:rsid w:val="00AC12F4"/>
    <w:rsid w:val="00AC2A61"/>
    <w:rsid w:val="00AC2EC1"/>
    <w:rsid w:val="00AC3196"/>
    <w:rsid w:val="00AC55AF"/>
    <w:rsid w:val="00AC5BE9"/>
    <w:rsid w:val="00AD0813"/>
    <w:rsid w:val="00AD0CAC"/>
    <w:rsid w:val="00AD0FC9"/>
    <w:rsid w:val="00AD6C84"/>
    <w:rsid w:val="00AD6EFE"/>
    <w:rsid w:val="00AE0011"/>
    <w:rsid w:val="00AE1135"/>
    <w:rsid w:val="00AE2490"/>
    <w:rsid w:val="00AE2F90"/>
    <w:rsid w:val="00AE4995"/>
    <w:rsid w:val="00AE52C8"/>
    <w:rsid w:val="00AE6FBD"/>
    <w:rsid w:val="00AF1DD6"/>
    <w:rsid w:val="00AF32D9"/>
    <w:rsid w:val="00AF34B3"/>
    <w:rsid w:val="00AF3623"/>
    <w:rsid w:val="00AF3B59"/>
    <w:rsid w:val="00AF41A9"/>
    <w:rsid w:val="00AF6129"/>
    <w:rsid w:val="00B03DD6"/>
    <w:rsid w:val="00B0472D"/>
    <w:rsid w:val="00B10940"/>
    <w:rsid w:val="00B11AFD"/>
    <w:rsid w:val="00B11D54"/>
    <w:rsid w:val="00B13EB4"/>
    <w:rsid w:val="00B14195"/>
    <w:rsid w:val="00B1543C"/>
    <w:rsid w:val="00B20134"/>
    <w:rsid w:val="00B21133"/>
    <w:rsid w:val="00B22401"/>
    <w:rsid w:val="00B22437"/>
    <w:rsid w:val="00B229A9"/>
    <w:rsid w:val="00B22F65"/>
    <w:rsid w:val="00B240FB"/>
    <w:rsid w:val="00B252E8"/>
    <w:rsid w:val="00B25387"/>
    <w:rsid w:val="00B2541C"/>
    <w:rsid w:val="00B25547"/>
    <w:rsid w:val="00B33871"/>
    <w:rsid w:val="00B3583B"/>
    <w:rsid w:val="00B36132"/>
    <w:rsid w:val="00B36DEA"/>
    <w:rsid w:val="00B37A8F"/>
    <w:rsid w:val="00B40A90"/>
    <w:rsid w:val="00B40F4E"/>
    <w:rsid w:val="00B41C91"/>
    <w:rsid w:val="00B429C0"/>
    <w:rsid w:val="00B45233"/>
    <w:rsid w:val="00B462B7"/>
    <w:rsid w:val="00B5107A"/>
    <w:rsid w:val="00B535A1"/>
    <w:rsid w:val="00B53DC0"/>
    <w:rsid w:val="00B57407"/>
    <w:rsid w:val="00B629D9"/>
    <w:rsid w:val="00B642E8"/>
    <w:rsid w:val="00B643B7"/>
    <w:rsid w:val="00B64B48"/>
    <w:rsid w:val="00B65347"/>
    <w:rsid w:val="00B65C3F"/>
    <w:rsid w:val="00B65DE1"/>
    <w:rsid w:val="00B65E87"/>
    <w:rsid w:val="00B66BCD"/>
    <w:rsid w:val="00B67493"/>
    <w:rsid w:val="00B6763F"/>
    <w:rsid w:val="00B7186F"/>
    <w:rsid w:val="00B728C1"/>
    <w:rsid w:val="00B76039"/>
    <w:rsid w:val="00B768F6"/>
    <w:rsid w:val="00B77BA6"/>
    <w:rsid w:val="00B81F4B"/>
    <w:rsid w:val="00B83CB9"/>
    <w:rsid w:val="00B85995"/>
    <w:rsid w:val="00B87927"/>
    <w:rsid w:val="00B90280"/>
    <w:rsid w:val="00B9085F"/>
    <w:rsid w:val="00B934B4"/>
    <w:rsid w:val="00B95F5D"/>
    <w:rsid w:val="00B97208"/>
    <w:rsid w:val="00B972C5"/>
    <w:rsid w:val="00BA32BC"/>
    <w:rsid w:val="00BA70A6"/>
    <w:rsid w:val="00BB1932"/>
    <w:rsid w:val="00BB4A6D"/>
    <w:rsid w:val="00BB5254"/>
    <w:rsid w:val="00BB7042"/>
    <w:rsid w:val="00BC07E5"/>
    <w:rsid w:val="00BC195C"/>
    <w:rsid w:val="00BC4F0E"/>
    <w:rsid w:val="00BC5D6D"/>
    <w:rsid w:val="00BD1069"/>
    <w:rsid w:val="00BD112C"/>
    <w:rsid w:val="00BD26AA"/>
    <w:rsid w:val="00BD3A89"/>
    <w:rsid w:val="00BD454F"/>
    <w:rsid w:val="00BD5461"/>
    <w:rsid w:val="00BD5E77"/>
    <w:rsid w:val="00BD5EA4"/>
    <w:rsid w:val="00BD7958"/>
    <w:rsid w:val="00BD7A75"/>
    <w:rsid w:val="00BE30BA"/>
    <w:rsid w:val="00BE342D"/>
    <w:rsid w:val="00BE4ABF"/>
    <w:rsid w:val="00BE639E"/>
    <w:rsid w:val="00BF12F7"/>
    <w:rsid w:val="00BF3F5F"/>
    <w:rsid w:val="00BF5650"/>
    <w:rsid w:val="00BF70EF"/>
    <w:rsid w:val="00C01369"/>
    <w:rsid w:val="00C01DCC"/>
    <w:rsid w:val="00C047CF"/>
    <w:rsid w:val="00C0515E"/>
    <w:rsid w:val="00C066CE"/>
    <w:rsid w:val="00C10B5D"/>
    <w:rsid w:val="00C117D5"/>
    <w:rsid w:val="00C12E2A"/>
    <w:rsid w:val="00C1357E"/>
    <w:rsid w:val="00C13818"/>
    <w:rsid w:val="00C202B3"/>
    <w:rsid w:val="00C206F7"/>
    <w:rsid w:val="00C21EE0"/>
    <w:rsid w:val="00C222BC"/>
    <w:rsid w:val="00C226AA"/>
    <w:rsid w:val="00C30297"/>
    <w:rsid w:val="00C3342D"/>
    <w:rsid w:val="00C334F1"/>
    <w:rsid w:val="00C341F2"/>
    <w:rsid w:val="00C358D8"/>
    <w:rsid w:val="00C36A4A"/>
    <w:rsid w:val="00C40BE0"/>
    <w:rsid w:val="00C43C81"/>
    <w:rsid w:val="00C4459C"/>
    <w:rsid w:val="00C4503F"/>
    <w:rsid w:val="00C52A1B"/>
    <w:rsid w:val="00C52E1A"/>
    <w:rsid w:val="00C534FB"/>
    <w:rsid w:val="00C60221"/>
    <w:rsid w:val="00C60687"/>
    <w:rsid w:val="00C65790"/>
    <w:rsid w:val="00C658B9"/>
    <w:rsid w:val="00C65D7C"/>
    <w:rsid w:val="00C67132"/>
    <w:rsid w:val="00C70A7F"/>
    <w:rsid w:val="00C70F64"/>
    <w:rsid w:val="00C72318"/>
    <w:rsid w:val="00C724E6"/>
    <w:rsid w:val="00C747A5"/>
    <w:rsid w:val="00C76B8C"/>
    <w:rsid w:val="00C80776"/>
    <w:rsid w:val="00C813A2"/>
    <w:rsid w:val="00C822B1"/>
    <w:rsid w:val="00C85314"/>
    <w:rsid w:val="00C86092"/>
    <w:rsid w:val="00C87912"/>
    <w:rsid w:val="00C90768"/>
    <w:rsid w:val="00C924FA"/>
    <w:rsid w:val="00C94E1E"/>
    <w:rsid w:val="00C95688"/>
    <w:rsid w:val="00C973C9"/>
    <w:rsid w:val="00CA0116"/>
    <w:rsid w:val="00CA163E"/>
    <w:rsid w:val="00CA46D3"/>
    <w:rsid w:val="00CA4BC0"/>
    <w:rsid w:val="00CA5CA2"/>
    <w:rsid w:val="00CA5CA8"/>
    <w:rsid w:val="00CA6EE3"/>
    <w:rsid w:val="00CB0157"/>
    <w:rsid w:val="00CB3EE3"/>
    <w:rsid w:val="00CB5205"/>
    <w:rsid w:val="00CB5E55"/>
    <w:rsid w:val="00CB75B4"/>
    <w:rsid w:val="00CC0BC4"/>
    <w:rsid w:val="00CC0FC8"/>
    <w:rsid w:val="00CC2093"/>
    <w:rsid w:val="00CC27C4"/>
    <w:rsid w:val="00CC2CAA"/>
    <w:rsid w:val="00CC327B"/>
    <w:rsid w:val="00CC366D"/>
    <w:rsid w:val="00CC3FFB"/>
    <w:rsid w:val="00CC4183"/>
    <w:rsid w:val="00CC422A"/>
    <w:rsid w:val="00CC559D"/>
    <w:rsid w:val="00CC662F"/>
    <w:rsid w:val="00CC7C4A"/>
    <w:rsid w:val="00CD0764"/>
    <w:rsid w:val="00CD5B2D"/>
    <w:rsid w:val="00CD654B"/>
    <w:rsid w:val="00CD69E3"/>
    <w:rsid w:val="00CD7246"/>
    <w:rsid w:val="00CE0ABE"/>
    <w:rsid w:val="00CE223E"/>
    <w:rsid w:val="00CE226A"/>
    <w:rsid w:val="00CE2FF7"/>
    <w:rsid w:val="00CE4557"/>
    <w:rsid w:val="00CE6B13"/>
    <w:rsid w:val="00CE78DF"/>
    <w:rsid w:val="00CE7D39"/>
    <w:rsid w:val="00CF0B5F"/>
    <w:rsid w:val="00CF3293"/>
    <w:rsid w:val="00CF3F0D"/>
    <w:rsid w:val="00CF4E15"/>
    <w:rsid w:val="00CF6DCA"/>
    <w:rsid w:val="00D01D2F"/>
    <w:rsid w:val="00D029E4"/>
    <w:rsid w:val="00D03841"/>
    <w:rsid w:val="00D04644"/>
    <w:rsid w:val="00D05328"/>
    <w:rsid w:val="00D0562B"/>
    <w:rsid w:val="00D066E2"/>
    <w:rsid w:val="00D07353"/>
    <w:rsid w:val="00D07885"/>
    <w:rsid w:val="00D101F7"/>
    <w:rsid w:val="00D12F97"/>
    <w:rsid w:val="00D145F5"/>
    <w:rsid w:val="00D14BB1"/>
    <w:rsid w:val="00D16CA0"/>
    <w:rsid w:val="00D175CB"/>
    <w:rsid w:val="00D2155B"/>
    <w:rsid w:val="00D24EA7"/>
    <w:rsid w:val="00D2507A"/>
    <w:rsid w:val="00D27641"/>
    <w:rsid w:val="00D27BC7"/>
    <w:rsid w:val="00D31EA7"/>
    <w:rsid w:val="00D347DB"/>
    <w:rsid w:val="00D351BA"/>
    <w:rsid w:val="00D355F0"/>
    <w:rsid w:val="00D3629F"/>
    <w:rsid w:val="00D36E58"/>
    <w:rsid w:val="00D36FDF"/>
    <w:rsid w:val="00D373E0"/>
    <w:rsid w:val="00D40107"/>
    <w:rsid w:val="00D40949"/>
    <w:rsid w:val="00D43AC8"/>
    <w:rsid w:val="00D449DA"/>
    <w:rsid w:val="00D44BC4"/>
    <w:rsid w:val="00D45C68"/>
    <w:rsid w:val="00D545C8"/>
    <w:rsid w:val="00D55253"/>
    <w:rsid w:val="00D5603F"/>
    <w:rsid w:val="00D56113"/>
    <w:rsid w:val="00D60821"/>
    <w:rsid w:val="00D608F2"/>
    <w:rsid w:val="00D6141E"/>
    <w:rsid w:val="00D616BB"/>
    <w:rsid w:val="00D6172B"/>
    <w:rsid w:val="00D61CB5"/>
    <w:rsid w:val="00D62206"/>
    <w:rsid w:val="00D64689"/>
    <w:rsid w:val="00D649C4"/>
    <w:rsid w:val="00D6556D"/>
    <w:rsid w:val="00D6563D"/>
    <w:rsid w:val="00D66F9F"/>
    <w:rsid w:val="00D67709"/>
    <w:rsid w:val="00D7342B"/>
    <w:rsid w:val="00D74582"/>
    <w:rsid w:val="00D7563E"/>
    <w:rsid w:val="00D76AA1"/>
    <w:rsid w:val="00D7774C"/>
    <w:rsid w:val="00D8265B"/>
    <w:rsid w:val="00D833D9"/>
    <w:rsid w:val="00D83BD9"/>
    <w:rsid w:val="00D8522F"/>
    <w:rsid w:val="00D85497"/>
    <w:rsid w:val="00D862D5"/>
    <w:rsid w:val="00D86438"/>
    <w:rsid w:val="00D8708F"/>
    <w:rsid w:val="00D90AF9"/>
    <w:rsid w:val="00D9497D"/>
    <w:rsid w:val="00D94DCF"/>
    <w:rsid w:val="00D94EAE"/>
    <w:rsid w:val="00D94F63"/>
    <w:rsid w:val="00D953D3"/>
    <w:rsid w:val="00D9748C"/>
    <w:rsid w:val="00D97F5B"/>
    <w:rsid w:val="00DA5420"/>
    <w:rsid w:val="00DA586F"/>
    <w:rsid w:val="00DA7128"/>
    <w:rsid w:val="00DB08DA"/>
    <w:rsid w:val="00DB1241"/>
    <w:rsid w:val="00DB48E7"/>
    <w:rsid w:val="00DB579E"/>
    <w:rsid w:val="00DB5D0B"/>
    <w:rsid w:val="00DB6E46"/>
    <w:rsid w:val="00DB7F09"/>
    <w:rsid w:val="00DC00E8"/>
    <w:rsid w:val="00DC0E22"/>
    <w:rsid w:val="00DC1C56"/>
    <w:rsid w:val="00DC1F9D"/>
    <w:rsid w:val="00DC3709"/>
    <w:rsid w:val="00DC44E0"/>
    <w:rsid w:val="00DC4756"/>
    <w:rsid w:val="00DC6379"/>
    <w:rsid w:val="00DC74D5"/>
    <w:rsid w:val="00DD06B6"/>
    <w:rsid w:val="00DD1D09"/>
    <w:rsid w:val="00DD6479"/>
    <w:rsid w:val="00DD71FC"/>
    <w:rsid w:val="00DD7842"/>
    <w:rsid w:val="00DE2B98"/>
    <w:rsid w:val="00DE3C77"/>
    <w:rsid w:val="00DF0ED4"/>
    <w:rsid w:val="00DF111E"/>
    <w:rsid w:val="00DF5A0B"/>
    <w:rsid w:val="00DF6F61"/>
    <w:rsid w:val="00E00396"/>
    <w:rsid w:val="00E006E3"/>
    <w:rsid w:val="00E01222"/>
    <w:rsid w:val="00E026A2"/>
    <w:rsid w:val="00E03D5E"/>
    <w:rsid w:val="00E101C6"/>
    <w:rsid w:val="00E13A38"/>
    <w:rsid w:val="00E20800"/>
    <w:rsid w:val="00E216A9"/>
    <w:rsid w:val="00E22D51"/>
    <w:rsid w:val="00E3476E"/>
    <w:rsid w:val="00E3553F"/>
    <w:rsid w:val="00E40140"/>
    <w:rsid w:val="00E40CA3"/>
    <w:rsid w:val="00E41D20"/>
    <w:rsid w:val="00E41FC3"/>
    <w:rsid w:val="00E437AF"/>
    <w:rsid w:val="00E444C4"/>
    <w:rsid w:val="00E44E4B"/>
    <w:rsid w:val="00E45AD5"/>
    <w:rsid w:val="00E47378"/>
    <w:rsid w:val="00E50E7C"/>
    <w:rsid w:val="00E51545"/>
    <w:rsid w:val="00E51D9E"/>
    <w:rsid w:val="00E52DD4"/>
    <w:rsid w:val="00E537D1"/>
    <w:rsid w:val="00E547A3"/>
    <w:rsid w:val="00E54ACE"/>
    <w:rsid w:val="00E54C6E"/>
    <w:rsid w:val="00E54D3C"/>
    <w:rsid w:val="00E5526B"/>
    <w:rsid w:val="00E55B5B"/>
    <w:rsid w:val="00E567E6"/>
    <w:rsid w:val="00E56971"/>
    <w:rsid w:val="00E61329"/>
    <w:rsid w:val="00E61484"/>
    <w:rsid w:val="00E64623"/>
    <w:rsid w:val="00E650E5"/>
    <w:rsid w:val="00E6570C"/>
    <w:rsid w:val="00E66267"/>
    <w:rsid w:val="00E711D7"/>
    <w:rsid w:val="00E7635B"/>
    <w:rsid w:val="00E77E32"/>
    <w:rsid w:val="00E80B2B"/>
    <w:rsid w:val="00E815E1"/>
    <w:rsid w:val="00E86E74"/>
    <w:rsid w:val="00E902B0"/>
    <w:rsid w:val="00E902E8"/>
    <w:rsid w:val="00E90624"/>
    <w:rsid w:val="00E91104"/>
    <w:rsid w:val="00E927E2"/>
    <w:rsid w:val="00E9341E"/>
    <w:rsid w:val="00E955C5"/>
    <w:rsid w:val="00E96BC1"/>
    <w:rsid w:val="00E96F44"/>
    <w:rsid w:val="00EA23AC"/>
    <w:rsid w:val="00EA2858"/>
    <w:rsid w:val="00EA51C3"/>
    <w:rsid w:val="00EA7446"/>
    <w:rsid w:val="00EA7BE5"/>
    <w:rsid w:val="00EA7C3D"/>
    <w:rsid w:val="00EA7D39"/>
    <w:rsid w:val="00EB0DF0"/>
    <w:rsid w:val="00EB2337"/>
    <w:rsid w:val="00EB4738"/>
    <w:rsid w:val="00EB4E4A"/>
    <w:rsid w:val="00EB6878"/>
    <w:rsid w:val="00EC1E0E"/>
    <w:rsid w:val="00EC236D"/>
    <w:rsid w:val="00EC37FA"/>
    <w:rsid w:val="00EC534F"/>
    <w:rsid w:val="00EC55F9"/>
    <w:rsid w:val="00EC6B16"/>
    <w:rsid w:val="00ED0586"/>
    <w:rsid w:val="00ED1DDC"/>
    <w:rsid w:val="00ED1FB6"/>
    <w:rsid w:val="00ED2AC9"/>
    <w:rsid w:val="00ED34C3"/>
    <w:rsid w:val="00ED5E72"/>
    <w:rsid w:val="00EE1447"/>
    <w:rsid w:val="00EE22A6"/>
    <w:rsid w:val="00EE3C96"/>
    <w:rsid w:val="00EE6116"/>
    <w:rsid w:val="00EE71B3"/>
    <w:rsid w:val="00EF0B6E"/>
    <w:rsid w:val="00EF145E"/>
    <w:rsid w:val="00EF2BBB"/>
    <w:rsid w:val="00EF5B6C"/>
    <w:rsid w:val="00F0082D"/>
    <w:rsid w:val="00F00A8B"/>
    <w:rsid w:val="00F0148B"/>
    <w:rsid w:val="00F015AB"/>
    <w:rsid w:val="00F07C90"/>
    <w:rsid w:val="00F1012B"/>
    <w:rsid w:val="00F108C2"/>
    <w:rsid w:val="00F1105F"/>
    <w:rsid w:val="00F1340B"/>
    <w:rsid w:val="00F2363D"/>
    <w:rsid w:val="00F23B1E"/>
    <w:rsid w:val="00F33DB8"/>
    <w:rsid w:val="00F36977"/>
    <w:rsid w:val="00F3773D"/>
    <w:rsid w:val="00F40262"/>
    <w:rsid w:val="00F41968"/>
    <w:rsid w:val="00F422DC"/>
    <w:rsid w:val="00F43233"/>
    <w:rsid w:val="00F4686D"/>
    <w:rsid w:val="00F477ED"/>
    <w:rsid w:val="00F506E4"/>
    <w:rsid w:val="00F538D9"/>
    <w:rsid w:val="00F56647"/>
    <w:rsid w:val="00F56885"/>
    <w:rsid w:val="00F57197"/>
    <w:rsid w:val="00F57BED"/>
    <w:rsid w:val="00F60198"/>
    <w:rsid w:val="00F61DFF"/>
    <w:rsid w:val="00F67A95"/>
    <w:rsid w:val="00F70097"/>
    <w:rsid w:val="00F728B3"/>
    <w:rsid w:val="00F72AA4"/>
    <w:rsid w:val="00F73756"/>
    <w:rsid w:val="00F7613A"/>
    <w:rsid w:val="00F77AC7"/>
    <w:rsid w:val="00F805E5"/>
    <w:rsid w:val="00F82746"/>
    <w:rsid w:val="00F836F9"/>
    <w:rsid w:val="00F8420D"/>
    <w:rsid w:val="00F845D7"/>
    <w:rsid w:val="00F86DC1"/>
    <w:rsid w:val="00F92279"/>
    <w:rsid w:val="00F93C00"/>
    <w:rsid w:val="00F93F4E"/>
    <w:rsid w:val="00F952EC"/>
    <w:rsid w:val="00F967F0"/>
    <w:rsid w:val="00F97980"/>
    <w:rsid w:val="00F97F32"/>
    <w:rsid w:val="00FA0C14"/>
    <w:rsid w:val="00FA10D3"/>
    <w:rsid w:val="00FA1786"/>
    <w:rsid w:val="00FA2397"/>
    <w:rsid w:val="00FA4699"/>
    <w:rsid w:val="00FB403A"/>
    <w:rsid w:val="00FB4D21"/>
    <w:rsid w:val="00FB5020"/>
    <w:rsid w:val="00FB50FF"/>
    <w:rsid w:val="00FB762B"/>
    <w:rsid w:val="00FC0B48"/>
    <w:rsid w:val="00FC1CE8"/>
    <w:rsid w:val="00FC6ADA"/>
    <w:rsid w:val="00FC7F5F"/>
    <w:rsid w:val="00FD355D"/>
    <w:rsid w:val="00FD580F"/>
    <w:rsid w:val="00FD5899"/>
    <w:rsid w:val="00FE1EEC"/>
    <w:rsid w:val="00FE273D"/>
    <w:rsid w:val="00FF26F0"/>
    <w:rsid w:val="00FF447A"/>
    <w:rsid w:val="00FF6FBF"/>
    <w:rsid w:val="00FF7C6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C5513F"/>
  <w15:docId w15:val="{3763E96F-2455-4DB1-846A-997887CF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75085"/>
    <w:pPr>
      <w:spacing w:before="480"/>
      <w:outlineLvl w:val="0"/>
    </w:pPr>
    <w:rPr>
      <w:bCs w:val="0"/>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6564D3"/>
    <w:pPr>
      <w:spacing w:before="240"/>
      <w:outlineLvl w:val="2"/>
    </w:pPr>
    <w:rPr>
      <w:bCs w:val="0"/>
      <w:color w:val="3A6FAF" w:themeColor="accent2"/>
      <w:sz w:val="28"/>
      <w:szCs w:val="26"/>
    </w:rPr>
  </w:style>
  <w:style w:type="paragraph" w:styleId="Heading4">
    <w:name w:val="heading 4"/>
    <w:basedOn w:val="HeadingBase"/>
    <w:next w:val="Normal"/>
    <w:link w:val="Heading4Char"/>
    <w:qFormat/>
    <w:rsid w:val="006564D3"/>
    <w:pPr>
      <w:outlineLvl w:val="3"/>
    </w:pPr>
    <w:rPr>
      <w:bCs w:val="0"/>
      <w:color w:val="3A6FAF" w:themeColor="accent2"/>
      <w:sz w:val="26"/>
      <w:szCs w:val="26"/>
    </w:rPr>
  </w:style>
  <w:style w:type="paragraph" w:styleId="Heading5">
    <w:name w:val="heading 5"/>
    <w:basedOn w:val="HeadingBase"/>
    <w:next w:val="Normal"/>
    <w:link w:val="Heading5Char"/>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paragraph" w:styleId="Heading7">
    <w:name w:val="heading 7"/>
    <w:basedOn w:val="Normal"/>
    <w:next w:val="Normal"/>
    <w:link w:val="Heading7Char"/>
    <w:uiPriority w:val="9"/>
    <w:semiHidden/>
    <w:unhideWhenUsed/>
    <w:qFormat/>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paragraph" w:styleId="Heading8">
    <w:name w:val="heading 8"/>
    <w:basedOn w:val="Normal"/>
    <w:next w:val="Normal"/>
    <w:link w:val="Heading8Char"/>
    <w:semiHidden/>
    <w:unhideWhenUsed/>
    <w:qFormat/>
    <w:rsid w:val="00BE639E"/>
    <w:pPr>
      <w:keepNext/>
      <w:keepLines/>
      <w:spacing w:before="200" w:after="0"/>
      <w:ind w:left="1440" w:hanging="144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BE639E"/>
    <w:pPr>
      <w:keepNext/>
      <w:keepLines/>
      <w:spacing w:before="200" w:after="0"/>
      <w:ind w:left="1584" w:hanging="1584"/>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5085"/>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6564D3"/>
    <w:rPr>
      <w:rFonts w:ascii="Calibri" w:eastAsia="Times New Roman" w:hAnsi="Calibri" w:cs="Arial"/>
      <w:color w:val="3A6FAF" w:themeColor="accent2"/>
      <w:kern w:val="32"/>
      <w:sz w:val="28"/>
      <w:szCs w:val="26"/>
      <w:lang w:eastAsia="en-AU"/>
    </w:rPr>
  </w:style>
  <w:style w:type="character" w:customStyle="1" w:styleId="Heading4Char">
    <w:name w:val="Heading 4 Char"/>
    <w:basedOn w:val="DefaultParagraphFont"/>
    <w:link w:val="Heading4"/>
    <w:rsid w:val="006564D3"/>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F93C00"/>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b + line,b1,level 1,Bullet + line"/>
    <w:basedOn w:val="Normal"/>
    <w:link w:val="BulletChar"/>
    <w:qFormat/>
    <w:rsid w:val="000E0B74"/>
    <w:pPr>
      <w:numPr>
        <w:numId w:val="1"/>
      </w:numPr>
      <w:tabs>
        <w:tab w:val="clear" w:pos="283"/>
        <w:tab w:val="num" w:pos="520"/>
      </w:tabs>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6564D3"/>
    <w:pPr>
      <w:keepNext/>
      <w:spacing w:before="0" w:after="360"/>
    </w:pPr>
    <w:rPr>
      <w:color w:val="00818F" w:themeColor="accent5"/>
      <w:sz w:val="44"/>
    </w:rPr>
  </w:style>
  <w:style w:type="paragraph" w:customStyle="1" w:styleId="Dash">
    <w:name w:val="Dash"/>
    <w:basedOn w:val="Normal"/>
    <w:qFormat/>
    <w:rsid w:val="000E0B74"/>
    <w:pPr>
      <w:numPr>
        <w:ilvl w:val="1"/>
        <w:numId w:val="1"/>
      </w:numPr>
      <w:tabs>
        <w:tab w:val="clear" w:pos="567"/>
        <w:tab w:val="num" w:pos="1040"/>
      </w:tabs>
      <w:spacing w:before="0"/>
      <w:ind w:left="568" w:hanging="520"/>
    </w:pPr>
  </w:style>
  <w:style w:type="paragraph" w:customStyle="1" w:styleId="DoubleDot">
    <w:name w:val="Double Dot"/>
    <w:basedOn w:val="Normal"/>
    <w:qFormat/>
    <w:rsid w:val="000E0B74"/>
    <w:pPr>
      <w:numPr>
        <w:ilvl w:val="2"/>
        <w:numId w:val="1"/>
      </w:numPr>
      <w:tabs>
        <w:tab w:val="clear" w:pos="850"/>
        <w:tab w:val="num" w:pos="1560"/>
      </w:tabs>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564D3"/>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tabs>
        <w:tab w:val="clear" w:pos="1418"/>
      </w:tabs>
      <w:spacing w:before="0"/>
      <w:ind w:left="2160" w:hanging="18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3A6FAF" w:themeColor="accent2"/>
    </w:rPr>
  </w:style>
  <w:style w:type="paragraph" w:customStyle="1" w:styleId="TableColumnHeadingCentred">
    <w:name w:val="Table Column Heading Centred"/>
    <w:basedOn w:val="TableTextLeft"/>
    <w:rsid w:val="006564D3"/>
    <w:pPr>
      <w:jc w:val="center"/>
    </w:pPr>
    <w:rPr>
      <w:b/>
      <w:color w:val="002C47" w:themeColor="accent1"/>
      <w:sz w:val="20"/>
    </w:rPr>
  </w:style>
  <w:style w:type="paragraph" w:customStyle="1" w:styleId="TableColumnHeadingLeft">
    <w:name w:val="Table Column Heading Left"/>
    <w:basedOn w:val="TableTextLeft"/>
    <w:rsid w:val="006564D3"/>
    <w:rPr>
      <w:b/>
      <w:color w:val="002C47" w:themeColor="accent1"/>
      <w:sz w:val="20"/>
    </w:rPr>
  </w:style>
  <w:style w:type="paragraph" w:customStyle="1" w:styleId="TableColumnHeadingRight">
    <w:name w:val="Table Column Heading Right"/>
    <w:basedOn w:val="TableTextLeft"/>
    <w:rsid w:val="006564D3"/>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4D3"/>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6564D3"/>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6564D3"/>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6564D3"/>
    <w:pPr>
      <w:spacing w:before="0" w:after="300"/>
      <w:contextualSpacing/>
    </w:pPr>
    <w:rPr>
      <w:rFonts w:eastAsiaTheme="majorEastAsia" w:cstheme="majorBidi"/>
      <w:b/>
      <w:color w:val="002C47" w:themeColor="accent1"/>
      <w:spacing w:val="5"/>
      <w:kern w:val="28"/>
      <w:sz w:val="72"/>
      <w:szCs w:val="52"/>
    </w:rPr>
  </w:style>
  <w:style w:type="character" w:customStyle="1" w:styleId="TitleChar">
    <w:name w:val="Title Char"/>
    <w:basedOn w:val="DefaultParagraphFont"/>
    <w:link w:val="Title"/>
    <w:uiPriority w:val="10"/>
    <w:rsid w:val="006564D3"/>
    <w:rPr>
      <w:rFonts w:ascii="Calibri" w:eastAsiaTheme="majorEastAsia" w:hAnsi="Calibri" w:cstheme="majorBidi"/>
      <w:b/>
      <w:color w:val="002C47" w:themeColor="accent1"/>
      <w:spacing w:val="5"/>
      <w:kern w:val="28"/>
      <w:sz w:val="72"/>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6564D3"/>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semiHidden/>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ulletChar">
    <w:name w:val="Bullet Char"/>
    <w:aliases w:val="b + line Char Char,b Char,b Char Char,Body Char,Bullet + line Char,Bullets Char,L Char,List Paragraph Char,List Paragraph1 Char,List Paragraph11 Char,List Paragraph2 Char,Number Char,Recommendation Char,b + line Char,b1 Char,level 1 Char"/>
    <w:basedOn w:val="DefaultParagraphFont"/>
    <w:link w:val="Bullet"/>
    <w:qFormat/>
    <w:rsid w:val="006B62FF"/>
    <w:rPr>
      <w:rFonts w:ascii="Calibri" w:eastAsia="Times New Roman" w:hAnsi="Calibri" w:cs="Times New Roman"/>
      <w:szCs w:val="20"/>
      <w:lang w:eastAsia="en-AU"/>
    </w:rPr>
  </w:style>
  <w:style w:type="paragraph" w:styleId="ListParagraph">
    <w:name w:val="List Paragraph"/>
    <w:basedOn w:val="Normal"/>
    <w:uiPriority w:val="34"/>
    <w:qFormat/>
    <w:rsid w:val="007271A4"/>
    <w:pPr>
      <w:ind w:left="720"/>
      <w:contextualSpacing/>
    </w:pPr>
  </w:style>
  <w:style w:type="character" w:styleId="CommentReference">
    <w:name w:val="annotation reference"/>
    <w:basedOn w:val="DefaultParagraphFont"/>
    <w:uiPriority w:val="99"/>
    <w:semiHidden/>
    <w:unhideWhenUsed/>
    <w:rsid w:val="00F61DFF"/>
    <w:rPr>
      <w:sz w:val="16"/>
      <w:szCs w:val="16"/>
    </w:rPr>
  </w:style>
  <w:style w:type="paragraph" w:styleId="CommentText">
    <w:name w:val="annotation text"/>
    <w:basedOn w:val="Normal"/>
    <w:link w:val="CommentTextChar"/>
    <w:uiPriority w:val="99"/>
    <w:unhideWhenUsed/>
    <w:rsid w:val="00F61DFF"/>
    <w:rPr>
      <w:sz w:val="20"/>
    </w:rPr>
  </w:style>
  <w:style w:type="character" w:customStyle="1" w:styleId="CommentTextChar">
    <w:name w:val="Comment Text Char"/>
    <w:basedOn w:val="DefaultParagraphFont"/>
    <w:link w:val="CommentText"/>
    <w:uiPriority w:val="99"/>
    <w:rsid w:val="00F61DFF"/>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61DFF"/>
    <w:rPr>
      <w:b/>
      <w:bCs/>
    </w:rPr>
  </w:style>
  <w:style w:type="character" w:customStyle="1" w:styleId="CommentSubjectChar">
    <w:name w:val="Comment Subject Char"/>
    <w:basedOn w:val="CommentTextChar"/>
    <w:link w:val="CommentSubject"/>
    <w:uiPriority w:val="99"/>
    <w:semiHidden/>
    <w:rsid w:val="00F61DFF"/>
    <w:rPr>
      <w:rFonts w:ascii="Calibri" w:eastAsia="Times New Roman" w:hAnsi="Calibri" w:cs="Times New Roman"/>
      <w:b/>
      <w:bCs/>
      <w:sz w:val="20"/>
      <w:szCs w:val="20"/>
      <w:lang w:eastAsia="en-AU"/>
    </w:rPr>
  </w:style>
  <w:style w:type="character" w:styleId="UnresolvedMention">
    <w:name w:val="Unresolved Mention"/>
    <w:basedOn w:val="DefaultParagraphFont"/>
    <w:uiPriority w:val="99"/>
    <w:semiHidden/>
    <w:unhideWhenUsed/>
    <w:rsid w:val="00F61DFF"/>
    <w:rPr>
      <w:color w:val="605E5C"/>
      <w:shd w:val="clear" w:color="auto" w:fill="E1DFDD"/>
    </w:rPr>
  </w:style>
  <w:style w:type="paragraph" w:customStyle="1" w:styleId="footnotedescription">
    <w:name w:val="footnote description"/>
    <w:next w:val="Normal"/>
    <w:link w:val="footnotedescriptionChar"/>
    <w:hidden/>
    <w:rsid w:val="008605EF"/>
    <w:pPr>
      <w:spacing w:after="0"/>
      <w:ind w:left="1"/>
    </w:pPr>
    <w:rPr>
      <w:rFonts w:ascii="Calibri" w:eastAsia="Calibri" w:hAnsi="Calibri" w:cs="Calibri"/>
      <w:color w:val="000000"/>
      <w:sz w:val="18"/>
      <w:lang w:eastAsia="en-AU"/>
    </w:rPr>
  </w:style>
  <w:style w:type="character" w:customStyle="1" w:styleId="footnotedescriptionChar">
    <w:name w:val="footnote description Char"/>
    <w:link w:val="footnotedescription"/>
    <w:rsid w:val="008605EF"/>
    <w:rPr>
      <w:rFonts w:ascii="Calibri" w:eastAsia="Calibri" w:hAnsi="Calibri" w:cs="Calibri"/>
      <w:color w:val="000000"/>
      <w:sz w:val="18"/>
      <w:lang w:eastAsia="en-AU"/>
    </w:rPr>
  </w:style>
  <w:style w:type="character" w:customStyle="1" w:styleId="footnotemark">
    <w:name w:val="footnote mark"/>
    <w:hidden/>
    <w:rsid w:val="008605EF"/>
    <w:rPr>
      <w:rFonts w:ascii="Calibri" w:eastAsia="Calibri" w:hAnsi="Calibri" w:cs="Calibri"/>
      <w:color w:val="000000"/>
      <w:sz w:val="18"/>
      <w:vertAlign w:val="superscript"/>
    </w:rPr>
  </w:style>
  <w:style w:type="table" w:customStyle="1" w:styleId="TableGrid1">
    <w:name w:val="Table Grid1"/>
    <w:basedOn w:val="TableNormal"/>
    <w:next w:val="TableGrid"/>
    <w:uiPriority w:val="59"/>
    <w:rsid w:val="00BE639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per">
    <w:name w:val="Normal Paper"/>
    <w:basedOn w:val="Normal"/>
    <w:link w:val="NormalPaperChar"/>
    <w:autoRedefine/>
    <w:rsid w:val="00BE639E"/>
    <w:pPr>
      <w:spacing w:before="0" w:after="240"/>
    </w:pPr>
    <w:rPr>
      <w:rFonts w:ascii="Arial" w:hAnsi="Arial"/>
    </w:rPr>
  </w:style>
  <w:style w:type="character" w:customStyle="1" w:styleId="NormalPaperChar">
    <w:name w:val="Normal Paper Char"/>
    <w:link w:val="NormalPaper"/>
    <w:rsid w:val="00BE639E"/>
    <w:rPr>
      <w:rFonts w:ascii="Arial" w:eastAsia="Times New Roman" w:hAnsi="Arial" w:cs="Times New Roman"/>
      <w:szCs w:val="20"/>
      <w:lang w:eastAsia="en-AU"/>
    </w:rPr>
  </w:style>
  <w:style w:type="paragraph" w:styleId="Date">
    <w:name w:val="Date"/>
    <w:basedOn w:val="Normal"/>
    <w:next w:val="Normal"/>
    <w:link w:val="DateChar"/>
    <w:rsid w:val="00BE639E"/>
    <w:pPr>
      <w:spacing w:before="0" w:after="240"/>
    </w:pPr>
    <w:rPr>
      <w:rFonts w:ascii="Arial" w:hAnsi="Arial"/>
    </w:rPr>
  </w:style>
  <w:style w:type="character" w:customStyle="1" w:styleId="DateChar">
    <w:name w:val="Date Char"/>
    <w:basedOn w:val="DefaultParagraphFont"/>
    <w:link w:val="Date"/>
    <w:rsid w:val="00BE639E"/>
    <w:rPr>
      <w:rFonts w:ascii="Arial" w:eastAsia="Times New Roman" w:hAnsi="Arial" w:cs="Times New Roman"/>
      <w:szCs w:val="20"/>
      <w:lang w:eastAsia="en-AU"/>
    </w:rPr>
  </w:style>
  <w:style w:type="character" w:customStyle="1" w:styleId="Heading8Char">
    <w:name w:val="Heading 8 Char"/>
    <w:basedOn w:val="DefaultParagraphFont"/>
    <w:link w:val="Heading8"/>
    <w:semiHidden/>
    <w:rsid w:val="00BE639E"/>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semiHidden/>
    <w:rsid w:val="00BE639E"/>
    <w:rPr>
      <w:rFonts w:asciiTheme="majorHAnsi" w:eastAsiaTheme="majorEastAsia" w:hAnsiTheme="majorHAnsi" w:cstheme="majorBidi"/>
      <w:i/>
      <w:iCs/>
      <w:color w:val="404040" w:themeColor="text1" w:themeTint="BF"/>
      <w:sz w:val="20"/>
      <w:szCs w:val="20"/>
      <w:lang w:eastAsia="en-AU"/>
    </w:rPr>
  </w:style>
  <w:style w:type="table" w:customStyle="1" w:styleId="TableGrid2">
    <w:name w:val="Table Grid2"/>
    <w:basedOn w:val="TableNormal"/>
    <w:next w:val="TableGrid"/>
    <w:uiPriority w:val="59"/>
    <w:rsid w:val="00BE639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D1FB6"/>
    <w:pPr>
      <w:spacing w:after="0" w:line="240" w:lineRule="auto"/>
    </w:pPr>
    <w:rPr>
      <w:rFonts w:ascii="Calibri" w:eastAsia="Times New Roman" w:hAnsi="Calibri" w:cs="Times New Roman"/>
      <w:szCs w:val="20"/>
      <w:lang w:eastAsia="en-AU"/>
    </w:rPr>
  </w:style>
  <w:style w:type="paragraph" w:styleId="Revision">
    <w:name w:val="Revision"/>
    <w:hidden/>
    <w:uiPriority w:val="99"/>
    <w:semiHidden/>
    <w:rsid w:val="007F7144"/>
    <w:pPr>
      <w:spacing w:after="0" w:line="240" w:lineRule="auto"/>
    </w:pPr>
    <w:rPr>
      <w:rFonts w:ascii="Calibri" w:eastAsia="Times New Roman" w:hAnsi="Calibri" w:cs="Times New Roman"/>
      <w:szCs w:val="20"/>
      <w:lang w:eastAsia="en-AU"/>
    </w:rPr>
  </w:style>
  <w:style w:type="paragraph" w:customStyle="1" w:styleId="Default">
    <w:name w:val="Default"/>
    <w:rsid w:val="00C90768"/>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701722"/>
    <w:rPr>
      <w:color w:val="E61E26" w:themeColor="followedHyperlink"/>
      <w:u w:val="single"/>
    </w:rPr>
  </w:style>
  <w:style w:type="paragraph" w:styleId="TOCHeading">
    <w:name w:val="TOC Heading"/>
    <w:basedOn w:val="Heading1"/>
    <w:next w:val="Normal"/>
    <w:uiPriority w:val="39"/>
    <w:unhideWhenUsed/>
    <w:qFormat/>
    <w:rsid w:val="009A1508"/>
    <w:pPr>
      <w:keepLines/>
      <w:spacing w:before="240" w:after="0" w:line="259" w:lineRule="auto"/>
      <w:outlineLvl w:val="9"/>
    </w:pPr>
    <w:rPr>
      <w:rFonts w:asciiTheme="majorHAnsi" w:eastAsiaTheme="majorEastAsia" w:hAnsiTheme="majorHAnsi" w:cstheme="majorBidi"/>
      <w:color w:val="002035" w:themeColor="accent1" w:themeShade="BF"/>
      <w:kern w:val="0"/>
      <w:sz w:val="32"/>
      <w:szCs w:val="32"/>
      <w:lang w:val="en-US" w:eastAsia="en-US"/>
    </w:rPr>
  </w:style>
  <w:style w:type="paragraph" w:styleId="NormalWeb">
    <w:name w:val="Normal (Web)"/>
    <w:basedOn w:val="Normal"/>
    <w:uiPriority w:val="99"/>
    <w:semiHidden/>
    <w:unhideWhenUsed/>
    <w:rsid w:val="00B41C91"/>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88547">
      <w:bodyDiv w:val="1"/>
      <w:marLeft w:val="0"/>
      <w:marRight w:val="0"/>
      <w:marTop w:val="0"/>
      <w:marBottom w:val="0"/>
      <w:divBdr>
        <w:top w:val="none" w:sz="0" w:space="0" w:color="auto"/>
        <w:left w:val="none" w:sz="0" w:space="0" w:color="auto"/>
        <w:bottom w:val="none" w:sz="0" w:space="0" w:color="auto"/>
        <w:right w:val="none" w:sz="0" w:space="0" w:color="auto"/>
      </w:divBdr>
      <w:divsChild>
        <w:div w:id="2036736714">
          <w:marLeft w:val="0"/>
          <w:marRight w:val="0"/>
          <w:marTop w:val="0"/>
          <w:marBottom w:val="0"/>
          <w:divBdr>
            <w:top w:val="none" w:sz="0" w:space="0" w:color="auto"/>
            <w:left w:val="none" w:sz="0" w:space="0" w:color="auto"/>
            <w:bottom w:val="none" w:sz="0" w:space="0" w:color="auto"/>
            <w:right w:val="none" w:sz="0" w:space="0" w:color="auto"/>
          </w:divBdr>
          <w:divsChild>
            <w:div w:id="43236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18006">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920874964">
      <w:bodyDiv w:val="1"/>
      <w:marLeft w:val="0"/>
      <w:marRight w:val="0"/>
      <w:marTop w:val="0"/>
      <w:marBottom w:val="0"/>
      <w:divBdr>
        <w:top w:val="none" w:sz="0" w:space="0" w:color="auto"/>
        <w:left w:val="none" w:sz="0" w:space="0" w:color="auto"/>
        <w:bottom w:val="none" w:sz="0" w:space="0" w:color="auto"/>
        <w:right w:val="none" w:sz="0" w:space="0" w:color="auto"/>
      </w:divBdr>
    </w:div>
    <w:div w:id="1262303820">
      <w:bodyDiv w:val="1"/>
      <w:marLeft w:val="0"/>
      <w:marRight w:val="0"/>
      <w:marTop w:val="0"/>
      <w:marBottom w:val="0"/>
      <w:divBdr>
        <w:top w:val="none" w:sz="0" w:space="0" w:color="auto"/>
        <w:left w:val="none" w:sz="0" w:space="0" w:color="auto"/>
        <w:bottom w:val="none" w:sz="0" w:space="0" w:color="auto"/>
        <w:right w:val="none" w:sz="0" w:space="0" w:color="auto"/>
      </w:divBdr>
    </w:div>
    <w:div w:id="1649751185">
      <w:bodyDiv w:val="1"/>
      <w:marLeft w:val="0"/>
      <w:marRight w:val="0"/>
      <w:marTop w:val="0"/>
      <w:marBottom w:val="0"/>
      <w:divBdr>
        <w:top w:val="none" w:sz="0" w:space="0" w:color="auto"/>
        <w:left w:val="none" w:sz="0" w:space="0" w:color="auto"/>
        <w:bottom w:val="none" w:sz="0" w:space="0" w:color="auto"/>
        <w:right w:val="none" w:sz="0" w:space="0" w:color="auto"/>
      </w:divBdr>
    </w:div>
    <w:div w:id="194518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legalcode"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yperlink" Target="http://creativecommons.org/licenses/by/3.0/au/deed.en" TargetMode="External"/><Relationship Id="rId17" Type="http://schemas.openxmlformats.org/officeDocument/2006/relationships/hyperlink" Target="mailto:media@treasury.gov.au" TargetMode="External"/><Relationship Id="rId25" Type="http://schemas.openxmlformats.org/officeDocument/2006/relationships/header" Target="header4.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www.pmc.gov.au/government/commonwealth-coat-arm" TargetMode="External"/><Relationship Id="rId20" Type="http://schemas.openxmlformats.org/officeDocument/2006/relationships/header" Target="head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creativecommons.org/licenses/by/3.0/au/deed.en" TargetMode="External"/><Relationship Id="rId23" Type="http://schemas.openxmlformats.org/officeDocument/2006/relationships/footer" Target="footer3.xm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s://www.fitchratings.com/research/insurance/sharply-rising-cyber-insurance-claims-signal-further-risk-challenges-15-04-2021" TargetMode="External"/><Relationship Id="rId2" Type="http://schemas.openxmlformats.org/officeDocument/2006/relationships/hyperlink" Target="https://aoninsights.com.au/wp-content/uploads/Cyber-Insurance-Market-Insights-Q1-2021-Final.pdf" TargetMode="External"/><Relationship Id="rId1" Type="http://schemas.openxmlformats.org/officeDocument/2006/relationships/hyperlink" Target="https://arpc.gov.au/2021/02/19/arpcs-retrocession-program-builds-terrorism-schemes-capital-strength-and-helps-cover-the-economy-against-terrorist-attacks/" TargetMode="External"/><Relationship Id="rId6" Type="http://schemas.openxmlformats.org/officeDocument/2006/relationships/hyperlink" Target="https://www.abc.net.au/news/science/2021-07-16/australian-organisations-paying-millions-ransomware-hackers/100291542" TargetMode="External"/><Relationship Id="rId5" Type="http://schemas.openxmlformats.org/officeDocument/2006/relationships/hyperlink" Target="https://www.homeaffairs.gov.au/reports-and-publications/submissions-and-discussion-papers/code-of-practice" TargetMode="External"/><Relationship Id="rId4" Type="http://schemas.openxmlformats.org/officeDocument/2006/relationships/hyperlink" Target="https://www.austcyber.com/resources/sector-competitiveness-plan/chapter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51D6B1722B29544813F38820B1CFA82" ma:contentTypeVersion="" ma:contentTypeDescription="PDMS Document Site Content Type" ma:contentTypeScope="" ma:versionID="f18965b4c6a178cfb0fbe3bcce3fffcc">
  <xsd:schema xmlns:xsd="http://www.w3.org/2001/XMLSchema" xmlns:xs="http://www.w3.org/2001/XMLSchema" xmlns:p="http://schemas.microsoft.com/office/2006/metadata/properties" xmlns:ns2="93EEB98F-A341-4E78-BE48-C1A242262930" targetNamespace="http://schemas.microsoft.com/office/2006/metadata/properties" ma:root="true" ma:fieldsID="cd7848ec68fb81bd5be5b88ee05fb0dc" ns2:_="">
    <xsd:import namespace="93EEB98F-A341-4E78-BE48-C1A242262930"/>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EB98F-A341-4E78-BE48-C1A242262930"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93EEB98F-A341-4E78-BE48-C1A24226293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4C3AA-13A7-4142-8E68-BD78BBDBEFED}">
  <ds:schemaRefs>
    <ds:schemaRef ds:uri="http://schemas.microsoft.com/sharepoint/v3/contenttype/forms"/>
  </ds:schemaRefs>
</ds:datastoreItem>
</file>

<file path=customXml/itemProps2.xml><?xml version="1.0" encoding="utf-8"?>
<ds:datastoreItem xmlns:ds="http://schemas.openxmlformats.org/officeDocument/2006/customXml" ds:itemID="{DCAA79C8-D10D-433F-9751-1B4B8F080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EB98F-A341-4E78-BE48-C1A2422629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46DF5-D4A5-4FE5-9B42-E7087052F3E9}">
  <ds:schemaRefs>
    <ds:schemaRef ds:uri="http://schemas.microsoft.com/office/2006/metadata/properties"/>
    <ds:schemaRef ds:uri="http://schemas.microsoft.com/office/infopath/2007/PartnerControls"/>
    <ds:schemaRef ds:uri="93EEB98F-A341-4E78-BE48-C1A242262930"/>
  </ds:schemaRefs>
</ds:datastoreItem>
</file>

<file path=customXml/itemProps4.xml><?xml version="1.0" encoding="utf-8"?>
<ds:datastoreItem xmlns:ds="http://schemas.openxmlformats.org/officeDocument/2006/customXml" ds:itemID="{AFBBBA07-08C7-4009-8ACB-27674FD1C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A4 Report.dotm</Template>
  <TotalTime>8</TotalTime>
  <Pages>24</Pages>
  <Words>7611</Words>
  <Characters>43385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50895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Leslie, Cathal</dc:creator>
  <cp:keywords/>
  <cp:lastModifiedBy>Hodges, Liam</cp:lastModifiedBy>
  <cp:revision>6</cp:revision>
  <cp:lastPrinted>2021-12-02T01:36:00Z</cp:lastPrinted>
  <dcterms:created xsi:type="dcterms:W3CDTF">2021-12-01T08:08:00Z</dcterms:created>
  <dcterms:modified xsi:type="dcterms:W3CDTF">2021-12-02T01:36:00Z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Value_Footer">
    <vt:lpwstr/>
  </property>
  <property fmtid="{D5CDD505-2E9C-101B-9397-08002B2CF9AE}" pid="3" name="PM_Caveats_Count">
    <vt:lpwstr>0</vt:lpwstr>
  </property>
  <property fmtid="{D5CDD505-2E9C-101B-9397-08002B2CF9AE}" pid="4" name="PM_Originator_Hash_SHA1">
    <vt:lpwstr>65B4B6F1F11C183D2B9D7143C75A26499BBDDD68</vt:lpwstr>
  </property>
  <property fmtid="{D5CDD505-2E9C-101B-9397-08002B2CF9AE}" pid="5" name="PM_SecurityClassification">
    <vt:lpwstr/>
  </property>
  <property fmtid="{D5CDD505-2E9C-101B-9397-08002B2CF9AE}" pid="6" name="PM_DisplayValueSecClassificationWithQualifier">
    <vt:lpwstr/>
  </property>
  <property fmtid="{D5CDD505-2E9C-101B-9397-08002B2CF9AE}" pid="7" name="PM_Qualifier">
    <vt:lpwstr/>
  </property>
  <property fmtid="{D5CDD505-2E9C-101B-9397-08002B2CF9AE}" pid="8" name="PM_Hash_SHA1">
    <vt:lpwstr>59224100CA45110DE8AA77FC656880617385149A</vt:lpwstr>
  </property>
  <property fmtid="{D5CDD505-2E9C-101B-9397-08002B2CF9AE}" pid="9" name="PM_ProtectiveMarkingImage_Header">
    <vt:lpwstr>C:\Program Files (x86)\Common Files\janusNET Shared\janusSEAL\Images\DocumentSlashBlue.png</vt:lpwstr>
  </property>
  <property fmtid="{D5CDD505-2E9C-101B-9397-08002B2CF9AE}" pid="10" name="PM_InsertionValue">
    <vt:lpwstr/>
  </property>
  <property fmtid="{D5CDD505-2E9C-101B-9397-08002B2CF9AE}" pid="11" name="PM_ProtectiveMarkingValue_Header">
    <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2018.1</vt:lpwstr>
  </property>
  <property fmtid="{D5CDD505-2E9C-101B-9397-08002B2CF9AE}" pid="15" name="PM_Originating_FileId">
    <vt:lpwstr>561A7967D5954F90B3115701C10E08C8</vt:lpwstr>
  </property>
  <property fmtid="{D5CDD505-2E9C-101B-9397-08002B2CF9AE}" pid="16" name="PM_Note">
    <vt:lpwstr/>
  </property>
  <property fmtid="{D5CDD505-2E9C-101B-9397-08002B2CF9AE}" pid="17" name="PM_Markers">
    <vt:lpwstr/>
  </property>
  <property fmtid="{D5CDD505-2E9C-101B-9397-08002B2CF9AE}" pid="18" name="PM_OriginationTimeStamp">
    <vt:lpwstr>2020-08-10T07:58:36Z</vt:lpwstr>
  </property>
  <property fmtid="{D5CDD505-2E9C-101B-9397-08002B2CF9AE}" pid="19" name="PM_Hash_Version">
    <vt:lpwstr>2018.0</vt:lpwstr>
  </property>
  <property fmtid="{D5CDD505-2E9C-101B-9397-08002B2CF9AE}" pid="20" name="PM_Hash_Salt_Prev">
    <vt:lpwstr>E411A64B81591E50831F0A4DB80D0D3E</vt:lpwstr>
  </property>
  <property fmtid="{D5CDD505-2E9C-101B-9397-08002B2CF9AE}" pid="21" name="PM_Hash_Salt">
    <vt:lpwstr>10C4AEE9E10F566A9B67D4C9DDF64A3C</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ContentTypeId">
    <vt:lpwstr>0x010100266966F133664895A6EE3632470D45F500D51D6B1722B29544813F38820B1CFA82</vt:lpwstr>
  </property>
  <property fmtid="{D5CDD505-2E9C-101B-9397-08002B2CF9AE}" pid="25" name="TSYRecordClass">
    <vt:lpwstr>2;#TSY RA-9081 - Retain as national archives|bbf0bcde-1687-4ff2-bc57-f31b5d545d4b</vt:lpwstr>
  </property>
  <property fmtid="{D5CDD505-2E9C-101B-9397-08002B2CF9AE}" pid="26" name="_dlc_DocIdItemGuid">
    <vt:lpwstr>d6d44cd8-4da8-4803-84fb-7205a284ec45</vt:lpwstr>
  </property>
</Properties>
</file>