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43AFE" w14:textId="77777777" w:rsidR="00F64927" w:rsidRPr="00CF4FCA" w:rsidRDefault="00F64927" w:rsidP="00CF4FCA">
      <w:pPr>
        <w:pStyle w:val="Title"/>
      </w:pPr>
      <w:bookmarkStart w:id="0" w:name="_GoBack"/>
      <w:bookmarkEnd w:id="0"/>
      <w:r w:rsidRPr="00CF4FCA">
        <w:t>GUIDELINES FOR THE EXERCISE</w:t>
      </w:r>
      <w:r w:rsidR="006A105C" w:rsidRPr="00CF4FCA">
        <w:t xml:space="preserve"> OF</w:t>
      </w:r>
      <w:r w:rsidRPr="00CF4FCA">
        <w:t xml:space="preserve"> POWERS</w:t>
      </w:r>
      <w:r w:rsidR="0086247B" w:rsidRPr="00CF4FCA">
        <w:t xml:space="preserve"> DELEGATED TO ASIC </w:t>
      </w:r>
      <w:r w:rsidRPr="00CF4FCA">
        <w:t xml:space="preserve">UNDER CHAPTER 7 </w:t>
      </w:r>
      <w:r w:rsidR="0086247B" w:rsidRPr="00CF4FCA">
        <w:t xml:space="preserve">OF </w:t>
      </w:r>
      <w:r w:rsidRPr="00CF4FCA">
        <w:t xml:space="preserve">THE </w:t>
      </w:r>
      <w:r w:rsidRPr="00CF4FCA">
        <w:rPr>
          <w:i/>
        </w:rPr>
        <w:t>CORPORATIONS ACT 2001</w:t>
      </w:r>
    </w:p>
    <w:p w14:paraId="3BC43AFF" w14:textId="77777777" w:rsidR="00F64927" w:rsidRDefault="00F64927" w:rsidP="00CC26A2"/>
    <w:p w14:paraId="3BC43B00" w14:textId="77777777" w:rsidR="00F64927" w:rsidRDefault="00F64927" w:rsidP="00CC26A2"/>
    <w:p w14:paraId="3BC43B01" w14:textId="77777777" w:rsidR="00F64927" w:rsidRPr="00EF25F1" w:rsidRDefault="00F64927" w:rsidP="00CC26A2"/>
    <w:p w14:paraId="3BC43B02" w14:textId="0FC7D3D1" w:rsidR="00F64927" w:rsidRPr="00CF4FCA" w:rsidRDefault="00E439FC" w:rsidP="00CF4FCA">
      <w:pPr>
        <w:pStyle w:val="Subtitle"/>
      </w:pPr>
      <w:r>
        <w:t>Assistant Treasurer</w:t>
      </w:r>
    </w:p>
    <w:p w14:paraId="3BC43B03" w14:textId="4BC22A66" w:rsidR="00CF4FCA" w:rsidRDefault="00B07EB1" w:rsidP="00CF4FCA">
      <w:pPr>
        <w:pStyle w:val="Subtitle"/>
        <w:sectPr w:rsidR="00CF4FCA" w:rsidSect="00701EEC">
          <w:headerReference w:type="default" r:id="rId14"/>
          <w:footerReference w:type="even" r:id="rId15"/>
          <w:footerReference w:type="default" r:id="rId16"/>
          <w:headerReference w:type="first" r:id="rId17"/>
          <w:pgSz w:w="11906" w:h="16838" w:code="277"/>
          <w:pgMar w:top="1701" w:right="1701" w:bottom="1701" w:left="1701" w:header="709" w:footer="709" w:gutter="0"/>
          <w:pgNumType w:start="1"/>
          <w:cols w:space="708"/>
          <w:vAlign w:val="center"/>
          <w:titlePg/>
          <w:docGrid w:linePitch="360"/>
        </w:sectPr>
      </w:pPr>
      <w:r>
        <w:t>April</w:t>
      </w:r>
      <w:r w:rsidR="00286E3F">
        <w:t xml:space="preserve"> </w:t>
      </w:r>
      <w:r w:rsidR="00407E63">
        <w:t>201</w:t>
      </w:r>
      <w:r w:rsidR="00E439FC">
        <w:t>9</w:t>
      </w:r>
    </w:p>
    <w:p w14:paraId="3BC43B04" w14:textId="77777777" w:rsidR="00210599" w:rsidRPr="00EF25F1" w:rsidRDefault="00210599" w:rsidP="00CC26A2">
      <w:pPr>
        <w:rPr>
          <w:rStyle w:val="newContentsStyleChar"/>
          <w:sz w:val="32"/>
        </w:rPr>
      </w:pPr>
      <w:bookmarkStart w:id="1" w:name="_Toc479326319"/>
      <w:r w:rsidRPr="00EF25F1">
        <w:rPr>
          <w:rStyle w:val="newContentsStyleChar"/>
          <w:sz w:val="32"/>
        </w:rPr>
        <w:lastRenderedPageBreak/>
        <w:t>Contents</w:t>
      </w:r>
      <w:bookmarkEnd w:id="1"/>
      <w:r w:rsidR="00535FE8">
        <w:rPr>
          <w:rStyle w:val="newContentsStyleChar"/>
          <w:sz w:val="32"/>
        </w:rPr>
        <w:tab/>
      </w:r>
    </w:p>
    <w:p w14:paraId="06F28C46" w14:textId="77777777" w:rsidR="0086147E" w:rsidRDefault="00210599">
      <w:pPr>
        <w:pStyle w:val="TOC1"/>
        <w:rPr>
          <w:rFonts w:cstheme="minorBidi"/>
          <w:b w:val="0"/>
          <w:lang w:eastAsia="en-AU"/>
        </w:rPr>
      </w:pPr>
      <w:r w:rsidRPr="00A40031">
        <w:fldChar w:fldCharType="begin"/>
      </w:r>
      <w:r w:rsidRPr="00A40031">
        <w:instrText xml:space="preserve"> TOC \o "1-3" \h \z \u </w:instrText>
      </w:r>
      <w:r w:rsidRPr="00A40031">
        <w:fldChar w:fldCharType="separate"/>
      </w:r>
      <w:hyperlink w:anchor="_Toc479326319" w:history="1">
        <w:r w:rsidR="0086147E" w:rsidRPr="00D97A7D">
          <w:rPr>
            <w:rStyle w:val="Hyperlink"/>
          </w:rPr>
          <w:t>Contents</w:t>
        </w:r>
        <w:r w:rsidR="0086147E">
          <w:rPr>
            <w:webHidden/>
          </w:rPr>
          <w:tab/>
        </w:r>
        <w:r w:rsidR="0086147E">
          <w:rPr>
            <w:webHidden/>
          </w:rPr>
          <w:fldChar w:fldCharType="begin"/>
        </w:r>
        <w:r w:rsidR="0086147E">
          <w:rPr>
            <w:webHidden/>
          </w:rPr>
          <w:instrText xml:space="preserve"> PAGEREF _Toc479326319 \h </w:instrText>
        </w:r>
        <w:r w:rsidR="0086147E">
          <w:rPr>
            <w:webHidden/>
          </w:rPr>
        </w:r>
        <w:r w:rsidR="0086147E">
          <w:rPr>
            <w:webHidden/>
          </w:rPr>
          <w:fldChar w:fldCharType="separate"/>
        </w:r>
        <w:r w:rsidR="00BD656D">
          <w:rPr>
            <w:webHidden/>
          </w:rPr>
          <w:t>1</w:t>
        </w:r>
        <w:r w:rsidR="0086147E">
          <w:rPr>
            <w:webHidden/>
          </w:rPr>
          <w:fldChar w:fldCharType="end"/>
        </w:r>
      </w:hyperlink>
    </w:p>
    <w:p w14:paraId="21FC1A05" w14:textId="77777777" w:rsidR="0086147E" w:rsidRDefault="00784B5E">
      <w:pPr>
        <w:pStyle w:val="TOC1"/>
        <w:rPr>
          <w:rFonts w:cstheme="minorBidi"/>
          <w:b w:val="0"/>
          <w:lang w:eastAsia="en-AU"/>
        </w:rPr>
      </w:pPr>
      <w:hyperlink w:anchor="_Toc479326320" w:history="1">
        <w:r w:rsidR="0086147E" w:rsidRPr="00D97A7D">
          <w:rPr>
            <w:rStyle w:val="Hyperlink"/>
          </w:rPr>
          <w:t>1.</w:t>
        </w:r>
        <w:r w:rsidR="0086147E">
          <w:rPr>
            <w:rFonts w:cstheme="minorBidi"/>
            <w:b w:val="0"/>
            <w:lang w:eastAsia="en-AU"/>
          </w:rPr>
          <w:tab/>
        </w:r>
        <w:r w:rsidR="0086147E" w:rsidRPr="00D97A7D">
          <w:rPr>
            <w:rStyle w:val="Hyperlink"/>
          </w:rPr>
          <w:t>Background</w:t>
        </w:r>
        <w:r w:rsidR="0086147E">
          <w:rPr>
            <w:webHidden/>
          </w:rPr>
          <w:tab/>
        </w:r>
        <w:r w:rsidR="0086147E">
          <w:rPr>
            <w:webHidden/>
          </w:rPr>
          <w:fldChar w:fldCharType="begin"/>
        </w:r>
        <w:r w:rsidR="0086147E">
          <w:rPr>
            <w:webHidden/>
          </w:rPr>
          <w:instrText xml:space="preserve"> PAGEREF _Toc479326320 \h </w:instrText>
        </w:r>
        <w:r w:rsidR="0086147E">
          <w:rPr>
            <w:webHidden/>
          </w:rPr>
        </w:r>
        <w:r w:rsidR="0086147E">
          <w:rPr>
            <w:webHidden/>
          </w:rPr>
          <w:fldChar w:fldCharType="separate"/>
        </w:r>
        <w:r w:rsidR="00BD656D">
          <w:rPr>
            <w:webHidden/>
          </w:rPr>
          <w:t>1</w:t>
        </w:r>
        <w:r w:rsidR="0086147E">
          <w:rPr>
            <w:webHidden/>
          </w:rPr>
          <w:fldChar w:fldCharType="end"/>
        </w:r>
      </w:hyperlink>
    </w:p>
    <w:p w14:paraId="5F7EFB52" w14:textId="77777777" w:rsidR="0086147E" w:rsidRDefault="00784B5E">
      <w:pPr>
        <w:pStyle w:val="TOC2"/>
        <w:rPr>
          <w:rFonts w:cstheme="minorBidi"/>
          <w:lang w:eastAsia="en-AU"/>
        </w:rPr>
      </w:pPr>
      <w:hyperlink w:anchor="_Toc479326321" w:history="1">
        <w:r w:rsidR="0086147E" w:rsidRPr="00D97A7D">
          <w:rPr>
            <w:rStyle w:val="Hyperlink"/>
          </w:rPr>
          <w:t>Minister’s powers under the Corporations Act 2001</w:t>
        </w:r>
        <w:r w:rsidR="0086147E">
          <w:rPr>
            <w:webHidden/>
          </w:rPr>
          <w:tab/>
        </w:r>
        <w:r w:rsidR="0086147E">
          <w:rPr>
            <w:webHidden/>
          </w:rPr>
          <w:fldChar w:fldCharType="begin"/>
        </w:r>
        <w:r w:rsidR="0086147E">
          <w:rPr>
            <w:webHidden/>
          </w:rPr>
          <w:instrText xml:space="preserve"> PAGEREF _Toc479326321 \h </w:instrText>
        </w:r>
        <w:r w:rsidR="0086147E">
          <w:rPr>
            <w:webHidden/>
          </w:rPr>
        </w:r>
        <w:r w:rsidR="0086147E">
          <w:rPr>
            <w:webHidden/>
          </w:rPr>
          <w:fldChar w:fldCharType="separate"/>
        </w:r>
        <w:r w:rsidR="00BD656D">
          <w:rPr>
            <w:webHidden/>
          </w:rPr>
          <w:t>1</w:t>
        </w:r>
        <w:r w:rsidR="0086147E">
          <w:rPr>
            <w:webHidden/>
          </w:rPr>
          <w:fldChar w:fldCharType="end"/>
        </w:r>
      </w:hyperlink>
    </w:p>
    <w:p w14:paraId="257C59E6" w14:textId="77777777" w:rsidR="0086147E" w:rsidRDefault="00784B5E">
      <w:pPr>
        <w:pStyle w:val="TOC2"/>
        <w:rPr>
          <w:rFonts w:cstheme="minorBidi"/>
          <w:lang w:eastAsia="en-AU"/>
        </w:rPr>
      </w:pPr>
      <w:hyperlink w:anchor="_Toc479326322" w:history="1">
        <w:r w:rsidR="0086147E" w:rsidRPr="00D97A7D">
          <w:rPr>
            <w:rStyle w:val="Hyperlink"/>
          </w:rPr>
          <w:t>List of powers delegated to authorised ASIC officers</w:t>
        </w:r>
        <w:r w:rsidR="0086147E">
          <w:rPr>
            <w:webHidden/>
          </w:rPr>
          <w:tab/>
        </w:r>
        <w:r w:rsidR="0086147E">
          <w:rPr>
            <w:webHidden/>
          </w:rPr>
          <w:fldChar w:fldCharType="begin"/>
        </w:r>
        <w:r w:rsidR="0086147E">
          <w:rPr>
            <w:webHidden/>
          </w:rPr>
          <w:instrText xml:space="preserve"> PAGEREF _Toc479326322 \h </w:instrText>
        </w:r>
        <w:r w:rsidR="0086147E">
          <w:rPr>
            <w:webHidden/>
          </w:rPr>
        </w:r>
        <w:r w:rsidR="0086147E">
          <w:rPr>
            <w:webHidden/>
          </w:rPr>
          <w:fldChar w:fldCharType="separate"/>
        </w:r>
        <w:r w:rsidR="00BD656D">
          <w:rPr>
            <w:webHidden/>
          </w:rPr>
          <w:t>1</w:t>
        </w:r>
        <w:r w:rsidR="0086147E">
          <w:rPr>
            <w:webHidden/>
          </w:rPr>
          <w:fldChar w:fldCharType="end"/>
        </w:r>
      </w:hyperlink>
    </w:p>
    <w:p w14:paraId="2E918F9E" w14:textId="77777777" w:rsidR="0086147E" w:rsidRDefault="00784B5E">
      <w:pPr>
        <w:pStyle w:val="TOC2"/>
        <w:rPr>
          <w:rFonts w:cstheme="minorBidi"/>
          <w:lang w:eastAsia="en-AU"/>
        </w:rPr>
      </w:pPr>
      <w:hyperlink w:anchor="_Toc479326323" w:history="1">
        <w:r w:rsidR="0086147E" w:rsidRPr="00D97A7D">
          <w:rPr>
            <w:rStyle w:val="Hyperlink"/>
          </w:rPr>
          <w:t>Purpose of the guidelines</w:t>
        </w:r>
        <w:r w:rsidR="0086147E">
          <w:rPr>
            <w:webHidden/>
          </w:rPr>
          <w:tab/>
        </w:r>
        <w:r w:rsidR="0086147E">
          <w:rPr>
            <w:webHidden/>
          </w:rPr>
          <w:fldChar w:fldCharType="begin"/>
        </w:r>
        <w:r w:rsidR="0086147E">
          <w:rPr>
            <w:webHidden/>
          </w:rPr>
          <w:instrText xml:space="preserve"> PAGEREF _Toc479326323 \h </w:instrText>
        </w:r>
        <w:r w:rsidR="0086147E">
          <w:rPr>
            <w:webHidden/>
          </w:rPr>
        </w:r>
        <w:r w:rsidR="0086147E">
          <w:rPr>
            <w:webHidden/>
          </w:rPr>
          <w:fldChar w:fldCharType="separate"/>
        </w:r>
        <w:r w:rsidR="00BD656D">
          <w:rPr>
            <w:webHidden/>
          </w:rPr>
          <w:t>3</w:t>
        </w:r>
        <w:r w:rsidR="0086147E">
          <w:rPr>
            <w:webHidden/>
          </w:rPr>
          <w:fldChar w:fldCharType="end"/>
        </w:r>
      </w:hyperlink>
    </w:p>
    <w:p w14:paraId="213F69AE" w14:textId="77777777" w:rsidR="0086147E" w:rsidRDefault="00784B5E">
      <w:pPr>
        <w:pStyle w:val="TOC1"/>
        <w:rPr>
          <w:rFonts w:cstheme="minorBidi"/>
          <w:b w:val="0"/>
          <w:lang w:eastAsia="en-AU"/>
        </w:rPr>
      </w:pPr>
      <w:hyperlink w:anchor="_Toc479326324" w:history="1">
        <w:r w:rsidR="0086147E" w:rsidRPr="00D97A7D">
          <w:rPr>
            <w:rStyle w:val="Hyperlink"/>
          </w:rPr>
          <w:t>2.</w:t>
        </w:r>
        <w:r w:rsidR="0086147E">
          <w:rPr>
            <w:rFonts w:cstheme="minorBidi"/>
            <w:b w:val="0"/>
            <w:lang w:eastAsia="en-AU"/>
          </w:rPr>
          <w:tab/>
        </w:r>
        <w:r w:rsidR="0086147E" w:rsidRPr="00D97A7D">
          <w:rPr>
            <w:rStyle w:val="Hyperlink"/>
          </w:rPr>
          <w:t>Matters the delegate should have regard to when exercising the delegated powers</w:t>
        </w:r>
        <w:r w:rsidR="0086147E">
          <w:rPr>
            <w:webHidden/>
          </w:rPr>
          <w:tab/>
        </w:r>
        <w:r w:rsidR="0086147E">
          <w:rPr>
            <w:webHidden/>
          </w:rPr>
          <w:fldChar w:fldCharType="begin"/>
        </w:r>
        <w:r w:rsidR="0086147E">
          <w:rPr>
            <w:webHidden/>
          </w:rPr>
          <w:instrText xml:space="preserve"> PAGEREF _Toc479326324 \h </w:instrText>
        </w:r>
        <w:r w:rsidR="0086147E">
          <w:rPr>
            <w:webHidden/>
          </w:rPr>
        </w:r>
        <w:r w:rsidR="0086147E">
          <w:rPr>
            <w:webHidden/>
          </w:rPr>
          <w:fldChar w:fldCharType="separate"/>
        </w:r>
        <w:r w:rsidR="00BD656D">
          <w:rPr>
            <w:webHidden/>
          </w:rPr>
          <w:t>3</w:t>
        </w:r>
        <w:r w:rsidR="0086147E">
          <w:rPr>
            <w:webHidden/>
          </w:rPr>
          <w:fldChar w:fldCharType="end"/>
        </w:r>
      </w:hyperlink>
    </w:p>
    <w:p w14:paraId="18C6046A" w14:textId="77777777" w:rsidR="0086147E" w:rsidRDefault="00784B5E">
      <w:pPr>
        <w:pStyle w:val="TOC2"/>
        <w:rPr>
          <w:rFonts w:cstheme="minorBidi"/>
          <w:lang w:eastAsia="en-AU"/>
        </w:rPr>
      </w:pPr>
      <w:hyperlink w:anchor="_Toc479326325" w:history="1">
        <w:r w:rsidR="0086147E" w:rsidRPr="00D97A7D">
          <w:rPr>
            <w:rStyle w:val="Hyperlink"/>
          </w:rPr>
          <w:t>Objectives of regulation</w:t>
        </w:r>
        <w:r w:rsidR="0086147E">
          <w:rPr>
            <w:webHidden/>
          </w:rPr>
          <w:tab/>
        </w:r>
        <w:r w:rsidR="0086147E">
          <w:rPr>
            <w:webHidden/>
          </w:rPr>
          <w:fldChar w:fldCharType="begin"/>
        </w:r>
        <w:r w:rsidR="0086147E">
          <w:rPr>
            <w:webHidden/>
          </w:rPr>
          <w:instrText xml:space="preserve"> PAGEREF _Toc479326325 \h </w:instrText>
        </w:r>
        <w:r w:rsidR="0086147E">
          <w:rPr>
            <w:webHidden/>
          </w:rPr>
        </w:r>
        <w:r w:rsidR="0086147E">
          <w:rPr>
            <w:webHidden/>
          </w:rPr>
          <w:fldChar w:fldCharType="separate"/>
        </w:r>
        <w:r w:rsidR="00BD656D">
          <w:rPr>
            <w:webHidden/>
          </w:rPr>
          <w:t>3</w:t>
        </w:r>
        <w:r w:rsidR="0086147E">
          <w:rPr>
            <w:webHidden/>
          </w:rPr>
          <w:fldChar w:fldCharType="end"/>
        </w:r>
      </w:hyperlink>
    </w:p>
    <w:p w14:paraId="7FA425EE" w14:textId="669B9B60" w:rsidR="0086147E" w:rsidRDefault="00784B5E">
      <w:pPr>
        <w:pStyle w:val="TOC2"/>
        <w:rPr>
          <w:rFonts w:cstheme="minorBidi"/>
          <w:lang w:eastAsia="en-AU"/>
        </w:rPr>
      </w:pPr>
      <w:hyperlink w:anchor="_Toc479326326" w:history="1">
        <w:r w:rsidR="0086147E" w:rsidRPr="00D97A7D">
          <w:rPr>
            <w:rStyle w:val="Hyperlink"/>
          </w:rPr>
          <w:t>Matters Minister must have regard to under the Corporations Act</w:t>
        </w:r>
        <w:r w:rsidR="0086147E">
          <w:rPr>
            <w:webHidden/>
          </w:rPr>
          <w:tab/>
        </w:r>
      </w:hyperlink>
      <w:r w:rsidR="00E86E48">
        <w:t>4</w:t>
      </w:r>
    </w:p>
    <w:p w14:paraId="575009FB" w14:textId="77777777" w:rsidR="0086147E" w:rsidRDefault="00784B5E">
      <w:pPr>
        <w:pStyle w:val="TOC2"/>
        <w:rPr>
          <w:rFonts w:cstheme="minorBidi"/>
          <w:lang w:eastAsia="en-AU"/>
        </w:rPr>
      </w:pPr>
      <w:hyperlink w:anchor="_Toc479326327" w:history="1">
        <w:r w:rsidR="0086147E" w:rsidRPr="00D97A7D">
          <w:rPr>
            <w:rStyle w:val="Hyperlink"/>
          </w:rPr>
          <w:t>Consideration of ASIC’s aims</w:t>
        </w:r>
        <w:r w:rsidR="0086147E">
          <w:rPr>
            <w:webHidden/>
          </w:rPr>
          <w:tab/>
        </w:r>
        <w:r w:rsidR="0086147E">
          <w:rPr>
            <w:webHidden/>
          </w:rPr>
          <w:fldChar w:fldCharType="begin"/>
        </w:r>
        <w:r w:rsidR="0086147E">
          <w:rPr>
            <w:webHidden/>
          </w:rPr>
          <w:instrText xml:space="preserve"> PAGEREF _Toc479326327 \h </w:instrText>
        </w:r>
        <w:r w:rsidR="0086147E">
          <w:rPr>
            <w:webHidden/>
          </w:rPr>
        </w:r>
        <w:r w:rsidR="0086147E">
          <w:rPr>
            <w:webHidden/>
          </w:rPr>
          <w:fldChar w:fldCharType="separate"/>
        </w:r>
        <w:r w:rsidR="00BD656D">
          <w:rPr>
            <w:webHidden/>
          </w:rPr>
          <w:t>4</w:t>
        </w:r>
        <w:r w:rsidR="0086147E">
          <w:rPr>
            <w:webHidden/>
          </w:rPr>
          <w:fldChar w:fldCharType="end"/>
        </w:r>
      </w:hyperlink>
    </w:p>
    <w:p w14:paraId="349BB907" w14:textId="77777777" w:rsidR="0086147E" w:rsidRDefault="00784B5E">
      <w:pPr>
        <w:pStyle w:val="TOC2"/>
        <w:rPr>
          <w:rFonts w:cstheme="minorBidi"/>
          <w:lang w:eastAsia="en-AU"/>
        </w:rPr>
      </w:pPr>
      <w:hyperlink w:anchor="_Toc479326328" w:history="1">
        <w:r w:rsidR="0086147E" w:rsidRPr="00D97A7D">
          <w:rPr>
            <w:rStyle w:val="Hyperlink"/>
          </w:rPr>
          <w:t>Consideration of competition</w:t>
        </w:r>
        <w:r w:rsidR="0086147E">
          <w:rPr>
            <w:webHidden/>
          </w:rPr>
          <w:tab/>
        </w:r>
        <w:r w:rsidR="0086147E">
          <w:rPr>
            <w:webHidden/>
          </w:rPr>
          <w:fldChar w:fldCharType="begin"/>
        </w:r>
        <w:r w:rsidR="0086147E">
          <w:rPr>
            <w:webHidden/>
          </w:rPr>
          <w:instrText xml:space="preserve"> PAGEREF _Toc479326328 \h </w:instrText>
        </w:r>
        <w:r w:rsidR="0086147E">
          <w:rPr>
            <w:webHidden/>
          </w:rPr>
        </w:r>
        <w:r w:rsidR="0086147E">
          <w:rPr>
            <w:webHidden/>
          </w:rPr>
          <w:fldChar w:fldCharType="separate"/>
        </w:r>
        <w:r w:rsidR="00BD656D">
          <w:rPr>
            <w:webHidden/>
          </w:rPr>
          <w:t>4</w:t>
        </w:r>
        <w:r w:rsidR="0086147E">
          <w:rPr>
            <w:webHidden/>
          </w:rPr>
          <w:fldChar w:fldCharType="end"/>
        </w:r>
      </w:hyperlink>
    </w:p>
    <w:p w14:paraId="55160906" w14:textId="77777777" w:rsidR="0086147E" w:rsidRDefault="00784B5E">
      <w:pPr>
        <w:pStyle w:val="TOC2"/>
        <w:rPr>
          <w:rFonts w:cstheme="minorBidi"/>
          <w:lang w:eastAsia="en-AU"/>
        </w:rPr>
      </w:pPr>
      <w:hyperlink w:anchor="_Toc479326329" w:history="1">
        <w:r w:rsidR="0086147E" w:rsidRPr="00D97A7D">
          <w:rPr>
            <w:rStyle w:val="Hyperlink"/>
          </w:rPr>
          <w:t>Consideration of Government’s commitments and priorities</w:t>
        </w:r>
        <w:r w:rsidR="0086147E">
          <w:rPr>
            <w:webHidden/>
          </w:rPr>
          <w:tab/>
        </w:r>
        <w:r w:rsidR="0086147E">
          <w:rPr>
            <w:webHidden/>
          </w:rPr>
          <w:fldChar w:fldCharType="begin"/>
        </w:r>
        <w:r w:rsidR="0086147E">
          <w:rPr>
            <w:webHidden/>
          </w:rPr>
          <w:instrText xml:space="preserve"> PAGEREF _Toc479326329 \h </w:instrText>
        </w:r>
        <w:r w:rsidR="0086147E">
          <w:rPr>
            <w:webHidden/>
          </w:rPr>
        </w:r>
        <w:r w:rsidR="0086147E">
          <w:rPr>
            <w:webHidden/>
          </w:rPr>
          <w:fldChar w:fldCharType="separate"/>
        </w:r>
        <w:r w:rsidR="00BD656D">
          <w:rPr>
            <w:webHidden/>
          </w:rPr>
          <w:t>4</w:t>
        </w:r>
        <w:r w:rsidR="0086147E">
          <w:rPr>
            <w:webHidden/>
          </w:rPr>
          <w:fldChar w:fldCharType="end"/>
        </w:r>
      </w:hyperlink>
    </w:p>
    <w:p w14:paraId="49650FF5" w14:textId="77777777" w:rsidR="0086147E" w:rsidRDefault="00784B5E">
      <w:pPr>
        <w:pStyle w:val="TOC2"/>
        <w:rPr>
          <w:rFonts w:cstheme="minorBidi"/>
          <w:lang w:eastAsia="en-AU"/>
        </w:rPr>
      </w:pPr>
      <w:hyperlink w:anchor="_Toc479326330" w:history="1">
        <w:r w:rsidR="0086147E" w:rsidRPr="00D97A7D">
          <w:rPr>
            <w:rStyle w:val="Hyperlink"/>
          </w:rPr>
          <w:t>Consideration of RBA’s aims</w:t>
        </w:r>
        <w:r w:rsidR="0086147E">
          <w:rPr>
            <w:webHidden/>
          </w:rPr>
          <w:tab/>
        </w:r>
        <w:r w:rsidR="0086147E">
          <w:rPr>
            <w:webHidden/>
          </w:rPr>
          <w:fldChar w:fldCharType="begin"/>
        </w:r>
        <w:r w:rsidR="0086147E">
          <w:rPr>
            <w:webHidden/>
          </w:rPr>
          <w:instrText xml:space="preserve"> PAGEREF _Toc479326330 \h </w:instrText>
        </w:r>
        <w:r w:rsidR="0086147E">
          <w:rPr>
            <w:webHidden/>
          </w:rPr>
        </w:r>
        <w:r w:rsidR="0086147E">
          <w:rPr>
            <w:webHidden/>
          </w:rPr>
          <w:fldChar w:fldCharType="separate"/>
        </w:r>
        <w:r w:rsidR="00BD656D">
          <w:rPr>
            <w:webHidden/>
          </w:rPr>
          <w:t>5</w:t>
        </w:r>
        <w:r w:rsidR="0086147E">
          <w:rPr>
            <w:webHidden/>
          </w:rPr>
          <w:fldChar w:fldCharType="end"/>
        </w:r>
      </w:hyperlink>
    </w:p>
    <w:p w14:paraId="45220F9B" w14:textId="77777777" w:rsidR="0086147E" w:rsidRDefault="00784B5E">
      <w:pPr>
        <w:pStyle w:val="TOC2"/>
        <w:rPr>
          <w:rFonts w:cstheme="minorBidi"/>
          <w:lang w:eastAsia="en-AU"/>
        </w:rPr>
      </w:pPr>
      <w:hyperlink w:anchor="_Toc479326331" w:history="1">
        <w:r w:rsidR="0086147E" w:rsidRPr="00D97A7D">
          <w:rPr>
            <w:rStyle w:val="Hyperlink"/>
          </w:rPr>
          <w:t>Timeframes for the exercise of the delegated powers</w:t>
        </w:r>
        <w:r w:rsidR="0086147E">
          <w:rPr>
            <w:webHidden/>
          </w:rPr>
          <w:tab/>
        </w:r>
        <w:r w:rsidR="0086147E">
          <w:rPr>
            <w:webHidden/>
          </w:rPr>
          <w:fldChar w:fldCharType="begin"/>
        </w:r>
        <w:r w:rsidR="0086147E">
          <w:rPr>
            <w:webHidden/>
          </w:rPr>
          <w:instrText xml:space="preserve"> PAGEREF _Toc479326331 \h </w:instrText>
        </w:r>
        <w:r w:rsidR="0086147E">
          <w:rPr>
            <w:webHidden/>
          </w:rPr>
        </w:r>
        <w:r w:rsidR="0086147E">
          <w:rPr>
            <w:webHidden/>
          </w:rPr>
          <w:fldChar w:fldCharType="separate"/>
        </w:r>
        <w:r w:rsidR="00BD656D">
          <w:rPr>
            <w:webHidden/>
          </w:rPr>
          <w:t>5</w:t>
        </w:r>
        <w:r w:rsidR="0086147E">
          <w:rPr>
            <w:webHidden/>
          </w:rPr>
          <w:fldChar w:fldCharType="end"/>
        </w:r>
      </w:hyperlink>
    </w:p>
    <w:p w14:paraId="46BD92D6" w14:textId="77777777" w:rsidR="0086147E" w:rsidRDefault="00784B5E">
      <w:pPr>
        <w:pStyle w:val="TOC1"/>
        <w:rPr>
          <w:rFonts w:cstheme="minorBidi"/>
          <w:b w:val="0"/>
          <w:lang w:eastAsia="en-AU"/>
        </w:rPr>
      </w:pPr>
      <w:hyperlink w:anchor="_Toc479326332" w:history="1">
        <w:r w:rsidR="0086147E" w:rsidRPr="00D97A7D">
          <w:rPr>
            <w:rStyle w:val="Hyperlink"/>
          </w:rPr>
          <w:t>3.</w:t>
        </w:r>
        <w:r w:rsidR="0086147E">
          <w:rPr>
            <w:rFonts w:cstheme="minorBidi"/>
            <w:b w:val="0"/>
            <w:lang w:eastAsia="en-AU"/>
          </w:rPr>
          <w:tab/>
        </w:r>
        <w:r w:rsidR="0086147E" w:rsidRPr="00D97A7D">
          <w:rPr>
            <w:rStyle w:val="Hyperlink"/>
          </w:rPr>
          <w:t>Reporting requisites, call up procedure and notifications to licensee</w:t>
        </w:r>
        <w:r w:rsidR="0086147E">
          <w:rPr>
            <w:webHidden/>
          </w:rPr>
          <w:tab/>
        </w:r>
        <w:r w:rsidR="0086147E">
          <w:rPr>
            <w:webHidden/>
          </w:rPr>
          <w:fldChar w:fldCharType="begin"/>
        </w:r>
        <w:r w:rsidR="0086147E">
          <w:rPr>
            <w:webHidden/>
          </w:rPr>
          <w:instrText xml:space="preserve"> PAGEREF _Toc479326332 \h </w:instrText>
        </w:r>
        <w:r w:rsidR="0086147E">
          <w:rPr>
            <w:webHidden/>
          </w:rPr>
        </w:r>
        <w:r w:rsidR="0086147E">
          <w:rPr>
            <w:webHidden/>
          </w:rPr>
          <w:fldChar w:fldCharType="separate"/>
        </w:r>
        <w:r w:rsidR="00BD656D">
          <w:rPr>
            <w:webHidden/>
          </w:rPr>
          <w:t>5</w:t>
        </w:r>
        <w:r w:rsidR="0086147E">
          <w:rPr>
            <w:webHidden/>
          </w:rPr>
          <w:fldChar w:fldCharType="end"/>
        </w:r>
      </w:hyperlink>
    </w:p>
    <w:p w14:paraId="71B6FA4D" w14:textId="77777777" w:rsidR="0086147E" w:rsidRDefault="00784B5E">
      <w:pPr>
        <w:pStyle w:val="TOC2"/>
        <w:rPr>
          <w:rFonts w:cstheme="minorBidi"/>
          <w:lang w:eastAsia="en-AU"/>
        </w:rPr>
      </w:pPr>
      <w:hyperlink w:anchor="_Toc479326333" w:history="1">
        <w:r w:rsidR="0086147E" w:rsidRPr="00D97A7D">
          <w:rPr>
            <w:rStyle w:val="Hyperlink"/>
          </w:rPr>
          <w:t>Reporting to the Minister</w:t>
        </w:r>
        <w:r w:rsidR="0086147E">
          <w:rPr>
            <w:webHidden/>
          </w:rPr>
          <w:tab/>
        </w:r>
        <w:r w:rsidR="0086147E">
          <w:rPr>
            <w:webHidden/>
          </w:rPr>
          <w:fldChar w:fldCharType="begin"/>
        </w:r>
        <w:r w:rsidR="0086147E">
          <w:rPr>
            <w:webHidden/>
          </w:rPr>
          <w:instrText xml:space="preserve"> PAGEREF _Toc479326333 \h </w:instrText>
        </w:r>
        <w:r w:rsidR="0086147E">
          <w:rPr>
            <w:webHidden/>
          </w:rPr>
        </w:r>
        <w:r w:rsidR="0086147E">
          <w:rPr>
            <w:webHidden/>
          </w:rPr>
          <w:fldChar w:fldCharType="separate"/>
        </w:r>
        <w:r w:rsidR="00BD656D">
          <w:rPr>
            <w:webHidden/>
          </w:rPr>
          <w:t>5</w:t>
        </w:r>
        <w:r w:rsidR="0086147E">
          <w:rPr>
            <w:webHidden/>
          </w:rPr>
          <w:fldChar w:fldCharType="end"/>
        </w:r>
      </w:hyperlink>
    </w:p>
    <w:p w14:paraId="13AD3EA8" w14:textId="77777777" w:rsidR="0086147E" w:rsidRDefault="00784B5E">
      <w:pPr>
        <w:pStyle w:val="TOC2"/>
        <w:rPr>
          <w:rFonts w:cstheme="minorBidi"/>
          <w:lang w:eastAsia="en-AU"/>
        </w:rPr>
      </w:pPr>
      <w:hyperlink w:anchor="_Toc479326334" w:history="1">
        <w:r w:rsidR="0086147E" w:rsidRPr="00D97A7D">
          <w:rPr>
            <w:rStyle w:val="Hyperlink"/>
          </w:rPr>
          <w:t>Publication of the ASIC Regulatory Report</w:t>
        </w:r>
        <w:r w:rsidR="0086147E">
          <w:rPr>
            <w:webHidden/>
          </w:rPr>
          <w:tab/>
        </w:r>
        <w:r w:rsidR="0086147E">
          <w:rPr>
            <w:webHidden/>
          </w:rPr>
          <w:fldChar w:fldCharType="begin"/>
        </w:r>
        <w:r w:rsidR="0086147E">
          <w:rPr>
            <w:webHidden/>
          </w:rPr>
          <w:instrText xml:space="preserve"> PAGEREF _Toc479326334 \h </w:instrText>
        </w:r>
        <w:r w:rsidR="0086147E">
          <w:rPr>
            <w:webHidden/>
          </w:rPr>
        </w:r>
        <w:r w:rsidR="0086147E">
          <w:rPr>
            <w:webHidden/>
          </w:rPr>
          <w:fldChar w:fldCharType="separate"/>
        </w:r>
        <w:r w:rsidR="00BD656D">
          <w:rPr>
            <w:webHidden/>
          </w:rPr>
          <w:t>6</w:t>
        </w:r>
        <w:r w:rsidR="0086147E">
          <w:rPr>
            <w:webHidden/>
          </w:rPr>
          <w:fldChar w:fldCharType="end"/>
        </w:r>
      </w:hyperlink>
    </w:p>
    <w:p w14:paraId="78496F0C" w14:textId="77777777" w:rsidR="0086147E" w:rsidRDefault="00784B5E">
      <w:pPr>
        <w:pStyle w:val="TOC2"/>
        <w:rPr>
          <w:rFonts w:cstheme="minorBidi"/>
          <w:lang w:eastAsia="en-AU"/>
        </w:rPr>
      </w:pPr>
      <w:hyperlink w:anchor="_Toc479326335" w:history="1">
        <w:r w:rsidR="0086147E" w:rsidRPr="00D97A7D">
          <w:rPr>
            <w:rStyle w:val="Hyperlink"/>
          </w:rPr>
          <w:t>Call up procedure</w:t>
        </w:r>
        <w:r w:rsidR="0086147E">
          <w:rPr>
            <w:webHidden/>
          </w:rPr>
          <w:tab/>
        </w:r>
        <w:r w:rsidR="0086147E">
          <w:rPr>
            <w:webHidden/>
          </w:rPr>
          <w:fldChar w:fldCharType="begin"/>
        </w:r>
        <w:r w:rsidR="0086147E">
          <w:rPr>
            <w:webHidden/>
          </w:rPr>
          <w:instrText xml:space="preserve"> PAGEREF _Toc479326335 \h </w:instrText>
        </w:r>
        <w:r w:rsidR="0086147E">
          <w:rPr>
            <w:webHidden/>
          </w:rPr>
        </w:r>
        <w:r w:rsidR="0086147E">
          <w:rPr>
            <w:webHidden/>
          </w:rPr>
          <w:fldChar w:fldCharType="separate"/>
        </w:r>
        <w:r w:rsidR="00BD656D">
          <w:rPr>
            <w:webHidden/>
          </w:rPr>
          <w:t>6</w:t>
        </w:r>
        <w:r w:rsidR="0086147E">
          <w:rPr>
            <w:webHidden/>
          </w:rPr>
          <w:fldChar w:fldCharType="end"/>
        </w:r>
      </w:hyperlink>
    </w:p>
    <w:p w14:paraId="34360C28" w14:textId="77777777" w:rsidR="0086147E" w:rsidRDefault="00784B5E">
      <w:pPr>
        <w:pStyle w:val="TOC3"/>
        <w:rPr>
          <w:rFonts w:cstheme="minorBidi"/>
          <w:lang w:eastAsia="en-AU"/>
        </w:rPr>
      </w:pPr>
      <w:hyperlink w:anchor="_Toc479326336" w:history="1">
        <w:r w:rsidR="0086147E" w:rsidRPr="00D97A7D">
          <w:rPr>
            <w:rStyle w:val="Hyperlink"/>
          </w:rPr>
          <w:t>Matters to be called up</w:t>
        </w:r>
        <w:r w:rsidR="0086147E">
          <w:rPr>
            <w:webHidden/>
          </w:rPr>
          <w:tab/>
        </w:r>
        <w:r w:rsidR="0086147E">
          <w:rPr>
            <w:webHidden/>
          </w:rPr>
          <w:fldChar w:fldCharType="begin"/>
        </w:r>
        <w:r w:rsidR="0086147E">
          <w:rPr>
            <w:webHidden/>
          </w:rPr>
          <w:instrText xml:space="preserve"> PAGEREF _Toc479326336 \h </w:instrText>
        </w:r>
        <w:r w:rsidR="0086147E">
          <w:rPr>
            <w:webHidden/>
          </w:rPr>
        </w:r>
        <w:r w:rsidR="0086147E">
          <w:rPr>
            <w:webHidden/>
          </w:rPr>
          <w:fldChar w:fldCharType="separate"/>
        </w:r>
        <w:r w:rsidR="00BD656D">
          <w:rPr>
            <w:webHidden/>
          </w:rPr>
          <w:t>6</w:t>
        </w:r>
        <w:r w:rsidR="0086147E">
          <w:rPr>
            <w:webHidden/>
          </w:rPr>
          <w:fldChar w:fldCharType="end"/>
        </w:r>
      </w:hyperlink>
    </w:p>
    <w:p w14:paraId="187D2A7C" w14:textId="77777777" w:rsidR="0086147E" w:rsidRDefault="00784B5E">
      <w:pPr>
        <w:pStyle w:val="TOC2"/>
        <w:rPr>
          <w:rFonts w:cstheme="minorBidi"/>
          <w:lang w:eastAsia="en-AU"/>
        </w:rPr>
      </w:pPr>
      <w:hyperlink w:anchor="_Toc479326337" w:history="1">
        <w:r w:rsidR="0086147E" w:rsidRPr="00D97A7D">
          <w:rPr>
            <w:rStyle w:val="Hyperlink"/>
          </w:rPr>
          <w:t>Formal notification to licensee</w:t>
        </w:r>
        <w:r w:rsidR="0086147E">
          <w:rPr>
            <w:webHidden/>
          </w:rPr>
          <w:tab/>
        </w:r>
        <w:r w:rsidR="0086147E">
          <w:rPr>
            <w:webHidden/>
          </w:rPr>
          <w:fldChar w:fldCharType="begin"/>
        </w:r>
        <w:r w:rsidR="0086147E">
          <w:rPr>
            <w:webHidden/>
          </w:rPr>
          <w:instrText xml:space="preserve"> PAGEREF _Toc479326337 \h </w:instrText>
        </w:r>
        <w:r w:rsidR="0086147E">
          <w:rPr>
            <w:webHidden/>
          </w:rPr>
        </w:r>
        <w:r w:rsidR="0086147E">
          <w:rPr>
            <w:webHidden/>
          </w:rPr>
          <w:fldChar w:fldCharType="separate"/>
        </w:r>
        <w:r w:rsidR="00BD656D">
          <w:rPr>
            <w:webHidden/>
          </w:rPr>
          <w:t>7</w:t>
        </w:r>
        <w:r w:rsidR="0086147E">
          <w:rPr>
            <w:webHidden/>
          </w:rPr>
          <w:fldChar w:fldCharType="end"/>
        </w:r>
      </w:hyperlink>
    </w:p>
    <w:p w14:paraId="14D38342" w14:textId="77777777" w:rsidR="0086147E" w:rsidRDefault="00784B5E">
      <w:pPr>
        <w:pStyle w:val="TOC1"/>
        <w:rPr>
          <w:rFonts w:cstheme="minorBidi"/>
          <w:b w:val="0"/>
          <w:lang w:eastAsia="en-AU"/>
        </w:rPr>
      </w:pPr>
      <w:hyperlink w:anchor="_Toc479326338" w:history="1">
        <w:r w:rsidR="0086147E" w:rsidRPr="00D97A7D">
          <w:rPr>
            <w:rStyle w:val="Hyperlink"/>
          </w:rPr>
          <w:t>4.</w:t>
        </w:r>
        <w:r w:rsidR="0086147E">
          <w:rPr>
            <w:rFonts w:cstheme="minorBidi"/>
            <w:b w:val="0"/>
            <w:lang w:eastAsia="en-AU"/>
          </w:rPr>
          <w:tab/>
        </w:r>
        <w:r w:rsidR="0086147E" w:rsidRPr="00D97A7D">
          <w:rPr>
            <w:rStyle w:val="Hyperlink"/>
          </w:rPr>
          <w:t>Other matters</w:t>
        </w:r>
        <w:r w:rsidR="0086147E">
          <w:rPr>
            <w:webHidden/>
          </w:rPr>
          <w:tab/>
        </w:r>
        <w:r w:rsidR="0086147E">
          <w:rPr>
            <w:webHidden/>
          </w:rPr>
          <w:fldChar w:fldCharType="begin"/>
        </w:r>
        <w:r w:rsidR="0086147E">
          <w:rPr>
            <w:webHidden/>
          </w:rPr>
          <w:instrText xml:space="preserve"> PAGEREF _Toc479326338 \h </w:instrText>
        </w:r>
        <w:r w:rsidR="0086147E">
          <w:rPr>
            <w:webHidden/>
          </w:rPr>
        </w:r>
        <w:r w:rsidR="0086147E">
          <w:rPr>
            <w:webHidden/>
          </w:rPr>
          <w:fldChar w:fldCharType="separate"/>
        </w:r>
        <w:r w:rsidR="00BD656D">
          <w:rPr>
            <w:webHidden/>
          </w:rPr>
          <w:t>7</w:t>
        </w:r>
        <w:r w:rsidR="0086147E">
          <w:rPr>
            <w:webHidden/>
          </w:rPr>
          <w:fldChar w:fldCharType="end"/>
        </w:r>
      </w:hyperlink>
    </w:p>
    <w:p w14:paraId="115F34E6" w14:textId="77777777" w:rsidR="0086147E" w:rsidRDefault="00784B5E">
      <w:pPr>
        <w:pStyle w:val="TOC2"/>
        <w:rPr>
          <w:rFonts w:cstheme="minorBidi"/>
          <w:lang w:eastAsia="en-AU"/>
        </w:rPr>
      </w:pPr>
      <w:hyperlink w:anchor="_Toc479326339" w:history="1">
        <w:r w:rsidR="0086147E" w:rsidRPr="00D97A7D">
          <w:rPr>
            <w:rStyle w:val="Hyperlink"/>
          </w:rPr>
          <w:t>Use of the delegated powers by the Minister during the delegation</w:t>
        </w:r>
        <w:r w:rsidR="0086147E">
          <w:rPr>
            <w:webHidden/>
          </w:rPr>
          <w:tab/>
        </w:r>
        <w:r w:rsidR="0086147E">
          <w:rPr>
            <w:webHidden/>
          </w:rPr>
          <w:fldChar w:fldCharType="begin"/>
        </w:r>
        <w:r w:rsidR="0086147E">
          <w:rPr>
            <w:webHidden/>
          </w:rPr>
          <w:instrText xml:space="preserve"> PAGEREF _Toc479326339 \h </w:instrText>
        </w:r>
        <w:r w:rsidR="0086147E">
          <w:rPr>
            <w:webHidden/>
          </w:rPr>
        </w:r>
        <w:r w:rsidR="0086147E">
          <w:rPr>
            <w:webHidden/>
          </w:rPr>
          <w:fldChar w:fldCharType="separate"/>
        </w:r>
        <w:r w:rsidR="00BD656D">
          <w:rPr>
            <w:webHidden/>
          </w:rPr>
          <w:t>7</w:t>
        </w:r>
        <w:r w:rsidR="0086147E">
          <w:rPr>
            <w:webHidden/>
          </w:rPr>
          <w:fldChar w:fldCharType="end"/>
        </w:r>
      </w:hyperlink>
    </w:p>
    <w:p w14:paraId="0C7D1EB2" w14:textId="77777777" w:rsidR="0086147E" w:rsidRDefault="00784B5E">
      <w:pPr>
        <w:pStyle w:val="TOC2"/>
        <w:rPr>
          <w:rFonts w:cstheme="minorBidi"/>
          <w:lang w:eastAsia="en-AU"/>
        </w:rPr>
      </w:pPr>
      <w:hyperlink w:anchor="_Toc479326340" w:history="1">
        <w:r w:rsidR="0086147E" w:rsidRPr="00D97A7D">
          <w:rPr>
            <w:rStyle w:val="Hyperlink"/>
          </w:rPr>
          <w:t>Minister’s right to vary or revoke the delegation or guidelines at any time</w:t>
        </w:r>
        <w:r w:rsidR="0086147E">
          <w:rPr>
            <w:webHidden/>
          </w:rPr>
          <w:tab/>
        </w:r>
        <w:r w:rsidR="0086147E">
          <w:rPr>
            <w:webHidden/>
          </w:rPr>
          <w:fldChar w:fldCharType="begin"/>
        </w:r>
        <w:r w:rsidR="0086147E">
          <w:rPr>
            <w:webHidden/>
          </w:rPr>
          <w:instrText xml:space="preserve"> PAGEREF _Toc479326340 \h </w:instrText>
        </w:r>
        <w:r w:rsidR="0086147E">
          <w:rPr>
            <w:webHidden/>
          </w:rPr>
        </w:r>
        <w:r w:rsidR="0086147E">
          <w:rPr>
            <w:webHidden/>
          </w:rPr>
          <w:fldChar w:fldCharType="separate"/>
        </w:r>
        <w:r w:rsidR="00BD656D">
          <w:rPr>
            <w:webHidden/>
          </w:rPr>
          <w:t>7</w:t>
        </w:r>
        <w:r w:rsidR="0086147E">
          <w:rPr>
            <w:webHidden/>
          </w:rPr>
          <w:fldChar w:fldCharType="end"/>
        </w:r>
      </w:hyperlink>
    </w:p>
    <w:p w14:paraId="3BC43B1A" w14:textId="77777777" w:rsidR="00A40031" w:rsidRDefault="00210599" w:rsidP="00CC26A2">
      <w:r w:rsidRPr="00A40031">
        <w:fldChar w:fldCharType="end"/>
      </w:r>
      <w:bookmarkStart w:id="2" w:name="_Toc437594517"/>
    </w:p>
    <w:p w14:paraId="3BC43B1B" w14:textId="77777777" w:rsidR="00A40031" w:rsidRPr="00A40031" w:rsidRDefault="00A40031" w:rsidP="00CC26A2"/>
    <w:p w14:paraId="3BC43B1C" w14:textId="77777777" w:rsidR="00A40031" w:rsidRDefault="00A40031" w:rsidP="00CC26A2"/>
    <w:p w14:paraId="3BC43B1D" w14:textId="77777777" w:rsidR="00A40031" w:rsidRDefault="00A40031" w:rsidP="00CC26A2">
      <w:pPr>
        <w:pStyle w:val="Heading1"/>
        <w:sectPr w:rsidR="00A40031" w:rsidSect="00267789">
          <w:headerReference w:type="first" r:id="rId18"/>
          <w:footerReference w:type="first" r:id="rId19"/>
          <w:type w:val="oddPage"/>
          <w:pgSz w:w="11906" w:h="16838" w:code="277"/>
          <w:pgMar w:top="1701" w:right="1701" w:bottom="1701" w:left="1701" w:header="709" w:footer="709" w:gutter="0"/>
          <w:pgNumType w:start="1"/>
          <w:cols w:space="708"/>
          <w:titlePg/>
          <w:docGrid w:linePitch="360"/>
        </w:sectPr>
      </w:pPr>
    </w:p>
    <w:p w14:paraId="3BC43B1E" w14:textId="77777777" w:rsidR="00CD4555" w:rsidRPr="0069362C" w:rsidRDefault="0059192E" w:rsidP="0069362C">
      <w:pPr>
        <w:pStyle w:val="Heading1"/>
      </w:pPr>
      <w:bookmarkStart w:id="3" w:name="_Toc479326320"/>
      <w:r w:rsidRPr="0069362C">
        <w:lastRenderedPageBreak/>
        <w:t>B</w:t>
      </w:r>
      <w:r w:rsidR="00DD7C96" w:rsidRPr="0069362C">
        <w:t>ackground</w:t>
      </w:r>
      <w:bookmarkEnd w:id="2"/>
      <w:bookmarkEnd w:id="3"/>
    </w:p>
    <w:p w14:paraId="3BC43B1F" w14:textId="77777777" w:rsidR="00AC32E6" w:rsidRPr="00CC26A2" w:rsidRDefault="009B390C" w:rsidP="0069362C">
      <w:pPr>
        <w:pStyle w:val="Heading2"/>
      </w:pPr>
      <w:bookmarkStart w:id="4" w:name="_Toc479326321"/>
      <w:bookmarkStart w:id="5" w:name="_Toc437594518"/>
      <w:r w:rsidRPr="00CC26A2">
        <w:t>Minister’s powers</w:t>
      </w:r>
      <w:r w:rsidR="004C38D7" w:rsidRPr="00CC26A2">
        <w:t xml:space="preserve"> </w:t>
      </w:r>
      <w:r w:rsidRPr="00CC26A2">
        <w:t>under the Corporations Act 2001</w:t>
      </w:r>
      <w:bookmarkEnd w:id="4"/>
      <w:r w:rsidR="00D22F4E" w:rsidRPr="00CC26A2">
        <w:t xml:space="preserve"> </w:t>
      </w:r>
      <w:bookmarkEnd w:id="5"/>
      <w:r w:rsidR="006A10DC" w:rsidRPr="00CC26A2">
        <w:t xml:space="preserve"> </w:t>
      </w:r>
    </w:p>
    <w:p w14:paraId="3BC43B20" w14:textId="2B0D3D63" w:rsidR="002F762C" w:rsidRPr="001903D5" w:rsidRDefault="00E42919" w:rsidP="00CC26A2">
      <w:r w:rsidRPr="001903D5">
        <w:t>The</w:t>
      </w:r>
      <w:r w:rsidR="00AC32E6" w:rsidRPr="001903D5">
        <w:t xml:space="preserve"> </w:t>
      </w:r>
      <w:r w:rsidR="00AC32E6" w:rsidRPr="001903D5">
        <w:rPr>
          <w:i/>
        </w:rPr>
        <w:t xml:space="preserve">Corporations Act 2001 </w:t>
      </w:r>
      <w:r w:rsidR="00AC32E6" w:rsidRPr="001903D5">
        <w:t xml:space="preserve">(the </w:t>
      </w:r>
      <w:r w:rsidR="00A37801" w:rsidRPr="001903D5">
        <w:t xml:space="preserve">Corporations </w:t>
      </w:r>
      <w:r w:rsidR="00AC32E6" w:rsidRPr="001903D5">
        <w:t xml:space="preserve">Act) ascribes the </w:t>
      </w:r>
      <w:r w:rsidR="00D0523B" w:rsidRPr="001903D5">
        <w:t xml:space="preserve">responsible </w:t>
      </w:r>
      <w:r w:rsidR="00AC32E6" w:rsidRPr="001903D5">
        <w:t xml:space="preserve">Minister powers </w:t>
      </w:r>
      <w:r w:rsidR="00ED6075" w:rsidRPr="001903D5">
        <w:t xml:space="preserve">relating to </w:t>
      </w:r>
      <w:r w:rsidR="00AC32E6" w:rsidRPr="001903D5">
        <w:t xml:space="preserve">the regulation of financial </w:t>
      </w:r>
      <w:r w:rsidR="006D4B13" w:rsidRPr="001903D5">
        <w:t>markets</w:t>
      </w:r>
      <w:r w:rsidR="009B358E" w:rsidRPr="001903D5">
        <w:t xml:space="preserve"> </w:t>
      </w:r>
      <w:r w:rsidR="00DC0AD3" w:rsidRPr="001903D5">
        <w:t>and</w:t>
      </w:r>
      <w:r w:rsidR="006D4B13" w:rsidRPr="001903D5">
        <w:t xml:space="preserve"> </w:t>
      </w:r>
      <w:r w:rsidR="00AC32E6" w:rsidRPr="001903D5">
        <w:t>financia</w:t>
      </w:r>
      <w:r w:rsidR="00CC6C45" w:rsidRPr="001903D5">
        <w:t xml:space="preserve">l market infrastructures (FMIs) </w:t>
      </w:r>
      <w:r w:rsidR="00C95345">
        <w:t>—</w:t>
      </w:r>
      <w:r w:rsidR="00B42413">
        <w:t xml:space="preserve"> </w:t>
      </w:r>
      <w:r w:rsidR="00AC32E6" w:rsidRPr="001903D5">
        <w:t xml:space="preserve">clearing and settlement </w:t>
      </w:r>
      <w:r w:rsidR="00286E3F" w:rsidRPr="001903D5">
        <w:t xml:space="preserve">(CS) </w:t>
      </w:r>
      <w:r w:rsidR="009D63A6" w:rsidRPr="001903D5">
        <w:t>facilities and</w:t>
      </w:r>
      <w:r w:rsidR="00AC32E6" w:rsidRPr="001903D5">
        <w:t xml:space="preserve"> trade repositorie</w:t>
      </w:r>
      <w:r w:rsidR="00995CD0" w:rsidRPr="001903D5">
        <w:t>s.</w:t>
      </w:r>
      <w:r w:rsidR="002A1533" w:rsidRPr="001903D5">
        <w:t xml:space="preserve"> </w:t>
      </w:r>
    </w:p>
    <w:p w14:paraId="3BC43B21" w14:textId="77777777" w:rsidR="002F762C" w:rsidRPr="00CC26A2" w:rsidRDefault="008B7FD7" w:rsidP="00CC26A2">
      <w:r w:rsidRPr="00CC26A2">
        <w:t>Some of t</w:t>
      </w:r>
      <w:r w:rsidR="004C38D7" w:rsidRPr="00CC26A2">
        <w:t>he matters of regulation to which these</w:t>
      </w:r>
      <w:r w:rsidR="002F762C" w:rsidRPr="00CC26A2">
        <w:t xml:space="preserve"> </w:t>
      </w:r>
      <w:r w:rsidR="004C38D7" w:rsidRPr="00CC26A2">
        <w:t xml:space="preserve">powers relate are: </w:t>
      </w:r>
    </w:p>
    <w:p w14:paraId="3BC43B22" w14:textId="77777777" w:rsidR="002F762C" w:rsidRPr="001903D5" w:rsidRDefault="002F762C" w:rsidP="00267789">
      <w:pPr>
        <w:pStyle w:val="Bullet"/>
      </w:pPr>
      <w:r w:rsidRPr="001903D5">
        <w:t>l</w:t>
      </w:r>
      <w:r w:rsidR="004C38D7" w:rsidRPr="001903D5">
        <w:t>icensing</w:t>
      </w:r>
      <w:r w:rsidRPr="001903D5">
        <w:t xml:space="preserve"> </w:t>
      </w:r>
      <w:r w:rsidR="00136167" w:rsidRPr="001903D5">
        <w:t>and operating rules</w:t>
      </w:r>
      <w:r w:rsidRPr="001903D5">
        <w:t xml:space="preserve"> of financial markets</w:t>
      </w:r>
      <w:r w:rsidR="000F312D" w:rsidRPr="001903D5">
        <w:t>;</w:t>
      </w:r>
      <w:r w:rsidR="004C38D7" w:rsidRPr="001903D5">
        <w:t xml:space="preserve"> </w:t>
      </w:r>
    </w:p>
    <w:p w14:paraId="3BC43B23" w14:textId="77777777" w:rsidR="00EE0C0E" w:rsidRPr="00267789" w:rsidRDefault="004C38D7" w:rsidP="00267789">
      <w:pPr>
        <w:pStyle w:val="Bullet"/>
      </w:pPr>
      <w:r w:rsidRPr="00267789">
        <w:t>compensation arrangements</w:t>
      </w:r>
      <w:r w:rsidR="00286E3F" w:rsidRPr="00267789">
        <w:t xml:space="preserve"> </w:t>
      </w:r>
      <w:r w:rsidR="00EB7FB1" w:rsidRPr="00267789">
        <w:t>for</w:t>
      </w:r>
      <w:r w:rsidR="00286E3F" w:rsidRPr="00267789">
        <w:t xml:space="preserve"> financial markets</w:t>
      </w:r>
      <w:r w:rsidRPr="00267789">
        <w:t xml:space="preserve">; </w:t>
      </w:r>
      <w:r w:rsidR="00EE0C0E" w:rsidRPr="00267789">
        <w:t>and</w:t>
      </w:r>
    </w:p>
    <w:p w14:paraId="3BC43B24" w14:textId="77777777" w:rsidR="001462C6" w:rsidRPr="001903D5" w:rsidRDefault="001462C6" w:rsidP="00267789">
      <w:pPr>
        <w:pStyle w:val="Bullet"/>
      </w:pPr>
      <w:r w:rsidRPr="001903D5">
        <w:t>licensing and operating rules of CS facilities.</w:t>
      </w:r>
    </w:p>
    <w:p w14:paraId="3BC43B25" w14:textId="77777777" w:rsidR="000D7830" w:rsidRPr="001903D5" w:rsidRDefault="002F762C" w:rsidP="00CC26A2">
      <w:r w:rsidRPr="001903D5">
        <w:t>These matters</w:t>
      </w:r>
      <w:r w:rsidR="004C38D7" w:rsidRPr="001903D5">
        <w:t xml:space="preserve"> are hereafter collectively referred to as</w:t>
      </w:r>
      <w:r w:rsidR="00EB7FB1" w:rsidRPr="001903D5">
        <w:t xml:space="preserve"> the</w:t>
      </w:r>
      <w:r w:rsidR="004C38D7" w:rsidRPr="001903D5">
        <w:t xml:space="preserve"> </w:t>
      </w:r>
      <w:r w:rsidR="004C38D7" w:rsidRPr="001903D5">
        <w:rPr>
          <w:i/>
        </w:rPr>
        <w:t>regulatory matters</w:t>
      </w:r>
      <w:r w:rsidR="004C38D7" w:rsidRPr="001903D5">
        <w:t>.</w:t>
      </w:r>
    </w:p>
    <w:p w14:paraId="35F8C8C5" w14:textId="46787B80" w:rsidR="00B42413" w:rsidRDefault="00EE5B8F" w:rsidP="00CC26A2">
      <w:r w:rsidRPr="001903D5">
        <w:t xml:space="preserve">Some of the powers the Minister has </w:t>
      </w:r>
      <w:r w:rsidR="00304737" w:rsidRPr="001903D5">
        <w:t>in respect</w:t>
      </w:r>
      <w:r w:rsidR="00952310" w:rsidRPr="001903D5">
        <w:t xml:space="preserve"> </w:t>
      </w:r>
      <w:r w:rsidR="007D0419">
        <w:t>of</w:t>
      </w:r>
      <w:r w:rsidR="00437D1E" w:rsidRPr="001903D5">
        <w:t xml:space="preserve"> licensing </w:t>
      </w:r>
      <w:r w:rsidR="004001A9" w:rsidRPr="001903D5">
        <w:t>of financial markets and CS facilities</w:t>
      </w:r>
      <w:r w:rsidRPr="001903D5">
        <w:t xml:space="preserve"> are</w:t>
      </w:r>
      <w:r w:rsidR="004001A9" w:rsidRPr="001903D5">
        <w:t xml:space="preserve"> the power to grant</w:t>
      </w:r>
      <w:r w:rsidR="00257EF4" w:rsidRPr="001903D5">
        <w:t>, impose or vary conditions on a licence and suspend or cancel a licence.</w:t>
      </w:r>
      <w:r w:rsidRPr="001903D5">
        <w:t xml:space="preserve"> </w:t>
      </w:r>
      <w:r w:rsidR="00B42413">
        <w:t xml:space="preserve">The Minister also has powers to exempt or partially exempt </w:t>
      </w:r>
      <w:r w:rsidR="00B42413" w:rsidRPr="001903D5">
        <w:t>financial markets and CS facilities</w:t>
      </w:r>
      <w:r w:rsidR="00B42413">
        <w:t xml:space="preserve"> from market licensing requirements and powers to exempt or partially exempt </w:t>
      </w:r>
      <w:r w:rsidR="00B42413" w:rsidRPr="001903D5">
        <w:t>financial markets and CS facilities</w:t>
      </w:r>
      <w:r w:rsidR="00B42413">
        <w:t xml:space="preserve"> from compensation arrangement requirements</w:t>
      </w:r>
    </w:p>
    <w:p w14:paraId="3BC43B26" w14:textId="243B042F" w:rsidR="00437D1E" w:rsidRPr="001903D5" w:rsidRDefault="00EE5B8F" w:rsidP="00CC26A2">
      <w:r w:rsidRPr="001903D5">
        <w:t>The Minister has also the power to disallow changes to operating rules of financial markets and CS facilities.</w:t>
      </w:r>
    </w:p>
    <w:p w14:paraId="3BC43B27" w14:textId="126CA159" w:rsidR="008728A6" w:rsidRPr="001903D5" w:rsidRDefault="001462C6" w:rsidP="00CC26A2">
      <w:r w:rsidRPr="001903D5">
        <w:t>Under</w:t>
      </w:r>
      <w:r w:rsidR="00597DB6" w:rsidRPr="001903D5">
        <w:t xml:space="preserve"> the Corporations Act</w:t>
      </w:r>
      <w:r w:rsidR="006878FC" w:rsidRPr="001903D5">
        <w:t>,</w:t>
      </w:r>
      <w:r w:rsidRPr="001903D5">
        <w:t xml:space="preserve"> </w:t>
      </w:r>
      <w:r w:rsidR="008F0CA2">
        <w:t xml:space="preserve">the </w:t>
      </w:r>
      <w:r w:rsidRPr="001903D5">
        <w:t>A</w:t>
      </w:r>
      <w:r w:rsidR="008F0CA2">
        <w:t xml:space="preserve">ustralian </w:t>
      </w:r>
      <w:r w:rsidRPr="001903D5">
        <w:t>S</w:t>
      </w:r>
      <w:r w:rsidR="008F0CA2">
        <w:t xml:space="preserve">ecurities and </w:t>
      </w:r>
      <w:r w:rsidRPr="001903D5">
        <w:t>I</w:t>
      </w:r>
      <w:r w:rsidR="008F0CA2">
        <w:t>nvestment</w:t>
      </w:r>
      <w:r w:rsidR="00B665DC">
        <w:t>s</w:t>
      </w:r>
      <w:r w:rsidR="008F0CA2">
        <w:t xml:space="preserve"> </w:t>
      </w:r>
      <w:r w:rsidRPr="001903D5">
        <w:t>C</w:t>
      </w:r>
      <w:r w:rsidR="008F0CA2">
        <w:t>ommission (ASIC)</w:t>
      </w:r>
      <w:r w:rsidR="00CC6C45" w:rsidRPr="001903D5">
        <w:t xml:space="preserve"> has a role in the</w:t>
      </w:r>
      <w:r w:rsidRPr="001903D5">
        <w:t xml:space="preserve"> regulatory matters</w:t>
      </w:r>
      <w:r w:rsidR="007D6688" w:rsidRPr="001903D5">
        <w:t xml:space="preserve"> which includes</w:t>
      </w:r>
      <w:r w:rsidR="00651A18">
        <w:t>,</w:t>
      </w:r>
      <w:r w:rsidR="002E4FCF" w:rsidRPr="001903D5">
        <w:t xml:space="preserve"> providing advice to the Minister about ap</w:t>
      </w:r>
      <w:r w:rsidR="00CC6C45" w:rsidRPr="001903D5">
        <w:t>plications for a market licence and</w:t>
      </w:r>
      <w:r w:rsidR="002E4FCF" w:rsidRPr="001903D5">
        <w:t xml:space="preserve"> changes to operating rules</w:t>
      </w:r>
      <w:r w:rsidR="007D6688" w:rsidRPr="001903D5">
        <w:t xml:space="preserve"> and</w:t>
      </w:r>
      <w:r w:rsidR="00580D55" w:rsidRPr="001903D5">
        <w:t xml:space="preserve"> enforcing market licensees’ complia</w:t>
      </w:r>
      <w:r w:rsidR="00AE6A56" w:rsidRPr="001903D5">
        <w:t xml:space="preserve">nce with their obligations. </w:t>
      </w:r>
    </w:p>
    <w:p w14:paraId="3BC43B28" w14:textId="77777777" w:rsidR="004137C2" w:rsidRPr="001903D5" w:rsidRDefault="00B159B2" w:rsidP="00CC26A2">
      <w:r>
        <w:t>With</w:t>
      </w:r>
      <w:r w:rsidR="004137C2" w:rsidRPr="001903D5">
        <w:t xml:space="preserve"> respect to the regulation of CS facilities, ASIC and the Reserve Bank of Australia (RBA) share regulatory responsibility, with ASIC administering license obligations and compliance obligations and the RBA overseeing other compliance obligations. Under the Corporations Act, the RBA is responsible for determining Financial Stability Standards (FSS) and assessing whether licensees have complied with the FSS and taken other necessary steps to reduce systemic risk. ASIC is responsible for ensuring that CS facilities comply with all other obligations, including for the fair and effective provision of services. </w:t>
      </w:r>
    </w:p>
    <w:p w14:paraId="3BC43B29" w14:textId="77777777" w:rsidR="007F4E72" w:rsidRPr="0069362C" w:rsidRDefault="007F4E72" w:rsidP="0069362C">
      <w:pPr>
        <w:pStyle w:val="Heading2"/>
      </w:pPr>
      <w:bookmarkStart w:id="6" w:name="_Toc437594519"/>
      <w:bookmarkStart w:id="7" w:name="_Toc479326322"/>
      <w:r w:rsidRPr="0069362C">
        <w:t xml:space="preserve">List of </w:t>
      </w:r>
      <w:bookmarkStart w:id="8" w:name="_Toc436303066"/>
      <w:r w:rsidRPr="0069362C">
        <w:t xml:space="preserve">powers delegated to </w:t>
      </w:r>
      <w:bookmarkEnd w:id="6"/>
      <w:bookmarkEnd w:id="8"/>
      <w:r w:rsidR="00144B38" w:rsidRPr="0069362C">
        <w:t xml:space="preserve">authorised ASIC </w:t>
      </w:r>
      <w:r w:rsidR="00047E9D" w:rsidRPr="0069362C">
        <w:t>officer</w:t>
      </w:r>
      <w:r w:rsidR="008D6F0D" w:rsidRPr="0069362C">
        <w:t>s</w:t>
      </w:r>
      <w:bookmarkEnd w:id="7"/>
      <w:r w:rsidR="00047E9D" w:rsidRPr="0069362C">
        <w:t xml:space="preserve"> </w:t>
      </w:r>
    </w:p>
    <w:p w14:paraId="3BC43B2A" w14:textId="3BA0B631" w:rsidR="007D6688" w:rsidRDefault="007D6688" w:rsidP="00CC26A2">
      <w:r>
        <w:t xml:space="preserve">In accordance with section 1101J of the </w:t>
      </w:r>
      <w:r w:rsidR="00CC6C45">
        <w:t xml:space="preserve">Corporations </w:t>
      </w:r>
      <w:r>
        <w:t xml:space="preserve">Act, the responsible Minister – at the time of writing, the </w:t>
      </w:r>
      <w:r w:rsidR="00E439FC">
        <w:t>Assistant Treasurer, the Hon Stuart Robert MP</w:t>
      </w:r>
      <w:r w:rsidR="00B42413">
        <w:t xml:space="preserve"> </w:t>
      </w:r>
      <w:r>
        <w:t xml:space="preserve">– has delegated some of the </w:t>
      </w:r>
      <w:r w:rsidR="00C074CF">
        <w:t>regulatory matters</w:t>
      </w:r>
      <w:r>
        <w:t xml:space="preserve"> to</w:t>
      </w:r>
      <w:r w:rsidR="003D1F5E">
        <w:t xml:space="preserve"> authorised ASIC officer</w:t>
      </w:r>
      <w:r w:rsidR="008D6F0D">
        <w:t>s</w:t>
      </w:r>
      <w:r w:rsidRPr="001651CB">
        <w:t xml:space="preserve"> </w:t>
      </w:r>
      <w:r w:rsidR="00FD0D06">
        <w:t>in Part 3 of the Ministerial Powers (ASIC) Delegation 2019</w:t>
      </w:r>
      <w:r w:rsidR="000E4E1C">
        <w:t xml:space="preserve"> </w:t>
      </w:r>
      <w:r w:rsidR="00BE4534">
        <w:t>(the</w:t>
      </w:r>
      <w:r w:rsidR="00651A18">
        <w:t> </w:t>
      </w:r>
      <w:r w:rsidR="00BE4534">
        <w:t>Delegation Instrument</w:t>
      </w:r>
      <w:r>
        <w:t>).</w:t>
      </w:r>
    </w:p>
    <w:p w14:paraId="3BC43B2B" w14:textId="6C7684DB" w:rsidR="003D1F5E" w:rsidRPr="00304737" w:rsidRDefault="003D1F5E" w:rsidP="00CC26A2">
      <w:r w:rsidRPr="004D598D">
        <w:t>The authorised ASIC officer</w:t>
      </w:r>
      <w:r w:rsidR="00304737" w:rsidRPr="004D598D">
        <w:t>s</w:t>
      </w:r>
      <w:r w:rsidR="008E2845" w:rsidRPr="004D598D">
        <w:t xml:space="preserve"> (the delegate)</w:t>
      </w:r>
      <w:r w:rsidRPr="004D598D">
        <w:t xml:space="preserve"> </w:t>
      </w:r>
      <w:r w:rsidR="00304737" w:rsidRPr="00304737">
        <w:t>are</w:t>
      </w:r>
      <w:r w:rsidRPr="00304737">
        <w:t>:</w:t>
      </w:r>
    </w:p>
    <w:p w14:paraId="3BC43B2C" w14:textId="26756DB2" w:rsidR="003D1F5E" w:rsidRPr="0069362C" w:rsidRDefault="003D1F5E" w:rsidP="0069362C">
      <w:pPr>
        <w:pStyle w:val="ListParagraph"/>
      </w:pPr>
      <w:r w:rsidRPr="0069362C">
        <w:t>each member of ASIC (</w:t>
      </w:r>
      <w:r w:rsidR="00BE4534">
        <w:t>as defined in</w:t>
      </w:r>
      <w:r w:rsidRPr="0069362C">
        <w:t xml:space="preserve"> section 9 of the </w:t>
      </w:r>
      <w:r w:rsidRPr="00B42413">
        <w:rPr>
          <w:i/>
        </w:rPr>
        <w:t>Australian Securities and Investments Act 2001</w:t>
      </w:r>
      <w:r w:rsidRPr="0069362C">
        <w:t xml:space="preserve"> (ASIC Act)); and </w:t>
      </w:r>
    </w:p>
    <w:p w14:paraId="3BC43B2D" w14:textId="0B64E2A4" w:rsidR="00267789" w:rsidRPr="0069362C" w:rsidRDefault="003D1F5E" w:rsidP="0069362C">
      <w:pPr>
        <w:pStyle w:val="ListParagraph"/>
      </w:pPr>
      <w:r w:rsidRPr="0069362C">
        <w:t xml:space="preserve">each </w:t>
      </w:r>
      <w:r w:rsidR="00FD0D06">
        <w:t>senior staff member of ASIC</w:t>
      </w:r>
      <w:r w:rsidR="00BE4534">
        <w:t xml:space="preserve"> (as defined in the ASIC Act)</w:t>
      </w:r>
      <w:r w:rsidRPr="0069362C">
        <w:t>.</w:t>
      </w:r>
    </w:p>
    <w:p w14:paraId="3BC43B2E" w14:textId="795B31C6" w:rsidR="00795781" w:rsidRPr="008E2845" w:rsidRDefault="007F4E72" w:rsidP="00267789">
      <w:r>
        <w:lastRenderedPageBreak/>
        <w:t xml:space="preserve">Under </w:t>
      </w:r>
      <w:r w:rsidR="00286E3F">
        <w:t>P</w:t>
      </w:r>
      <w:r>
        <w:t>art</w:t>
      </w:r>
      <w:r w:rsidR="00DB1749">
        <w:t>s</w:t>
      </w:r>
      <w:r>
        <w:t xml:space="preserve"> 7.2</w:t>
      </w:r>
      <w:r w:rsidR="00DB1749">
        <w:t>,</w:t>
      </w:r>
      <w:r>
        <w:t xml:space="preserve"> </w:t>
      </w:r>
      <w:r w:rsidR="004B1116">
        <w:t xml:space="preserve">7.2A, </w:t>
      </w:r>
      <w:r>
        <w:t>7.3</w:t>
      </w:r>
      <w:r w:rsidR="00DB1749">
        <w:t xml:space="preserve"> and 7.5</w:t>
      </w:r>
      <w:r>
        <w:t xml:space="preserve"> of the</w:t>
      </w:r>
      <w:r w:rsidR="00CC6C45">
        <w:t xml:space="preserve"> Corporations</w:t>
      </w:r>
      <w:r>
        <w:t xml:space="preserve"> Act, the Minister has</w:t>
      </w:r>
      <w:r w:rsidR="00DB1749">
        <w:t xml:space="preserve"> </w:t>
      </w:r>
      <w:r>
        <w:t xml:space="preserve">powers relating to the licensing, operating rules and </w:t>
      </w:r>
      <w:r w:rsidR="00DB1749">
        <w:t>compensation arrangements</w:t>
      </w:r>
      <w:r>
        <w:t xml:space="preserve"> of financial markets and CS facilities</w:t>
      </w:r>
      <w:r w:rsidR="004B1116">
        <w:t xml:space="preserve"> and ASIC supervision of licensed markets</w:t>
      </w:r>
      <w:r>
        <w:t>. The powers</w:t>
      </w:r>
      <w:r w:rsidR="000208DC">
        <w:t xml:space="preserve"> under these parts</w:t>
      </w:r>
      <w:r>
        <w:t xml:space="preserve"> that have been delegated are outlined </w:t>
      </w:r>
      <w:r w:rsidR="000208DC">
        <w:t xml:space="preserve">in </w:t>
      </w:r>
      <w:r w:rsidRPr="00123540">
        <w:t>Table</w:t>
      </w:r>
      <w:r w:rsidR="00A02304" w:rsidRPr="00123540">
        <w:t> </w:t>
      </w:r>
      <w:r w:rsidRPr="00123540">
        <w:t>1</w:t>
      </w:r>
      <w:r w:rsidR="000208DC" w:rsidRPr="000208DC">
        <w:t>.</w:t>
      </w:r>
    </w:p>
    <w:p w14:paraId="3BC43B2F" w14:textId="77777777" w:rsidR="007F4E72" w:rsidRPr="00ED308A" w:rsidRDefault="009B3236" w:rsidP="00267789">
      <w:pPr>
        <w:pStyle w:val="tableHeader"/>
      </w:pPr>
      <w:r>
        <w:t>Table</w:t>
      </w:r>
      <w:r w:rsidR="007F4E72" w:rsidRPr="00ED308A">
        <w:t xml:space="preserve">1. </w:t>
      </w:r>
      <w:r w:rsidR="007F4E72">
        <w:t xml:space="preserve">Delegated powers under </w:t>
      </w:r>
      <w:r w:rsidR="00286E3F">
        <w:t>P</w:t>
      </w:r>
      <w:r w:rsidR="007F4E72" w:rsidRPr="00ED308A">
        <w:t>art</w:t>
      </w:r>
      <w:r w:rsidR="007F4E72">
        <w:t>s</w:t>
      </w:r>
      <w:r w:rsidR="007F4E72" w:rsidRPr="00ED308A">
        <w:t xml:space="preserve"> 7.2</w:t>
      </w:r>
      <w:r w:rsidR="00DB1749">
        <w:t>,</w:t>
      </w:r>
      <w:r w:rsidR="007F4E72">
        <w:t xml:space="preserve"> </w:t>
      </w:r>
      <w:r w:rsidR="004B1116">
        <w:t xml:space="preserve">7.2A, </w:t>
      </w:r>
      <w:r w:rsidR="007F4E72" w:rsidRPr="00ED308A">
        <w:t>7.3</w:t>
      </w:r>
      <w:r w:rsidR="00DB1749">
        <w:t xml:space="preserve"> and 7.5</w:t>
      </w:r>
      <w:r w:rsidR="007F4E72" w:rsidRPr="00ED308A">
        <w:t xml:space="preserve"> of the</w:t>
      </w:r>
      <w:r w:rsidR="00CC6C45">
        <w:t xml:space="preserve"> Corporations</w:t>
      </w:r>
      <w:r w:rsidR="007F4E72" w:rsidRPr="00ED308A">
        <w:t xml:space="preserve"> </w:t>
      </w:r>
      <w:r w:rsidR="007F4E72" w:rsidRPr="007646E5">
        <w:t>Act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1701"/>
        <w:gridCol w:w="1491"/>
      </w:tblGrid>
      <w:tr w:rsidR="007F4E72" w:rsidRPr="00CF4FCA" w14:paraId="3BC43B33" w14:textId="77777777" w:rsidTr="00B42413">
        <w:trPr>
          <w:jc w:val="center"/>
        </w:trPr>
        <w:tc>
          <w:tcPr>
            <w:tcW w:w="5496" w:type="dxa"/>
            <w:shd w:val="clear" w:color="auto" w:fill="D9D9D9" w:themeFill="background1" w:themeFillShade="D9"/>
          </w:tcPr>
          <w:p w14:paraId="3BC43B30" w14:textId="77777777" w:rsidR="007F4E72" w:rsidRPr="00267789" w:rsidRDefault="004C735A" w:rsidP="00414C0B">
            <w:pPr>
              <w:pStyle w:val="TableColumnHeading-Left"/>
              <w:spacing w:before="40" w:after="40"/>
            </w:pPr>
            <w:r w:rsidRPr="00CF4FCA">
              <w:t>P</w:t>
            </w:r>
            <w:r w:rsidR="00DB1749" w:rsidRPr="00CF4FCA">
              <w:t>ower</w:t>
            </w:r>
          </w:p>
        </w:tc>
        <w:tc>
          <w:tcPr>
            <w:tcW w:w="1701" w:type="dxa"/>
            <w:shd w:val="clear" w:color="auto" w:fill="D9D9D9" w:themeFill="background1" w:themeFillShade="D9"/>
          </w:tcPr>
          <w:p w14:paraId="3BC43B31" w14:textId="77777777" w:rsidR="007F4E72" w:rsidRPr="00267789" w:rsidRDefault="00DB1749" w:rsidP="00414C0B">
            <w:pPr>
              <w:pStyle w:val="TableColumnHeading-Centre"/>
              <w:spacing w:before="40" w:after="40"/>
            </w:pPr>
            <w:r w:rsidRPr="00267789">
              <w:t xml:space="preserve">Financial </w:t>
            </w:r>
            <w:r w:rsidR="00286E3F" w:rsidRPr="00267789">
              <w:t>market</w:t>
            </w:r>
          </w:p>
        </w:tc>
        <w:tc>
          <w:tcPr>
            <w:tcW w:w="1491" w:type="dxa"/>
            <w:shd w:val="clear" w:color="auto" w:fill="D9D9D9" w:themeFill="background1" w:themeFillShade="D9"/>
          </w:tcPr>
          <w:p w14:paraId="3BC43B32" w14:textId="77777777" w:rsidR="007F4E72" w:rsidRPr="00267789" w:rsidRDefault="007F4E72" w:rsidP="00414C0B">
            <w:pPr>
              <w:pStyle w:val="TableColumnHeading-Centre"/>
              <w:spacing w:before="40" w:after="40"/>
            </w:pPr>
            <w:r w:rsidRPr="00267789">
              <w:t>C</w:t>
            </w:r>
            <w:r w:rsidR="00DB1749" w:rsidRPr="00267789">
              <w:t xml:space="preserve">S </w:t>
            </w:r>
            <w:r w:rsidR="00286E3F" w:rsidRPr="00267789">
              <w:t>f</w:t>
            </w:r>
            <w:r w:rsidR="00DB1749" w:rsidRPr="00267789">
              <w:t>acility</w:t>
            </w:r>
          </w:p>
        </w:tc>
      </w:tr>
      <w:tr w:rsidR="00DB1749" w:rsidRPr="00CF4FCA" w14:paraId="3BC43B35" w14:textId="77777777" w:rsidTr="00B42413">
        <w:trPr>
          <w:jc w:val="center"/>
        </w:trPr>
        <w:tc>
          <w:tcPr>
            <w:tcW w:w="8688" w:type="dxa"/>
            <w:gridSpan w:val="3"/>
            <w:shd w:val="clear" w:color="auto" w:fill="F2F2F2" w:themeFill="background1" w:themeFillShade="F2"/>
          </w:tcPr>
          <w:p w14:paraId="3BC43B34" w14:textId="77777777" w:rsidR="00DB1749" w:rsidRPr="00CF4FCA" w:rsidRDefault="00DB1749" w:rsidP="00414C0B">
            <w:pPr>
              <w:pStyle w:val="TableSectionHeading"/>
              <w:spacing w:before="40" w:after="40"/>
            </w:pPr>
            <w:r w:rsidRPr="00CF4FCA">
              <w:t xml:space="preserve">Licensing </w:t>
            </w:r>
          </w:p>
        </w:tc>
      </w:tr>
      <w:tr w:rsidR="007F4E72" w:rsidRPr="00304737" w14:paraId="3BC43B39" w14:textId="77777777" w:rsidTr="00B42413">
        <w:trPr>
          <w:jc w:val="center"/>
        </w:trPr>
        <w:tc>
          <w:tcPr>
            <w:tcW w:w="5496" w:type="dxa"/>
            <w:vAlign w:val="center"/>
          </w:tcPr>
          <w:p w14:paraId="3BC43B36" w14:textId="01868B91" w:rsidR="007F4E72" w:rsidRPr="00CF4FCA" w:rsidRDefault="007F4E72" w:rsidP="00414C0B">
            <w:pPr>
              <w:pStyle w:val="TableTextLeft"/>
              <w:spacing w:before="40" w:after="40"/>
            </w:pPr>
            <w:r w:rsidRPr="00CF4FCA">
              <w:t>Issue</w:t>
            </w:r>
            <w:r w:rsidR="0008466D" w:rsidRPr="00CF4FCA">
              <w:t>/revoke</w:t>
            </w:r>
            <w:r w:rsidRPr="00CF4FCA">
              <w:t xml:space="preserve"> exemption from </w:t>
            </w:r>
            <w:r w:rsidR="008B3D42">
              <w:t>all or specified provisions of Part 7.2 (licensed markets) or Part 7.3 (licensed CS facilities)</w:t>
            </w:r>
            <w:r w:rsidRPr="00CF4FCA">
              <w:t xml:space="preserve"> </w:t>
            </w:r>
            <w:r w:rsidR="0008466D" w:rsidRPr="00CF4FCA">
              <w:t xml:space="preserve">and vary/revoke an exemption </w:t>
            </w:r>
          </w:p>
        </w:tc>
        <w:tc>
          <w:tcPr>
            <w:tcW w:w="1701" w:type="dxa"/>
            <w:vAlign w:val="center"/>
          </w:tcPr>
          <w:p w14:paraId="3BC43B37" w14:textId="77777777" w:rsidR="007F4E72" w:rsidRPr="00304737" w:rsidRDefault="007F4E72" w:rsidP="00414C0B">
            <w:pPr>
              <w:pStyle w:val="TableTextCentre"/>
              <w:spacing w:before="40" w:after="40"/>
              <w:rPr>
                <w:highlight w:val="yellow"/>
              </w:rPr>
            </w:pPr>
            <w:r w:rsidRPr="00304737">
              <w:t>791C</w:t>
            </w:r>
          </w:p>
        </w:tc>
        <w:tc>
          <w:tcPr>
            <w:tcW w:w="1491" w:type="dxa"/>
            <w:vAlign w:val="center"/>
          </w:tcPr>
          <w:p w14:paraId="3BC43B38" w14:textId="77777777" w:rsidR="007F4E72" w:rsidRPr="00304737" w:rsidRDefault="007F4E72" w:rsidP="00414C0B">
            <w:pPr>
              <w:pStyle w:val="TableTextCentre"/>
              <w:spacing w:before="40" w:after="40"/>
            </w:pPr>
            <w:r w:rsidRPr="00304737">
              <w:t>820C</w:t>
            </w:r>
          </w:p>
        </w:tc>
      </w:tr>
      <w:tr w:rsidR="007F4E72" w:rsidRPr="00304737" w14:paraId="3BC43B3D" w14:textId="77777777" w:rsidTr="00B42413">
        <w:trPr>
          <w:jc w:val="center"/>
        </w:trPr>
        <w:tc>
          <w:tcPr>
            <w:tcW w:w="5496" w:type="dxa"/>
            <w:vAlign w:val="center"/>
          </w:tcPr>
          <w:p w14:paraId="3BC43B3A" w14:textId="77777777" w:rsidR="007F4E72" w:rsidRPr="00CF4FCA" w:rsidRDefault="007F4E72" w:rsidP="00414C0B">
            <w:pPr>
              <w:pStyle w:val="TableTextLeft"/>
              <w:spacing w:before="40" w:after="40"/>
            </w:pPr>
            <w:r w:rsidRPr="00CF4FCA">
              <w:t>Direct audit of annual report</w:t>
            </w:r>
          </w:p>
        </w:tc>
        <w:tc>
          <w:tcPr>
            <w:tcW w:w="1701" w:type="dxa"/>
            <w:vAlign w:val="center"/>
          </w:tcPr>
          <w:p w14:paraId="3BC43B3B" w14:textId="77777777" w:rsidR="007F4E72" w:rsidRPr="00304737" w:rsidRDefault="007F4E72" w:rsidP="00414C0B">
            <w:pPr>
              <w:pStyle w:val="TableTextCentre"/>
              <w:spacing w:before="40" w:after="40"/>
              <w:rPr>
                <w:highlight w:val="yellow"/>
              </w:rPr>
            </w:pPr>
            <w:r w:rsidRPr="00304737">
              <w:t>792F</w:t>
            </w:r>
          </w:p>
        </w:tc>
        <w:tc>
          <w:tcPr>
            <w:tcW w:w="1491" w:type="dxa"/>
            <w:vAlign w:val="center"/>
          </w:tcPr>
          <w:p w14:paraId="3BC43B3C" w14:textId="77777777" w:rsidR="007F4E72" w:rsidRPr="00304737" w:rsidRDefault="007F4E72" w:rsidP="00414C0B">
            <w:pPr>
              <w:pStyle w:val="TableTextCentre"/>
              <w:spacing w:before="40" w:after="40"/>
            </w:pPr>
            <w:r w:rsidRPr="00304737">
              <w:t>821E</w:t>
            </w:r>
          </w:p>
        </w:tc>
      </w:tr>
      <w:tr w:rsidR="007F4E72" w:rsidRPr="00304737" w14:paraId="3BC43B41" w14:textId="77777777" w:rsidTr="00B42413">
        <w:trPr>
          <w:jc w:val="center"/>
        </w:trPr>
        <w:tc>
          <w:tcPr>
            <w:tcW w:w="5496" w:type="dxa"/>
            <w:vAlign w:val="center"/>
          </w:tcPr>
          <w:p w14:paraId="3BC43B3E" w14:textId="77777777" w:rsidR="007F4E72" w:rsidRPr="00CF4FCA" w:rsidRDefault="0008466D" w:rsidP="00414C0B">
            <w:pPr>
              <w:pStyle w:val="TableTextLeft"/>
              <w:spacing w:before="40" w:after="40"/>
            </w:pPr>
            <w:r w:rsidRPr="00CF4FCA">
              <w:t xml:space="preserve">Approve </w:t>
            </w:r>
            <w:r w:rsidR="007F4E72" w:rsidRPr="00CF4FCA">
              <w:t>change of country by foreign licensee</w:t>
            </w:r>
          </w:p>
        </w:tc>
        <w:tc>
          <w:tcPr>
            <w:tcW w:w="1701" w:type="dxa"/>
            <w:vAlign w:val="center"/>
          </w:tcPr>
          <w:p w14:paraId="3BC43B3F" w14:textId="77777777" w:rsidR="007F4E72" w:rsidRPr="00304737" w:rsidRDefault="007F4E72" w:rsidP="00414C0B">
            <w:pPr>
              <w:pStyle w:val="TableTextCentre"/>
              <w:spacing w:before="40" w:after="40"/>
              <w:rPr>
                <w:highlight w:val="yellow"/>
              </w:rPr>
            </w:pPr>
            <w:r w:rsidRPr="00304737">
              <w:t>792H</w:t>
            </w:r>
          </w:p>
        </w:tc>
        <w:tc>
          <w:tcPr>
            <w:tcW w:w="1491" w:type="dxa"/>
            <w:vAlign w:val="center"/>
          </w:tcPr>
          <w:p w14:paraId="3BC43B40" w14:textId="77777777" w:rsidR="007F4E72" w:rsidRPr="00304737" w:rsidRDefault="007F4E72" w:rsidP="00414C0B">
            <w:pPr>
              <w:pStyle w:val="TableTextCentre"/>
              <w:spacing w:before="40" w:after="40"/>
              <w:rPr>
                <w:highlight w:val="yellow"/>
              </w:rPr>
            </w:pPr>
            <w:r w:rsidRPr="00304737">
              <w:t>821F</w:t>
            </w:r>
          </w:p>
        </w:tc>
      </w:tr>
      <w:tr w:rsidR="007F4E72" w:rsidRPr="00304737" w14:paraId="3BC43B45" w14:textId="77777777" w:rsidTr="00B42413">
        <w:trPr>
          <w:jc w:val="center"/>
        </w:trPr>
        <w:tc>
          <w:tcPr>
            <w:tcW w:w="5496" w:type="dxa"/>
            <w:vAlign w:val="center"/>
          </w:tcPr>
          <w:p w14:paraId="3BC43B42" w14:textId="77777777" w:rsidR="007F4E72" w:rsidRPr="00CF4FCA" w:rsidRDefault="007F4E72" w:rsidP="00414C0B">
            <w:pPr>
              <w:pStyle w:val="TableTextLeft"/>
              <w:spacing w:before="40" w:after="40"/>
            </w:pPr>
            <w:r w:rsidRPr="00CF4FCA">
              <w:t>Issue</w:t>
            </w:r>
            <w:r w:rsidR="0008466D" w:rsidRPr="00CF4FCA">
              <w:t>/vary/revoke</w:t>
            </w:r>
            <w:r w:rsidRPr="00CF4FCA">
              <w:t xml:space="preserve"> directions </w:t>
            </w:r>
          </w:p>
        </w:tc>
        <w:tc>
          <w:tcPr>
            <w:tcW w:w="1701" w:type="dxa"/>
            <w:vAlign w:val="center"/>
          </w:tcPr>
          <w:p w14:paraId="3BC43B43" w14:textId="77777777" w:rsidR="007F4E72" w:rsidRPr="00304737" w:rsidRDefault="007F4E72" w:rsidP="00414C0B">
            <w:pPr>
              <w:pStyle w:val="TableTextCentre"/>
              <w:spacing w:before="40" w:after="40"/>
              <w:rPr>
                <w:highlight w:val="yellow"/>
              </w:rPr>
            </w:pPr>
            <w:r w:rsidRPr="00304737">
              <w:t>794A</w:t>
            </w:r>
          </w:p>
        </w:tc>
        <w:tc>
          <w:tcPr>
            <w:tcW w:w="1491" w:type="dxa"/>
            <w:vAlign w:val="center"/>
          </w:tcPr>
          <w:p w14:paraId="3BC43B44" w14:textId="77777777" w:rsidR="007F4E72" w:rsidRPr="00304737" w:rsidRDefault="007F4E72" w:rsidP="00414C0B">
            <w:pPr>
              <w:pStyle w:val="TableTextCentre"/>
              <w:spacing w:before="40" w:after="40"/>
              <w:rPr>
                <w:highlight w:val="yellow"/>
              </w:rPr>
            </w:pPr>
            <w:r w:rsidRPr="00304737">
              <w:t>823A</w:t>
            </w:r>
          </w:p>
        </w:tc>
      </w:tr>
      <w:tr w:rsidR="007F4E72" w:rsidRPr="00304737" w14:paraId="3BC43B49" w14:textId="77777777" w:rsidTr="00B42413">
        <w:trPr>
          <w:jc w:val="center"/>
        </w:trPr>
        <w:tc>
          <w:tcPr>
            <w:tcW w:w="5496" w:type="dxa"/>
            <w:vAlign w:val="center"/>
          </w:tcPr>
          <w:p w14:paraId="3BC43B46" w14:textId="77777777" w:rsidR="007F4E72" w:rsidRPr="00CF4FCA" w:rsidRDefault="007F4E72" w:rsidP="00414C0B">
            <w:pPr>
              <w:pStyle w:val="TableTextLeft"/>
              <w:spacing w:before="40" w:after="40"/>
            </w:pPr>
            <w:r w:rsidRPr="00CF4FCA">
              <w:t xml:space="preserve">Require a special report </w:t>
            </w:r>
            <w:r w:rsidR="0008466D" w:rsidRPr="00CF4FCA">
              <w:t xml:space="preserve">including an audited special report </w:t>
            </w:r>
          </w:p>
        </w:tc>
        <w:tc>
          <w:tcPr>
            <w:tcW w:w="1701" w:type="dxa"/>
            <w:vAlign w:val="center"/>
          </w:tcPr>
          <w:p w14:paraId="3BC43B47" w14:textId="77777777" w:rsidR="007F4E72" w:rsidRPr="00304737" w:rsidRDefault="007F4E72" w:rsidP="00414C0B">
            <w:pPr>
              <w:pStyle w:val="TableTextCentre"/>
              <w:spacing w:before="40" w:after="40"/>
              <w:rPr>
                <w:highlight w:val="yellow"/>
              </w:rPr>
            </w:pPr>
            <w:r w:rsidRPr="00304737">
              <w:t>794B</w:t>
            </w:r>
          </w:p>
        </w:tc>
        <w:tc>
          <w:tcPr>
            <w:tcW w:w="1491" w:type="dxa"/>
            <w:vAlign w:val="center"/>
          </w:tcPr>
          <w:p w14:paraId="3BC43B48" w14:textId="77777777" w:rsidR="007F4E72" w:rsidRPr="00304737" w:rsidRDefault="007F4E72" w:rsidP="00414C0B">
            <w:pPr>
              <w:pStyle w:val="TableTextCentre"/>
              <w:spacing w:before="40" w:after="40"/>
              <w:rPr>
                <w:highlight w:val="yellow"/>
              </w:rPr>
            </w:pPr>
            <w:r w:rsidRPr="00304737">
              <w:t>823B</w:t>
            </w:r>
          </w:p>
        </w:tc>
      </w:tr>
      <w:tr w:rsidR="007F4E72" w:rsidRPr="00304737" w14:paraId="3BC43B4D" w14:textId="77777777" w:rsidTr="00B42413">
        <w:trPr>
          <w:jc w:val="center"/>
        </w:trPr>
        <w:tc>
          <w:tcPr>
            <w:tcW w:w="5496" w:type="dxa"/>
            <w:vAlign w:val="center"/>
          </w:tcPr>
          <w:p w14:paraId="3BC43B4A" w14:textId="77777777" w:rsidR="007F4E72" w:rsidRPr="00CF4FCA" w:rsidRDefault="007F4E72" w:rsidP="00414C0B">
            <w:pPr>
              <w:pStyle w:val="TableTextLeft"/>
              <w:spacing w:before="40" w:after="40"/>
            </w:pPr>
            <w:r w:rsidRPr="00CF4FCA">
              <w:t xml:space="preserve">Issue domestic licence </w:t>
            </w:r>
          </w:p>
        </w:tc>
        <w:tc>
          <w:tcPr>
            <w:tcW w:w="1701" w:type="dxa"/>
            <w:vAlign w:val="center"/>
          </w:tcPr>
          <w:p w14:paraId="3BC43B4B" w14:textId="77777777" w:rsidR="007F4E72" w:rsidRPr="00304737" w:rsidRDefault="007F4E72" w:rsidP="00414C0B">
            <w:pPr>
              <w:pStyle w:val="TableTextCentre"/>
              <w:spacing w:before="40" w:after="40"/>
            </w:pPr>
            <w:r w:rsidRPr="00304737">
              <w:t>795</w:t>
            </w:r>
            <w:proofErr w:type="gramStart"/>
            <w:r w:rsidRPr="00304737">
              <w:t>B</w:t>
            </w:r>
            <w:r w:rsidR="0008466D" w:rsidRPr="00304737">
              <w:t>(</w:t>
            </w:r>
            <w:proofErr w:type="gramEnd"/>
            <w:r w:rsidR="0008466D" w:rsidRPr="00304737">
              <w:t>1)</w:t>
            </w:r>
          </w:p>
        </w:tc>
        <w:tc>
          <w:tcPr>
            <w:tcW w:w="1491" w:type="dxa"/>
            <w:vAlign w:val="center"/>
          </w:tcPr>
          <w:p w14:paraId="3BC43B4C" w14:textId="77777777" w:rsidR="007F4E72" w:rsidRPr="00304737" w:rsidRDefault="007F4E72" w:rsidP="00414C0B">
            <w:pPr>
              <w:pStyle w:val="TableTextCentre"/>
              <w:spacing w:before="40" w:after="40"/>
              <w:rPr>
                <w:highlight w:val="yellow"/>
              </w:rPr>
            </w:pPr>
            <w:r w:rsidRPr="00304737">
              <w:t>824</w:t>
            </w:r>
            <w:proofErr w:type="gramStart"/>
            <w:r w:rsidRPr="00304737">
              <w:t>B</w:t>
            </w:r>
            <w:r w:rsidR="0008466D" w:rsidRPr="00304737">
              <w:t>(</w:t>
            </w:r>
            <w:proofErr w:type="gramEnd"/>
            <w:r w:rsidR="0008466D" w:rsidRPr="00304737">
              <w:t>1)</w:t>
            </w:r>
          </w:p>
        </w:tc>
      </w:tr>
      <w:tr w:rsidR="007F4E72" w:rsidRPr="00304737" w14:paraId="3BC43B51" w14:textId="77777777" w:rsidTr="00B42413">
        <w:trPr>
          <w:jc w:val="center"/>
        </w:trPr>
        <w:tc>
          <w:tcPr>
            <w:tcW w:w="5496" w:type="dxa"/>
            <w:vAlign w:val="center"/>
          </w:tcPr>
          <w:p w14:paraId="3BC43B4E" w14:textId="77777777" w:rsidR="007F4E72" w:rsidRPr="00CF4FCA" w:rsidRDefault="007F4E72" w:rsidP="00414C0B">
            <w:pPr>
              <w:pStyle w:val="TableTextLeft"/>
              <w:spacing w:before="40" w:after="40"/>
            </w:pPr>
            <w:r w:rsidRPr="00CF4FCA">
              <w:t xml:space="preserve">Issue overseas licence </w:t>
            </w:r>
          </w:p>
        </w:tc>
        <w:tc>
          <w:tcPr>
            <w:tcW w:w="1701" w:type="dxa"/>
            <w:vAlign w:val="center"/>
          </w:tcPr>
          <w:p w14:paraId="3BC43B4F" w14:textId="77777777" w:rsidR="007F4E72" w:rsidRPr="00304737" w:rsidRDefault="007F4E72" w:rsidP="00414C0B">
            <w:pPr>
              <w:pStyle w:val="TableTextCentre"/>
              <w:spacing w:before="40" w:after="40"/>
            </w:pPr>
            <w:r w:rsidRPr="00304737">
              <w:t>795</w:t>
            </w:r>
            <w:proofErr w:type="gramStart"/>
            <w:r w:rsidRPr="00304737">
              <w:t>B</w:t>
            </w:r>
            <w:r w:rsidR="0008466D" w:rsidRPr="00304737">
              <w:t>(</w:t>
            </w:r>
            <w:proofErr w:type="gramEnd"/>
            <w:r w:rsidR="0008466D" w:rsidRPr="00304737">
              <w:t>2)</w:t>
            </w:r>
          </w:p>
        </w:tc>
        <w:tc>
          <w:tcPr>
            <w:tcW w:w="1491" w:type="dxa"/>
            <w:vAlign w:val="center"/>
          </w:tcPr>
          <w:p w14:paraId="3BC43B50" w14:textId="77777777" w:rsidR="007F4E72" w:rsidRPr="00304737" w:rsidRDefault="007F4E72" w:rsidP="00414C0B">
            <w:pPr>
              <w:pStyle w:val="TableTextCentre"/>
              <w:spacing w:before="40" w:after="40"/>
              <w:rPr>
                <w:highlight w:val="yellow"/>
              </w:rPr>
            </w:pPr>
            <w:r w:rsidRPr="00304737">
              <w:t>824</w:t>
            </w:r>
            <w:proofErr w:type="gramStart"/>
            <w:r w:rsidRPr="00304737">
              <w:t>B</w:t>
            </w:r>
            <w:r w:rsidR="0008466D" w:rsidRPr="00304737">
              <w:t>(</w:t>
            </w:r>
            <w:proofErr w:type="gramEnd"/>
            <w:r w:rsidR="0008466D" w:rsidRPr="00304737">
              <w:t>2)</w:t>
            </w:r>
          </w:p>
        </w:tc>
      </w:tr>
      <w:tr w:rsidR="007F4E72" w:rsidRPr="00304737" w14:paraId="3BC43B55" w14:textId="77777777" w:rsidTr="00B42413">
        <w:trPr>
          <w:jc w:val="center"/>
        </w:trPr>
        <w:tc>
          <w:tcPr>
            <w:tcW w:w="5496" w:type="dxa"/>
            <w:vAlign w:val="center"/>
          </w:tcPr>
          <w:p w14:paraId="3BC43B52" w14:textId="77777777" w:rsidR="007F4E72" w:rsidRPr="00CF4FCA" w:rsidRDefault="007F4E72" w:rsidP="00414C0B">
            <w:pPr>
              <w:pStyle w:val="TableTextLeft"/>
              <w:spacing w:before="40" w:after="40"/>
            </w:pPr>
            <w:r w:rsidRPr="00CF4FCA">
              <w:t>Gazette the licence</w:t>
            </w:r>
          </w:p>
        </w:tc>
        <w:tc>
          <w:tcPr>
            <w:tcW w:w="1701" w:type="dxa"/>
            <w:vAlign w:val="center"/>
          </w:tcPr>
          <w:p w14:paraId="3BC43B53" w14:textId="77777777" w:rsidR="007F4E72" w:rsidRPr="00CF4FCA" w:rsidRDefault="007F4E72" w:rsidP="00414C0B">
            <w:pPr>
              <w:pStyle w:val="TableTextCentre"/>
              <w:spacing w:before="40" w:after="40"/>
            </w:pPr>
            <w:r w:rsidRPr="00304737">
              <w:t>795C</w:t>
            </w:r>
          </w:p>
        </w:tc>
        <w:tc>
          <w:tcPr>
            <w:tcW w:w="1491" w:type="dxa"/>
            <w:vAlign w:val="center"/>
          </w:tcPr>
          <w:p w14:paraId="3BC43B54" w14:textId="77777777" w:rsidR="007F4E72" w:rsidRPr="00CF4FCA" w:rsidRDefault="007F4E72" w:rsidP="00414C0B">
            <w:pPr>
              <w:pStyle w:val="TableTextCentre"/>
              <w:spacing w:before="40" w:after="40"/>
            </w:pPr>
            <w:r w:rsidRPr="00304737">
              <w:t>824C</w:t>
            </w:r>
          </w:p>
        </w:tc>
      </w:tr>
      <w:tr w:rsidR="007F4E72" w:rsidRPr="00304737" w14:paraId="3BC43B59" w14:textId="77777777" w:rsidTr="00B42413">
        <w:trPr>
          <w:jc w:val="center"/>
        </w:trPr>
        <w:tc>
          <w:tcPr>
            <w:tcW w:w="5496" w:type="dxa"/>
            <w:vAlign w:val="center"/>
          </w:tcPr>
          <w:p w14:paraId="3BC43B56" w14:textId="77777777" w:rsidR="007F4E72" w:rsidRPr="00CF4FCA" w:rsidRDefault="007F4E72" w:rsidP="00414C0B">
            <w:pPr>
              <w:pStyle w:val="TableTextLeft"/>
              <w:spacing w:before="40" w:after="40"/>
            </w:pPr>
            <w:r w:rsidRPr="00CF4FCA">
              <w:t>Impose/vary</w:t>
            </w:r>
            <w:r w:rsidR="0008466D" w:rsidRPr="00CF4FCA">
              <w:t>/revoke</w:t>
            </w:r>
            <w:r w:rsidRPr="00CF4FCA">
              <w:t xml:space="preserve"> conditions on licence </w:t>
            </w:r>
          </w:p>
        </w:tc>
        <w:tc>
          <w:tcPr>
            <w:tcW w:w="1701" w:type="dxa"/>
            <w:vAlign w:val="center"/>
          </w:tcPr>
          <w:p w14:paraId="3BC43B57" w14:textId="77777777" w:rsidR="007F4E72" w:rsidRPr="00304737" w:rsidRDefault="007F4E72" w:rsidP="00414C0B">
            <w:pPr>
              <w:pStyle w:val="TableTextCentre"/>
              <w:spacing w:before="40" w:after="40"/>
              <w:rPr>
                <w:highlight w:val="yellow"/>
              </w:rPr>
            </w:pPr>
            <w:r w:rsidRPr="00304737">
              <w:t>796A</w:t>
            </w:r>
          </w:p>
        </w:tc>
        <w:tc>
          <w:tcPr>
            <w:tcW w:w="1491" w:type="dxa"/>
            <w:vAlign w:val="center"/>
          </w:tcPr>
          <w:p w14:paraId="3BC43B58" w14:textId="77777777" w:rsidR="007F4E72" w:rsidRPr="00304737" w:rsidRDefault="007F4E72" w:rsidP="00414C0B">
            <w:pPr>
              <w:pStyle w:val="TableTextCentre"/>
              <w:spacing w:before="40" w:after="40"/>
              <w:rPr>
                <w:highlight w:val="yellow"/>
              </w:rPr>
            </w:pPr>
            <w:r w:rsidRPr="00304737">
              <w:t>825A</w:t>
            </w:r>
          </w:p>
        </w:tc>
      </w:tr>
      <w:tr w:rsidR="007F4E72" w:rsidRPr="00304737" w14:paraId="3BC43B5D" w14:textId="77777777" w:rsidTr="00B42413">
        <w:trPr>
          <w:jc w:val="center"/>
        </w:trPr>
        <w:tc>
          <w:tcPr>
            <w:tcW w:w="5496" w:type="dxa"/>
            <w:vAlign w:val="center"/>
          </w:tcPr>
          <w:p w14:paraId="3BC43B5A" w14:textId="77777777" w:rsidR="007F4E72" w:rsidRPr="00CF4FCA" w:rsidRDefault="007F4E72" w:rsidP="00414C0B">
            <w:pPr>
              <w:pStyle w:val="TableTextLeft"/>
              <w:spacing w:before="40" w:after="40"/>
            </w:pPr>
            <w:r w:rsidRPr="00CF4FCA">
              <w:t xml:space="preserve">Vary licence </w:t>
            </w:r>
          </w:p>
        </w:tc>
        <w:tc>
          <w:tcPr>
            <w:tcW w:w="1701" w:type="dxa"/>
            <w:vAlign w:val="center"/>
          </w:tcPr>
          <w:p w14:paraId="3BC43B5B" w14:textId="77777777" w:rsidR="007F4E72" w:rsidRPr="00304737" w:rsidRDefault="007F4E72" w:rsidP="00414C0B">
            <w:pPr>
              <w:pStyle w:val="TableTextCentre"/>
              <w:spacing w:before="40" w:after="40"/>
            </w:pPr>
            <w:r w:rsidRPr="00304737">
              <w:t>797A</w:t>
            </w:r>
          </w:p>
        </w:tc>
        <w:tc>
          <w:tcPr>
            <w:tcW w:w="1491" w:type="dxa"/>
            <w:vAlign w:val="center"/>
          </w:tcPr>
          <w:p w14:paraId="3BC43B5C" w14:textId="77777777" w:rsidR="007F4E72" w:rsidRPr="00304737" w:rsidRDefault="007F4E72" w:rsidP="00414C0B">
            <w:pPr>
              <w:pStyle w:val="TableTextCentre"/>
              <w:spacing w:before="40" w:after="40"/>
              <w:rPr>
                <w:highlight w:val="yellow"/>
              </w:rPr>
            </w:pPr>
            <w:r w:rsidRPr="00304737">
              <w:t>826A</w:t>
            </w:r>
          </w:p>
        </w:tc>
      </w:tr>
      <w:tr w:rsidR="007F4E72" w:rsidRPr="00304737" w14:paraId="3BC43B69" w14:textId="77777777" w:rsidTr="00B42413">
        <w:trPr>
          <w:jc w:val="center"/>
        </w:trPr>
        <w:tc>
          <w:tcPr>
            <w:tcW w:w="5496" w:type="dxa"/>
            <w:vAlign w:val="center"/>
          </w:tcPr>
          <w:p w14:paraId="3BC43B5E" w14:textId="77777777" w:rsidR="007F4E72" w:rsidRPr="00CF4FCA" w:rsidRDefault="007F4E72" w:rsidP="00414C0B">
            <w:pPr>
              <w:pStyle w:val="TableTextLeft"/>
              <w:spacing w:before="40" w:after="40"/>
            </w:pPr>
            <w:r w:rsidRPr="00CF4FCA">
              <w:t>Suspend/cancel licence and vary or revoke suspension</w:t>
            </w:r>
          </w:p>
        </w:tc>
        <w:tc>
          <w:tcPr>
            <w:tcW w:w="1701" w:type="dxa"/>
            <w:vAlign w:val="center"/>
          </w:tcPr>
          <w:p w14:paraId="3BC43B5F" w14:textId="77777777" w:rsidR="007F4E72" w:rsidRPr="00304737" w:rsidRDefault="007F4E72" w:rsidP="00414C0B">
            <w:pPr>
              <w:pStyle w:val="TableTextCentre"/>
              <w:spacing w:before="40" w:after="40"/>
            </w:pPr>
            <w:r w:rsidRPr="00304737">
              <w:t>797B</w:t>
            </w:r>
          </w:p>
          <w:p w14:paraId="3BC43B60" w14:textId="77777777" w:rsidR="007F4E72" w:rsidRPr="00304737" w:rsidRDefault="007F4E72" w:rsidP="00414C0B">
            <w:pPr>
              <w:pStyle w:val="TableTextCentre"/>
              <w:spacing w:before="40" w:after="40"/>
            </w:pPr>
            <w:r w:rsidRPr="00304737">
              <w:t>797C</w:t>
            </w:r>
          </w:p>
          <w:p w14:paraId="3BC43B61" w14:textId="77777777" w:rsidR="007F4E72" w:rsidRPr="00304737" w:rsidRDefault="007F4E72" w:rsidP="00414C0B">
            <w:pPr>
              <w:pStyle w:val="TableTextCentre"/>
              <w:spacing w:before="40" w:after="40"/>
            </w:pPr>
            <w:r w:rsidRPr="00304737">
              <w:t>797D</w:t>
            </w:r>
          </w:p>
          <w:p w14:paraId="3BC43B62" w14:textId="77777777" w:rsidR="007F4E72" w:rsidRPr="00304737" w:rsidRDefault="007F4E72" w:rsidP="00414C0B">
            <w:pPr>
              <w:pStyle w:val="TableTextCentre"/>
              <w:spacing w:before="40" w:after="40"/>
            </w:pPr>
            <w:r w:rsidRPr="00304737">
              <w:t>797E</w:t>
            </w:r>
          </w:p>
          <w:p w14:paraId="3BC43B63" w14:textId="77777777" w:rsidR="007F4E72" w:rsidRPr="00304737" w:rsidRDefault="007F4E72" w:rsidP="00414C0B">
            <w:pPr>
              <w:pStyle w:val="TableTextCentre"/>
              <w:spacing w:before="40" w:after="40"/>
            </w:pPr>
            <w:r w:rsidRPr="00304737">
              <w:t>797F</w:t>
            </w:r>
          </w:p>
        </w:tc>
        <w:tc>
          <w:tcPr>
            <w:tcW w:w="1491" w:type="dxa"/>
            <w:vAlign w:val="center"/>
          </w:tcPr>
          <w:p w14:paraId="3BC43B64" w14:textId="77777777" w:rsidR="007F4E72" w:rsidRPr="00304737" w:rsidRDefault="007F4E72" w:rsidP="00414C0B">
            <w:pPr>
              <w:pStyle w:val="TableTextCentre"/>
              <w:spacing w:before="40" w:after="40"/>
            </w:pPr>
            <w:r w:rsidRPr="00304737">
              <w:t>826B</w:t>
            </w:r>
          </w:p>
          <w:p w14:paraId="3BC43B65" w14:textId="77777777" w:rsidR="007F4E72" w:rsidRPr="00304737" w:rsidRDefault="007F4E72" w:rsidP="00414C0B">
            <w:pPr>
              <w:pStyle w:val="TableTextCentre"/>
              <w:spacing w:before="40" w:after="40"/>
            </w:pPr>
            <w:r w:rsidRPr="00304737">
              <w:t>826C</w:t>
            </w:r>
          </w:p>
          <w:p w14:paraId="3BC43B66" w14:textId="77777777" w:rsidR="007F4E72" w:rsidRPr="00304737" w:rsidRDefault="007F4E72" w:rsidP="00414C0B">
            <w:pPr>
              <w:pStyle w:val="TableTextCentre"/>
              <w:spacing w:before="40" w:after="40"/>
            </w:pPr>
            <w:r w:rsidRPr="00304737">
              <w:t>826D</w:t>
            </w:r>
          </w:p>
          <w:p w14:paraId="3BC43B67" w14:textId="77777777" w:rsidR="007F4E72" w:rsidRPr="00304737" w:rsidRDefault="007F4E72" w:rsidP="00414C0B">
            <w:pPr>
              <w:pStyle w:val="TableTextCentre"/>
              <w:spacing w:before="40" w:after="40"/>
            </w:pPr>
            <w:r w:rsidRPr="00304737">
              <w:t>826E</w:t>
            </w:r>
          </w:p>
          <w:p w14:paraId="3BC43B68" w14:textId="77777777" w:rsidR="007F4E72" w:rsidRPr="00304737" w:rsidRDefault="007F4E72" w:rsidP="00414C0B">
            <w:pPr>
              <w:pStyle w:val="TableTextCentre"/>
              <w:spacing w:before="40" w:after="40"/>
            </w:pPr>
            <w:r w:rsidRPr="00304737">
              <w:t>826F</w:t>
            </w:r>
          </w:p>
        </w:tc>
      </w:tr>
      <w:tr w:rsidR="008B3D42" w:rsidRPr="00304737" w14:paraId="3BC43B6D" w14:textId="77777777" w:rsidTr="00B42413">
        <w:trPr>
          <w:jc w:val="center"/>
        </w:trPr>
        <w:tc>
          <w:tcPr>
            <w:tcW w:w="5496" w:type="dxa"/>
            <w:vAlign w:val="center"/>
          </w:tcPr>
          <w:p w14:paraId="3BC43B6A" w14:textId="77777777" w:rsidR="008B3D42" w:rsidRPr="00CF4FCA" w:rsidRDefault="008B3D42" w:rsidP="00414C0B">
            <w:pPr>
              <w:pStyle w:val="TableTextLeft"/>
              <w:spacing w:before="40" w:after="40"/>
            </w:pPr>
            <w:r w:rsidRPr="00FE66AC">
              <w:rPr>
                <w:rFonts w:ascii="Times New Roman" w:hAnsi="Times New Roman"/>
              </w:rPr>
              <w:t xml:space="preserve">Issue/revoke exemption </w:t>
            </w:r>
            <w:r>
              <w:rPr>
                <w:rFonts w:ascii="Times New Roman" w:hAnsi="Times New Roman"/>
              </w:rPr>
              <w:t>from all or specified provisions of Part 7.2A (market supervision)</w:t>
            </w:r>
            <w:r w:rsidRPr="00FE66AC">
              <w:rPr>
                <w:rFonts w:ascii="Times New Roman" w:hAnsi="Times New Roman"/>
              </w:rPr>
              <w:t xml:space="preserve"> </w:t>
            </w:r>
            <w:r>
              <w:rPr>
                <w:rFonts w:ascii="Times New Roman" w:hAnsi="Times New Roman"/>
              </w:rPr>
              <w:t>and vary/revoke an exemption</w:t>
            </w:r>
          </w:p>
        </w:tc>
        <w:tc>
          <w:tcPr>
            <w:tcW w:w="1701" w:type="dxa"/>
            <w:vAlign w:val="center"/>
          </w:tcPr>
          <w:p w14:paraId="3BC43B6B" w14:textId="77777777" w:rsidR="008B3D42" w:rsidRPr="00304737" w:rsidRDefault="008B3D42" w:rsidP="00414C0B">
            <w:pPr>
              <w:pStyle w:val="TableTextCentre"/>
              <w:spacing w:before="40" w:after="40"/>
            </w:pPr>
            <w:r>
              <w:t>798M</w:t>
            </w:r>
          </w:p>
        </w:tc>
        <w:tc>
          <w:tcPr>
            <w:tcW w:w="1491" w:type="dxa"/>
            <w:vAlign w:val="center"/>
          </w:tcPr>
          <w:p w14:paraId="3BC43B6C" w14:textId="77777777" w:rsidR="008B3D42" w:rsidRPr="00304737" w:rsidRDefault="008B3D42" w:rsidP="00414C0B">
            <w:pPr>
              <w:pStyle w:val="TableTextCentre"/>
              <w:spacing w:before="40" w:after="40"/>
            </w:pPr>
          </w:p>
        </w:tc>
      </w:tr>
      <w:tr w:rsidR="00DB1749" w:rsidRPr="00304737" w14:paraId="3BC43B6F" w14:textId="77777777" w:rsidTr="00B42413">
        <w:trPr>
          <w:jc w:val="center"/>
        </w:trPr>
        <w:tc>
          <w:tcPr>
            <w:tcW w:w="8688" w:type="dxa"/>
            <w:gridSpan w:val="3"/>
            <w:shd w:val="clear" w:color="auto" w:fill="F2F2F2" w:themeFill="background1" w:themeFillShade="F2"/>
          </w:tcPr>
          <w:p w14:paraId="3BC43B6E" w14:textId="77777777" w:rsidR="00DB1749" w:rsidRPr="00304737" w:rsidRDefault="00DB1749" w:rsidP="00414C0B">
            <w:pPr>
              <w:pStyle w:val="TableSectionHeading"/>
              <w:spacing w:before="40" w:after="40"/>
            </w:pPr>
            <w:r w:rsidRPr="00304737">
              <w:t>Operating rules</w:t>
            </w:r>
          </w:p>
        </w:tc>
      </w:tr>
      <w:tr w:rsidR="007F4E72" w:rsidRPr="00304737" w14:paraId="3BC43B73" w14:textId="77777777" w:rsidTr="00B42413">
        <w:trPr>
          <w:trHeight w:val="70"/>
          <w:jc w:val="center"/>
        </w:trPr>
        <w:tc>
          <w:tcPr>
            <w:tcW w:w="5496" w:type="dxa"/>
          </w:tcPr>
          <w:p w14:paraId="3BC43B70" w14:textId="77777777" w:rsidR="007F4E72" w:rsidRPr="00304737" w:rsidRDefault="007F4E72" w:rsidP="00414C0B">
            <w:pPr>
              <w:pStyle w:val="TableTextLeft"/>
              <w:spacing w:before="40" w:after="40"/>
            </w:pPr>
            <w:r w:rsidRPr="00304737">
              <w:t>Disallow changes to operating rules</w:t>
            </w:r>
          </w:p>
        </w:tc>
        <w:tc>
          <w:tcPr>
            <w:tcW w:w="1701" w:type="dxa"/>
          </w:tcPr>
          <w:p w14:paraId="3BC43B71" w14:textId="77777777" w:rsidR="007F4E72" w:rsidRPr="00304737" w:rsidRDefault="007F4E72" w:rsidP="00414C0B">
            <w:pPr>
              <w:pStyle w:val="TableTextCentre"/>
              <w:spacing w:before="40" w:after="40"/>
              <w:rPr>
                <w:highlight w:val="yellow"/>
              </w:rPr>
            </w:pPr>
            <w:r w:rsidRPr="00304737">
              <w:t>793E</w:t>
            </w:r>
          </w:p>
        </w:tc>
        <w:tc>
          <w:tcPr>
            <w:tcW w:w="1491" w:type="dxa"/>
          </w:tcPr>
          <w:p w14:paraId="3BC43B72" w14:textId="77777777" w:rsidR="007F4E72" w:rsidRPr="00304737" w:rsidRDefault="007F4E72" w:rsidP="00414C0B">
            <w:pPr>
              <w:pStyle w:val="TableTextCentre"/>
              <w:spacing w:before="40" w:after="40"/>
              <w:rPr>
                <w:highlight w:val="yellow"/>
              </w:rPr>
            </w:pPr>
            <w:r w:rsidRPr="00304737">
              <w:t>822E</w:t>
            </w:r>
          </w:p>
        </w:tc>
      </w:tr>
      <w:tr w:rsidR="00DB1749" w:rsidRPr="00304737" w14:paraId="3BC43B75" w14:textId="77777777" w:rsidTr="00B42413">
        <w:trPr>
          <w:trHeight w:val="70"/>
          <w:jc w:val="center"/>
        </w:trPr>
        <w:tc>
          <w:tcPr>
            <w:tcW w:w="8688" w:type="dxa"/>
            <w:gridSpan w:val="3"/>
            <w:shd w:val="clear" w:color="auto" w:fill="F2F2F2" w:themeFill="background1" w:themeFillShade="F2"/>
          </w:tcPr>
          <w:p w14:paraId="3BC43B74" w14:textId="77777777" w:rsidR="00DB1749" w:rsidRPr="00304737" w:rsidRDefault="00DB1749" w:rsidP="00414C0B">
            <w:pPr>
              <w:pStyle w:val="TableSectionHeading"/>
              <w:spacing w:before="40" w:after="40"/>
            </w:pPr>
            <w:r w:rsidRPr="00304737">
              <w:t>Compensation arrangements</w:t>
            </w:r>
          </w:p>
        </w:tc>
      </w:tr>
      <w:tr w:rsidR="00DB1749" w:rsidRPr="00304737" w14:paraId="3BC43B79" w14:textId="77777777" w:rsidTr="00B42413">
        <w:trPr>
          <w:trHeight w:val="70"/>
          <w:jc w:val="center"/>
        </w:trPr>
        <w:tc>
          <w:tcPr>
            <w:tcW w:w="5496" w:type="dxa"/>
            <w:vAlign w:val="center"/>
          </w:tcPr>
          <w:p w14:paraId="3BC43B76" w14:textId="77777777" w:rsidR="00DB1749" w:rsidRPr="00304737" w:rsidRDefault="00DB1749" w:rsidP="00414C0B">
            <w:pPr>
              <w:pStyle w:val="TableTextLeft"/>
              <w:spacing w:before="40" w:after="40"/>
            </w:pPr>
            <w:r w:rsidRPr="00304737">
              <w:t xml:space="preserve">Consider </w:t>
            </w:r>
            <w:r w:rsidR="004C735A" w:rsidRPr="00304737">
              <w:t>whether market will be covered by Division 4 of Part 7.5</w:t>
            </w:r>
            <w:r w:rsidR="006A105C" w:rsidRPr="00304737">
              <w:t xml:space="preserve"> of the Corporations Act</w:t>
            </w:r>
          </w:p>
        </w:tc>
        <w:tc>
          <w:tcPr>
            <w:tcW w:w="1701" w:type="dxa"/>
            <w:vAlign w:val="center"/>
          </w:tcPr>
          <w:p w14:paraId="3BC43B77" w14:textId="77777777" w:rsidR="00DB1749" w:rsidRPr="00304737" w:rsidRDefault="00DB1749" w:rsidP="00414C0B">
            <w:pPr>
              <w:pStyle w:val="TableTextCentre"/>
              <w:spacing w:before="40" w:after="40"/>
            </w:pPr>
            <w:r w:rsidRPr="00304737">
              <w:t>881D</w:t>
            </w:r>
          </w:p>
        </w:tc>
        <w:tc>
          <w:tcPr>
            <w:tcW w:w="1491" w:type="dxa"/>
            <w:vAlign w:val="center"/>
          </w:tcPr>
          <w:p w14:paraId="3BC43B78" w14:textId="77777777" w:rsidR="00DB1749" w:rsidRPr="00304737" w:rsidRDefault="00DB1749" w:rsidP="00414C0B">
            <w:pPr>
              <w:pStyle w:val="TableTextCentre"/>
              <w:spacing w:before="40" w:after="40"/>
            </w:pPr>
          </w:p>
        </w:tc>
      </w:tr>
      <w:tr w:rsidR="00DB1749" w:rsidRPr="00304737" w14:paraId="3BC43B7D" w14:textId="77777777" w:rsidTr="00B42413">
        <w:trPr>
          <w:trHeight w:val="70"/>
          <w:jc w:val="center"/>
        </w:trPr>
        <w:tc>
          <w:tcPr>
            <w:tcW w:w="5496" w:type="dxa"/>
            <w:vAlign w:val="center"/>
          </w:tcPr>
          <w:p w14:paraId="3BC43B7A" w14:textId="77777777" w:rsidR="00DB1749" w:rsidRPr="00304737" w:rsidRDefault="00DB1749" w:rsidP="00414C0B">
            <w:pPr>
              <w:pStyle w:val="TableTextLeft"/>
              <w:spacing w:before="40" w:after="40"/>
            </w:pPr>
            <w:r w:rsidRPr="00304737">
              <w:t>Approve compensation arrangements with grant of license</w:t>
            </w:r>
          </w:p>
        </w:tc>
        <w:tc>
          <w:tcPr>
            <w:tcW w:w="1701" w:type="dxa"/>
            <w:vAlign w:val="center"/>
          </w:tcPr>
          <w:p w14:paraId="3BC43B7B" w14:textId="77777777" w:rsidR="00DB1749" w:rsidRPr="00304737" w:rsidRDefault="00DB1749" w:rsidP="00414C0B">
            <w:pPr>
              <w:pStyle w:val="TableTextCentre"/>
              <w:spacing w:before="40" w:after="40"/>
            </w:pPr>
            <w:r w:rsidRPr="00304737">
              <w:t>882A</w:t>
            </w:r>
          </w:p>
        </w:tc>
        <w:tc>
          <w:tcPr>
            <w:tcW w:w="1491" w:type="dxa"/>
            <w:vAlign w:val="center"/>
          </w:tcPr>
          <w:p w14:paraId="3BC43B7C" w14:textId="77777777" w:rsidR="00DB1749" w:rsidRPr="00304737" w:rsidRDefault="00DB1749" w:rsidP="00414C0B">
            <w:pPr>
              <w:pStyle w:val="TableTextCentre"/>
              <w:spacing w:before="40" w:after="40"/>
            </w:pPr>
          </w:p>
        </w:tc>
      </w:tr>
      <w:tr w:rsidR="00DB1749" w:rsidRPr="00304737" w14:paraId="3BC43B81" w14:textId="77777777" w:rsidTr="00B42413">
        <w:trPr>
          <w:trHeight w:val="70"/>
          <w:jc w:val="center"/>
        </w:trPr>
        <w:tc>
          <w:tcPr>
            <w:tcW w:w="5496" w:type="dxa"/>
            <w:vAlign w:val="center"/>
          </w:tcPr>
          <w:p w14:paraId="3BC43B7E" w14:textId="77777777" w:rsidR="00DB1749" w:rsidRPr="00304737" w:rsidRDefault="00DB1749" w:rsidP="00414C0B">
            <w:pPr>
              <w:pStyle w:val="TableTextLeft"/>
              <w:spacing w:before="40" w:after="40"/>
            </w:pPr>
            <w:r w:rsidRPr="00304737">
              <w:t>Approve compensation arrangements after license is granted</w:t>
            </w:r>
          </w:p>
        </w:tc>
        <w:tc>
          <w:tcPr>
            <w:tcW w:w="1701" w:type="dxa"/>
            <w:vAlign w:val="center"/>
          </w:tcPr>
          <w:p w14:paraId="3BC43B7F" w14:textId="77777777" w:rsidR="00DB1749" w:rsidRPr="00304737" w:rsidRDefault="00DB1749" w:rsidP="00414C0B">
            <w:pPr>
              <w:pStyle w:val="TableTextCentre"/>
              <w:spacing w:before="40" w:after="40"/>
            </w:pPr>
            <w:r w:rsidRPr="00304737">
              <w:t>882B</w:t>
            </w:r>
          </w:p>
        </w:tc>
        <w:tc>
          <w:tcPr>
            <w:tcW w:w="1491" w:type="dxa"/>
            <w:vAlign w:val="center"/>
          </w:tcPr>
          <w:p w14:paraId="3BC43B80" w14:textId="77777777" w:rsidR="00DB1749" w:rsidRPr="00304737" w:rsidRDefault="00DB1749" w:rsidP="00414C0B">
            <w:pPr>
              <w:pStyle w:val="TableTextCentre"/>
              <w:spacing w:before="40" w:after="40"/>
            </w:pPr>
          </w:p>
        </w:tc>
      </w:tr>
      <w:tr w:rsidR="00DB1749" w:rsidRPr="00304737" w14:paraId="3BC43B85" w14:textId="77777777" w:rsidTr="00B42413">
        <w:trPr>
          <w:trHeight w:val="70"/>
          <w:jc w:val="center"/>
        </w:trPr>
        <w:tc>
          <w:tcPr>
            <w:tcW w:w="5496" w:type="dxa"/>
            <w:vAlign w:val="center"/>
          </w:tcPr>
          <w:p w14:paraId="3BC43B82" w14:textId="77777777" w:rsidR="00DB1749" w:rsidRPr="00304737" w:rsidRDefault="00DB1749" w:rsidP="00414C0B">
            <w:pPr>
              <w:pStyle w:val="TableTextLeft"/>
              <w:spacing w:before="40" w:after="40"/>
            </w:pPr>
            <w:r w:rsidRPr="00304737">
              <w:t>Revoke an approval of compensation arrangements</w:t>
            </w:r>
          </w:p>
        </w:tc>
        <w:tc>
          <w:tcPr>
            <w:tcW w:w="1701" w:type="dxa"/>
            <w:vAlign w:val="center"/>
          </w:tcPr>
          <w:p w14:paraId="3BC43B83" w14:textId="77777777" w:rsidR="00DB1749" w:rsidRPr="00304737" w:rsidRDefault="00DB1749" w:rsidP="00414C0B">
            <w:pPr>
              <w:pStyle w:val="TableTextCentre"/>
              <w:spacing w:before="40" w:after="40"/>
            </w:pPr>
            <w:r w:rsidRPr="00304737">
              <w:t>882C</w:t>
            </w:r>
          </w:p>
        </w:tc>
        <w:tc>
          <w:tcPr>
            <w:tcW w:w="1491" w:type="dxa"/>
            <w:vAlign w:val="center"/>
          </w:tcPr>
          <w:p w14:paraId="3BC43B84" w14:textId="77777777" w:rsidR="00DB1749" w:rsidRPr="00304737" w:rsidRDefault="00DB1749" w:rsidP="00414C0B">
            <w:pPr>
              <w:pStyle w:val="TableTextCentre"/>
              <w:spacing w:before="40" w:after="40"/>
            </w:pPr>
          </w:p>
        </w:tc>
      </w:tr>
      <w:tr w:rsidR="00DB1749" w:rsidRPr="00304737" w14:paraId="3BC43B89" w14:textId="77777777" w:rsidTr="00B42413">
        <w:trPr>
          <w:trHeight w:val="70"/>
          <w:jc w:val="center"/>
        </w:trPr>
        <w:tc>
          <w:tcPr>
            <w:tcW w:w="5496" w:type="dxa"/>
            <w:vAlign w:val="center"/>
          </w:tcPr>
          <w:p w14:paraId="3BC43B86" w14:textId="77777777" w:rsidR="00DB1749" w:rsidRPr="00304737" w:rsidRDefault="00DB1749" w:rsidP="00414C0B">
            <w:pPr>
              <w:pStyle w:val="TableTextLeft"/>
              <w:spacing w:before="40" w:after="40"/>
            </w:pPr>
            <w:r w:rsidRPr="00304737">
              <w:t>Issue directions to licensee</w:t>
            </w:r>
          </w:p>
        </w:tc>
        <w:tc>
          <w:tcPr>
            <w:tcW w:w="1701" w:type="dxa"/>
            <w:vAlign w:val="center"/>
          </w:tcPr>
          <w:p w14:paraId="3BC43B87" w14:textId="77777777" w:rsidR="00DB1749" w:rsidRPr="00304737" w:rsidRDefault="00DB1749" w:rsidP="00414C0B">
            <w:pPr>
              <w:pStyle w:val="TableTextCentre"/>
              <w:spacing w:before="40" w:after="40"/>
            </w:pPr>
            <w:r w:rsidRPr="00304737">
              <w:t>882D</w:t>
            </w:r>
          </w:p>
        </w:tc>
        <w:tc>
          <w:tcPr>
            <w:tcW w:w="1491" w:type="dxa"/>
            <w:vAlign w:val="center"/>
          </w:tcPr>
          <w:p w14:paraId="3BC43B88" w14:textId="77777777" w:rsidR="00DB1749" w:rsidRPr="00304737" w:rsidRDefault="00DB1749" w:rsidP="00414C0B">
            <w:pPr>
              <w:pStyle w:val="TableTextCentre"/>
              <w:spacing w:before="40" w:after="40"/>
            </w:pPr>
          </w:p>
        </w:tc>
      </w:tr>
      <w:tr w:rsidR="00DB1749" w:rsidRPr="00304737" w14:paraId="3BC43B8D" w14:textId="77777777" w:rsidTr="00B42413">
        <w:trPr>
          <w:trHeight w:val="70"/>
          <w:jc w:val="center"/>
        </w:trPr>
        <w:tc>
          <w:tcPr>
            <w:tcW w:w="5496" w:type="dxa"/>
            <w:vAlign w:val="center"/>
          </w:tcPr>
          <w:p w14:paraId="3BC43B8A" w14:textId="77777777" w:rsidR="00DB1749" w:rsidRPr="00304737" w:rsidRDefault="00DB1749" w:rsidP="00414C0B">
            <w:pPr>
              <w:pStyle w:val="TableTextLeft"/>
              <w:spacing w:before="40" w:after="40"/>
            </w:pPr>
            <w:r w:rsidRPr="00304737">
              <w:t>Disallow changes to compensation rules</w:t>
            </w:r>
          </w:p>
        </w:tc>
        <w:tc>
          <w:tcPr>
            <w:tcW w:w="1701" w:type="dxa"/>
            <w:vAlign w:val="center"/>
          </w:tcPr>
          <w:p w14:paraId="3BC43B8B" w14:textId="77777777" w:rsidR="00DB1749" w:rsidRPr="00304737" w:rsidRDefault="00DB1749" w:rsidP="00414C0B">
            <w:pPr>
              <w:pStyle w:val="TableTextCentre"/>
              <w:spacing w:before="40" w:after="40"/>
            </w:pPr>
            <w:r w:rsidRPr="00304737">
              <w:t>884B</w:t>
            </w:r>
          </w:p>
        </w:tc>
        <w:tc>
          <w:tcPr>
            <w:tcW w:w="1491" w:type="dxa"/>
            <w:vAlign w:val="center"/>
          </w:tcPr>
          <w:p w14:paraId="3BC43B8C" w14:textId="77777777" w:rsidR="00DB1749" w:rsidRPr="00304737" w:rsidRDefault="00DB1749" w:rsidP="00414C0B">
            <w:pPr>
              <w:pStyle w:val="TableTextCentre"/>
              <w:spacing w:before="40" w:after="40"/>
            </w:pPr>
          </w:p>
        </w:tc>
      </w:tr>
      <w:tr w:rsidR="00DB1749" w:rsidRPr="00304737" w14:paraId="3BC43B91" w14:textId="77777777" w:rsidTr="00B42413">
        <w:trPr>
          <w:trHeight w:val="70"/>
          <w:jc w:val="center"/>
        </w:trPr>
        <w:tc>
          <w:tcPr>
            <w:tcW w:w="5496" w:type="dxa"/>
            <w:vAlign w:val="center"/>
          </w:tcPr>
          <w:p w14:paraId="3BC43B8E" w14:textId="77777777" w:rsidR="00DB1749" w:rsidRPr="00304737" w:rsidRDefault="00DB1749" w:rsidP="00414C0B">
            <w:pPr>
              <w:pStyle w:val="TableTextLeft"/>
              <w:spacing w:before="40" w:after="40"/>
            </w:pPr>
            <w:r w:rsidRPr="00304737">
              <w:t>Approve changes to compensation arrangements</w:t>
            </w:r>
          </w:p>
        </w:tc>
        <w:tc>
          <w:tcPr>
            <w:tcW w:w="1701" w:type="dxa"/>
            <w:vAlign w:val="center"/>
          </w:tcPr>
          <w:p w14:paraId="3BC43B8F" w14:textId="77777777" w:rsidR="00DB1749" w:rsidRPr="00304737" w:rsidRDefault="00DB1749" w:rsidP="00414C0B">
            <w:pPr>
              <w:pStyle w:val="TableTextCentre"/>
              <w:spacing w:before="40" w:after="40"/>
            </w:pPr>
            <w:r w:rsidRPr="00304737">
              <w:t>884C</w:t>
            </w:r>
          </w:p>
        </w:tc>
        <w:tc>
          <w:tcPr>
            <w:tcW w:w="1491" w:type="dxa"/>
            <w:vAlign w:val="center"/>
          </w:tcPr>
          <w:p w14:paraId="3BC43B90" w14:textId="77777777" w:rsidR="00DB1749" w:rsidRPr="00304737" w:rsidRDefault="00DB1749" w:rsidP="00414C0B">
            <w:pPr>
              <w:pStyle w:val="TableTextCentre"/>
              <w:spacing w:before="40" w:after="40"/>
            </w:pPr>
          </w:p>
        </w:tc>
      </w:tr>
      <w:tr w:rsidR="00DB1749" w:rsidRPr="00304737" w14:paraId="3BC43B97" w14:textId="77777777" w:rsidTr="00B42413">
        <w:trPr>
          <w:trHeight w:val="70"/>
          <w:jc w:val="center"/>
        </w:trPr>
        <w:tc>
          <w:tcPr>
            <w:tcW w:w="5496" w:type="dxa"/>
            <w:vAlign w:val="center"/>
          </w:tcPr>
          <w:p w14:paraId="3BC43B92" w14:textId="77777777" w:rsidR="00DB1749" w:rsidRPr="00304737" w:rsidRDefault="00DB1749" w:rsidP="00414C0B">
            <w:pPr>
              <w:pStyle w:val="TableTextLeft"/>
              <w:spacing w:before="40" w:after="40"/>
            </w:pPr>
            <w:r w:rsidRPr="00304737">
              <w:t>Assess adequacy of compensation rules and arrangements</w:t>
            </w:r>
          </w:p>
        </w:tc>
        <w:tc>
          <w:tcPr>
            <w:tcW w:w="1701" w:type="dxa"/>
            <w:vAlign w:val="center"/>
          </w:tcPr>
          <w:p w14:paraId="3BC43B93" w14:textId="77777777" w:rsidR="00DB1749" w:rsidRPr="00304737" w:rsidRDefault="00DB1749" w:rsidP="00414C0B">
            <w:pPr>
              <w:pStyle w:val="TableTextCentre"/>
              <w:spacing w:before="40" w:after="40"/>
            </w:pPr>
            <w:r w:rsidRPr="00304737">
              <w:t>885B</w:t>
            </w:r>
          </w:p>
          <w:p w14:paraId="3BC43B94" w14:textId="77777777" w:rsidR="00DB1749" w:rsidRPr="00304737" w:rsidRDefault="00DB1749" w:rsidP="00414C0B">
            <w:pPr>
              <w:pStyle w:val="TableTextCentre"/>
              <w:spacing w:before="40" w:after="40"/>
            </w:pPr>
            <w:r w:rsidRPr="00304737">
              <w:t>885C</w:t>
            </w:r>
          </w:p>
          <w:p w14:paraId="3BC43B95" w14:textId="77777777" w:rsidR="00DB1749" w:rsidRPr="00304737" w:rsidRDefault="00DB1749" w:rsidP="00414C0B">
            <w:pPr>
              <w:pStyle w:val="TableTextCentre"/>
              <w:spacing w:before="40" w:after="40"/>
            </w:pPr>
            <w:r w:rsidRPr="00304737">
              <w:t>885J</w:t>
            </w:r>
          </w:p>
        </w:tc>
        <w:tc>
          <w:tcPr>
            <w:tcW w:w="1491" w:type="dxa"/>
            <w:vAlign w:val="center"/>
          </w:tcPr>
          <w:p w14:paraId="3BC43B96" w14:textId="77777777" w:rsidR="00DB1749" w:rsidRPr="00304737" w:rsidRDefault="00DB1749" w:rsidP="00414C0B">
            <w:pPr>
              <w:pStyle w:val="TableTextCentre"/>
              <w:spacing w:before="40" w:after="40"/>
            </w:pPr>
          </w:p>
        </w:tc>
      </w:tr>
      <w:tr w:rsidR="007F3258" w:rsidRPr="00304737" w14:paraId="3BC43B9B" w14:textId="77777777" w:rsidTr="00B42413">
        <w:trPr>
          <w:trHeight w:val="70"/>
          <w:jc w:val="center"/>
        </w:trPr>
        <w:tc>
          <w:tcPr>
            <w:tcW w:w="5496" w:type="dxa"/>
            <w:vAlign w:val="center"/>
          </w:tcPr>
          <w:p w14:paraId="3BC43B98" w14:textId="77777777" w:rsidR="007F3258" w:rsidRPr="00304737" w:rsidRDefault="00D512C3" w:rsidP="00414C0B">
            <w:pPr>
              <w:pStyle w:val="TableTextLeft"/>
              <w:spacing w:before="40" w:after="40"/>
            </w:pPr>
            <w:r w:rsidRPr="00304737">
              <w:t>Disallow changes to the</w:t>
            </w:r>
            <w:r w:rsidR="006A105C" w:rsidRPr="00304737">
              <w:t xml:space="preserve"> operating rules of the</w:t>
            </w:r>
            <w:r w:rsidRPr="00304737">
              <w:t xml:space="preserve"> Securities Exchanges Guarantee Corporation</w:t>
            </w:r>
          </w:p>
        </w:tc>
        <w:tc>
          <w:tcPr>
            <w:tcW w:w="1701" w:type="dxa"/>
            <w:vAlign w:val="center"/>
          </w:tcPr>
          <w:p w14:paraId="3BC43B99" w14:textId="77777777" w:rsidR="007F3258" w:rsidRPr="00304737" w:rsidRDefault="00D512C3" w:rsidP="00414C0B">
            <w:pPr>
              <w:pStyle w:val="TableTextCentre"/>
              <w:spacing w:before="40" w:after="40"/>
            </w:pPr>
            <w:r w:rsidRPr="00304737">
              <w:t>890H</w:t>
            </w:r>
          </w:p>
        </w:tc>
        <w:tc>
          <w:tcPr>
            <w:tcW w:w="1491" w:type="dxa"/>
            <w:vAlign w:val="center"/>
          </w:tcPr>
          <w:p w14:paraId="3BC43B9A" w14:textId="77777777" w:rsidR="007F3258" w:rsidRPr="00304737" w:rsidRDefault="007F3258" w:rsidP="00414C0B">
            <w:pPr>
              <w:pStyle w:val="TableTextCentre"/>
              <w:spacing w:before="40" w:after="40"/>
            </w:pPr>
          </w:p>
        </w:tc>
      </w:tr>
      <w:tr w:rsidR="00087D23" w:rsidRPr="00304737" w14:paraId="3BC43B9F" w14:textId="77777777" w:rsidTr="00B42413">
        <w:trPr>
          <w:trHeight w:val="70"/>
          <w:jc w:val="center"/>
        </w:trPr>
        <w:tc>
          <w:tcPr>
            <w:tcW w:w="5496" w:type="dxa"/>
            <w:vAlign w:val="center"/>
          </w:tcPr>
          <w:p w14:paraId="3BC43B9C" w14:textId="77777777" w:rsidR="00087D23" w:rsidRPr="00304737" w:rsidRDefault="00087D23" w:rsidP="00414C0B">
            <w:pPr>
              <w:pStyle w:val="TableTextLeft"/>
              <w:spacing w:before="40" w:after="40"/>
            </w:pPr>
            <w:r w:rsidRPr="00304737">
              <w:t>Request a risk assessment report</w:t>
            </w:r>
          </w:p>
        </w:tc>
        <w:tc>
          <w:tcPr>
            <w:tcW w:w="1701" w:type="dxa"/>
            <w:vAlign w:val="center"/>
          </w:tcPr>
          <w:p w14:paraId="3BC43B9D" w14:textId="77777777" w:rsidR="00087D23" w:rsidRPr="00304737" w:rsidRDefault="00087D23" w:rsidP="00414C0B">
            <w:pPr>
              <w:pStyle w:val="TableTextCentre"/>
              <w:spacing w:before="40" w:after="40"/>
            </w:pPr>
            <w:r w:rsidRPr="00304737">
              <w:t>892K</w:t>
            </w:r>
          </w:p>
        </w:tc>
        <w:tc>
          <w:tcPr>
            <w:tcW w:w="1491" w:type="dxa"/>
            <w:vAlign w:val="center"/>
          </w:tcPr>
          <w:p w14:paraId="3BC43B9E" w14:textId="77777777" w:rsidR="00087D23" w:rsidRPr="00304737" w:rsidRDefault="00087D23" w:rsidP="00414C0B">
            <w:pPr>
              <w:pStyle w:val="TableTextCentre"/>
              <w:spacing w:before="40" w:after="40"/>
            </w:pPr>
          </w:p>
        </w:tc>
      </w:tr>
      <w:tr w:rsidR="008B3D42" w:rsidRPr="00304737" w14:paraId="3BC43BA3" w14:textId="77777777" w:rsidTr="00B42413">
        <w:trPr>
          <w:trHeight w:val="70"/>
          <w:jc w:val="center"/>
        </w:trPr>
        <w:tc>
          <w:tcPr>
            <w:tcW w:w="5496" w:type="dxa"/>
            <w:vAlign w:val="center"/>
          </w:tcPr>
          <w:p w14:paraId="3BC43BA0" w14:textId="77777777" w:rsidR="008B3D42" w:rsidRPr="00304737" w:rsidRDefault="008B3D42" w:rsidP="00414C0B">
            <w:pPr>
              <w:pStyle w:val="TableTextLeft"/>
              <w:spacing w:before="40" w:after="40"/>
            </w:pPr>
            <w:r w:rsidRPr="00FE66AC">
              <w:rPr>
                <w:rFonts w:ascii="Times New Roman" w:hAnsi="Times New Roman"/>
              </w:rPr>
              <w:t xml:space="preserve">Issue/revoke exemption </w:t>
            </w:r>
            <w:r>
              <w:rPr>
                <w:rFonts w:ascii="Times New Roman" w:hAnsi="Times New Roman"/>
              </w:rPr>
              <w:t>from all or specified provisions of Part 7.5 (compensation regimes)</w:t>
            </w:r>
            <w:r w:rsidRPr="00FE66AC">
              <w:rPr>
                <w:rFonts w:ascii="Times New Roman" w:hAnsi="Times New Roman"/>
              </w:rPr>
              <w:t xml:space="preserve"> </w:t>
            </w:r>
            <w:r>
              <w:rPr>
                <w:rFonts w:ascii="Times New Roman" w:hAnsi="Times New Roman"/>
              </w:rPr>
              <w:t>and vary/revoke an exemption</w:t>
            </w:r>
          </w:p>
        </w:tc>
        <w:tc>
          <w:tcPr>
            <w:tcW w:w="1701" w:type="dxa"/>
            <w:vAlign w:val="center"/>
          </w:tcPr>
          <w:p w14:paraId="3BC43BA1" w14:textId="77777777" w:rsidR="008B3D42" w:rsidRPr="00304737" w:rsidRDefault="008B3D42" w:rsidP="00414C0B">
            <w:pPr>
              <w:pStyle w:val="TableTextCentre"/>
              <w:spacing w:before="40" w:after="40"/>
            </w:pPr>
            <w:r>
              <w:t>893B</w:t>
            </w:r>
          </w:p>
        </w:tc>
        <w:tc>
          <w:tcPr>
            <w:tcW w:w="1491" w:type="dxa"/>
            <w:vAlign w:val="center"/>
          </w:tcPr>
          <w:p w14:paraId="3BC43BA2" w14:textId="77777777" w:rsidR="008B3D42" w:rsidRPr="00304737" w:rsidRDefault="008B3D42" w:rsidP="00414C0B">
            <w:pPr>
              <w:pStyle w:val="TableTextCentre"/>
              <w:spacing w:before="40" w:after="40"/>
            </w:pPr>
          </w:p>
        </w:tc>
      </w:tr>
    </w:tbl>
    <w:p w14:paraId="3BC43BA5" w14:textId="77777777" w:rsidR="000208DC" w:rsidRPr="00407E63" w:rsidRDefault="000208DC" w:rsidP="0069362C">
      <w:pPr>
        <w:pStyle w:val="Heading2"/>
      </w:pPr>
      <w:bookmarkStart w:id="9" w:name="_Toc437594520"/>
      <w:bookmarkStart w:id="10" w:name="_Toc479326323"/>
      <w:r w:rsidRPr="00407E63">
        <w:lastRenderedPageBreak/>
        <w:t xml:space="preserve">Purpose of the </w:t>
      </w:r>
      <w:bookmarkEnd w:id="9"/>
      <w:r w:rsidR="00856950" w:rsidRPr="00407E63">
        <w:t>guidelines</w:t>
      </w:r>
      <w:bookmarkEnd w:id="10"/>
    </w:p>
    <w:p w14:paraId="3BC43BA6" w14:textId="77777777" w:rsidR="000208DC" w:rsidRPr="008249CA" w:rsidRDefault="007937DD" w:rsidP="00267789">
      <w:r>
        <w:t xml:space="preserve">These guidelines </w:t>
      </w:r>
      <w:r w:rsidR="000208DC">
        <w:t xml:space="preserve">set out the </w:t>
      </w:r>
      <w:r w:rsidR="00060B11">
        <w:t xml:space="preserve">approach </w:t>
      </w:r>
      <w:r w:rsidR="00856950">
        <w:t xml:space="preserve">that </w:t>
      </w:r>
      <w:r w:rsidR="00BB31AF">
        <w:t>the delegate</w:t>
      </w:r>
      <w:r w:rsidR="00060B11">
        <w:t xml:space="preserve"> </w:t>
      </w:r>
      <w:r w:rsidR="00BB31AF">
        <w:t>is</w:t>
      </w:r>
      <w:r w:rsidR="00AB7E9A">
        <w:t xml:space="preserve"> expected to </w:t>
      </w:r>
      <w:r w:rsidR="00060B11">
        <w:t xml:space="preserve">take </w:t>
      </w:r>
      <w:r w:rsidR="00286E3F">
        <w:t xml:space="preserve">in </w:t>
      </w:r>
      <w:r>
        <w:t xml:space="preserve">exercising </w:t>
      </w:r>
      <w:r w:rsidR="000208DC">
        <w:t xml:space="preserve">the </w:t>
      </w:r>
      <w:r w:rsidR="008A6743">
        <w:t xml:space="preserve">delegated </w:t>
      </w:r>
      <w:r w:rsidR="000208DC">
        <w:t>powers</w:t>
      </w:r>
      <w:r w:rsidR="00856950">
        <w:t xml:space="preserve"> and</w:t>
      </w:r>
      <w:r>
        <w:t xml:space="preserve"> </w:t>
      </w:r>
      <w:r w:rsidR="00C25176">
        <w:t>have</w:t>
      </w:r>
      <w:r>
        <w:t xml:space="preserve"> been issued by the Minister in conjunction with the </w:t>
      </w:r>
      <w:r w:rsidR="00731195">
        <w:t>Delegation Instrument</w:t>
      </w:r>
      <w:r>
        <w:t>.</w:t>
      </w:r>
      <w:r w:rsidR="00856950">
        <w:t xml:space="preserve"> </w:t>
      </w:r>
      <w:r w:rsidR="00144B38">
        <w:t>Therefore, t</w:t>
      </w:r>
      <w:r w:rsidR="000208DC">
        <w:t>he</w:t>
      </w:r>
      <w:r w:rsidR="00856950">
        <w:t>se</w:t>
      </w:r>
      <w:r w:rsidR="000208DC">
        <w:t xml:space="preserve"> </w:t>
      </w:r>
      <w:r w:rsidR="00856950">
        <w:t xml:space="preserve">guidelines </w:t>
      </w:r>
      <w:r w:rsidR="000208DC">
        <w:t>describe</w:t>
      </w:r>
      <w:r w:rsidR="000208DC" w:rsidRPr="008249CA">
        <w:t>:</w:t>
      </w:r>
    </w:p>
    <w:p w14:paraId="3BC43BA7" w14:textId="77777777" w:rsidR="000208DC" w:rsidRDefault="0036645A" w:rsidP="00267789">
      <w:pPr>
        <w:pStyle w:val="Bullet"/>
      </w:pPr>
      <w:r>
        <w:t>the</w:t>
      </w:r>
      <w:r w:rsidR="008F0CA2">
        <w:t xml:space="preserve"> matters the</w:t>
      </w:r>
      <w:r>
        <w:t xml:space="preserve"> delegate</w:t>
      </w:r>
      <w:r w:rsidR="000208DC" w:rsidRPr="00210599">
        <w:t xml:space="preserve"> should </w:t>
      </w:r>
      <w:r w:rsidR="008F0CA2">
        <w:t xml:space="preserve">or must </w:t>
      </w:r>
      <w:r w:rsidR="000208DC">
        <w:t>consider</w:t>
      </w:r>
      <w:r w:rsidR="000208DC" w:rsidRPr="00210599">
        <w:t xml:space="preserve"> when exercising </w:t>
      </w:r>
      <w:r w:rsidR="000208DC">
        <w:t>the delegated powers</w:t>
      </w:r>
      <w:r w:rsidR="008F0CA2">
        <w:t xml:space="preserve">, including </w:t>
      </w:r>
      <w:r w:rsidR="00144B38">
        <w:t xml:space="preserve">the </w:t>
      </w:r>
      <w:r w:rsidR="000208DC">
        <w:t xml:space="preserve">appropriate timeframes for </w:t>
      </w:r>
      <w:r w:rsidR="00856950">
        <w:t>exercising</w:t>
      </w:r>
      <w:r w:rsidR="000208DC">
        <w:t xml:space="preserve"> the delegated powers;</w:t>
      </w:r>
    </w:p>
    <w:p w14:paraId="3BC43BA8" w14:textId="77777777" w:rsidR="00856950" w:rsidRDefault="00856950" w:rsidP="00267789">
      <w:pPr>
        <w:pStyle w:val="Bullet"/>
      </w:pPr>
      <w:r>
        <w:t xml:space="preserve">the </w:t>
      </w:r>
      <w:r w:rsidR="008F0CA2">
        <w:t>r</w:t>
      </w:r>
      <w:r w:rsidR="007B241A">
        <w:t>eporting requi</w:t>
      </w:r>
      <w:r w:rsidR="00B71884">
        <w:t>site</w:t>
      </w:r>
      <w:r>
        <w:t xml:space="preserve"> for </w:t>
      </w:r>
      <w:r w:rsidR="007B241A">
        <w:t>the delegate</w:t>
      </w:r>
      <w:r>
        <w:t xml:space="preserve"> to provide a quarterly report on both: upcoming regulatory matters which will require the exercise of the delegated powers over the next quarter, and regulatory matters for which </w:t>
      </w:r>
      <w:r w:rsidR="0036645A">
        <w:t>the delegate has</w:t>
      </w:r>
      <w:r>
        <w:t xml:space="preserve"> exercised the delegated powers over the previous quarter;</w:t>
      </w:r>
    </w:p>
    <w:p w14:paraId="3BC43BA9" w14:textId="77777777" w:rsidR="00286E3F" w:rsidRDefault="00286E3F" w:rsidP="00267789">
      <w:pPr>
        <w:pStyle w:val="Bullet"/>
      </w:pPr>
      <w:r>
        <w:t>the procedure</w:t>
      </w:r>
      <w:r w:rsidR="000208DC">
        <w:t xml:space="preserve"> for allowing the Minister to ‘call up’ (request) regulatory matters for which the Minister deems that it is appropriate that he or she should exercise his or her powers instead of </w:t>
      </w:r>
      <w:r w:rsidR="0036645A">
        <w:t>the delegate</w:t>
      </w:r>
      <w:r w:rsidR="000208DC">
        <w:t>; and</w:t>
      </w:r>
    </w:p>
    <w:p w14:paraId="3BC43BAA" w14:textId="77777777" w:rsidR="00B535DB" w:rsidRDefault="000208DC" w:rsidP="00267789">
      <w:pPr>
        <w:pStyle w:val="Bullet"/>
      </w:pPr>
      <w:r>
        <w:t>other matters</w:t>
      </w:r>
      <w:r w:rsidR="009D2C4D">
        <w:t xml:space="preserve"> regarding the Minister’s rights during the delegation and vary or revoke the delegation</w:t>
      </w:r>
      <w:r>
        <w:t>.</w:t>
      </w:r>
      <w:bookmarkStart w:id="11" w:name="_Toc437593724"/>
      <w:bookmarkStart w:id="12" w:name="_Toc437594313"/>
      <w:bookmarkStart w:id="13" w:name="_Toc437594754"/>
      <w:bookmarkStart w:id="14" w:name="_Toc437595732"/>
      <w:bookmarkStart w:id="15" w:name="_Toc437603995"/>
      <w:bookmarkStart w:id="16" w:name="_Toc437604056"/>
      <w:bookmarkStart w:id="17" w:name="_Toc437604160"/>
      <w:bookmarkStart w:id="18" w:name="_Toc437604385"/>
      <w:bookmarkStart w:id="19" w:name="_Toc437594521"/>
      <w:bookmarkEnd w:id="11"/>
      <w:bookmarkEnd w:id="12"/>
      <w:bookmarkEnd w:id="13"/>
      <w:bookmarkEnd w:id="14"/>
      <w:bookmarkEnd w:id="15"/>
      <w:bookmarkEnd w:id="16"/>
      <w:bookmarkEnd w:id="17"/>
      <w:bookmarkEnd w:id="18"/>
    </w:p>
    <w:p w14:paraId="3BC43BAB" w14:textId="77777777" w:rsidR="00267789" w:rsidRPr="00B535DB" w:rsidRDefault="00267789" w:rsidP="00267789">
      <w:pPr>
        <w:pStyle w:val="SingleParagraph"/>
      </w:pPr>
    </w:p>
    <w:p w14:paraId="3BC43BAC" w14:textId="77777777" w:rsidR="002C7EA3" w:rsidRPr="00EF25F1" w:rsidRDefault="007222CE" w:rsidP="00267789">
      <w:pPr>
        <w:pStyle w:val="Heading1"/>
      </w:pPr>
      <w:bookmarkStart w:id="20" w:name="_Toc479326324"/>
      <w:r>
        <w:t xml:space="preserve">Matters </w:t>
      </w:r>
      <w:r w:rsidR="0036645A">
        <w:t>the delegate</w:t>
      </w:r>
      <w:r>
        <w:t xml:space="preserve"> </w:t>
      </w:r>
      <w:r w:rsidR="00BF5982">
        <w:t>should have regard</w:t>
      </w:r>
      <w:r>
        <w:t xml:space="preserve"> to when e</w:t>
      </w:r>
      <w:r w:rsidR="00D66E5C">
        <w:t>xercis</w:t>
      </w:r>
      <w:r>
        <w:t xml:space="preserve">ing </w:t>
      </w:r>
      <w:r w:rsidR="00D66E5C">
        <w:t>the</w:t>
      </w:r>
      <w:r w:rsidR="00DC110E">
        <w:t xml:space="preserve"> </w:t>
      </w:r>
      <w:r>
        <w:t xml:space="preserve">delegated </w:t>
      </w:r>
      <w:r w:rsidR="00AC32E6" w:rsidRPr="00EF25F1">
        <w:t>powers</w:t>
      </w:r>
      <w:bookmarkEnd w:id="19"/>
      <w:bookmarkEnd w:id="20"/>
      <w:r w:rsidR="002C7EA3" w:rsidRPr="00EF25F1">
        <w:t xml:space="preserve"> </w:t>
      </w:r>
    </w:p>
    <w:p w14:paraId="3BC43BAD" w14:textId="77777777" w:rsidR="00F3177F" w:rsidRPr="00407E63" w:rsidRDefault="00EF25F1" w:rsidP="0069362C">
      <w:pPr>
        <w:pStyle w:val="Heading2"/>
      </w:pPr>
      <w:bookmarkStart w:id="21" w:name="_Toc437594522"/>
      <w:bookmarkStart w:id="22" w:name="_Toc479326325"/>
      <w:r w:rsidRPr="00407E63">
        <w:t>Objectives of</w:t>
      </w:r>
      <w:r w:rsidR="00144B38" w:rsidRPr="00407E63">
        <w:t xml:space="preserve"> </w:t>
      </w:r>
      <w:r w:rsidRPr="00407E63">
        <w:t>regulation</w:t>
      </w:r>
      <w:bookmarkEnd w:id="21"/>
      <w:bookmarkEnd w:id="22"/>
    </w:p>
    <w:p w14:paraId="3BC43BAE" w14:textId="77777777" w:rsidR="009B358E" w:rsidRDefault="00611091" w:rsidP="00267789">
      <w:pPr>
        <w:rPr>
          <w:rFonts w:eastAsiaTheme="majorEastAsia"/>
        </w:rPr>
      </w:pPr>
      <w:r>
        <w:rPr>
          <w:rFonts w:eastAsiaTheme="majorEastAsia"/>
        </w:rPr>
        <w:t>T</w:t>
      </w:r>
      <w:r w:rsidR="00B71962" w:rsidRPr="00B71962">
        <w:rPr>
          <w:rFonts w:eastAsiaTheme="majorEastAsia"/>
        </w:rPr>
        <w:t>he purpose of regulation is to provide certain outcomes that are in the public interest which would otherwise not be produced by competition or other market forces.</w:t>
      </w:r>
      <w:r w:rsidR="006E4FC2">
        <w:rPr>
          <w:rFonts w:eastAsiaTheme="majorEastAsia"/>
        </w:rPr>
        <w:t xml:space="preserve"> </w:t>
      </w:r>
      <w:r w:rsidR="00EF0B1F">
        <w:rPr>
          <w:rFonts w:eastAsiaTheme="majorEastAsia"/>
        </w:rPr>
        <w:t>Consistent with international standards</w:t>
      </w:r>
      <w:r w:rsidR="00916671" w:rsidRPr="00916671">
        <w:rPr>
          <w:rStyle w:val="FootnoteReference"/>
        </w:rPr>
        <w:t xml:space="preserve"> </w:t>
      </w:r>
      <w:r w:rsidR="00916671">
        <w:rPr>
          <w:rStyle w:val="FootnoteReference"/>
        </w:rPr>
        <w:footnoteReference w:id="2"/>
      </w:r>
      <w:r w:rsidR="009D2C4D">
        <w:rPr>
          <w:rFonts w:eastAsiaTheme="majorEastAsia"/>
        </w:rPr>
        <w:t xml:space="preserve">, </w:t>
      </w:r>
      <w:r w:rsidR="00EF0B1F">
        <w:rPr>
          <w:rFonts w:eastAsiaTheme="majorEastAsia"/>
        </w:rPr>
        <w:t>the overarching objective</w:t>
      </w:r>
      <w:r w:rsidR="009B358E">
        <w:rPr>
          <w:rFonts w:eastAsiaTheme="majorEastAsia"/>
        </w:rPr>
        <w:t>s</w:t>
      </w:r>
      <w:r w:rsidR="00EF0B1F">
        <w:rPr>
          <w:rFonts w:eastAsiaTheme="majorEastAsia"/>
        </w:rPr>
        <w:t xml:space="preserve"> of</w:t>
      </w:r>
      <w:r w:rsidR="009B358E">
        <w:rPr>
          <w:rFonts w:eastAsiaTheme="majorEastAsia"/>
        </w:rPr>
        <w:t>:</w:t>
      </w:r>
    </w:p>
    <w:p w14:paraId="3BC43BAF" w14:textId="77777777" w:rsidR="009B358E" w:rsidRDefault="006A105C" w:rsidP="00267789">
      <w:pPr>
        <w:pStyle w:val="Bullet"/>
      </w:pPr>
      <w:r>
        <w:rPr>
          <w:i/>
        </w:rPr>
        <w:t>r</w:t>
      </w:r>
      <w:r w:rsidR="009B358E" w:rsidRPr="00873411">
        <w:rPr>
          <w:i/>
        </w:rPr>
        <w:t>egulation of financial markets</w:t>
      </w:r>
      <w:r w:rsidR="009B358E">
        <w:t xml:space="preserve"> </w:t>
      </w:r>
      <w:r>
        <w:t xml:space="preserve">– </w:t>
      </w:r>
      <w:r w:rsidR="009B358E">
        <w:t>are protecting investors, ensuring that markets are fair, efficient and transparent and reducing systemic risk; and</w:t>
      </w:r>
    </w:p>
    <w:p w14:paraId="3BC43BB0" w14:textId="77777777" w:rsidR="009B358E" w:rsidRDefault="009B358E" w:rsidP="00267789">
      <w:pPr>
        <w:pStyle w:val="Bullet"/>
      </w:pPr>
      <w:r w:rsidRPr="00873411">
        <w:rPr>
          <w:rFonts w:eastAsiaTheme="majorEastAsia"/>
          <w:i/>
        </w:rPr>
        <w:t>FMI regulation</w:t>
      </w:r>
      <w:r w:rsidR="00700E93">
        <w:rPr>
          <w:rFonts w:eastAsiaTheme="majorEastAsia"/>
        </w:rPr>
        <w:t xml:space="preserve"> </w:t>
      </w:r>
      <w:r w:rsidR="006A105C">
        <w:rPr>
          <w:rFonts w:eastAsiaTheme="majorEastAsia"/>
        </w:rPr>
        <w:t>– are</w:t>
      </w:r>
      <w:r>
        <w:rPr>
          <w:rFonts w:eastAsiaTheme="majorEastAsia"/>
        </w:rPr>
        <w:t xml:space="preserve"> to enhance safety and efficiency, to limit systemic risk and foster transparency and financial stability.</w:t>
      </w:r>
      <w:r w:rsidR="00B77482">
        <w:rPr>
          <w:rFonts w:eastAsiaTheme="majorEastAsia"/>
        </w:rPr>
        <w:t xml:space="preserve"> </w:t>
      </w:r>
    </w:p>
    <w:p w14:paraId="5C5CA7C1" w14:textId="77777777" w:rsidR="00651A18" w:rsidRPr="00651A18" w:rsidRDefault="0029161B" w:rsidP="00651A18">
      <w:pPr>
        <w:pStyle w:val="Bullet"/>
        <w:rPr>
          <w:rFonts w:eastAsiaTheme="majorEastAsia"/>
        </w:rPr>
      </w:pPr>
      <w:r>
        <w:rPr>
          <w:rFonts w:eastAsiaTheme="majorEastAsia"/>
        </w:rPr>
        <w:t>I</w:t>
      </w:r>
      <w:r w:rsidR="006465E7">
        <w:rPr>
          <w:rFonts w:eastAsiaTheme="majorEastAsia"/>
        </w:rPr>
        <w:t>n</w:t>
      </w:r>
      <w:r w:rsidR="00144B38">
        <w:rPr>
          <w:rFonts w:eastAsiaTheme="majorEastAsia"/>
        </w:rPr>
        <w:t xml:space="preserve"> exercising the </w:t>
      </w:r>
      <w:r w:rsidR="006465E7">
        <w:rPr>
          <w:rFonts w:eastAsiaTheme="majorEastAsia"/>
        </w:rPr>
        <w:t>delegated</w:t>
      </w:r>
      <w:r w:rsidR="00AB7E9A">
        <w:rPr>
          <w:rFonts w:eastAsiaTheme="majorEastAsia"/>
        </w:rPr>
        <w:t xml:space="preserve"> powers</w:t>
      </w:r>
      <w:r w:rsidR="006465E7">
        <w:rPr>
          <w:rFonts w:eastAsiaTheme="majorEastAsia"/>
        </w:rPr>
        <w:t>,</w:t>
      </w:r>
      <w:r w:rsidR="00144B38">
        <w:rPr>
          <w:rFonts w:eastAsiaTheme="majorEastAsia"/>
        </w:rPr>
        <w:t xml:space="preserve"> </w:t>
      </w:r>
      <w:r w:rsidR="00BB31AF">
        <w:rPr>
          <w:rFonts w:eastAsiaTheme="majorEastAsia"/>
        </w:rPr>
        <w:t>the delegate</w:t>
      </w:r>
      <w:r w:rsidR="00144B38">
        <w:rPr>
          <w:rFonts w:eastAsiaTheme="majorEastAsia"/>
        </w:rPr>
        <w:t xml:space="preserve"> </w:t>
      </w:r>
      <w:r w:rsidR="00BB31AF">
        <w:rPr>
          <w:rFonts w:eastAsiaTheme="majorEastAsia"/>
        </w:rPr>
        <w:t>is</w:t>
      </w:r>
      <w:r w:rsidR="00930A57">
        <w:rPr>
          <w:rFonts w:eastAsiaTheme="majorEastAsia"/>
        </w:rPr>
        <w:t xml:space="preserve"> expected to </w:t>
      </w:r>
      <w:proofErr w:type="gramStart"/>
      <w:r w:rsidR="00144B38">
        <w:rPr>
          <w:rFonts w:eastAsiaTheme="majorEastAsia"/>
        </w:rPr>
        <w:t>tak</w:t>
      </w:r>
      <w:r w:rsidR="00AF46FB">
        <w:rPr>
          <w:rFonts w:eastAsiaTheme="majorEastAsia"/>
        </w:rPr>
        <w:t>e into account</w:t>
      </w:r>
      <w:proofErr w:type="gramEnd"/>
      <w:r w:rsidR="00AF46FB">
        <w:rPr>
          <w:rFonts w:eastAsiaTheme="majorEastAsia"/>
        </w:rPr>
        <w:t xml:space="preserve"> these </w:t>
      </w:r>
      <w:r w:rsidR="006465E7">
        <w:rPr>
          <w:rFonts w:eastAsiaTheme="majorEastAsia"/>
        </w:rPr>
        <w:t>objectives</w:t>
      </w:r>
      <w:r w:rsidR="00EB01A9">
        <w:rPr>
          <w:rFonts w:eastAsiaTheme="majorEastAsia"/>
        </w:rPr>
        <w:t>.</w:t>
      </w:r>
    </w:p>
    <w:p w14:paraId="070FB63C" w14:textId="77777777" w:rsidR="00651A18" w:rsidRDefault="00651A18" w:rsidP="0069362C">
      <w:pPr>
        <w:pStyle w:val="Heading2"/>
      </w:pPr>
      <w:bookmarkStart w:id="23" w:name="_Toc437594523"/>
      <w:bookmarkStart w:id="24" w:name="_Toc479326326"/>
    </w:p>
    <w:p w14:paraId="3BC43BB2" w14:textId="6BD9A672" w:rsidR="0056443A" w:rsidRDefault="00AB7E9A" w:rsidP="0069362C">
      <w:pPr>
        <w:pStyle w:val="Heading2"/>
      </w:pPr>
      <w:r>
        <w:lastRenderedPageBreak/>
        <w:t xml:space="preserve">Matters </w:t>
      </w:r>
      <w:r w:rsidR="002B3A7A">
        <w:t>Minister must have regard to</w:t>
      </w:r>
      <w:r>
        <w:t xml:space="preserve"> </w:t>
      </w:r>
      <w:bookmarkEnd w:id="23"/>
      <w:r w:rsidR="009D2C4D">
        <w:t>under the Corporations Act</w:t>
      </w:r>
      <w:bookmarkEnd w:id="24"/>
    </w:p>
    <w:p w14:paraId="3BC43BB3" w14:textId="77777777" w:rsidR="00B63465" w:rsidRDefault="00684A76" w:rsidP="00267789">
      <w:pPr>
        <w:rPr>
          <w:rFonts w:eastAsiaTheme="majorEastAsia"/>
        </w:rPr>
      </w:pPr>
      <w:r>
        <w:rPr>
          <w:rFonts w:eastAsiaTheme="majorEastAsia"/>
        </w:rPr>
        <w:t xml:space="preserve">When exercising a delegated power, the delegate is </w:t>
      </w:r>
      <w:r w:rsidR="008D3C77">
        <w:rPr>
          <w:rFonts w:eastAsiaTheme="majorEastAsia"/>
        </w:rPr>
        <w:t>subject to the same limits that the Minister would be subject to if the Minister was exercising the power. For instance</w:t>
      </w:r>
      <w:r w:rsidR="00B63465">
        <w:rPr>
          <w:rFonts w:eastAsiaTheme="majorEastAsia"/>
        </w:rPr>
        <w:t>:</w:t>
      </w:r>
    </w:p>
    <w:p w14:paraId="3BC43BB4" w14:textId="77777777" w:rsidR="00B63465" w:rsidRDefault="00E65038" w:rsidP="00267789">
      <w:pPr>
        <w:pStyle w:val="Bullet"/>
        <w:rPr>
          <w:rFonts w:eastAsiaTheme="majorEastAsia"/>
        </w:rPr>
      </w:pPr>
      <w:r>
        <w:rPr>
          <w:rFonts w:eastAsiaTheme="majorEastAsia"/>
        </w:rPr>
        <w:t xml:space="preserve">when </w:t>
      </w:r>
      <w:r w:rsidR="00145DEF">
        <w:rPr>
          <w:rFonts w:eastAsiaTheme="majorEastAsia"/>
        </w:rPr>
        <w:t xml:space="preserve">making decisions </w:t>
      </w:r>
      <w:r w:rsidR="002240DA">
        <w:rPr>
          <w:rFonts w:eastAsiaTheme="majorEastAsia"/>
        </w:rPr>
        <w:t>in relation to granting a licenc</w:t>
      </w:r>
      <w:r w:rsidR="00145DEF">
        <w:rPr>
          <w:rFonts w:eastAsiaTheme="majorEastAsia"/>
        </w:rPr>
        <w:t xml:space="preserve">e; imposing, varying or revoking licence conditions; suspending or cancelling a licence; </w:t>
      </w:r>
      <w:r w:rsidR="00930A57">
        <w:rPr>
          <w:rFonts w:eastAsiaTheme="majorEastAsia"/>
        </w:rPr>
        <w:t>or</w:t>
      </w:r>
      <w:r w:rsidR="00684A76">
        <w:rPr>
          <w:rFonts w:eastAsiaTheme="majorEastAsia"/>
        </w:rPr>
        <w:t xml:space="preserve"> </w:t>
      </w:r>
      <w:r w:rsidR="00145DEF">
        <w:rPr>
          <w:rFonts w:eastAsiaTheme="majorEastAsia"/>
        </w:rPr>
        <w:t>disallowing a change to the operating rules of a licensed market</w:t>
      </w:r>
      <w:r w:rsidR="004137C2">
        <w:rPr>
          <w:rFonts w:eastAsiaTheme="majorEastAsia"/>
        </w:rPr>
        <w:t xml:space="preserve"> or CS facility</w:t>
      </w:r>
      <w:r w:rsidR="00145DEF">
        <w:rPr>
          <w:rFonts w:eastAsiaTheme="majorEastAsia"/>
        </w:rPr>
        <w:t xml:space="preserve">, </w:t>
      </w:r>
      <w:r w:rsidR="0036645A">
        <w:rPr>
          <w:rFonts w:eastAsiaTheme="majorEastAsia"/>
        </w:rPr>
        <w:t>the delegate</w:t>
      </w:r>
      <w:r w:rsidR="00145DEF">
        <w:rPr>
          <w:rFonts w:eastAsiaTheme="majorEastAsia"/>
        </w:rPr>
        <w:t xml:space="preserve"> </w:t>
      </w:r>
      <w:r w:rsidR="00EB01A9">
        <w:rPr>
          <w:rFonts w:eastAsiaTheme="majorEastAsia"/>
        </w:rPr>
        <w:t>must have</w:t>
      </w:r>
      <w:r w:rsidR="00145DEF">
        <w:rPr>
          <w:rFonts w:eastAsiaTheme="majorEastAsia"/>
        </w:rPr>
        <w:t xml:space="preserve"> regard to </w:t>
      </w:r>
      <w:r w:rsidR="009B6E20">
        <w:rPr>
          <w:rFonts w:eastAsiaTheme="majorEastAsia"/>
        </w:rPr>
        <w:t>the factor</w:t>
      </w:r>
      <w:r w:rsidR="0056443A">
        <w:rPr>
          <w:rFonts w:eastAsiaTheme="majorEastAsia"/>
        </w:rPr>
        <w:t>s</w:t>
      </w:r>
      <w:r w:rsidR="009B6E20">
        <w:rPr>
          <w:rFonts w:eastAsiaTheme="majorEastAsia"/>
        </w:rPr>
        <w:t xml:space="preserve"> outlined in section</w:t>
      </w:r>
      <w:r w:rsidR="00AE5F34">
        <w:rPr>
          <w:rFonts w:eastAsiaTheme="majorEastAsia"/>
        </w:rPr>
        <w:t>s</w:t>
      </w:r>
      <w:r w:rsidR="009B6E20">
        <w:rPr>
          <w:rFonts w:eastAsiaTheme="majorEastAsia"/>
        </w:rPr>
        <w:t xml:space="preserve"> 798A and 827A of the</w:t>
      </w:r>
      <w:r w:rsidR="00836B60">
        <w:rPr>
          <w:rFonts w:eastAsiaTheme="majorEastAsia"/>
        </w:rPr>
        <w:t xml:space="preserve"> Corporations</w:t>
      </w:r>
      <w:r w:rsidR="009B6E20">
        <w:rPr>
          <w:rFonts w:eastAsiaTheme="majorEastAsia"/>
        </w:rPr>
        <w:t xml:space="preserve"> Act</w:t>
      </w:r>
      <w:r>
        <w:rPr>
          <w:rFonts w:eastAsiaTheme="majorEastAsia"/>
        </w:rPr>
        <w:t>; and</w:t>
      </w:r>
      <w:r w:rsidR="00C72FFC">
        <w:rPr>
          <w:rFonts w:eastAsiaTheme="majorEastAsia"/>
        </w:rPr>
        <w:t xml:space="preserve"> </w:t>
      </w:r>
    </w:p>
    <w:p w14:paraId="3BC43BB5" w14:textId="77777777" w:rsidR="00114791" w:rsidRDefault="00E65038" w:rsidP="00267789">
      <w:pPr>
        <w:pStyle w:val="Bullet"/>
        <w:rPr>
          <w:rFonts w:eastAsiaTheme="majorEastAsia"/>
        </w:rPr>
      </w:pPr>
      <w:r>
        <w:rPr>
          <w:rFonts w:eastAsiaTheme="majorEastAsia"/>
        </w:rPr>
        <w:t xml:space="preserve">when </w:t>
      </w:r>
      <w:r w:rsidR="00684A76">
        <w:rPr>
          <w:rFonts w:eastAsiaTheme="majorEastAsia"/>
        </w:rPr>
        <w:t xml:space="preserve">making a decision </w:t>
      </w:r>
      <w:r w:rsidR="00B63465">
        <w:rPr>
          <w:rFonts w:eastAsiaTheme="majorEastAsia"/>
        </w:rPr>
        <w:t xml:space="preserve">to vary a licence condition so as to add another market or </w:t>
      </w:r>
      <w:r w:rsidR="00930A57">
        <w:rPr>
          <w:rFonts w:eastAsiaTheme="majorEastAsia"/>
        </w:rPr>
        <w:t xml:space="preserve">CS </w:t>
      </w:r>
      <w:r w:rsidR="00B63465">
        <w:rPr>
          <w:rFonts w:eastAsiaTheme="majorEastAsia"/>
        </w:rPr>
        <w:t xml:space="preserve">facility, </w:t>
      </w:r>
      <w:r w:rsidR="0036645A">
        <w:rPr>
          <w:rFonts w:eastAsiaTheme="majorEastAsia"/>
        </w:rPr>
        <w:t>the delegate</w:t>
      </w:r>
      <w:r w:rsidR="00B63465">
        <w:rPr>
          <w:rFonts w:eastAsiaTheme="majorEastAsia"/>
        </w:rPr>
        <w:t xml:space="preserve"> must </w:t>
      </w:r>
      <w:r w:rsidR="005F17EC">
        <w:rPr>
          <w:rFonts w:eastAsiaTheme="majorEastAsia"/>
        </w:rPr>
        <w:t xml:space="preserve">be satisfied of </w:t>
      </w:r>
      <w:r w:rsidR="00B63465">
        <w:rPr>
          <w:rFonts w:eastAsiaTheme="majorEastAsia"/>
        </w:rPr>
        <w:t xml:space="preserve">the matters </w:t>
      </w:r>
      <w:r w:rsidR="008D3C77">
        <w:rPr>
          <w:rFonts w:eastAsiaTheme="majorEastAsia"/>
        </w:rPr>
        <w:t>mentioned</w:t>
      </w:r>
      <w:r w:rsidR="00B63465">
        <w:rPr>
          <w:rFonts w:eastAsiaTheme="majorEastAsia"/>
        </w:rPr>
        <w:t xml:space="preserve"> in subsections 795</w:t>
      </w:r>
      <w:proofErr w:type="gramStart"/>
      <w:r w:rsidR="00B63465">
        <w:rPr>
          <w:rFonts w:eastAsiaTheme="majorEastAsia"/>
        </w:rPr>
        <w:t>E(</w:t>
      </w:r>
      <w:proofErr w:type="gramEnd"/>
      <w:r w:rsidR="00B63465">
        <w:rPr>
          <w:rFonts w:eastAsiaTheme="majorEastAsia"/>
        </w:rPr>
        <w:t>3) and 824E(3) of the Corporations Act</w:t>
      </w:r>
      <w:r w:rsidR="00930A57">
        <w:rPr>
          <w:rFonts w:eastAsiaTheme="majorEastAsia"/>
        </w:rPr>
        <w:t>.</w:t>
      </w:r>
    </w:p>
    <w:p w14:paraId="3BC43BB6" w14:textId="77777777" w:rsidR="00BA7777" w:rsidRPr="00407E63" w:rsidRDefault="00A359BC" w:rsidP="0069362C">
      <w:pPr>
        <w:pStyle w:val="Heading2"/>
      </w:pPr>
      <w:bookmarkStart w:id="25" w:name="_Toc479326327"/>
      <w:bookmarkStart w:id="26" w:name="_Toc437594524"/>
      <w:r w:rsidRPr="00407E63">
        <w:t>Consideration of ASIC’s aims</w:t>
      </w:r>
      <w:bookmarkEnd w:id="25"/>
      <w:r w:rsidR="00BA7777" w:rsidRPr="00407E63">
        <w:t xml:space="preserve"> </w:t>
      </w:r>
      <w:bookmarkEnd w:id="26"/>
    </w:p>
    <w:p w14:paraId="3BC43BB7" w14:textId="50E464F0" w:rsidR="009901ED" w:rsidRDefault="00A32448" w:rsidP="00CC26A2">
      <w:pPr>
        <w:rPr>
          <w:rFonts w:eastAsiaTheme="majorEastAsia"/>
        </w:rPr>
      </w:pPr>
      <w:r>
        <w:rPr>
          <w:rFonts w:eastAsiaTheme="majorEastAsia"/>
        </w:rPr>
        <w:t>The delegate</w:t>
      </w:r>
      <w:r w:rsidR="009901ED">
        <w:rPr>
          <w:rFonts w:eastAsiaTheme="majorEastAsia"/>
        </w:rPr>
        <w:t xml:space="preserve"> should have</w:t>
      </w:r>
      <w:r w:rsidR="00EB6C76">
        <w:rPr>
          <w:rFonts w:eastAsiaTheme="majorEastAsia"/>
        </w:rPr>
        <w:t xml:space="preserve"> </w:t>
      </w:r>
      <w:r w:rsidR="009901ED">
        <w:rPr>
          <w:rFonts w:eastAsiaTheme="majorEastAsia"/>
        </w:rPr>
        <w:t xml:space="preserve">regard to </w:t>
      </w:r>
      <w:r w:rsidR="00144B38">
        <w:rPr>
          <w:rFonts w:eastAsiaTheme="majorEastAsia"/>
        </w:rPr>
        <w:t>sub</w:t>
      </w:r>
      <w:r w:rsidR="009901ED">
        <w:rPr>
          <w:rFonts w:eastAsiaTheme="majorEastAsia"/>
        </w:rPr>
        <w:t>section 1(2) of the</w:t>
      </w:r>
      <w:r w:rsidR="00B42413">
        <w:rPr>
          <w:rFonts w:eastAsiaTheme="majorEastAsia"/>
        </w:rPr>
        <w:t xml:space="preserve"> ASIC Act</w:t>
      </w:r>
      <w:r>
        <w:rPr>
          <w:rFonts w:eastAsiaTheme="majorEastAsia"/>
        </w:rPr>
        <w:t>,</w:t>
      </w:r>
      <w:r w:rsidR="00CC6C45">
        <w:rPr>
          <w:rFonts w:eastAsiaTheme="majorEastAsia"/>
        </w:rPr>
        <w:t xml:space="preserve"> </w:t>
      </w:r>
      <w:r w:rsidR="009901ED">
        <w:rPr>
          <w:rFonts w:eastAsiaTheme="majorEastAsia"/>
        </w:rPr>
        <w:t xml:space="preserve">which </w:t>
      </w:r>
      <w:r w:rsidR="00EB6C76">
        <w:rPr>
          <w:rFonts w:eastAsiaTheme="majorEastAsia"/>
        </w:rPr>
        <w:t xml:space="preserve">states that </w:t>
      </w:r>
      <w:r w:rsidR="00C72FFC">
        <w:rPr>
          <w:rFonts w:eastAsiaTheme="majorEastAsia"/>
        </w:rPr>
        <w:t>i</w:t>
      </w:r>
      <w:r w:rsidR="00C72FFC" w:rsidRPr="00C72FFC">
        <w:rPr>
          <w:rFonts w:eastAsiaTheme="majorEastAsia"/>
        </w:rPr>
        <w:t>n performing its functions and exercising its powers</w:t>
      </w:r>
      <w:r w:rsidR="00C72FFC">
        <w:rPr>
          <w:rFonts w:eastAsiaTheme="majorEastAsia"/>
        </w:rPr>
        <w:t xml:space="preserve">, </w:t>
      </w:r>
      <w:r w:rsidR="00EB6C76">
        <w:rPr>
          <w:rFonts w:eastAsiaTheme="majorEastAsia"/>
        </w:rPr>
        <w:t>ASIC must strive to</w:t>
      </w:r>
      <w:r w:rsidR="009901ED">
        <w:rPr>
          <w:rFonts w:eastAsiaTheme="majorEastAsia"/>
        </w:rPr>
        <w:t>:</w:t>
      </w:r>
    </w:p>
    <w:p w14:paraId="3BC43BB8" w14:textId="77777777" w:rsidR="009901ED" w:rsidRDefault="009901ED" w:rsidP="00267789">
      <w:pPr>
        <w:pStyle w:val="Bullet"/>
        <w:rPr>
          <w:rFonts w:eastAsiaTheme="majorEastAsia"/>
        </w:rPr>
      </w:pPr>
      <w:r w:rsidRPr="00BD3727">
        <w:rPr>
          <w:rFonts w:eastAsiaTheme="majorEastAsia"/>
        </w:rPr>
        <w:t>maintain, facilitate and improve the performance of the financial system and entities within the system in the interests of commercial certainty, reducing business costs, and the efficiency and development of the economy;</w:t>
      </w:r>
      <w:r w:rsidRPr="00EC28A0">
        <w:rPr>
          <w:rFonts w:eastAsiaTheme="majorEastAsia"/>
        </w:rPr>
        <w:t xml:space="preserve"> </w:t>
      </w:r>
    </w:p>
    <w:p w14:paraId="3BC43BB9" w14:textId="77777777" w:rsidR="009901ED" w:rsidRDefault="009901ED" w:rsidP="00267789">
      <w:pPr>
        <w:pStyle w:val="Bullet"/>
        <w:rPr>
          <w:rFonts w:eastAsiaTheme="majorEastAsia"/>
        </w:rPr>
      </w:pPr>
      <w:r w:rsidRPr="00BD3727">
        <w:rPr>
          <w:rFonts w:eastAsiaTheme="majorEastAsia"/>
        </w:rPr>
        <w:t xml:space="preserve">promote confident and informed participation by investors and consumers in the financial system; </w:t>
      </w:r>
    </w:p>
    <w:p w14:paraId="3BC43BBA" w14:textId="77777777" w:rsidR="009901ED" w:rsidRDefault="009901ED" w:rsidP="00267789">
      <w:pPr>
        <w:pStyle w:val="Bullet"/>
        <w:rPr>
          <w:rFonts w:eastAsiaTheme="majorEastAsia"/>
        </w:rPr>
      </w:pPr>
      <w:r w:rsidRPr="00BD3727">
        <w:rPr>
          <w:rFonts w:eastAsiaTheme="majorEastAsia"/>
        </w:rPr>
        <w:t>administer the law effectively and with minimal procedural requirements; and</w:t>
      </w:r>
    </w:p>
    <w:p w14:paraId="3BC43BBB" w14:textId="77777777" w:rsidR="00E65038" w:rsidRDefault="009901ED" w:rsidP="00267789">
      <w:pPr>
        <w:pStyle w:val="Bullet"/>
        <w:rPr>
          <w:rFonts w:eastAsiaTheme="majorEastAsia"/>
        </w:rPr>
      </w:pPr>
      <w:r w:rsidRPr="008C3573">
        <w:rPr>
          <w:rFonts w:eastAsiaTheme="majorEastAsia"/>
        </w:rPr>
        <w:t>enforce and give effect to the law.</w:t>
      </w:r>
    </w:p>
    <w:p w14:paraId="3BC43BBC" w14:textId="77777777" w:rsidR="00E65038" w:rsidRPr="00A55657" w:rsidRDefault="00E65038" w:rsidP="0069362C">
      <w:pPr>
        <w:pStyle w:val="Heading2"/>
      </w:pPr>
      <w:bookmarkStart w:id="27" w:name="_Toc479326328"/>
      <w:r w:rsidRPr="00A55657">
        <w:t>Consideration of competition</w:t>
      </w:r>
      <w:bookmarkEnd w:id="27"/>
    </w:p>
    <w:p w14:paraId="3BC43BBD" w14:textId="77777777" w:rsidR="000B789F" w:rsidRDefault="001F702C" w:rsidP="00B42413">
      <w:pPr>
        <w:rPr>
          <w:rFonts w:eastAsiaTheme="majorEastAsia"/>
        </w:rPr>
      </w:pPr>
      <w:r>
        <w:rPr>
          <w:rFonts w:eastAsiaTheme="majorEastAsia"/>
        </w:rPr>
        <w:t>T</w:t>
      </w:r>
      <w:r w:rsidR="00281E32">
        <w:rPr>
          <w:rFonts w:eastAsiaTheme="majorEastAsia"/>
        </w:rPr>
        <w:t>he delegate s</w:t>
      </w:r>
      <w:r>
        <w:rPr>
          <w:rFonts w:eastAsiaTheme="majorEastAsia"/>
        </w:rPr>
        <w:t>hould</w:t>
      </w:r>
      <w:r w:rsidR="000B789F">
        <w:rPr>
          <w:rFonts w:eastAsiaTheme="majorEastAsia"/>
        </w:rPr>
        <w:t xml:space="preserve">, </w:t>
      </w:r>
      <w:r w:rsidR="0069142B">
        <w:rPr>
          <w:rFonts w:eastAsiaTheme="majorEastAsia"/>
        </w:rPr>
        <w:t>to the degree</w:t>
      </w:r>
      <w:r w:rsidR="000B789F">
        <w:rPr>
          <w:rFonts w:eastAsiaTheme="majorEastAsia"/>
        </w:rPr>
        <w:t xml:space="preserve"> practicable, ensure that the exercise of</w:t>
      </w:r>
      <w:r w:rsidR="0069142B">
        <w:rPr>
          <w:rFonts w:eastAsiaTheme="majorEastAsia"/>
        </w:rPr>
        <w:t xml:space="preserve"> any</w:t>
      </w:r>
      <w:r w:rsidR="000B789F">
        <w:rPr>
          <w:rFonts w:eastAsiaTheme="majorEastAsia"/>
        </w:rPr>
        <w:t xml:space="preserve"> delegated power promotes competition. In meeting this condition, the delegate should therefore strive to:</w:t>
      </w:r>
    </w:p>
    <w:p w14:paraId="3BC43BBE" w14:textId="77777777" w:rsidR="00424CC9" w:rsidRDefault="0067407B" w:rsidP="00267789">
      <w:pPr>
        <w:pStyle w:val="Bullet"/>
        <w:rPr>
          <w:rFonts w:eastAsiaTheme="majorEastAsia"/>
        </w:rPr>
      </w:pPr>
      <w:r>
        <w:rPr>
          <w:rFonts w:eastAsiaTheme="majorEastAsia"/>
        </w:rPr>
        <w:t xml:space="preserve">facilitate competition between </w:t>
      </w:r>
      <w:r w:rsidR="002A51A2">
        <w:rPr>
          <w:rFonts w:eastAsiaTheme="majorEastAsia"/>
        </w:rPr>
        <w:t>entities</w:t>
      </w:r>
      <w:r>
        <w:rPr>
          <w:rFonts w:eastAsiaTheme="majorEastAsia"/>
        </w:rPr>
        <w:t xml:space="preserve"> who are </w:t>
      </w:r>
      <w:r w:rsidR="00424CC9">
        <w:rPr>
          <w:rFonts w:eastAsiaTheme="majorEastAsia"/>
        </w:rPr>
        <w:t xml:space="preserve">subject to the regulation; </w:t>
      </w:r>
      <w:r w:rsidR="00C673F2">
        <w:rPr>
          <w:rFonts w:eastAsiaTheme="majorEastAsia"/>
        </w:rPr>
        <w:t>and</w:t>
      </w:r>
    </w:p>
    <w:p w14:paraId="3BC43BBF" w14:textId="77777777" w:rsidR="002A51A2" w:rsidRDefault="00700EF6" w:rsidP="00267789">
      <w:pPr>
        <w:pStyle w:val="Bullet"/>
        <w:rPr>
          <w:rFonts w:eastAsiaTheme="majorEastAsia"/>
        </w:rPr>
      </w:pPr>
      <w:r w:rsidRPr="001D36C4">
        <w:rPr>
          <w:rFonts w:eastAsiaTheme="majorEastAsia"/>
        </w:rPr>
        <w:t>consider</w:t>
      </w:r>
      <w:r w:rsidR="00424CC9" w:rsidRPr="001D36C4">
        <w:rPr>
          <w:rFonts w:eastAsiaTheme="majorEastAsia"/>
        </w:rPr>
        <w:t xml:space="preserve"> </w:t>
      </w:r>
      <w:r w:rsidRPr="001D36C4">
        <w:rPr>
          <w:rFonts w:eastAsiaTheme="majorEastAsia"/>
        </w:rPr>
        <w:t xml:space="preserve">the impact of </w:t>
      </w:r>
      <w:r w:rsidR="001D66DB">
        <w:rPr>
          <w:rFonts w:eastAsiaTheme="majorEastAsia"/>
        </w:rPr>
        <w:t>matters under the delegation</w:t>
      </w:r>
      <w:r w:rsidR="002A51A2" w:rsidRPr="001D36C4">
        <w:rPr>
          <w:rFonts w:eastAsiaTheme="majorEastAsia"/>
        </w:rPr>
        <w:t xml:space="preserve"> </w:t>
      </w:r>
      <w:r w:rsidR="008275D9">
        <w:rPr>
          <w:rFonts w:eastAsiaTheme="majorEastAsia"/>
        </w:rPr>
        <w:t>on</w:t>
      </w:r>
      <w:r w:rsidR="002A51A2" w:rsidRPr="001D36C4">
        <w:rPr>
          <w:rFonts w:eastAsiaTheme="majorEastAsia"/>
        </w:rPr>
        <w:t xml:space="preserve"> </w:t>
      </w:r>
      <w:r w:rsidR="008275D9">
        <w:rPr>
          <w:rFonts w:eastAsiaTheme="majorEastAsia"/>
        </w:rPr>
        <w:t>other stakeholders</w:t>
      </w:r>
      <w:r w:rsidR="002A51A2" w:rsidRPr="001D36C4">
        <w:rPr>
          <w:rFonts w:eastAsiaTheme="majorEastAsia"/>
        </w:rPr>
        <w:t xml:space="preserve"> that</w:t>
      </w:r>
      <w:r w:rsidR="008275D9">
        <w:rPr>
          <w:rFonts w:eastAsiaTheme="majorEastAsia"/>
        </w:rPr>
        <w:t xml:space="preserve"> may be affected by the decision, including other market operators</w:t>
      </w:r>
      <w:r w:rsidR="000075DF">
        <w:rPr>
          <w:rFonts w:eastAsiaTheme="majorEastAsia"/>
        </w:rPr>
        <w:t>.</w:t>
      </w:r>
    </w:p>
    <w:p w14:paraId="3BC43BC0" w14:textId="77777777" w:rsidR="00F3177F" w:rsidRPr="00A40031" w:rsidRDefault="00715B56" w:rsidP="0069362C">
      <w:pPr>
        <w:pStyle w:val="Heading2"/>
      </w:pPr>
      <w:bookmarkStart w:id="28" w:name="_Toc479326329"/>
      <w:r w:rsidRPr="00407E63">
        <w:t xml:space="preserve">Consideration of </w:t>
      </w:r>
      <w:bookmarkStart w:id="29" w:name="_Toc437594525"/>
      <w:r w:rsidR="005F17EC">
        <w:t>G</w:t>
      </w:r>
      <w:r w:rsidR="002F72C4" w:rsidRPr="00407E63">
        <w:t>overnment</w:t>
      </w:r>
      <w:r w:rsidRPr="00407E63">
        <w:t>’s</w:t>
      </w:r>
      <w:r w:rsidR="00F3177F" w:rsidRPr="00407E63">
        <w:t xml:space="preserve"> commitments and priorities</w:t>
      </w:r>
      <w:bookmarkEnd w:id="29"/>
      <w:bookmarkEnd w:id="28"/>
    </w:p>
    <w:p w14:paraId="514D0B66" w14:textId="77777777" w:rsidR="00C95345" w:rsidRDefault="00A32448" w:rsidP="00C95345">
      <w:pPr>
        <w:spacing w:before="180" w:after="180"/>
        <w:rPr>
          <w:rFonts w:eastAsiaTheme="majorEastAsia"/>
        </w:rPr>
      </w:pPr>
      <w:r>
        <w:rPr>
          <w:rFonts w:eastAsiaTheme="majorEastAsia"/>
        </w:rPr>
        <w:t>The delegate</w:t>
      </w:r>
      <w:r w:rsidR="00FC1596" w:rsidRPr="00BD3727">
        <w:rPr>
          <w:rFonts w:eastAsiaTheme="majorEastAsia"/>
        </w:rPr>
        <w:t xml:space="preserve"> </w:t>
      </w:r>
      <w:r>
        <w:rPr>
          <w:rFonts w:eastAsiaTheme="majorEastAsia"/>
        </w:rPr>
        <w:t>is</w:t>
      </w:r>
      <w:r w:rsidR="00C14E99">
        <w:rPr>
          <w:rFonts w:eastAsiaTheme="majorEastAsia"/>
        </w:rPr>
        <w:t xml:space="preserve"> expected to</w:t>
      </w:r>
      <w:r w:rsidR="00C14E99" w:rsidRPr="00BD3727">
        <w:rPr>
          <w:rFonts w:eastAsiaTheme="majorEastAsia"/>
        </w:rPr>
        <w:t xml:space="preserve"> </w:t>
      </w:r>
      <w:r w:rsidR="00FC1596" w:rsidRPr="00BD3727">
        <w:rPr>
          <w:rFonts w:eastAsiaTheme="majorEastAsia"/>
        </w:rPr>
        <w:t xml:space="preserve">exercise the delegated powers in a way that </w:t>
      </w:r>
      <w:r w:rsidR="005B7D67">
        <w:rPr>
          <w:rFonts w:eastAsiaTheme="majorEastAsia"/>
        </w:rPr>
        <w:t>aligns with</w:t>
      </w:r>
      <w:r w:rsidR="00FC1596" w:rsidRPr="00BD3727">
        <w:rPr>
          <w:rFonts w:eastAsiaTheme="majorEastAsia"/>
        </w:rPr>
        <w:t xml:space="preserve"> </w:t>
      </w:r>
      <w:r w:rsidR="00C14E99">
        <w:rPr>
          <w:rFonts w:eastAsiaTheme="majorEastAsia"/>
        </w:rPr>
        <w:t>the G</w:t>
      </w:r>
      <w:r w:rsidR="00877349" w:rsidRPr="00BD3727">
        <w:rPr>
          <w:rFonts w:eastAsiaTheme="majorEastAsia"/>
        </w:rPr>
        <w:t>overnment’s</w:t>
      </w:r>
      <w:r w:rsidR="008320BA">
        <w:rPr>
          <w:rFonts w:eastAsiaTheme="majorEastAsia"/>
        </w:rPr>
        <w:t xml:space="preserve"> </w:t>
      </w:r>
      <w:r w:rsidR="00611091">
        <w:rPr>
          <w:rFonts w:eastAsiaTheme="majorEastAsia"/>
        </w:rPr>
        <w:t>priorities</w:t>
      </w:r>
      <w:r w:rsidR="00073FEB">
        <w:rPr>
          <w:rFonts w:eastAsiaTheme="majorEastAsia"/>
        </w:rPr>
        <w:t xml:space="preserve"> and </w:t>
      </w:r>
      <w:r w:rsidR="007E51AC" w:rsidRPr="00486564">
        <w:rPr>
          <w:rFonts w:eastAsiaTheme="majorEastAsia"/>
        </w:rPr>
        <w:t>commitments</w:t>
      </w:r>
      <w:r w:rsidR="008320BA" w:rsidRPr="00354B5C">
        <w:rPr>
          <w:rFonts w:eastAsiaTheme="majorEastAsia"/>
        </w:rPr>
        <w:t>.</w:t>
      </w:r>
      <w:r w:rsidR="00FE13C5" w:rsidRPr="00C15536">
        <w:rPr>
          <w:rFonts w:eastAsiaTheme="majorEastAsia"/>
        </w:rPr>
        <w:t xml:space="preserve"> </w:t>
      </w:r>
      <w:r w:rsidR="00C72FFC" w:rsidRPr="002F0A52">
        <w:rPr>
          <w:rFonts w:eastAsiaTheme="majorEastAsia"/>
        </w:rPr>
        <w:t xml:space="preserve">For example, </w:t>
      </w:r>
      <w:r w:rsidR="005B7D67">
        <w:rPr>
          <w:rFonts w:eastAsiaTheme="majorEastAsia"/>
        </w:rPr>
        <w:t>one of the</w:t>
      </w:r>
      <w:r w:rsidR="002F72C4">
        <w:rPr>
          <w:rFonts w:eastAsiaTheme="majorEastAsia"/>
        </w:rPr>
        <w:t xml:space="preserve"> G</w:t>
      </w:r>
      <w:r w:rsidR="00FE13C5" w:rsidRPr="00A40031">
        <w:rPr>
          <w:rFonts w:eastAsiaTheme="majorEastAsia"/>
        </w:rPr>
        <w:t>overnment</w:t>
      </w:r>
      <w:r w:rsidR="002F72C4">
        <w:rPr>
          <w:rFonts w:eastAsiaTheme="majorEastAsia"/>
        </w:rPr>
        <w:t xml:space="preserve">’s </w:t>
      </w:r>
      <w:r w:rsidR="005B7D67">
        <w:rPr>
          <w:rFonts w:eastAsiaTheme="majorEastAsia"/>
        </w:rPr>
        <w:t>priorities</w:t>
      </w:r>
      <w:r w:rsidR="00FE13C5" w:rsidRPr="00A40031">
        <w:rPr>
          <w:rFonts w:eastAsiaTheme="majorEastAsia"/>
        </w:rPr>
        <w:t xml:space="preserve"> is </w:t>
      </w:r>
      <w:r w:rsidR="00336C6B">
        <w:rPr>
          <w:rFonts w:eastAsiaTheme="majorEastAsia"/>
        </w:rPr>
        <w:t xml:space="preserve">to </w:t>
      </w:r>
      <w:r w:rsidR="005B7D67">
        <w:rPr>
          <w:rFonts w:eastAsiaTheme="majorEastAsia"/>
        </w:rPr>
        <w:t>stimulate</w:t>
      </w:r>
      <w:r w:rsidR="00FE13C5" w:rsidRPr="00A40031">
        <w:rPr>
          <w:rFonts w:eastAsiaTheme="majorEastAsia"/>
        </w:rPr>
        <w:t xml:space="preserve"> </w:t>
      </w:r>
      <w:r w:rsidR="002F72C4" w:rsidRPr="00A40031">
        <w:rPr>
          <w:rFonts w:eastAsiaTheme="majorEastAsia"/>
        </w:rPr>
        <w:t xml:space="preserve">innovation </w:t>
      </w:r>
      <w:r w:rsidR="005B7D67">
        <w:rPr>
          <w:rFonts w:eastAsiaTheme="majorEastAsia"/>
        </w:rPr>
        <w:t>in the</w:t>
      </w:r>
      <w:r w:rsidR="00FE13C5" w:rsidRPr="00A40031">
        <w:rPr>
          <w:rFonts w:eastAsiaTheme="majorEastAsia"/>
        </w:rPr>
        <w:t xml:space="preserve"> financial </w:t>
      </w:r>
      <w:r w:rsidR="005B7D67">
        <w:rPr>
          <w:rFonts w:eastAsiaTheme="majorEastAsia"/>
        </w:rPr>
        <w:t>system in order to better support the operation of the economy</w:t>
      </w:r>
      <w:r w:rsidR="00FE13C5" w:rsidRPr="00A40031">
        <w:rPr>
          <w:rFonts w:eastAsiaTheme="majorEastAsia"/>
        </w:rPr>
        <w:t xml:space="preserve">. </w:t>
      </w:r>
      <w:r w:rsidR="002F72C4">
        <w:rPr>
          <w:rFonts w:eastAsiaTheme="majorEastAsia"/>
        </w:rPr>
        <w:t>T</w:t>
      </w:r>
      <w:r w:rsidR="00FE13C5" w:rsidRPr="00A40031">
        <w:rPr>
          <w:rFonts w:eastAsiaTheme="majorEastAsia"/>
        </w:rPr>
        <w:t xml:space="preserve">he Government </w:t>
      </w:r>
      <w:r w:rsidR="00EB63C7">
        <w:rPr>
          <w:rFonts w:eastAsiaTheme="majorEastAsia"/>
        </w:rPr>
        <w:t xml:space="preserve">also </w:t>
      </w:r>
      <w:r w:rsidR="00FE13C5" w:rsidRPr="00A40031">
        <w:rPr>
          <w:rFonts w:eastAsiaTheme="majorEastAsia"/>
        </w:rPr>
        <w:t>maintains a strong commitment to establish Australia as a financial hub within the Asia Pacific region.</w:t>
      </w:r>
      <w:bookmarkStart w:id="30" w:name="_Toc437594527"/>
    </w:p>
    <w:p w14:paraId="3F2AFDD4" w14:textId="6F588155" w:rsidR="00B42413" w:rsidRDefault="00B42413" w:rsidP="00B42413">
      <w:pPr>
        <w:pStyle w:val="Heading2"/>
        <w:rPr>
          <w:b w:val="0"/>
          <w:bCs w:val="0"/>
          <w:i w:val="0"/>
        </w:rPr>
      </w:pPr>
      <w:r>
        <w:br w:type="page"/>
      </w:r>
    </w:p>
    <w:p w14:paraId="3BC43BC2" w14:textId="43E18EAB" w:rsidR="003859FA" w:rsidRPr="00A40031" w:rsidRDefault="003859FA" w:rsidP="00C95345">
      <w:pPr>
        <w:pStyle w:val="Heading2"/>
      </w:pPr>
      <w:bookmarkStart w:id="31" w:name="_Toc479326330"/>
      <w:r w:rsidRPr="00407E63">
        <w:lastRenderedPageBreak/>
        <w:t xml:space="preserve">Consideration of </w:t>
      </w:r>
      <w:r>
        <w:t>RBA’s aims</w:t>
      </w:r>
      <w:bookmarkEnd w:id="31"/>
    </w:p>
    <w:p w14:paraId="3BC43BC3" w14:textId="77777777" w:rsidR="003859FA" w:rsidRDefault="003859FA" w:rsidP="00CC26A2">
      <w:r>
        <w:t xml:space="preserve">When exercising the delegated powers relating to CS facilities, </w:t>
      </w:r>
      <w:r w:rsidR="00836B60">
        <w:t xml:space="preserve">the </w:t>
      </w:r>
      <w:r w:rsidR="00A32448">
        <w:t>delegate</w:t>
      </w:r>
      <w:r w:rsidR="00836B60">
        <w:t xml:space="preserve"> </w:t>
      </w:r>
      <w:r w:rsidR="00213995">
        <w:t>is</w:t>
      </w:r>
      <w:r w:rsidR="00C14E99">
        <w:t xml:space="preserve"> expected to</w:t>
      </w:r>
      <w:r>
        <w:t>:</w:t>
      </w:r>
    </w:p>
    <w:p w14:paraId="3BC43BC4" w14:textId="77777777" w:rsidR="003859FA" w:rsidRDefault="00AA4A02" w:rsidP="00267789">
      <w:pPr>
        <w:pStyle w:val="Bullet"/>
      </w:pPr>
      <w:r>
        <w:t xml:space="preserve">ensure there has been adequate </w:t>
      </w:r>
      <w:r w:rsidR="003859FA">
        <w:t>consult</w:t>
      </w:r>
      <w:r>
        <w:t>ation</w:t>
      </w:r>
      <w:r w:rsidR="003859FA">
        <w:t xml:space="preserve"> with the RBA ahead of any exercise of the delegated powers, allowing adequate time for consideration and response </w:t>
      </w:r>
      <w:proofErr w:type="gramStart"/>
      <w:r w:rsidR="003859FA">
        <w:t>taking into account</w:t>
      </w:r>
      <w:proofErr w:type="gramEnd"/>
      <w:r w:rsidR="003859FA">
        <w:t xml:space="preserve"> the nature of the power being exercised;</w:t>
      </w:r>
    </w:p>
    <w:p w14:paraId="3BC43BC5" w14:textId="77777777" w:rsidR="00977910" w:rsidRDefault="00977910" w:rsidP="00267789">
      <w:pPr>
        <w:pStyle w:val="Bullet"/>
      </w:pPr>
      <w:r>
        <w:t>c</w:t>
      </w:r>
      <w:r w:rsidR="00B607E2">
        <w:t xml:space="preserve">onsider </w:t>
      </w:r>
      <w:r w:rsidR="00313991">
        <w:t>a</w:t>
      </w:r>
      <w:r w:rsidR="00B607E2">
        <w:t xml:space="preserve">ny advice </w:t>
      </w:r>
      <w:r w:rsidR="00313991">
        <w:t xml:space="preserve">and recommendation </w:t>
      </w:r>
      <w:r w:rsidR="00B607E2">
        <w:t>provided by the RBA</w:t>
      </w:r>
      <w:r w:rsidR="004137C2">
        <w:t xml:space="preserve"> (and ASIC)</w:t>
      </w:r>
      <w:r>
        <w:t xml:space="preserve"> when exercis</w:t>
      </w:r>
      <w:r w:rsidR="0049590A">
        <w:t>ing</w:t>
      </w:r>
      <w:r>
        <w:t xml:space="preserve"> any delegated power in relation to CS facilities;</w:t>
      </w:r>
      <w:r w:rsidR="00313991">
        <w:t xml:space="preserve"> </w:t>
      </w:r>
      <w:r w:rsidR="004137C2">
        <w:t>and</w:t>
      </w:r>
    </w:p>
    <w:p w14:paraId="3BC43BC6" w14:textId="77777777" w:rsidR="003859FA" w:rsidRPr="00873411" w:rsidDel="002D7696" w:rsidRDefault="003859FA" w:rsidP="00267789">
      <w:pPr>
        <w:pStyle w:val="Bullet"/>
      </w:pPr>
      <w:r>
        <w:t>ensure delegated powers do not frustrate crisis management actions including, once the RBA has such powers, the RBA’s issuance of directions in recovery or actions in resolution.</w:t>
      </w:r>
    </w:p>
    <w:p w14:paraId="3BC43BC7" w14:textId="77777777" w:rsidR="007C443B" w:rsidRDefault="00CC6C45" w:rsidP="0069362C">
      <w:pPr>
        <w:pStyle w:val="Heading2"/>
      </w:pPr>
      <w:bookmarkStart w:id="32" w:name="_Toc479326331"/>
      <w:r>
        <w:t>T</w:t>
      </w:r>
      <w:r w:rsidR="00C72FFC" w:rsidRPr="00407E63">
        <w:t>imeframes for</w:t>
      </w:r>
      <w:r w:rsidR="007C443B" w:rsidRPr="00407E63">
        <w:t xml:space="preserve"> the exercise of the delegated powers</w:t>
      </w:r>
      <w:bookmarkEnd w:id="30"/>
      <w:bookmarkEnd w:id="32"/>
    </w:p>
    <w:p w14:paraId="3BC43BC8" w14:textId="77777777" w:rsidR="006878FC" w:rsidRDefault="00A66003" w:rsidP="00CC26A2">
      <w:r>
        <w:t>I</w:t>
      </w:r>
      <w:r w:rsidR="00063595">
        <w:t>n exercising the delegated powers</w:t>
      </w:r>
      <w:r w:rsidR="00C72FFC">
        <w:t>,</w:t>
      </w:r>
      <w:r w:rsidR="00063595">
        <w:t xml:space="preserve"> </w:t>
      </w:r>
      <w:r w:rsidR="00A32448">
        <w:t>the delegate</w:t>
      </w:r>
      <w:r w:rsidR="00063595">
        <w:t xml:space="preserve"> </w:t>
      </w:r>
      <w:r w:rsidR="00360136">
        <w:t>will be</w:t>
      </w:r>
      <w:r w:rsidR="00063595">
        <w:t xml:space="preserve"> subject to the </w:t>
      </w:r>
      <w:r w:rsidR="00FD3F70">
        <w:t xml:space="preserve">same statutory timeframes as the Minister for </w:t>
      </w:r>
      <w:r w:rsidR="00795781">
        <w:t>decision-making</w:t>
      </w:r>
      <w:r w:rsidR="00FD3F70">
        <w:t xml:space="preserve">. </w:t>
      </w:r>
      <w:r w:rsidR="00D50282">
        <w:t>However</w:t>
      </w:r>
      <w:r w:rsidR="00063595">
        <w:t xml:space="preserve">, </w:t>
      </w:r>
      <w:r w:rsidR="00073FEB">
        <w:t xml:space="preserve">in order to </w:t>
      </w:r>
      <w:r w:rsidR="00112435">
        <w:t>enhance</w:t>
      </w:r>
      <w:r w:rsidR="00073FEB">
        <w:t xml:space="preserve"> efficiencies</w:t>
      </w:r>
      <w:r w:rsidR="00112435">
        <w:t xml:space="preserve">, </w:t>
      </w:r>
      <w:r w:rsidR="00A32448">
        <w:t xml:space="preserve">the delegate </w:t>
      </w:r>
      <w:r w:rsidR="00C14E99">
        <w:t xml:space="preserve">is expected to </w:t>
      </w:r>
      <w:r w:rsidR="00112435">
        <w:t xml:space="preserve">set more expedient performance indicators for the execution of the delegated </w:t>
      </w:r>
      <w:r w:rsidR="00C14E99">
        <w:t xml:space="preserve">powers </w:t>
      </w:r>
      <w:r w:rsidR="00112435">
        <w:t>and periodically review the indicators</w:t>
      </w:r>
      <w:r w:rsidR="00073FEB">
        <w:t>.</w:t>
      </w:r>
      <w:r w:rsidR="00112435">
        <w:t xml:space="preserve"> If required, </w:t>
      </w:r>
      <w:r w:rsidR="009D2C4D">
        <w:t>the delegate</w:t>
      </w:r>
      <w:r w:rsidR="00112435">
        <w:t xml:space="preserve"> should share performance indicators</w:t>
      </w:r>
      <w:r w:rsidR="00CD773E">
        <w:t xml:space="preserve"> with </w:t>
      </w:r>
      <w:r w:rsidR="00112435">
        <w:t>the Minister.</w:t>
      </w:r>
      <w:bookmarkStart w:id="33" w:name="_Toc436741723"/>
      <w:bookmarkStart w:id="34" w:name="_Toc436741724"/>
      <w:bookmarkStart w:id="35" w:name="_Toc436741725"/>
      <w:bookmarkStart w:id="36" w:name="_Toc436741729"/>
      <w:bookmarkStart w:id="37" w:name="_Toc436741730"/>
      <w:bookmarkStart w:id="38" w:name="_Toc436741757"/>
      <w:bookmarkStart w:id="39" w:name="_Toc437594528"/>
      <w:bookmarkEnd w:id="33"/>
      <w:bookmarkEnd w:id="34"/>
      <w:bookmarkEnd w:id="35"/>
      <w:bookmarkEnd w:id="36"/>
      <w:bookmarkEnd w:id="37"/>
      <w:bookmarkEnd w:id="38"/>
    </w:p>
    <w:p w14:paraId="3BC43BC9" w14:textId="77777777" w:rsidR="00267789" w:rsidRPr="00B535DB" w:rsidRDefault="00267789" w:rsidP="00267789">
      <w:pPr>
        <w:pStyle w:val="SingleParagraph"/>
      </w:pPr>
    </w:p>
    <w:p w14:paraId="3BC43BCA" w14:textId="77777777" w:rsidR="00157FF9" w:rsidRPr="00E40810" w:rsidRDefault="00A638C8" w:rsidP="00267789">
      <w:pPr>
        <w:pStyle w:val="Heading1"/>
      </w:pPr>
      <w:bookmarkStart w:id="40" w:name="_Toc479326332"/>
      <w:r>
        <w:t xml:space="preserve">Reporting </w:t>
      </w:r>
      <w:r w:rsidR="008F0CA2">
        <w:t>requisites</w:t>
      </w:r>
      <w:r w:rsidR="00DB239A">
        <w:t>,</w:t>
      </w:r>
      <w:r w:rsidR="00754E22">
        <w:t xml:space="preserve"> call up procedure</w:t>
      </w:r>
      <w:bookmarkEnd w:id="39"/>
      <w:r w:rsidR="00DB239A">
        <w:t xml:space="preserve"> and notification</w:t>
      </w:r>
      <w:r w:rsidR="008529A8">
        <w:t>s</w:t>
      </w:r>
      <w:r w:rsidR="00DB239A">
        <w:t xml:space="preserve"> to licensee</w:t>
      </w:r>
      <w:bookmarkEnd w:id="40"/>
    </w:p>
    <w:p w14:paraId="3BC43BCB" w14:textId="77777777" w:rsidR="00754E22" w:rsidRPr="00407E63" w:rsidRDefault="0078180A" w:rsidP="0069362C">
      <w:pPr>
        <w:pStyle w:val="Heading2"/>
      </w:pPr>
      <w:bookmarkStart w:id="41" w:name="_Toc437594529"/>
      <w:bookmarkStart w:id="42" w:name="_Toc479326333"/>
      <w:r w:rsidRPr="00407E63">
        <w:t xml:space="preserve">Reporting to </w:t>
      </w:r>
      <w:bookmarkEnd w:id="41"/>
      <w:r w:rsidR="0074020A">
        <w:t>the Minister</w:t>
      </w:r>
      <w:bookmarkEnd w:id="42"/>
    </w:p>
    <w:p w14:paraId="3BC43BCC" w14:textId="77777777" w:rsidR="00990623" w:rsidRDefault="00772383" w:rsidP="00267789">
      <w:r>
        <w:t>The delegate</w:t>
      </w:r>
      <w:r w:rsidR="00ED6075">
        <w:t xml:space="preserve"> </w:t>
      </w:r>
      <w:r w:rsidR="00E37EDF">
        <w:t xml:space="preserve">must </w:t>
      </w:r>
      <w:r w:rsidR="00ED6075">
        <w:t>provide</w:t>
      </w:r>
      <w:r w:rsidR="0078180A">
        <w:t xml:space="preserve"> a </w:t>
      </w:r>
      <w:r w:rsidR="00990623">
        <w:t>quarterly</w:t>
      </w:r>
      <w:r w:rsidR="0078180A">
        <w:t xml:space="preserve"> report</w:t>
      </w:r>
      <w:r w:rsidR="00990623">
        <w:t xml:space="preserve"> (the ASIC Regulatory Report)</w:t>
      </w:r>
      <w:r w:rsidR="00ED6075">
        <w:t xml:space="preserve"> to </w:t>
      </w:r>
      <w:r w:rsidR="0074020A">
        <w:t>the Minister</w:t>
      </w:r>
      <w:r w:rsidR="00E37EDF">
        <w:t xml:space="preserve"> and the RBA</w:t>
      </w:r>
      <w:r w:rsidR="0055556A">
        <w:t xml:space="preserve"> </w:t>
      </w:r>
      <w:r w:rsidR="0078180A">
        <w:t xml:space="preserve">containing </w:t>
      </w:r>
      <w:r w:rsidR="00990623">
        <w:t>information</w:t>
      </w:r>
      <w:r w:rsidR="00ED6075">
        <w:t xml:space="preserve"> </w:t>
      </w:r>
      <w:r w:rsidR="00144B38">
        <w:t>on</w:t>
      </w:r>
      <w:r w:rsidR="00990623">
        <w:t>:</w:t>
      </w:r>
    </w:p>
    <w:p w14:paraId="3BC43BCD" w14:textId="77777777" w:rsidR="00990623" w:rsidRDefault="00CC6C45" w:rsidP="00267789">
      <w:pPr>
        <w:pStyle w:val="Bullet"/>
      </w:pPr>
      <w:r>
        <w:t>all</w:t>
      </w:r>
      <w:r w:rsidR="008A4F38">
        <w:t xml:space="preserve"> </w:t>
      </w:r>
      <w:r w:rsidR="004E3B4E">
        <w:t xml:space="preserve">known </w:t>
      </w:r>
      <w:r w:rsidR="00ED6075">
        <w:t>upcoming regulatory matters</w:t>
      </w:r>
      <w:r w:rsidR="00144B38">
        <w:t xml:space="preserve"> which will require the exercise of the delegated powers over the next quarter</w:t>
      </w:r>
      <w:r w:rsidR="00B654A1">
        <w:t>;</w:t>
      </w:r>
      <w:r w:rsidR="0055556A">
        <w:t xml:space="preserve"> </w:t>
      </w:r>
      <w:r w:rsidR="003407DD">
        <w:t>and</w:t>
      </w:r>
    </w:p>
    <w:p w14:paraId="3BC43BCE" w14:textId="77777777" w:rsidR="00C12A35" w:rsidRDefault="00AF46FB" w:rsidP="00267789">
      <w:pPr>
        <w:pStyle w:val="Bullet"/>
      </w:pPr>
      <w:r>
        <w:t>all</w:t>
      </w:r>
      <w:r w:rsidR="003C1E8A">
        <w:t xml:space="preserve"> </w:t>
      </w:r>
      <w:r w:rsidR="00754E22">
        <w:t>regulatory matters for which</w:t>
      </w:r>
      <w:r w:rsidR="00990623">
        <w:t xml:space="preserve"> </w:t>
      </w:r>
      <w:r w:rsidR="00C52DB3">
        <w:t>the delegate</w:t>
      </w:r>
      <w:r w:rsidR="00754E22">
        <w:t xml:space="preserve"> ha</w:t>
      </w:r>
      <w:r w:rsidR="00C52DB3">
        <w:t>s</w:t>
      </w:r>
      <w:r w:rsidR="00754E22">
        <w:t xml:space="preserve"> exercised the delegated powers over the </w:t>
      </w:r>
      <w:r w:rsidR="00144B38">
        <w:t xml:space="preserve">preceding </w:t>
      </w:r>
      <w:r w:rsidR="00990623">
        <w:t>quarter</w:t>
      </w:r>
      <w:r w:rsidR="003407DD">
        <w:t>.</w:t>
      </w:r>
    </w:p>
    <w:p w14:paraId="3BC43BCF" w14:textId="77777777" w:rsidR="008A4F38" w:rsidRDefault="00546FC9" w:rsidP="00745985">
      <w:r>
        <w:t xml:space="preserve">To the extent that matters relate to CS facilities, </w:t>
      </w:r>
      <w:r w:rsidR="00772383">
        <w:t>the delegate</w:t>
      </w:r>
      <w:r>
        <w:t xml:space="preserve"> should seek the RBA’s input on the relevant parts of the ASIC Regulatory Report.</w:t>
      </w:r>
      <w:r w:rsidR="00BF0ECD">
        <w:t xml:space="preserve">  </w:t>
      </w:r>
      <w:r w:rsidR="008A4F38">
        <w:t xml:space="preserve"> </w:t>
      </w:r>
    </w:p>
    <w:p w14:paraId="3BC43BD0" w14:textId="77777777" w:rsidR="00ED6075" w:rsidRDefault="00ED6075" w:rsidP="00267789">
      <w:r>
        <w:t xml:space="preserve">The </w:t>
      </w:r>
      <w:r w:rsidR="00990623">
        <w:t>ASIC R</w:t>
      </w:r>
      <w:r w:rsidR="0055556A">
        <w:t xml:space="preserve">egulatory </w:t>
      </w:r>
      <w:r w:rsidR="00990623">
        <w:t>Report</w:t>
      </w:r>
      <w:r w:rsidR="0055556A">
        <w:t xml:space="preserve"> </w:t>
      </w:r>
      <w:r w:rsidR="00E37EDF">
        <w:t xml:space="preserve">must </w:t>
      </w:r>
      <w:r>
        <w:t>include</w:t>
      </w:r>
      <w:r w:rsidR="00D94CB4">
        <w:t xml:space="preserve"> the following information, as practicable and applicable to each regulatory matter</w:t>
      </w:r>
      <w:r>
        <w:t>:</w:t>
      </w:r>
    </w:p>
    <w:p w14:paraId="3BC43BD1" w14:textId="77777777" w:rsidR="003B0C25" w:rsidRDefault="0069142B" w:rsidP="00267789">
      <w:pPr>
        <w:pStyle w:val="Bullet"/>
      </w:pPr>
      <w:r>
        <w:t xml:space="preserve">the </w:t>
      </w:r>
      <w:r w:rsidR="0025290B">
        <w:t>nature</w:t>
      </w:r>
      <w:r w:rsidR="00ED6075">
        <w:t xml:space="preserve"> of the </w:t>
      </w:r>
      <w:r w:rsidR="003B0C25">
        <w:t>regulatory matter;</w:t>
      </w:r>
    </w:p>
    <w:p w14:paraId="3BC43BD2" w14:textId="77777777" w:rsidR="003B0C25" w:rsidRDefault="003B0C25" w:rsidP="00267789">
      <w:pPr>
        <w:pStyle w:val="Bullet"/>
      </w:pPr>
      <w:r>
        <w:t>information</w:t>
      </w:r>
      <w:r w:rsidR="000F724F">
        <w:t xml:space="preserve"> regarding</w:t>
      </w:r>
      <w:r>
        <w:t xml:space="preserve"> </w:t>
      </w:r>
      <w:r w:rsidR="00ED6075">
        <w:t xml:space="preserve">the </w:t>
      </w:r>
      <w:r w:rsidR="006A105C">
        <w:t>financial market</w:t>
      </w:r>
      <w:r w:rsidR="00B03305">
        <w:t>(s)</w:t>
      </w:r>
      <w:r w:rsidR="006A105C">
        <w:t xml:space="preserve"> or FMI</w:t>
      </w:r>
      <w:r w:rsidR="00B03305">
        <w:t>(s)</w:t>
      </w:r>
      <w:r w:rsidR="00B524B8">
        <w:t xml:space="preserve"> </w:t>
      </w:r>
      <w:r w:rsidR="00ED6075">
        <w:t>involved</w:t>
      </w:r>
      <w:r w:rsidR="0069142B">
        <w:t>, or affected by the regulatory matter</w:t>
      </w:r>
      <w:r>
        <w:t>;</w:t>
      </w:r>
    </w:p>
    <w:p w14:paraId="43D28C48" w14:textId="77777777" w:rsidR="00414C0B" w:rsidRDefault="00414C0B">
      <w:pPr>
        <w:spacing w:before="0" w:after="200"/>
        <w:rPr>
          <w:rFonts w:ascii="Times New Roman" w:hAnsi="Times New Roman"/>
        </w:rPr>
      </w:pPr>
      <w:r>
        <w:br w:type="page"/>
      </w:r>
    </w:p>
    <w:p w14:paraId="3BC43BD4" w14:textId="120E25F3" w:rsidR="007C443B" w:rsidRDefault="007C443B" w:rsidP="00267789">
      <w:pPr>
        <w:pStyle w:val="Bullet"/>
      </w:pPr>
      <w:r>
        <w:lastRenderedPageBreak/>
        <w:t xml:space="preserve">background and a description of the regulatory matter, including: </w:t>
      </w:r>
    </w:p>
    <w:p w14:paraId="3BC43BD5" w14:textId="77777777" w:rsidR="003B0C25" w:rsidRDefault="00ED6075" w:rsidP="0069362C">
      <w:pPr>
        <w:pStyle w:val="Dash"/>
      </w:pPr>
      <w:r>
        <w:t xml:space="preserve">the </w:t>
      </w:r>
      <w:r w:rsidR="0025290B">
        <w:t xml:space="preserve">most relevant </w:t>
      </w:r>
      <w:r>
        <w:t>section of the</w:t>
      </w:r>
      <w:r w:rsidR="0025290B">
        <w:t xml:space="preserve"> Corporations</w:t>
      </w:r>
      <w:r>
        <w:t xml:space="preserve"> A</w:t>
      </w:r>
      <w:r w:rsidR="003B0C25">
        <w:t>ct under which the Minister</w:t>
      </w:r>
      <w:r w:rsidR="00D94CB4">
        <w:t xml:space="preserve">’s powers relate to the </w:t>
      </w:r>
      <w:r w:rsidR="003B0C25">
        <w:t>regulatory matter</w:t>
      </w:r>
      <w:r w:rsidR="0049294D">
        <w:t>,</w:t>
      </w:r>
      <w:r w:rsidR="007C443B">
        <w:t xml:space="preserve"> </w:t>
      </w:r>
      <w:r w:rsidR="00ED353C">
        <w:t xml:space="preserve">informal lodgement dates and </w:t>
      </w:r>
      <w:r w:rsidR="007C443B">
        <w:t>any legislated timeframes</w:t>
      </w:r>
      <w:r w:rsidR="00ED353C">
        <w:t xml:space="preserve"> </w:t>
      </w:r>
      <w:r w:rsidR="007C443B">
        <w:t>imposed on the use of these powers for the regulatory matter, and</w:t>
      </w:r>
    </w:p>
    <w:p w14:paraId="3BC43BD6" w14:textId="77777777" w:rsidR="00ED6075" w:rsidRDefault="00ED6075" w:rsidP="00CC26A2">
      <w:pPr>
        <w:pStyle w:val="Dash"/>
      </w:pPr>
      <w:r>
        <w:t xml:space="preserve">the reasons </w:t>
      </w:r>
      <w:r w:rsidR="003B0C25">
        <w:t>the Minister’s powers are required</w:t>
      </w:r>
      <w:r w:rsidR="000D7830">
        <w:t xml:space="preserve"> to</w:t>
      </w:r>
      <w:r w:rsidR="003B0C25">
        <w:t>, or may</w:t>
      </w:r>
      <w:r w:rsidR="000D7830">
        <w:t>,</w:t>
      </w:r>
      <w:r w:rsidR="003B0C25">
        <w:t xml:space="preserve"> be exercised for the </w:t>
      </w:r>
      <w:proofErr w:type="gramStart"/>
      <w:r w:rsidR="003B0C25">
        <w:t>particular regulatory</w:t>
      </w:r>
      <w:proofErr w:type="gramEnd"/>
      <w:r w:rsidR="003B0C25">
        <w:t xml:space="preserve"> matter;</w:t>
      </w:r>
    </w:p>
    <w:p w14:paraId="3BC43BD7" w14:textId="4B41E982" w:rsidR="0049294D" w:rsidRDefault="000F724F" w:rsidP="00267789">
      <w:pPr>
        <w:pStyle w:val="Bullet"/>
      </w:pPr>
      <w:r>
        <w:t>whether the regulatory matter will</w:t>
      </w:r>
      <w:r w:rsidR="00B654A1">
        <w:t xml:space="preserve"> require</w:t>
      </w:r>
      <w:r w:rsidR="00CC6C45">
        <w:t xml:space="preserve"> the</w:t>
      </w:r>
      <w:r w:rsidR="00B654A1">
        <w:t xml:space="preserve"> Minister’s decision</w:t>
      </w:r>
      <w:r w:rsidR="009F1150">
        <w:t>;</w:t>
      </w:r>
      <w:r w:rsidR="004137C2">
        <w:t xml:space="preserve"> and</w:t>
      </w:r>
    </w:p>
    <w:p w14:paraId="3BC43BD8" w14:textId="77777777" w:rsidR="008529A8" w:rsidRPr="003407DD" w:rsidRDefault="0055556A" w:rsidP="00267789">
      <w:pPr>
        <w:pStyle w:val="Bullet"/>
        <w:rPr>
          <w:b/>
        </w:rPr>
      </w:pPr>
      <w:r>
        <w:t xml:space="preserve">any other details the Minister </w:t>
      </w:r>
      <w:r w:rsidR="00772383">
        <w:t>deem necessary and instruct the delegate</w:t>
      </w:r>
      <w:r>
        <w:t xml:space="preserve"> to provide. </w:t>
      </w:r>
      <w:bookmarkStart w:id="43" w:name="_Toc437594531"/>
    </w:p>
    <w:p w14:paraId="3BC43BD9" w14:textId="77777777" w:rsidR="003407DD" w:rsidRPr="003407DD" w:rsidRDefault="003407DD" w:rsidP="00745985">
      <w:r w:rsidRPr="003407DD">
        <w:t>ASIC</w:t>
      </w:r>
      <w:r>
        <w:t xml:space="preserve"> should also notify the Minister of applications received in between ASIC regulatory reports </w:t>
      </w:r>
      <w:r w:rsidR="00B07EB1">
        <w:t>that</w:t>
      </w:r>
      <w:r w:rsidR="0074020A">
        <w:t xml:space="preserve"> fall</w:t>
      </w:r>
      <w:r w:rsidR="00920D34">
        <w:t xml:space="preserve"> within one of the </w:t>
      </w:r>
      <w:proofErr w:type="gramStart"/>
      <w:r w:rsidR="00920D34">
        <w:t>call</w:t>
      </w:r>
      <w:proofErr w:type="gramEnd"/>
      <w:r w:rsidR="00920D34">
        <w:t xml:space="preserve"> </w:t>
      </w:r>
      <w:r>
        <w:t xml:space="preserve">up circumstances identified below. </w:t>
      </w:r>
    </w:p>
    <w:p w14:paraId="3BC43BDA" w14:textId="77777777" w:rsidR="008529A8" w:rsidRPr="00267789" w:rsidRDefault="008529A8" w:rsidP="0069362C">
      <w:pPr>
        <w:pStyle w:val="Heading2"/>
      </w:pPr>
      <w:bookmarkStart w:id="44" w:name="_Toc479326334"/>
      <w:r w:rsidRPr="00267789">
        <w:t>Publication of the ASIC Regulatory Report</w:t>
      </w:r>
      <w:bookmarkEnd w:id="44"/>
    </w:p>
    <w:p w14:paraId="3BC43BDB" w14:textId="77777777" w:rsidR="00B535DB" w:rsidRPr="00B535DB" w:rsidRDefault="008529A8" w:rsidP="00CC26A2">
      <w:pPr>
        <w:rPr>
          <w:lang w:val="en-US"/>
        </w:rPr>
      </w:pPr>
      <w:r>
        <w:rPr>
          <w:lang w:val="en-US"/>
        </w:rPr>
        <w:t>T</w:t>
      </w:r>
      <w:r w:rsidRPr="00C12A35">
        <w:rPr>
          <w:lang w:val="en-US"/>
        </w:rPr>
        <w:t xml:space="preserve">o the extent permitted under </w:t>
      </w:r>
      <w:r>
        <w:rPr>
          <w:lang w:val="en-US"/>
        </w:rPr>
        <w:t xml:space="preserve">the law, </w:t>
      </w:r>
      <w:r w:rsidR="00772383">
        <w:rPr>
          <w:lang w:val="en-US"/>
        </w:rPr>
        <w:t>the delegate</w:t>
      </w:r>
      <w:r>
        <w:rPr>
          <w:lang w:val="en-US"/>
        </w:rPr>
        <w:t xml:space="preserve"> should publish on </w:t>
      </w:r>
      <w:r w:rsidR="00772383">
        <w:rPr>
          <w:lang w:val="en-US"/>
        </w:rPr>
        <w:t>ASIC’s</w:t>
      </w:r>
      <w:r>
        <w:rPr>
          <w:lang w:val="en-US"/>
        </w:rPr>
        <w:t xml:space="preserve"> website, the section of the ASIC Regulatory Report that</w:t>
      </w:r>
      <w:r w:rsidRPr="00C12A35">
        <w:rPr>
          <w:lang w:val="en-US"/>
        </w:rPr>
        <w:t xml:space="preserve"> outlin</w:t>
      </w:r>
      <w:r>
        <w:rPr>
          <w:lang w:val="en-US"/>
        </w:rPr>
        <w:t xml:space="preserve">es </w:t>
      </w:r>
      <w:r w:rsidRPr="00C12A35">
        <w:rPr>
          <w:lang w:val="en-US"/>
        </w:rPr>
        <w:t>the</w:t>
      </w:r>
      <w:r>
        <w:rPr>
          <w:lang w:val="en-US"/>
        </w:rPr>
        <w:t xml:space="preserve"> regulatory</w:t>
      </w:r>
      <w:r w:rsidRPr="00C12A35">
        <w:rPr>
          <w:lang w:val="en-US"/>
        </w:rPr>
        <w:t xml:space="preserve"> matters </w:t>
      </w:r>
      <w:r>
        <w:rPr>
          <w:lang w:val="en-US"/>
        </w:rPr>
        <w:t xml:space="preserve">for which, during </w:t>
      </w:r>
      <w:r w:rsidRPr="00C12A35">
        <w:rPr>
          <w:lang w:val="en-US"/>
        </w:rPr>
        <w:t>the previous quarter</w:t>
      </w:r>
      <w:r>
        <w:rPr>
          <w:lang w:val="en-US"/>
        </w:rPr>
        <w:t>,</w:t>
      </w:r>
      <w:r w:rsidRPr="00C12A35">
        <w:rPr>
          <w:lang w:val="en-US"/>
        </w:rPr>
        <w:t xml:space="preserve"> </w:t>
      </w:r>
      <w:r>
        <w:rPr>
          <w:lang w:val="en-US"/>
        </w:rPr>
        <w:t>the delegate has exercised the delegated functions and powers.</w:t>
      </w:r>
    </w:p>
    <w:p w14:paraId="3BC43BDC" w14:textId="77777777" w:rsidR="00157FF9" w:rsidRPr="00407E63" w:rsidRDefault="00157FF9" w:rsidP="0069362C">
      <w:pPr>
        <w:pStyle w:val="Heading2"/>
      </w:pPr>
      <w:bookmarkStart w:id="45" w:name="_Toc479326335"/>
      <w:r w:rsidRPr="00407E63">
        <w:t>Call up procedure</w:t>
      </w:r>
      <w:bookmarkEnd w:id="43"/>
      <w:bookmarkEnd w:id="45"/>
    </w:p>
    <w:p w14:paraId="3BC43BDD" w14:textId="19C7C57F" w:rsidR="0027089A" w:rsidRDefault="00AA4A02" w:rsidP="00CC26A2">
      <w:r>
        <w:t xml:space="preserve">If </w:t>
      </w:r>
      <w:r w:rsidR="00024911">
        <w:t xml:space="preserve">the Minister </w:t>
      </w:r>
      <w:r>
        <w:t>become</w:t>
      </w:r>
      <w:r w:rsidR="00745985">
        <w:t>s</w:t>
      </w:r>
      <w:r>
        <w:t xml:space="preserve"> aware of a matter (through the ASIC Regulatory Report or otherwise), they </w:t>
      </w:r>
      <w:r w:rsidR="00ED353C">
        <w:t>can request</w:t>
      </w:r>
      <w:r w:rsidR="0027089A">
        <w:t xml:space="preserve"> that a regulatory matter be </w:t>
      </w:r>
      <w:r w:rsidR="00745985">
        <w:t>‘</w:t>
      </w:r>
      <w:r w:rsidR="00F9573E">
        <w:t>called up</w:t>
      </w:r>
      <w:r w:rsidR="00745985">
        <w:t>’</w:t>
      </w:r>
      <w:r w:rsidR="00D94CB4">
        <w:t xml:space="preserve"> </w:t>
      </w:r>
      <w:r w:rsidR="0027089A">
        <w:t>for the Minister’s decision</w:t>
      </w:r>
      <w:r w:rsidR="00493663">
        <w:t xml:space="preserve">. </w:t>
      </w:r>
      <w:r w:rsidR="00DF27B3">
        <w:t>To call up a</w:t>
      </w:r>
      <w:r w:rsidR="00D94CB4">
        <w:t xml:space="preserve"> </w:t>
      </w:r>
      <w:r w:rsidR="00DF27B3">
        <w:t xml:space="preserve">regulatory matter, </w:t>
      </w:r>
      <w:r w:rsidR="00024911">
        <w:t xml:space="preserve">the Minister </w:t>
      </w:r>
      <w:r w:rsidR="00772383">
        <w:t>will notify the delegate</w:t>
      </w:r>
      <w:r w:rsidR="0027089A">
        <w:t xml:space="preserve"> </w:t>
      </w:r>
      <w:r w:rsidR="00B950F1">
        <w:t>(and the RBA, in respect of CS facilities)</w:t>
      </w:r>
      <w:r w:rsidR="0027089A">
        <w:t xml:space="preserve"> that, in regards to the particular regulatory matter, it is appropriate that the Minister, and not </w:t>
      </w:r>
      <w:r w:rsidR="0036645A">
        <w:t>the delegate</w:t>
      </w:r>
      <w:r w:rsidR="0027089A">
        <w:t xml:space="preserve">, exercise the </w:t>
      </w:r>
      <w:r w:rsidR="006A105C">
        <w:t xml:space="preserve">appropriate </w:t>
      </w:r>
      <w:r w:rsidR="0027089A">
        <w:t>power</w:t>
      </w:r>
      <w:r w:rsidR="006A105C">
        <w:t>(</w:t>
      </w:r>
      <w:r w:rsidR="0027089A">
        <w:t>s</w:t>
      </w:r>
      <w:r w:rsidR="006A105C">
        <w:t>) as</w:t>
      </w:r>
      <w:r w:rsidR="0027089A">
        <w:t xml:space="preserve"> ascribed to the Minister under Chapter</w:t>
      </w:r>
      <w:r w:rsidR="00F43918">
        <w:t> </w:t>
      </w:r>
      <w:r w:rsidR="0027089A">
        <w:t xml:space="preserve">7 of the </w:t>
      </w:r>
      <w:r w:rsidR="00836B60">
        <w:t xml:space="preserve">Corporations </w:t>
      </w:r>
      <w:r w:rsidR="0027089A">
        <w:t xml:space="preserve">Act. </w:t>
      </w:r>
    </w:p>
    <w:p w14:paraId="3BC43BDE" w14:textId="77777777" w:rsidR="00052993" w:rsidRDefault="0027089A" w:rsidP="00CC26A2">
      <w:r>
        <w:t xml:space="preserve">Upon receiving </w:t>
      </w:r>
      <w:r w:rsidR="00995CD0">
        <w:t>a notification that a regulatory matter will be called up for the Minister’s decision</w:t>
      </w:r>
      <w:r w:rsidR="00ED353C">
        <w:t>,</w:t>
      </w:r>
      <w:r>
        <w:t xml:space="preserve"> </w:t>
      </w:r>
      <w:r w:rsidR="00772383">
        <w:t>the delegate</w:t>
      </w:r>
      <w:r>
        <w:t xml:space="preserve"> will be required to pro</w:t>
      </w:r>
      <w:r w:rsidR="00052993">
        <w:t>vide</w:t>
      </w:r>
      <w:r w:rsidR="00D94CB4" w:rsidRPr="00D94CB4">
        <w:t xml:space="preserve"> </w:t>
      </w:r>
      <w:r w:rsidR="00D94CB4">
        <w:t xml:space="preserve">to the </w:t>
      </w:r>
      <w:r w:rsidR="0074020A">
        <w:t>Minister</w:t>
      </w:r>
      <w:r w:rsidR="00052993">
        <w:t xml:space="preserve">, </w:t>
      </w:r>
      <w:r w:rsidR="00ED353C">
        <w:t xml:space="preserve">once the </w:t>
      </w:r>
      <w:r w:rsidR="00B03305">
        <w:t xml:space="preserve">financial market or FMI </w:t>
      </w:r>
      <w:r w:rsidR="00ED353C">
        <w:t xml:space="preserve">has made formal lodgement or </w:t>
      </w:r>
      <w:r w:rsidR="00052993">
        <w:t>as soon as is practicable</w:t>
      </w:r>
      <w:r w:rsidR="00D94CB4">
        <w:t>,</w:t>
      </w:r>
      <w:r>
        <w:t xml:space="preserve"> the documents required for the Minister to exercise these powers, including</w:t>
      </w:r>
      <w:r w:rsidR="00D94CB4">
        <w:t xml:space="preserve"> (</w:t>
      </w:r>
      <w:r w:rsidR="00995CD0">
        <w:t>as applicable</w:t>
      </w:r>
      <w:r w:rsidR="00D94CB4">
        <w:t>)</w:t>
      </w:r>
      <w:r w:rsidR="00CE3782">
        <w:t>:</w:t>
      </w:r>
    </w:p>
    <w:p w14:paraId="3BC43BDF" w14:textId="77777777" w:rsidR="00052993" w:rsidRDefault="00995CD0" w:rsidP="00267789">
      <w:pPr>
        <w:pStyle w:val="Bullet"/>
      </w:pPr>
      <w:r>
        <w:t xml:space="preserve">any formal lodgement letter from the </w:t>
      </w:r>
      <w:r w:rsidR="00B03305">
        <w:t>financial market or FMI</w:t>
      </w:r>
      <w:r>
        <w:t>;</w:t>
      </w:r>
    </w:p>
    <w:p w14:paraId="3BC43BE0" w14:textId="77777777" w:rsidR="00052993" w:rsidRDefault="00995CD0" w:rsidP="00267789">
      <w:pPr>
        <w:pStyle w:val="Bullet"/>
      </w:pPr>
      <w:r>
        <w:t xml:space="preserve">a letter from ASIC providing advice on the </w:t>
      </w:r>
      <w:r w:rsidR="00C30A82">
        <w:t xml:space="preserve">regulatory </w:t>
      </w:r>
      <w:r>
        <w:t xml:space="preserve">matter; </w:t>
      </w:r>
    </w:p>
    <w:p w14:paraId="3BC43BE1" w14:textId="77777777" w:rsidR="00052993" w:rsidRDefault="00995CD0" w:rsidP="00267789">
      <w:pPr>
        <w:pStyle w:val="Bullet"/>
      </w:pPr>
      <w:r>
        <w:t xml:space="preserve">a letter from the RBA providing advice on the </w:t>
      </w:r>
      <w:r w:rsidR="00C30A82">
        <w:t xml:space="preserve">regulatory </w:t>
      </w:r>
      <w:r>
        <w:t>matter</w:t>
      </w:r>
      <w:r w:rsidR="00493663">
        <w:t xml:space="preserve">; and </w:t>
      </w:r>
    </w:p>
    <w:p w14:paraId="3BC43BE2" w14:textId="77777777" w:rsidR="00407E63" w:rsidRPr="00CC6C45" w:rsidRDefault="00493663" w:rsidP="00267789">
      <w:pPr>
        <w:pStyle w:val="Bullet"/>
      </w:pPr>
      <w:r>
        <w:t>any other documents.</w:t>
      </w:r>
      <w:r w:rsidR="005F1863" w:rsidRPr="005F1863">
        <w:t xml:space="preserve"> </w:t>
      </w:r>
      <w:r w:rsidR="00DF27B3">
        <w:t xml:space="preserve">  </w:t>
      </w:r>
      <w:bookmarkStart w:id="46" w:name="_Toc437594532"/>
    </w:p>
    <w:p w14:paraId="3BC43BE4" w14:textId="710D76AD" w:rsidR="00603995" w:rsidRPr="00A55657" w:rsidRDefault="008529A8" w:rsidP="00267789">
      <w:pPr>
        <w:pStyle w:val="Heading3"/>
      </w:pPr>
      <w:bookmarkStart w:id="47" w:name="_Toc479326336"/>
      <w:r w:rsidRPr="00A55657">
        <w:t>M</w:t>
      </w:r>
      <w:r w:rsidR="00DD2AC4" w:rsidRPr="00A55657">
        <w:t>atters to be called up</w:t>
      </w:r>
      <w:bookmarkEnd w:id="47"/>
      <w:r w:rsidR="00DD2AC4" w:rsidRPr="00A55657">
        <w:t xml:space="preserve"> </w:t>
      </w:r>
    </w:p>
    <w:p w14:paraId="3BC43BE5" w14:textId="6E1FCBCC" w:rsidR="00603995" w:rsidRPr="00603995" w:rsidRDefault="006922A6" w:rsidP="00CC26A2">
      <w:pPr>
        <w:rPr>
          <w:rFonts w:eastAsiaTheme="majorEastAsia"/>
        </w:rPr>
      </w:pPr>
      <w:r w:rsidRPr="009A1707">
        <w:t>T</w:t>
      </w:r>
      <w:r w:rsidR="00E22DE4" w:rsidRPr="009A1707">
        <w:t>he Minister</w:t>
      </w:r>
      <w:r w:rsidRPr="009A1707">
        <w:t xml:space="preserve"> can still exercise the powers delegated as</w:t>
      </w:r>
      <w:r w:rsidR="00DD2AC4" w:rsidRPr="009A1707">
        <w:t xml:space="preserve"> the Minister deems</w:t>
      </w:r>
      <w:r w:rsidRPr="009A1707">
        <w:t xml:space="preserve"> necessary.</w:t>
      </w:r>
      <w:r w:rsidR="00DD2AC4" w:rsidRPr="009A1707">
        <w:t xml:space="preserve"> </w:t>
      </w:r>
      <w:r w:rsidR="001B6CA4" w:rsidRPr="009A1707">
        <w:t>T</w:t>
      </w:r>
      <w:r w:rsidR="00DD2AC4" w:rsidRPr="009A1707">
        <w:t>he Minister</w:t>
      </w:r>
      <w:r w:rsidR="001B6CA4" w:rsidRPr="009A1707">
        <w:t xml:space="preserve"> </w:t>
      </w:r>
      <w:r w:rsidR="008B6B08">
        <w:t>may</w:t>
      </w:r>
      <w:r w:rsidR="001B6CA4" w:rsidRPr="009A1707">
        <w:t xml:space="preserve"> particularly</w:t>
      </w:r>
      <w:r w:rsidR="00073FEB" w:rsidRPr="009A1707">
        <w:t xml:space="preserve"> </w:t>
      </w:r>
      <w:r w:rsidR="001B6CA4" w:rsidRPr="009A1707">
        <w:t>c</w:t>
      </w:r>
      <w:r w:rsidR="00DD2AC4" w:rsidRPr="009A1707">
        <w:t>all up</w:t>
      </w:r>
      <w:r w:rsidR="00E22DE4" w:rsidRPr="009A1707">
        <w:t xml:space="preserve"> </w:t>
      </w:r>
      <w:r w:rsidR="00073FEB" w:rsidRPr="009A1707">
        <w:t xml:space="preserve">regulatory matters </w:t>
      </w:r>
      <w:r w:rsidR="00415B38" w:rsidRPr="009A1707">
        <w:t>that</w:t>
      </w:r>
      <w:r w:rsidR="00603995" w:rsidRPr="009A1707">
        <w:rPr>
          <w:rFonts w:eastAsiaTheme="majorEastAsia"/>
        </w:rPr>
        <w:t>:</w:t>
      </w:r>
    </w:p>
    <w:p w14:paraId="3BC43BE6" w14:textId="77777777" w:rsidR="00603995" w:rsidRPr="00603995" w:rsidRDefault="00603995" w:rsidP="00267789">
      <w:pPr>
        <w:pStyle w:val="Bullet"/>
        <w:rPr>
          <w:rFonts w:eastAsiaTheme="majorEastAsia"/>
        </w:rPr>
      </w:pPr>
      <w:r w:rsidRPr="00603995">
        <w:rPr>
          <w:rFonts w:eastAsiaTheme="majorEastAsia"/>
        </w:rPr>
        <w:t xml:space="preserve">are of national </w:t>
      </w:r>
      <w:r w:rsidR="009A1707">
        <w:rPr>
          <w:rFonts w:eastAsiaTheme="majorEastAsia"/>
        </w:rPr>
        <w:t>significance</w:t>
      </w:r>
      <w:r w:rsidR="003407DD">
        <w:rPr>
          <w:rFonts w:eastAsiaTheme="majorEastAsia"/>
        </w:rPr>
        <w:t xml:space="preserve"> (</w:t>
      </w:r>
      <w:r w:rsidR="009E5D3D">
        <w:rPr>
          <w:rFonts w:eastAsiaTheme="majorEastAsia"/>
        </w:rPr>
        <w:t>for example,</w:t>
      </w:r>
      <w:r w:rsidR="003407DD">
        <w:rPr>
          <w:rFonts w:eastAsiaTheme="majorEastAsia"/>
        </w:rPr>
        <w:t xml:space="preserve"> the introduction of a new clearing and settlement facility)</w:t>
      </w:r>
      <w:r w:rsidRPr="00603995">
        <w:rPr>
          <w:rFonts w:eastAsiaTheme="majorEastAsia"/>
        </w:rPr>
        <w:t>;</w:t>
      </w:r>
    </w:p>
    <w:p w14:paraId="3BC43BE7" w14:textId="54DA40C0" w:rsidR="00603995" w:rsidRPr="00603995" w:rsidRDefault="00603995" w:rsidP="00267789">
      <w:pPr>
        <w:pStyle w:val="Bullet"/>
        <w:rPr>
          <w:rFonts w:eastAsiaTheme="majorEastAsia"/>
        </w:rPr>
      </w:pPr>
      <w:r w:rsidRPr="00603995">
        <w:rPr>
          <w:rFonts w:eastAsiaTheme="majorEastAsia"/>
        </w:rPr>
        <w:t>materially affect the structure or nature of the Australian financial system</w:t>
      </w:r>
      <w:r w:rsidR="009A1707">
        <w:rPr>
          <w:rFonts w:eastAsiaTheme="majorEastAsia"/>
        </w:rPr>
        <w:t xml:space="preserve">, including those </w:t>
      </w:r>
      <w:r w:rsidR="00CC6C45">
        <w:rPr>
          <w:rFonts w:eastAsiaTheme="majorEastAsia"/>
        </w:rPr>
        <w:t>of</w:t>
      </w:r>
      <w:r w:rsidR="009A1707">
        <w:rPr>
          <w:rFonts w:eastAsiaTheme="majorEastAsia"/>
        </w:rPr>
        <w:t xml:space="preserve"> significant novelty</w:t>
      </w:r>
      <w:r w:rsidR="003407DD">
        <w:rPr>
          <w:rFonts w:eastAsiaTheme="majorEastAsia"/>
        </w:rPr>
        <w:t xml:space="preserve"> </w:t>
      </w:r>
      <w:r w:rsidR="009E5D3D">
        <w:rPr>
          <w:rFonts w:eastAsiaTheme="majorEastAsia"/>
        </w:rPr>
        <w:t>(for example, the</w:t>
      </w:r>
      <w:r w:rsidR="003407DD">
        <w:rPr>
          <w:rFonts w:eastAsiaTheme="majorEastAsia"/>
        </w:rPr>
        <w:t xml:space="preserve"> </w:t>
      </w:r>
      <w:r w:rsidR="009E5D3D">
        <w:rPr>
          <w:rFonts w:eastAsiaTheme="majorEastAsia"/>
        </w:rPr>
        <w:t>introduction of innovative ways to provide finance such as peer-to-peer lending)</w:t>
      </w:r>
      <w:r w:rsidRPr="00603995">
        <w:rPr>
          <w:rFonts w:eastAsiaTheme="majorEastAsia"/>
        </w:rPr>
        <w:t xml:space="preserve">; </w:t>
      </w:r>
    </w:p>
    <w:p w14:paraId="3BC43BE8" w14:textId="77777777" w:rsidR="005C6305" w:rsidRPr="00603995" w:rsidRDefault="005C6305" w:rsidP="00267789">
      <w:pPr>
        <w:pStyle w:val="Bullet"/>
        <w:rPr>
          <w:rFonts w:eastAsiaTheme="majorEastAsia"/>
        </w:rPr>
      </w:pPr>
      <w:r w:rsidRPr="00621963">
        <w:rPr>
          <w:rFonts w:eastAsiaTheme="majorEastAsia"/>
        </w:rPr>
        <w:lastRenderedPageBreak/>
        <w:t xml:space="preserve">are referred to the Minister by the </w:t>
      </w:r>
      <w:r w:rsidR="0036645A">
        <w:rPr>
          <w:rFonts w:eastAsiaTheme="majorEastAsia"/>
        </w:rPr>
        <w:t>delegate</w:t>
      </w:r>
      <w:r w:rsidRPr="00621963">
        <w:rPr>
          <w:rFonts w:eastAsiaTheme="majorEastAsia"/>
        </w:rPr>
        <w:t xml:space="preserve"> (for example, where the </w:t>
      </w:r>
      <w:r w:rsidR="0036645A">
        <w:rPr>
          <w:rFonts w:eastAsiaTheme="majorEastAsia"/>
        </w:rPr>
        <w:t>delegate</w:t>
      </w:r>
      <w:r w:rsidRPr="00621963">
        <w:rPr>
          <w:rFonts w:eastAsiaTheme="majorEastAsia"/>
        </w:rPr>
        <w:t xml:space="preserve"> does not agree with the advice of the regulators with respect to the relevant regulatory matter</w:t>
      </w:r>
      <w:r w:rsidR="009E5D3D">
        <w:rPr>
          <w:rFonts w:eastAsiaTheme="majorEastAsia"/>
        </w:rPr>
        <w:t xml:space="preserve">, matters of national significance and/or </w:t>
      </w:r>
      <w:r w:rsidR="00920D34" w:rsidRPr="00603995">
        <w:rPr>
          <w:rFonts w:eastAsiaTheme="majorEastAsia"/>
        </w:rPr>
        <w:t>materially affect the structure or nature of the Australian financial system</w:t>
      </w:r>
      <w:r w:rsidRPr="00621963">
        <w:rPr>
          <w:rFonts w:eastAsiaTheme="majorEastAsia"/>
        </w:rPr>
        <w:t>)</w:t>
      </w:r>
      <w:r>
        <w:rPr>
          <w:rFonts w:ascii="Helv" w:hAnsi="Helv" w:cs="Helv"/>
          <w:color w:val="000000"/>
          <w:sz w:val="20"/>
          <w:szCs w:val="20"/>
        </w:rPr>
        <w:t>;</w:t>
      </w:r>
      <w:r w:rsidR="00076F0E">
        <w:rPr>
          <w:rFonts w:ascii="Helv" w:hAnsi="Helv" w:cs="Helv"/>
          <w:color w:val="000000"/>
          <w:sz w:val="20"/>
          <w:szCs w:val="20"/>
        </w:rPr>
        <w:t xml:space="preserve"> </w:t>
      </w:r>
    </w:p>
    <w:p w14:paraId="3BC43BE9" w14:textId="77777777" w:rsidR="009E5D3D" w:rsidRDefault="00883B9C" w:rsidP="00267789">
      <w:pPr>
        <w:pStyle w:val="Bullet"/>
        <w:rPr>
          <w:rFonts w:eastAsiaTheme="majorEastAsia"/>
        </w:rPr>
      </w:pPr>
      <w:r>
        <w:rPr>
          <w:rFonts w:eastAsiaTheme="majorEastAsia"/>
        </w:rPr>
        <w:t xml:space="preserve">are otherwise referred to the Minister for decision by ASIC or the RBA (for example, </w:t>
      </w:r>
      <w:r w:rsidR="003859FA">
        <w:rPr>
          <w:rFonts w:eastAsiaTheme="majorEastAsia"/>
        </w:rPr>
        <w:t>where there is a disagreement between ASIC and the RBA with respect to matters related to</w:t>
      </w:r>
      <w:r w:rsidR="004E3B4E">
        <w:rPr>
          <w:rFonts w:eastAsiaTheme="majorEastAsia"/>
        </w:rPr>
        <w:t xml:space="preserve"> the oversight of</w:t>
      </w:r>
      <w:r w:rsidR="003859FA">
        <w:rPr>
          <w:rFonts w:eastAsiaTheme="majorEastAsia"/>
        </w:rPr>
        <w:t xml:space="preserve"> CS facilities</w:t>
      </w:r>
      <w:r w:rsidR="009E5D3D">
        <w:rPr>
          <w:rFonts w:eastAsiaTheme="majorEastAsia"/>
        </w:rPr>
        <w:t>);</w:t>
      </w:r>
      <w:r w:rsidR="00BF28BE" w:rsidRPr="00BF28BE">
        <w:rPr>
          <w:rFonts w:eastAsiaTheme="majorEastAsia"/>
        </w:rPr>
        <w:t xml:space="preserve"> </w:t>
      </w:r>
      <w:r w:rsidR="009E5D3D">
        <w:rPr>
          <w:rFonts w:eastAsiaTheme="majorEastAsia"/>
        </w:rPr>
        <w:t>and</w:t>
      </w:r>
      <w:r w:rsidR="00BF28BE">
        <w:rPr>
          <w:rFonts w:eastAsiaTheme="majorEastAsia"/>
        </w:rPr>
        <w:t xml:space="preserve"> </w:t>
      </w:r>
    </w:p>
    <w:p w14:paraId="3BC43BEA" w14:textId="6FFDB0E8" w:rsidR="00603995" w:rsidRDefault="00BF28BE" w:rsidP="00267789">
      <w:pPr>
        <w:pStyle w:val="Bullet"/>
        <w:rPr>
          <w:rFonts w:eastAsiaTheme="majorEastAsia"/>
        </w:rPr>
      </w:pPr>
      <w:r>
        <w:rPr>
          <w:rFonts w:eastAsiaTheme="majorEastAsia"/>
        </w:rPr>
        <w:t>the Minister deems it necessary</w:t>
      </w:r>
      <w:r w:rsidR="00B07EB1">
        <w:rPr>
          <w:rFonts w:eastAsiaTheme="majorEastAsia"/>
        </w:rPr>
        <w:t xml:space="preserve">, particularly during events of </w:t>
      </w:r>
      <w:r w:rsidR="002C6B78">
        <w:rPr>
          <w:rFonts w:eastAsiaTheme="majorEastAsia"/>
        </w:rPr>
        <w:t xml:space="preserve">financial </w:t>
      </w:r>
      <w:r w:rsidR="0074020A">
        <w:rPr>
          <w:rFonts w:eastAsiaTheme="majorEastAsia"/>
        </w:rPr>
        <w:t>turbulence</w:t>
      </w:r>
      <w:r w:rsidR="002C6B78">
        <w:rPr>
          <w:rFonts w:eastAsiaTheme="majorEastAsia"/>
        </w:rPr>
        <w:t>.</w:t>
      </w:r>
    </w:p>
    <w:p w14:paraId="3BC43BEB" w14:textId="77777777" w:rsidR="00CB1788" w:rsidRDefault="00CB1788" w:rsidP="0069362C">
      <w:pPr>
        <w:pStyle w:val="Heading2"/>
      </w:pPr>
      <w:bookmarkStart w:id="48" w:name="_Toc479326337"/>
      <w:bookmarkEnd w:id="46"/>
      <w:r w:rsidRPr="009F6547">
        <w:t>Formal</w:t>
      </w:r>
      <w:r>
        <w:t xml:space="preserve"> </w:t>
      </w:r>
      <w:r w:rsidRPr="00A55657">
        <w:t>n</w:t>
      </w:r>
      <w:r w:rsidR="008529A8" w:rsidRPr="00A55657">
        <w:t>otification to licensee</w:t>
      </w:r>
      <w:bookmarkEnd w:id="48"/>
    </w:p>
    <w:p w14:paraId="3BC43BEC" w14:textId="77777777" w:rsidR="00CB1788" w:rsidRDefault="0003637A" w:rsidP="00267789">
      <w:pPr>
        <w:pStyle w:val="Bullet"/>
      </w:pPr>
      <w:r>
        <w:t xml:space="preserve">To ensure that licensees understand the circumstances where there are </w:t>
      </w:r>
      <w:r w:rsidR="001E7148">
        <w:t xml:space="preserve">regulatory </w:t>
      </w:r>
      <w:r>
        <w:t xml:space="preserve">concerns, </w:t>
      </w:r>
      <w:r w:rsidR="00CB1788">
        <w:t>ASIC should provide a formal</w:t>
      </w:r>
      <w:r w:rsidR="002C6B78">
        <w:t xml:space="preserve"> written</w:t>
      </w:r>
      <w:r w:rsidR="00CB1788">
        <w:t xml:space="preserve"> notification to the licensee explaining </w:t>
      </w:r>
      <w:r w:rsidR="0001640B">
        <w:t xml:space="preserve">the reasons </w:t>
      </w:r>
      <w:r>
        <w:t>as to why the outcome</w:t>
      </w:r>
      <w:r w:rsidR="0001640B">
        <w:t xml:space="preserve"> of </w:t>
      </w:r>
      <w:r>
        <w:t>certain</w:t>
      </w:r>
      <w:r w:rsidR="0001640B">
        <w:t xml:space="preserve"> regulatory</w:t>
      </w:r>
      <w:r w:rsidR="002C6B78">
        <w:t xml:space="preserve"> determination</w:t>
      </w:r>
      <w:r w:rsidR="0001640B">
        <w:t xml:space="preserve"> </w:t>
      </w:r>
      <w:r>
        <w:t>is negative (</w:t>
      </w:r>
      <w:r w:rsidR="0069362C">
        <w:t>for example,</w:t>
      </w:r>
      <w:r>
        <w:t xml:space="preserve"> ASIC disallows an operating rule amendment).</w:t>
      </w:r>
    </w:p>
    <w:p w14:paraId="3BC43BED" w14:textId="77777777" w:rsidR="006878FC" w:rsidRDefault="00B07EB1" w:rsidP="00267789">
      <w:pPr>
        <w:pStyle w:val="Bullet"/>
      </w:pPr>
      <w:r>
        <w:t>ASIC should take</w:t>
      </w:r>
      <w:r w:rsidR="002C6B78">
        <w:t xml:space="preserve"> reasonable steps to provide an applicant with an opportunity to respond to any concerns prior to ASIC </w:t>
      </w:r>
      <w:proofErr w:type="gramStart"/>
      <w:r w:rsidR="002C6B78">
        <w:t>making a decision</w:t>
      </w:r>
      <w:proofErr w:type="gramEnd"/>
      <w:r w:rsidR="002C6B78">
        <w:t>.</w:t>
      </w:r>
      <w:bookmarkStart w:id="49" w:name="_Toc437594533"/>
    </w:p>
    <w:p w14:paraId="3BC43BEE" w14:textId="77777777" w:rsidR="0069362C" w:rsidRPr="002C6B78" w:rsidRDefault="0069362C" w:rsidP="0069362C">
      <w:pPr>
        <w:pStyle w:val="SingleParagraph"/>
      </w:pPr>
    </w:p>
    <w:p w14:paraId="3BC43BEF" w14:textId="77777777" w:rsidR="0043668E" w:rsidRPr="00EF25F1" w:rsidRDefault="00157FF9" w:rsidP="00267789">
      <w:pPr>
        <w:pStyle w:val="Heading1"/>
      </w:pPr>
      <w:bookmarkStart w:id="50" w:name="_Toc479326338"/>
      <w:r w:rsidRPr="00E40810">
        <w:t>Other matters</w:t>
      </w:r>
      <w:bookmarkEnd w:id="49"/>
      <w:bookmarkEnd w:id="50"/>
    </w:p>
    <w:p w14:paraId="3BC43BF0" w14:textId="77777777" w:rsidR="007C443B" w:rsidRPr="00407E63" w:rsidRDefault="007C443B" w:rsidP="0069362C">
      <w:pPr>
        <w:pStyle w:val="Heading2"/>
      </w:pPr>
      <w:bookmarkStart w:id="51" w:name="_Toc437594534"/>
      <w:bookmarkStart w:id="52" w:name="_Toc479326339"/>
      <w:r w:rsidRPr="00407E63">
        <w:t>Use of the delegated powers by the Minister during the delegation</w:t>
      </w:r>
      <w:bookmarkEnd w:id="51"/>
      <w:bookmarkEnd w:id="52"/>
    </w:p>
    <w:p w14:paraId="3BC43BF1" w14:textId="2E7805ED" w:rsidR="007C443B" w:rsidRDefault="007C443B" w:rsidP="00CC26A2">
      <w:r>
        <w:t xml:space="preserve">The delegation of the Minister’s </w:t>
      </w:r>
      <w:r w:rsidR="002A1533">
        <w:t xml:space="preserve">powers to </w:t>
      </w:r>
      <w:r w:rsidR="0036645A">
        <w:t>the delegate</w:t>
      </w:r>
      <w:r>
        <w:t xml:space="preserve"> </w:t>
      </w:r>
      <w:r w:rsidR="002A1533">
        <w:t xml:space="preserve">by way of the </w:t>
      </w:r>
      <w:r w:rsidR="00731195">
        <w:t>Delegation Instrument</w:t>
      </w:r>
      <w:r w:rsidR="002A1533">
        <w:t xml:space="preserve"> </w:t>
      </w:r>
      <w:r>
        <w:t>does not prohibit the exercise of the</w:t>
      </w:r>
      <w:r w:rsidR="00DC110E">
        <w:t>se</w:t>
      </w:r>
      <w:r w:rsidR="00745985">
        <w:t xml:space="preserve"> powers</w:t>
      </w:r>
      <w:r>
        <w:t xml:space="preserve"> by the Minister at any time. </w:t>
      </w:r>
    </w:p>
    <w:p w14:paraId="3BC43BF2" w14:textId="77777777" w:rsidR="007C443B" w:rsidRPr="00407E63" w:rsidRDefault="007C443B" w:rsidP="0069362C">
      <w:pPr>
        <w:pStyle w:val="Heading2"/>
      </w:pPr>
      <w:bookmarkStart w:id="53" w:name="_Toc437594535"/>
      <w:bookmarkStart w:id="54" w:name="_Toc479326340"/>
      <w:r w:rsidRPr="00407E63">
        <w:t>Minister’s right to vary or revoke the delegation</w:t>
      </w:r>
      <w:r w:rsidR="00200439" w:rsidRPr="00407E63">
        <w:t xml:space="preserve"> or </w:t>
      </w:r>
      <w:r w:rsidR="00354B5C" w:rsidRPr="00407E63">
        <w:t xml:space="preserve">guidelines </w:t>
      </w:r>
      <w:r w:rsidRPr="00407E63">
        <w:t>at any time</w:t>
      </w:r>
      <w:bookmarkEnd w:id="53"/>
      <w:bookmarkEnd w:id="54"/>
    </w:p>
    <w:p w14:paraId="3BC43BF3" w14:textId="77777777" w:rsidR="00795781" w:rsidRDefault="005F1863" w:rsidP="00CC26A2">
      <w:r>
        <w:t xml:space="preserve">The Minister reserves the right to change or revoke the delegation of his or her powers at any time. </w:t>
      </w:r>
      <w:r w:rsidR="002A1533">
        <w:t xml:space="preserve">The revocation will take effect from the date the Minister </w:t>
      </w:r>
      <w:r w:rsidR="00D22F4E">
        <w:t xml:space="preserve">notifies </w:t>
      </w:r>
      <w:r w:rsidR="00772383">
        <w:t>the delegate</w:t>
      </w:r>
      <w:r w:rsidR="00D22F4E">
        <w:t xml:space="preserve"> in writing.</w:t>
      </w:r>
      <w:r w:rsidR="00200439">
        <w:t xml:space="preserve"> </w:t>
      </w:r>
      <w:r w:rsidR="002A1533">
        <w:t xml:space="preserve">The Minister </w:t>
      </w:r>
      <w:r w:rsidR="00DC110E">
        <w:t xml:space="preserve">may also vary the </w:t>
      </w:r>
      <w:r w:rsidR="00731195">
        <w:t>Delegation Instrument</w:t>
      </w:r>
      <w:r w:rsidR="00DC110E">
        <w:t xml:space="preserve"> at any time by signing </w:t>
      </w:r>
      <w:r w:rsidR="007B6A18">
        <w:t xml:space="preserve">and issuing </w:t>
      </w:r>
      <w:r w:rsidR="00DC110E">
        <w:t xml:space="preserve">a new </w:t>
      </w:r>
      <w:r w:rsidR="00731195">
        <w:t>Delegation Instrument</w:t>
      </w:r>
      <w:r w:rsidR="00D30640">
        <w:t xml:space="preserve">, which has the effect of superseding any previous </w:t>
      </w:r>
      <w:r w:rsidR="008D6F0D">
        <w:t>Delegation Instrument</w:t>
      </w:r>
      <w:r w:rsidR="00DC110E">
        <w:t xml:space="preserve">. </w:t>
      </w:r>
    </w:p>
    <w:p w14:paraId="3BC43BF6" w14:textId="21EBD60D" w:rsidR="005F1863" w:rsidRPr="005F1863" w:rsidRDefault="00DC110E" w:rsidP="00CC26A2">
      <w:r>
        <w:t xml:space="preserve">The Minister may also vary the </w:t>
      </w:r>
      <w:r w:rsidR="00354B5C">
        <w:t xml:space="preserve">guidelines </w:t>
      </w:r>
      <w:r>
        <w:t>at any time</w:t>
      </w:r>
      <w:r w:rsidR="00D30640">
        <w:t xml:space="preserve">, which take </w:t>
      </w:r>
      <w:r w:rsidR="00BA1922">
        <w:t>effect</w:t>
      </w:r>
      <w:r w:rsidR="00D30640">
        <w:t xml:space="preserve">, and supersede any previous guidelines, upon being </w:t>
      </w:r>
      <w:r w:rsidR="000E4F37">
        <w:t xml:space="preserve">notified </w:t>
      </w:r>
      <w:r w:rsidR="00D30640">
        <w:t xml:space="preserve">to </w:t>
      </w:r>
      <w:r w:rsidR="00772383">
        <w:t>the delegate</w:t>
      </w:r>
      <w:r w:rsidR="000E4F37">
        <w:t xml:space="preserve"> in writing</w:t>
      </w:r>
      <w:r w:rsidR="00D30640">
        <w:t>.</w:t>
      </w:r>
      <w:r w:rsidR="00B45310">
        <w:t xml:space="preserve"> Any notice of revocation,</w:t>
      </w:r>
      <w:r w:rsidR="00F64E2A">
        <w:t xml:space="preserve"> n</w:t>
      </w:r>
      <w:r w:rsidR="00B45310">
        <w:t xml:space="preserve">ew or amended delegation and </w:t>
      </w:r>
      <w:r w:rsidR="00F64E2A">
        <w:t xml:space="preserve">new or amended guidelines will be copied to the RBA at the same time as the relevant document is sent to </w:t>
      </w:r>
      <w:r w:rsidR="00772383">
        <w:t>the delegate</w:t>
      </w:r>
      <w:r w:rsidR="00F64E2A">
        <w:t>.</w:t>
      </w:r>
      <w:r w:rsidR="00745985">
        <w:t xml:space="preserve">  </w:t>
      </w:r>
    </w:p>
    <w:sectPr w:rsidR="005F1863" w:rsidRPr="005F1863" w:rsidSect="00C95345">
      <w:headerReference w:type="default" r:id="rId20"/>
      <w:footerReference w:type="first" r:id="rId21"/>
      <w:pgSz w:w="11906" w:h="16838" w:code="277"/>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43BFD" w14:textId="77777777" w:rsidR="00707BA5" w:rsidRDefault="00707BA5" w:rsidP="00CC26A2">
      <w:r>
        <w:separator/>
      </w:r>
    </w:p>
  </w:endnote>
  <w:endnote w:type="continuationSeparator" w:id="0">
    <w:p w14:paraId="3BC43BFE" w14:textId="77777777" w:rsidR="00707BA5" w:rsidRDefault="00707BA5" w:rsidP="00CC26A2">
      <w:r>
        <w:continuationSeparator/>
      </w:r>
    </w:p>
  </w:endnote>
  <w:endnote w:type="continuationNotice" w:id="1">
    <w:p w14:paraId="3BC43BFF" w14:textId="77777777" w:rsidR="00707BA5" w:rsidRDefault="00707BA5" w:rsidP="00CC2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3C01" w14:textId="77777777" w:rsidR="0069362C" w:rsidRDefault="0069362C" w:rsidP="0069362C">
    <w:pPr>
      <w:pStyle w:val="Footer"/>
    </w:pPr>
    <w:r>
      <w:t xml:space="preserve">Page </w:t>
    </w:r>
    <w:r>
      <w:fldChar w:fldCharType="begin"/>
    </w:r>
    <w:r>
      <w:instrText xml:space="preserve"> PAGE   \* MERGEFORMAT </w:instrText>
    </w:r>
    <w:r>
      <w:fldChar w:fldCharType="separate"/>
    </w:r>
    <w:r w:rsidR="00701EE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3C02" w14:textId="77777777" w:rsidR="00701EEC" w:rsidRDefault="00701EEC">
    <w:pPr>
      <w:pStyle w:val="Footer"/>
    </w:pPr>
    <w:r>
      <w:t xml:space="preserve">Page </w:t>
    </w:r>
    <w:r>
      <w:fldChar w:fldCharType="begin"/>
    </w:r>
    <w:r>
      <w:instrText xml:space="preserve"> PAGE   \* MERGEFORMAT </w:instrText>
    </w:r>
    <w:r>
      <w:fldChar w:fldCharType="separate"/>
    </w:r>
    <w:r w:rsidR="00E86E48">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3C05" w14:textId="77777777" w:rsidR="00701EEC" w:rsidRPr="00701EEC" w:rsidRDefault="00701EEC" w:rsidP="00701E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3C07" w14:textId="77777777" w:rsidR="00701EEC" w:rsidRPr="00701EEC" w:rsidRDefault="00701EEC" w:rsidP="00701EEC">
    <w:pPr>
      <w:pStyle w:val="Footer"/>
    </w:pPr>
    <w:r>
      <w:t xml:space="preserve">Page </w:t>
    </w:r>
    <w:r>
      <w:fldChar w:fldCharType="begin"/>
    </w:r>
    <w:r>
      <w:instrText xml:space="preserve"> PAGE   \* MERGEFORMAT </w:instrText>
    </w:r>
    <w:r>
      <w:fldChar w:fldCharType="separate"/>
    </w:r>
    <w:r w:rsidR="00E86E4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43BFA" w14:textId="77777777" w:rsidR="00707BA5" w:rsidRDefault="00707BA5" w:rsidP="00CC26A2">
      <w:r>
        <w:separator/>
      </w:r>
    </w:p>
  </w:footnote>
  <w:footnote w:type="continuationSeparator" w:id="0">
    <w:p w14:paraId="3BC43BFB" w14:textId="77777777" w:rsidR="00707BA5" w:rsidRDefault="00707BA5" w:rsidP="00CC26A2">
      <w:r>
        <w:continuationSeparator/>
      </w:r>
    </w:p>
  </w:footnote>
  <w:footnote w:type="continuationNotice" w:id="1">
    <w:p w14:paraId="3BC43BFC" w14:textId="77777777" w:rsidR="00707BA5" w:rsidRDefault="00707BA5" w:rsidP="00CC26A2"/>
  </w:footnote>
  <w:footnote w:id="2">
    <w:p w14:paraId="3BC43C0C" w14:textId="77777777" w:rsidR="00705951" w:rsidRDefault="00EB77A7" w:rsidP="00891C14">
      <w:pPr>
        <w:pStyle w:val="FootnoteText"/>
      </w:pPr>
      <w:r w:rsidRPr="00891C14">
        <w:rPr>
          <w:rStyle w:val="FootnoteReference"/>
          <w:vertAlign w:val="baseline"/>
        </w:rPr>
        <w:footnoteRef/>
      </w:r>
      <w:r w:rsidRPr="00891C14">
        <w:t xml:space="preserve"> </w:t>
      </w:r>
      <w:r w:rsidR="00891C14">
        <w:tab/>
      </w:r>
      <w:r w:rsidRPr="00891C14">
        <w:t xml:space="preserve">The relevant international standards are the International Organization of Securities Commissions (IOSCO) </w:t>
      </w:r>
      <w:r w:rsidRPr="00891C14">
        <w:rPr>
          <w:i/>
        </w:rPr>
        <w:t>Principles of Securities Regulation</w:t>
      </w:r>
      <w:r w:rsidRPr="00891C14">
        <w:t xml:space="preserve"> and the Committee on Payments and Market Infrastructures (CPMI)-IOSCO </w:t>
      </w:r>
      <w:r w:rsidRPr="00891C14">
        <w:rPr>
          <w:i/>
        </w:rPr>
        <w:t>Principles for Financial Market Infrastructures</w:t>
      </w:r>
      <w:r w:rsidRPr="00891C1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3C00" w14:textId="77777777" w:rsidR="00EB77A7" w:rsidRDefault="008B3D42" w:rsidP="00A55657">
    <w:pPr>
      <w:pStyle w:val="SecurityClassificationHeader"/>
    </w:pPr>
    <w:r>
      <w:rPr>
        <w:noProof/>
        <w:lang w:eastAsia="en-AU"/>
      </w:rPr>
      <w:drawing>
        <wp:anchor distT="0" distB="0" distL="114300" distR="114300" simplePos="0" relativeHeight="251659264" behindDoc="0" locked="0" layoutInCell="1" allowOverlap="1" wp14:anchorId="3BC43C08" wp14:editId="3BC43C09">
          <wp:simplePos x="0" y="0"/>
          <wp:positionH relativeFrom="column">
            <wp:posOffset>2073910</wp:posOffset>
          </wp:positionH>
          <wp:positionV relativeFrom="paragraph">
            <wp:posOffset>469265</wp:posOffset>
          </wp:positionV>
          <wp:extent cx="1256665" cy="953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66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F4FCA" w:rsidRPr="00CF4FCA">
      <w:rPr>
        <w:noProof/>
        <w:lang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3C03" w14:textId="77777777" w:rsidR="00701EEC" w:rsidRDefault="008B3D42" w:rsidP="00701EEC">
    <w:pPr>
      <w:pStyle w:val="Header"/>
      <w:jc w:val="center"/>
    </w:pPr>
    <w:r>
      <w:rPr>
        <w:noProof/>
        <w:lang w:eastAsia="en-AU"/>
      </w:rPr>
      <w:drawing>
        <wp:inline distT="0" distB="0" distL="0" distR="0" wp14:anchorId="3BC43C0A" wp14:editId="3BC43C0B">
          <wp:extent cx="1259205" cy="948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9486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3C04" w14:textId="77777777" w:rsidR="00CF4FCA" w:rsidRPr="00701EEC" w:rsidRDefault="00CF4FCA" w:rsidP="00701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3C06" w14:textId="77777777" w:rsidR="00EB77A7" w:rsidRPr="00701EEC" w:rsidRDefault="00EB77A7" w:rsidP="00701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2A518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7F63A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98875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864C0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2E6EA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A088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6AD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D844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0E52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6432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63777"/>
    <w:multiLevelType w:val="multilevel"/>
    <w:tmpl w:val="FA28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F30A19"/>
    <w:multiLevelType w:val="hybridMultilevel"/>
    <w:tmpl w:val="3702AD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3BF3D48"/>
    <w:multiLevelType w:val="hybridMultilevel"/>
    <w:tmpl w:val="1D500646"/>
    <w:lvl w:ilvl="0" w:tplc="F5FAF994">
      <w:start w:val="1"/>
      <w:numFmt w:val="lowerLetter"/>
      <w:pStyle w:val="ListParagraph"/>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47B5E07"/>
    <w:multiLevelType w:val="hybridMultilevel"/>
    <w:tmpl w:val="1F1CD31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19921AA6"/>
    <w:multiLevelType w:val="hybridMultilevel"/>
    <w:tmpl w:val="A3DCC302"/>
    <w:lvl w:ilvl="0" w:tplc="AA0C17AA">
      <w:start w:val="1"/>
      <w:numFmt w:val="bullet"/>
      <w:lvlText w:val=""/>
      <w:lvlJc w:val="left"/>
      <w:pPr>
        <w:ind w:left="360" w:hanging="360"/>
      </w:pPr>
      <w:rPr>
        <w:rFonts w:ascii="Symbol" w:hAnsi="Symbol" w:hint="default"/>
        <w:sz w:val="16"/>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7C912F3"/>
    <w:multiLevelType w:val="multilevel"/>
    <w:tmpl w:val="3B688998"/>
    <w:lvl w:ilvl="0">
      <w:start w:val="1"/>
      <w:numFmt w:val="lowerLetter"/>
      <w:lvlText w:val="%1)"/>
      <w:lvlJc w:val="left"/>
      <w:pPr>
        <w:tabs>
          <w:tab w:val="num" w:pos="520"/>
        </w:tabs>
        <w:ind w:left="520" w:hanging="520"/>
      </w:pPr>
      <w:rPr>
        <w:rFonts w:cs="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850179E"/>
    <w:multiLevelType w:val="hybridMultilevel"/>
    <w:tmpl w:val="94B0B9B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3A882D1C"/>
    <w:multiLevelType w:val="multilevel"/>
    <w:tmpl w:val="855205D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45742C3A"/>
    <w:multiLevelType w:val="multilevel"/>
    <w:tmpl w:val="BDA01DFC"/>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500E636C"/>
    <w:multiLevelType w:val="hybridMultilevel"/>
    <w:tmpl w:val="E0604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4A5267"/>
    <w:multiLevelType w:val="hybridMultilevel"/>
    <w:tmpl w:val="DF3EE35A"/>
    <w:lvl w:ilvl="0" w:tplc="B7105448">
      <w:start w:val="1"/>
      <w:numFmt w:val="decimal"/>
      <w:lvlText w:val="%1."/>
      <w:lvlJc w:val="left"/>
      <w:pPr>
        <w:ind w:left="360" w:hanging="360"/>
      </w:pPr>
      <w:rPr>
        <w:rFonts w:cs="Times New Roman"/>
      </w:rPr>
    </w:lvl>
    <w:lvl w:ilvl="1" w:tplc="0C090003">
      <w:start w:val="1"/>
      <w:numFmt w:val="bullet"/>
      <w:lvlText w:val=""/>
      <w:lvlJc w:val="left"/>
      <w:pPr>
        <w:ind w:left="1440" w:hanging="360"/>
      </w:pPr>
      <w:rPr>
        <w:rFonts w:ascii="Symbol" w:hAnsi="Symbol" w:hint="default"/>
      </w:rPr>
    </w:lvl>
    <w:lvl w:ilvl="2" w:tplc="321E39F0">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90663DB"/>
    <w:multiLevelType w:val="hybridMultilevel"/>
    <w:tmpl w:val="26109DDC"/>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77930C2F"/>
    <w:multiLevelType w:val="multilevel"/>
    <w:tmpl w:val="E72033BA"/>
    <w:name w:val="StandardNumberedList"/>
    <w:lvl w:ilvl="0">
      <w:start w:val="1"/>
      <w:numFmt w:val="decimal"/>
      <w:pStyle w:val="OutlineNumbered1"/>
      <w:lvlText w:val="%1."/>
      <w:lvlJc w:val="left"/>
      <w:pPr>
        <w:tabs>
          <w:tab w:val="num" w:pos="661"/>
        </w:tabs>
        <w:ind w:left="661" w:hanging="661"/>
      </w:pPr>
      <w:rPr>
        <w:rFonts w:cs="Times New Roman"/>
      </w:rPr>
    </w:lvl>
    <w:lvl w:ilvl="1">
      <w:start w:val="1"/>
      <w:numFmt w:val="decimal"/>
      <w:pStyle w:val="OutlineNumbered2"/>
      <w:lvlText w:val="%1.%2."/>
      <w:lvlJc w:val="left"/>
      <w:pPr>
        <w:tabs>
          <w:tab w:val="num" w:pos="1322"/>
        </w:tabs>
        <w:ind w:left="1322" w:hanging="661"/>
      </w:pPr>
      <w:rPr>
        <w:rFonts w:cs="Times New Roman"/>
      </w:rPr>
    </w:lvl>
    <w:lvl w:ilvl="2">
      <w:start w:val="1"/>
      <w:numFmt w:val="decimal"/>
      <w:pStyle w:val="OutlineNumbered3"/>
      <w:lvlText w:val="%1.%2.%3."/>
      <w:lvlJc w:val="left"/>
      <w:pPr>
        <w:tabs>
          <w:tab w:val="num" w:pos="1983"/>
        </w:tabs>
        <w:ind w:left="1983" w:hanging="661"/>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2"/>
  </w:num>
  <w:num w:numId="2">
    <w:abstractNumId w:val="16"/>
  </w:num>
  <w:num w:numId="3">
    <w:abstractNumId w:val="13"/>
  </w:num>
  <w:num w:numId="4">
    <w:abstractNumId w:val="17"/>
  </w:num>
  <w:num w:numId="5">
    <w:abstractNumId w:val="15"/>
  </w:num>
  <w:num w:numId="6">
    <w:abstractNumId w:val="21"/>
  </w:num>
  <w:num w:numId="7">
    <w:abstractNumId w:val="18"/>
  </w:num>
  <w:num w:numId="8">
    <w:abstractNumId w:val="20"/>
    <w:lvlOverride w:ilvl="0">
      <w:startOverride w:val="1"/>
    </w:lvlOverride>
    <w:lvlOverride w:ilvl="1"/>
    <w:lvlOverride w:ilvl="2"/>
    <w:lvlOverride w:ilvl="3"/>
    <w:lvlOverride w:ilvl="4"/>
    <w:lvlOverride w:ilvl="5"/>
    <w:lvlOverride w:ilvl="6"/>
    <w:lvlOverride w:ilvl="7"/>
    <w:lvlOverride w:ilvl="8"/>
  </w:num>
  <w:num w:numId="9">
    <w:abstractNumId w:val="14"/>
  </w:num>
  <w:num w:numId="10">
    <w:abstractNumId w:val="11"/>
  </w:num>
  <w:num w:numId="11">
    <w:abstractNumId w:val="17"/>
  </w:num>
  <w:num w:numId="12">
    <w:abstractNumId w:val="17"/>
  </w:num>
  <w:num w:numId="13">
    <w:abstractNumId w:val="17"/>
  </w:num>
  <w:num w:numId="14">
    <w:abstractNumId w:val="10"/>
  </w:num>
  <w:num w:numId="15">
    <w:abstractNumId w:val="19"/>
  </w:num>
  <w:num w:numId="16">
    <w:abstractNumId w:val="17"/>
  </w:num>
  <w:num w:numId="17">
    <w:abstractNumId w:val="12"/>
  </w:num>
  <w:num w:numId="1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OIClassificationInHeader" w:val="False"/>
    <w:docVar w:name="SecurityClassificationInHeader" w:val="False"/>
    <w:docVar w:name="SecurityDLMInHeader" w:val="False"/>
  </w:docVars>
  <w:rsids>
    <w:rsidRoot w:val="00565815"/>
    <w:rsid w:val="000075DF"/>
    <w:rsid w:val="0001640B"/>
    <w:rsid w:val="000208DC"/>
    <w:rsid w:val="0002466E"/>
    <w:rsid w:val="00024911"/>
    <w:rsid w:val="00026C42"/>
    <w:rsid w:val="000314B9"/>
    <w:rsid w:val="0003178A"/>
    <w:rsid w:val="0003637A"/>
    <w:rsid w:val="00044F72"/>
    <w:rsid w:val="00047E9D"/>
    <w:rsid w:val="00052993"/>
    <w:rsid w:val="00053609"/>
    <w:rsid w:val="00053950"/>
    <w:rsid w:val="00055400"/>
    <w:rsid w:val="00060B11"/>
    <w:rsid w:val="00063595"/>
    <w:rsid w:val="00073FEB"/>
    <w:rsid w:val="00075B3C"/>
    <w:rsid w:val="00075B4D"/>
    <w:rsid w:val="00076F0E"/>
    <w:rsid w:val="00082409"/>
    <w:rsid w:val="00083362"/>
    <w:rsid w:val="0008466D"/>
    <w:rsid w:val="000848AD"/>
    <w:rsid w:val="00087264"/>
    <w:rsid w:val="00087D23"/>
    <w:rsid w:val="00090EFF"/>
    <w:rsid w:val="00093109"/>
    <w:rsid w:val="0009420A"/>
    <w:rsid w:val="00095F6A"/>
    <w:rsid w:val="000A0186"/>
    <w:rsid w:val="000A1858"/>
    <w:rsid w:val="000A27EF"/>
    <w:rsid w:val="000A56D4"/>
    <w:rsid w:val="000A6CBC"/>
    <w:rsid w:val="000B3644"/>
    <w:rsid w:val="000B45E2"/>
    <w:rsid w:val="000B69DC"/>
    <w:rsid w:val="000B789F"/>
    <w:rsid w:val="000C1B8A"/>
    <w:rsid w:val="000C1CC9"/>
    <w:rsid w:val="000C1ED8"/>
    <w:rsid w:val="000D7511"/>
    <w:rsid w:val="000D7830"/>
    <w:rsid w:val="000E333F"/>
    <w:rsid w:val="000E47D8"/>
    <w:rsid w:val="000E4E1C"/>
    <w:rsid w:val="000E4F37"/>
    <w:rsid w:val="000F0C96"/>
    <w:rsid w:val="000F2470"/>
    <w:rsid w:val="000F312D"/>
    <w:rsid w:val="000F32CF"/>
    <w:rsid w:val="000F437E"/>
    <w:rsid w:val="000F724F"/>
    <w:rsid w:val="00100208"/>
    <w:rsid w:val="00103313"/>
    <w:rsid w:val="00103454"/>
    <w:rsid w:val="00105EA4"/>
    <w:rsid w:val="00112435"/>
    <w:rsid w:val="00114791"/>
    <w:rsid w:val="00114AB1"/>
    <w:rsid w:val="0011663A"/>
    <w:rsid w:val="001203CF"/>
    <w:rsid w:val="0012254F"/>
    <w:rsid w:val="00123540"/>
    <w:rsid w:val="00130C39"/>
    <w:rsid w:val="00134178"/>
    <w:rsid w:val="00136167"/>
    <w:rsid w:val="00140C8C"/>
    <w:rsid w:val="00141199"/>
    <w:rsid w:val="00144B38"/>
    <w:rsid w:val="00145DEF"/>
    <w:rsid w:val="001462C6"/>
    <w:rsid w:val="00147356"/>
    <w:rsid w:val="00156A10"/>
    <w:rsid w:val="00157DA9"/>
    <w:rsid w:val="00157FF9"/>
    <w:rsid w:val="00164E4C"/>
    <w:rsid w:val="0016519E"/>
    <w:rsid w:val="001651CB"/>
    <w:rsid w:val="00166605"/>
    <w:rsid w:val="001778C2"/>
    <w:rsid w:val="00183447"/>
    <w:rsid w:val="0018385C"/>
    <w:rsid w:val="001903D5"/>
    <w:rsid w:val="00194BC1"/>
    <w:rsid w:val="001A060A"/>
    <w:rsid w:val="001A1838"/>
    <w:rsid w:val="001B374B"/>
    <w:rsid w:val="001B6CA4"/>
    <w:rsid w:val="001C58AB"/>
    <w:rsid w:val="001C6E8C"/>
    <w:rsid w:val="001D123E"/>
    <w:rsid w:val="001D36C4"/>
    <w:rsid w:val="001D66DB"/>
    <w:rsid w:val="001D673B"/>
    <w:rsid w:val="001E2A30"/>
    <w:rsid w:val="001E7148"/>
    <w:rsid w:val="001F035D"/>
    <w:rsid w:val="001F3260"/>
    <w:rsid w:val="001F702C"/>
    <w:rsid w:val="00200439"/>
    <w:rsid w:val="00207B4F"/>
    <w:rsid w:val="00210599"/>
    <w:rsid w:val="0021105E"/>
    <w:rsid w:val="00211441"/>
    <w:rsid w:val="00213995"/>
    <w:rsid w:val="0021525F"/>
    <w:rsid w:val="002240DA"/>
    <w:rsid w:val="002341DD"/>
    <w:rsid w:val="00234DF0"/>
    <w:rsid w:val="00241509"/>
    <w:rsid w:val="00244BDB"/>
    <w:rsid w:val="0025290B"/>
    <w:rsid w:val="00257EF4"/>
    <w:rsid w:val="002611FF"/>
    <w:rsid w:val="00264FB4"/>
    <w:rsid w:val="00266DAE"/>
    <w:rsid w:val="00267789"/>
    <w:rsid w:val="0027089A"/>
    <w:rsid w:val="002715C4"/>
    <w:rsid w:val="002743ED"/>
    <w:rsid w:val="00281E32"/>
    <w:rsid w:val="00286C97"/>
    <w:rsid w:val="00286D0B"/>
    <w:rsid w:val="00286E3F"/>
    <w:rsid w:val="00290432"/>
    <w:rsid w:val="0029161B"/>
    <w:rsid w:val="002969F9"/>
    <w:rsid w:val="00297963"/>
    <w:rsid w:val="002A1533"/>
    <w:rsid w:val="002A519B"/>
    <w:rsid w:val="002A51A2"/>
    <w:rsid w:val="002A6023"/>
    <w:rsid w:val="002B2A89"/>
    <w:rsid w:val="002B3A7A"/>
    <w:rsid w:val="002B5593"/>
    <w:rsid w:val="002C6B78"/>
    <w:rsid w:val="002C7EA3"/>
    <w:rsid w:val="002D243B"/>
    <w:rsid w:val="002D3439"/>
    <w:rsid w:val="002D7696"/>
    <w:rsid w:val="002E0298"/>
    <w:rsid w:val="002E0B30"/>
    <w:rsid w:val="002E4FCF"/>
    <w:rsid w:val="002E5476"/>
    <w:rsid w:val="002E678F"/>
    <w:rsid w:val="002F0A52"/>
    <w:rsid w:val="002F72C4"/>
    <w:rsid w:val="002F762C"/>
    <w:rsid w:val="00304737"/>
    <w:rsid w:val="00313991"/>
    <w:rsid w:val="00327921"/>
    <w:rsid w:val="003300C9"/>
    <w:rsid w:val="00336109"/>
    <w:rsid w:val="00336C6B"/>
    <w:rsid w:val="003407DD"/>
    <w:rsid w:val="00344483"/>
    <w:rsid w:val="003452FE"/>
    <w:rsid w:val="00354B5C"/>
    <w:rsid w:val="00355557"/>
    <w:rsid w:val="00356B42"/>
    <w:rsid w:val="00360136"/>
    <w:rsid w:val="00361E76"/>
    <w:rsid w:val="0036309C"/>
    <w:rsid w:val="00364FCD"/>
    <w:rsid w:val="0036645A"/>
    <w:rsid w:val="00370071"/>
    <w:rsid w:val="00376665"/>
    <w:rsid w:val="00380FE7"/>
    <w:rsid w:val="003847A9"/>
    <w:rsid w:val="00384D52"/>
    <w:rsid w:val="003859FA"/>
    <w:rsid w:val="00391561"/>
    <w:rsid w:val="003A12EC"/>
    <w:rsid w:val="003A2C95"/>
    <w:rsid w:val="003A446F"/>
    <w:rsid w:val="003B0C25"/>
    <w:rsid w:val="003B1DDF"/>
    <w:rsid w:val="003B4FB8"/>
    <w:rsid w:val="003C1E8A"/>
    <w:rsid w:val="003D1F5E"/>
    <w:rsid w:val="003D641F"/>
    <w:rsid w:val="003D78A9"/>
    <w:rsid w:val="003D7A25"/>
    <w:rsid w:val="003E4385"/>
    <w:rsid w:val="003E62A9"/>
    <w:rsid w:val="003E6E38"/>
    <w:rsid w:val="003F0214"/>
    <w:rsid w:val="003F5743"/>
    <w:rsid w:val="003F59B0"/>
    <w:rsid w:val="003F7FA9"/>
    <w:rsid w:val="004001A9"/>
    <w:rsid w:val="004036F6"/>
    <w:rsid w:val="00407E63"/>
    <w:rsid w:val="004106C3"/>
    <w:rsid w:val="00411277"/>
    <w:rsid w:val="004137C2"/>
    <w:rsid w:val="00414C0B"/>
    <w:rsid w:val="00415B38"/>
    <w:rsid w:val="00417293"/>
    <w:rsid w:val="0041789E"/>
    <w:rsid w:val="00424CC9"/>
    <w:rsid w:val="0042737F"/>
    <w:rsid w:val="00433400"/>
    <w:rsid w:val="0043668E"/>
    <w:rsid w:val="00437433"/>
    <w:rsid w:val="00437D1E"/>
    <w:rsid w:val="00451A44"/>
    <w:rsid w:val="004641BB"/>
    <w:rsid w:val="004749F9"/>
    <w:rsid w:val="00477714"/>
    <w:rsid w:val="00482B09"/>
    <w:rsid w:val="00486564"/>
    <w:rsid w:val="0049294D"/>
    <w:rsid w:val="00493663"/>
    <w:rsid w:val="0049590A"/>
    <w:rsid w:val="004A320A"/>
    <w:rsid w:val="004B01D5"/>
    <w:rsid w:val="004B0AC8"/>
    <w:rsid w:val="004B1116"/>
    <w:rsid w:val="004B5F18"/>
    <w:rsid w:val="004C311C"/>
    <w:rsid w:val="004C37CB"/>
    <w:rsid w:val="004C38D7"/>
    <w:rsid w:val="004C5AE2"/>
    <w:rsid w:val="004C735A"/>
    <w:rsid w:val="004D00C6"/>
    <w:rsid w:val="004D598D"/>
    <w:rsid w:val="004D7BBA"/>
    <w:rsid w:val="004E3B4E"/>
    <w:rsid w:val="004F0672"/>
    <w:rsid w:val="004F69F0"/>
    <w:rsid w:val="00513C73"/>
    <w:rsid w:val="00516B73"/>
    <w:rsid w:val="005173D3"/>
    <w:rsid w:val="00535FE8"/>
    <w:rsid w:val="0053679D"/>
    <w:rsid w:val="00542BBC"/>
    <w:rsid w:val="00543CB7"/>
    <w:rsid w:val="00546803"/>
    <w:rsid w:val="00546FC9"/>
    <w:rsid w:val="00552948"/>
    <w:rsid w:val="0055556A"/>
    <w:rsid w:val="0055556C"/>
    <w:rsid w:val="00560B8A"/>
    <w:rsid w:val="00561AF3"/>
    <w:rsid w:val="0056204C"/>
    <w:rsid w:val="005626CF"/>
    <w:rsid w:val="0056443A"/>
    <w:rsid w:val="00565815"/>
    <w:rsid w:val="00566527"/>
    <w:rsid w:val="0057326B"/>
    <w:rsid w:val="005768DC"/>
    <w:rsid w:val="00580D55"/>
    <w:rsid w:val="00586AD1"/>
    <w:rsid w:val="00590A27"/>
    <w:rsid w:val="0059192E"/>
    <w:rsid w:val="00597DB6"/>
    <w:rsid w:val="005B574E"/>
    <w:rsid w:val="005B6DE5"/>
    <w:rsid w:val="005B7D67"/>
    <w:rsid w:val="005C0BA3"/>
    <w:rsid w:val="005C39B7"/>
    <w:rsid w:val="005C453B"/>
    <w:rsid w:val="005C6305"/>
    <w:rsid w:val="005D2ED6"/>
    <w:rsid w:val="005D3F0F"/>
    <w:rsid w:val="005D5981"/>
    <w:rsid w:val="005D765E"/>
    <w:rsid w:val="005E122F"/>
    <w:rsid w:val="005E279A"/>
    <w:rsid w:val="005E38AF"/>
    <w:rsid w:val="005F17EC"/>
    <w:rsid w:val="005F1863"/>
    <w:rsid w:val="005F3773"/>
    <w:rsid w:val="0060056C"/>
    <w:rsid w:val="00603995"/>
    <w:rsid w:val="00611091"/>
    <w:rsid w:val="00621963"/>
    <w:rsid w:val="00621E7B"/>
    <w:rsid w:val="0062606C"/>
    <w:rsid w:val="00627AC3"/>
    <w:rsid w:val="00633F0F"/>
    <w:rsid w:val="00641761"/>
    <w:rsid w:val="00641A80"/>
    <w:rsid w:val="0064620E"/>
    <w:rsid w:val="006465E7"/>
    <w:rsid w:val="00651A18"/>
    <w:rsid w:val="006566CC"/>
    <w:rsid w:val="00665E0A"/>
    <w:rsid w:val="006715E7"/>
    <w:rsid w:val="0067407B"/>
    <w:rsid w:val="0068092F"/>
    <w:rsid w:val="00684A76"/>
    <w:rsid w:val="00685E8D"/>
    <w:rsid w:val="006878FC"/>
    <w:rsid w:val="0069142B"/>
    <w:rsid w:val="006922A6"/>
    <w:rsid w:val="0069362C"/>
    <w:rsid w:val="006A105C"/>
    <w:rsid w:val="006A10DC"/>
    <w:rsid w:val="006A4E76"/>
    <w:rsid w:val="006A511C"/>
    <w:rsid w:val="006B6168"/>
    <w:rsid w:val="006D4B13"/>
    <w:rsid w:val="006E4FC2"/>
    <w:rsid w:val="006E54BD"/>
    <w:rsid w:val="006E6DCB"/>
    <w:rsid w:val="006F0D73"/>
    <w:rsid w:val="006F7D01"/>
    <w:rsid w:val="00700E93"/>
    <w:rsid w:val="00700EF6"/>
    <w:rsid w:val="00701DF1"/>
    <w:rsid w:val="00701EEC"/>
    <w:rsid w:val="00704025"/>
    <w:rsid w:val="00705951"/>
    <w:rsid w:val="00707BA5"/>
    <w:rsid w:val="0071162D"/>
    <w:rsid w:val="00715B56"/>
    <w:rsid w:val="00715C11"/>
    <w:rsid w:val="007222CE"/>
    <w:rsid w:val="00726D19"/>
    <w:rsid w:val="00726D94"/>
    <w:rsid w:val="00727770"/>
    <w:rsid w:val="00731195"/>
    <w:rsid w:val="007369D6"/>
    <w:rsid w:val="0074020A"/>
    <w:rsid w:val="0074154A"/>
    <w:rsid w:val="00745985"/>
    <w:rsid w:val="00754E22"/>
    <w:rsid w:val="00755B63"/>
    <w:rsid w:val="00755BF8"/>
    <w:rsid w:val="007560FA"/>
    <w:rsid w:val="007646E5"/>
    <w:rsid w:val="00770A2B"/>
    <w:rsid w:val="00772383"/>
    <w:rsid w:val="00772F78"/>
    <w:rsid w:val="0078180A"/>
    <w:rsid w:val="00782A8C"/>
    <w:rsid w:val="00784B5E"/>
    <w:rsid w:val="00785172"/>
    <w:rsid w:val="00785968"/>
    <w:rsid w:val="00790B38"/>
    <w:rsid w:val="007937DD"/>
    <w:rsid w:val="00795781"/>
    <w:rsid w:val="0079647B"/>
    <w:rsid w:val="00796B39"/>
    <w:rsid w:val="00797187"/>
    <w:rsid w:val="0079786A"/>
    <w:rsid w:val="00797F37"/>
    <w:rsid w:val="007A22D0"/>
    <w:rsid w:val="007A6F8C"/>
    <w:rsid w:val="007B241A"/>
    <w:rsid w:val="007B5FC7"/>
    <w:rsid w:val="007B65F6"/>
    <w:rsid w:val="007B6A18"/>
    <w:rsid w:val="007B7474"/>
    <w:rsid w:val="007C4316"/>
    <w:rsid w:val="007C443B"/>
    <w:rsid w:val="007D0419"/>
    <w:rsid w:val="007D052A"/>
    <w:rsid w:val="007D6688"/>
    <w:rsid w:val="007E2EED"/>
    <w:rsid w:val="007E51AC"/>
    <w:rsid w:val="007F3258"/>
    <w:rsid w:val="007F4E72"/>
    <w:rsid w:val="007F6A2D"/>
    <w:rsid w:val="0080122B"/>
    <w:rsid w:val="008249CA"/>
    <w:rsid w:val="00826259"/>
    <w:rsid w:val="00826574"/>
    <w:rsid w:val="008275D9"/>
    <w:rsid w:val="008320BA"/>
    <w:rsid w:val="0083258C"/>
    <w:rsid w:val="00836B60"/>
    <w:rsid w:val="008420AD"/>
    <w:rsid w:val="008427EF"/>
    <w:rsid w:val="00846264"/>
    <w:rsid w:val="008529A8"/>
    <w:rsid w:val="00856950"/>
    <w:rsid w:val="0086147E"/>
    <w:rsid w:val="0086247B"/>
    <w:rsid w:val="00865D93"/>
    <w:rsid w:val="008728A6"/>
    <w:rsid w:val="00873411"/>
    <w:rsid w:val="0087378A"/>
    <w:rsid w:val="00877349"/>
    <w:rsid w:val="0087742E"/>
    <w:rsid w:val="00883B9C"/>
    <w:rsid w:val="00890E86"/>
    <w:rsid w:val="00891BE8"/>
    <w:rsid w:val="00891C14"/>
    <w:rsid w:val="0089691E"/>
    <w:rsid w:val="008A4F38"/>
    <w:rsid w:val="008A5345"/>
    <w:rsid w:val="008A6743"/>
    <w:rsid w:val="008B02CF"/>
    <w:rsid w:val="008B1FEC"/>
    <w:rsid w:val="008B2318"/>
    <w:rsid w:val="008B3A7E"/>
    <w:rsid w:val="008B3D42"/>
    <w:rsid w:val="008B4990"/>
    <w:rsid w:val="008B5991"/>
    <w:rsid w:val="008B5B89"/>
    <w:rsid w:val="008B6B08"/>
    <w:rsid w:val="008B78E5"/>
    <w:rsid w:val="008B7FD7"/>
    <w:rsid w:val="008C3573"/>
    <w:rsid w:val="008C5D04"/>
    <w:rsid w:val="008C7030"/>
    <w:rsid w:val="008D0A00"/>
    <w:rsid w:val="008D37BF"/>
    <w:rsid w:val="008D3C77"/>
    <w:rsid w:val="008D6F0D"/>
    <w:rsid w:val="008E13AE"/>
    <w:rsid w:val="008E2845"/>
    <w:rsid w:val="008E2C8B"/>
    <w:rsid w:val="008F0CA2"/>
    <w:rsid w:val="009077C0"/>
    <w:rsid w:val="00907938"/>
    <w:rsid w:val="00916671"/>
    <w:rsid w:val="00920D34"/>
    <w:rsid w:val="009260BC"/>
    <w:rsid w:val="00930A57"/>
    <w:rsid w:val="00933E26"/>
    <w:rsid w:val="00942A0A"/>
    <w:rsid w:val="009430AA"/>
    <w:rsid w:val="009454E7"/>
    <w:rsid w:val="00952310"/>
    <w:rsid w:val="00952F07"/>
    <w:rsid w:val="0095583B"/>
    <w:rsid w:val="00971903"/>
    <w:rsid w:val="00977910"/>
    <w:rsid w:val="0098495A"/>
    <w:rsid w:val="009901ED"/>
    <w:rsid w:val="00990623"/>
    <w:rsid w:val="00995CD0"/>
    <w:rsid w:val="009A0A8A"/>
    <w:rsid w:val="009A1707"/>
    <w:rsid w:val="009B3236"/>
    <w:rsid w:val="009B358E"/>
    <w:rsid w:val="009B390C"/>
    <w:rsid w:val="009B6E20"/>
    <w:rsid w:val="009D1B69"/>
    <w:rsid w:val="009D2B84"/>
    <w:rsid w:val="009D2C4D"/>
    <w:rsid w:val="009D63A6"/>
    <w:rsid w:val="009E5D3D"/>
    <w:rsid w:val="009E6E45"/>
    <w:rsid w:val="009E75FA"/>
    <w:rsid w:val="009F03CE"/>
    <w:rsid w:val="009F1150"/>
    <w:rsid w:val="009F6547"/>
    <w:rsid w:val="009F7407"/>
    <w:rsid w:val="00A02304"/>
    <w:rsid w:val="00A0240F"/>
    <w:rsid w:val="00A05FB5"/>
    <w:rsid w:val="00A13FA1"/>
    <w:rsid w:val="00A145DD"/>
    <w:rsid w:val="00A22309"/>
    <w:rsid w:val="00A32448"/>
    <w:rsid w:val="00A32CBB"/>
    <w:rsid w:val="00A359BC"/>
    <w:rsid w:val="00A36AF3"/>
    <w:rsid w:val="00A37801"/>
    <w:rsid w:val="00A40031"/>
    <w:rsid w:val="00A51C20"/>
    <w:rsid w:val="00A55657"/>
    <w:rsid w:val="00A57163"/>
    <w:rsid w:val="00A61426"/>
    <w:rsid w:val="00A62819"/>
    <w:rsid w:val="00A63380"/>
    <w:rsid w:val="00A638C8"/>
    <w:rsid w:val="00A66003"/>
    <w:rsid w:val="00A6657A"/>
    <w:rsid w:val="00A70972"/>
    <w:rsid w:val="00A73213"/>
    <w:rsid w:val="00A768A1"/>
    <w:rsid w:val="00A7778C"/>
    <w:rsid w:val="00A82B09"/>
    <w:rsid w:val="00A86175"/>
    <w:rsid w:val="00AA2E15"/>
    <w:rsid w:val="00AA4A02"/>
    <w:rsid w:val="00AA68D9"/>
    <w:rsid w:val="00AB6240"/>
    <w:rsid w:val="00AB7E9A"/>
    <w:rsid w:val="00AC32E6"/>
    <w:rsid w:val="00AC6035"/>
    <w:rsid w:val="00AD108B"/>
    <w:rsid w:val="00AD30D7"/>
    <w:rsid w:val="00AD6174"/>
    <w:rsid w:val="00AD6FFD"/>
    <w:rsid w:val="00AE3441"/>
    <w:rsid w:val="00AE3478"/>
    <w:rsid w:val="00AE5F34"/>
    <w:rsid w:val="00AE6A56"/>
    <w:rsid w:val="00AF46FB"/>
    <w:rsid w:val="00AF4A22"/>
    <w:rsid w:val="00B03305"/>
    <w:rsid w:val="00B037A0"/>
    <w:rsid w:val="00B05F51"/>
    <w:rsid w:val="00B072C1"/>
    <w:rsid w:val="00B07EB1"/>
    <w:rsid w:val="00B127ED"/>
    <w:rsid w:val="00B129C3"/>
    <w:rsid w:val="00B12CF3"/>
    <w:rsid w:val="00B14A50"/>
    <w:rsid w:val="00B159B2"/>
    <w:rsid w:val="00B32DAE"/>
    <w:rsid w:val="00B35178"/>
    <w:rsid w:val="00B42413"/>
    <w:rsid w:val="00B45310"/>
    <w:rsid w:val="00B524B8"/>
    <w:rsid w:val="00B52E06"/>
    <w:rsid w:val="00B535DB"/>
    <w:rsid w:val="00B607E2"/>
    <w:rsid w:val="00B62239"/>
    <w:rsid w:val="00B63465"/>
    <w:rsid w:val="00B654A1"/>
    <w:rsid w:val="00B665DC"/>
    <w:rsid w:val="00B71884"/>
    <w:rsid w:val="00B71962"/>
    <w:rsid w:val="00B72D10"/>
    <w:rsid w:val="00B77482"/>
    <w:rsid w:val="00B8128E"/>
    <w:rsid w:val="00B82A03"/>
    <w:rsid w:val="00B950F1"/>
    <w:rsid w:val="00BA1922"/>
    <w:rsid w:val="00BA2B8F"/>
    <w:rsid w:val="00BA4AC7"/>
    <w:rsid w:val="00BA5F33"/>
    <w:rsid w:val="00BA7777"/>
    <w:rsid w:val="00BB31AF"/>
    <w:rsid w:val="00BD144D"/>
    <w:rsid w:val="00BD3727"/>
    <w:rsid w:val="00BD656D"/>
    <w:rsid w:val="00BD65A0"/>
    <w:rsid w:val="00BE1CFB"/>
    <w:rsid w:val="00BE4534"/>
    <w:rsid w:val="00BF0ECD"/>
    <w:rsid w:val="00BF28BE"/>
    <w:rsid w:val="00BF401D"/>
    <w:rsid w:val="00BF5982"/>
    <w:rsid w:val="00BF7F07"/>
    <w:rsid w:val="00C06455"/>
    <w:rsid w:val="00C074CF"/>
    <w:rsid w:val="00C126FF"/>
    <w:rsid w:val="00C12A35"/>
    <w:rsid w:val="00C14E99"/>
    <w:rsid w:val="00C15536"/>
    <w:rsid w:val="00C25176"/>
    <w:rsid w:val="00C26670"/>
    <w:rsid w:val="00C30A82"/>
    <w:rsid w:val="00C340C0"/>
    <w:rsid w:val="00C406DC"/>
    <w:rsid w:val="00C43715"/>
    <w:rsid w:val="00C52DB3"/>
    <w:rsid w:val="00C673F2"/>
    <w:rsid w:val="00C72CF8"/>
    <w:rsid w:val="00C72FFC"/>
    <w:rsid w:val="00C74B3D"/>
    <w:rsid w:val="00C755D8"/>
    <w:rsid w:val="00C77D8B"/>
    <w:rsid w:val="00C77F7E"/>
    <w:rsid w:val="00C95345"/>
    <w:rsid w:val="00CA1BB9"/>
    <w:rsid w:val="00CB1788"/>
    <w:rsid w:val="00CB3617"/>
    <w:rsid w:val="00CB5DC5"/>
    <w:rsid w:val="00CC20EE"/>
    <w:rsid w:val="00CC26A2"/>
    <w:rsid w:val="00CC6C45"/>
    <w:rsid w:val="00CD2949"/>
    <w:rsid w:val="00CD3A96"/>
    <w:rsid w:val="00CD4555"/>
    <w:rsid w:val="00CD773E"/>
    <w:rsid w:val="00CE2A51"/>
    <w:rsid w:val="00CE3782"/>
    <w:rsid w:val="00CE5078"/>
    <w:rsid w:val="00CE7E2F"/>
    <w:rsid w:val="00CF4FCA"/>
    <w:rsid w:val="00D0018C"/>
    <w:rsid w:val="00D0523B"/>
    <w:rsid w:val="00D22F4E"/>
    <w:rsid w:val="00D24DE4"/>
    <w:rsid w:val="00D30640"/>
    <w:rsid w:val="00D350D7"/>
    <w:rsid w:val="00D37280"/>
    <w:rsid w:val="00D3798B"/>
    <w:rsid w:val="00D4064B"/>
    <w:rsid w:val="00D466CE"/>
    <w:rsid w:val="00D46E4D"/>
    <w:rsid w:val="00D50282"/>
    <w:rsid w:val="00D512C3"/>
    <w:rsid w:val="00D55331"/>
    <w:rsid w:val="00D60E70"/>
    <w:rsid w:val="00D64C8D"/>
    <w:rsid w:val="00D65932"/>
    <w:rsid w:val="00D662B1"/>
    <w:rsid w:val="00D66E5C"/>
    <w:rsid w:val="00D70D69"/>
    <w:rsid w:val="00D7237F"/>
    <w:rsid w:val="00D72E54"/>
    <w:rsid w:val="00D77BED"/>
    <w:rsid w:val="00D804F2"/>
    <w:rsid w:val="00D80A5F"/>
    <w:rsid w:val="00D82EB8"/>
    <w:rsid w:val="00D871BF"/>
    <w:rsid w:val="00D94CB4"/>
    <w:rsid w:val="00D95244"/>
    <w:rsid w:val="00DA11C1"/>
    <w:rsid w:val="00DA2162"/>
    <w:rsid w:val="00DB1749"/>
    <w:rsid w:val="00DB1BD5"/>
    <w:rsid w:val="00DB239A"/>
    <w:rsid w:val="00DB4F2F"/>
    <w:rsid w:val="00DC0AD3"/>
    <w:rsid w:val="00DC110E"/>
    <w:rsid w:val="00DC33C6"/>
    <w:rsid w:val="00DC750B"/>
    <w:rsid w:val="00DD2AC4"/>
    <w:rsid w:val="00DD57E9"/>
    <w:rsid w:val="00DD5B48"/>
    <w:rsid w:val="00DD7C96"/>
    <w:rsid w:val="00DF0A77"/>
    <w:rsid w:val="00DF27B3"/>
    <w:rsid w:val="00DF32F8"/>
    <w:rsid w:val="00DF79B9"/>
    <w:rsid w:val="00E14EAF"/>
    <w:rsid w:val="00E2071B"/>
    <w:rsid w:val="00E22DE4"/>
    <w:rsid w:val="00E23514"/>
    <w:rsid w:val="00E311E0"/>
    <w:rsid w:val="00E37EDF"/>
    <w:rsid w:val="00E40810"/>
    <w:rsid w:val="00E42919"/>
    <w:rsid w:val="00E439FC"/>
    <w:rsid w:val="00E50209"/>
    <w:rsid w:val="00E65038"/>
    <w:rsid w:val="00E721AE"/>
    <w:rsid w:val="00E7224E"/>
    <w:rsid w:val="00E72441"/>
    <w:rsid w:val="00E80BBE"/>
    <w:rsid w:val="00E86E48"/>
    <w:rsid w:val="00EA1237"/>
    <w:rsid w:val="00EA350C"/>
    <w:rsid w:val="00EA40C9"/>
    <w:rsid w:val="00EB01A9"/>
    <w:rsid w:val="00EB63C7"/>
    <w:rsid w:val="00EB6C76"/>
    <w:rsid w:val="00EB77A7"/>
    <w:rsid w:val="00EB7FB1"/>
    <w:rsid w:val="00EC09FF"/>
    <w:rsid w:val="00EC21EC"/>
    <w:rsid w:val="00EC28A0"/>
    <w:rsid w:val="00ED0964"/>
    <w:rsid w:val="00ED308A"/>
    <w:rsid w:val="00ED353C"/>
    <w:rsid w:val="00ED6075"/>
    <w:rsid w:val="00EE0C0E"/>
    <w:rsid w:val="00EE2E88"/>
    <w:rsid w:val="00EE5B8F"/>
    <w:rsid w:val="00EE630B"/>
    <w:rsid w:val="00EF0B1F"/>
    <w:rsid w:val="00EF0F20"/>
    <w:rsid w:val="00EF25F1"/>
    <w:rsid w:val="00EF32A0"/>
    <w:rsid w:val="00F047DF"/>
    <w:rsid w:val="00F055D3"/>
    <w:rsid w:val="00F05CA0"/>
    <w:rsid w:val="00F148B9"/>
    <w:rsid w:val="00F3177F"/>
    <w:rsid w:val="00F43918"/>
    <w:rsid w:val="00F45DA6"/>
    <w:rsid w:val="00F50FFA"/>
    <w:rsid w:val="00F603E3"/>
    <w:rsid w:val="00F64927"/>
    <w:rsid w:val="00F64E2A"/>
    <w:rsid w:val="00F7566A"/>
    <w:rsid w:val="00F80CD6"/>
    <w:rsid w:val="00F820E7"/>
    <w:rsid w:val="00F87153"/>
    <w:rsid w:val="00F93178"/>
    <w:rsid w:val="00F9573E"/>
    <w:rsid w:val="00FA0B2D"/>
    <w:rsid w:val="00FB2D3B"/>
    <w:rsid w:val="00FB5700"/>
    <w:rsid w:val="00FB686C"/>
    <w:rsid w:val="00FB7A74"/>
    <w:rsid w:val="00FC09E3"/>
    <w:rsid w:val="00FC1596"/>
    <w:rsid w:val="00FC17F0"/>
    <w:rsid w:val="00FC33A7"/>
    <w:rsid w:val="00FD0814"/>
    <w:rsid w:val="00FD0D06"/>
    <w:rsid w:val="00FD3F70"/>
    <w:rsid w:val="00FD5FF1"/>
    <w:rsid w:val="00FD61C3"/>
    <w:rsid w:val="00FD6AA5"/>
    <w:rsid w:val="00FE0055"/>
    <w:rsid w:val="00FE13C5"/>
    <w:rsid w:val="00FE7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BC43AFE"/>
  <w14:defaultImageDpi w14:val="0"/>
  <w15:docId w15:val="{9DEF19E8-438A-443A-8F41-D9F28E9C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2C"/>
    <w:pPr>
      <w:spacing w:before="160" w:after="160"/>
    </w:pPr>
  </w:style>
  <w:style w:type="paragraph" w:styleId="Heading1">
    <w:name w:val="heading 1"/>
    <w:basedOn w:val="OutlineNumbered1"/>
    <w:next w:val="Normal"/>
    <w:link w:val="Heading1Char"/>
    <w:uiPriority w:val="9"/>
    <w:qFormat/>
    <w:rsid w:val="00CC26A2"/>
    <w:pPr>
      <w:outlineLvl w:val="0"/>
    </w:pPr>
    <w:rPr>
      <w:b/>
      <w:color w:val="auto"/>
      <w:sz w:val="32"/>
    </w:rPr>
  </w:style>
  <w:style w:type="paragraph" w:styleId="Heading2">
    <w:name w:val="heading 2"/>
    <w:basedOn w:val="Normal"/>
    <w:next w:val="Normal"/>
    <w:link w:val="Heading2Char"/>
    <w:uiPriority w:val="9"/>
    <w:unhideWhenUsed/>
    <w:qFormat/>
    <w:rsid w:val="0069362C"/>
    <w:pPr>
      <w:spacing w:before="300" w:after="180"/>
      <w:outlineLvl w:val="1"/>
    </w:pPr>
    <w:rPr>
      <w:rFonts w:asciiTheme="majorHAnsi" w:eastAsiaTheme="majorEastAsia" w:hAnsiTheme="majorHAnsi"/>
      <w:b/>
      <w:bCs/>
      <w:i/>
      <w:sz w:val="26"/>
      <w:szCs w:val="24"/>
    </w:rPr>
  </w:style>
  <w:style w:type="paragraph" w:styleId="Heading3">
    <w:name w:val="heading 3"/>
    <w:basedOn w:val="Normal"/>
    <w:next w:val="Normal"/>
    <w:link w:val="Heading3Char"/>
    <w:uiPriority w:val="9"/>
    <w:unhideWhenUsed/>
    <w:qFormat/>
    <w:rsid w:val="00F64927"/>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F64927"/>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F64927"/>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F64927"/>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F64927"/>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F64927"/>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F64927"/>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6A2"/>
    <w:rPr>
      <w:rFonts w:asciiTheme="majorHAnsi" w:eastAsiaTheme="majorEastAsia" w:hAnsiTheme="majorHAnsi" w:cs="Times New Roman"/>
      <w:b/>
      <w:sz w:val="28"/>
      <w:szCs w:val="28"/>
    </w:rPr>
  </w:style>
  <w:style w:type="character" w:customStyle="1" w:styleId="Heading2Char">
    <w:name w:val="Heading 2 Char"/>
    <w:basedOn w:val="DefaultParagraphFont"/>
    <w:link w:val="Heading2"/>
    <w:uiPriority w:val="9"/>
    <w:locked/>
    <w:rsid w:val="0069362C"/>
    <w:rPr>
      <w:rFonts w:asciiTheme="majorHAnsi" w:eastAsiaTheme="majorEastAsia" w:hAnsiTheme="majorHAnsi" w:cs="Times New Roman"/>
      <w:b/>
      <w:bCs/>
      <w:i/>
      <w:sz w:val="24"/>
      <w:szCs w:val="24"/>
    </w:rPr>
  </w:style>
  <w:style w:type="character" w:customStyle="1" w:styleId="Heading3Char">
    <w:name w:val="Heading 3 Char"/>
    <w:basedOn w:val="DefaultParagraphFont"/>
    <w:link w:val="Heading3"/>
    <w:uiPriority w:val="9"/>
    <w:locked/>
    <w:rsid w:val="00F64927"/>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F64927"/>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F64927"/>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F64927"/>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F64927"/>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F64927"/>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F64927"/>
    <w:rPr>
      <w:rFonts w:asciiTheme="majorHAnsi" w:eastAsiaTheme="majorEastAsia" w:hAnsiTheme="majorHAnsi" w:cs="Times New Roman"/>
      <w:i/>
      <w:iCs/>
      <w:spacing w:val="5"/>
      <w:sz w:val="20"/>
      <w:szCs w:val="20"/>
    </w:rPr>
  </w:style>
  <w:style w:type="paragraph" w:styleId="Header">
    <w:name w:val="header"/>
    <w:basedOn w:val="Normal"/>
    <w:link w:val="HeaderChar"/>
    <w:uiPriority w:val="99"/>
    <w:unhideWhenUsed/>
    <w:rsid w:val="0056581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65815"/>
    <w:rPr>
      <w:rFonts w:cs="Times New Roman"/>
    </w:rPr>
  </w:style>
  <w:style w:type="paragraph" w:styleId="Footer">
    <w:name w:val="footer"/>
    <w:basedOn w:val="Normal"/>
    <w:link w:val="FooterChar"/>
    <w:uiPriority w:val="99"/>
    <w:unhideWhenUsed/>
    <w:rsid w:val="00CF4FCA"/>
    <w:pPr>
      <w:tabs>
        <w:tab w:val="center" w:pos="4513"/>
        <w:tab w:val="right" w:pos="9026"/>
      </w:tabs>
      <w:spacing w:before="0" w:after="120" w:line="240" w:lineRule="auto"/>
      <w:jc w:val="center"/>
    </w:pPr>
  </w:style>
  <w:style w:type="character" w:customStyle="1" w:styleId="FooterChar">
    <w:name w:val="Footer Char"/>
    <w:basedOn w:val="DefaultParagraphFont"/>
    <w:link w:val="Footer"/>
    <w:uiPriority w:val="99"/>
    <w:locked/>
    <w:rsid w:val="00CF4FCA"/>
    <w:rPr>
      <w:rFonts w:cs="Times New Roman"/>
    </w:rPr>
  </w:style>
  <w:style w:type="paragraph" w:customStyle="1" w:styleId="SecurityClassificationHeader">
    <w:name w:val="Security Classification Header"/>
    <w:link w:val="SecurityClassificationHeaderChar"/>
    <w:rsid w:val="00565815"/>
    <w:pPr>
      <w:spacing w:before="240" w:after="60"/>
      <w:jc w:val="center"/>
    </w:pPr>
    <w:rPr>
      <w:rFonts w:ascii="Times New Roman" w:hAnsi="Times New Roman"/>
      <w:b/>
      <w:caps/>
      <w:sz w:val="24"/>
    </w:rPr>
  </w:style>
  <w:style w:type="character" w:customStyle="1" w:styleId="SecurityClassificationHeaderChar">
    <w:name w:val="Security Classification Header Char"/>
    <w:basedOn w:val="HeaderChar"/>
    <w:link w:val="SecurityClassificationHeader"/>
    <w:locked/>
    <w:rsid w:val="00565815"/>
    <w:rPr>
      <w:rFonts w:ascii="Times New Roman" w:hAnsi="Times New Roman" w:cs="Times New Roman"/>
      <w:b/>
      <w:caps/>
      <w:sz w:val="24"/>
    </w:rPr>
  </w:style>
  <w:style w:type="paragraph" w:customStyle="1" w:styleId="SecurityClassificationFooter">
    <w:name w:val="Security Classification Footer"/>
    <w:link w:val="SecurityClassificationFooterChar"/>
    <w:rsid w:val="00267789"/>
    <w:pPr>
      <w:spacing w:before="60" w:after="0"/>
      <w:jc w:val="center"/>
    </w:pPr>
    <w:rPr>
      <w:rFonts w:ascii="Times New Roman" w:hAnsi="Times New Roman"/>
      <w:b/>
      <w:caps/>
      <w:sz w:val="24"/>
    </w:rPr>
  </w:style>
  <w:style w:type="character" w:customStyle="1" w:styleId="SecurityClassificationFooterChar">
    <w:name w:val="Security Classification Footer Char"/>
    <w:basedOn w:val="HeaderChar"/>
    <w:link w:val="SecurityClassificationFooter"/>
    <w:locked/>
    <w:rsid w:val="00267789"/>
    <w:rPr>
      <w:rFonts w:ascii="Times New Roman" w:hAnsi="Times New Roman" w:cs="Times New Roman"/>
      <w:b/>
      <w:caps/>
      <w:sz w:val="24"/>
    </w:rPr>
  </w:style>
  <w:style w:type="paragraph" w:customStyle="1" w:styleId="DLMSecurityHeader">
    <w:name w:val="DLM Security Header"/>
    <w:link w:val="DLMSecurityHeaderChar"/>
    <w:rsid w:val="00565815"/>
    <w:pPr>
      <w:spacing w:before="60" w:after="240"/>
      <w:jc w:val="center"/>
    </w:pPr>
    <w:rPr>
      <w:rFonts w:ascii="Times New Roman" w:hAnsi="Times New Roman"/>
      <w:b/>
      <w:caps/>
      <w:sz w:val="24"/>
    </w:rPr>
  </w:style>
  <w:style w:type="character" w:customStyle="1" w:styleId="DLMSecurityHeaderChar">
    <w:name w:val="DLM Security Header Char"/>
    <w:basedOn w:val="HeaderChar"/>
    <w:link w:val="DLMSecurityHeader"/>
    <w:locked/>
    <w:rsid w:val="00565815"/>
    <w:rPr>
      <w:rFonts w:ascii="Times New Roman" w:hAnsi="Times New Roman" w:cs="Times New Roman"/>
      <w:b/>
      <w:caps/>
      <w:sz w:val="24"/>
    </w:rPr>
  </w:style>
  <w:style w:type="paragraph" w:customStyle="1" w:styleId="DLMSecurityFooter">
    <w:name w:val="DLM Security Footer"/>
    <w:link w:val="DLMSecurityFooterChar"/>
    <w:rsid w:val="00565815"/>
    <w:pPr>
      <w:spacing w:before="240" w:after="60"/>
      <w:jc w:val="center"/>
    </w:pPr>
    <w:rPr>
      <w:rFonts w:ascii="Times New Roman" w:hAnsi="Times New Roman"/>
      <w:b/>
      <w:caps/>
      <w:sz w:val="24"/>
    </w:rPr>
  </w:style>
  <w:style w:type="character" w:customStyle="1" w:styleId="DLMSecurityFooterChar">
    <w:name w:val="DLM Security Footer Char"/>
    <w:basedOn w:val="HeaderChar"/>
    <w:link w:val="DLMSecurityFooter"/>
    <w:locked/>
    <w:rsid w:val="00565815"/>
    <w:rPr>
      <w:rFonts w:ascii="Times New Roman" w:hAnsi="Times New Roman" w:cs="Times New Roman"/>
      <w:b/>
      <w:caps/>
      <w:sz w:val="24"/>
    </w:rPr>
  </w:style>
  <w:style w:type="paragraph" w:styleId="NoSpacing">
    <w:name w:val="No Spacing"/>
    <w:basedOn w:val="Normal"/>
    <w:link w:val="NoSpacingChar"/>
    <w:uiPriority w:val="1"/>
    <w:qFormat/>
    <w:rsid w:val="00F64927"/>
    <w:pPr>
      <w:spacing w:after="0" w:line="240" w:lineRule="auto"/>
    </w:pPr>
  </w:style>
  <w:style w:type="character" w:customStyle="1" w:styleId="NoSpacingChar">
    <w:name w:val="No Spacing Char"/>
    <w:basedOn w:val="DefaultParagraphFont"/>
    <w:link w:val="NoSpacing"/>
    <w:uiPriority w:val="1"/>
    <w:locked/>
    <w:rsid w:val="0021525F"/>
    <w:rPr>
      <w:rFonts w:cs="Times New Roman"/>
    </w:rPr>
  </w:style>
  <w:style w:type="paragraph" w:styleId="BalloonText">
    <w:name w:val="Balloon Text"/>
    <w:basedOn w:val="Normal"/>
    <w:link w:val="BalloonTextChar"/>
    <w:uiPriority w:val="99"/>
    <w:semiHidden/>
    <w:unhideWhenUsed/>
    <w:rsid w:val="00215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25F"/>
    <w:rPr>
      <w:rFonts w:ascii="Tahoma" w:hAnsi="Tahoma" w:cs="Tahoma"/>
      <w:sz w:val="16"/>
      <w:szCs w:val="16"/>
    </w:rPr>
  </w:style>
  <w:style w:type="paragraph" w:styleId="Title">
    <w:name w:val="Title"/>
    <w:basedOn w:val="Normal"/>
    <w:next w:val="Normal"/>
    <w:link w:val="TitleChar"/>
    <w:uiPriority w:val="10"/>
    <w:qFormat/>
    <w:rsid w:val="00CF4FCA"/>
    <w:pPr>
      <w:jc w:val="center"/>
    </w:pPr>
    <w:rPr>
      <w:sz w:val="36"/>
      <w:szCs w:val="36"/>
    </w:rPr>
  </w:style>
  <w:style w:type="character" w:customStyle="1" w:styleId="TitleChar">
    <w:name w:val="Title Char"/>
    <w:basedOn w:val="DefaultParagraphFont"/>
    <w:link w:val="Title"/>
    <w:uiPriority w:val="10"/>
    <w:locked/>
    <w:rsid w:val="00CF4FCA"/>
    <w:rPr>
      <w:rFonts w:cs="Times New Roman"/>
      <w:sz w:val="36"/>
      <w:szCs w:val="36"/>
    </w:rPr>
  </w:style>
  <w:style w:type="paragraph" w:styleId="TOCHeading">
    <w:name w:val="TOC Heading"/>
    <w:basedOn w:val="Heading1"/>
    <w:next w:val="Normal"/>
    <w:uiPriority w:val="39"/>
    <w:unhideWhenUsed/>
    <w:qFormat/>
    <w:rsid w:val="00F64927"/>
    <w:pPr>
      <w:outlineLvl w:val="9"/>
    </w:pPr>
  </w:style>
  <w:style w:type="paragraph" w:customStyle="1" w:styleId="OutlineNumbered1">
    <w:name w:val="Outline Numbered 1"/>
    <w:basedOn w:val="Normal"/>
    <w:link w:val="OutlineNumbered1Char"/>
    <w:rsid w:val="0059192E"/>
    <w:pPr>
      <w:numPr>
        <w:numId w:val="1"/>
      </w:numPr>
      <w:spacing w:after="240" w:line="240" w:lineRule="auto"/>
    </w:pPr>
    <w:rPr>
      <w:rFonts w:asciiTheme="majorHAnsi" w:eastAsiaTheme="majorEastAsia" w:hAnsiTheme="majorHAnsi"/>
      <w:color w:val="365F91" w:themeColor="accent1" w:themeShade="BF"/>
      <w:sz w:val="28"/>
      <w:szCs w:val="28"/>
    </w:rPr>
  </w:style>
  <w:style w:type="character" w:customStyle="1" w:styleId="OutlineNumbered1Char">
    <w:name w:val="Outline Numbered 1 Char"/>
    <w:basedOn w:val="Heading1Char"/>
    <w:link w:val="OutlineNumbered1"/>
    <w:locked/>
    <w:rsid w:val="0059192E"/>
    <w:rPr>
      <w:rFonts w:asciiTheme="majorHAnsi" w:eastAsiaTheme="majorEastAsia" w:hAnsiTheme="majorHAnsi" w:cs="Times New Roman"/>
      <w:b w:val="0"/>
      <w:color w:val="365F91" w:themeColor="accent1" w:themeShade="BF"/>
      <w:sz w:val="28"/>
      <w:szCs w:val="28"/>
    </w:rPr>
  </w:style>
  <w:style w:type="paragraph" w:customStyle="1" w:styleId="OutlineNumbered2">
    <w:name w:val="Outline Numbered 2"/>
    <w:basedOn w:val="Normal"/>
    <w:link w:val="OutlineNumbered2Char"/>
    <w:rsid w:val="0059192E"/>
    <w:pPr>
      <w:numPr>
        <w:ilvl w:val="1"/>
        <w:numId w:val="1"/>
      </w:numPr>
      <w:spacing w:after="240" w:line="240" w:lineRule="auto"/>
    </w:pPr>
    <w:rPr>
      <w:rFonts w:asciiTheme="majorHAnsi" w:eastAsiaTheme="majorEastAsia" w:hAnsiTheme="majorHAnsi"/>
      <w:color w:val="365F91" w:themeColor="accent1" w:themeShade="BF"/>
      <w:sz w:val="28"/>
      <w:szCs w:val="28"/>
    </w:rPr>
  </w:style>
  <w:style w:type="character" w:customStyle="1" w:styleId="OutlineNumbered2Char">
    <w:name w:val="Outline Numbered 2 Char"/>
    <w:basedOn w:val="Heading1Char"/>
    <w:link w:val="OutlineNumbered2"/>
    <w:locked/>
    <w:rsid w:val="0059192E"/>
    <w:rPr>
      <w:rFonts w:asciiTheme="majorHAnsi" w:eastAsiaTheme="majorEastAsia" w:hAnsiTheme="majorHAnsi" w:cs="Times New Roman"/>
      <w:b w:val="0"/>
      <w:color w:val="365F91" w:themeColor="accent1" w:themeShade="BF"/>
      <w:sz w:val="28"/>
      <w:szCs w:val="28"/>
    </w:rPr>
  </w:style>
  <w:style w:type="paragraph" w:customStyle="1" w:styleId="OutlineNumbered3">
    <w:name w:val="Outline Numbered 3"/>
    <w:basedOn w:val="Normal"/>
    <w:link w:val="OutlineNumbered3Char"/>
    <w:rsid w:val="0059192E"/>
    <w:pPr>
      <w:numPr>
        <w:ilvl w:val="2"/>
        <w:numId w:val="1"/>
      </w:numPr>
      <w:spacing w:after="240" w:line="240" w:lineRule="auto"/>
    </w:pPr>
    <w:rPr>
      <w:rFonts w:asciiTheme="majorHAnsi" w:eastAsiaTheme="majorEastAsia" w:hAnsiTheme="majorHAnsi"/>
      <w:color w:val="365F91" w:themeColor="accent1" w:themeShade="BF"/>
      <w:sz w:val="28"/>
      <w:szCs w:val="28"/>
    </w:rPr>
  </w:style>
  <w:style w:type="character" w:customStyle="1" w:styleId="OutlineNumbered3Char">
    <w:name w:val="Outline Numbered 3 Char"/>
    <w:basedOn w:val="Heading1Char"/>
    <w:link w:val="OutlineNumbered3"/>
    <w:locked/>
    <w:rsid w:val="0059192E"/>
    <w:rPr>
      <w:rFonts w:asciiTheme="majorHAnsi" w:eastAsiaTheme="majorEastAsia" w:hAnsiTheme="majorHAnsi" w:cs="Times New Roman"/>
      <w:b w:val="0"/>
      <w:color w:val="365F91" w:themeColor="accent1" w:themeShade="BF"/>
      <w:sz w:val="28"/>
      <w:szCs w:val="28"/>
    </w:rPr>
  </w:style>
  <w:style w:type="paragraph" w:styleId="TOC1">
    <w:name w:val="toc 1"/>
    <w:basedOn w:val="Normal"/>
    <w:next w:val="Normal"/>
    <w:autoRedefine/>
    <w:uiPriority w:val="39"/>
    <w:unhideWhenUsed/>
    <w:rsid w:val="0069362C"/>
    <w:pPr>
      <w:tabs>
        <w:tab w:val="left" w:pos="284"/>
        <w:tab w:val="right" w:leader="dot" w:pos="8505"/>
      </w:tabs>
      <w:spacing w:before="180" w:after="120" w:line="240" w:lineRule="auto"/>
    </w:pPr>
    <w:rPr>
      <w:b/>
      <w:noProof/>
    </w:rPr>
  </w:style>
  <w:style w:type="character" w:styleId="Hyperlink">
    <w:name w:val="Hyperlink"/>
    <w:basedOn w:val="DefaultParagraphFont"/>
    <w:uiPriority w:val="99"/>
    <w:unhideWhenUsed/>
    <w:rsid w:val="0059192E"/>
    <w:rPr>
      <w:rFonts w:cs="Times New Roman"/>
      <w:color w:val="0000FF" w:themeColor="hyperlink"/>
      <w:u w:val="single"/>
    </w:rPr>
  </w:style>
  <w:style w:type="paragraph" w:styleId="TOC2">
    <w:name w:val="toc 2"/>
    <w:basedOn w:val="Normal"/>
    <w:next w:val="Normal"/>
    <w:autoRedefine/>
    <w:uiPriority w:val="39"/>
    <w:unhideWhenUsed/>
    <w:rsid w:val="0069362C"/>
    <w:pPr>
      <w:tabs>
        <w:tab w:val="right" w:leader="dot" w:pos="8494"/>
      </w:tabs>
      <w:spacing w:before="60" w:after="60"/>
      <w:ind w:left="284"/>
    </w:pPr>
    <w:rPr>
      <w:noProof/>
    </w:rPr>
  </w:style>
  <w:style w:type="paragraph" w:styleId="TOC3">
    <w:name w:val="toc 3"/>
    <w:basedOn w:val="Normal"/>
    <w:next w:val="Normal"/>
    <w:autoRedefine/>
    <w:uiPriority w:val="39"/>
    <w:unhideWhenUsed/>
    <w:rsid w:val="0069362C"/>
    <w:pPr>
      <w:tabs>
        <w:tab w:val="right" w:leader="dot" w:pos="8494"/>
      </w:tabs>
      <w:spacing w:before="60" w:after="60"/>
      <w:ind w:left="567"/>
    </w:pPr>
    <w:rPr>
      <w:noProof/>
    </w:rPr>
  </w:style>
  <w:style w:type="paragraph" w:customStyle="1" w:styleId="Bullet">
    <w:name w:val="Bullet"/>
    <w:basedOn w:val="Normal"/>
    <w:link w:val="BulletChar"/>
    <w:rsid w:val="00267789"/>
    <w:pPr>
      <w:numPr>
        <w:numId w:val="4"/>
      </w:numPr>
    </w:pPr>
    <w:rPr>
      <w:rFonts w:ascii="Times New Roman" w:hAnsi="Times New Roman"/>
    </w:rPr>
  </w:style>
  <w:style w:type="character" w:customStyle="1" w:styleId="BulletChar">
    <w:name w:val="Bullet Char"/>
    <w:basedOn w:val="DefaultParagraphFont"/>
    <w:link w:val="Bullet"/>
    <w:locked/>
    <w:rsid w:val="00267789"/>
    <w:rPr>
      <w:rFonts w:ascii="Times New Roman" w:hAnsi="Times New Roman"/>
    </w:rPr>
  </w:style>
  <w:style w:type="paragraph" w:customStyle="1" w:styleId="Dash">
    <w:name w:val="Dash"/>
    <w:basedOn w:val="Normal"/>
    <w:link w:val="DashChar"/>
    <w:rsid w:val="0069362C"/>
    <w:pPr>
      <w:numPr>
        <w:ilvl w:val="1"/>
        <w:numId w:val="4"/>
      </w:numPr>
    </w:pPr>
    <w:rPr>
      <w:rFonts w:ascii="Times New Roman" w:hAnsi="Times New Roman"/>
    </w:rPr>
  </w:style>
  <w:style w:type="character" w:customStyle="1" w:styleId="DashChar">
    <w:name w:val="Dash Char"/>
    <w:basedOn w:val="DefaultParagraphFont"/>
    <w:link w:val="Dash"/>
    <w:locked/>
    <w:rsid w:val="0069362C"/>
    <w:rPr>
      <w:rFonts w:ascii="Times New Roman" w:hAnsi="Times New Roman"/>
    </w:rPr>
  </w:style>
  <w:style w:type="paragraph" w:customStyle="1" w:styleId="DoubleDot">
    <w:name w:val="Double Dot"/>
    <w:basedOn w:val="Normal"/>
    <w:link w:val="DoubleDotChar"/>
    <w:rsid w:val="005F3773"/>
    <w:pPr>
      <w:numPr>
        <w:ilvl w:val="2"/>
        <w:numId w:val="4"/>
      </w:numPr>
      <w:spacing w:before="100" w:beforeAutospacing="1"/>
    </w:pPr>
    <w:rPr>
      <w:rFonts w:ascii="Times New Roman" w:hAnsi="Times New Roman"/>
    </w:rPr>
  </w:style>
  <w:style w:type="character" w:customStyle="1" w:styleId="DoubleDotChar">
    <w:name w:val="Double Dot Char"/>
    <w:basedOn w:val="DefaultParagraphFont"/>
    <w:link w:val="DoubleDot"/>
    <w:locked/>
    <w:rsid w:val="005F3773"/>
    <w:rPr>
      <w:rFonts w:ascii="Times New Roman" w:hAnsi="Times New Roman"/>
    </w:rPr>
  </w:style>
  <w:style w:type="paragraph" w:styleId="ListParagraph">
    <w:name w:val="List Paragraph"/>
    <w:aliases w:val="List Paragraph1,Footnote Sam,Noise heading,Cell bullets,RUS List,Issue Action POC,3,POCG Table Text,Dot pt,F5 List Paragraph,List Paragraph Char Char Char,Indicator Text,Colorful List - Accent 11,Numbered Para 1,Bullet 1,Bullet Points"/>
    <w:basedOn w:val="Normal"/>
    <w:link w:val="ListParagraphChar"/>
    <w:uiPriority w:val="34"/>
    <w:qFormat/>
    <w:rsid w:val="00267789"/>
    <w:pPr>
      <w:numPr>
        <w:numId w:val="17"/>
      </w:numPr>
      <w:ind w:left="567" w:hanging="567"/>
    </w:pPr>
  </w:style>
  <w:style w:type="paragraph" w:styleId="FootnoteText">
    <w:name w:val="footnote text"/>
    <w:basedOn w:val="Normal"/>
    <w:link w:val="FootnoteTextChar"/>
    <w:uiPriority w:val="99"/>
    <w:unhideWhenUsed/>
    <w:rsid w:val="00891C14"/>
    <w:pPr>
      <w:tabs>
        <w:tab w:val="left" w:pos="227"/>
      </w:tabs>
      <w:ind w:left="227" w:hanging="227"/>
    </w:pPr>
    <w:rPr>
      <w:rFonts w:ascii="Calibri" w:eastAsia="Times New Roman" w:hAnsi="Calibri"/>
      <w:sz w:val="20"/>
      <w:szCs w:val="20"/>
    </w:rPr>
  </w:style>
  <w:style w:type="character" w:customStyle="1" w:styleId="FootnoteTextChar">
    <w:name w:val="Footnote Text Char"/>
    <w:basedOn w:val="DefaultParagraphFont"/>
    <w:link w:val="FootnoteText"/>
    <w:uiPriority w:val="99"/>
    <w:locked/>
    <w:rsid w:val="00891C1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D5981"/>
    <w:rPr>
      <w:vertAlign w:val="superscript"/>
    </w:rPr>
  </w:style>
  <w:style w:type="character" w:customStyle="1" w:styleId="ListParagraphChar">
    <w:name w:val="List Paragraph Char"/>
    <w:aliases w:val="List Paragraph1 Char,Footnote Sam Char,Noise heading Char,Cell bullets Char,RUS List Char,Issue Action POC Char,3 Char,POCG Table Text Char,Dot pt Char,F5 List Paragraph Char,List Paragraph Char Char Char Char,Indicator Text Char"/>
    <w:basedOn w:val="DefaultParagraphFont"/>
    <w:link w:val="ListParagraph"/>
    <w:uiPriority w:val="34"/>
    <w:locked/>
    <w:rsid w:val="00267789"/>
    <w:rPr>
      <w:rFonts w:cs="Times New Roman"/>
    </w:rPr>
  </w:style>
  <w:style w:type="character" w:styleId="CommentReference">
    <w:name w:val="annotation reference"/>
    <w:basedOn w:val="DefaultParagraphFont"/>
    <w:uiPriority w:val="99"/>
    <w:semiHidden/>
    <w:unhideWhenUsed/>
    <w:rsid w:val="008249CA"/>
    <w:rPr>
      <w:rFonts w:cs="Times New Roman"/>
      <w:sz w:val="16"/>
      <w:szCs w:val="16"/>
    </w:rPr>
  </w:style>
  <w:style w:type="paragraph" w:styleId="CommentText">
    <w:name w:val="annotation text"/>
    <w:basedOn w:val="Normal"/>
    <w:link w:val="CommentTextChar"/>
    <w:uiPriority w:val="99"/>
    <w:unhideWhenUsed/>
    <w:rsid w:val="008249CA"/>
    <w:pPr>
      <w:spacing w:line="240" w:lineRule="auto"/>
    </w:pPr>
    <w:rPr>
      <w:sz w:val="20"/>
      <w:szCs w:val="20"/>
    </w:rPr>
  </w:style>
  <w:style w:type="character" w:customStyle="1" w:styleId="CommentTextChar">
    <w:name w:val="Comment Text Char"/>
    <w:basedOn w:val="DefaultParagraphFont"/>
    <w:link w:val="CommentText"/>
    <w:uiPriority w:val="99"/>
    <w:locked/>
    <w:rsid w:val="008249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249CA"/>
    <w:rPr>
      <w:b/>
      <w:bCs/>
    </w:rPr>
  </w:style>
  <w:style w:type="character" w:customStyle="1" w:styleId="CommentSubjectChar">
    <w:name w:val="Comment Subject Char"/>
    <w:basedOn w:val="CommentTextChar"/>
    <w:link w:val="CommentSubject"/>
    <w:uiPriority w:val="99"/>
    <w:semiHidden/>
    <w:locked/>
    <w:rsid w:val="008249CA"/>
    <w:rPr>
      <w:rFonts w:cs="Times New Roman"/>
      <w:b/>
      <w:bCs/>
      <w:sz w:val="20"/>
      <w:szCs w:val="20"/>
    </w:rPr>
  </w:style>
  <w:style w:type="paragraph" w:styleId="Revision">
    <w:name w:val="Revision"/>
    <w:hidden/>
    <w:uiPriority w:val="99"/>
    <w:semiHidden/>
    <w:rsid w:val="008249CA"/>
    <w:pPr>
      <w:spacing w:after="0" w:line="240" w:lineRule="auto"/>
    </w:pPr>
  </w:style>
  <w:style w:type="paragraph" w:styleId="Subtitle">
    <w:name w:val="Subtitle"/>
    <w:basedOn w:val="Normal"/>
    <w:next w:val="Normal"/>
    <w:link w:val="SubtitleChar"/>
    <w:uiPriority w:val="11"/>
    <w:qFormat/>
    <w:rsid w:val="00CF4FCA"/>
    <w:pPr>
      <w:jc w:val="center"/>
    </w:pPr>
    <w:rPr>
      <w:sz w:val="32"/>
      <w:szCs w:val="32"/>
    </w:rPr>
  </w:style>
  <w:style w:type="character" w:customStyle="1" w:styleId="SubtitleChar">
    <w:name w:val="Subtitle Char"/>
    <w:basedOn w:val="DefaultParagraphFont"/>
    <w:link w:val="Subtitle"/>
    <w:uiPriority w:val="11"/>
    <w:locked/>
    <w:rsid w:val="00CF4FCA"/>
    <w:rPr>
      <w:rFonts w:cs="Times New Roman"/>
      <w:sz w:val="32"/>
      <w:szCs w:val="32"/>
    </w:rPr>
  </w:style>
  <w:style w:type="character" w:styleId="Strong">
    <w:name w:val="Strong"/>
    <w:basedOn w:val="DefaultParagraphFont"/>
    <w:uiPriority w:val="22"/>
    <w:qFormat/>
    <w:rsid w:val="00F64927"/>
    <w:rPr>
      <w:b/>
    </w:rPr>
  </w:style>
  <w:style w:type="character" w:styleId="Emphasis">
    <w:name w:val="Emphasis"/>
    <w:basedOn w:val="DefaultParagraphFont"/>
    <w:uiPriority w:val="20"/>
    <w:qFormat/>
    <w:rsid w:val="00F64927"/>
    <w:rPr>
      <w:b/>
      <w:i/>
      <w:spacing w:val="10"/>
      <w:shd w:val="clear" w:color="auto" w:fill="auto"/>
    </w:rPr>
  </w:style>
  <w:style w:type="paragraph" w:styleId="Quote">
    <w:name w:val="Quote"/>
    <w:basedOn w:val="Normal"/>
    <w:next w:val="Normal"/>
    <w:link w:val="QuoteChar"/>
    <w:uiPriority w:val="29"/>
    <w:qFormat/>
    <w:rsid w:val="00F64927"/>
    <w:pPr>
      <w:spacing w:before="200" w:after="0"/>
      <w:ind w:left="360" w:right="360"/>
    </w:pPr>
    <w:rPr>
      <w:i/>
      <w:iCs/>
    </w:rPr>
  </w:style>
  <w:style w:type="character" w:customStyle="1" w:styleId="QuoteChar">
    <w:name w:val="Quote Char"/>
    <w:basedOn w:val="DefaultParagraphFont"/>
    <w:link w:val="Quote"/>
    <w:uiPriority w:val="29"/>
    <w:locked/>
    <w:rsid w:val="00F64927"/>
    <w:rPr>
      <w:rFonts w:cs="Times New Roman"/>
      <w:i/>
      <w:iCs/>
    </w:rPr>
  </w:style>
  <w:style w:type="paragraph" w:styleId="IntenseQuote">
    <w:name w:val="Intense Quote"/>
    <w:basedOn w:val="Normal"/>
    <w:next w:val="Normal"/>
    <w:link w:val="IntenseQuoteChar"/>
    <w:uiPriority w:val="30"/>
    <w:qFormat/>
    <w:rsid w:val="00F6492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F64927"/>
    <w:rPr>
      <w:rFonts w:cs="Times New Roman"/>
      <w:b/>
      <w:bCs/>
      <w:i/>
      <w:iCs/>
    </w:rPr>
  </w:style>
  <w:style w:type="character" w:styleId="SubtleEmphasis">
    <w:name w:val="Subtle Emphasis"/>
    <w:basedOn w:val="DefaultParagraphFont"/>
    <w:uiPriority w:val="19"/>
    <w:qFormat/>
    <w:rsid w:val="00F64927"/>
    <w:rPr>
      <w:i/>
    </w:rPr>
  </w:style>
  <w:style w:type="character" w:styleId="IntenseEmphasis">
    <w:name w:val="Intense Emphasis"/>
    <w:basedOn w:val="DefaultParagraphFont"/>
    <w:uiPriority w:val="21"/>
    <w:qFormat/>
    <w:rsid w:val="00F64927"/>
    <w:rPr>
      <w:b/>
    </w:rPr>
  </w:style>
  <w:style w:type="character" w:styleId="SubtleReference">
    <w:name w:val="Subtle Reference"/>
    <w:basedOn w:val="DefaultParagraphFont"/>
    <w:uiPriority w:val="31"/>
    <w:qFormat/>
    <w:rsid w:val="00F64927"/>
    <w:rPr>
      <w:smallCaps/>
    </w:rPr>
  </w:style>
  <w:style w:type="character" w:styleId="IntenseReference">
    <w:name w:val="Intense Reference"/>
    <w:basedOn w:val="DefaultParagraphFont"/>
    <w:uiPriority w:val="32"/>
    <w:qFormat/>
    <w:rsid w:val="00F64927"/>
    <w:rPr>
      <w:smallCaps/>
      <w:spacing w:val="5"/>
      <w:u w:val="single"/>
    </w:rPr>
  </w:style>
  <w:style w:type="character" w:styleId="BookTitle">
    <w:name w:val="Book Title"/>
    <w:basedOn w:val="DefaultParagraphFont"/>
    <w:uiPriority w:val="33"/>
    <w:qFormat/>
    <w:rsid w:val="00F64927"/>
    <w:rPr>
      <w:i/>
      <w:smallCaps/>
      <w:spacing w:val="5"/>
    </w:rPr>
  </w:style>
  <w:style w:type="paragraph" w:customStyle="1" w:styleId="newContentsStyle">
    <w:name w:val="newContentsStyle"/>
    <w:basedOn w:val="Heading1"/>
    <w:link w:val="newContentsStyleChar"/>
    <w:qFormat/>
    <w:rsid w:val="0069362C"/>
  </w:style>
  <w:style w:type="table" w:styleId="TableGrid">
    <w:name w:val="Table Grid"/>
    <w:basedOn w:val="TableNormal"/>
    <w:uiPriority w:val="59"/>
    <w:rsid w:val="0014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ContentsStyleChar">
    <w:name w:val="newContentsStyle Char"/>
    <w:basedOn w:val="DefaultParagraphFont"/>
    <w:link w:val="newContentsStyle"/>
    <w:locked/>
    <w:rsid w:val="0069362C"/>
    <w:rPr>
      <w:rFonts w:asciiTheme="majorHAnsi" w:eastAsiaTheme="majorEastAsia" w:hAnsiTheme="majorHAnsi" w:cs="Times New Roman"/>
      <w:b/>
      <w:sz w:val="28"/>
      <w:szCs w:val="28"/>
    </w:rPr>
  </w:style>
  <w:style w:type="table" w:customStyle="1" w:styleId="LightShading-Accent11">
    <w:name w:val="Light Shading - Accent 11"/>
    <w:basedOn w:val="TableNormal"/>
    <w:uiPriority w:val="60"/>
    <w:rsid w:val="00EF25F1"/>
    <w:pPr>
      <w:spacing w:after="0" w:line="240" w:lineRule="auto"/>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paragraph" w:customStyle="1" w:styleId="tableHeader">
    <w:name w:val="tableHeader"/>
    <w:basedOn w:val="Normal"/>
    <w:link w:val="tableHeaderChar"/>
    <w:qFormat/>
    <w:rsid w:val="00FD3F70"/>
    <w:pPr>
      <w:spacing w:after="0"/>
    </w:pPr>
    <w:rPr>
      <w:rFonts w:asciiTheme="majorHAnsi" w:hAnsiTheme="majorHAnsi"/>
      <w:b/>
    </w:rPr>
  </w:style>
  <w:style w:type="character" w:customStyle="1" w:styleId="tableHeaderChar">
    <w:name w:val="tableHeader Char"/>
    <w:basedOn w:val="Heading3Char"/>
    <w:link w:val="tableHeader"/>
    <w:locked/>
    <w:rsid w:val="00FD3F70"/>
    <w:rPr>
      <w:rFonts w:asciiTheme="majorHAnsi" w:eastAsiaTheme="majorEastAsia" w:hAnsiTheme="majorHAnsi" w:cs="Times New Roman"/>
      <w:b/>
      <w:bCs w:val="0"/>
    </w:rPr>
  </w:style>
  <w:style w:type="paragraph" w:styleId="NormalWeb">
    <w:name w:val="Normal (Web)"/>
    <w:basedOn w:val="Normal"/>
    <w:uiPriority w:val="99"/>
    <w:semiHidden/>
    <w:unhideWhenUsed/>
    <w:rsid w:val="00DF0A77"/>
    <w:pPr>
      <w:spacing w:before="100" w:beforeAutospacing="1" w:after="100" w:afterAutospacing="1" w:line="240" w:lineRule="auto"/>
    </w:pPr>
    <w:rPr>
      <w:rFonts w:ascii="Times New Roman" w:hAnsi="Times New Roman"/>
      <w:sz w:val="24"/>
      <w:szCs w:val="24"/>
      <w:lang w:eastAsia="en-AU"/>
    </w:rPr>
  </w:style>
  <w:style w:type="character" w:styleId="HTMLCite">
    <w:name w:val="HTML Cite"/>
    <w:basedOn w:val="DefaultParagraphFont"/>
    <w:uiPriority w:val="99"/>
    <w:semiHidden/>
    <w:unhideWhenUsed/>
    <w:rsid w:val="00DF0A77"/>
    <w:rPr>
      <w:rFonts w:cs="Times New Roman"/>
      <w:i/>
      <w:iCs/>
    </w:rPr>
  </w:style>
  <w:style w:type="character" w:customStyle="1" w:styleId="nowrap">
    <w:name w:val="nowrap"/>
    <w:basedOn w:val="DefaultParagraphFont"/>
    <w:rsid w:val="00DF0A77"/>
    <w:rPr>
      <w:rFonts w:cs="Times New Roman"/>
    </w:rPr>
  </w:style>
  <w:style w:type="paragraph" w:customStyle="1" w:styleId="Default">
    <w:name w:val="Default"/>
    <w:rsid w:val="00E37EDF"/>
    <w:pPr>
      <w:autoSpaceDE w:val="0"/>
      <w:autoSpaceDN w:val="0"/>
      <w:adjustRightInd w:val="0"/>
      <w:spacing w:after="0" w:line="240" w:lineRule="auto"/>
    </w:pPr>
    <w:rPr>
      <w:rFonts w:ascii="Calibri" w:hAnsi="Calibri" w:cs="Calibri"/>
      <w:color w:val="000000"/>
      <w:sz w:val="24"/>
      <w:szCs w:val="24"/>
    </w:rPr>
  </w:style>
  <w:style w:type="paragraph" w:customStyle="1" w:styleId="TableTextLeft">
    <w:name w:val="Table Text Left"/>
    <w:basedOn w:val="Normal"/>
    <w:rsid w:val="00267789"/>
    <w:pPr>
      <w:spacing w:before="50" w:after="50" w:line="240" w:lineRule="auto"/>
    </w:pPr>
    <w:rPr>
      <w:sz w:val="20"/>
      <w:szCs w:val="20"/>
    </w:rPr>
  </w:style>
  <w:style w:type="paragraph" w:customStyle="1" w:styleId="TableTextCentre">
    <w:name w:val="Table Text Centre"/>
    <w:basedOn w:val="TableTextLeft"/>
    <w:rsid w:val="00CF4FCA"/>
    <w:pPr>
      <w:jc w:val="center"/>
    </w:pPr>
  </w:style>
  <w:style w:type="paragraph" w:customStyle="1" w:styleId="TableColumnHeading-Left">
    <w:name w:val="Table Column Heading - Left"/>
    <w:basedOn w:val="Normal"/>
    <w:rsid w:val="00267789"/>
    <w:pPr>
      <w:spacing w:before="60" w:after="60" w:line="240" w:lineRule="auto"/>
    </w:pPr>
    <w:rPr>
      <w:b/>
      <w:sz w:val="20"/>
      <w:szCs w:val="20"/>
    </w:rPr>
  </w:style>
  <w:style w:type="paragraph" w:customStyle="1" w:styleId="TableSectionHeading">
    <w:name w:val="Table Section Heading"/>
    <w:basedOn w:val="Normal"/>
    <w:rsid w:val="00CF4FCA"/>
    <w:pPr>
      <w:spacing w:before="60" w:after="60" w:line="240" w:lineRule="auto"/>
    </w:pPr>
    <w:rPr>
      <w:b/>
      <w:i/>
      <w:sz w:val="20"/>
      <w:szCs w:val="20"/>
    </w:rPr>
  </w:style>
  <w:style w:type="paragraph" w:customStyle="1" w:styleId="TableColumnHeading-Centre">
    <w:name w:val="Table Column Heading - Centre"/>
    <w:basedOn w:val="TableColumnHeading-Left"/>
    <w:rsid w:val="00267789"/>
    <w:pPr>
      <w:jc w:val="center"/>
    </w:pPr>
  </w:style>
  <w:style w:type="paragraph" w:customStyle="1" w:styleId="SingleParagraph">
    <w:name w:val="Single Paragraph"/>
    <w:basedOn w:val="Normal"/>
    <w:rsid w:val="00267789"/>
    <w:pPr>
      <w:spacing w:before="120" w:after="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225064">
      <w:marLeft w:val="0"/>
      <w:marRight w:val="0"/>
      <w:marTop w:val="0"/>
      <w:marBottom w:val="0"/>
      <w:divBdr>
        <w:top w:val="none" w:sz="0" w:space="0" w:color="auto"/>
        <w:left w:val="none" w:sz="0" w:space="0" w:color="auto"/>
        <w:bottom w:val="none" w:sz="0" w:space="0" w:color="auto"/>
        <w:right w:val="none" w:sz="0" w:space="0" w:color="auto"/>
      </w:divBdr>
    </w:div>
    <w:div w:id="1746225065">
      <w:marLeft w:val="0"/>
      <w:marRight w:val="0"/>
      <w:marTop w:val="0"/>
      <w:marBottom w:val="0"/>
      <w:divBdr>
        <w:top w:val="none" w:sz="0" w:space="0" w:color="auto"/>
        <w:left w:val="none" w:sz="0" w:space="0" w:color="auto"/>
        <w:bottom w:val="none" w:sz="0" w:space="0" w:color="auto"/>
        <w:right w:val="none" w:sz="0" w:space="0" w:color="auto"/>
      </w:divBdr>
    </w:div>
    <w:div w:id="1746225069">
      <w:marLeft w:val="0"/>
      <w:marRight w:val="0"/>
      <w:marTop w:val="0"/>
      <w:marBottom w:val="0"/>
      <w:divBdr>
        <w:top w:val="none" w:sz="0" w:space="0" w:color="auto"/>
        <w:left w:val="none" w:sz="0" w:space="0" w:color="auto"/>
        <w:bottom w:val="none" w:sz="0" w:space="0" w:color="auto"/>
        <w:right w:val="none" w:sz="0" w:space="0" w:color="auto"/>
      </w:divBdr>
    </w:div>
    <w:div w:id="1746225072">
      <w:marLeft w:val="0"/>
      <w:marRight w:val="0"/>
      <w:marTop w:val="0"/>
      <w:marBottom w:val="0"/>
      <w:divBdr>
        <w:top w:val="none" w:sz="0" w:space="0" w:color="auto"/>
        <w:left w:val="none" w:sz="0" w:space="0" w:color="auto"/>
        <w:bottom w:val="none" w:sz="0" w:space="0" w:color="auto"/>
        <w:right w:val="none" w:sz="0" w:space="0" w:color="auto"/>
      </w:divBdr>
      <w:divsChild>
        <w:div w:id="1746225068">
          <w:marLeft w:val="0"/>
          <w:marRight w:val="0"/>
          <w:marTop w:val="0"/>
          <w:marBottom w:val="0"/>
          <w:divBdr>
            <w:top w:val="none" w:sz="0" w:space="0" w:color="auto"/>
            <w:left w:val="none" w:sz="0" w:space="0" w:color="auto"/>
            <w:bottom w:val="none" w:sz="0" w:space="0" w:color="auto"/>
            <w:right w:val="none" w:sz="0" w:space="0" w:color="auto"/>
          </w:divBdr>
          <w:divsChild>
            <w:div w:id="1746225071">
              <w:marLeft w:val="0"/>
              <w:marRight w:val="0"/>
              <w:marTop w:val="0"/>
              <w:marBottom w:val="0"/>
              <w:divBdr>
                <w:top w:val="none" w:sz="0" w:space="0" w:color="auto"/>
                <w:left w:val="none" w:sz="0" w:space="0" w:color="auto"/>
                <w:bottom w:val="none" w:sz="0" w:space="0" w:color="auto"/>
                <w:right w:val="none" w:sz="0" w:space="0" w:color="auto"/>
              </w:divBdr>
              <w:divsChild>
                <w:div w:id="1746225076">
                  <w:marLeft w:val="0"/>
                  <w:marRight w:val="0"/>
                  <w:marTop w:val="0"/>
                  <w:marBottom w:val="0"/>
                  <w:divBdr>
                    <w:top w:val="none" w:sz="0" w:space="0" w:color="auto"/>
                    <w:left w:val="none" w:sz="0" w:space="0" w:color="auto"/>
                    <w:bottom w:val="none" w:sz="0" w:space="0" w:color="auto"/>
                    <w:right w:val="none" w:sz="0" w:space="0" w:color="auto"/>
                  </w:divBdr>
                  <w:divsChild>
                    <w:div w:id="1746225067">
                      <w:marLeft w:val="0"/>
                      <w:marRight w:val="0"/>
                      <w:marTop w:val="0"/>
                      <w:marBottom w:val="0"/>
                      <w:divBdr>
                        <w:top w:val="none" w:sz="0" w:space="0" w:color="auto"/>
                        <w:left w:val="none" w:sz="0" w:space="0" w:color="auto"/>
                        <w:bottom w:val="none" w:sz="0" w:space="0" w:color="auto"/>
                        <w:right w:val="none" w:sz="0" w:space="0" w:color="auto"/>
                      </w:divBdr>
                      <w:divsChild>
                        <w:div w:id="1746225074">
                          <w:marLeft w:val="0"/>
                          <w:marRight w:val="0"/>
                          <w:marTop w:val="0"/>
                          <w:marBottom w:val="0"/>
                          <w:divBdr>
                            <w:top w:val="none" w:sz="0" w:space="0" w:color="auto"/>
                            <w:left w:val="none" w:sz="0" w:space="0" w:color="auto"/>
                            <w:bottom w:val="none" w:sz="0" w:space="0" w:color="auto"/>
                            <w:right w:val="none" w:sz="0" w:space="0" w:color="auto"/>
                          </w:divBdr>
                          <w:divsChild>
                            <w:div w:id="1746225066">
                              <w:marLeft w:val="0"/>
                              <w:marRight w:val="0"/>
                              <w:marTop w:val="0"/>
                              <w:marBottom w:val="0"/>
                              <w:divBdr>
                                <w:top w:val="none" w:sz="0" w:space="0" w:color="auto"/>
                                <w:left w:val="none" w:sz="0" w:space="0" w:color="auto"/>
                                <w:bottom w:val="none" w:sz="0" w:space="0" w:color="auto"/>
                                <w:right w:val="none" w:sz="0" w:space="0" w:color="auto"/>
                              </w:divBdr>
                              <w:divsChild>
                                <w:div w:id="17462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225073">
      <w:marLeft w:val="0"/>
      <w:marRight w:val="0"/>
      <w:marTop w:val="0"/>
      <w:marBottom w:val="0"/>
      <w:divBdr>
        <w:top w:val="none" w:sz="0" w:space="0" w:color="auto"/>
        <w:left w:val="none" w:sz="0" w:space="0" w:color="auto"/>
        <w:bottom w:val="none" w:sz="0" w:space="0" w:color="auto"/>
        <w:right w:val="none" w:sz="0" w:space="0" w:color="auto"/>
      </w:divBdr>
    </w:div>
    <w:div w:id="1746225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2015-11-18T00:00:00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11</Value>
    </TaxCatchAll>
    <_dlc_DocId xmlns="0f563589-9cf9-4143-b1eb-fb0534803d38">2019RG-111-11391</_dlc_DocId>
    <_dlc_DocIdUrl xmlns="0f563589-9cf9-4143-b1eb-fb0534803d38">
      <Url>http://tweb/sites/rg/ldp/lmu/_layouts/15/DocIdRedir.aspx?ID=2019RG-111-11391</Url>
      <Description>2019RG-111-11391</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6880fa62fd2465ea894b48b45824d1c xmlns="9f7bc583-7cbe-45b9-a2bd-8bbb6543b37e">
      <Terms xmlns="http://schemas.microsoft.com/office/infopath/2007/PartnerControls"/>
    </i6880fa62fd2465ea894b48b45824d1c>
  </documentManagement>
</p:properti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6974" ma:contentTypeDescription=" " ma:contentTypeScope="" ma:versionID="35730670e92c21651f828d381b08a63a">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C7F574-1CF6-4D1B-998F-93637B58DEF3}">
  <ds:schemaRefs>
    <ds:schemaRef ds:uri="http://schemas.microsoft.com/sharepoint/v3/contenttype/forms"/>
  </ds:schemaRefs>
</ds:datastoreItem>
</file>

<file path=customXml/itemProps3.xml><?xml version="1.0" encoding="utf-8"?>
<ds:datastoreItem xmlns:ds="http://schemas.openxmlformats.org/officeDocument/2006/customXml" ds:itemID="{CD0BBCED-5617-451E-B2B6-5050B69B4786}">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78932268-7D2F-4BED-9179-B88CAC2469D5}">
  <ds:schemaRefs>
    <ds:schemaRef ds:uri="http://schemas.microsoft.com/sharepoint/events"/>
  </ds:schemaRefs>
</ds:datastoreItem>
</file>

<file path=customXml/itemProps5.xml><?xml version="1.0" encoding="utf-8"?>
<ds:datastoreItem xmlns:ds="http://schemas.openxmlformats.org/officeDocument/2006/customXml" ds:itemID="{457CA0D2-2053-4FE8-9965-98FF70325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8ED39A-E18C-455D-9A70-96F13446207B}">
  <ds:schemaRefs>
    <ds:schemaRef ds:uri="office.server.policy"/>
  </ds:schemaRefs>
</ds:datastoreItem>
</file>

<file path=customXml/itemProps7.xml><?xml version="1.0" encoding="utf-8"?>
<ds:datastoreItem xmlns:ds="http://schemas.openxmlformats.org/officeDocument/2006/customXml" ds:itemID="{34DAAF31-6AAD-4D46-8D8E-4147063F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2756</Words>
  <Characters>15328</Characters>
  <Application>Microsoft Office Word</Application>
  <DocSecurity>0</DocSecurity>
  <Lines>364</Lines>
  <Paragraphs>247</Paragraphs>
  <ScaleCrop>false</ScaleCrop>
  <HeadingPairs>
    <vt:vector size="2" baseType="variant">
      <vt:variant>
        <vt:lpstr>Title</vt:lpstr>
      </vt:variant>
      <vt:variant>
        <vt:i4>1</vt:i4>
      </vt:variant>
    </vt:vector>
  </HeadingPairs>
  <TitlesOfParts>
    <vt:vector size="1" baseType="lpstr">
      <vt:lpstr>Guidelines for the exercise of powers delegated to ASIC under Chapter 7 of the Corporations Act 2001 - April 2019</vt:lpstr>
    </vt:vector>
  </TitlesOfParts>
  <Company>Australian Government – The Treasury</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exercise of powers delegated to ASIC under Chapter 7 of the Corporations Act 2001 - April 2019</dc:title>
  <dc:subject>The Treasury</dc:subject>
  <dc:creator>The Treasury</dc:creator>
  <cp:lastModifiedBy>Hill, Christine</cp:lastModifiedBy>
  <cp:revision>11</cp:revision>
  <cp:lastPrinted>2019-03-29T00:44:00Z</cp:lastPrinted>
  <dcterms:created xsi:type="dcterms:W3CDTF">2019-03-26T22:05:00Z</dcterms:created>
  <dcterms:modified xsi:type="dcterms:W3CDTF">2021-04-07T01:02:00Z</dcterms:modified>
</cp:coreProperties>
</file>