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EF1A"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7936AA6" w14:textId="28BF7A42"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BA69A38BC3B4908AC85C9AFFEE75154"/>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7A508D">
            <w:rPr>
              <w:sz w:val="24"/>
              <w:szCs w:val="24"/>
            </w:rPr>
            <w:t>Assistant Minister for Superannuation, Financial Services and Financial Technology</w:t>
          </w:r>
        </w:sdtContent>
      </w:sdt>
    </w:p>
    <w:p w14:paraId="0D6F309C" w14:textId="77777777" w:rsidR="00F109D4" w:rsidRDefault="00852656" w:rsidP="003C7907">
      <w:pPr>
        <w:spacing w:before="240" w:after="240"/>
        <w:jc w:val="center"/>
        <w:rPr>
          <w:i/>
        </w:rPr>
      </w:pPr>
      <w:r w:rsidRPr="00852656">
        <w:rPr>
          <w:i/>
        </w:rPr>
        <w:t>Busin</w:t>
      </w:r>
      <w:r>
        <w:rPr>
          <w:i/>
        </w:rPr>
        <w:t>ess Names Registration Act 2011</w:t>
      </w:r>
    </w:p>
    <w:p w14:paraId="7DA87D07" w14:textId="77777777" w:rsidR="00A90E0F" w:rsidRDefault="00A90E0F" w:rsidP="003C7907">
      <w:pPr>
        <w:spacing w:before="240" w:after="240"/>
        <w:jc w:val="center"/>
        <w:rPr>
          <w:i/>
        </w:rPr>
      </w:pPr>
      <w:r>
        <w:rPr>
          <w:i/>
        </w:rPr>
        <w:t>Corporations Act 2001</w:t>
      </w:r>
    </w:p>
    <w:p w14:paraId="43D163C3" w14:textId="56B810A5" w:rsidR="00A90E0F" w:rsidRDefault="00A90E0F" w:rsidP="003C7907">
      <w:pPr>
        <w:spacing w:before="240" w:after="240"/>
        <w:jc w:val="center"/>
        <w:rPr>
          <w:i/>
        </w:rPr>
      </w:pPr>
      <w:r>
        <w:rPr>
          <w:i/>
        </w:rPr>
        <w:t>Crimes (Currency) Act 1981</w:t>
      </w:r>
    </w:p>
    <w:p w14:paraId="6E636700" w14:textId="132359CA" w:rsidR="00A556B8" w:rsidRDefault="00A556B8" w:rsidP="003C7907">
      <w:pPr>
        <w:spacing w:before="240" w:after="240"/>
        <w:jc w:val="center"/>
        <w:rPr>
          <w:i/>
        </w:rPr>
      </w:pPr>
      <w:r>
        <w:rPr>
          <w:i/>
        </w:rPr>
        <w:t>Federal Financial Relations Act 2009</w:t>
      </w:r>
    </w:p>
    <w:p w14:paraId="52ED112C" w14:textId="39E3048D" w:rsidR="00F109D4" w:rsidRPr="00503E44" w:rsidRDefault="00A90E0F" w:rsidP="00AA1689">
      <w:pPr>
        <w:tabs>
          <w:tab w:val="left" w:pos="1418"/>
        </w:tabs>
        <w:spacing w:before="0" w:after="240"/>
        <w:jc w:val="center"/>
        <w:rPr>
          <w:i/>
        </w:rPr>
      </w:pPr>
      <w:r>
        <w:rPr>
          <w:i/>
        </w:rPr>
        <w:t>Treasury Laws Amendment (Miscellaneous Amendments)</w:t>
      </w:r>
      <w:r w:rsidR="00852656">
        <w:rPr>
          <w:i/>
        </w:rPr>
        <w:t xml:space="preserve"> </w:t>
      </w:r>
      <w:r w:rsidR="006F470D">
        <w:rPr>
          <w:i/>
        </w:rPr>
        <w:t>Instrument</w:t>
      </w:r>
      <w:r w:rsidR="00852656">
        <w:rPr>
          <w:i/>
        </w:rPr>
        <w:t xml:space="preserve"> 2020</w:t>
      </w:r>
    </w:p>
    <w:p w14:paraId="6BB89CF3" w14:textId="36AD8002" w:rsidR="00A90E0F" w:rsidRPr="006F470D" w:rsidRDefault="00A90E0F" w:rsidP="00A90E0F">
      <w:pPr>
        <w:spacing w:before="240"/>
      </w:pPr>
      <w:r w:rsidRPr="00852656">
        <w:t xml:space="preserve">Subsection 28(1) of the </w:t>
      </w:r>
      <w:r w:rsidRPr="00852656">
        <w:rPr>
          <w:i/>
        </w:rPr>
        <w:t>Business Names Registration Act 2011</w:t>
      </w:r>
      <w:r>
        <w:rPr>
          <w:i/>
        </w:rPr>
        <w:t xml:space="preserve"> </w:t>
      </w:r>
      <w:r w:rsidRPr="00852656">
        <w:t>provides that the Minister may, by legislative instrument, determine that a w</w:t>
      </w:r>
      <w:r w:rsidR="006F470D">
        <w:t xml:space="preserve">ord or expression is restricted for the purposes of the </w:t>
      </w:r>
      <w:r w:rsidR="006F470D">
        <w:rPr>
          <w:i/>
        </w:rPr>
        <w:t>Business Names Registration Act 2011</w:t>
      </w:r>
      <w:r w:rsidR="006F470D" w:rsidRPr="006F470D">
        <w:t>.</w:t>
      </w:r>
    </w:p>
    <w:p w14:paraId="2469F98F" w14:textId="29F84CA4" w:rsidR="00A90E0F" w:rsidRPr="00A90E0F" w:rsidRDefault="00A90E0F" w:rsidP="00A90E0F">
      <w:pPr>
        <w:spacing w:before="240"/>
      </w:pPr>
      <w:r w:rsidRPr="00A90E0F">
        <w:t>Section 105</w:t>
      </w:r>
      <w:r w:rsidR="00C051BC">
        <w:t>-</w:t>
      </w:r>
      <w:r w:rsidRPr="00A90E0F">
        <w:t xml:space="preserve">1 in Schedule 2 to the </w:t>
      </w:r>
      <w:r>
        <w:rPr>
          <w:i/>
        </w:rPr>
        <w:t xml:space="preserve">Corporations Act 2001 </w:t>
      </w:r>
      <w:r w:rsidRPr="00A90E0F">
        <w:t>provides that the Minister may make rules providing for matters required or permitted by the Schedule to be provided, or necessary or convenient to be provided for carrying out or</w:t>
      </w:r>
      <w:r w:rsidR="00C051BC">
        <w:t xml:space="preserve"> giving effect to the Schedule.</w:t>
      </w:r>
      <w:bookmarkStart w:id="0" w:name="_GoBack"/>
      <w:bookmarkEnd w:id="0"/>
    </w:p>
    <w:p w14:paraId="1097B05A" w14:textId="12FE3F11" w:rsidR="00A90E0F" w:rsidRDefault="00A90E0F" w:rsidP="00A90E0F">
      <w:pPr>
        <w:spacing w:before="240"/>
      </w:pPr>
      <w:r w:rsidRPr="00A90E0F">
        <w:t xml:space="preserve">Subsection 29(7) of the </w:t>
      </w:r>
      <w:r w:rsidRPr="00A90E0F">
        <w:rPr>
          <w:i/>
        </w:rPr>
        <w:t>Currency (Crimes) Act 1981</w:t>
      </w:r>
      <w:r w:rsidRPr="00A90E0F">
        <w:t xml:space="preserve"> provides that an article that is condemned as forfeited to the Commonwealth under t</w:t>
      </w:r>
      <w:r w:rsidR="00C051BC">
        <w:t xml:space="preserve">he Act, or under the </w:t>
      </w:r>
      <w:r w:rsidR="00C051BC" w:rsidRPr="00C051BC">
        <w:rPr>
          <w:i/>
        </w:rPr>
        <w:t>Crimes Act </w:t>
      </w:r>
      <w:r w:rsidRPr="00C051BC">
        <w:rPr>
          <w:i/>
        </w:rPr>
        <w:t>1914</w:t>
      </w:r>
      <w:r w:rsidRPr="00C051BC">
        <w:t>,</w:t>
      </w:r>
      <w:r w:rsidRPr="00C051BC">
        <w:rPr>
          <w:i/>
        </w:rPr>
        <w:t xml:space="preserve"> </w:t>
      </w:r>
      <w:r w:rsidRPr="00A90E0F">
        <w:t>shall be dealt with or disposed of in accordance with the directions of the Treasurer.</w:t>
      </w:r>
    </w:p>
    <w:p w14:paraId="536C0C80" w14:textId="48613B5A" w:rsidR="00B373B0" w:rsidRDefault="00B373B0" w:rsidP="00A90E0F">
      <w:pPr>
        <w:spacing w:before="240"/>
        <w:rPr>
          <w:szCs w:val="23"/>
        </w:rPr>
      </w:pPr>
      <w:r>
        <w:rPr>
          <w:color w:val="000000"/>
          <w:shd w:val="clear" w:color="auto" w:fill="FFFFFF"/>
        </w:rPr>
        <w:t xml:space="preserve">Section 13 of the </w:t>
      </w:r>
      <w:r>
        <w:rPr>
          <w:i/>
        </w:rPr>
        <w:t>Federal Financial</w:t>
      </w:r>
      <w:r w:rsidRPr="00B373B0">
        <w:rPr>
          <w:i/>
          <w:iCs/>
        </w:rPr>
        <w:t> Relations Act 2009</w:t>
      </w:r>
      <w:r w:rsidRPr="00B373B0">
        <w:rPr>
          <w:i/>
        </w:rPr>
        <w:t> </w:t>
      </w:r>
      <w:r>
        <w:rPr>
          <w:color w:val="000000"/>
          <w:shd w:val="clear" w:color="auto" w:fill="FFFFFF"/>
        </w:rPr>
        <w:t>provides that financial assistance is payable in accordance with that section to a State or Territory, for a financial year, for the purpose of expenditure on disability services.  For the purposes of section 13, the Minster may determine the manner in which the total amount of all financial assistance payable to the States and Territories for a financial year under section 13 is to be adjusted (relative to the previous financial year) and the manner in which the total amount is to be divided between the States and Territories.</w:t>
      </w:r>
    </w:p>
    <w:p w14:paraId="26553886" w14:textId="6278E813" w:rsidR="00A90E0F" w:rsidRPr="00A90E0F" w:rsidRDefault="00A90E0F" w:rsidP="00A90E0F">
      <w:pPr>
        <w:spacing w:before="240"/>
        <w:rPr>
          <w:szCs w:val="23"/>
        </w:rPr>
      </w:pPr>
      <w:r>
        <w:rPr>
          <w:szCs w:val="23"/>
        </w:rPr>
        <w:t>T</w:t>
      </w:r>
      <w:r w:rsidRPr="00A90E0F">
        <w:rPr>
          <w:szCs w:val="23"/>
        </w:rPr>
        <w:t xml:space="preserve">he purpose of the </w:t>
      </w:r>
      <w:r w:rsidRPr="00A90E0F">
        <w:rPr>
          <w:i/>
          <w:szCs w:val="23"/>
        </w:rPr>
        <w:t xml:space="preserve">Treasury Laws Amendment (Miscellaneous Amendments) </w:t>
      </w:r>
      <w:r w:rsidR="006F470D">
        <w:rPr>
          <w:i/>
          <w:szCs w:val="23"/>
        </w:rPr>
        <w:t>Instrument</w:t>
      </w:r>
      <w:r w:rsidRPr="00A90E0F">
        <w:rPr>
          <w:i/>
          <w:szCs w:val="23"/>
        </w:rPr>
        <w:t xml:space="preserve"> 2020 </w:t>
      </w:r>
      <w:r w:rsidRPr="00A90E0F">
        <w:rPr>
          <w:szCs w:val="23"/>
        </w:rPr>
        <w:t xml:space="preserve">(the </w:t>
      </w:r>
      <w:r w:rsidR="006F470D">
        <w:rPr>
          <w:szCs w:val="23"/>
        </w:rPr>
        <w:t>Instrument</w:t>
      </w:r>
      <w:r w:rsidRPr="00A90E0F">
        <w:rPr>
          <w:szCs w:val="23"/>
        </w:rPr>
        <w:t xml:space="preserve">) is to make minor and technical amendments to </w:t>
      </w:r>
      <w:proofErr w:type="gramStart"/>
      <w:r w:rsidR="00C051BC">
        <w:rPr>
          <w:szCs w:val="23"/>
        </w:rPr>
        <w:t>legislative</w:t>
      </w:r>
      <w:proofErr w:type="gramEnd"/>
      <w:r w:rsidR="00C051BC">
        <w:rPr>
          <w:szCs w:val="23"/>
        </w:rPr>
        <w:t xml:space="preserve"> instruments</w:t>
      </w:r>
      <w:r w:rsidRPr="00A90E0F">
        <w:rPr>
          <w:szCs w:val="23"/>
        </w:rPr>
        <w:t xml:space="preserve"> in the Treasury portfolio, including </w:t>
      </w:r>
      <w:r w:rsidR="00C051BC">
        <w:rPr>
          <w:szCs w:val="23"/>
        </w:rPr>
        <w:t>l</w:t>
      </w:r>
      <w:r w:rsidRPr="00A90E0F">
        <w:rPr>
          <w:szCs w:val="23"/>
        </w:rPr>
        <w:t>aws</w:t>
      </w:r>
      <w:r w:rsidR="00B24137">
        <w:rPr>
          <w:szCs w:val="23"/>
        </w:rPr>
        <w:t xml:space="preserve"> relating to corporations</w:t>
      </w:r>
      <w:r w:rsidR="00C051BC">
        <w:rPr>
          <w:szCs w:val="23"/>
        </w:rPr>
        <w:t>, business names and currency</w:t>
      </w:r>
      <w:r w:rsidRPr="00A90E0F">
        <w:rPr>
          <w:szCs w:val="23"/>
        </w:rPr>
        <w:t>. The amendments are part of the Government’s commitment to the care and maintenance of Treasury portfolio legislation.</w:t>
      </w:r>
    </w:p>
    <w:p w14:paraId="2E663FA0" w14:textId="39148FF0" w:rsidR="00A90E0F" w:rsidRPr="00A90E0F" w:rsidRDefault="00A90E0F" w:rsidP="00A90E0F">
      <w:pPr>
        <w:spacing w:before="240"/>
        <w:rPr>
          <w:szCs w:val="23"/>
        </w:rPr>
      </w:pPr>
      <w:r w:rsidRPr="00A90E0F">
        <w:rPr>
          <w:szCs w:val="23"/>
        </w:rPr>
        <w:t xml:space="preserve">Minor and technical amendments are periodically made to Treasury legislation to remove anomalies, correct unintended outcomes and improve the quality of laws. The process was first supported </w:t>
      </w:r>
      <w:r w:rsidR="00A556B8">
        <w:rPr>
          <w:szCs w:val="23"/>
        </w:rPr>
        <w:t xml:space="preserve">following </w:t>
      </w:r>
      <w:r w:rsidRPr="00A90E0F">
        <w:rPr>
          <w:szCs w:val="23"/>
        </w:rPr>
        <w:t xml:space="preserve">a recommendation of the 2008 Tax Design Review Panel, which considered ways to improve the quality of tax law changes. It has since been expanded to all Treasury </w:t>
      </w:r>
      <w:r w:rsidR="00A556B8">
        <w:rPr>
          <w:szCs w:val="23"/>
        </w:rPr>
        <w:t xml:space="preserve">portfolio </w:t>
      </w:r>
      <w:r w:rsidRPr="00A90E0F">
        <w:rPr>
          <w:szCs w:val="23"/>
        </w:rPr>
        <w:t>legislation.</w:t>
      </w:r>
    </w:p>
    <w:p w14:paraId="23A3B9E3" w14:textId="020818D9" w:rsidR="00A90E0F" w:rsidRPr="00A90E0F" w:rsidRDefault="00A90E0F" w:rsidP="00A90E0F">
      <w:pPr>
        <w:spacing w:before="240"/>
        <w:rPr>
          <w:szCs w:val="23"/>
        </w:rPr>
      </w:pPr>
      <w:r w:rsidRPr="00A90E0F">
        <w:rPr>
          <w:szCs w:val="23"/>
        </w:rPr>
        <w:lastRenderedPageBreak/>
        <w:t xml:space="preserve">The </w:t>
      </w:r>
      <w:r w:rsidR="006F470D">
        <w:rPr>
          <w:szCs w:val="23"/>
        </w:rPr>
        <w:t>Instrument</w:t>
      </w:r>
      <w:r w:rsidRPr="00A90E0F">
        <w:rPr>
          <w:szCs w:val="23"/>
        </w:rPr>
        <w:t xml:space="preserve"> amend</w:t>
      </w:r>
      <w:r>
        <w:rPr>
          <w:szCs w:val="23"/>
        </w:rPr>
        <w:t>s</w:t>
      </w:r>
      <w:r w:rsidRPr="00A90E0F">
        <w:rPr>
          <w:szCs w:val="23"/>
        </w:rPr>
        <w:t xml:space="preserve"> various Treasury portfolio </w:t>
      </w:r>
      <w:r>
        <w:rPr>
          <w:szCs w:val="23"/>
        </w:rPr>
        <w:t>instruments</w:t>
      </w:r>
      <w:r w:rsidRPr="00A90E0F">
        <w:rPr>
          <w:szCs w:val="23"/>
        </w:rPr>
        <w:t xml:space="preserve"> to make minor and technical changes that correct typographical </w:t>
      </w:r>
      <w:r w:rsidR="00C051BC">
        <w:rPr>
          <w:szCs w:val="23"/>
        </w:rPr>
        <w:t xml:space="preserve">errors and unintended outcomes </w:t>
      </w:r>
      <w:r w:rsidRPr="00A90E0F">
        <w:rPr>
          <w:szCs w:val="23"/>
        </w:rPr>
        <w:t xml:space="preserve">and repeal inoperative provisions. These changes ensure that the amended </w:t>
      </w:r>
      <w:r>
        <w:rPr>
          <w:szCs w:val="23"/>
        </w:rPr>
        <w:t>instruments</w:t>
      </w:r>
      <w:r w:rsidRPr="00A90E0F">
        <w:rPr>
          <w:szCs w:val="23"/>
        </w:rPr>
        <w:t xml:space="preserve"> operate in the way intended.</w:t>
      </w:r>
    </w:p>
    <w:p w14:paraId="5B1F0E5B" w14:textId="77777777" w:rsidR="00A90E0F" w:rsidRDefault="00A90E0F" w:rsidP="00A90E0F">
      <w:pPr>
        <w:spacing w:before="240"/>
        <w:rPr>
          <w:szCs w:val="23"/>
        </w:rPr>
      </w:pPr>
      <w:r w:rsidRPr="00A90E0F">
        <w:rPr>
          <w:szCs w:val="23"/>
        </w:rPr>
        <w:t xml:space="preserve">Details of the </w:t>
      </w:r>
      <w:r>
        <w:rPr>
          <w:szCs w:val="23"/>
        </w:rPr>
        <w:t>Instruments</w:t>
      </w:r>
      <w:r w:rsidRPr="00A90E0F">
        <w:rPr>
          <w:szCs w:val="23"/>
        </w:rPr>
        <w:t xml:space="preserve"> are set out in </w:t>
      </w:r>
      <w:r w:rsidRPr="00A90E0F">
        <w:rPr>
          <w:szCs w:val="23"/>
          <w:u w:val="single"/>
        </w:rPr>
        <w:t>Attachment A</w:t>
      </w:r>
      <w:r w:rsidRPr="00A90E0F">
        <w:rPr>
          <w:szCs w:val="23"/>
        </w:rPr>
        <w:t>.</w:t>
      </w:r>
    </w:p>
    <w:p w14:paraId="5185FE55" w14:textId="77777777" w:rsidR="00C37E05" w:rsidRDefault="00AD6FAC" w:rsidP="002C226C">
      <w:pPr>
        <w:spacing w:before="240"/>
      </w:pPr>
      <w:r w:rsidRPr="00AD6FAC">
        <w:t xml:space="preserve">The </w:t>
      </w:r>
      <w:r w:rsidR="00A90E0F">
        <w:t>Authorising Acts</w:t>
      </w:r>
      <w:r w:rsidRPr="00AD6FAC">
        <w:t xml:space="preserve"> specif</w:t>
      </w:r>
      <w:r w:rsidR="00A90E0F">
        <w:t>y</w:t>
      </w:r>
      <w:r w:rsidRPr="00AD6FAC">
        <w:t xml:space="preserve"> no conditions that need to be satisfied before the power to make the </w:t>
      </w:r>
      <w:r w:rsidR="006F470D">
        <w:rPr>
          <w:szCs w:val="23"/>
        </w:rPr>
        <w:t>Instrument</w:t>
      </w:r>
      <w:r w:rsidR="006F470D" w:rsidRPr="00A90E0F">
        <w:rPr>
          <w:szCs w:val="23"/>
        </w:rPr>
        <w:t xml:space="preserve"> </w:t>
      </w:r>
      <w:r w:rsidRPr="00AD6FAC">
        <w:t>may be exercised.</w:t>
      </w:r>
    </w:p>
    <w:p w14:paraId="1C7ADEBE" w14:textId="56702A3D" w:rsidR="002C226C" w:rsidRDefault="002C226C" w:rsidP="00647BB7">
      <w:pPr>
        <w:spacing w:before="240"/>
      </w:pPr>
      <w:r>
        <w:t>The</w:t>
      </w:r>
      <w:r w:rsidRPr="00D3322F">
        <w:t xml:space="preserve"> </w:t>
      </w:r>
      <w:r w:rsidR="006F470D">
        <w:rPr>
          <w:szCs w:val="23"/>
        </w:rPr>
        <w:t>Instrument</w:t>
      </w:r>
      <w:r w:rsidR="006F470D" w:rsidRPr="00A90E0F">
        <w:rPr>
          <w:szCs w:val="23"/>
        </w:rPr>
        <w:t xml:space="preserve"> </w:t>
      </w:r>
      <w:r w:rsidR="00AD6FAC">
        <w:t>is</w:t>
      </w:r>
      <w:r w:rsidRPr="00D3322F">
        <w:t xml:space="preserve"> a legislative instrument for the purposes of the</w:t>
      </w:r>
      <w:r w:rsidRPr="00322524">
        <w:t xml:space="preserve"> </w:t>
      </w:r>
      <w:r w:rsidR="00C051BC">
        <w:rPr>
          <w:i/>
        </w:rPr>
        <w:t>Legislation </w:t>
      </w:r>
      <w:r w:rsidR="002262C3">
        <w:rPr>
          <w:i/>
        </w:rPr>
        <w:t>Act </w:t>
      </w:r>
      <w:r w:rsidRPr="00D3322F">
        <w:rPr>
          <w:i/>
        </w:rPr>
        <w:t>2003</w:t>
      </w:r>
      <w:r w:rsidRPr="00D3322F">
        <w:t>.</w:t>
      </w:r>
    </w:p>
    <w:p w14:paraId="30BFED06" w14:textId="22BF153F" w:rsidR="009143A0" w:rsidRPr="00647BB7" w:rsidRDefault="00F109D4" w:rsidP="00647BB7">
      <w:pPr>
        <w:spacing w:before="240"/>
        <w:rPr>
          <w:i/>
        </w:rPr>
      </w:pPr>
      <w:r w:rsidRPr="00503E44">
        <w:t xml:space="preserve">The </w:t>
      </w:r>
      <w:r w:rsidR="006F470D">
        <w:rPr>
          <w:szCs w:val="23"/>
        </w:rPr>
        <w:t>Instrument</w:t>
      </w:r>
      <w:r w:rsidR="006F470D" w:rsidRPr="00A90E0F">
        <w:rPr>
          <w:szCs w:val="23"/>
        </w:rPr>
        <w:t xml:space="preserve"> </w:t>
      </w:r>
      <w:r w:rsidR="00AD6FAC" w:rsidRPr="00AD6FAC">
        <w:t>commence</w:t>
      </w:r>
      <w:r w:rsidR="00114FF4">
        <w:t>s</w:t>
      </w:r>
      <w:r w:rsidR="00AD6FAC" w:rsidRPr="00AD6FAC">
        <w:t xml:space="preserve"> </w:t>
      </w:r>
      <w:r w:rsidR="00C051BC">
        <w:t>the day after it is registered.</w:t>
      </w:r>
    </w:p>
    <w:p w14:paraId="45B7C0AB" w14:textId="77777777" w:rsidR="00EA4DD8" w:rsidRDefault="00EA4DD8" w:rsidP="00EA4DD8">
      <w:pPr>
        <w:pageBreakBefore/>
        <w:spacing w:before="240"/>
        <w:jc w:val="right"/>
        <w:rPr>
          <w:b/>
          <w:u w:val="single"/>
        </w:rPr>
      </w:pPr>
      <w:r w:rsidRPr="007B335E">
        <w:rPr>
          <w:b/>
          <w:u w:val="single"/>
        </w:rPr>
        <w:lastRenderedPageBreak/>
        <w:t xml:space="preserve">ATTACHMENT </w:t>
      </w:r>
      <w:r w:rsidR="00E3024E">
        <w:rPr>
          <w:b/>
          <w:u w:val="single"/>
        </w:rPr>
        <w:t>A</w:t>
      </w:r>
    </w:p>
    <w:p w14:paraId="35673FE1" w14:textId="76B2B95C" w:rsidR="00A90E0F" w:rsidRPr="00A90E0F" w:rsidRDefault="00EA4DD8" w:rsidP="00A90E0F">
      <w:pPr>
        <w:spacing w:before="240"/>
        <w:ind w:right="91"/>
        <w:rPr>
          <w:b/>
          <w:i/>
          <w:u w:val="single"/>
        </w:rPr>
      </w:pPr>
      <w:r>
        <w:rPr>
          <w:b/>
          <w:bCs/>
          <w:u w:val="single"/>
        </w:rPr>
        <w:t xml:space="preserve">Details of the </w:t>
      </w:r>
      <w:r w:rsidR="00A90E0F" w:rsidRPr="00A90E0F">
        <w:rPr>
          <w:b/>
          <w:i/>
          <w:u w:val="single"/>
        </w:rPr>
        <w:t>Treasury Laws Amendment (Miscellaneous</w:t>
      </w:r>
      <w:r w:rsidR="00BC1137">
        <w:rPr>
          <w:b/>
          <w:i/>
          <w:u w:val="single"/>
        </w:rPr>
        <w:t xml:space="preserve"> </w:t>
      </w:r>
      <w:r w:rsidR="00A90E0F" w:rsidRPr="00A90E0F">
        <w:rPr>
          <w:b/>
          <w:i/>
          <w:u w:val="single"/>
        </w:rPr>
        <w:t xml:space="preserve">Amendments) </w:t>
      </w:r>
      <w:r w:rsidR="006F470D" w:rsidRPr="006F470D">
        <w:rPr>
          <w:b/>
          <w:i/>
          <w:u w:val="single"/>
        </w:rPr>
        <w:t xml:space="preserve">Instrument </w:t>
      </w:r>
      <w:r w:rsidR="00A90E0F" w:rsidRPr="00A90E0F">
        <w:rPr>
          <w:b/>
          <w:i/>
          <w:u w:val="single"/>
        </w:rPr>
        <w:t>2020</w:t>
      </w:r>
    </w:p>
    <w:p w14:paraId="550A79D2" w14:textId="77777777" w:rsidR="00EA4DD8" w:rsidRDefault="00EA4DD8" w:rsidP="00EA4DD8">
      <w:pPr>
        <w:spacing w:before="240"/>
        <w:rPr>
          <w:rFonts w:ascii="Calibri" w:hAnsi="Calibri"/>
          <w:sz w:val="22"/>
          <w:szCs w:val="22"/>
          <w:u w:val="single"/>
          <w:lang w:eastAsia="en-US"/>
        </w:rPr>
      </w:pPr>
      <w:r>
        <w:rPr>
          <w:u w:val="single"/>
        </w:rPr>
        <w:t>Section 1 – Name of th</w:t>
      </w:r>
      <w:r w:rsidRPr="00982E21">
        <w:rPr>
          <w:u w:val="single"/>
        </w:rPr>
        <w:t xml:space="preserve">e </w:t>
      </w:r>
      <w:r w:rsidR="006F470D" w:rsidRPr="006F470D">
        <w:rPr>
          <w:szCs w:val="23"/>
          <w:u w:val="single"/>
        </w:rPr>
        <w:t>Instrument</w:t>
      </w:r>
    </w:p>
    <w:p w14:paraId="0DF05A63" w14:textId="67D1FBF1" w:rsidR="003F555A" w:rsidRPr="003F555A" w:rsidRDefault="00EA4DD8" w:rsidP="003F555A">
      <w:pPr>
        <w:spacing w:before="240"/>
        <w:rPr>
          <w:i/>
        </w:rPr>
      </w:pPr>
      <w:r>
        <w:t xml:space="preserve">This section provides that the name of the </w:t>
      </w:r>
      <w:r w:rsidR="003F555A">
        <w:t xml:space="preserve">Determination </w:t>
      </w:r>
      <w:r>
        <w:t xml:space="preserve">is the </w:t>
      </w:r>
      <w:r w:rsidR="00F36F5D" w:rsidRPr="00F36F5D">
        <w:rPr>
          <w:i/>
        </w:rPr>
        <w:t xml:space="preserve">Treasury Laws Amendment (Miscellaneous Amendments) </w:t>
      </w:r>
      <w:r w:rsidR="006F470D">
        <w:rPr>
          <w:i/>
        </w:rPr>
        <w:t>Instrument</w:t>
      </w:r>
      <w:r w:rsidR="00F36F5D" w:rsidRPr="00F36F5D">
        <w:rPr>
          <w:i/>
        </w:rPr>
        <w:t xml:space="preserve"> 2020 </w:t>
      </w:r>
      <w:r w:rsidR="002262C3">
        <w:t>(the </w:t>
      </w:r>
      <w:r w:rsidR="006F470D">
        <w:t>Instrument</w:t>
      </w:r>
      <w:r w:rsidR="003F555A">
        <w:t>)</w:t>
      </w:r>
      <w:r w:rsidR="003F555A" w:rsidRPr="003F555A">
        <w:t>.</w:t>
      </w:r>
    </w:p>
    <w:p w14:paraId="58C84D6C" w14:textId="77777777" w:rsidR="00EA4DD8" w:rsidRDefault="00EA4DD8" w:rsidP="00EA4DD8">
      <w:pPr>
        <w:spacing w:before="240"/>
        <w:ind w:right="91"/>
        <w:rPr>
          <w:u w:val="single"/>
        </w:rPr>
      </w:pPr>
      <w:r>
        <w:rPr>
          <w:u w:val="single"/>
        </w:rPr>
        <w:t>Section 2 – Commencement</w:t>
      </w:r>
    </w:p>
    <w:p w14:paraId="174F10B0" w14:textId="77777777" w:rsidR="00EA4DD8" w:rsidRDefault="00EA4DD8" w:rsidP="00EA4DD8">
      <w:pPr>
        <w:spacing w:before="240"/>
        <w:ind w:right="91"/>
      </w:pPr>
      <w:r>
        <w:t xml:space="preserve">Schedule 1 to the </w:t>
      </w:r>
      <w:r w:rsidR="006F470D">
        <w:rPr>
          <w:szCs w:val="23"/>
        </w:rPr>
        <w:t>Instrument</w:t>
      </w:r>
      <w:r w:rsidR="006F470D" w:rsidRPr="00A90E0F">
        <w:rPr>
          <w:szCs w:val="23"/>
        </w:rPr>
        <w:t xml:space="preserve"> </w:t>
      </w:r>
      <w:r w:rsidRPr="003F555A">
        <w:t>commence</w:t>
      </w:r>
      <w:r w:rsidR="003F555A">
        <w:t>s</w:t>
      </w:r>
      <w:r w:rsidRPr="003F555A">
        <w:t xml:space="preserve"> on the day after the instrument is registered on the Federal Register of Legislation</w:t>
      </w:r>
      <w:r>
        <w:t>.</w:t>
      </w:r>
    </w:p>
    <w:p w14:paraId="4F3FEB5B" w14:textId="77777777" w:rsidR="00EA4DD8" w:rsidRDefault="00EA4DD8" w:rsidP="00EA4DD8">
      <w:pPr>
        <w:spacing w:before="240"/>
        <w:ind w:right="91"/>
        <w:rPr>
          <w:u w:val="single"/>
        </w:rPr>
      </w:pPr>
      <w:r>
        <w:rPr>
          <w:u w:val="single"/>
        </w:rPr>
        <w:t>Section 3 – Authority</w:t>
      </w:r>
    </w:p>
    <w:p w14:paraId="6234DD78" w14:textId="77777777" w:rsidR="00F36F5D" w:rsidRDefault="00EA4DD8" w:rsidP="003F555A">
      <w:pPr>
        <w:spacing w:before="240" w:after="240"/>
      </w:pPr>
      <w:r>
        <w:t xml:space="preserve">The </w:t>
      </w:r>
      <w:r w:rsidR="006F470D">
        <w:rPr>
          <w:szCs w:val="23"/>
        </w:rPr>
        <w:t>Instrument</w:t>
      </w:r>
      <w:r w:rsidR="006F470D" w:rsidRPr="00A90E0F">
        <w:rPr>
          <w:szCs w:val="23"/>
        </w:rPr>
        <w:t xml:space="preserve"> </w:t>
      </w:r>
      <w:r w:rsidR="003F555A">
        <w:t>is</w:t>
      </w:r>
      <w:r>
        <w:t xml:space="preserve"> made under</w:t>
      </w:r>
      <w:r w:rsidR="00F36F5D">
        <w:t>:</w:t>
      </w:r>
    </w:p>
    <w:p w14:paraId="21213583" w14:textId="77777777" w:rsidR="00EA4DD8" w:rsidRDefault="00EA4DD8" w:rsidP="00F36F5D">
      <w:pPr>
        <w:pStyle w:val="Dotpoint"/>
      </w:pPr>
      <w:r>
        <w:t xml:space="preserve">the </w:t>
      </w:r>
      <w:r w:rsidR="003F555A" w:rsidRPr="00F36F5D">
        <w:rPr>
          <w:i/>
        </w:rPr>
        <w:t>Business Names Registration Act 2011</w:t>
      </w:r>
      <w:r w:rsidR="00F36F5D">
        <w:t>;</w:t>
      </w:r>
      <w:r w:rsidR="004407D9">
        <w:t xml:space="preserve"> and</w:t>
      </w:r>
    </w:p>
    <w:p w14:paraId="120EB22B" w14:textId="77777777" w:rsidR="00F36F5D" w:rsidRDefault="00F36F5D" w:rsidP="00F36F5D">
      <w:pPr>
        <w:pStyle w:val="Dotpoint"/>
      </w:pPr>
      <w:r>
        <w:t xml:space="preserve">the </w:t>
      </w:r>
      <w:r>
        <w:rPr>
          <w:i/>
        </w:rPr>
        <w:t>Corporations Act 2011</w:t>
      </w:r>
      <w:r w:rsidRPr="00F36F5D">
        <w:t xml:space="preserve">; </w:t>
      </w:r>
      <w:r>
        <w:t>and</w:t>
      </w:r>
    </w:p>
    <w:p w14:paraId="58D5CB59" w14:textId="6A2276BD" w:rsidR="004407D9" w:rsidRDefault="004407D9" w:rsidP="00F36F5D">
      <w:pPr>
        <w:pStyle w:val="Dotpoint"/>
      </w:pPr>
      <w:r>
        <w:t xml:space="preserve">the </w:t>
      </w:r>
      <w:r>
        <w:rPr>
          <w:i/>
        </w:rPr>
        <w:t>Crimes (Currency) Act 1981</w:t>
      </w:r>
      <w:r w:rsidR="00A556B8">
        <w:t>; and</w:t>
      </w:r>
    </w:p>
    <w:p w14:paraId="7E8407C6" w14:textId="0E55FDBD" w:rsidR="00A556B8" w:rsidRPr="003F555A" w:rsidRDefault="00A556B8" w:rsidP="00F36F5D">
      <w:pPr>
        <w:pStyle w:val="Dotpoint"/>
      </w:pPr>
      <w:proofErr w:type="gramStart"/>
      <w:r>
        <w:t>the</w:t>
      </w:r>
      <w:proofErr w:type="gramEnd"/>
      <w:r>
        <w:t xml:space="preserve"> </w:t>
      </w:r>
      <w:r w:rsidRPr="006023CD">
        <w:rPr>
          <w:i/>
        </w:rPr>
        <w:t>Federal Financial Relations Act 2009</w:t>
      </w:r>
      <w:r>
        <w:t>.</w:t>
      </w:r>
    </w:p>
    <w:p w14:paraId="1CE70A39" w14:textId="77777777" w:rsidR="00EA4DD8" w:rsidRDefault="00EA4DD8" w:rsidP="00EA4DD8">
      <w:pPr>
        <w:spacing w:before="240"/>
        <w:ind w:right="91"/>
        <w:rPr>
          <w:u w:val="single"/>
        </w:rPr>
      </w:pPr>
      <w:r>
        <w:rPr>
          <w:u w:val="single"/>
        </w:rPr>
        <w:t>Section 4 – Schedule</w:t>
      </w:r>
    </w:p>
    <w:p w14:paraId="667FEDF8"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4D924F3" w14:textId="77777777" w:rsidR="00EA4DD8" w:rsidRDefault="00EA4DD8" w:rsidP="003F555A">
      <w:pPr>
        <w:spacing w:after="0"/>
        <w:ind w:right="91"/>
        <w:rPr>
          <w:u w:val="single"/>
        </w:rPr>
      </w:pPr>
      <w:r>
        <w:rPr>
          <w:u w:val="single"/>
        </w:rPr>
        <w:t xml:space="preserve">Schedule 1 – Amendments </w:t>
      </w:r>
    </w:p>
    <w:p w14:paraId="296B60A9" w14:textId="77777777" w:rsidR="003F555A" w:rsidRDefault="003F555A" w:rsidP="00EA4DD8">
      <w:pPr>
        <w:spacing w:before="0" w:after="0"/>
      </w:pPr>
    </w:p>
    <w:p w14:paraId="02D31B4E" w14:textId="77777777" w:rsidR="007F1AFF" w:rsidRPr="000533D0" w:rsidRDefault="004407D9" w:rsidP="00EA4DD8">
      <w:pPr>
        <w:spacing w:before="0" w:after="0"/>
        <w:rPr>
          <w:b/>
          <w:i/>
          <w:kern w:val="28"/>
        </w:rPr>
      </w:pPr>
      <w:r w:rsidRPr="004407D9">
        <w:rPr>
          <w:b/>
          <w:kern w:val="28"/>
        </w:rPr>
        <w:t>Item</w:t>
      </w:r>
      <w:r w:rsidR="007F1AFF" w:rsidRPr="004407D9">
        <w:rPr>
          <w:b/>
          <w:kern w:val="28"/>
        </w:rPr>
        <w:t xml:space="preserve"> 1 – Amendment </w:t>
      </w:r>
      <w:r w:rsidR="001062F6" w:rsidRPr="004407D9">
        <w:rPr>
          <w:b/>
          <w:kern w:val="28"/>
        </w:rPr>
        <w:t xml:space="preserve">to </w:t>
      </w:r>
      <w:r w:rsidRPr="004407D9">
        <w:rPr>
          <w:b/>
          <w:kern w:val="28"/>
        </w:rPr>
        <w:t xml:space="preserve">the </w:t>
      </w:r>
      <w:r w:rsidRPr="000533D0">
        <w:rPr>
          <w:b/>
          <w:i/>
          <w:kern w:val="28"/>
        </w:rPr>
        <w:t xml:space="preserve">Business Names Registration (Availability of Names Determination) </w:t>
      </w:r>
      <w:r w:rsidR="000533D0" w:rsidRPr="000533D0">
        <w:rPr>
          <w:b/>
          <w:i/>
          <w:kern w:val="28"/>
        </w:rPr>
        <w:t>2015</w:t>
      </w:r>
    </w:p>
    <w:p w14:paraId="77CB3941" w14:textId="77777777" w:rsidR="004407D9" w:rsidRDefault="004407D9" w:rsidP="00EA4DD8">
      <w:pPr>
        <w:spacing w:before="0" w:after="0"/>
      </w:pPr>
    </w:p>
    <w:p w14:paraId="4A605C1D" w14:textId="77777777" w:rsidR="00C93BC0" w:rsidRDefault="00B90879" w:rsidP="00EA4DD8">
      <w:pPr>
        <w:spacing w:before="0" w:after="0"/>
        <w:rPr>
          <w:kern w:val="28"/>
        </w:rPr>
      </w:pPr>
      <w:r>
        <w:t>Part</w:t>
      </w:r>
      <w:r w:rsidR="00C93BC0">
        <w:t xml:space="preserve"> 1 of Sch</w:t>
      </w:r>
      <w:r w:rsidR="004407D9">
        <w:t xml:space="preserve">edule </w:t>
      </w:r>
      <w:r w:rsidR="000533D0">
        <w:t>2</w:t>
      </w:r>
      <w:r w:rsidR="00C93BC0">
        <w:t xml:space="preserve"> </w:t>
      </w:r>
      <w:r>
        <w:t>to</w:t>
      </w:r>
      <w:r w:rsidR="00C93BC0">
        <w:t xml:space="preserve"> the </w:t>
      </w:r>
      <w:r w:rsidR="00C93BC0" w:rsidRPr="007F1AFF">
        <w:rPr>
          <w:i/>
          <w:kern w:val="28"/>
        </w:rPr>
        <w:t>Business Names Registration (Availability of Names) Determination 2015</w:t>
      </w:r>
      <w:r w:rsidR="00C93BC0">
        <w:rPr>
          <w:kern w:val="28"/>
        </w:rPr>
        <w:t xml:space="preserve"> </w:t>
      </w:r>
      <w:r w:rsidR="00021480">
        <w:rPr>
          <w:kern w:val="28"/>
        </w:rPr>
        <w:t>sets out</w:t>
      </w:r>
      <w:r w:rsidR="00C93BC0">
        <w:rPr>
          <w:kern w:val="28"/>
        </w:rPr>
        <w:t xml:space="preserve"> a list of words or expressions that are </w:t>
      </w:r>
      <w:r w:rsidR="00D34240" w:rsidRPr="00D34240">
        <w:rPr>
          <w:kern w:val="28"/>
        </w:rPr>
        <w:t>unable to be used in a business name registered to an entity under</w:t>
      </w:r>
      <w:r w:rsidR="00D34240">
        <w:rPr>
          <w:kern w:val="28"/>
        </w:rPr>
        <w:t xml:space="preserve"> the Act. Any words or expressions that have the same meaning as the below expressions are also restricted in accordance with subsection 9(2) of the </w:t>
      </w:r>
      <w:r w:rsidR="00D34240" w:rsidRPr="007F1AFF">
        <w:rPr>
          <w:i/>
          <w:kern w:val="28"/>
        </w:rPr>
        <w:t xml:space="preserve">Business Names Registration (Availability of Names) Determination </w:t>
      </w:r>
      <w:r w:rsidR="00D34240" w:rsidRPr="00D34240">
        <w:rPr>
          <w:i/>
          <w:kern w:val="28"/>
        </w:rPr>
        <w:t>2015</w:t>
      </w:r>
      <w:r w:rsidR="00D34240">
        <w:rPr>
          <w:kern w:val="28"/>
        </w:rPr>
        <w:t>.</w:t>
      </w:r>
    </w:p>
    <w:p w14:paraId="6DBAABDC" w14:textId="77777777" w:rsidR="00D34240" w:rsidRPr="00D34240" w:rsidRDefault="00D34240" w:rsidP="00EA4DD8">
      <w:pPr>
        <w:spacing w:before="0" w:after="0"/>
        <w:rPr>
          <w:kern w:val="28"/>
        </w:rPr>
      </w:pPr>
    </w:p>
    <w:p w14:paraId="7CE94FD2" w14:textId="741E47F0" w:rsidR="00F56E29" w:rsidRDefault="000533D0" w:rsidP="00D34240">
      <w:pPr>
        <w:spacing w:before="0" w:after="0"/>
        <w:rPr>
          <w:kern w:val="28"/>
        </w:rPr>
      </w:pPr>
      <w:r>
        <w:rPr>
          <w:kern w:val="28"/>
        </w:rPr>
        <w:t>Item</w:t>
      </w:r>
      <w:r w:rsidR="007F1AFF">
        <w:rPr>
          <w:kern w:val="28"/>
        </w:rPr>
        <w:t xml:space="preserve"> 1</w:t>
      </w:r>
      <w:r w:rsidR="00B90879">
        <w:rPr>
          <w:kern w:val="28"/>
        </w:rPr>
        <w:t xml:space="preserve"> </w:t>
      </w:r>
      <w:r w:rsidR="00C93BC0">
        <w:rPr>
          <w:kern w:val="28"/>
        </w:rPr>
        <w:t>inserts three new expressions into</w:t>
      </w:r>
      <w:r w:rsidR="007F1AFF">
        <w:rPr>
          <w:kern w:val="28"/>
        </w:rPr>
        <w:t xml:space="preserve"> the table </w:t>
      </w:r>
      <w:r w:rsidR="00D34240">
        <w:rPr>
          <w:kern w:val="28"/>
        </w:rPr>
        <w:t>in</w:t>
      </w:r>
      <w:r w:rsidR="007F1AFF">
        <w:rPr>
          <w:kern w:val="28"/>
        </w:rPr>
        <w:t xml:space="preserve"> Part 1 of Schedule 2 of the </w:t>
      </w:r>
      <w:r w:rsidR="007F1AFF" w:rsidRPr="007F1AFF">
        <w:rPr>
          <w:i/>
          <w:kern w:val="28"/>
        </w:rPr>
        <w:t xml:space="preserve">Business Names Registration (Availability of Names) Determination </w:t>
      </w:r>
      <w:r w:rsidR="007F1AFF" w:rsidRPr="00D34240">
        <w:rPr>
          <w:i/>
          <w:kern w:val="28"/>
        </w:rPr>
        <w:t>2015</w:t>
      </w:r>
      <w:r w:rsidR="001B57BF">
        <w:rPr>
          <w:kern w:val="28"/>
        </w:rPr>
        <w:t xml:space="preserve">. </w:t>
      </w:r>
      <w:r w:rsidR="00F56E29">
        <w:rPr>
          <w:kern w:val="28"/>
        </w:rPr>
        <w:t>The inclusion of these</w:t>
      </w:r>
      <w:r w:rsidR="001B57BF">
        <w:rPr>
          <w:kern w:val="28"/>
        </w:rPr>
        <w:t xml:space="preserve"> expressions </w:t>
      </w:r>
      <w:r w:rsidR="00F56E29">
        <w:rPr>
          <w:kern w:val="28"/>
        </w:rPr>
        <w:t xml:space="preserve">are a minor change that </w:t>
      </w:r>
      <w:r w:rsidR="001B57BF">
        <w:rPr>
          <w:kern w:val="28"/>
        </w:rPr>
        <w:t>reflect the kinds of things that are already</w:t>
      </w:r>
      <w:r w:rsidR="00A556B8">
        <w:rPr>
          <w:kern w:val="28"/>
        </w:rPr>
        <w:t xml:space="preserve"> included</w:t>
      </w:r>
      <w:r w:rsidR="001B57BF">
        <w:rPr>
          <w:kern w:val="28"/>
        </w:rPr>
        <w:t xml:space="preserve"> in the Part 1 of S</w:t>
      </w:r>
      <w:r w:rsidR="00F56E29">
        <w:rPr>
          <w:kern w:val="28"/>
        </w:rPr>
        <w:t xml:space="preserve">chedule 2 to the </w:t>
      </w:r>
      <w:r w:rsidR="00F56E29" w:rsidRPr="007F1AFF">
        <w:rPr>
          <w:i/>
          <w:kern w:val="28"/>
        </w:rPr>
        <w:t>Business Names Registration (Availability of Names) Determination 2015</w:t>
      </w:r>
      <w:r w:rsidR="00F56E29">
        <w:rPr>
          <w:kern w:val="28"/>
        </w:rPr>
        <w:t>. The inserted expressions</w:t>
      </w:r>
      <w:r w:rsidR="001B57BF">
        <w:rPr>
          <w:kern w:val="28"/>
        </w:rPr>
        <w:t xml:space="preserve"> relate to</w:t>
      </w:r>
      <w:r w:rsidR="00F56E29">
        <w:rPr>
          <w:kern w:val="28"/>
        </w:rPr>
        <w:t xml:space="preserve"> the</w:t>
      </w:r>
      <w:r w:rsidR="001B57BF">
        <w:rPr>
          <w:kern w:val="28"/>
        </w:rPr>
        <w:t xml:space="preserve"> words associated with an Aboriginal Corporation</w:t>
      </w:r>
      <w:r w:rsidR="00F56E29">
        <w:rPr>
          <w:kern w:val="28"/>
        </w:rPr>
        <w:t>.</w:t>
      </w:r>
    </w:p>
    <w:p w14:paraId="02D9C00E" w14:textId="77777777" w:rsidR="00F56E29" w:rsidRDefault="00F56E29" w:rsidP="00D34240">
      <w:pPr>
        <w:spacing w:before="0" w:after="0"/>
        <w:rPr>
          <w:kern w:val="28"/>
        </w:rPr>
      </w:pPr>
    </w:p>
    <w:p w14:paraId="42096235" w14:textId="03E4C1AF" w:rsidR="001B57BF" w:rsidRDefault="00F56E29" w:rsidP="00D34240">
      <w:pPr>
        <w:spacing w:before="0" w:after="0"/>
        <w:rPr>
          <w:kern w:val="28"/>
        </w:rPr>
      </w:pPr>
      <w:r>
        <w:rPr>
          <w:kern w:val="28"/>
        </w:rPr>
        <w:br w:type="column"/>
      </w:r>
      <w:r w:rsidR="001B57BF">
        <w:rPr>
          <w:kern w:val="28"/>
        </w:rPr>
        <w:lastRenderedPageBreak/>
        <w:t xml:space="preserve">The new expressions </w:t>
      </w:r>
      <w:r>
        <w:rPr>
          <w:kern w:val="28"/>
        </w:rPr>
        <w:t>that have been included are</w:t>
      </w:r>
      <w:r w:rsidR="001B57BF">
        <w:rPr>
          <w:kern w:val="28"/>
        </w:rPr>
        <w:t>:</w:t>
      </w:r>
    </w:p>
    <w:p w14:paraId="576A3AB8" w14:textId="77777777" w:rsidR="007F1AFF" w:rsidRDefault="007F1AFF" w:rsidP="00D34240">
      <w:pPr>
        <w:pStyle w:val="Dotpoint"/>
      </w:pPr>
      <w:r w:rsidRPr="00D34240">
        <w:t>Indigenous</w:t>
      </w:r>
      <w:r>
        <w:t xml:space="preserve"> Corporation</w:t>
      </w:r>
      <w:r w:rsidR="00D34240">
        <w:t>;</w:t>
      </w:r>
    </w:p>
    <w:p w14:paraId="215B77B7" w14:textId="77777777" w:rsidR="007F1AFF" w:rsidRDefault="007F1AFF" w:rsidP="007F1AFF">
      <w:pPr>
        <w:pStyle w:val="Dotpoint"/>
      </w:pPr>
      <w:r>
        <w:t>Aboriginal and Torres S</w:t>
      </w:r>
      <w:r w:rsidR="001062F6">
        <w:t>trait Islander Corporation; and</w:t>
      </w:r>
    </w:p>
    <w:p w14:paraId="4D0C7D46" w14:textId="6FC2A63E" w:rsidR="007F1AFF" w:rsidRDefault="007F1AFF" w:rsidP="007F1AFF">
      <w:pPr>
        <w:pStyle w:val="Dotpoint"/>
      </w:pPr>
      <w:r>
        <w:t>Torres Strait Islander and Aboriginal Corporation</w:t>
      </w:r>
      <w:r w:rsidR="00D34240">
        <w:t>.</w:t>
      </w:r>
    </w:p>
    <w:p w14:paraId="732EBF71" w14:textId="77777777" w:rsidR="004407D9" w:rsidRDefault="000533D0" w:rsidP="004407D9">
      <w:pPr>
        <w:pStyle w:val="Dotpoint"/>
        <w:numPr>
          <w:ilvl w:val="0"/>
          <w:numId w:val="0"/>
        </w:numPr>
        <w:rPr>
          <w:b/>
        </w:rPr>
      </w:pPr>
      <w:r w:rsidRPr="000533D0">
        <w:rPr>
          <w:b/>
        </w:rPr>
        <w:t xml:space="preserve">Item 2 </w:t>
      </w:r>
      <w:r w:rsidRPr="000533D0">
        <w:rPr>
          <w:b/>
          <w:kern w:val="28"/>
        </w:rPr>
        <w:t>– A</w:t>
      </w:r>
      <w:r>
        <w:rPr>
          <w:b/>
        </w:rPr>
        <w:t xml:space="preserve">mendment to the </w:t>
      </w:r>
      <w:r w:rsidRPr="000533D0">
        <w:rPr>
          <w:b/>
          <w:i/>
        </w:rPr>
        <w:t>Crimes (Currency) (Disposal of Condemned Forfeited Articles) Direction 2019</w:t>
      </w:r>
    </w:p>
    <w:p w14:paraId="63734A29" w14:textId="77777777" w:rsidR="00BC1137" w:rsidRDefault="00BC1137" w:rsidP="004407D9">
      <w:pPr>
        <w:pStyle w:val="Dotpoint"/>
        <w:numPr>
          <w:ilvl w:val="0"/>
          <w:numId w:val="0"/>
        </w:numPr>
      </w:pPr>
      <w:r>
        <w:t xml:space="preserve">The </w:t>
      </w:r>
      <w:r w:rsidRPr="000533D0">
        <w:rPr>
          <w:i/>
        </w:rPr>
        <w:t>Crimes (Currency) (Disposal of Condemned Forfeited Articles) Direction 2019</w:t>
      </w:r>
      <w:r>
        <w:t xml:space="preserve"> (2019 Determination) specifies how certain public authorities must deal with an item that is forfeited to the Commonwealth.</w:t>
      </w:r>
    </w:p>
    <w:p w14:paraId="58F0E753" w14:textId="47322732" w:rsidR="000533D0" w:rsidRDefault="000533D0" w:rsidP="004407D9">
      <w:pPr>
        <w:pStyle w:val="Dotpoint"/>
        <w:numPr>
          <w:ilvl w:val="0"/>
          <w:numId w:val="0"/>
        </w:numPr>
      </w:pPr>
      <w:r>
        <w:t xml:space="preserve">Item 2 </w:t>
      </w:r>
      <w:r w:rsidR="0002770E">
        <w:t xml:space="preserve">amends the </w:t>
      </w:r>
      <w:r w:rsidRPr="000533D0">
        <w:t xml:space="preserve">note to section 7 of the </w:t>
      </w:r>
      <w:r w:rsidR="00B24137">
        <w:t>2019 </w:t>
      </w:r>
      <w:r w:rsidR="00BC1137">
        <w:t>Determination</w:t>
      </w:r>
      <w:r>
        <w:t xml:space="preserve"> </w:t>
      </w:r>
      <w:r w:rsidR="001B57BF">
        <w:t>to</w:t>
      </w:r>
      <w:r w:rsidR="0002770E">
        <w:t xml:space="preserve"> make it clear </w:t>
      </w:r>
      <w:r w:rsidR="001B57BF">
        <w:t>that the</w:t>
      </w:r>
      <w:r w:rsidRPr="000533D0">
        <w:t xml:space="preserve"> obligations that lie with the Governor of the Reserve Bank of Australia, the Chief Executive Officer of the Royal Australian Mint, or the Chief Executive of the Australian Office of Financial Management may be undertaken by an official of that Commonwealth entity</w:t>
      </w:r>
      <w:r w:rsidR="00394141">
        <w:t>. The amendments clarifies this by</w:t>
      </w:r>
      <w:r w:rsidR="0002770E">
        <w:t xml:space="preserve"> inserting the relevant section numbers</w:t>
      </w:r>
      <w:r w:rsidR="00394141">
        <w:t xml:space="preserve"> into the </w:t>
      </w:r>
      <w:r w:rsidR="00820834">
        <w:t xml:space="preserve">pre-existing </w:t>
      </w:r>
      <w:r w:rsidR="00394141">
        <w:t>note.</w:t>
      </w:r>
    </w:p>
    <w:p w14:paraId="35305B8F" w14:textId="69D552D6" w:rsidR="00092FA7" w:rsidRDefault="00092FA7" w:rsidP="00092FA7">
      <w:pPr>
        <w:pStyle w:val="Dotpoint"/>
        <w:numPr>
          <w:ilvl w:val="0"/>
          <w:numId w:val="0"/>
        </w:numPr>
        <w:rPr>
          <w:b/>
          <w:i/>
          <w:kern w:val="28"/>
        </w:rPr>
      </w:pPr>
      <w:r>
        <w:rPr>
          <w:b/>
        </w:rPr>
        <w:t xml:space="preserve">Item 3 </w:t>
      </w:r>
      <w:r>
        <w:rPr>
          <w:b/>
          <w:kern w:val="28"/>
        </w:rPr>
        <w:t xml:space="preserve">– Amendment to the </w:t>
      </w:r>
      <w:r>
        <w:rPr>
          <w:b/>
          <w:i/>
          <w:kern w:val="28"/>
        </w:rPr>
        <w:t xml:space="preserve">Federal Financial Relations (National Specific Purpose Payments for 2019-20) Determination 2020 </w:t>
      </w:r>
    </w:p>
    <w:p w14:paraId="26CC96B9" w14:textId="7A4ED6DB" w:rsidR="00092FA7" w:rsidRDefault="00092FA7" w:rsidP="00092FA7">
      <w:pPr>
        <w:pStyle w:val="Dotpoint"/>
        <w:numPr>
          <w:ilvl w:val="0"/>
          <w:numId w:val="0"/>
        </w:numPr>
      </w:pPr>
      <w:r>
        <w:t xml:space="preserve">The </w:t>
      </w:r>
      <w:r w:rsidRPr="00092FA7">
        <w:rPr>
          <w:i/>
        </w:rPr>
        <w:t>Federal Financial Relations (National Specifi</w:t>
      </w:r>
      <w:r w:rsidR="00B373B0">
        <w:rPr>
          <w:i/>
        </w:rPr>
        <w:t xml:space="preserve">c Purpose Payments for 2019-20) </w:t>
      </w:r>
      <w:r w:rsidRPr="00092FA7">
        <w:rPr>
          <w:i/>
        </w:rPr>
        <w:t>Determination 2020</w:t>
      </w:r>
      <w:r>
        <w:rPr>
          <w:i/>
        </w:rPr>
        <w:t xml:space="preserve"> </w:t>
      </w:r>
      <w:r w:rsidRPr="00092FA7">
        <w:t>determine</w:t>
      </w:r>
      <w:r>
        <w:t>s</w:t>
      </w:r>
      <w:r w:rsidRPr="00092FA7">
        <w:t xml:space="preserve"> the manner in which the total amount of all financial assistance payable to the States and Territories for a f</w:t>
      </w:r>
      <w:r w:rsidR="00B373B0">
        <w:t>inancial year under sections 12 </w:t>
      </w:r>
      <w:r w:rsidRPr="00092FA7">
        <w:t xml:space="preserve">and 13 of the </w:t>
      </w:r>
      <w:r>
        <w:rPr>
          <w:i/>
        </w:rPr>
        <w:t>Federal Financial Relations Act</w:t>
      </w:r>
      <w:r w:rsidR="00B373B0">
        <w:rPr>
          <w:i/>
        </w:rPr>
        <w:t xml:space="preserve"> 2009</w:t>
      </w:r>
      <w:r w:rsidRPr="00092FA7">
        <w:t xml:space="preserve"> is to be indexed or adjusted (respectively) for the 2019-20 financial year and the manner in which the total amounts under sections 12 and 13 are to be divided between the States and Territories.</w:t>
      </w:r>
    </w:p>
    <w:p w14:paraId="4E514478" w14:textId="32088FBC" w:rsidR="00092FA7" w:rsidRPr="00092FA7" w:rsidRDefault="00092FA7" w:rsidP="00092FA7">
      <w:pPr>
        <w:pStyle w:val="Dotpoint"/>
        <w:numPr>
          <w:ilvl w:val="0"/>
          <w:numId w:val="0"/>
        </w:numPr>
        <w:rPr>
          <w:b/>
        </w:rPr>
      </w:pPr>
      <w:r>
        <w:t xml:space="preserve">Item 3 makes a technical amendment to substitute the </w:t>
      </w:r>
      <w:r w:rsidR="00820834">
        <w:t xml:space="preserve">year from </w:t>
      </w:r>
      <w:r>
        <w:t xml:space="preserve">“2018-19” to “2019-20” in </w:t>
      </w:r>
      <w:r w:rsidR="00820834">
        <w:t xml:space="preserve">the table heading in </w:t>
      </w:r>
      <w:r>
        <w:t xml:space="preserve">subsection 6(3) of the </w:t>
      </w:r>
      <w:r w:rsidRPr="00092FA7">
        <w:rPr>
          <w:i/>
        </w:rPr>
        <w:t>Federal Financial Relations (National Specific Purpose Payments for 2019-20) Determination 2020</w:t>
      </w:r>
      <w:r w:rsidRPr="00092FA7">
        <w:t>.</w:t>
      </w:r>
      <w:r w:rsidR="004B2654">
        <w:t xml:space="preserve"> This </w:t>
      </w:r>
      <w:r w:rsidR="003374DD">
        <w:t>amendment ensures that the</w:t>
      </w:r>
      <w:r w:rsidR="004D2209" w:rsidRPr="004D2209">
        <w:t xml:space="preserve"> </w:t>
      </w:r>
      <w:r w:rsidR="003374DD">
        <w:t xml:space="preserve">table heading </w:t>
      </w:r>
      <w:r w:rsidR="00820834">
        <w:t xml:space="preserve">properly </w:t>
      </w:r>
      <w:r w:rsidR="003374DD">
        <w:t>reflects</w:t>
      </w:r>
      <w:r w:rsidR="004B2654">
        <w:t xml:space="preserve"> the</w:t>
      </w:r>
      <w:r w:rsidR="003374DD">
        <w:t xml:space="preserve"> correct financial year</w:t>
      </w:r>
      <w:r w:rsidR="004B2654">
        <w:t xml:space="preserve"> </w:t>
      </w:r>
      <w:r w:rsidR="003374DD">
        <w:t xml:space="preserve">for the information </w:t>
      </w:r>
      <w:r w:rsidR="00820834">
        <w:t>as specified in the relevant provision</w:t>
      </w:r>
      <w:r w:rsidR="004D2209">
        <w:t>.</w:t>
      </w:r>
    </w:p>
    <w:p w14:paraId="2CE75297" w14:textId="0A8C8E81" w:rsidR="000533D0" w:rsidRPr="000533D0" w:rsidRDefault="00092FA7" w:rsidP="004407D9">
      <w:pPr>
        <w:pStyle w:val="Dotpoint"/>
        <w:numPr>
          <w:ilvl w:val="0"/>
          <w:numId w:val="0"/>
        </w:numPr>
        <w:rPr>
          <w:b/>
          <w:i/>
        </w:rPr>
      </w:pPr>
      <w:r>
        <w:rPr>
          <w:b/>
        </w:rPr>
        <w:t>Item 4</w:t>
      </w:r>
      <w:r w:rsidR="000533D0">
        <w:rPr>
          <w:b/>
        </w:rPr>
        <w:t xml:space="preserve"> </w:t>
      </w:r>
      <w:r>
        <w:rPr>
          <w:b/>
        </w:rPr>
        <w:t xml:space="preserve">and 5 </w:t>
      </w:r>
      <w:r w:rsidR="000533D0">
        <w:rPr>
          <w:b/>
          <w:kern w:val="28"/>
        </w:rPr>
        <w:t>– Amendment</w:t>
      </w:r>
      <w:r w:rsidR="00855A96">
        <w:rPr>
          <w:b/>
          <w:kern w:val="28"/>
        </w:rPr>
        <w:t>s</w:t>
      </w:r>
      <w:r w:rsidR="000533D0">
        <w:rPr>
          <w:b/>
          <w:kern w:val="28"/>
        </w:rPr>
        <w:t xml:space="preserve"> to the </w:t>
      </w:r>
      <w:r w:rsidR="000533D0">
        <w:rPr>
          <w:b/>
          <w:i/>
          <w:kern w:val="28"/>
        </w:rPr>
        <w:t>Insolvency Practices Rules (Corporations) 2016</w:t>
      </w:r>
    </w:p>
    <w:p w14:paraId="61B67757" w14:textId="37D35741" w:rsidR="004C1200" w:rsidRDefault="000D6E1C" w:rsidP="004C1200">
      <w:pPr>
        <w:spacing w:before="240"/>
      </w:pPr>
      <w:r>
        <w:t xml:space="preserve">In 2018, the Government made the </w:t>
      </w:r>
      <w:r>
        <w:rPr>
          <w:i/>
        </w:rPr>
        <w:t xml:space="preserve">Insolvency Practice Rules (Corporations) Amendment (Restricting Related Creditor Voting Rights) Rules 2018 </w:t>
      </w:r>
      <w:r w:rsidR="003A30B5">
        <w:t>(the 2018 </w:t>
      </w:r>
      <w:r>
        <w:t xml:space="preserve">Amendments). The 2018 Amendments limited related creditors’ voting rights at meetings of creditors to the value of the consideration they paid for an assigned debt. </w:t>
      </w:r>
      <w:r w:rsidR="004C1200">
        <w:t xml:space="preserve">The 2018 Amendments also require external administrators to ask creditors (whether the creditors are related creditors or not) to provide evidence in writing in relation to any assigned debt and the consideration provided for the assignment. The purpose of this amendment was to target illegal </w:t>
      </w:r>
      <w:proofErr w:type="spellStart"/>
      <w:r w:rsidR="004C1200">
        <w:t>phoenixing</w:t>
      </w:r>
      <w:proofErr w:type="spellEnd"/>
      <w:r w:rsidR="004C1200">
        <w:t xml:space="preserve"> activity.</w:t>
      </w:r>
    </w:p>
    <w:p w14:paraId="6FA4111D" w14:textId="1BEC8F69" w:rsidR="000D6E1C" w:rsidRDefault="000D6E1C" w:rsidP="000D6E1C">
      <w:pPr>
        <w:spacing w:before="240"/>
      </w:pPr>
      <w:r>
        <w:t xml:space="preserve">Item </w:t>
      </w:r>
      <w:r w:rsidR="00092FA7">
        <w:t>4</w:t>
      </w:r>
      <w:r>
        <w:t xml:space="preserve"> extends the limitation of related creditors’ voting rights to votes on proposals considered without a meeting of creditors. Section 75-130 of the Rules provides for the passage of resolutions without a meeting of creditors. A resolution is passed if a majority of responding creditors and a majority in value of the responding creditors </w:t>
      </w:r>
      <w:r>
        <w:lastRenderedPageBreak/>
        <w:t xml:space="preserve">approve a resolution, and no more than 25 per cent in value of responding creditors object to the resolution being made without a meeting of creditors. </w:t>
      </w:r>
    </w:p>
    <w:p w14:paraId="4D7DFA87" w14:textId="0D7EE2BC" w:rsidR="004C1200" w:rsidRDefault="004C1200" w:rsidP="004C1200">
      <w:pPr>
        <w:spacing w:before="240"/>
      </w:pPr>
      <w:r>
        <w:t xml:space="preserve">Item </w:t>
      </w:r>
      <w:r w:rsidR="00092FA7">
        <w:t>4</w:t>
      </w:r>
      <w:r w:rsidR="00B90879">
        <w:t xml:space="preserve"> </w:t>
      </w:r>
      <w:r>
        <w:t xml:space="preserve">inserts </w:t>
      </w:r>
      <w:r w:rsidR="000D6E1C">
        <w:t>new</w:t>
      </w:r>
      <w:r>
        <w:t xml:space="preserve"> subsection</w:t>
      </w:r>
      <w:r w:rsidR="000D6E1C">
        <w:t xml:space="preserve"> 75-130(4A) to </w:t>
      </w:r>
      <w:r w:rsidR="000D6E1C" w:rsidRPr="004C1200">
        <w:t>the</w:t>
      </w:r>
      <w:r w:rsidR="000D6E1C" w:rsidRPr="000D6E1C">
        <w:rPr>
          <w:i/>
        </w:rPr>
        <w:t xml:space="preserve"> Insolvency Practices Rules (Corporations) 2016</w:t>
      </w:r>
      <w:r w:rsidR="000D6E1C">
        <w:t xml:space="preserve">, which requires the value of a related creditor to be worked out by taking the value of any assigned debt to be equal to the value of the consideration the related creditor gave for the assignment. </w:t>
      </w:r>
      <w:r>
        <w:t>This fixes an unintended co</w:t>
      </w:r>
      <w:r w:rsidR="00F56E29">
        <w:t>nsequence of the 2018 Amendment that the amendments did not take into account resolutions made on the papers.</w:t>
      </w:r>
    </w:p>
    <w:p w14:paraId="60B9C520" w14:textId="57CD0C0E" w:rsidR="004C1200" w:rsidRDefault="000D6E1C" w:rsidP="000D6E1C">
      <w:pPr>
        <w:spacing w:before="240"/>
      </w:pPr>
      <w:r>
        <w:t>The new rule applies both to working out whether there is a majority in value of responding creditors in favour of a proposal and in working out if 25 per cent in value of those creditors object to the resolution being made with a meeting of creditors.</w:t>
      </w:r>
    </w:p>
    <w:p w14:paraId="785512E4" w14:textId="7054530B" w:rsidR="000D6E1C" w:rsidRDefault="000D6E1C" w:rsidP="000D6E1C">
      <w:pPr>
        <w:spacing w:before="240"/>
      </w:pPr>
      <w:r>
        <w:t>A related creditor is a related entity and also a creditor of the company under administration (subsection 75</w:t>
      </w:r>
      <w:r w:rsidR="005748CD">
        <w:t>-</w:t>
      </w:r>
      <w:r>
        <w:t xml:space="preserve">41(4) of Schedule 2 to </w:t>
      </w:r>
      <w:r w:rsidR="00F56E29">
        <w:t xml:space="preserve">the </w:t>
      </w:r>
      <w:r w:rsidR="00F56E29" w:rsidRPr="00092FA7">
        <w:rPr>
          <w:i/>
        </w:rPr>
        <w:t>Corporations Act</w:t>
      </w:r>
      <w:r w:rsidR="00092FA7" w:rsidRPr="00092FA7">
        <w:rPr>
          <w:i/>
        </w:rPr>
        <w:t xml:space="preserve"> 2001</w:t>
      </w:r>
      <w:r w:rsidR="00F56E29">
        <w:t>). A</w:t>
      </w:r>
      <w:r>
        <w:t xml:space="preserve"> related entity includes company directors, members and their relatives.</w:t>
      </w:r>
    </w:p>
    <w:p w14:paraId="30B67C1A" w14:textId="18458C7A" w:rsidR="000533D0" w:rsidRPr="000533D0" w:rsidRDefault="000D6E1C" w:rsidP="006023CD">
      <w:pPr>
        <w:spacing w:before="240"/>
      </w:pPr>
      <w:r>
        <w:t xml:space="preserve">Item </w:t>
      </w:r>
      <w:r w:rsidR="00092FA7">
        <w:t>5</w:t>
      </w:r>
      <w:r w:rsidR="004C1200">
        <w:t xml:space="preserve"> </w:t>
      </w:r>
      <w:r>
        <w:t>provides that the amendments commenced on the day after they were registered and apply in relation to proposals put to creditors of a company on or after commencement.</w:t>
      </w:r>
    </w:p>
    <w:sectPr w:rsidR="000533D0" w:rsidRPr="000533D0"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8A60" w14:textId="77777777" w:rsidR="00852656" w:rsidRDefault="00852656" w:rsidP="00954679">
      <w:pPr>
        <w:spacing w:before="0" w:after="0"/>
      </w:pPr>
      <w:r>
        <w:separator/>
      </w:r>
    </w:p>
  </w:endnote>
  <w:endnote w:type="continuationSeparator" w:id="0">
    <w:p w14:paraId="4A7A91CA" w14:textId="77777777" w:rsidR="00852656" w:rsidRDefault="0085265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813A" w14:textId="77777777" w:rsidR="00A556B8" w:rsidRDefault="00A5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51B89F9" w14:textId="6463035B"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820DB">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820DB">
              <w:rPr>
                <w:bCs/>
                <w:noProof/>
              </w:rPr>
              <w:t>5</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1CE8" w14:textId="77777777" w:rsidR="00A556B8" w:rsidRDefault="00A55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C45CF" w14:textId="77777777" w:rsidR="00852656" w:rsidRDefault="00852656" w:rsidP="00954679">
      <w:pPr>
        <w:spacing w:before="0" w:after="0"/>
      </w:pPr>
      <w:r>
        <w:separator/>
      </w:r>
    </w:p>
  </w:footnote>
  <w:footnote w:type="continuationSeparator" w:id="0">
    <w:p w14:paraId="39076236" w14:textId="77777777" w:rsidR="00852656" w:rsidRDefault="00852656"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779D" w14:textId="77777777" w:rsidR="00A556B8" w:rsidRDefault="00A5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8766" w14:textId="0591817F" w:rsidR="00A556B8" w:rsidRDefault="00A5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AF05" w14:textId="77777777" w:rsidR="00A556B8" w:rsidRDefault="00A55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173CD2A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56"/>
    <w:rsid w:val="00013390"/>
    <w:rsid w:val="00016EA2"/>
    <w:rsid w:val="00021480"/>
    <w:rsid w:val="0002770E"/>
    <w:rsid w:val="000533D0"/>
    <w:rsid w:val="00076178"/>
    <w:rsid w:val="00092FA7"/>
    <w:rsid w:val="00095211"/>
    <w:rsid w:val="000B39A1"/>
    <w:rsid w:val="000C10DF"/>
    <w:rsid w:val="000C6935"/>
    <w:rsid w:val="000D6E1C"/>
    <w:rsid w:val="001062F6"/>
    <w:rsid w:val="00113B45"/>
    <w:rsid w:val="00114FF4"/>
    <w:rsid w:val="001B57BF"/>
    <w:rsid w:val="001B7535"/>
    <w:rsid w:val="001E6A74"/>
    <w:rsid w:val="001F41D0"/>
    <w:rsid w:val="00220F16"/>
    <w:rsid w:val="002262C3"/>
    <w:rsid w:val="00254C5B"/>
    <w:rsid w:val="002A7E1F"/>
    <w:rsid w:val="002C226C"/>
    <w:rsid w:val="003041FA"/>
    <w:rsid w:val="003307AB"/>
    <w:rsid w:val="003342CD"/>
    <w:rsid w:val="00335042"/>
    <w:rsid w:val="003374DD"/>
    <w:rsid w:val="00362B70"/>
    <w:rsid w:val="00392BBA"/>
    <w:rsid w:val="00394141"/>
    <w:rsid w:val="003954FD"/>
    <w:rsid w:val="003A30B5"/>
    <w:rsid w:val="003A6172"/>
    <w:rsid w:val="003C7907"/>
    <w:rsid w:val="003D60D7"/>
    <w:rsid w:val="003E1CE3"/>
    <w:rsid w:val="003F555A"/>
    <w:rsid w:val="004243EA"/>
    <w:rsid w:val="004407D9"/>
    <w:rsid w:val="00462095"/>
    <w:rsid w:val="00482B81"/>
    <w:rsid w:val="00482D4C"/>
    <w:rsid w:val="004B2654"/>
    <w:rsid w:val="004B3C0F"/>
    <w:rsid w:val="004C05E4"/>
    <w:rsid w:val="004C1200"/>
    <w:rsid w:val="004D2209"/>
    <w:rsid w:val="004E39E1"/>
    <w:rsid w:val="004F56D0"/>
    <w:rsid w:val="00503E44"/>
    <w:rsid w:val="00515283"/>
    <w:rsid w:val="00533926"/>
    <w:rsid w:val="005557D7"/>
    <w:rsid w:val="0055675D"/>
    <w:rsid w:val="00566E8F"/>
    <w:rsid w:val="0057422E"/>
    <w:rsid w:val="005748CD"/>
    <w:rsid w:val="005833BE"/>
    <w:rsid w:val="005A1028"/>
    <w:rsid w:val="005A75A9"/>
    <w:rsid w:val="005D7D5A"/>
    <w:rsid w:val="005E4BAC"/>
    <w:rsid w:val="0060130D"/>
    <w:rsid w:val="006023CD"/>
    <w:rsid w:val="00625AF2"/>
    <w:rsid w:val="0064129F"/>
    <w:rsid w:val="00647BB7"/>
    <w:rsid w:val="00680297"/>
    <w:rsid w:val="006873CE"/>
    <w:rsid w:val="006A0786"/>
    <w:rsid w:val="006B64AC"/>
    <w:rsid w:val="006F470D"/>
    <w:rsid w:val="00710E94"/>
    <w:rsid w:val="00727D8A"/>
    <w:rsid w:val="00731FEA"/>
    <w:rsid w:val="00736C2D"/>
    <w:rsid w:val="00736F61"/>
    <w:rsid w:val="00742253"/>
    <w:rsid w:val="007662C7"/>
    <w:rsid w:val="00776306"/>
    <w:rsid w:val="007A508D"/>
    <w:rsid w:val="007A55A7"/>
    <w:rsid w:val="007B1F10"/>
    <w:rsid w:val="007B335E"/>
    <w:rsid w:val="007E018D"/>
    <w:rsid w:val="007F1AFF"/>
    <w:rsid w:val="007F1B71"/>
    <w:rsid w:val="00807E7D"/>
    <w:rsid w:val="00814205"/>
    <w:rsid w:val="00820834"/>
    <w:rsid w:val="00831675"/>
    <w:rsid w:val="00852656"/>
    <w:rsid w:val="00855A96"/>
    <w:rsid w:val="0088467C"/>
    <w:rsid w:val="00894579"/>
    <w:rsid w:val="008A5B67"/>
    <w:rsid w:val="008C149E"/>
    <w:rsid w:val="008D16F7"/>
    <w:rsid w:val="008E1427"/>
    <w:rsid w:val="008E4935"/>
    <w:rsid w:val="009143A0"/>
    <w:rsid w:val="00936902"/>
    <w:rsid w:val="00954679"/>
    <w:rsid w:val="00982E21"/>
    <w:rsid w:val="009C1F8B"/>
    <w:rsid w:val="009C6A1E"/>
    <w:rsid w:val="009E2F86"/>
    <w:rsid w:val="009E59C4"/>
    <w:rsid w:val="009E7E4B"/>
    <w:rsid w:val="00A12209"/>
    <w:rsid w:val="00A36DF3"/>
    <w:rsid w:val="00A532DD"/>
    <w:rsid w:val="00A556B8"/>
    <w:rsid w:val="00A7726C"/>
    <w:rsid w:val="00A80BCF"/>
    <w:rsid w:val="00A8369C"/>
    <w:rsid w:val="00A90E0F"/>
    <w:rsid w:val="00AA1689"/>
    <w:rsid w:val="00AA5770"/>
    <w:rsid w:val="00AC1D15"/>
    <w:rsid w:val="00AC587B"/>
    <w:rsid w:val="00AD6FAC"/>
    <w:rsid w:val="00B07B0C"/>
    <w:rsid w:val="00B24137"/>
    <w:rsid w:val="00B25563"/>
    <w:rsid w:val="00B26D48"/>
    <w:rsid w:val="00B36775"/>
    <w:rsid w:val="00B373B0"/>
    <w:rsid w:val="00B42EE1"/>
    <w:rsid w:val="00B8293D"/>
    <w:rsid w:val="00B90879"/>
    <w:rsid w:val="00B92478"/>
    <w:rsid w:val="00BA6188"/>
    <w:rsid w:val="00BC1137"/>
    <w:rsid w:val="00BD61A2"/>
    <w:rsid w:val="00BE484D"/>
    <w:rsid w:val="00C051BC"/>
    <w:rsid w:val="00C37E05"/>
    <w:rsid w:val="00C55D29"/>
    <w:rsid w:val="00C93BC0"/>
    <w:rsid w:val="00CA0BE9"/>
    <w:rsid w:val="00CA138D"/>
    <w:rsid w:val="00CC7641"/>
    <w:rsid w:val="00CD127D"/>
    <w:rsid w:val="00D13794"/>
    <w:rsid w:val="00D24052"/>
    <w:rsid w:val="00D24386"/>
    <w:rsid w:val="00D31575"/>
    <w:rsid w:val="00D34240"/>
    <w:rsid w:val="00D34626"/>
    <w:rsid w:val="00D34FB4"/>
    <w:rsid w:val="00D36C2E"/>
    <w:rsid w:val="00D4257A"/>
    <w:rsid w:val="00D437BF"/>
    <w:rsid w:val="00D62665"/>
    <w:rsid w:val="00D820DB"/>
    <w:rsid w:val="00D82E47"/>
    <w:rsid w:val="00DC0CDE"/>
    <w:rsid w:val="00DC4D72"/>
    <w:rsid w:val="00E0624D"/>
    <w:rsid w:val="00E3024E"/>
    <w:rsid w:val="00E4438C"/>
    <w:rsid w:val="00E457F3"/>
    <w:rsid w:val="00EA4DD8"/>
    <w:rsid w:val="00EA6155"/>
    <w:rsid w:val="00EB2AEF"/>
    <w:rsid w:val="00EB7E71"/>
    <w:rsid w:val="00F109D4"/>
    <w:rsid w:val="00F146FD"/>
    <w:rsid w:val="00F15EE9"/>
    <w:rsid w:val="00F33F98"/>
    <w:rsid w:val="00F36F5D"/>
    <w:rsid w:val="00F47585"/>
    <w:rsid w:val="00F56E29"/>
    <w:rsid w:val="00F85E6F"/>
    <w:rsid w:val="00FC7DC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685693"/>
  <w15:docId w15:val="{4E75A8E1-70CA-4BA9-B9C9-65FE8D1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5A"/>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2393">
      <w:bodyDiv w:val="1"/>
      <w:marLeft w:val="0"/>
      <w:marRight w:val="0"/>
      <w:marTop w:val="0"/>
      <w:marBottom w:val="0"/>
      <w:divBdr>
        <w:top w:val="none" w:sz="0" w:space="0" w:color="auto"/>
        <w:left w:val="none" w:sz="0" w:space="0" w:color="auto"/>
        <w:bottom w:val="none" w:sz="0" w:space="0" w:color="auto"/>
        <w:right w:val="none" w:sz="0" w:space="0" w:color="auto"/>
      </w:divBdr>
    </w:div>
    <w:div w:id="495002915">
      <w:bodyDiv w:val="1"/>
      <w:marLeft w:val="0"/>
      <w:marRight w:val="0"/>
      <w:marTop w:val="0"/>
      <w:marBottom w:val="0"/>
      <w:divBdr>
        <w:top w:val="none" w:sz="0" w:space="0" w:color="auto"/>
        <w:left w:val="none" w:sz="0" w:space="0" w:color="auto"/>
        <w:bottom w:val="none" w:sz="0" w:space="0" w:color="auto"/>
        <w:right w:val="none" w:sz="0" w:space="0" w:color="auto"/>
      </w:divBdr>
    </w:div>
    <w:div w:id="693993216">
      <w:bodyDiv w:val="1"/>
      <w:marLeft w:val="0"/>
      <w:marRight w:val="0"/>
      <w:marTop w:val="0"/>
      <w:marBottom w:val="0"/>
      <w:divBdr>
        <w:top w:val="none" w:sz="0" w:space="0" w:color="auto"/>
        <w:left w:val="none" w:sz="0" w:space="0" w:color="auto"/>
        <w:bottom w:val="none" w:sz="0" w:space="0" w:color="auto"/>
        <w:right w:val="none" w:sz="0" w:space="0" w:color="auto"/>
      </w:divBdr>
    </w:div>
    <w:div w:id="1024138580">
      <w:bodyDiv w:val="1"/>
      <w:marLeft w:val="0"/>
      <w:marRight w:val="0"/>
      <w:marTop w:val="0"/>
      <w:marBottom w:val="0"/>
      <w:divBdr>
        <w:top w:val="none" w:sz="0" w:space="0" w:color="auto"/>
        <w:left w:val="none" w:sz="0" w:space="0" w:color="auto"/>
        <w:bottom w:val="none" w:sz="0" w:space="0" w:color="auto"/>
        <w:right w:val="none" w:sz="0" w:space="0" w:color="auto"/>
      </w:divBdr>
    </w:div>
    <w:div w:id="1399480692">
      <w:bodyDiv w:val="1"/>
      <w:marLeft w:val="0"/>
      <w:marRight w:val="0"/>
      <w:marTop w:val="0"/>
      <w:marBottom w:val="0"/>
      <w:divBdr>
        <w:top w:val="none" w:sz="0" w:space="0" w:color="auto"/>
        <w:left w:val="none" w:sz="0" w:space="0" w:color="auto"/>
        <w:bottom w:val="none" w:sz="0" w:space="0" w:color="auto"/>
        <w:right w:val="none" w:sz="0" w:space="0" w:color="auto"/>
      </w:divBdr>
    </w:div>
    <w:div w:id="1590043294">
      <w:bodyDiv w:val="1"/>
      <w:marLeft w:val="0"/>
      <w:marRight w:val="0"/>
      <w:marTop w:val="0"/>
      <w:marBottom w:val="0"/>
      <w:divBdr>
        <w:top w:val="none" w:sz="0" w:space="0" w:color="auto"/>
        <w:left w:val="none" w:sz="0" w:space="0" w:color="auto"/>
        <w:bottom w:val="none" w:sz="0" w:space="0" w:color="auto"/>
        <w:right w:val="none" w:sz="0" w:space="0" w:color="auto"/>
      </w:divBdr>
    </w:div>
    <w:div w:id="1628395966">
      <w:bodyDiv w:val="1"/>
      <w:marLeft w:val="0"/>
      <w:marRight w:val="0"/>
      <w:marTop w:val="0"/>
      <w:marBottom w:val="0"/>
      <w:divBdr>
        <w:top w:val="none" w:sz="0" w:space="0" w:color="auto"/>
        <w:left w:val="none" w:sz="0" w:space="0" w:color="auto"/>
        <w:bottom w:val="none" w:sz="0" w:space="0" w:color="auto"/>
        <w:right w:val="none" w:sz="0" w:space="0" w:color="auto"/>
      </w:divBdr>
    </w:div>
    <w:div w:id="180927395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36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A69A38BC3B4908AC85C9AFFEE75154"/>
        <w:category>
          <w:name w:val="General"/>
          <w:gallery w:val="placeholder"/>
        </w:category>
        <w:types>
          <w:type w:val="bbPlcHdr"/>
        </w:types>
        <w:behaviors>
          <w:behavior w:val="content"/>
        </w:behaviors>
        <w:guid w:val="{AC944D92-209A-497D-A807-F1A02ADD0B30}"/>
      </w:docPartPr>
      <w:docPartBody>
        <w:p w:rsidR="005968E4" w:rsidRDefault="005968E4">
          <w:pPr>
            <w:pStyle w:val="CBA69A38BC3B4908AC85C9AFFEE75154"/>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E4"/>
    <w:rsid w:val="00596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A69A38BC3B4908AC85C9AFFEE75154">
    <w:name w:val="CBA69A38BC3B4908AC85C9AFFEE75154"/>
  </w:style>
  <w:style w:type="paragraph" w:customStyle="1" w:styleId="18DD9569AFB94613918E1163DA09DEF1">
    <w:name w:val="18DD9569AFB94613918E1163DA09DEF1"/>
  </w:style>
  <w:style w:type="paragraph" w:customStyle="1" w:styleId="231BF7A181F046459E21DC0DE569F194">
    <w:name w:val="231BF7A181F046459E21DC0DE569F194"/>
  </w:style>
  <w:style w:type="paragraph" w:customStyle="1" w:styleId="161E5FD4DA8F4BB3AEE6D710769823AA">
    <w:name w:val="161E5FD4DA8F4BB3AEE6D71076982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2020RG-136-56334</_dlc_DocId>
    <_dlc_DocIdUrl xmlns="0f563589-9cf9-4143-b1eb-fb0534803d38">
      <Url>http://tweb/sites/rg/ldp/_layouts/15/DocIdRedir.aspx?ID=2020RG-136-56334</Url>
      <Description>2020RG-136-56334</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905" ma:contentTypeDescription="" ma:contentTypeScope="" ma:versionID="49b5e4e5d4480bf42c0dd78e4550af9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08F20B96-B74F-4CC9-9F7E-29D79254B8DF}">
  <ds:schemaRefs>
    <ds:schemaRef ds:uri="http://schemas.microsoft.com/sharepoint/events"/>
  </ds:schemaRefs>
</ds:datastoreItem>
</file>

<file path=customXml/itemProps4.xml><?xml version="1.0" encoding="utf-8"?>
<ds:datastoreItem xmlns:ds="http://schemas.openxmlformats.org/officeDocument/2006/customXml" ds:itemID="{59F337F6-18D2-41BA-B71A-5EA054F00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AF882804-E19A-4094-8E67-01ABC836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5</Pages>
  <Words>1425</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Shaw, Katherine</dc:creator>
  <cp:lastModifiedBy>Lloyd, Madeleine</cp:lastModifiedBy>
  <cp:revision>3</cp:revision>
  <cp:lastPrinted>2020-09-09T04:21:00Z</cp:lastPrinted>
  <dcterms:created xsi:type="dcterms:W3CDTF">2020-10-21T03:06:00Z</dcterms:created>
  <dcterms:modified xsi:type="dcterms:W3CDTF">2020-10-21T03:11:00Z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_dlc_DocIdItemGuid">
    <vt:lpwstr>c3a6be31-7c06-45f6-9cbd-96ebe8a87094</vt:lpwstr>
  </property>
  <property fmtid="{D5CDD505-2E9C-101B-9397-08002B2CF9AE}" pid="6" name="TSYTopic">
    <vt:lpwstr/>
  </property>
  <property fmtid="{D5CDD505-2E9C-101B-9397-08002B2CF9AE}" pid="7" name="RecordPoint_WorkflowType">
    <vt:lpwstr>ActiveSubmitStub</vt:lpwstr>
  </property>
  <property fmtid="{D5CDD505-2E9C-101B-9397-08002B2CF9AE}" pid="8" name="RecordPoint_ActiveItemListId">
    <vt:lpwstr>{687b78b0-2ddd-4441-8a8b-c9638c2a1939}</vt:lpwstr>
  </property>
  <property fmtid="{D5CDD505-2E9C-101B-9397-08002B2CF9AE}" pid="9" name="RecordPoint_ActiveItemUniqueId">
    <vt:lpwstr>{16bcb65d-8acb-49e8-b07f-5032751dc61a}</vt:lpwstr>
  </property>
  <property fmtid="{D5CDD505-2E9C-101B-9397-08002B2CF9AE}" pid="10" name="RecordPoint_ActiveItemWebId">
    <vt:lpwstr>{09392e0d-4618-463d-b4d2-50a90b9447cf}</vt:lpwstr>
  </property>
  <property fmtid="{D5CDD505-2E9C-101B-9397-08002B2CF9AE}" pid="11" name="RecordPoint_ActiveItemSiteId">
    <vt:lpwstr>{5b52b9a5-e5b2-4521-8814-a1e24ca2869d}</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ies>
</file>