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4DE" w:rsidRDefault="00EB74DE" w:rsidP="00EB74D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Amanda Orr &lt;orr_amanda@hotmail.com&gt;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Draft Legislation Feedback from Australian Taxpayer and Voter ECONOMY WIDE CASH PAYMENT LIMIT</w:t>
      </w:r>
    </w:p>
    <w:p w:rsidR="00EB74DE" w:rsidRDefault="00EB74DE" w:rsidP="00EB74DE"/>
    <w:p w:rsidR="00EB74DE" w:rsidRDefault="00EB74DE" w:rsidP="00EB74DE">
      <w:pPr>
        <w:rPr>
          <w:rFonts w:ascii="Calibri" w:eastAsia="Times New Roman" w:hAnsi="Calibri"/>
          <w:color w:val="000000"/>
        </w:rPr>
      </w:pPr>
      <w:r>
        <w:rPr>
          <w:rFonts w:ascii="Calibri" w:eastAsia="Times New Roman" w:hAnsi="Calibri"/>
          <w:color w:val="000000"/>
        </w:rPr>
        <w:t>Dear Sir/Madam,</w:t>
      </w:r>
    </w:p>
    <w:p w:rsidR="00EB74DE" w:rsidRDefault="00EB74DE" w:rsidP="00EB74DE">
      <w:pPr>
        <w:rPr>
          <w:rFonts w:ascii="Calibri" w:eastAsia="Times New Roman" w:hAnsi="Calibri"/>
          <w:color w:val="000000"/>
        </w:rPr>
      </w:pPr>
    </w:p>
    <w:p w:rsidR="00EB74DE" w:rsidRDefault="00EB74DE" w:rsidP="00EB74DE">
      <w:pPr>
        <w:rPr>
          <w:rFonts w:ascii="Calibri" w:eastAsia="Times New Roman" w:hAnsi="Calibri"/>
          <w:color w:val="000000"/>
        </w:rPr>
      </w:pPr>
      <w:r>
        <w:rPr>
          <w:rFonts w:ascii="Calibri" w:eastAsia="Times New Roman" w:hAnsi="Calibri"/>
          <w:color w:val="000000"/>
        </w:rPr>
        <w:t>RE: ECONOMY WIDE CASH PAYMENT</w:t>
      </w:r>
    </w:p>
    <w:p w:rsidR="00EB74DE" w:rsidRDefault="00EB74DE" w:rsidP="00EB74DE">
      <w:pPr>
        <w:rPr>
          <w:rFonts w:ascii="Calibri" w:eastAsia="Times New Roman" w:hAnsi="Calibri"/>
          <w:color w:val="000000"/>
        </w:rPr>
      </w:pPr>
    </w:p>
    <w:p w:rsidR="00EB74DE" w:rsidRDefault="00EB74DE" w:rsidP="00EB74DE">
      <w:pPr>
        <w:rPr>
          <w:rFonts w:ascii="Calibri" w:eastAsia="Times New Roman" w:hAnsi="Calibri"/>
          <w:color w:val="000000"/>
        </w:rPr>
      </w:pPr>
      <w:r>
        <w:rPr>
          <w:rFonts w:ascii="Calibri" w:eastAsia="Times New Roman" w:hAnsi="Calibri"/>
          <w:color w:val="000000"/>
        </w:rPr>
        <w:t>As a 39 year old registered female voter of Australia I wish to record my complete denial and vehement position AGAINST this bill. </w:t>
      </w:r>
    </w:p>
    <w:p w:rsidR="00EB74DE" w:rsidRDefault="00EB74DE" w:rsidP="00EB74DE">
      <w:pPr>
        <w:rPr>
          <w:rFonts w:ascii="Calibri" w:eastAsia="Times New Roman" w:hAnsi="Calibri"/>
          <w:color w:val="000000"/>
        </w:rPr>
      </w:pPr>
    </w:p>
    <w:p w:rsidR="00EB74DE" w:rsidRDefault="00EB74DE" w:rsidP="00EB74DE">
      <w:pPr>
        <w:rPr>
          <w:rFonts w:ascii="Calibri" w:eastAsia="Times New Roman" w:hAnsi="Calibri"/>
          <w:color w:val="000000"/>
        </w:rPr>
      </w:pPr>
      <w:r>
        <w:rPr>
          <w:rFonts w:ascii="Calibri" w:eastAsia="Times New Roman" w:hAnsi="Calibri"/>
          <w:color w:val="000000"/>
        </w:rPr>
        <w:t>I DO NOT wish to have any kind of cash transaction limit in my life - I love using cash</w:t>
      </w:r>
      <w:proofErr w:type="gramStart"/>
      <w:r>
        <w:rPr>
          <w:rFonts w:ascii="Calibri" w:eastAsia="Times New Roman" w:hAnsi="Calibri"/>
          <w:color w:val="000000"/>
        </w:rPr>
        <w:t>  I</w:t>
      </w:r>
      <w:proofErr w:type="gramEnd"/>
      <w:r>
        <w:rPr>
          <w:rFonts w:ascii="Calibri" w:eastAsia="Times New Roman" w:hAnsi="Calibri"/>
          <w:color w:val="000000"/>
        </w:rPr>
        <w:t xml:space="preserve"> love the smell, the feeling and the heritage of our cash money.  I want to be able to use it as I please and pay for whatever I want with it!</w:t>
      </w:r>
    </w:p>
    <w:p w:rsidR="00EB74DE" w:rsidRDefault="00EB74DE" w:rsidP="00EB74DE">
      <w:pPr>
        <w:rPr>
          <w:rFonts w:ascii="Calibri" w:eastAsia="Times New Roman" w:hAnsi="Calibri"/>
          <w:color w:val="000000"/>
        </w:rPr>
      </w:pPr>
    </w:p>
    <w:p w:rsidR="00EB74DE" w:rsidRDefault="00EB74DE" w:rsidP="00EB74DE">
      <w:pPr>
        <w:rPr>
          <w:rFonts w:ascii="Calibri" w:eastAsia="Times New Roman" w:hAnsi="Calibri"/>
          <w:color w:val="000000"/>
        </w:rPr>
      </w:pPr>
      <w:r>
        <w:rPr>
          <w:rFonts w:ascii="Calibri" w:eastAsia="Times New Roman" w:hAnsi="Calibri"/>
          <w:color w:val="000000"/>
        </w:rPr>
        <w:t>Stop limiting our freedoms in this Country - you are taking away what makes Australia great.  Bit by Bit eroding the very fabric of our wonderful society.  How can you look in the mirror and at your children knowing that you are destroying our freedoms for the generations to come?</w:t>
      </w:r>
      <w:r>
        <w:rPr>
          <w:rFonts w:ascii="Calibri" w:eastAsia="Times New Roman" w:hAnsi="Calibri"/>
          <w:color w:val="000000"/>
        </w:rPr>
        <w:br/>
      </w:r>
      <w:r>
        <w:rPr>
          <w:rFonts w:ascii="Calibri" w:eastAsia="Times New Roman" w:hAnsi="Calibri"/>
          <w:color w:val="000000"/>
        </w:rPr>
        <w:br/>
        <w:t>Regards,</w:t>
      </w:r>
    </w:p>
    <w:p w:rsidR="00EB74DE" w:rsidRDefault="00EB74DE" w:rsidP="00EB74DE">
      <w:pPr>
        <w:rPr>
          <w:rFonts w:ascii="Calibri" w:eastAsia="Times New Roman" w:hAnsi="Calibri"/>
          <w:color w:val="000000"/>
        </w:rPr>
      </w:pPr>
      <w:r>
        <w:rPr>
          <w:rFonts w:ascii="Calibri" w:eastAsia="Times New Roman" w:hAnsi="Calibri"/>
          <w:color w:val="000000"/>
        </w:rPr>
        <w:t>Amanda Orr</w:t>
      </w:r>
    </w:p>
    <w:p w:rsidR="00EB74DE" w:rsidRDefault="00EB74DE" w:rsidP="00EB74DE">
      <w:pPr>
        <w:rPr>
          <w:rFonts w:ascii="Calibri" w:eastAsia="Times New Roman" w:hAnsi="Calibri"/>
          <w:color w:val="000000"/>
        </w:rPr>
      </w:pPr>
      <w:r>
        <w:rPr>
          <w:rFonts w:ascii="Calibri" w:eastAsia="Times New Roman" w:hAnsi="Calibri"/>
          <w:color w:val="000000"/>
        </w:rPr>
        <w:t>0403291849</w:t>
      </w:r>
    </w:p>
    <w:p w:rsidR="00EB74DE" w:rsidRDefault="00EB74DE" w:rsidP="00EB74DE">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EB74DE" w:rsidTr="00EB74DE">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EB74DE" w:rsidRDefault="00EB74DE">
            <w:pPr>
              <w:rPr>
                <w:rFonts w:eastAsia="Times New Roman"/>
              </w:rPr>
            </w:pPr>
            <w:r>
              <w:rPr>
                <w:rFonts w:eastAsia="Times New Roman"/>
                <w:noProof/>
                <w:color w:val="0000FF"/>
              </w:rPr>
              <w:drawing>
                <wp:inline distT="0" distB="0" distL="0" distR="0">
                  <wp:extent cx="438150" cy="276225"/>
                  <wp:effectExtent l="0" t="0" r="0" b="9525"/>
                  <wp:docPr id="8" name="Picture 8" descr="https://ipmcdn.avast.com/images/icons/icon-envelope-tick-round-orange-animated-no-repeat-v1.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ipmcdn.avast.com/images/icons/icon-envelope-tick-round-orange-animated-no-repeat-v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EB74DE" w:rsidRDefault="00EB74DE">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7"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0"/>
    </w:tbl>
    <w:p w:rsidR="00EB74DE" w:rsidRDefault="00EB74DE" w:rsidP="00EB74DE">
      <w:pPr>
        <w:rPr>
          <w:rFonts w:eastAsia="Times New Roman"/>
        </w:rPr>
      </w:pPr>
    </w:p>
    <w:p w:rsidR="00656DAA" w:rsidRDefault="00656DAA" w:rsidP="00656DAA">
      <w:pPr>
        <w:pStyle w:val="western"/>
      </w:pPr>
      <w:bookmarkStart w:id="1" w:name="_GoBack"/>
      <w:bookmarkEnd w:id="1"/>
    </w:p>
    <w:p w:rsidR="00CE7DED" w:rsidRPr="00656DAA" w:rsidRDefault="00EB74DE" w:rsidP="00656DAA"/>
    <w:sectPr w:rsidR="00CE7DED" w:rsidRPr="00656D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B74DE"/>
    <w:rsid w:val="00ED75FC"/>
    <w:rsid w:val="00F46563"/>
    <w:rsid w:val="00F55E27"/>
    <w:rsid w:val="00F641E7"/>
    <w:rsid w:val="00FA1F67"/>
    <w:rsid w:val="00FD28FE"/>
    <w:rsid w:val="00FD4FA8"/>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ast.com/sig-email?utm_medium=email&amp;utm_source=link&amp;utm_campaign=sig-email&amp;utm_content=web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avast.com/sig-email?utm_medium=email&amp;utm_source=link&amp;utm_campaign=sig-email&amp;utm_content=webmai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2019-09-30T05:45:00Z</dcterms:created>
  <dcterms:modified xsi:type="dcterms:W3CDTF">2019-09-30T05:45:00Z</dcterms:modified>
</cp:coreProperties>
</file>