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71F" w:rsidRDefault="0040671F" w:rsidP="0040671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adrian</w:t>
      </w:r>
      <w:proofErr w:type="spellEnd"/>
      <w:proofErr w:type="gramEnd"/>
      <w:r>
        <w:rPr>
          <w:rFonts w:ascii="Calibri" w:eastAsia="Times New Roman" w:hAnsi="Calibri"/>
          <w:sz w:val="22"/>
          <w:szCs w:val="22"/>
          <w:lang w:val="en-US"/>
        </w:rPr>
        <w:t xml:space="preserve"> &lt;adrian@ogrady.id.au&gt;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40671F" w:rsidRDefault="0040671F" w:rsidP="0040671F"/>
    <w:p w:rsidR="0040671F" w:rsidRDefault="0040671F" w:rsidP="0040671F">
      <w:pPr>
        <w:rPr>
          <w:rFonts w:eastAsia="Times New Roman"/>
        </w:rPr>
      </w:pPr>
      <w:r>
        <w:rPr>
          <w:rFonts w:eastAsia="Times New Roman"/>
        </w:rPr>
        <w:t>11 August 2019</w:t>
      </w:r>
    </w:p>
    <w:p w:rsidR="0040671F" w:rsidRDefault="0040671F" w:rsidP="0040671F">
      <w:pPr>
        <w:rPr>
          <w:rFonts w:eastAsia="Times New Roman"/>
        </w:rPr>
      </w:pPr>
    </w:p>
    <w:p w:rsidR="0040671F" w:rsidRDefault="0040671F" w:rsidP="0040671F">
      <w:pPr>
        <w:rPr>
          <w:rFonts w:eastAsia="Times New Roman"/>
        </w:rPr>
      </w:pPr>
      <w:r>
        <w:rPr>
          <w:rFonts w:eastAsia="Times New Roman"/>
        </w:rPr>
        <w:t>Manager</w:t>
      </w:r>
    </w:p>
    <w:p w:rsidR="0040671F" w:rsidRDefault="0040671F" w:rsidP="0040671F">
      <w:pPr>
        <w:rPr>
          <w:rFonts w:eastAsia="Times New Roman"/>
        </w:rPr>
      </w:pPr>
      <w:r>
        <w:rPr>
          <w:rFonts w:eastAsia="Times New Roman"/>
        </w:rPr>
        <w:t>Black Economy Division</w:t>
      </w:r>
    </w:p>
    <w:p w:rsidR="0040671F" w:rsidRDefault="0040671F" w:rsidP="0040671F">
      <w:pPr>
        <w:rPr>
          <w:rFonts w:eastAsia="Times New Roman"/>
        </w:rPr>
      </w:pPr>
      <w:r>
        <w:rPr>
          <w:rFonts w:eastAsia="Times New Roman"/>
        </w:rPr>
        <w:t>The Treasury</w:t>
      </w:r>
    </w:p>
    <w:p w:rsidR="0040671F" w:rsidRDefault="0040671F" w:rsidP="0040671F">
      <w:pPr>
        <w:rPr>
          <w:rFonts w:eastAsia="Times New Roman"/>
        </w:rPr>
      </w:pPr>
      <w:r>
        <w:rPr>
          <w:rFonts w:eastAsia="Times New Roman"/>
        </w:rPr>
        <w:t>Langton Crescent</w:t>
      </w:r>
    </w:p>
    <w:p w:rsidR="0040671F" w:rsidRDefault="0040671F" w:rsidP="0040671F">
      <w:pPr>
        <w:rPr>
          <w:rFonts w:eastAsia="Times New Roman"/>
        </w:rPr>
      </w:pPr>
      <w:r>
        <w:rPr>
          <w:rFonts w:eastAsia="Times New Roman"/>
        </w:rPr>
        <w:t>PARKES ACT 2600</w:t>
      </w:r>
    </w:p>
    <w:p w:rsidR="0040671F" w:rsidRDefault="0040671F" w:rsidP="0040671F">
      <w:pPr>
        <w:rPr>
          <w:rFonts w:eastAsia="Times New Roman"/>
        </w:rPr>
      </w:pPr>
    </w:p>
    <w:p w:rsidR="0040671F" w:rsidRDefault="0040671F" w:rsidP="0040671F">
      <w:pPr>
        <w:rPr>
          <w:rFonts w:eastAsia="Times New Roman"/>
        </w:rPr>
      </w:pPr>
    </w:p>
    <w:p w:rsidR="0040671F" w:rsidRDefault="0040671F" w:rsidP="0040671F">
      <w:pPr>
        <w:rPr>
          <w:rFonts w:eastAsia="Times New Roman"/>
        </w:rPr>
      </w:pPr>
      <w:r>
        <w:rPr>
          <w:rFonts w:eastAsia="Times New Roman"/>
        </w:rPr>
        <w:t>Dear Manager, </w:t>
      </w:r>
    </w:p>
    <w:p w:rsidR="0040671F" w:rsidRDefault="0040671F" w:rsidP="0040671F">
      <w:pPr>
        <w:rPr>
          <w:rFonts w:eastAsia="Times New Roman"/>
        </w:rPr>
      </w:pPr>
    </w:p>
    <w:p w:rsidR="0040671F" w:rsidRDefault="0040671F" w:rsidP="0040671F">
      <w:pPr>
        <w:rPr>
          <w:rFonts w:eastAsia="Times New Roman"/>
        </w:rPr>
      </w:pPr>
      <w:r>
        <w:rPr>
          <w:rFonts w:eastAsia="Times New Roman"/>
        </w:rPr>
        <w:t>Re: Currency (Restrictions on the Use of Cash) Bill 2019</w:t>
      </w:r>
    </w:p>
    <w:p w:rsidR="0040671F" w:rsidRDefault="0040671F" w:rsidP="0040671F">
      <w:pPr>
        <w:rPr>
          <w:rFonts w:eastAsia="Times New Roman"/>
        </w:rPr>
      </w:pPr>
    </w:p>
    <w:p w:rsidR="0040671F" w:rsidRDefault="0040671F" w:rsidP="0040671F">
      <w:pPr>
        <w:rPr>
          <w:rFonts w:eastAsia="Times New Roman"/>
        </w:rPr>
      </w:pPr>
      <w:r>
        <w:rPr>
          <w:rFonts w:eastAsia="Times New Roman"/>
        </w:rPr>
        <w:t xml:space="preserve">I am writing to express my </w:t>
      </w:r>
      <w:r>
        <w:rPr>
          <w:rFonts w:eastAsia="Times New Roman"/>
          <w:b/>
          <w:bCs/>
        </w:rPr>
        <w:t>strong opposition</w:t>
      </w:r>
      <w:r>
        <w:rPr>
          <w:rFonts w:eastAsia="Times New Roman"/>
        </w:rPr>
        <w:t xml:space="preserve"> to the draft:</w:t>
      </w:r>
    </w:p>
    <w:p w:rsidR="0040671F" w:rsidRDefault="0040671F" w:rsidP="0040671F">
      <w:pPr>
        <w:rPr>
          <w:rFonts w:eastAsia="Times New Roman"/>
        </w:rPr>
      </w:pPr>
      <w:r>
        <w:rPr>
          <w:rFonts w:eastAsia="Times New Roman"/>
        </w:rPr>
        <w:t>· Currency (Restrictions on the Use of Cash) Bill 2019; </w:t>
      </w:r>
    </w:p>
    <w:p w:rsidR="0040671F" w:rsidRDefault="0040671F" w:rsidP="0040671F">
      <w:pPr>
        <w:rPr>
          <w:rFonts w:eastAsia="Times New Roman"/>
        </w:rPr>
      </w:pPr>
      <w:r>
        <w:rPr>
          <w:rFonts w:eastAsia="Times New Roman"/>
        </w:rPr>
        <w:t>· Currency (Restrictions on the Use of Cash – Expected Transactions) Instrument 2019; and</w:t>
      </w:r>
    </w:p>
    <w:p w:rsidR="0040671F" w:rsidRDefault="0040671F" w:rsidP="0040671F">
      <w:pPr>
        <w:rPr>
          <w:rFonts w:eastAsia="Times New Roman"/>
        </w:rPr>
      </w:pPr>
      <w:r>
        <w:rPr>
          <w:rFonts w:eastAsia="Times New Roman"/>
        </w:rPr>
        <w:t>· Currency (Restrictions on the Use of Cash) (Consequential Amendments and Transitional Provisions) Bill 2019.  </w:t>
      </w:r>
    </w:p>
    <w:p w:rsidR="0040671F" w:rsidRDefault="0040671F" w:rsidP="0040671F">
      <w:pPr>
        <w:rPr>
          <w:rFonts w:eastAsia="Times New Roman"/>
        </w:rPr>
      </w:pPr>
    </w:p>
    <w:p w:rsidR="0040671F" w:rsidRDefault="0040671F" w:rsidP="0040671F">
      <w:pPr>
        <w:rPr>
          <w:rFonts w:eastAsia="Times New Roman"/>
        </w:rPr>
      </w:pPr>
      <w:r>
        <w:rPr>
          <w:rFonts w:eastAsia="Times New Roman"/>
          <w:b/>
          <w:bCs/>
        </w:rPr>
        <w:t xml:space="preserve">OVERREACH OF POWER AND CONTROL </w:t>
      </w:r>
    </w:p>
    <w:p w:rsidR="0040671F" w:rsidRDefault="0040671F" w:rsidP="0040671F">
      <w:pPr>
        <w:rPr>
          <w:rFonts w:eastAsia="Times New Roman"/>
        </w:rPr>
      </w:pPr>
    </w:p>
    <w:p w:rsidR="0040671F" w:rsidRDefault="0040671F" w:rsidP="0040671F">
      <w:pPr>
        <w:rPr>
          <w:rFonts w:eastAsia="Times New Roman"/>
        </w:rPr>
      </w:pPr>
      <w:r>
        <w:rPr>
          <w:rFonts w:eastAsia="Times New Roman"/>
        </w:rPr>
        <w:t>In my opinion, this bill represents a significant overreaching of power and control over the manner in which Australians conduct their everyday economic business affairs.</w:t>
      </w:r>
    </w:p>
    <w:p w:rsidR="0040671F" w:rsidRDefault="0040671F" w:rsidP="0040671F">
      <w:pPr>
        <w:rPr>
          <w:rFonts w:eastAsia="Times New Roman"/>
        </w:rPr>
      </w:pPr>
    </w:p>
    <w:p w:rsidR="0040671F" w:rsidRDefault="0040671F" w:rsidP="0040671F">
      <w:pPr>
        <w:rPr>
          <w:rFonts w:eastAsia="Times New Roman"/>
        </w:rPr>
      </w:pPr>
      <w:r>
        <w:rPr>
          <w:rFonts w:eastAsia="Times New Roman"/>
        </w:rPr>
        <w:t>The legislative instrument referred to in the proposed bill gives far too much flexibility to the executive branch of government without reasonable checks and balances provided by parliament.</w:t>
      </w:r>
    </w:p>
    <w:p w:rsidR="0040671F" w:rsidRDefault="0040671F" w:rsidP="0040671F">
      <w:pPr>
        <w:rPr>
          <w:rFonts w:eastAsia="Times New Roman"/>
        </w:rPr>
      </w:pPr>
    </w:p>
    <w:p w:rsidR="0040671F" w:rsidRDefault="0040671F" w:rsidP="0040671F">
      <w:pPr>
        <w:rPr>
          <w:rFonts w:eastAsia="Times New Roman"/>
        </w:rPr>
      </w:pPr>
      <w:r>
        <w:rPr>
          <w:rFonts w:eastAsia="Times New Roman"/>
        </w:rPr>
        <w:t>Division 2 of Part 2 (relating to offences) is missing from this draft exposure of the bill. Appropriate consultation time must be provided when elements are introduced to the draft bill (or associated legislative instrument) before being introduced into Parliament. Which leads to;</w:t>
      </w:r>
    </w:p>
    <w:p w:rsidR="0040671F" w:rsidRDefault="0040671F" w:rsidP="0040671F">
      <w:pPr>
        <w:rPr>
          <w:rFonts w:eastAsia="Times New Roman"/>
        </w:rPr>
      </w:pPr>
    </w:p>
    <w:p w:rsidR="0040671F" w:rsidRDefault="0040671F" w:rsidP="0040671F">
      <w:pPr>
        <w:rPr>
          <w:rFonts w:eastAsia="Times New Roman"/>
        </w:rPr>
      </w:pPr>
      <w:r>
        <w:rPr>
          <w:rFonts w:eastAsia="Times New Roman"/>
        </w:rPr>
        <w:t xml:space="preserve">How does the Government intend to enforce this proposed cash transaction ban? My concern here is further erosion in Australian's freedom and liberties as </w:t>
      </w:r>
      <w:r>
        <w:rPr>
          <w:rFonts w:eastAsia="Times New Roman"/>
          <w:b/>
          <w:bCs/>
        </w:rPr>
        <w:t>digital based measures</w:t>
      </w:r>
      <w:r>
        <w:rPr>
          <w:rFonts w:eastAsia="Times New Roman"/>
        </w:rPr>
        <w:t xml:space="preserve"> are put in place requiring </w:t>
      </w:r>
      <w:r>
        <w:rPr>
          <w:rFonts w:eastAsia="Times New Roman"/>
          <w:b/>
          <w:bCs/>
        </w:rPr>
        <w:t>further reach into and collection of private data</w:t>
      </w:r>
      <w:r>
        <w:rPr>
          <w:rFonts w:eastAsia="Times New Roman"/>
        </w:rPr>
        <w:t>.</w:t>
      </w:r>
    </w:p>
    <w:p w:rsidR="0040671F" w:rsidRDefault="0040671F" w:rsidP="0040671F">
      <w:pPr>
        <w:rPr>
          <w:rFonts w:eastAsia="Times New Roman"/>
        </w:rPr>
      </w:pPr>
    </w:p>
    <w:p w:rsidR="0040671F" w:rsidRDefault="0040671F" w:rsidP="0040671F">
      <w:pPr>
        <w:rPr>
          <w:rFonts w:eastAsia="Times New Roman"/>
        </w:rPr>
      </w:pPr>
    </w:p>
    <w:p w:rsidR="0040671F" w:rsidRDefault="0040671F" w:rsidP="0040671F">
      <w:pPr>
        <w:rPr>
          <w:rFonts w:eastAsia="Times New Roman"/>
        </w:rPr>
      </w:pPr>
      <w:r>
        <w:rPr>
          <w:rFonts w:eastAsia="Times New Roman"/>
          <w:b/>
          <w:bCs/>
        </w:rPr>
        <w:t>FORCED USE OF THIRD PARTY DIGITAL SYSTEMS</w:t>
      </w:r>
    </w:p>
    <w:p w:rsidR="0040671F" w:rsidRDefault="0040671F" w:rsidP="0040671F">
      <w:pPr>
        <w:rPr>
          <w:rFonts w:eastAsia="Times New Roman"/>
        </w:rPr>
      </w:pPr>
    </w:p>
    <w:p w:rsidR="0040671F" w:rsidRDefault="0040671F" w:rsidP="0040671F">
      <w:pPr>
        <w:rPr>
          <w:rFonts w:eastAsia="Times New Roman"/>
        </w:rPr>
      </w:pPr>
      <w:r>
        <w:rPr>
          <w:rFonts w:eastAsia="Times New Roman"/>
        </w:rPr>
        <w:t xml:space="preserve">This bill begins walking the path of </w:t>
      </w:r>
      <w:r>
        <w:rPr>
          <w:rFonts w:eastAsia="Times New Roman"/>
          <w:b/>
          <w:bCs/>
        </w:rPr>
        <w:t>forcing</w:t>
      </w:r>
      <w:r>
        <w:rPr>
          <w:rFonts w:eastAsia="Times New Roman"/>
        </w:rPr>
        <w:t xml:space="preserve"> Australians to use third party financial services to conduct their economic activity. Services which recently have been shown by the Royal Commission into Banking, </w:t>
      </w:r>
      <w:r>
        <w:rPr>
          <w:rFonts w:eastAsia="Times New Roman"/>
          <w:b/>
          <w:bCs/>
        </w:rPr>
        <w:t>are rarely provided in the interests of customers</w:t>
      </w:r>
      <w:r>
        <w:rPr>
          <w:rFonts w:eastAsia="Times New Roman"/>
        </w:rPr>
        <w:t>.</w:t>
      </w:r>
    </w:p>
    <w:p w:rsidR="0040671F" w:rsidRDefault="0040671F" w:rsidP="0040671F">
      <w:pPr>
        <w:rPr>
          <w:rFonts w:eastAsia="Times New Roman"/>
        </w:rPr>
      </w:pPr>
    </w:p>
    <w:p w:rsidR="0040671F" w:rsidRDefault="0040671F" w:rsidP="0040671F">
      <w:pPr>
        <w:rPr>
          <w:rFonts w:eastAsia="Times New Roman"/>
        </w:rPr>
      </w:pPr>
      <w:r>
        <w:rPr>
          <w:rFonts w:eastAsia="Times New Roman"/>
        </w:rPr>
        <w:lastRenderedPageBreak/>
        <w:t xml:space="preserve">Increasing the data burden on small business forces them towards </w:t>
      </w:r>
      <w:r>
        <w:rPr>
          <w:rFonts w:eastAsia="Times New Roman"/>
          <w:b/>
          <w:bCs/>
        </w:rPr>
        <w:t>centralised</w:t>
      </w:r>
      <w:r>
        <w:rPr>
          <w:rFonts w:eastAsia="Times New Roman"/>
        </w:rPr>
        <w:t xml:space="preserve"> online software services, as only large corporations provide software services capable of handling the breath of data capture required and the </w:t>
      </w:r>
      <w:proofErr w:type="spellStart"/>
      <w:r>
        <w:rPr>
          <w:rFonts w:eastAsia="Times New Roman"/>
        </w:rPr>
        <w:t>approperate</w:t>
      </w:r>
      <w:proofErr w:type="spellEnd"/>
      <w:r>
        <w:rPr>
          <w:rFonts w:eastAsia="Times New Roman"/>
        </w:rPr>
        <w:t xml:space="preserve"> integration with tightly controlled banking data systems. Services that whilst on the surface provide convenient ways for businesses to process and analyse their data, also provide the third party providers and government institutions further access to private business data with next to zero oversight or governmental regulation.</w:t>
      </w:r>
    </w:p>
    <w:p w:rsidR="0040671F" w:rsidRDefault="0040671F" w:rsidP="0040671F">
      <w:pPr>
        <w:rPr>
          <w:rFonts w:eastAsia="Times New Roman"/>
        </w:rPr>
      </w:pPr>
    </w:p>
    <w:p w:rsidR="0040671F" w:rsidRDefault="0040671F" w:rsidP="0040671F">
      <w:pPr>
        <w:rPr>
          <w:rFonts w:eastAsia="Times New Roman"/>
        </w:rPr>
      </w:pPr>
      <w:r>
        <w:rPr>
          <w:rFonts w:eastAsia="Times New Roman"/>
        </w:rPr>
        <w:t xml:space="preserve">Also, without allowing equally free (as in monetary cost AND </w:t>
      </w:r>
      <w:proofErr w:type="spellStart"/>
      <w:r>
        <w:rPr>
          <w:rFonts w:eastAsia="Times New Roman"/>
        </w:rPr>
        <w:t>availablity</w:t>
      </w:r>
      <w:proofErr w:type="spellEnd"/>
      <w:r>
        <w:rPr>
          <w:rFonts w:eastAsia="Times New Roman"/>
        </w:rPr>
        <w:t>) access to digital money transfer systems, this bill moves us towards what amount to another form of taxation - forced use of non-free third party systems.</w:t>
      </w:r>
    </w:p>
    <w:p w:rsidR="0040671F" w:rsidRDefault="0040671F" w:rsidP="0040671F">
      <w:pPr>
        <w:rPr>
          <w:rFonts w:eastAsia="Times New Roman"/>
        </w:rPr>
      </w:pPr>
    </w:p>
    <w:p w:rsidR="0040671F" w:rsidRDefault="0040671F" w:rsidP="0040671F">
      <w:pPr>
        <w:rPr>
          <w:rFonts w:eastAsia="Times New Roman"/>
        </w:rPr>
      </w:pPr>
    </w:p>
    <w:p w:rsidR="0040671F" w:rsidRDefault="0040671F" w:rsidP="0040671F">
      <w:pPr>
        <w:rPr>
          <w:rFonts w:eastAsia="Times New Roman"/>
        </w:rPr>
      </w:pPr>
      <w:r>
        <w:rPr>
          <w:rFonts w:eastAsia="Times New Roman"/>
          <w:b/>
          <w:bCs/>
        </w:rPr>
        <w:t>NEGATIVE INTEREST RATES</w:t>
      </w:r>
    </w:p>
    <w:p w:rsidR="0040671F" w:rsidRDefault="0040671F" w:rsidP="0040671F">
      <w:pPr>
        <w:rPr>
          <w:rFonts w:eastAsia="Times New Roman"/>
        </w:rPr>
      </w:pPr>
    </w:p>
    <w:p w:rsidR="0040671F" w:rsidRDefault="0040671F" w:rsidP="0040671F">
      <w:pPr>
        <w:rPr>
          <w:rFonts w:eastAsia="Times New Roman"/>
        </w:rPr>
      </w:pPr>
      <w:r>
        <w:rPr>
          <w:rFonts w:eastAsia="Times New Roman"/>
        </w:rPr>
        <w:t xml:space="preserve">The International Monetary Fund (IMF) has published many </w:t>
      </w:r>
      <w:proofErr w:type="gramStart"/>
      <w:r>
        <w:rPr>
          <w:rFonts w:eastAsia="Times New Roman"/>
        </w:rPr>
        <w:t>papers</w:t>
      </w:r>
      <w:r>
        <w:rPr>
          <w:rFonts w:eastAsia="Times New Roman"/>
          <w:color w:val="000000"/>
        </w:rPr>
        <w:t>[</w:t>
      </w:r>
      <w:proofErr w:type="gramEnd"/>
      <w:r>
        <w:rPr>
          <w:rFonts w:eastAsia="Times New Roman"/>
          <w:color w:val="000000"/>
        </w:rPr>
        <w:t>1][2][3]</w:t>
      </w:r>
      <w:r>
        <w:rPr>
          <w:rFonts w:eastAsia="Times New Roman"/>
        </w:rPr>
        <w:t xml:space="preserve"> now talking about negative interest and how they will be needed in the next financial crisis. It seems like rather than tackling the black economy, this bill is moving the Australian economy into a position where the implementation of a negative interest rate policy can become a reality. </w:t>
      </w:r>
    </w:p>
    <w:p w:rsidR="0040671F" w:rsidRDefault="0040671F" w:rsidP="0040671F">
      <w:pPr>
        <w:rPr>
          <w:rFonts w:eastAsia="Times New Roman"/>
        </w:rPr>
      </w:pPr>
    </w:p>
    <w:p w:rsidR="0040671F" w:rsidRDefault="0040671F" w:rsidP="0040671F">
      <w:pPr>
        <w:rPr>
          <w:rFonts w:eastAsia="Times New Roman"/>
        </w:rPr>
      </w:pPr>
      <w:r>
        <w:rPr>
          <w:rFonts w:eastAsia="Times New Roman"/>
        </w:rPr>
        <w:t xml:space="preserve">Negative interest rates is not a policy I support and amounts to a form of taxation on private wealth. </w:t>
      </w:r>
    </w:p>
    <w:p w:rsidR="0040671F" w:rsidRDefault="0040671F" w:rsidP="0040671F">
      <w:pPr>
        <w:rPr>
          <w:rFonts w:eastAsia="Times New Roman"/>
        </w:rPr>
      </w:pPr>
    </w:p>
    <w:p w:rsidR="0040671F" w:rsidRDefault="0040671F" w:rsidP="0040671F">
      <w:pPr>
        <w:rPr>
          <w:rFonts w:eastAsia="Times New Roman"/>
        </w:rPr>
      </w:pPr>
    </w:p>
    <w:p w:rsidR="0040671F" w:rsidRDefault="0040671F" w:rsidP="0040671F">
      <w:pPr>
        <w:rPr>
          <w:rFonts w:eastAsia="Times New Roman"/>
        </w:rPr>
      </w:pPr>
    </w:p>
    <w:p w:rsidR="0040671F" w:rsidRDefault="0040671F" w:rsidP="0040671F">
      <w:pPr>
        <w:rPr>
          <w:rFonts w:eastAsia="Times New Roman"/>
        </w:rPr>
      </w:pPr>
      <w:r>
        <w:rPr>
          <w:rFonts w:eastAsia="Times New Roman"/>
        </w:rPr>
        <w:t>Yours Sincerely,</w:t>
      </w:r>
    </w:p>
    <w:p w:rsidR="0040671F" w:rsidRDefault="0040671F" w:rsidP="0040671F">
      <w:pPr>
        <w:rPr>
          <w:rFonts w:eastAsia="Times New Roman"/>
        </w:rPr>
      </w:pPr>
      <w:r>
        <w:rPr>
          <w:rFonts w:eastAsia="Times New Roman"/>
        </w:rPr>
        <w:t>Adrian O'Grady</w:t>
      </w:r>
    </w:p>
    <w:p w:rsidR="0040671F" w:rsidRDefault="0040671F" w:rsidP="0040671F">
      <w:pPr>
        <w:rPr>
          <w:rFonts w:eastAsia="Times New Roman"/>
        </w:rPr>
      </w:pPr>
    </w:p>
    <w:p w:rsidR="0040671F" w:rsidRDefault="0040671F" w:rsidP="0040671F">
      <w:pPr>
        <w:rPr>
          <w:rFonts w:eastAsia="Times New Roman"/>
        </w:rPr>
      </w:pPr>
    </w:p>
    <w:p w:rsidR="0040671F" w:rsidRDefault="0040671F" w:rsidP="0040671F">
      <w:pPr>
        <w:rPr>
          <w:rFonts w:eastAsia="Times New Roman"/>
        </w:rPr>
      </w:pPr>
      <w:r>
        <w:rPr>
          <w:rFonts w:eastAsia="Times New Roman"/>
        </w:rPr>
        <w:pict>
          <v:rect id="_x0000_i1029" style="width:451.3pt;height:1.5pt" o:hrstd="t" o:hrnoshade="t" o:hr="t" fillcolor="#a0a0a0" stroked="f"/>
        </w:pict>
      </w:r>
    </w:p>
    <w:p w:rsidR="0040671F" w:rsidRDefault="0040671F" w:rsidP="0040671F">
      <w:pPr>
        <w:pStyle w:val="xzvds"/>
      </w:pPr>
      <w:r>
        <w:t xml:space="preserve">[1] </w:t>
      </w:r>
      <w:hyperlink r:id="rId5" w:tgtFrame="_top" w:history="1">
        <w:r>
          <w:rPr>
            <w:rStyle w:val="Hyperlink"/>
          </w:rPr>
          <w:t>https://www.imf.org/en/Publications/WP/Issues/2018/08/27/Monetary-Policy-with-Negative-Interest-Rates-Decoupling-Cash-from-Electronic-Money-46076</w:t>
        </w:r>
      </w:hyperlink>
      <w:r>
        <w:t xml:space="preserve"> </w:t>
      </w:r>
    </w:p>
    <w:p w:rsidR="0040671F" w:rsidRDefault="0040671F" w:rsidP="0040671F">
      <w:pPr>
        <w:pStyle w:val="xzvds"/>
      </w:pPr>
      <w:r>
        <w:t xml:space="preserve">[2] </w:t>
      </w:r>
      <w:hyperlink r:id="rId6" w:tgtFrame="_top" w:history="1">
        <w:r>
          <w:rPr>
            <w:rStyle w:val="Hyperlink"/>
          </w:rPr>
          <w:t>https://blogs.imf.org/2019/02/05/cashing-in-how-to-make-negative-interest-rates-work/</w:t>
        </w:r>
      </w:hyperlink>
      <w:r>
        <w:t xml:space="preserve"> </w:t>
      </w:r>
    </w:p>
    <w:p w:rsidR="0040671F" w:rsidRDefault="0040671F" w:rsidP="0040671F">
      <w:pPr>
        <w:pStyle w:val="xzvds"/>
      </w:pPr>
      <w:r>
        <w:t xml:space="preserve">[3] </w:t>
      </w:r>
      <w:hyperlink r:id="rId7" w:tgtFrame="_top" w:history="1">
        <w:r>
          <w:rPr>
            <w:rStyle w:val="Hyperlink"/>
          </w:rPr>
          <w:t>https://www.imf.org/en/Publications/WP/Issues/2019/04/29/Enabling-Deep-Negative-Rates-A-Guide-46598</w:t>
        </w:r>
      </w:hyperlink>
      <w:r>
        <w:t xml:space="preserve"> </w:t>
      </w:r>
      <w:bookmarkEnd w:id="0"/>
    </w:p>
    <w:p w:rsidR="00CE7DED" w:rsidRPr="004B7227" w:rsidRDefault="0040671F" w:rsidP="004B7227">
      <w:bookmarkStart w:id="1" w:name="_GoBack"/>
      <w:bookmarkEnd w:id="1"/>
    </w:p>
    <w:sectPr w:rsidR="00CE7DED" w:rsidRPr="004B72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4369B"/>
    <w:multiLevelType w:val="hybridMultilevel"/>
    <w:tmpl w:val="269213D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4C580C14"/>
    <w:multiLevelType w:val="multilevel"/>
    <w:tmpl w:val="2112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C273A6"/>
    <w:multiLevelType w:val="multilevel"/>
    <w:tmpl w:val="D5A22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021272"/>
    <w:rsid w:val="000D6978"/>
    <w:rsid w:val="002A1F1F"/>
    <w:rsid w:val="0040671F"/>
    <w:rsid w:val="004B7227"/>
    <w:rsid w:val="00561516"/>
    <w:rsid w:val="005E3676"/>
    <w:rsid w:val="00671712"/>
    <w:rsid w:val="006F640E"/>
    <w:rsid w:val="007F6C09"/>
    <w:rsid w:val="008A40EC"/>
    <w:rsid w:val="00A06E43"/>
    <w:rsid w:val="00AA5D53"/>
    <w:rsid w:val="00AE2FC2"/>
    <w:rsid w:val="00B97FE1"/>
    <w:rsid w:val="00C32188"/>
    <w:rsid w:val="00D36617"/>
    <w:rsid w:val="00DB3087"/>
    <w:rsid w:val="00DB595A"/>
    <w:rsid w:val="00DC0A69"/>
    <w:rsid w:val="00E0463B"/>
    <w:rsid w:val="00EC06E6"/>
    <w:rsid w:val="00F35313"/>
    <w:rsid w:val="00F90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 w:type="paragraph" w:styleId="PlainText">
    <w:name w:val="Plain Text"/>
    <w:basedOn w:val="Normal"/>
    <w:link w:val="PlainTextChar"/>
    <w:uiPriority w:val="99"/>
    <w:semiHidden/>
    <w:unhideWhenUsed/>
    <w:rsid w:val="00AA5D53"/>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A5D53"/>
    <w:rPr>
      <w:rFonts w:ascii="Calibri" w:hAnsi="Calibri" w:cs="Consolas"/>
      <w:szCs w:val="21"/>
    </w:rPr>
  </w:style>
  <w:style w:type="paragraph" w:customStyle="1" w:styleId="gmail-xzvds">
    <w:name w:val="gmail-xzvds"/>
    <w:basedOn w:val="Normal"/>
    <w:rsid w:val="002A1F1F"/>
    <w:pPr>
      <w:spacing w:before="100" w:beforeAutospacing="1" w:after="100" w:afterAutospacing="1"/>
    </w:pPr>
  </w:style>
  <w:style w:type="character" w:styleId="Emphasis">
    <w:name w:val="Emphasis"/>
    <w:basedOn w:val="DefaultParagraphFont"/>
    <w:uiPriority w:val="20"/>
    <w:qFormat/>
    <w:rsid w:val="002A1F1F"/>
    <w:rPr>
      <w:i/>
      <w:iCs/>
    </w:rPr>
  </w:style>
  <w:style w:type="paragraph" w:customStyle="1" w:styleId="xzvds">
    <w:name w:val="xzvds"/>
    <w:basedOn w:val="Normal"/>
    <w:rsid w:val="0040671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1187">
      <w:bodyDiv w:val="1"/>
      <w:marLeft w:val="0"/>
      <w:marRight w:val="0"/>
      <w:marTop w:val="0"/>
      <w:marBottom w:val="0"/>
      <w:divBdr>
        <w:top w:val="none" w:sz="0" w:space="0" w:color="auto"/>
        <w:left w:val="none" w:sz="0" w:space="0" w:color="auto"/>
        <w:bottom w:val="none" w:sz="0" w:space="0" w:color="auto"/>
        <w:right w:val="none" w:sz="0" w:space="0" w:color="auto"/>
      </w:divBdr>
    </w:div>
    <w:div w:id="87389449">
      <w:bodyDiv w:val="1"/>
      <w:marLeft w:val="0"/>
      <w:marRight w:val="0"/>
      <w:marTop w:val="0"/>
      <w:marBottom w:val="0"/>
      <w:divBdr>
        <w:top w:val="none" w:sz="0" w:space="0" w:color="auto"/>
        <w:left w:val="none" w:sz="0" w:space="0" w:color="auto"/>
        <w:bottom w:val="none" w:sz="0" w:space="0" w:color="auto"/>
        <w:right w:val="none" w:sz="0" w:space="0" w:color="auto"/>
      </w:divBdr>
    </w:div>
    <w:div w:id="165051547">
      <w:bodyDiv w:val="1"/>
      <w:marLeft w:val="0"/>
      <w:marRight w:val="0"/>
      <w:marTop w:val="0"/>
      <w:marBottom w:val="0"/>
      <w:divBdr>
        <w:top w:val="none" w:sz="0" w:space="0" w:color="auto"/>
        <w:left w:val="none" w:sz="0" w:space="0" w:color="auto"/>
        <w:bottom w:val="none" w:sz="0" w:space="0" w:color="auto"/>
        <w:right w:val="none" w:sz="0" w:space="0" w:color="auto"/>
      </w:divBdr>
    </w:div>
    <w:div w:id="168952123">
      <w:bodyDiv w:val="1"/>
      <w:marLeft w:val="0"/>
      <w:marRight w:val="0"/>
      <w:marTop w:val="0"/>
      <w:marBottom w:val="0"/>
      <w:divBdr>
        <w:top w:val="none" w:sz="0" w:space="0" w:color="auto"/>
        <w:left w:val="none" w:sz="0" w:space="0" w:color="auto"/>
        <w:bottom w:val="none" w:sz="0" w:space="0" w:color="auto"/>
        <w:right w:val="none" w:sz="0" w:space="0" w:color="auto"/>
      </w:divBdr>
    </w:div>
    <w:div w:id="203518472">
      <w:bodyDiv w:val="1"/>
      <w:marLeft w:val="0"/>
      <w:marRight w:val="0"/>
      <w:marTop w:val="0"/>
      <w:marBottom w:val="0"/>
      <w:divBdr>
        <w:top w:val="none" w:sz="0" w:space="0" w:color="auto"/>
        <w:left w:val="none" w:sz="0" w:space="0" w:color="auto"/>
        <w:bottom w:val="none" w:sz="0" w:space="0" w:color="auto"/>
        <w:right w:val="none" w:sz="0" w:space="0" w:color="auto"/>
      </w:divBdr>
    </w:div>
    <w:div w:id="369232862">
      <w:bodyDiv w:val="1"/>
      <w:marLeft w:val="0"/>
      <w:marRight w:val="0"/>
      <w:marTop w:val="0"/>
      <w:marBottom w:val="0"/>
      <w:divBdr>
        <w:top w:val="none" w:sz="0" w:space="0" w:color="auto"/>
        <w:left w:val="none" w:sz="0" w:space="0" w:color="auto"/>
        <w:bottom w:val="none" w:sz="0" w:space="0" w:color="auto"/>
        <w:right w:val="none" w:sz="0" w:space="0" w:color="auto"/>
      </w:divBdr>
    </w:div>
    <w:div w:id="405617331">
      <w:bodyDiv w:val="1"/>
      <w:marLeft w:val="0"/>
      <w:marRight w:val="0"/>
      <w:marTop w:val="0"/>
      <w:marBottom w:val="0"/>
      <w:divBdr>
        <w:top w:val="none" w:sz="0" w:space="0" w:color="auto"/>
        <w:left w:val="none" w:sz="0" w:space="0" w:color="auto"/>
        <w:bottom w:val="none" w:sz="0" w:space="0" w:color="auto"/>
        <w:right w:val="none" w:sz="0" w:space="0" w:color="auto"/>
      </w:divBdr>
    </w:div>
    <w:div w:id="421611751">
      <w:bodyDiv w:val="1"/>
      <w:marLeft w:val="0"/>
      <w:marRight w:val="0"/>
      <w:marTop w:val="0"/>
      <w:marBottom w:val="0"/>
      <w:divBdr>
        <w:top w:val="none" w:sz="0" w:space="0" w:color="auto"/>
        <w:left w:val="none" w:sz="0" w:space="0" w:color="auto"/>
        <w:bottom w:val="none" w:sz="0" w:space="0" w:color="auto"/>
        <w:right w:val="none" w:sz="0" w:space="0" w:color="auto"/>
      </w:divBdr>
    </w:div>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355809639">
      <w:bodyDiv w:val="1"/>
      <w:marLeft w:val="0"/>
      <w:marRight w:val="0"/>
      <w:marTop w:val="0"/>
      <w:marBottom w:val="0"/>
      <w:divBdr>
        <w:top w:val="none" w:sz="0" w:space="0" w:color="auto"/>
        <w:left w:val="none" w:sz="0" w:space="0" w:color="auto"/>
        <w:bottom w:val="none" w:sz="0" w:space="0" w:color="auto"/>
        <w:right w:val="none" w:sz="0" w:space="0" w:color="auto"/>
      </w:divBdr>
    </w:div>
    <w:div w:id="1652129335">
      <w:bodyDiv w:val="1"/>
      <w:marLeft w:val="0"/>
      <w:marRight w:val="0"/>
      <w:marTop w:val="0"/>
      <w:marBottom w:val="0"/>
      <w:divBdr>
        <w:top w:val="none" w:sz="0" w:space="0" w:color="auto"/>
        <w:left w:val="none" w:sz="0" w:space="0" w:color="auto"/>
        <w:bottom w:val="none" w:sz="0" w:space="0" w:color="auto"/>
        <w:right w:val="none" w:sz="0" w:space="0" w:color="auto"/>
      </w:divBdr>
    </w:div>
    <w:div w:id="1743870044">
      <w:bodyDiv w:val="1"/>
      <w:marLeft w:val="0"/>
      <w:marRight w:val="0"/>
      <w:marTop w:val="0"/>
      <w:marBottom w:val="0"/>
      <w:divBdr>
        <w:top w:val="none" w:sz="0" w:space="0" w:color="auto"/>
        <w:left w:val="none" w:sz="0" w:space="0" w:color="auto"/>
        <w:bottom w:val="none" w:sz="0" w:space="0" w:color="auto"/>
        <w:right w:val="none" w:sz="0" w:space="0" w:color="auto"/>
      </w:divBdr>
    </w:div>
    <w:div w:id="1783186875">
      <w:bodyDiv w:val="1"/>
      <w:marLeft w:val="0"/>
      <w:marRight w:val="0"/>
      <w:marTop w:val="0"/>
      <w:marBottom w:val="0"/>
      <w:divBdr>
        <w:top w:val="none" w:sz="0" w:space="0" w:color="auto"/>
        <w:left w:val="none" w:sz="0" w:space="0" w:color="auto"/>
        <w:bottom w:val="none" w:sz="0" w:space="0" w:color="auto"/>
        <w:right w:val="none" w:sz="0" w:space="0" w:color="auto"/>
      </w:divBdr>
    </w:div>
    <w:div w:id="1838419744">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1899439130">
      <w:bodyDiv w:val="1"/>
      <w:marLeft w:val="0"/>
      <w:marRight w:val="0"/>
      <w:marTop w:val="0"/>
      <w:marBottom w:val="0"/>
      <w:divBdr>
        <w:top w:val="none" w:sz="0" w:space="0" w:color="auto"/>
        <w:left w:val="none" w:sz="0" w:space="0" w:color="auto"/>
        <w:bottom w:val="none" w:sz="0" w:space="0" w:color="auto"/>
        <w:right w:val="none" w:sz="0" w:space="0" w:color="auto"/>
      </w:divBdr>
    </w:div>
    <w:div w:id="1940403479">
      <w:bodyDiv w:val="1"/>
      <w:marLeft w:val="0"/>
      <w:marRight w:val="0"/>
      <w:marTop w:val="0"/>
      <w:marBottom w:val="0"/>
      <w:divBdr>
        <w:top w:val="none" w:sz="0" w:space="0" w:color="auto"/>
        <w:left w:val="none" w:sz="0" w:space="0" w:color="auto"/>
        <w:bottom w:val="none" w:sz="0" w:space="0" w:color="auto"/>
        <w:right w:val="none" w:sz="0" w:space="0" w:color="auto"/>
      </w:divBdr>
      <w:divsChild>
        <w:div w:id="1270316270">
          <w:marLeft w:val="0"/>
          <w:marRight w:val="0"/>
          <w:marTop w:val="0"/>
          <w:marBottom w:val="0"/>
          <w:divBdr>
            <w:top w:val="none" w:sz="0" w:space="0" w:color="auto"/>
            <w:left w:val="none" w:sz="0" w:space="0" w:color="auto"/>
            <w:bottom w:val="none" w:sz="0" w:space="0" w:color="auto"/>
            <w:right w:val="none" w:sz="0" w:space="0" w:color="auto"/>
          </w:divBdr>
        </w:div>
      </w:divsChild>
    </w:div>
    <w:div w:id="1981180920">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mf.org/en/Publications/WP/Issues/2019/04/29/Enabling-Deep-Negative-Rates-A-Guide-465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gs.imf.org/2019/02/05/cashing-in-how-to-make-negative-interest-rates-work/" TargetMode="External"/><Relationship Id="rId5" Type="http://schemas.openxmlformats.org/officeDocument/2006/relationships/hyperlink" Target="https://www.imf.org/en/Publications/WP/Issues/2018/08/27/Monetary-Policy-with-Negative-Interest-Rates-Decoupling-Cash-from-Electronic-Money-4607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2019-09-27T04:44:00Z</dcterms:created>
  <dcterms:modified xsi:type="dcterms:W3CDTF">2019-09-27T04:44:00Z</dcterms:modified>
</cp:coreProperties>
</file>