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5957A" w14:textId="77777777" w:rsidR="00F67C77" w:rsidRDefault="00F67C77" w:rsidP="00F67C77">
      <w:pPr>
        <w:pStyle w:val="Heading1"/>
        <w:jc w:val="center"/>
        <w:rPr>
          <w:sz w:val="48"/>
          <w:szCs w:val="48"/>
        </w:rPr>
      </w:pPr>
      <w:bookmarkStart w:id="0" w:name="_GoBack"/>
      <w:bookmarkEnd w:id="0"/>
    </w:p>
    <w:p w14:paraId="37743479" w14:textId="77777777" w:rsidR="00F67C77" w:rsidRDefault="00F67C77" w:rsidP="00F67C77">
      <w:pPr>
        <w:pStyle w:val="Heading1"/>
        <w:jc w:val="center"/>
        <w:rPr>
          <w:sz w:val="48"/>
          <w:szCs w:val="48"/>
        </w:rPr>
      </w:pPr>
    </w:p>
    <w:p w14:paraId="000DE6EB" w14:textId="77777777" w:rsidR="00F67C77" w:rsidRPr="000A7034" w:rsidRDefault="00F67C77" w:rsidP="000A7034">
      <w:pPr>
        <w:jc w:val="center"/>
        <w:rPr>
          <w:color w:val="0070C0"/>
          <w:sz w:val="56"/>
          <w:szCs w:val="56"/>
        </w:rPr>
      </w:pPr>
      <w:r w:rsidRPr="000A7034">
        <w:rPr>
          <w:color w:val="0070C0"/>
          <w:sz w:val="56"/>
          <w:szCs w:val="56"/>
        </w:rPr>
        <w:t>Department of Industry, Innovation and Science submission to the Review of the PRRT Gas Transfer Pricing Arrangements</w:t>
      </w:r>
    </w:p>
    <w:p w14:paraId="30607A7F" w14:textId="77777777" w:rsidR="00F67C77" w:rsidRPr="00F67C77" w:rsidRDefault="00F67C77" w:rsidP="00F67C77"/>
    <w:p w14:paraId="00482BAA" w14:textId="77777777" w:rsidR="00F67C77" w:rsidRPr="000A7034" w:rsidRDefault="00973E06" w:rsidP="000A7034">
      <w:pPr>
        <w:jc w:val="center"/>
        <w:rPr>
          <w:color w:val="0070C0"/>
          <w:sz w:val="36"/>
          <w:szCs w:val="36"/>
        </w:rPr>
      </w:pPr>
      <w:r>
        <w:rPr>
          <w:color w:val="0070C0"/>
          <w:sz w:val="36"/>
          <w:szCs w:val="36"/>
        </w:rPr>
        <w:t>September</w:t>
      </w:r>
      <w:r w:rsidR="00F67C77" w:rsidRPr="000A7034">
        <w:rPr>
          <w:color w:val="0070C0"/>
          <w:sz w:val="36"/>
          <w:szCs w:val="36"/>
        </w:rPr>
        <w:t xml:space="preserve"> 2019</w:t>
      </w:r>
    </w:p>
    <w:p w14:paraId="6BBFCB7B" w14:textId="77777777" w:rsidR="00F67C77" w:rsidRDefault="00F67C77" w:rsidP="002D1775">
      <w:pPr>
        <w:rPr>
          <w:b/>
        </w:rPr>
      </w:pPr>
    </w:p>
    <w:p w14:paraId="37EE2CC4" w14:textId="77777777" w:rsidR="00F67C77" w:rsidRDefault="00F67C77" w:rsidP="002D1775">
      <w:pPr>
        <w:rPr>
          <w:b/>
        </w:rPr>
      </w:pPr>
    </w:p>
    <w:p w14:paraId="47381F76" w14:textId="77777777" w:rsidR="00F67C77" w:rsidRDefault="00F67C77" w:rsidP="002D1775">
      <w:pPr>
        <w:rPr>
          <w:b/>
        </w:rPr>
      </w:pPr>
    </w:p>
    <w:p w14:paraId="4F1BDDEA" w14:textId="77777777" w:rsidR="00F67C77" w:rsidRDefault="00F67C77" w:rsidP="002D1775">
      <w:pPr>
        <w:rPr>
          <w:b/>
        </w:rPr>
      </w:pPr>
    </w:p>
    <w:p w14:paraId="7B1D30FF" w14:textId="77777777" w:rsidR="00F67C77" w:rsidRDefault="00F67C77" w:rsidP="002D1775">
      <w:pPr>
        <w:rPr>
          <w:b/>
        </w:rPr>
      </w:pPr>
    </w:p>
    <w:p w14:paraId="29EDA26C" w14:textId="77777777" w:rsidR="00F67C77" w:rsidRDefault="00F67C77" w:rsidP="002D1775">
      <w:pPr>
        <w:rPr>
          <w:b/>
        </w:rPr>
      </w:pPr>
    </w:p>
    <w:p w14:paraId="1C7CBF69" w14:textId="77777777" w:rsidR="009F2592" w:rsidRDefault="009F2592" w:rsidP="00F67C77">
      <w:pPr>
        <w:sectPr w:rsidR="009F2592">
          <w:headerReference w:type="default" r:id="rId13"/>
          <w:footerReference w:type="default" r:id="rId14"/>
          <w:pgSz w:w="11906" w:h="16838"/>
          <w:pgMar w:top="1440" w:right="1440" w:bottom="1440" w:left="1440" w:header="708" w:footer="708" w:gutter="0"/>
          <w:cols w:space="708"/>
          <w:docGrid w:linePitch="360"/>
        </w:sectPr>
      </w:pPr>
    </w:p>
    <w:p w14:paraId="78C7DF21" w14:textId="77777777" w:rsidR="000A7034" w:rsidRDefault="000A7034">
      <w:pPr>
        <w:spacing w:after="160" w:line="259" w:lineRule="auto"/>
        <w:rPr>
          <w:rFonts w:asciiTheme="majorHAnsi" w:eastAsiaTheme="majorEastAsia" w:hAnsiTheme="majorHAnsi" w:cstheme="majorBidi"/>
          <w:color w:val="2E74B5" w:themeColor="accent1" w:themeShade="BF"/>
          <w:sz w:val="36"/>
          <w:szCs w:val="32"/>
        </w:rPr>
      </w:pPr>
    </w:p>
    <w:sdt>
      <w:sdtPr>
        <w:rPr>
          <w:rFonts w:ascii="Calibri" w:eastAsiaTheme="minorHAnsi" w:hAnsi="Calibri" w:cs="Calibri"/>
          <w:color w:val="auto"/>
          <w:sz w:val="22"/>
          <w:szCs w:val="22"/>
          <w:lang w:val="en-AU"/>
        </w:rPr>
        <w:id w:val="1931163517"/>
        <w:docPartObj>
          <w:docPartGallery w:val="Table of Contents"/>
          <w:docPartUnique/>
        </w:docPartObj>
      </w:sdtPr>
      <w:sdtEndPr>
        <w:rPr>
          <w:b/>
          <w:bCs/>
          <w:noProof/>
        </w:rPr>
      </w:sdtEndPr>
      <w:sdtContent>
        <w:p w14:paraId="26C7F9D7" w14:textId="77777777" w:rsidR="000A7034" w:rsidRDefault="000A7034">
          <w:pPr>
            <w:pStyle w:val="TOCHeading"/>
          </w:pPr>
          <w:r>
            <w:t>Table of Contents</w:t>
          </w:r>
        </w:p>
        <w:p w14:paraId="60C86287" w14:textId="77777777" w:rsidR="00264528" w:rsidRDefault="000A7034">
          <w:pPr>
            <w:pStyle w:val="TOC1"/>
            <w:rPr>
              <w:rFonts w:asciiTheme="minorHAnsi" w:eastAsiaTheme="minorEastAsia" w:hAnsiTheme="minorHAnsi" w:cstheme="minorBidi"/>
              <w:b w:val="0"/>
              <w:noProof/>
              <w:color w:val="auto"/>
              <w:sz w:val="22"/>
            </w:rPr>
          </w:pPr>
          <w:r>
            <w:rPr>
              <w:bCs/>
              <w:noProof/>
            </w:rPr>
            <w:fldChar w:fldCharType="begin"/>
          </w:r>
          <w:r>
            <w:rPr>
              <w:bCs/>
              <w:noProof/>
            </w:rPr>
            <w:instrText xml:space="preserve"> TOC \o "1-3" \h \z \u </w:instrText>
          </w:r>
          <w:r>
            <w:rPr>
              <w:bCs/>
              <w:noProof/>
            </w:rPr>
            <w:fldChar w:fldCharType="separate"/>
          </w:r>
          <w:hyperlink w:anchor="_Toc19034550" w:history="1">
            <w:r w:rsidR="00264528" w:rsidRPr="00067FC7">
              <w:rPr>
                <w:rStyle w:val="Hyperlink"/>
                <w:noProof/>
              </w:rPr>
              <w:t>Submission structure</w:t>
            </w:r>
            <w:r w:rsidR="00264528">
              <w:rPr>
                <w:noProof/>
                <w:webHidden/>
              </w:rPr>
              <w:tab/>
            </w:r>
            <w:r w:rsidR="00264528">
              <w:rPr>
                <w:noProof/>
                <w:webHidden/>
              </w:rPr>
              <w:fldChar w:fldCharType="begin"/>
            </w:r>
            <w:r w:rsidR="00264528">
              <w:rPr>
                <w:noProof/>
                <w:webHidden/>
              </w:rPr>
              <w:instrText xml:space="preserve"> PAGEREF _Toc19034550 \h </w:instrText>
            </w:r>
            <w:r w:rsidR="00264528">
              <w:rPr>
                <w:noProof/>
                <w:webHidden/>
              </w:rPr>
            </w:r>
            <w:r w:rsidR="00264528">
              <w:rPr>
                <w:noProof/>
                <w:webHidden/>
              </w:rPr>
              <w:fldChar w:fldCharType="separate"/>
            </w:r>
            <w:r w:rsidR="00264528">
              <w:rPr>
                <w:noProof/>
                <w:webHidden/>
              </w:rPr>
              <w:t>3</w:t>
            </w:r>
            <w:r w:rsidR="00264528">
              <w:rPr>
                <w:noProof/>
                <w:webHidden/>
              </w:rPr>
              <w:fldChar w:fldCharType="end"/>
            </w:r>
          </w:hyperlink>
        </w:p>
        <w:p w14:paraId="0278C271" w14:textId="77777777" w:rsidR="00264528" w:rsidRDefault="00B66C0B">
          <w:pPr>
            <w:pStyle w:val="TOC1"/>
            <w:rPr>
              <w:rFonts w:asciiTheme="minorHAnsi" w:eastAsiaTheme="minorEastAsia" w:hAnsiTheme="minorHAnsi" w:cstheme="minorBidi"/>
              <w:b w:val="0"/>
              <w:noProof/>
              <w:color w:val="auto"/>
              <w:sz w:val="22"/>
            </w:rPr>
          </w:pPr>
          <w:hyperlink w:anchor="_Toc19034551" w:history="1">
            <w:r w:rsidR="00264528" w:rsidRPr="00067FC7">
              <w:rPr>
                <w:rStyle w:val="Hyperlink"/>
                <w:noProof/>
              </w:rPr>
              <w:t>Introduction</w:t>
            </w:r>
            <w:r w:rsidR="00264528">
              <w:rPr>
                <w:noProof/>
                <w:webHidden/>
              </w:rPr>
              <w:tab/>
            </w:r>
            <w:r w:rsidR="00264528">
              <w:rPr>
                <w:noProof/>
                <w:webHidden/>
              </w:rPr>
              <w:fldChar w:fldCharType="begin"/>
            </w:r>
            <w:r w:rsidR="00264528">
              <w:rPr>
                <w:noProof/>
                <w:webHidden/>
              </w:rPr>
              <w:instrText xml:space="preserve"> PAGEREF _Toc19034551 \h </w:instrText>
            </w:r>
            <w:r w:rsidR="00264528">
              <w:rPr>
                <w:noProof/>
                <w:webHidden/>
              </w:rPr>
            </w:r>
            <w:r w:rsidR="00264528">
              <w:rPr>
                <w:noProof/>
                <w:webHidden/>
              </w:rPr>
              <w:fldChar w:fldCharType="separate"/>
            </w:r>
            <w:r w:rsidR="00264528">
              <w:rPr>
                <w:noProof/>
                <w:webHidden/>
              </w:rPr>
              <w:t>3</w:t>
            </w:r>
            <w:r w:rsidR="00264528">
              <w:rPr>
                <w:noProof/>
                <w:webHidden/>
              </w:rPr>
              <w:fldChar w:fldCharType="end"/>
            </w:r>
          </w:hyperlink>
        </w:p>
        <w:p w14:paraId="6DC82404" w14:textId="77777777" w:rsidR="00264528" w:rsidRDefault="00B66C0B">
          <w:pPr>
            <w:pStyle w:val="TOC1"/>
            <w:rPr>
              <w:rFonts w:asciiTheme="minorHAnsi" w:eastAsiaTheme="minorEastAsia" w:hAnsiTheme="minorHAnsi" w:cstheme="minorBidi"/>
              <w:b w:val="0"/>
              <w:noProof/>
              <w:color w:val="auto"/>
              <w:sz w:val="22"/>
            </w:rPr>
          </w:pPr>
          <w:hyperlink w:anchor="_Toc19034552" w:history="1">
            <w:r w:rsidR="00264528" w:rsidRPr="00067FC7">
              <w:rPr>
                <w:rStyle w:val="Hyperlink"/>
                <w:noProof/>
              </w:rPr>
              <w:t>The National Resources Statement</w:t>
            </w:r>
            <w:r w:rsidR="00264528">
              <w:rPr>
                <w:noProof/>
                <w:webHidden/>
              </w:rPr>
              <w:tab/>
            </w:r>
            <w:r w:rsidR="00264528">
              <w:rPr>
                <w:noProof/>
                <w:webHidden/>
              </w:rPr>
              <w:fldChar w:fldCharType="begin"/>
            </w:r>
            <w:r w:rsidR="00264528">
              <w:rPr>
                <w:noProof/>
                <w:webHidden/>
              </w:rPr>
              <w:instrText xml:space="preserve"> PAGEREF _Toc19034552 \h </w:instrText>
            </w:r>
            <w:r w:rsidR="00264528">
              <w:rPr>
                <w:noProof/>
                <w:webHidden/>
              </w:rPr>
            </w:r>
            <w:r w:rsidR="00264528">
              <w:rPr>
                <w:noProof/>
                <w:webHidden/>
              </w:rPr>
              <w:fldChar w:fldCharType="separate"/>
            </w:r>
            <w:r w:rsidR="00264528">
              <w:rPr>
                <w:noProof/>
                <w:webHidden/>
              </w:rPr>
              <w:t>3</w:t>
            </w:r>
            <w:r w:rsidR="00264528">
              <w:rPr>
                <w:noProof/>
                <w:webHidden/>
              </w:rPr>
              <w:fldChar w:fldCharType="end"/>
            </w:r>
          </w:hyperlink>
        </w:p>
        <w:p w14:paraId="321AABC9" w14:textId="77777777" w:rsidR="00264528" w:rsidRDefault="00B66C0B">
          <w:pPr>
            <w:pStyle w:val="TOC1"/>
            <w:rPr>
              <w:rFonts w:asciiTheme="minorHAnsi" w:eastAsiaTheme="minorEastAsia" w:hAnsiTheme="minorHAnsi" w:cstheme="minorBidi"/>
              <w:b w:val="0"/>
              <w:noProof/>
              <w:color w:val="auto"/>
              <w:sz w:val="22"/>
            </w:rPr>
          </w:pPr>
          <w:hyperlink w:anchor="_Toc19034553" w:history="1">
            <w:r w:rsidR="00264528" w:rsidRPr="00067FC7">
              <w:rPr>
                <w:rStyle w:val="Hyperlink"/>
                <w:noProof/>
              </w:rPr>
              <w:t>Australia’s offshore oil and gas industry</w:t>
            </w:r>
            <w:r w:rsidR="00264528">
              <w:rPr>
                <w:noProof/>
                <w:webHidden/>
              </w:rPr>
              <w:tab/>
            </w:r>
            <w:r w:rsidR="00264528">
              <w:rPr>
                <w:noProof/>
                <w:webHidden/>
              </w:rPr>
              <w:fldChar w:fldCharType="begin"/>
            </w:r>
            <w:r w:rsidR="00264528">
              <w:rPr>
                <w:noProof/>
                <w:webHidden/>
              </w:rPr>
              <w:instrText xml:space="preserve"> PAGEREF _Toc19034553 \h </w:instrText>
            </w:r>
            <w:r w:rsidR="00264528">
              <w:rPr>
                <w:noProof/>
                <w:webHidden/>
              </w:rPr>
            </w:r>
            <w:r w:rsidR="00264528">
              <w:rPr>
                <w:noProof/>
                <w:webHidden/>
              </w:rPr>
              <w:fldChar w:fldCharType="separate"/>
            </w:r>
            <w:r w:rsidR="00264528">
              <w:rPr>
                <w:noProof/>
                <w:webHidden/>
              </w:rPr>
              <w:t>4</w:t>
            </w:r>
            <w:r w:rsidR="00264528">
              <w:rPr>
                <w:noProof/>
                <w:webHidden/>
              </w:rPr>
              <w:fldChar w:fldCharType="end"/>
            </w:r>
          </w:hyperlink>
        </w:p>
        <w:p w14:paraId="443D1204" w14:textId="77777777" w:rsidR="00264528" w:rsidRDefault="00B66C0B">
          <w:pPr>
            <w:pStyle w:val="TOC3"/>
            <w:rPr>
              <w:rFonts w:asciiTheme="minorHAnsi" w:eastAsiaTheme="minorEastAsia" w:hAnsiTheme="minorHAnsi" w:cstheme="minorBidi"/>
              <w:noProof/>
              <w:color w:val="auto"/>
              <w:szCs w:val="22"/>
            </w:rPr>
          </w:pPr>
          <w:hyperlink w:anchor="_Toc19034554" w:history="1">
            <w:r w:rsidR="00264528" w:rsidRPr="00067FC7">
              <w:rPr>
                <w:rStyle w:val="Hyperlink"/>
                <w:noProof/>
              </w:rPr>
              <w:t>Energy and investment</w:t>
            </w:r>
            <w:r w:rsidR="00264528">
              <w:rPr>
                <w:noProof/>
                <w:webHidden/>
              </w:rPr>
              <w:tab/>
            </w:r>
            <w:r w:rsidR="00264528">
              <w:rPr>
                <w:noProof/>
                <w:webHidden/>
              </w:rPr>
              <w:fldChar w:fldCharType="begin"/>
            </w:r>
            <w:r w:rsidR="00264528">
              <w:rPr>
                <w:noProof/>
                <w:webHidden/>
              </w:rPr>
              <w:instrText xml:space="preserve"> PAGEREF _Toc19034554 \h </w:instrText>
            </w:r>
            <w:r w:rsidR="00264528">
              <w:rPr>
                <w:noProof/>
                <w:webHidden/>
              </w:rPr>
            </w:r>
            <w:r w:rsidR="00264528">
              <w:rPr>
                <w:noProof/>
                <w:webHidden/>
              </w:rPr>
              <w:fldChar w:fldCharType="separate"/>
            </w:r>
            <w:r w:rsidR="00264528">
              <w:rPr>
                <w:noProof/>
                <w:webHidden/>
              </w:rPr>
              <w:t>4</w:t>
            </w:r>
            <w:r w:rsidR="00264528">
              <w:rPr>
                <w:noProof/>
                <w:webHidden/>
              </w:rPr>
              <w:fldChar w:fldCharType="end"/>
            </w:r>
          </w:hyperlink>
        </w:p>
        <w:p w14:paraId="75E8EEAE" w14:textId="77777777" w:rsidR="00264528" w:rsidRDefault="00B66C0B">
          <w:pPr>
            <w:pStyle w:val="TOC3"/>
            <w:rPr>
              <w:rFonts w:asciiTheme="minorHAnsi" w:eastAsiaTheme="minorEastAsia" w:hAnsiTheme="minorHAnsi" w:cstheme="minorBidi"/>
              <w:noProof/>
              <w:color w:val="auto"/>
              <w:szCs w:val="22"/>
            </w:rPr>
          </w:pPr>
          <w:hyperlink w:anchor="_Toc19034555" w:history="1">
            <w:r w:rsidR="00264528" w:rsidRPr="00067FC7">
              <w:rPr>
                <w:rStyle w:val="Hyperlink"/>
                <w:noProof/>
              </w:rPr>
              <w:t>Economy and export value</w:t>
            </w:r>
            <w:r w:rsidR="00264528">
              <w:rPr>
                <w:noProof/>
                <w:webHidden/>
              </w:rPr>
              <w:tab/>
            </w:r>
            <w:r w:rsidR="00264528">
              <w:rPr>
                <w:noProof/>
                <w:webHidden/>
              </w:rPr>
              <w:fldChar w:fldCharType="begin"/>
            </w:r>
            <w:r w:rsidR="00264528">
              <w:rPr>
                <w:noProof/>
                <w:webHidden/>
              </w:rPr>
              <w:instrText xml:space="preserve"> PAGEREF _Toc19034555 \h </w:instrText>
            </w:r>
            <w:r w:rsidR="00264528">
              <w:rPr>
                <w:noProof/>
                <w:webHidden/>
              </w:rPr>
            </w:r>
            <w:r w:rsidR="00264528">
              <w:rPr>
                <w:noProof/>
                <w:webHidden/>
              </w:rPr>
              <w:fldChar w:fldCharType="separate"/>
            </w:r>
            <w:r w:rsidR="00264528">
              <w:rPr>
                <w:noProof/>
                <w:webHidden/>
              </w:rPr>
              <w:t>5</w:t>
            </w:r>
            <w:r w:rsidR="00264528">
              <w:rPr>
                <w:noProof/>
                <w:webHidden/>
              </w:rPr>
              <w:fldChar w:fldCharType="end"/>
            </w:r>
          </w:hyperlink>
        </w:p>
        <w:p w14:paraId="04197124" w14:textId="77777777" w:rsidR="00264528" w:rsidRDefault="00B66C0B">
          <w:pPr>
            <w:pStyle w:val="TOC3"/>
            <w:rPr>
              <w:rFonts w:asciiTheme="minorHAnsi" w:eastAsiaTheme="minorEastAsia" w:hAnsiTheme="minorHAnsi" w:cstheme="minorBidi"/>
              <w:noProof/>
              <w:color w:val="auto"/>
              <w:szCs w:val="22"/>
            </w:rPr>
          </w:pPr>
          <w:hyperlink w:anchor="_Toc19034556" w:history="1">
            <w:r w:rsidR="00264528" w:rsidRPr="00067FC7">
              <w:rPr>
                <w:rStyle w:val="Hyperlink"/>
                <w:noProof/>
              </w:rPr>
              <w:t>Innovation, science and supporting communities</w:t>
            </w:r>
            <w:r w:rsidR="00264528">
              <w:rPr>
                <w:noProof/>
                <w:webHidden/>
              </w:rPr>
              <w:tab/>
            </w:r>
            <w:r w:rsidR="00264528">
              <w:rPr>
                <w:noProof/>
                <w:webHidden/>
              </w:rPr>
              <w:fldChar w:fldCharType="begin"/>
            </w:r>
            <w:r w:rsidR="00264528">
              <w:rPr>
                <w:noProof/>
                <w:webHidden/>
              </w:rPr>
              <w:instrText xml:space="preserve"> PAGEREF _Toc19034556 \h </w:instrText>
            </w:r>
            <w:r w:rsidR="00264528">
              <w:rPr>
                <w:noProof/>
                <w:webHidden/>
              </w:rPr>
            </w:r>
            <w:r w:rsidR="00264528">
              <w:rPr>
                <w:noProof/>
                <w:webHidden/>
              </w:rPr>
              <w:fldChar w:fldCharType="separate"/>
            </w:r>
            <w:r w:rsidR="00264528">
              <w:rPr>
                <w:noProof/>
                <w:webHidden/>
              </w:rPr>
              <w:t>6</w:t>
            </w:r>
            <w:r w:rsidR="00264528">
              <w:rPr>
                <w:noProof/>
                <w:webHidden/>
              </w:rPr>
              <w:fldChar w:fldCharType="end"/>
            </w:r>
          </w:hyperlink>
        </w:p>
        <w:p w14:paraId="5F162328" w14:textId="77777777" w:rsidR="00264528" w:rsidRDefault="00B66C0B">
          <w:pPr>
            <w:pStyle w:val="TOC1"/>
            <w:rPr>
              <w:rFonts w:asciiTheme="minorHAnsi" w:eastAsiaTheme="minorEastAsia" w:hAnsiTheme="minorHAnsi" w:cstheme="minorBidi"/>
              <w:b w:val="0"/>
              <w:noProof/>
              <w:color w:val="auto"/>
              <w:sz w:val="22"/>
            </w:rPr>
          </w:pPr>
          <w:hyperlink w:anchor="_Toc19034557" w:history="1">
            <w:r w:rsidR="00264528" w:rsidRPr="00067FC7">
              <w:rPr>
                <w:rStyle w:val="Hyperlink"/>
                <w:noProof/>
                <w:lang w:val="en"/>
              </w:rPr>
              <w:t>The future of Australia’s offshore resources</w:t>
            </w:r>
            <w:r w:rsidR="00264528">
              <w:rPr>
                <w:noProof/>
                <w:webHidden/>
              </w:rPr>
              <w:tab/>
            </w:r>
            <w:r w:rsidR="00264528">
              <w:rPr>
                <w:noProof/>
                <w:webHidden/>
              </w:rPr>
              <w:fldChar w:fldCharType="begin"/>
            </w:r>
            <w:r w:rsidR="00264528">
              <w:rPr>
                <w:noProof/>
                <w:webHidden/>
              </w:rPr>
              <w:instrText xml:space="preserve"> PAGEREF _Toc19034557 \h </w:instrText>
            </w:r>
            <w:r w:rsidR="00264528">
              <w:rPr>
                <w:noProof/>
                <w:webHidden/>
              </w:rPr>
            </w:r>
            <w:r w:rsidR="00264528">
              <w:rPr>
                <w:noProof/>
                <w:webHidden/>
              </w:rPr>
              <w:fldChar w:fldCharType="separate"/>
            </w:r>
            <w:r w:rsidR="00264528">
              <w:rPr>
                <w:noProof/>
                <w:webHidden/>
              </w:rPr>
              <w:t>7</w:t>
            </w:r>
            <w:r w:rsidR="00264528">
              <w:rPr>
                <w:noProof/>
                <w:webHidden/>
              </w:rPr>
              <w:fldChar w:fldCharType="end"/>
            </w:r>
          </w:hyperlink>
        </w:p>
        <w:p w14:paraId="6F4F8E65" w14:textId="77777777" w:rsidR="00264528" w:rsidRDefault="00B66C0B">
          <w:pPr>
            <w:pStyle w:val="TOC3"/>
            <w:rPr>
              <w:rFonts w:asciiTheme="minorHAnsi" w:eastAsiaTheme="minorEastAsia" w:hAnsiTheme="minorHAnsi" w:cstheme="minorBidi"/>
              <w:noProof/>
              <w:color w:val="auto"/>
              <w:szCs w:val="22"/>
            </w:rPr>
          </w:pPr>
          <w:hyperlink w:anchor="_Toc19034558" w:history="1">
            <w:r w:rsidR="00264528" w:rsidRPr="00067FC7">
              <w:rPr>
                <w:rStyle w:val="Hyperlink"/>
                <w:noProof/>
              </w:rPr>
              <w:t>Woodside’s Burrup Hub</w:t>
            </w:r>
            <w:r w:rsidR="00264528">
              <w:rPr>
                <w:noProof/>
                <w:webHidden/>
              </w:rPr>
              <w:tab/>
            </w:r>
            <w:r w:rsidR="00264528">
              <w:rPr>
                <w:noProof/>
                <w:webHidden/>
              </w:rPr>
              <w:fldChar w:fldCharType="begin"/>
            </w:r>
            <w:r w:rsidR="00264528">
              <w:rPr>
                <w:noProof/>
                <w:webHidden/>
              </w:rPr>
              <w:instrText xml:space="preserve"> PAGEREF _Toc19034558 \h </w:instrText>
            </w:r>
            <w:r w:rsidR="00264528">
              <w:rPr>
                <w:noProof/>
                <w:webHidden/>
              </w:rPr>
            </w:r>
            <w:r w:rsidR="00264528">
              <w:rPr>
                <w:noProof/>
                <w:webHidden/>
              </w:rPr>
              <w:fldChar w:fldCharType="separate"/>
            </w:r>
            <w:r w:rsidR="00264528">
              <w:rPr>
                <w:noProof/>
                <w:webHidden/>
              </w:rPr>
              <w:t>8</w:t>
            </w:r>
            <w:r w:rsidR="00264528">
              <w:rPr>
                <w:noProof/>
                <w:webHidden/>
              </w:rPr>
              <w:fldChar w:fldCharType="end"/>
            </w:r>
          </w:hyperlink>
        </w:p>
        <w:p w14:paraId="5A16A2DD" w14:textId="77777777" w:rsidR="00264528" w:rsidRDefault="00B66C0B">
          <w:pPr>
            <w:pStyle w:val="TOC3"/>
            <w:rPr>
              <w:rFonts w:asciiTheme="minorHAnsi" w:eastAsiaTheme="minorEastAsia" w:hAnsiTheme="minorHAnsi" w:cstheme="minorBidi"/>
              <w:noProof/>
              <w:color w:val="auto"/>
              <w:szCs w:val="22"/>
            </w:rPr>
          </w:pPr>
          <w:hyperlink w:anchor="_Toc19034559" w:history="1">
            <w:r w:rsidR="00264528" w:rsidRPr="00067FC7">
              <w:rPr>
                <w:rStyle w:val="Hyperlink"/>
                <w:noProof/>
              </w:rPr>
              <w:t>Transitioning from vertical integration to tolling infrastructure</w:t>
            </w:r>
            <w:r w:rsidR="00264528">
              <w:rPr>
                <w:noProof/>
                <w:webHidden/>
              </w:rPr>
              <w:tab/>
            </w:r>
            <w:r w:rsidR="00264528">
              <w:rPr>
                <w:noProof/>
                <w:webHidden/>
              </w:rPr>
              <w:fldChar w:fldCharType="begin"/>
            </w:r>
            <w:r w:rsidR="00264528">
              <w:rPr>
                <w:noProof/>
                <w:webHidden/>
              </w:rPr>
              <w:instrText xml:space="preserve"> PAGEREF _Toc19034559 \h </w:instrText>
            </w:r>
            <w:r w:rsidR="00264528">
              <w:rPr>
                <w:noProof/>
                <w:webHidden/>
              </w:rPr>
            </w:r>
            <w:r w:rsidR="00264528">
              <w:rPr>
                <w:noProof/>
                <w:webHidden/>
              </w:rPr>
              <w:fldChar w:fldCharType="separate"/>
            </w:r>
            <w:r w:rsidR="00264528">
              <w:rPr>
                <w:noProof/>
                <w:webHidden/>
              </w:rPr>
              <w:t>8</w:t>
            </w:r>
            <w:r w:rsidR="00264528">
              <w:rPr>
                <w:noProof/>
                <w:webHidden/>
              </w:rPr>
              <w:fldChar w:fldCharType="end"/>
            </w:r>
          </w:hyperlink>
        </w:p>
        <w:p w14:paraId="3172E0F6" w14:textId="77777777" w:rsidR="00264528" w:rsidRDefault="00B66C0B">
          <w:pPr>
            <w:pStyle w:val="TOC1"/>
            <w:rPr>
              <w:rFonts w:asciiTheme="minorHAnsi" w:eastAsiaTheme="minorEastAsia" w:hAnsiTheme="minorHAnsi" w:cstheme="minorBidi"/>
              <w:b w:val="0"/>
              <w:noProof/>
              <w:color w:val="auto"/>
              <w:sz w:val="22"/>
            </w:rPr>
          </w:pPr>
          <w:hyperlink w:anchor="_Toc19034560" w:history="1">
            <w:r w:rsidR="00264528" w:rsidRPr="00067FC7">
              <w:rPr>
                <w:rStyle w:val="Hyperlink"/>
                <w:noProof/>
              </w:rPr>
              <w:t>Global energy markets</w:t>
            </w:r>
            <w:r w:rsidR="00264528">
              <w:rPr>
                <w:noProof/>
                <w:webHidden/>
              </w:rPr>
              <w:tab/>
            </w:r>
            <w:r w:rsidR="00264528">
              <w:rPr>
                <w:noProof/>
                <w:webHidden/>
              </w:rPr>
              <w:fldChar w:fldCharType="begin"/>
            </w:r>
            <w:r w:rsidR="00264528">
              <w:rPr>
                <w:noProof/>
                <w:webHidden/>
              </w:rPr>
              <w:instrText xml:space="preserve"> PAGEREF _Toc19034560 \h </w:instrText>
            </w:r>
            <w:r w:rsidR="00264528">
              <w:rPr>
                <w:noProof/>
                <w:webHidden/>
              </w:rPr>
            </w:r>
            <w:r w:rsidR="00264528">
              <w:rPr>
                <w:noProof/>
                <w:webHidden/>
              </w:rPr>
              <w:fldChar w:fldCharType="separate"/>
            </w:r>
            <w:r w:rsidR="00264528">
              <w:rPr>
                <w:noProof/>
                <w:webHidden/>
              </w:rPr>
              <w:t>9</w:t>
            </w:r>
            <w:r w:rsidR="00264528">
              <w:rPr>
                <w:noProof/>
                <w:webHidden/>
              </w:rPr>
              <w:fldChar w:fldCharType="end"/>
            </w:r>
          </w:hyperlink>
        </w:p>
        <w:p w14:paraId="1F2D0DB1" w14:textId="77777777" w:rsidR="00264528" w:rsidRDefault="00B66C0B">
          <w:pPr>
            <w:pStyle w:val="TOC3"/>
            <w:rPr>
              <w:rFonts w:asciiTheme="minorHAnsi" w:eastAsiaTheme="minorEastAsia" w:hAnsiTheme="minorHAnsi" w:cstheme="minorBidi"/>
              <w:noProof/>
              <w:color w:val="auto"/>
              <w:szCs w:val="22"/>
            </w:rPr>
          </w:pPr>
          <w:hyperlink w:anchor="_Toc19034561" w:history="1">
            <w:r w:rsidR="00264528" w:rsidRPr="00067FC7">
              <w:rPr>
                <w:rStyle w:val="Hyperlink"/>
                <w:noProof/>
              </w:rPr>
              <w:t>Australia’s global supply role</w:t>
            </w:r>
            <w:r w:rsidR="00264528">
              <w:rPr>
                <w:noProof/>
                <w:webHidden/>
              </w:rPr>
              <w:tab/>
            </w:r>
            <w:r w:rsidR="00264528">
              <w:rPr>
                <w:noProof/>
                <w:webHidden/>
              </w:rPr>
              <w:fldChar w:fldCharType="begin"/>
            </w:r>
            <w:r w:rsidR="00264528">
              <w:rPr>
                <w:noProof/>
                <w:webHidden/>
              </w:rPr>
              <w:instrText xml:space="preserve"> PAGEREF _Toc19034561 \h </w:instrText>
            </w:r>
            <w:r w:rsidR="00264528">
              <w:rPr>
                <w:noProof/>
                <w:webHidden/>
              </w:rPr>
            </w:r>
            <w:r w:rsidR="00264528">
              <w:rPr>
                <w:noProof/>
                <w:webHidden/>
              </w:rPr>
              <w:fldChar w:fldCharType="separate"/>
            </w:r>
            <w:r w:rsidR="00264528">
              <w:rPr>
                <w:noProof/>
                <w:webHidden/>
              </w:rPr>
              <w:t>11</w:t>
            </w:r>
            <w:r w:rsidR="00264528">
              <w:rPr>
                <w:noProof/>
                <w:webHidden/>
              </w:rPr>
              <w:fldChar w:fldCharType="end"/>
            </w:r>
          </w:hyperlink>
        </w:p>
        <w:p w14:paraId="1E730E5A" w14:textId="77777777" w:rsidR="00264528" w:rsidRDefault="00B66C0B">
          <w:pPr>
            <w:pStyle w:val="TOC3"/>
            <w:rPr>
              <w:rFonts w:asciiTheme="minorHAnsi" w:eastAsiaTheme="minorEastAsia" w:hAnsiTheme="minorHAnsi" w:cstheme="minorBidi"/>
              <w:noProof/>
              <w:color w:val="auto"/>
              <w:szCs w:val="22"/>
            </w:rPr>
          </w:pPr>
          <w:hyperlink w:anchor="_Toc19034562" w:history="1">
            <w:r w:rsidR="00264528" w:rsidRPr="00067FC7">
              <w:rPr>
                <w:rStyle w:val="Hyperlink"/>
                <w:noProof/>
              </w:rPr>
              <w:t>Growing demand – and competition</w:t>
            </w:r>
            <w:r w:rsidR="00264528">
              <w:rPr>
                <w:noProof/>
                <w:webHidden/>
              </w:rPr>
              <w:tab/>
            </w:r>
            <w:r w:rsidR="00264528">
              <w:rPr>
                <w:noProof/>
                <w:webHidden/>
              </w:rPr>
              <w:fldChar w:fldCharType="begin"/>
            </w:r>
            <w:r w:rsidR="00264528">
              <w:rPr>
                <w:noProof/>
                <w:webHidden/>
              </w:rPr>
              <w:instrText xml:space="preserve"> PAGEREF _Toc19034562 \h </w:instrText>
            </w:r>
            <w:r w:rsidR="00264528">
              <w:rPr>
                <w:noProof/>
                <w:webHidden/>
              </w:rPr>
            </w:r>
            <w:r w:rsidR="00264528">
              <w:rPr>
                <w:noProof/>
                <w:webHidden/>
              </w:rPr>
              <w:fldChar w:fldCharType="separate"/>
            </w:r>
            <w:r w:rsidR="00264528">
              <w:rPr>
                <w:noProof/>
                <w:webHidden/>
              </w:rPr>
              <w:t>12</w:t>
            </w:r>
            <w:r w:rsidR="00264528">
              <w:rPr>
                <w:noProof/>
                <w:webHidden/>
              </w:rPr>
              <w:fldChar w:fldCharType="end"/>
            </w:r>
          </w:hyperlink>
        </w:p>
        <w:p w14:paraId="3EFA5E60" w14:textId="77777777" w:rsidR="00264528" w:rsidRDefault="00B66C0B">
          <w:pPr>
            <w:pStyle w:val="TOC1"/>
            <w:rPr>
              <w:rFonts w:asciiTheme="minorHAnsi" w:eastAsiaTheme="minorEastAsia" w:hAnsiTheme="minorHAnsi" w:cstheme="minorBidi"/>
              <w:b w:val="0"/>
              <w:noProof/>
              <w:color w:val="auto"/>
              <w:sz w:val="22"/>
            </w:rPr>
          </w:pPr>
          <w:hyperlink w:anchor="_Toc19034563" w:history="1">
            <w:r w:rsidR="00264528" w:rsidRPr="00067FC7">
              <w:rPr>
                <w:rStyle w:val="Hyperlink"/>
                <w:noProof/>
              </w:rPr>
              <w:t>Conclusion</w:t>
            </w:r>
            <w:r w:rsidR="00264528">
              <w:rPr>
                <w:noProof/>
                <w:webHidden/>
              </w:rPr>
              <w:tab/>
            </w:r>
            <w:r w:rsidR="00264528">
              <w:rPr>
                <w:noProof/>
                <w:webHidden/>
              </w:rPr>
              <w:fldChar w:fldCharType="begin"/>
            </w:r>
            <w:r w:rsidR="00264528">
              <w:rPr>
                <w:noProof/>
                <w:webHidden/>
              </w:rPr>
              <w:instrText xml:space="preserve"> PAGEREF _Toc19034563 \h </w:instrText>
            </w:r>
            <w:r w:rsidR="00264528">
              <w:rPr>
                <w:noProof/>
                <w:webHidden/>
              </w:rPr>
            </w:r>
            <w:r w:rsidR="00264528">
              <w:rPr>
                <w:noProof/>
                <w:webHidden/>
              </w:rPr>
              <w:fldChar w:fldCharType="separate"/>
            </w:r>
            <w:r w:rsidR="00264528">
              <w:rPr>
                <w:noProof/>
                <w:webHidden/>
              </w:rPr>
              <w:t>13</w:t>
            </w:r>
            <w:r w:rsidR="00264528">
              <w:rPr>
                <w:noProof/>
                <w:webHidden/>
              </w:rPr>
              <w:fldChar w:fldCharType="end"/>
            </w:r>
          </w:hyperlink>
        </w:p>
        <w:p w14:paraId="26034DE3" w14:textId="77777777" w:rsidR="00264528" w:rsidRDefault="00B66C0B">
          <w:pPr>
            <w:pStyle w:val="TOC1"/>
            <w:rPr>
              <w:rFonts w:asciiTheme="minorHAnsi" w:eastAsiaTheme="minorEastAsia" w:hAnsiTheme="minorHAnsi" w:cstheme="minorBidi"/>
              <w:b w:val="0"/>
              <w:noProof/>
              <w:color w:val="auto"/>
              <w:sz w:val="22"/>
            </w:rPr>
          </w:pPr>
          <w:hyperlink w:anchor="_Toc19034564" w:history="1">
            <w:r w:rsidR="00264528" w:rsidRPr="00067FC7">
              <w:rPr>
                <w:rStyle w:val="Hyperlink"/>
                <w:noProof/>
              </w:rPr>
              <w:t>Attachment A</w:t>
            </w:r>
            <w:r w:rsidR="00264528">
              <w:rPr>
                <w:noProof/>
                <w:webHidden/>
              </w:rPr>
              <w:tab/>
            </w:r>
            <w:r w:rsidR="00264528">
              <w:rPr>
                <w:noProof/>
                <w:webHidden/>
              </w:rPr>
              <w:fldChar w:fldCharType="begin"/>
            </w:r>
            <w:r w:rsidR="00264528">
              <w:rPr>
                <w:noProof/>
                <w:webHidden/>
              </w:rPr>
              <w:instrText xml:space="preserve"> PAGEREF _Toc19034564 \h </w:instrText>
            </w:r>
            <w:r w:rsidR="00264528">
              <w:rPr>
                <w:noProof/>
                <w:webHidden/>
              </w:rPr>
            </w:r>
            <w:r w:rsidR="00264528">
              <w:rPr>
                <w:noProof/>
                <w:webHidden/>
              </w:rPr>
              <w:fldChar w:fldCharType="separate"/>
            </w:r>
            <w:r w:rsidR="00264528">
              <w:rPr>
                <w:noProof/>
                <w:webHidden/>
              </w:rPr>
              <w:t>14</w:t>
            </w:r>
            <w:r w:rsidR="00264528">
              <w:rPr>
                <w:noProof/>
                <w:webHidden/>
              </w:rPr>
              <w:fldChar w:fldCharType="end"/>
            </w:r>
          </w:hyperlink>
        </w:p>
        <w:p w14:paraId="67CFBC1A" w14:textId="77777777" w:rsidR="00264528" w:rsidRDefault="00B66C0B">
          <w:pPr>
            <w:pStyle w:val="TOC2"/>
            <w:rPr>
              <w:rFonts w:asciiTheme="minorHAnsi" w:eastAsiaTheme="minorEastAsia" w:hAnsiTheme="minorHAnsi" w:cstheme="minorBidi"/>
              <w:noProof/>
              <w:color w:val="auto"/>
              <w:szCs w:val="22"/>
            </w:rPr>
          </w:pPr>
          <w:hyperlink w:anchor="_Toc19034565" w:history="1">
            <w:r w:rsidR="00264528" w:rsidRPr="00067FC7">
              <w:rPr>
                <w:rStyle w:val="Hyperlink"/>
                <w:noProof/>
              </w:rPr>
              <w:t>Australia’s LNG development projects – as at 23 August 2019</w:t>
            </w:r>
            <w:r w:rsidR="00264528">
              <w:rPr>
                <w:noProof/>
                <w:webHidden/>
              </w:rPr>
              <w:tab/>
            </w:r>
            <w:r w:rsidR="00264528">
              <w:rPr>
                <w:noProof/>
                <w:webHidden/>
              </w:rPr>
              <w:fldChar w:fldCharType="begin"/>
            </w:r>
            <w:r w:rsidR="00264528">
              <w:rPr>
                <w:noProof/>
                <w:webHidden/>
              </w:rPr>
              <w:instrText xml:space="preserve"> PAGEREF _Toc19034565 \h </w:instrText>
            </w:r>
            <w:r w:rsidR="00264528">
              <w:rPr>
                <w:noProof/>
                <w:webHidden/>
              </w:rPr>
            </w:r>
            <w:r w:rsidR="00264528">
              <w:rPr>
                <w:noProof/>
                <w:webHidden/>
              </w:rPr>
              <w:fldChar w:fldCharType="separate"/>
            </w:r>
            <w:r w:rsidR="00264528">
              <w:rPr>
                <w:noProof/>
                <w:webHidden/>
              </w:rPr>
              <w:t>14</w:t>
            </w:r>
            <w:r w:rsidR="00264528">
              <w:rPr>
                <w:noProof/>
                <w:webHidden/>
              </w:rPr>
              <w:fldChar w:fldCharType="end"/>
            </w:r>
          </w:hyperlink>
        </w:p>
        <w:p w14:paraId="27702BF4" w14:textId="77777777" w:rsidR="00264528" w:rsidRDefault="00B66C0B">
          <w:pPr>
            <w:pStyle w:val="TOC1"/>
            <w:rPr>
              <w:rFonts w:asciiTheme="minorHAnsi" w:eastAsiaTheme="minorEastAsia" w:hAnsiTheme="minorHAnsi" w:cstheme="minorBidi"/>
              <w:b w:val="0"/>
              <w:noProof/>
              <w:color w:val="auto"/>
              <w:sz w:val="22"/>
            </w:rPr>
          </w:pPr>
          <w:hyperlink w:anchor="_Toc19034566" w:history="1">
            <w:r w:rsidR="00264528" w:rsidRPr="00067FC7">
              <w:rPr>
                <w:rStyle w:val="Hyperlink"/>
                <w:noProof/>
              </w:rPr>
              <w:t>Attachment B</w:t>
            </w:r>
            <w:r w:rsidR="00264528">
              <w:rPr>
                <w:noProof/>
                <w:webHidden/>
              </w:rPr>
              <w:tab/>
            </w:r>
            <w:r w:rsidR="00264528">
              <w:rPr>
                <w:noProof/>
                <w:webHidden/>
              </w:rPr>
              <w:fldChar w:fldCharType="begin"/>
            </w:r>
            <w:r w:rsidR="00264528">
              <w:rPr>
                <w:noProof/>
                <w:webHidden/>
              </w:rPr>
              <w:instrText xml:space="preserve"> PAGEREF _Toc19034566 \h </w:instrText>
            </w:r>
            <w:r w:rsidR="00264528">
              <w:rPr>
                <w:noProof/>
                <w:webHidden/>
              </w:rPr>
            </w:r>
            <w:r w:rsidR="00264528">
              <w:rPr>
                <w:noProof/>
                <w:webHidden/>
              </w:rPr>
              <w:fldChar w:fldCharType="separate"/>
            </w:r>
            <w:r w:rsidR="00264528">
              <w:rPr>
                <w:noProof/>
                <w:webHidden/>
              </w:rPr>
              <w:t>16</w:t>
            </w:r>
            <w:r w:rsidR="00264528">
              <w:rPr>
                <w:noProof/>
                <w:webHidden/>
              </w:rPr>
              <w:fldChar w:fldCharType="end"/>
            </w:r>
          </w:hyperlink>
        </w:p>
        <w:p w14:paraId="155308CF" w14:textId="77777777" w:rsidR="00264528" w:rsidRDefault="00B66C0B">
          <w:pPr>
            <w:pStyle w:val="TOC2"/>
            <w:rPr>
              <w:rFonts w:asciiTheme="minorHAnsi" w:eastAsiaTheme="minorEastAsia" w:hAnsiTheme="minorHAnsi" w:cstheme="minorBidi"/>
              <w:noProof/>
              <w:color w:val="auto"/>
              <w:szCs w:val="22"/>
            </w:rPr>
          </w:pPr>
          <w:hyperlink w:anchor="_Toc19034567" w:history="1">
            <w:r w:rsidR="00264528" w:rsidRPr="00067FC7">
              <w:rPr>
                <w:rStyle w:val="Hyperlink"/>
                <w:noProof/>
              </w:rPr>
              <w:t>Upcoming Expiring LNG Contracts</w:t>
            </w:r>
            <w:r w:rsidR="00264528">
              <w:rPr>
                <w:noProof/>
                <w:webHidden/>
              </w:rPr>
              <w:tab/>
            </w:r>
            <w:r w:rsidR="00264528">
              <w:rPr>
                <w:noProof/>
                <w:webHidden/>
              </w:rPr>
              <w:fldChar w:fldCharType="begin"/>
            </w:r>
            <w:r w:rsidR="00264528">
              <w:rPr>
                <w:noProof/>
                <w:webHidden/>
              </w:rPr>
              <w:instrText xml:space="preserve"> PAGEREF _Toc19034567 \h </w:instrText>
            </w:r>
            <w:r w:rsidR="00264528">
              <w:rPr>
                <w:noProof/>
                <w:webHidden/>
              </w:rPr>
            </w:r>
            <w:r w:rsidR="00264528">
              <w:rPr>
                <w:noProof/>
                <w:webHidden/>
              </w:rPr>
              <w:fldChar w:fldCharType="separate"/>
            </w:r>
            <w:r w:rsidR="00264528">
              <w:rPr>
                <w:noProof/>
                <w:webHidden/>
              </w:rPr>
              <w:t>16</w:t>
            </w:r>
            <w:r w:rsidR="00264528">
              <w:rPr>
                <w:noProof/>
                <w:webHidden/>
              </w:rPr>
              <w:fldChar w:fldCharType="end"/>
            </w:r>
          </w:hyperlink>
        </w:p>
        <w:p w14:paraId="2D85A685" w14:textId="77777777" w:rsidR="000A7034" w:rsidRDefault="000A7034">
          <w:r>
            <w:rPr>
              <w:b/>
              <w:bCs/>
              <w:noProof/>
            </w:rPr>
            <w:fldChar w:fldCharType="end"/>
          </w:r>
        </w:p>
      </w:sdtContent>
    </w:sdt>
    <w:p w14:paraId="7B52146E" w14:textId="77777777" w:rsidR="00803E08" w:rsidRDefault="00803E08">
      <w:pPr>
        <w:spacing w:after="160" w:line="259" w:lineRule="auto"/>
        <w:rPr>
          <w:rFonts w:asciiTheme="majorHAnsi" w:eastAsiaTheme="majorEastAsia" w:hAnsiTheme="majorHAnsi" w:cstheme="majorBidi"/>
          <w:color w:val="2E74B5" w:themeColor="accent1" w:themeShade="BF"/>
          <w:sz w:val="36"/>
          <w:szCs w:val="32"/>
        </w:rPr>
      </w:pPr>
      <w:r>
        <w:br w:type="page"/>
      </w:r>
    </w:p>
    <w:p w14:paraId="16E6B12E" w14:textId="77777777" w:rsidR="002D1775" w:rsidRPr="002D1775" w:rsidRDefault="002D1775" w:rsidP="009F2592">
      <w:pPr>
        <w:pStyle w:val="Heading1"/>
      </w:pPr>
      <w:bookmarkStart w:id="1" w:name="_Toc19034550"/>
      <w:r w:rsidRPr="002D1775">
        <w:lastRenderedPageBreak/>
        <w:t xml:space="preserve">Submission </w:t>
      </w:r>
      <w:r w:rsidR="009F2592">
        <w:t>s</w:t>
      </w:r>
      <w:r w:rsidR="00092955">
        <w:t>tructure</w:t>
      </w:r>
      <w:bookmarkEnd w:id="1"/>
      <w:r w:rsidR="00092955">
        <w:t xml:space="preserve"> </w:t>
      </w:r>
    </w:p>
    <w:p w14:paraId="2B27F6DF" w14:textId="77777777" w:rsidR="00123920" w:rsidRDefault="009F2592" w:rsidP="009C06C6">
      <w:r>
        <w:t>This submission by the Department of Industry, Innovation</w:t>
      </w:r>
      <w:r w:rsidR="00092955">
        <w:t xml:space="preserve"> and </w:t>
      </w:r>
      <w:r>
        <w:t xml:space="preserve">Science </w:t>
      </w:r>
      <w:r w:rsidR="00C62DCC">
        <w:t xml:space="preserve">(the department) </w:t>
      </w:r>
      <w:r>
        <w:t>provides an overview of Australia’s offshore oil and gas industry</w:t>
      </w:r>
      <w:r w:rsidR="00C21774">
        <w:t xml:space="preserve">. It highlights the important </w:t>
      </w:r>
      <w:r w:rsidR="008A18DE">
        <w:t xml:space="preserve">economic </w:t>
      </w:r>
      <w:r w:rsidR="00C21774">
        <w:t>co</w:t>
      </w:r>
      <w:r w:rsidR="00DD35EC">
        <w:t>ntribution the industry makes</w:t>
      </w:r>
      <w:r w:rsidR="00C21774">
        <w:t>, key</w:t>
      </w:r>
      <w:r w:rsidR="008A18DE">
        <w:t xml:space="preserve"> global challenges and </w:t>
      </w:r>
      <w:r w:rsidR="00C21774">
        <w:t xml:space="preserve">some </w:t>
      </w:r>
      <w:r>
        <w:t>emerging issues that may be relevant to the</w:t>
      </w:r>
      <w:r w:rsidR="00184B31">
        <w:t xml:space="preserve"> Treasury’s</w:t>
      </w:r>
      <w:r>
        <w:t xml:space="preserve"> Review of the PRRT Gas</w:t>
      </w:r>
      <w:r w:rsidR="00C62DCC">
        <w:t xml:space="preserve"> Transfer Pricing Arrangements</w:t>
      </w:r>
      <w:r w:rsidR="008A18DE">
        <w:t xml:space="preserve"> (the Review)</w:t>
      </w:r>
      <w:r w:rsidR="00C62DCC">
        <w:t>.</w:t>
      </w:r>
      <w:r w:rsidR="00123920" w:rsidRPr="00123920">
        <w:t xml:space="preserve"> </w:t>
      </w:r>
    </w:p>
    <w:p w14:paraId="37369597" w14:textId="77777777" w:rsidR="002D1775" w:rsidRDefault="00123920" w:rsidP="009C06C6">
      <w:r>
        <w:t>The department</w:t>
      </w:r>
      <w:r w:rsidR="000228C6">
        <w:t xml:space="preserve">, </w:t>
      </w:r>
      <w:r w:rsidR="00C21774">
        <w:t>and relevant</w:t>
      </w:r>
      <w:r w:rsidR="000228C6">
        <w:t xml:space="preserve"> portfolio agencies</w:t>
      </w:r>
      <w:r w:rsidR="00C21774">
        <w:t>,</w:t>
      </w:r>
      <w:r>
        <w:t xml:space="preserve"> has responsibility for</w:t>
      </w:r>
      <w:r w:rsidR="000228C6">
        <w:t xml:space="preserve"> policy development,</w:t>
      </w:r>
      <w:r>
        <w:t xml:space="preserve"> regulation and legislation </w:t>
      </w:r>
      <w:r w:rsidR="000228C6">
        <w:t>governing</w:t>
      </w:r>
      <w:r>
        <w:t xml:space="preserve"> offshore petroleum resources</w:t>
      </w:r>
      <w:r w:rsidR="000228C6">
        <w:t xml:space="preserve"> in Commonwealth waters</w:t>
      </w:r>
      <w:r>
        <w:t xml:space="preserve">. This submission reflects </w:t>
      </w:r>
      <w:r w:rsidR="00C21774">
        <w:t>that</w:t>
      </w:r>
      <w:r>
        <w:t xml:space="preserve"> scope of responsibility.</w:t>
      </w:r>
    </w:p>
    <w:p w14:paraId="44158DC2" w14:textId="77777777" w:rsidR="00800400" w:rsidRDefault="00973E06" w:rsidP="00431BD0">
      <w:pPr>
        <w:pStyle w:val="Heading1"/>
      </w:pPr>
      <w:bookmarkStart w:id="2" w:name="_Toc19034551"/>
      <w:bookmarkStart w:id="3" w:name="_Toc476577305"/>
      <w:bookmarkStart w:id="4" w:name="_Toc476582293"/>
      <w:bookmarkStart w:id="5" w:name="_Toc476582967"/>
      <w:bookmarkStart w:id="6" w:name="_Toc476583684"/>
      <w:bookmarkStart w:id="7" w:name="_Toc476584132"/>
      <w:bookmarkStart w:id="8" w:name="_Toc476738038"/>
      <w:bookmarkStart w:id="9" w:name="_Toc476747613"/>
      <w:bookmarkStart w:id="10" w:name="_Toc476749021"/>
      <w:bookmarkStart w:id="11" w:name="_Toc476753889"/>
      <w:bookmarkStart w:id="12" w:name="_Toc476754384"/>
      <w:bookmarkStart w:id="13" w:name="_Toc476754549"/>
      <w:bookmarkStart w:id="14" w:name="_Toc476759785"/>
      <w:bookmarkStart w:id="15" w:name="_Toc476761407"/>
      <w:bookmarkStart w:id="16" w:name="_Toc476767045"/>
      <w:bookmarkStart w:id="17" w:name="_Toc476827091"/>
      <w:bookmarkStart w:id="18" w:name="_Toc476828784"/>
      <w:bookmarkStart w:id="19" w:name="_Toc476833658"/>
      <w:bookmarkStart w:id="20" w:name="_Toc476837131"/>
      <w:bookmarkStart w:id="21" w:name="_Toc476841004"/>
      <w:bookmarkStart w:id="22" w:name="_Toc476841209"/>
      <w:bookmarkStart w:id="23" w:name="_Toc476841968"/>
      <w:bookmarkStart w:id="24" w:name="_Toc476842912"/>
      <w:bookmarkStart w:id="25" w:name="_Toc476843083"/>
      <w:bookmarkStart w:id="26" w:name="_Toc476844581"/>
      <w:bookmarkStart w:id="27" w:name="_Toc476845474"/>
      <w:bookmarkStart w:id="28" w:name="_Toc476926865"/>
      <w:bookmarkStart w:id="29" w:name="_Toc476926804"/>
      <w:bookmarkStart w:id="30" w:name="_Toc476927152"/>
      <w:bookmarkStart w:id="31" w:name="_Toc476928416"/>
      <w:bookmarkStart w:id="32" w:name="_Toc476929459"/>
      <w:bookmarkStart w:id="33" w:name="_Toc476929634"/>
      <w:bookmarkStart w:id="34" w:name="_Toc476930677"/>
      <w:bookmarkStart w:id="35" w:name="_Toc476931484"/>
      <w:bookmarkStart w:id="36" w:name="_Toc477869854"/>
      <w:bookmarkStart w:id="37" w:name="_Toc477871093"/>
      <w:bookmarkStart w:id="38" w:name="_Toc477873252"/>
      <w:bookmarkStart w:id="39" w:name="_Toc477875246"/>
      <w:bookmarkStart w:id="40" w:name="_Toc477880159"/>
      <w:bookmarkStart w:id="41" w:name="_Toc477881419"/>
      <w:bookmarkStart w:id="42" w:name="_Toc477955823"/>
      <w:bookmarkStart w:id="43" w:name="_Toc477963068"/>
      <w:bookmarkStart w:id="44" w:name="_Toc477963554"/>
      <w:bookmarkStart w:id="45" w:name="_Toc477965140"/>
      <w:bookmarkStart w:id="46" w:name="_Toc477966644"/>
      <w:bookmarkStart w:id="47" w:name="_Toc477966813"/>
      <w:bookmarkStart w:id="48" w:name="_Toc477967153"/>
      <w:bookmarkStart w:id="49" w:name="_Toc478121290"/>
      <w:bookmarkStart w:id="50" w:name="_Toc478122203"/>
      <w:bookmarkStart w:id="51" w:name="_Toc478132177"/>
      <w:bookmarkStart w:id="52" w:name="_Toc478133203"/>
      <w:bookmarkStart w:id="53" w:name="_Toc478132340"/>
      <w:bookmarkStart w:id="54" w:name="_Toc478134669"/>
      <w:bookmarkStart w:id="55" w:name="_Toc478137371"/>
      <w:bookmarkStart w:id="56" w:name="_Toc478138443"/>
      <w:bookmarkStart w:id="57" w:name="_Toc478140013"/>
      <w:bookmarkStart w:id="58" w:name="_Toc478140429"/>
      <w:bookmarkStart w:id="59" w:name="_Toc478142635"/>
      <w:bookmarkStart w:id="60" w:name="_Toc478566351"/>
      <w:bookmarkStart w:id="61" w:name="_Toc478569518"/>
      <w:bookmarkStart w:id="62" w:name="_Toc478569692"/>
      <w:bookmarkStart w:id="63" w:name="_Toc478570766"/>
      <w:bookmarkStart w:id="64" w:name="_Toc478632965"/>
      <w:bookmarkStart w:id="65" w:name="_Toc478641373"/>
      <w:bookmarkStart w:id="66" w:name="_Toc478654267"/>
      <w:bookmarkStart w:id="67" w:name="_Toc478654441"/>
      <w:bookmarkStart w:id="68" w:name="_Toc478657736"/>
      <w:bookmarkStart w:id="69" w:name="_Toc478993157"/>
      <w:bookmarkStart w:id="70" w:name="_Toc479000228"/>
      <w:bookmarkStart w:id="71" w:name="_Toc479002162"/>
      <w:bookmarkStart w:id="72" w:name="_Toc479002334"/>
      <w:bookmarkStart w:id="73" w:name="_Toc479254310"/>
      <w:bookmarkStart w:id="74" w:name="_Toc479258499"/>
      <w:bookmarkStart w:id="75" w:name="_Toc479258815"/>
      <w:bookmarkStart w:id="76" w:name="_Toc479259707"/>
      <w:bookmarkStart w:id="77" w:name="_Toc479262130"/>
      <w:bookmarkStart w:id="78" w:name="_Toc479262551"/>
      <w:bookmarkStart w:id="79" w:name="_Toc479321252"/>
      <w:bookmarkStart w:id="80" w:name="_Toc479326691"/>
      <w:bookmarkStart w:id="81" w:name="_Toc479333290"/>
      <w:bookmarkStart w:id="82" w:name="_Toc479334987"/>
      <w:bookmarkStart w:id="83" w:name="_Toc479341702"/>
      <w:bookmarkStart w:id="84" w:name="_Toc479345118"/>
      <w:bookmarkStart w:id="85" w:name="_Toc479345327"/>
      <w:bookmarkStart w:id="86" w:name="_Toc479348308"/>
      <w:bookmarkStart w:id="87" w:name="_Toc479675902"/>
      <w:bookmarkStart w:id="88" w:name="_Toc479690869"/>
      <w:bookmarkStart w:id="89" w:name="_Toc479693447"/>
      <w:bookmarkStart w:id="90" w:name="_Toc479770616"/>
      <w:r>
        <w:t>Introduction</w:t>
      </w:r>
      <w:bookmarkEnd w:id="2"/>
    </w:p>
    <w:p w14:paraId="09EC2565" w14:textId="77777777" w:rsidR="003F4430" w:rsidRDefault="00BD474F" w:rsidP="00800400">
      <w:r>
        <w:t>Australia</w:t>
      </w:r>
      <w:r w:rsidR="00396F86">
        <w:t>’s prosperity and status as a leadi</w:t>
      </w:r>
      <w:r w:rsidR="00A83A37">
        <w:t>ng energy supplier to the world</w:t>
      </w:r>
      <w:r>
        <w:t xml:space="preserve"> </w:t>
      </w:r>
      <w:r w:rsidR="00396F86">
        <w:t xml:space="preserve">depends on </w:t>
      </w:r>
      <w:r>
        <w:t>retain</w:t>
      </w:r>
      <w:r w:rsidR="00396F86">
        <w:t xml:space="preserve">ing and </w:t>
      </w:r>
      <w:r>
        <w:t>attract</w:t>
      </w:r>
      <w:r w:rsidR="0073650D">
        <w:t>ing</w:t>
      </w:r>
      <w:r>
        <w:t xml:space="preserve"> </w:t>
      </w:r>
      <w:r w:rsidR="00DD35EC">
        <w:t>investment in our resources sector</w:t>
      </w:r>
      <w:r>
        <w:t xml:space="preserve">. </w:t>
      </w:r>
    </w:p>
    <w:p w14:paraId="436345F8" w14:textId="77777777" w:rsidR="00BD474F" w:rsidRDefault="00BD474F" w:rsidP="00800400">
      <w:r>
        <w:t>For Au</w:t>
      </w:r>
      <w:r w:rsidR="00800400">
        <w:t xml:space="preserve">stralia to realise the </w:t>
      </w:r>
      <w:r w:rsidR="003F4430">
        <w:t xml:space="preserve">full </w:t>
      </w:r>
      <w:r w:rsidR="00800400">
        <w:t>potential of its resources</w:t>
      </w:r>
      <w:r>
        <w:t xml:space="preserve"> – and the multi-billion dollar multi-generational benefits it provides</w:t>
      </w:r>
      <w:r w:rsidR="00A83A37">
        <w:t xml:space="preserve"> to the Australian community and economy</w:t>
      </w:r>
      <w:r w:rsidR="000B55A2">
        <w:t xml:space="preserve"> – a </w:t>
      </w:r>
      <w:r>
        <w:t xml:space="preserve">stable regulatory and attractive tax </w:t>
      </w:r>
      <w:r w:rsidR="006617C1">
        <w:t>framework</w:t>
      </w:r>
      <w:r>
        <w:t xml:space="preserve"> </w:t>
      </w:r>
      <w:r w:rsidR="006617C1">
        <w:t xml:space="preserve">is </w:t>
      </w:r>
      <w:r>
        <w:t>critical</w:t>
      </w:r>
      <w:r w:rsidR="00DB0B14">
        <w:t>.</w:t>
      </w:r>
      <w:r>
        <w:t xml:space="preserve"> </w:t>
      </w:r>
    </w:p>
    <w:p w14:paraId="5280105D" w14:textId="77777777" w:rsidR="005A04E7" w:rsidRDefault="00800400" w:rsidP="00800400">
      <w:r>
        <w:t xml:space="preserve">How </w:t>
      </w:r>
      <w:r w:rsidR="00B539C3">
        <w:t xml:space="preserve">offshore oil and gas industry policy </w:t>
      </w:r>
      <w:r w:rsidR="003F4430">
        <w:t xml:space="preserve">objectives link </w:t>
      </w:r>
      <w:r>
        <w:t xml:space="preserve">with </w:t>
      </w:r>
      <w:r w:rsidR="00B539C3">
        <w:t xml:space="preserve">tax </w:t>
      </w:r>
      <w:r>
        <w:t>policy objectives</w:t>
      </w:r>
      <w:r w:rsidR="003F4430">
        <w:t xml:space="preserve"> – to </w:t>
      </w:r>
      <w:r w:rsidR="00B539C3">
        <w:t>support</w:t>
      </w:r>
      <w:r>
        <w:t xml:space="preserve"> </w:t>
      </w:r>
      <w:r w:rsidR="003F4430">
        <w:t xml:space="preserve">investment, </w:t>
      </w:r>
      <w:r>
        <w:t xml:space="preserve">innovation and encourage </w:t>
      </w:r>
      <w:r w:rsidR="00B539C3">
        <w:t xml:space="preserve">industry </w:t>
      </w:r>
      <w:r>
        <w:t>collaboration</w:t>
      </w:r>
      <w:r w:rsidR="003F4430">
        <w:t xml:space="preserve"> – are </w:t>
      </w:r>
      <w:r>
        <w:t xml:space="preserve">key </w:t>
      </w:r>
      <w:r w:rsidR="003F4430">
        <w:t>issues</w:t>
      </w:r>
      <w:r w:rsidR="00CE1FE9">
        <w:t xml:space="preserve"> for the department and the Australian Government.</w:t>
      </w:r>
      <w:r w:rsidR="00376678">
        <w:t xml:space="preserve"> </w:t>
      </w:r>
    </w:p>
    <w:p w14:paraId="16008E63" w14:textId="77777777" w:rsidR="00817549" w:rsidRDefault="00CE1FE9" w:rsidP="005A04E7">
      <w:r>
        <w:t xml:space="preserve">Australia’s </w:t>
      </w:r>
      <w:r w:rsidR="00E02216">
        <w:t xml:space="preserve">giant </w:t>
      </w:r>
      <w:r>
        <w:t xml:space="preserve">gas field discoveries have underpinned world-leading projects </w:t>
      </w:r>
      <w:r w:rsidR="005A04E7">
        <w:t>and first-class infrastructure</w:t>
      </w:r>
      <w:r w:rsidR="007F575E">
        <w:t>,</w:t>
      </w:r>
      <w:r w:rsidR="005A04E7">
        <w:t xml:space="preserve"> </w:t>
      </w:r>
      <w:r w:rsidR="005A04E7" w:rsidRPr="00D4149E">
        <w:t>mostly developed on a standalone basis</w:t>
      </w:r>
      <w:r w:rsidR="00123A25">
        <w:t>, where offshore fields are developed as one project with supporting offshore and onshore processing infrastructure</w:t>
      </w:r>
      <w:r w:rsidR="005A04E7" w:rsidRPr="00D4149E">
        <w:t xml:space="preserve">. </w:t>
      </w:r>
      <w:r w:rsidR="007F575E">
        <w:t xml:space="preserve">These include the </w:t>
      </w:r>
      <w:r w:rsidR="005A04E7" w:rsidRPr="00D4149E">
        <w:t>Pluto, Wheatstone, Gorgon, Ichthys and Prelude</w:t>
      </w:r>
      <w:r w:rsidR="007F575E" w:rsidRPr="00D4149E">
        <w:t xml:space="preserve"> LNG projects</w:t>
      </w:r>
      <w:r w:rsidR="005A04E7" w:rsidRPr="00D4149E">
        <w:t xml:space="preserve">. </w:t>
      </w:r>
      <w:r w:rsidR="00176C3D">
        <w:t>T</w:t>
      </w:r>
      <w:r w:rsidR="000228C6">
        <w:t>he upstream development of</w:t>
      </w:r>
      <w:r w:rsidR="007F575E">
        <w:t xml:space="preserve"> </w:t>
      </w:r>
      <w:r w:rsidR="000228C6">
        <w:t xml:space="preserve">much of Australia’s </w:t>
      </w:r>
      <w:r w:rsidR="00176C3D" w:rsidRPr="00D4149E">
        <w:t>resources</w:t>
      </w:r>
      <w:r w:rsidR="00176C3D">
        <w:t xml:space="preserve"> </w:t>
      </w:r>
      <w:r w:rsidR="000228C6">
        <w:t>has historically been conducted in tandem with the</w:t>
      </w:r>
      <w:r w:rsidR="00176C3D">
        <w:t xml:space="preserve"> construction of </w:t>
      </w:r>
      <w:r w:rsidR="005A04E7" w:rsidRPr="00D4149E">
        <w:t xml:space="preserve">downstream </w:t>
      </w:r>
      <w:r w:rsidR="008837ED">
        <w:t xml:space="preserve">processing </w:t>
      </w:r>
      <w:r w:rsidR="005A04E7" w:rsidRPr="00D4149E">
        <w:t>infrastructure.</w:t>
      </w:r>
      <w:r w:rsidR="001869D9">
        <w:t xml:space="preserve"> </w:t>
      </w:r>
    </w:p>
    <w:p w14:paraId="2E633432" w14:textId="77777777" w:rsidR="00817549" w:rsidRDefault="007F575E" w:rsidP="005A04E7">
      <w:r>
        <w:t xml:space="preserve">The decision to invest by these </w:t>
      </w:r>
      <w:r w:rsidR="00360804">
        <w:t xml:space="preserve">project’s </w:t>
      </w:r>
      <w:r>
        <w:t>joint venture partners involve</w:t>
      </w:r>
      <w:r w:rsidR="005B27D6">
        <w:t xml:space="preserve">s, among many other factors, </w:t>
      </w:r>
      <w:r>
        <w:t>consideration of the resources in their foundation petroleum production licences</w:t>
      </w:r>
      <w:r w:rsidR="00360804">
        <w:t xml:space="preserve"> – and </w:t>
      </w:r>
      <w:r>
        <w:t>their petroleum retention leases as fu</w:t>
      </w:r>
      <w:r w:rsidR="00360804">
        <w:t>ture fields for infill.</w:t>
      </w:r>
      <w:r>
        <w:t xml:space="preserve"> </w:t>
      </w:r>
    </w:p>
    <w:p w14:paraId="2ED63FE7" w14:textId="77777777" w:rsidR="000228C6" w:rsidRDefault="000228C6" w:rsidP="000228C6">
      <w:r>
        <w:t xml:space="preserve">Attracting and retaining new investment, especially in frontier areas, is strongly influenced by the opportunities and risk companies are willing to take. Their decisions are underpinned by the regulatory, financial and tax regime in which Australia competes internationally. </w:t>
      </w:r>
    </w:p>
    <w:p w14:paraId="6C5E3D4F" w14:textId="77777777" w:rsidR="00CD5C68" w:rsidRDefault="00CB0B0D" w:rsidP="00D91887">
      <w:r>
        <w:t xml:space="preserve">The role of Government is to </w:t>
      </w:r>
      <w:r w:rsidR="00B52945">
        <w:t>support</w:t>
      </w:r>
      <w:r>
        <w:t xml:space="preserve"> </w:t>
      </w:r>
      <w:r w:rsidR="00A83A37">
        <w:t xml:space="preserve">development </w:t>
      </w:r>
      <w:r w:rsidR="00C21774">
        <w:t>with a fit for purpose</w:t>
      </w:r>
      <w:r w:rsidR="00B52945">
        <w:t xml:space="preserve"> regulatory framework</w:t>
      </w:r>
      <w:r w:rsidR="00C21774">
        <w:t xml:space="preserve"> – and </w:t>
      </w:r>
      <w:r>
        <w:t xml:space="preserve">ensure </w:t>
      </w:r>
      <w:r w:rsidR="00A83A37">
        <w:t>Australian</w:t>
      </w:r>
      <w:r>
        <w:t>s</w:t>
      </w:r>
      <w:r w:rsidR="00A83A37">
        <w:t xml:space="preserve"> receive a fair share from the development of </w:t>
      </w:r>
      <w:r>
        <w:t>our</w:t>
      </w:r>
      <w:r w:rsidR="00A83A37">
        <w:t xml:space="preserve"> resources</w:t>
      </w:r>
      <w:r w:rsidR="00396F86">
        <w:t>.</w:t>
      </w:r>
      <w:r w:rsidR="00A83A37">
        <w:t xml:space="preserve"> </w:t>
      </w:r>
    </w:p>
    <w:p w14:paraId="7662E8F8" w14:textId="77777777" w:rsidR="00CD5C68" w:rsidRDefault="00CD5C68" w:rsidP="00CD5C68">
      <w:pPr>
        <w:pStyle w:val="Heading1"/>
      </w:pPr>
      <w:bookmarkStart w:id="91" w:name="_Toc19034552"/>
      <w:r>
        <w:t>The National Resources Statement</w:t>
      </w:r>
      <w:bookmarkEnd w:id="91"/>
    </w:p>
    <w:p w14:paraId="4B907A3D" w14:textId="77777777" w:rsidR="003E0C7D" w:rsidRPr="00CC27FE" w:rsidRDefault="00CC27FE" w:rsidP="003E0C7D">
      <w:pPr>
        <w:rPr>
          <w:lang w:val="en"/>
        </w:rPr>
      </w:pPr>
      <w:r>
        <w:t xml:space="preserve">The 2019 National Resources Statement </w:t>
      </w:r>
      <w:r w:rsidR="00AE2F70">
        <w:t>(the Statement)</w:t>
      </w:r>
      <w:r w:rsidR="00073B4C">
        <w:t xml:space="preserve"> sets</w:t>
      </w:r>
      <w:r w:rsidR="00AE2F70">
        <w:t xml:space="preserve"> </w:t>
      </w:r>
      <w:r w:rsidRPr="00CC27FE">
        <w:rPr>
          <w:lang w:val="en"/>
        </w:rPr>
        <w:t xml:space="preserve">out the </w:t>
      </w:r>
      <w:r w:rsidR="003E0C7D">
        <w:rPr>
          <w:lang w:val="en"/>
        </w:rPr>
        <w:t>Australian Government’s</w:t>
      </w:r>
      <w:r w:rsidRPr="00CC27FE">
        <w:rPr>
          <w:lang w:val="en"/>
        </w:rPr>
        <w:t xml:space="preserve"> policy and long-term reform agenda for the Australian resources sector.</w:t>
      </w:r>
      <w:r w:rsidR="003E0C7D" w:rsidRPr="003E0C7D">
        <w:rPr>
          <w:lang w:val="en"/>
        </w:rPr>
        <w:t xml:space="preserve"> </w:t>
      </w:r>
      <w:r w:rsidR="003E0C7D" w:rsidRPr="00CC27FE">
        <w:rPr>
          <w:lang w:val="en"/>
        </w:rPr>
        <w:t>This strategic long-term approach aims to position Australia’s resources sector as the world’s most advanced, innovative and successful.</w:t>
      </w:r>
    </w:p>
    <w:p w14:paraId="00AE51A7" w14:textId="77777777" w:rsidR="00CC27FE" w:rsidRPr="00CC27FE" w:rsidRDefault="00CC27FE" w:rsidP="00CC27FE">
      <w:pPr>
        <w:rPr>
          <w:lang w:val="en"/>
        </w:rPr>
      </w:pPr>
      <w:r w:rsidRPr="00CC27FE">
        <w:rPr>
          <w:lang w:val="en"/>
        </w:rPr>
        <w:t>It includes a 5 point action plan to:</w:t>
      </w:r>
    </w:p>
    <w:p w14:paraId="3A7F1ED4" w14:textId="77777777" w:rsidR="00CC27FE" w:rsidRPr="00CC27FE" w:rsidRDefault="00CC27FE" w:rsidP="00CC27FE">
      <w:pPr>
        <w:numPr>
          <w:ilvl w:val="0"/>
          <w:numId w:val="48"/>
        </w:numPr>
        <w:rPr>
          <w:lang w:val="en"/>
        </w:rPr>
      </w:pPr>
      <w:r w:rsidRPr="00CC27FE">
        <w:rPr>
          <w:lang w:val="en"/>
        </w:rPr>
        <w:t>deliver the most globally attractive and competitive investment destination for resources projects</w:t>
      </w:r>
    </w:p>
    <w:p w14:paraId="39CE7678" w14:textId="77777777" w:rsidR="00CC27FE" w:rsidRPr="00CC27FE" w:rsidRDefault="00CC27FE" w:rsidP="00CC27FE">
      <w:pPr>
        <w:numPr>
          <w:ilvl w:val="0"/>
          <w:numId w:val="48"/>
        </w:numPr>
        <w:rPr>
          <w:lang w:val="en"/>
        </w:rPr>
      </w:pPr>
      <w:r w:rsidRPr="00CC27FE">
        <w:rPr>
          <w:lang w:val="en"/>
        </w:rPr>
        <w:t>open up new industries and resources regions</w:t>
      </w:r>
    </w:p>
    <w:p w14:paraId="40A3BB86" w14:textId="77777777" w:rsidR="00CC27FE" w:rsidRPr="00CC27FE" w:rsidRDefault="00CC27FE" w:rsidP="00CC27FE">
      <w:pPr>
        <w:numPr>
          <w:ilvl w:val="0"/>
          <w:numId w:val="48"/>
        </w:numPr>
        <w:rPr>
          <w:lang w:val="en"/>
        </w:rPr>
      </w:pPr>
      <w:r w:rsidRPr="00CC27FE">
        <w:rPr>
          <w:lang w:val="en"/>
        </w:rPr>
        <w:t>better focus the sector’s innovation, research and development on long-term, sectoral growth</w:t>
      </w:r>
    </w:p>
    <w:p w14:paraId="645DED07" w14:textId="77777777" w:rsidR="00CC27FE" w:rsidRPr="00CC27FE" w:rsidRDefault="00CC27FE" w:rsidP="00CC27FE">
      <w:pPr>
        <w:numPr>
          <w:ilvl w:val="0"/>
          <w:numId w:val="48"/>
        </w:numPr>
        <w:rPr>
          <w:lang w:val="en"/>
        </w:rPr>
      </w:pPr>
      <w:r w:rsidRPr="00CC27FE">
        <w:rPr>
          <w:lang w:val="en"/>
        </w:rPr>
        <w:t>develop and retain the world’s best workforce</w:t>
      </w:r>
    </w:p>
    <w:p w14:paraId="025B0E39" w14:textId="77777777" w:rsidR="00CC27FE" w:rsidRDefault="00CC27FE" w:rsidP="00CC27FE">
      <w:pPr>
        <w:numPr>
          <w:ilvl w:val="0"/>
          <w:numId w:val="48"/>
        </w:numPr>
        <w:rPr>
          <w:lang w:val="en"/>
        </w:rPr>
      </w:pPr>
      <w:r w:rsidRPr="00CC27FE">
        <w:rPr>
          <w:lang w:val="en"/>
        </w:rPr>
        <w:t>deliver better outcomes for stronger and more engaged communities</w:t>
      </w:r>
    </w:p>
    <w:p w14:paraId="7A3D4AAA" w14:textId="77777777" w:rsidR="006713EA" w:rsidRDefault="00AE2F70" w:rsidP="000228C6">
      <w:r>
        <w:t xml:space="preserve">Action 1 of the Statement notes that </w:t>
      </w:r>
      <w:r w:rsidR="006713EA" w:rsidRPr="006713EA">
        <w:t>Australia has a consiste</w:t>
      </w:r>
      <w:r w:rsidR="006713EA">
        <w:t xml:space="preserve">nt and stable framework for the </w:t>
      </w:r>
      <w:r w:rsidR="006713EA" w:rsidRPr="006713EA">
        <w:t>release of</w:t>
      </w:r>
      <w:r w:rsidR="005B27D6">
        <w:t xml:space="preserve"> offshore</w:t>
      </w:r>
      <w:r w:rsidR="006713EA" w:rsidRPr="006713EA">
        <w:t xml:space="preserve"> </w:t>
      </w:r>
      <w:r w:rsidR="005B27D6">
        <w:t>areas for exploration (‘</w:t>
      </w:r>
      <w:r w:rsidR="006713EA" w:rsidRPr="006713EA">
        <w:t>offshore acreage</w:t>
      </w:r>
      <w:r w:rsidR="005B27D6">
        <w:t>‘)</w:t>
      </w:r>
      <w:r w:rsidR="006713EA" w:rsidRPr="006713EA">
        <w:t xml:space="preserve">. </w:t>
      </w:r>
      <w:r w:rsidR="00C21774">
        <w:t xml:space="preserve">This is reflected in the world-leading </w:t>
      </w:r>
      <w:r w:rsidR="00C21774" w:rsidRPr="006713EA">
        <w:t>in</w:t>
      </w:r>
      <w:r w:rsidR="00C21774">
        <w:t xml:space="preserve">vestments made </w:t>
      </w:r>
      <w:r w:rsidR="00FA6E9D">
        <w:t xml:space="preserve">in Australian waters – but there </w:t>
      </w:r>
      <w:r w:rsidR="006713EA" w:rsidRPr="006713EA">
        <w:t>is</w:t>
      </w:r>
      <w:r w:rsidR="006713EA">
        <w:t xml:space="preserve"> </w:t>
      </w:r>
      <w:r w:rsidR="006713EA" w:rsidRPr="006713EA">
        <w:t>potential to better market Australia’s opportunities.</w:t>
      </w:r>
      <w:r>
        <w:t xml:space="preserve"> </w:t>
      </w:r>
    </w:p>
    <w:p w14:paraId="1C66512D" w14:textId="77777777" w:rsidR="00255882" w:rsidRDefault="00255882" w:rsidP="00255882">
      <w:pPr>
        <w:pStyle w:val="Heading1"/>
      </w:pPr>
      <w:bookmarkStart w:id="92" w:name="_Toc1903455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t>Australia’s offshore oil and gas industry</w:t>
      </w:r>
      <w:bookmarkEnd w:id="92"/>
    </w:p>
    <w:p w14:paraId="1C44E7AB" w14:textId="77777777" w:rsidR="002E1512" w:rsidRDefault="00184B31" w:rsidP="00AA0494">
      <w:r>
        <w:t xml:space="preserve">Australia’s </w:t>
      </w:r>
      <w:r w:rsidR="00C74AB8">
        <w:t xml:space="preserve">offshore </w:t>
      </w:r>
      <w:r>
        <w:t xml:space="preserve">oil and gas industry </w:t>
      </w:r>
      <w:r w:rsidR="00567F11">
        <w:t xml:space="preserve">is a </w:t>
      </w:r>
      <w:r w:rsidR="00117889">
        <w:t xml:space="preserve">major </w:t>
      </w:r>
      <w:r w:rsidR="00567F11">
        <w:t>multi-b</w:t>
      </w:r>
      <w:r w:rsidR="00193499">
        <w:t xml:space="preserve">illion dollar contributor to Australia’s </w:t>
      </w:r>
      <w:r w:rsidR="00117889">
        <w:t xml:space="preserve">prosperity, </w:t>
      </w:r>
      <w:r w:rsidR="00193499">
        <w:t>energy security</w:t>
      </w:r>
      <w:r w:rsidR="005B27D6">
        <w:t>, employment</w:t>
      </w:r>
      <w:r w:rsidR="00117889">
        <w:t xml:space="preserve"> and terms of trade. </w:t>
      </w:r>
      <w:r w:rsidR="00123A25">
        <w:t xml:space="preserve">Investment </w:t>
      </w:r>
      <w:r w:rsidR="004C6086">
        <w:t>exceeding AU</w:t>
      </w:r>
      <w:r w:rsidR="00F72536">
        <w:t>$</w:t>
      </w:r>
      <w:r w:rsidR="002422D0">
        <w:t>26</w:t>
      </w:r>
      <w:r w:rsidR="00F72536">
        <w:t xml:space="preserve">0 billion in </w:t>
      </w:r>
      <w:r w:rsidR="00902E5E">
        <w:t xml:space="preserve">Australia’s </w:t>
      </w:r>
      <w:r w:rsidR="00F72536">
        <w:t xml:space="preserve">oil and gas </w:t>
      </w:r>
      <w:r w:rsidR="004C6086">
        <w:t xml:space="preserve">sector </w:t>
      </w:r>
      <w:r w:rsidR="00123A25">
        <w:t xml:space="preserve">since 2007 </w:t>
      </w:r>
      <w:r w:rsidR="00F72536">
        <w:t xml:space="preserve">has fuelled </w:t>
      </w:r>
      <w:r w:rsidR="006F7471">
        <w:t>opportunity</w:t>
      </w:r>
      <w:r w:rsidR="00A83A37">
        <w:t xml:space="preserve"> and</w:t>
      </w:r>
      <w:r w:rsidR="00335B31">
        <w:t xml:space="preserve"> growth</w:t>
      </w:r>
      <w:r w:rsidR="00A83A37">
        <w:t>.</w:t>
      </w:r>
      <w:r w:rsidR="00335B31">
        <w:t xml:space="preserve"> </w:t>
      </w:r>
    </w:p>
    <w:p w14:paraId="1A784711" w14:textId="1A27D886" w:rsidR="005D3852" w:rsidRDefault="005D3852" w:rsidP="00AA0494">
      <w:r>
        <w:t>Australia has been successful in attracting, retaining and growing a world</w:t>
      </w:r>
      <w:r w:rsidR="00A311BB">
        <w:t>-</w:t>
      </w:r>
      <w:r>
        <w:t xml:space="preserve">class offshore oil and gas industry. </w:t>
      </w:r>
      <w:r w:rsidR="008122CB">
        <w:t xml:space="preserve">The industry </w:t>
      </w:r>
      <w:r w:rsidR="008713E9">
        <w:t>has</w:t>
      </w:r>
      <w:r>
        <w:t xml:space="preserve"> </w:t>
      </w:r>
      <w:r w:rsidR="000228C6">
        <w:t>adapted</w:t>
      </w:r>
      <w:r>
        <w:t xml:space="preserve"> to global demand patterns, </w:t>
      </w:r>
      <w:r w:rsidR="000228C6">
        <w:t xml:space="preserve">and </w:t>
      </w:r>
      <w:r>
        <w:t>developed and adopted innovative technologies</w:t>
      </w:r>
      <w:r w:rsidR="00C4228B">
        <w:t xml:space="preserve">. Australia’s oversight of the industry has ensured </w:t>
      </w:r>
      <w:r>
        <w:t xml:space="preserve">a </w:t>
      </w:r>
      <w:r w:rsidR="005B27D6">
        <w:t xml:space="preserve">leading </w:t>
      </w:r>
      <w:r>
        <w:t xml:space="preserve">reputation in </w:t>
      </w:r>
      <w:r w:rsidR="00C4228B">
        <w:t xml:space="preserve">offshore titles management and the regulation of </w:t>
      </w:r>
      <w:r w:rsidR="006F7471">
        <w:t xml:space="preserve">health, safety and the </w:t>
      </w:r>
      <w:r>
        <w:t xml:space="preserve">environment. </w:t>
      </w:r>
    </w:p>
    <w:p w14:paraId="134B16A5" w14:textId="77777777" w:rsidR="0030424A" w:rsidRDefault="00D6472D" w:rsidP="0030424A">
      <w:pPr>
        <w:pStyle w:val="Heading3"/>
      </w:pPr>
      <w:bookmarkStart w:id="93" w:name="_Toc19034554"/>
      <w:r>
        <w:t>Energ</w:t>
      </w:r>
      <w:r w:rsidR="00F6141C">
        <w:t>y and investment</w:t>
      </w:r>
      <w:bookmarkEnd w:id="93"/>
      <w:r>
        <w:t xml:space="preserve"> </w:t>
      </w:r>
    </w:p>
    <w:p w14:paraId="42B065A6" w14:textId="77777777" w:rsidR="003948D0" w:rsidRDefault="00973E06" w:rsidP="003948D0">
      <w:r>
        <w:t xml:space="preserve">As one of the </w:t>
      </w:r>
      <w:r w:rsidRPr="00A36BBB">
        <w:t xml:space="preserve">world’s </w:t>
      </w:r>
      <w:r w:rsidR="000228C6">
        <w:t xml:space="preserve">two </w:t>
      </w:r>
      <w:r w:rsidRPr="00A36BBB">
        <w:t>largest exporter</w:t>
      </w:r>
      <w:r>
        <w:t>s</w:t>
      </w:r>
      <w:r w:rsidRPr="00A36BBB">
        <w:t xml:space="preserve"> of LNG</w:t>
      </w:r>
      <w:r w:rsidR="000228C6">
        <w:t xml:space="preserve"> (along with Qatar)</w:t>
      </w:r>
      <w:r>
        <w:t xml:space="preserve">, Australia has a solid reputation as a reliable long-term energy supplier to </w:t>
      </w:r>
      <w:r w:rsidR="005B27D6">
        <w:t>Asia</w:t>
      </w:r>
      <w:r>
        <w:t>.</w:t>
      </w:r>
      <w:r w:rsidRPr="00AA0494">
        <w:t xml:space="preserve"> </w:t>
      </w:r>
      <w:r>
        <w:t>This supply is a result of the ten</w:t>
      </w:r>
      <w:r w:rsidRPr="00AA0494">
        <w:t xml:space="preserve"> operating LNG projects in Australia – </w:t>
      </w:r>
      <w:r>
        <w:t>seven</w:t>
      </w:r>
      <w:r w:rsidRPr="00AA0494">
        <w:t xml:space="preserve"> supplied b</w:t>
      </w:r>
      <w:r>
        <w:t>y gas from Australia’s offshore</w:t>
      </w:r>
      <w:r w:rsidRPr="00AA0494">
        <w:t xml:space="preserve"> </w:t>
      </w:r>
      <w:r>
        <w:t xml:space="preserve">waters </w:t>
      </w:r>
      <w:r w:rsidRPr="00AA0494">
        <w:t xml:space="preserve">and </w:t>
      </w:r>
      <w:r>
        <w:t>three</w:t>
      </w:r>
      <w:r w:rsidRPr="00AA0494">
        <w:t xml:space="preserve"> supplied by east coast onshore gas.</w:t>
      </w:r>
      <w:r>
        <w:t xml:space="preserve"> </w:t>
      </w:r>
    </w:p>
    <w:p w14:paraId="04386381" w14:textId="77777777" w:rsidR="004C2B53" w:rsidRDefault="004C2B53" w:rsidP="004C2B53">
      <w:r>
        <w:t xml:space="preserve">Five projects </w:t>
      </w:r>
      <w:r w:rsidR="005B27D6">
        <w:t>in</w:t>
      </w:r>
      <w:r>
        <w:t xml:space="preserve"> Australia’s north-west account for close to three quarters of the value of Australia’s LNG investment since 2007: Gorgon, Wheatstone, Prelude, Ichthys and Pluto. Attachment A provides a summary of Australia’s LNG facilities</w:t>
      </w:r>
      <w:r w:rsidR="000228C6">
        <w:t>, their ownership, development milestones, production capacity and capital investment.</w:t>
      </w:r>
    </w:p>
    <w:p w14:paraId="024E094F" w14:textId="77777777" w:rsidR="004C2B53" w:rsidRDefault="004C2B53" w:rsidP="004C2B53">
      <w:r>
        <w:t xml:space="preserve">The foundation North-West Shelf project has </w:t>
      </w:r>
      <w:r w:rsidR="005B27D6">
        <w:t xml:space="preserve">both exported LNG and </w:t>
      </w:r>
      <w:r>
        <w:t xml:space="preserve">provided </w:t>
      </w:r>
      <w:r w:rsidR="005B27D6">
        <w:t xml:space="preserve">gas to the domestic </w:t>
      </w:r>
      <w:r>
        <w:t xml:space="preserve">Western Australia </w:t>
      </w:r>
      <w:r w:rsidR="005B27D6">
        <w:t xml:space="preserve">market </w:t>
      </w:r>
      <w:r>
        <w:t xml:space="preserve">for </w:t>
      </w:r>
      <w:r w:rsidR="00A311BB">
        <w:t xml:space="preserve">more than </w:t>
      </w:r>
      <w:r w:rsidRPr="00627CD4">
        <w:t>30 years</w:t>
      </w:r>
      <w:r>
        <w:t>.</w:t>
      </w:r>
      <w:r w:rsidRPr="003948D0">
        <w:t xml:space="preserve"> </w:t>
      </w:r>
      <w:r>
        <w:t>The planned development of the Burrup Hub in Karratha, Western Australia</w:t>
      </w:r>
      <w:r w:rsidR="008713E9">
        <w:t>,</w:t>
      </w:r>
      <w:r>
        <w:t xml:space="preserve"> is dependent on collaborative industry efforts to realise the potential of the </w:t>
      </w:r>
      <w:r w:rsidRPr="002A14D0">
        <w:t xml:space="preserve">Browse fields </w:t>
      </w:r>
      <w:r w:rsidR="002B7528">
        <w:t>and the Scarborough projects</w:t>
      </w:r>
      <w:r w:rsidR="008713E9">
        <w:t xml:space="preserve"> (</w:t>
      </w:r>
      <w:r w:rsidR="008713E9" w:rsidRPr="008713E9">
        <w:rPr>
          <w:i/>
        </w:rPr>
        <w:t>see</w:t>
      </w:r>
      <w:r w:rsidR="008713E9">
        <w:t xml:space="preserve"> b</w:t>
      </w:r>
      <w:r w:rsidR="002B7528">
        <w:t xml:space="preserve">ox on </w:t>
      </w:r>
      <w:r w:rsidR="008713E9">
        <w:t>page 8</w:t>
      </w:r>
      <w:r w:rsidR="002B7528">
        <w:t>)</w:t>
      </w:r>
      <w:r w:rsidR="008713E9">
        <w:t>.</w:t>
      </w:r>
      <w:r w:rsidR="002B7528">
        <w:t xml:space="preserve"> </w:t>
      </w:r>
      <w:r w:rsidRPr="00093668">
        <w:t xml:space="preserve">The Gippsland Basin is the dominant source of offshore gas supply to south east Australia, with </w:t>
      </w:r>
      <w:r>
        <w:t xml:space="preserve">about half </w:t>
      </w:r>
      <w:r w:rsidRPr="00093668">
        <w:t>of total demand for domestic gas coming through the Longford Gas Plant</w:t>
      </w:r>
      <w:r>
        <w:t>.</w:t>
      </w:r>
    </w:p>
    <w:p w14:paraId="06C7CD15" w14:textId="77777777" w:rsidR="00F6141C" w:rsidRDefault="00F6141C" w:rsidP="00FF18CD">
      <w:pPr>
        <w:spacing w:after="0"/>
      </w:pPr>
      <w:r w:rsidRPr="00B539F4">
        <w:t xml:space="preserve">Petroleum exploration expenditure </w:t>
      </w:r>
      <w:r w:rsidR="00123A25">
        <w:t xml:space="preserve">(both onshore and offshore) </w:t>
      </w:r>
      <w:r w:rsidRPr="00B539F4">
        <w:t>was $</w:t>
      </w:r>
      <w:r w:rsidR="005501F6">
        <w:t>881</w:t>
      </w:r>
      <w:r w:rsidR="005501F6" w:rsidRPr="00B539F4">
        <w:t xml:space="preserve"> </w:t>
      </w:r>
      <w:r w:rsidRPr="00B539F4">
        <w:t xml:space="preserve">million in the </w:t>
      </w:r>
      <w:r w:rsidR="005501F6">
        <w:t>2018-19 financial year</w:t>
      </w:r>
      <w:r w:rsidRPr="00B539F4">
        <w:t>, up 21 per cent year-on-</w:t>
      </w:r>
      <w:r w:rsidR="005501F6">
        <w:t>the 2017-18 financial year.</w:t>
      </w:r>
      <w:r w:rsidR="005501F6">
        <w:rPr>
          <w:rStyle w:val="FootnoteReference"/>
        </w:rPr>
        <w:footnoteReference w:id="2"/>
      </w:r>
      <w:r w:rsidRPr="00B539F4">
        <w:t xml:space="preserve"> </w:t>
      </w:r>
      <w:r w:rsidR="005B27D6">
        <w:t>However, e</w:t>
      </w:r>
      <w:r w:rsidRPr="00B539F4">
        <w:t xml:space="preserve">xploration expenditure has fallen for over a decade, and </w:t>
      </w:r>
      <w:r w:rsidR="005501F6">
        <w:t>the 2018-19 result</w:t>
      </w:r>
      <w:r w:rsidRPr="00B539F4">
        <w:t xml:space="preserve"> provides a preliminary indication that 20</w:t>
      </w:r>
      <w:r w:rsidR="00B72FEA">
        <w:t>17-</w:t>
      </w:r>
      <w:r w:rsidRPr="00B539F4">
        <w:t>18 may have been the bottom. High oil pri</w:t>
      </w:r>
      <w:r>
        <w:t xml:space="preserve">ces in Australian dollar terms </w:t>
      </w:r>
      <w:r w:rsidR="00B72FEA">
        <w:t xml:space="preserve">and domestic prices on the east coast </w:t>
      </w:r>
      <w:r w:rsidRPr="00B539F4">
        <w:t xml:space="preserve">may </w:t>
      </w:r>
      <w:r w:rsidR="000228C6">
        <w:t>have motivated</w:t>
      </w:r>
      <w:r w:rsidRPr="00B539F4">
        <w:t xml:space="preserve"> a modest return of confidence in the oil and gas industry</w:t>
      </w:r>
      <w:r>
        <w:t>.</w:t>
      </w:r>
      <w:r>
        <w:rPr>
          <w:rStyle w:val="FootnoteReference"/>
        </w:rPr>
        <w:footnoteReference w:id="3"/>
      </w:r>
    </w:p>
    <w:p w14:paraId="3A1346A5" w14:textId="77777777" w:rsidR="00F6141C" w:rsidRDefault="00F6141C" w:rsidP="00F6141C">
      <w:pPr>
        <w:pStyle w:val="Heading3"/>
      </w:pPr>
      <w:bookmarkStart w:id="94" w:name="_Toc19034555"/>
      <w:r>
        <w:t>Economy and export value</w:t>
      </w:r>
      <w:bookmarkEnd w:id="94"/>
    </w:p>
    <w:p w14:paraId="1089F244" w14:textId="2A38DE2F" w:rsidR="006F1092" w:rsidRDefault="00F6141C" w:rsidP="00F6141C">
      <w:r>
        <w:t>T</w:t>
      </w:r>
      <w:r w:rsidR="00E96F30">
        <w:t xml:space="preserve">he </w:t>
      </w:r>
      <w:r w:rsidR="00B72FEA">
        <w:t xml:space="preserve">large </w:t>
      </w:r>
      <w:r w:rsidR="00E96F30">
        <w:t>LNG investment</w:t>
      </w:r>
      <w:r w:rsidR="00B72FEA">
        <w:t xml:space="preserve">s over the past decade </w:t>
      </w:r>
      <w:r w:rsidR="00E96F30">
        <w:t xml:space="preserve"> </w:t>
      </w:r>
      <w:r>
        <w:t xml:space="preserve">continues to contribute significantly to </w:t>
      </w:r>
      <w:r w:rsidR="00B41A93">
        <w:t>Australia’s economy –</w:t>
      </w:r>
      <w:r>
        <w:t xml:space="preserve"> </w:t>
      </w:r>
      <w:r w:rsidR="004B09E9">
        <w:t>i</w:t>
      </w:r>
      <w:r w:rsidR="00B52945">
        <w:t xml:space="preserve">n February 2018 the Reserve Bank of Australia forecast that </w:t>
      </w:r>
      <w:r w:rsidR="00E96F30">
        <w:t xml:space="preserve">LNG exports </w:t>
      </w:r>
      <w:r w:rsidR="00B52945">
        <w:t>were</w:t>
      </w:r>
      <w:r>
        <w:t xml:space="preserve"> </w:t>
      </w:r>
      <w:r w:rsidR="00E96F30">
        <w:t>expected to contribute around a quarter percentage point in GDP growth per year</w:t>
      </w:r>
      <w:r w:rsidR="004B09E9">
        <w:t>.</w:t>
      </w:r>
      <w:r w:rsidR="00E96F30" w:rsidRPr="00F6141C">
        <w:rPr>
          <w:vertAlign w:val="superscript"/>
        </w:rPr>
        <w:footnoteReference w:id="4"/>
      </w:r>
      <w:r w:rsidR="00E96F30">
        <w:t xml:space="preserve"> The May 2019 Statement on </w:t>
      </w:r>
      <w:r w:rsidR="00A3359B">
        <w:t>Monetary</w:t>
      </w:r>
      <w:r w:rsidR="00E96F30">
        <w:t xml:space="preserve"> Policy by the </w:t>
      </w:r>
      <w:r w:rsidR="00B41A93">
        <w:t>Reserve Bank of Australia</w:t>
      </w:r>
      <w:r w:rsidR="00B41A93" w:rsidRPr="00F6141C">
        <w:rPr>
          <w:vertAlign w:val="superscript"/>
        </w:rPr>
        <w:footnoteReference w:id="5"/>
      </w:r>
      <w:r w:rsidR="00B41A93">
        <w:t xml:space="preserve"> </w:t>
      </w:r>
      <w:r w:rsidR="00E96F30">
        <w:t>noted that LNG exports continue to grow strongly</w:t>
      </w:r>
      <w:r>
        <w:t xml:space="preserve"> and </w:t>
      </w:r>
      <w:r w:rsidR="00E96F30">
        <w:t xml:space="preserve">are expected to increase further </w:t>
      </w:r>
      <w:r w:rsidR="00A3359B">
        <w:t>over the next year or so</w:t>
      </w:r>
      <w:r>
        <w:t>,</w:t>
      </w:r>
      <w:r w:rsidR="00A3359B">
        <w:t xml:space="preserve"> as production from the final LNG projects in </w:t>
      </w:r>
      <w:r w:rsidR="006F1092">
        <w:t>W</w:t>
      </w:r>
      <w:r w:rsidR="00A3359B">
        <w:t xml:space="preserve">estern Australia continues ramping up.  </w:t>
      </w:r>
    </w:p>
    <w:p w14:paraId="24A6A00B" w14:textId="7774796E" w:rsidR="002E3744" w:rsidRDefault="00973E06" w:rsidP="00580C38">
      <w:r w:rsidRPr="00973E06">
        <w:t xml:space="preserve">In 2018-19 the value of Australian oil and gas exports was </w:t>
      </w:r>
      <w:r w:rsidR="00322264">
        <w:t xml:space="preserve">just over </w:t>
      </w:r>
      <w:r>
        <w:t>AU</w:t>
      </w:r>
      <w:r w:rsidRPr="00973E06">
        <w:t>$59 billion</w:t>
      </w:r>
      <w:r>
        <w:t>.</w:t>
      </w:r>
      <w:r w:rsidR="00580C38">
        <w:t xml:space="preserve"> The vast majority of this - $50 billion – was LNG. According to the Department of Industry, Innovation and Science’s Office of the Chief Economist, e</w:t>
      </w:r>
      <w:r w:rsidR="00580C38" w:rsidRPr="00580C38">
        <w:t xml:space="preserve">xport earnings are forecast to lift to $52 billion in 2019–20, driven by growing export volumes, before falling back to $49 billion, as prices ease. </w:t>
      </w:r>
      <w:r w:rsidR="002E3744">
        <w:t xml:space="preserve">Australian </w:t>
      </w:r>
      <w:r w:rsidR="002E3744" w:rsidRPr="00CA55FD">
        <w:t xml:space="preserve">LNG </w:t>
      </w:r>
      <w:r w:rsidR="002E3744">
        <w:t>export</w:t>
      </w:r>
      <w:r w:rsidR="002E3744" w:rsidRPr="00CA55FD">
        <w:t xml:space="preserve"> prices</w:t>
      </w:r>
      <w:r w:rsidR="002E3744">
        <w:t xml:space="preserve"> are forecast to decline slightly in 2019–20 and 2020–21, due to an appreciating exchange rate and easing oil-linked contract prices (</w:t>
      </w:r>
      <w:r w:rsidR="002E3744" w:rsidRPr="00CA55FD">
        <w:t>at which most Australian LNG is sold</w:t>
      </w:r>
      <w:r w:rsidR="002E3744">
        <w:t>).</w:t>
      </w:r>
      <w:r w:rsidR="002E3744">
        <w:rPr>
          <w:rStyle w:val="FootnoteReference"/>
        </w:rPr>
        <w:footnoteReference w:id="6"/>
      </w:r>
    </w:p>
    <w:p w14:paraId="38FF1A5A" w14:textId="3D30F51A" w:rsidR="00F6141C" w:rsidRDefault="00F6141C" w:rsidP="00580C38">
      <w:r w:rsidRPr="00F654B4">
        <w:t>The oil and gas industry paid almost AU$1 billion in Petroleum Resource Rent Tax in 2017-18.</w:t>
      </w:r>
    </w:p>
    <w:p w14:paraId="2DA2B8CD" w14:textId="2FDBEF2F" w:rsidR="00E954A2" w:rsidRDefault="00E954A2" w:rsidP="00E954A2">
      <w:r>
        <w:t xml:space="preserve">Offshore gas supplied projects in Western Australia and the Northern Territory </w:t>
      </w:r>
      <w:r w:rsidR="009C5E3C">
        <w:t xml:space="preserve">which </w:t>
      </w:r>
      <w:r w:rsidR="00CD2BCF">
        <w:t>represent</w:t>
      </w:r>
      <w:r w:rsidR="00CD2BCF">
        <w:br/>
      </w:r>
      <w:r>
        <w:t xml:space="preserve">71 per cent of Australia’s installed production capacity of </w:t>
      </w:r>
      <w:r w:rsidR="00824C2F">
        <w:t>88</w:t>
      </w:r>
      <w:r w:rsidR="00122089">
        <w:t xml:space="preserve"> million tonnes per annum.</w:t>
      </w:r>
    </w:p>
    <w:p w14:paraId="56985C99" w14:textId="77777777" w:rsidR="002B7528" w:rsidRDefault="002B7528" w:rsidP="002B7528">
      <w:r w:rsidRPr="00A36BBB">
        <w:t xml:space="preserve">About 70 percent of </w:t>
      </w:r>
      <w:r>
        <w:t xml:space="preserve">Australia’s </w:t>
      </w:r>
      <w:r w:rsidRPr="00A36BBB">
        <w:t xml:space="preserve">crude </w:t>
      </w:r>
      <w:r>
        <w:t xml:space="preserve">oil </w:t>
      </w:r>
      <w:r w:rsidRPr="00A36BBB">
        <w:t>and condensate production is from the Carnarvon Basin in north-western Australia</w:t>
      </w:r>
      <w:r>
        <w:t>.</w:t>
      </w:r>
      <w:r w:rsidRPr="00B539F4">
        <w:rPr>
          <w:rFonts w:ascii="GAYKFC+ArialMT" w:hAnsi="GAYKFC+ArialMT" w:cs="GAYKFC+ArialMT"/>
          <w:color w:val="000000"/>
          <w:sz w:val="20"/>
          <w:szCs w:val="20"/>
        </w:rPr>
        <w:t xml:space="preserve"> </w:t>
      </w:r>
      <w:r w:rsidRPr="00B539F4">
        <w:t xml:space="preserve">The composition of Australia's oil exports is changing, with condensate exports growing strongly </w:t>
      </w:r>
      <w:r w:rsidR="009C5E3C">
        <w:t xml:space="preserve">since 2015 </w:t>
      </w:r>
      <w:r w:rsidRPr="00B539F4">
        <w:t>while crude oil exports have declined. Condensate output is forecast to grow 10 per cent a year</w:t>
      </w:r>
      <w:r>
        <w:t>.</w:t>
      </w:r>
      <w:r w:rsidRPr="00B539F4">
        <w:rPr>
          <w:rFonts w:ascii="Times New Roman" w:hAnsi="Times New Roman" w:cs="Times New Roman"/>
          <w:color w:val="000000"/>
          <w:sz w:val="24"/>
          <w:szCs w:val="24"/>
        </w:rPr>
        <w:t xml:space="preserve"> </w:t>
      </w:r>
      <w:r>
        <w:t>T</w:t>
      </w:r>
      <w:r w:rsidRPr="00B539F4">
        <w:t xml:space="preserve">he start-up of INPEX’s Ichthys facility </w:t>
      </w:r>
      <w:r>
        <w:t>i</w:t>
      </w:r>
      <w:r w:rsidRPr="00B539F4">
        <w:t>n late 2018</w:t>
      </w:r>
      <w:r>
        <w:t xml:space="preserve"> has resulted in </w:t>
      </w:r>
      <w:r w:rsidRPr="00B539F4">
        <w:t>new condensate production</w:t>
      </w:r>
      <w:r>
        <w:t>.</w:t>
      </w:r>
      <w:r w:rsidRPr="00B539F4">
        <w:t xml:space="preserve"> </w:t>
      </w:r>
    </w:p>
    <w:p w14:paraId="2E254867" w14:textId="77777777" w:rsidR="002B7528" w:rsidRDefault="002B7528" w:rsidP="002B7528">
      <w:r>
        <w:t>The presence of condensate in new gas field developments is an important factor in determining project commerciality as it adds an additional income stream for the project.</w:t>
      </w:r>
    </w:p>
    <w:p w14:paraId="675763B1" w14:textId="77777777" w:rsidR="007A563C" w:rsidRPr="004C2B53" w:rsidRDefault="007A563C" w:rsidP="007A563C">
      <w:pPr>
        <w:spacing w:before="240"/>
        <w:rPr>
          <w:b/>
        </w:rPr>
      </w:pPr>
      <w:r>
        <w:rPr>
          <w:b/>
        </w:rPr>
        <w:t xml:space="preserve">Figure 1: </w:t>
      </w:r>
      <w:r w:rsidRPr="004C2B53">
        <w:rPr>
          <w:b/>
        </w:rPr>
        <w:t>Australian LNG export volumes and values</w:t>
      </w:r>
    </w:p>
    <w:p w14:paraId="1E987A0F" w14:textId="77777777" w:rsidR="007A563C" w:rsidRDefault="007A563C" w:rsidP="00F6141C"/>
    <w:p w14:paraId="5A8F557C" w14:textId="77777777" w:rsidR="007A563C" w:rsidRDefault="007A563C" w:rsidP="00F6141C">
      <w:r>
        <w:rPr>
          <w:noProof/>
          <w:lang w:eastAsia="en-AU"/>
        </w:rPr>
        <w:drawing>
          <wp:inline distT="0" distB="0" distL="0" distR="0" wp14:anchorId="0984E3B1" wp14:editId="4A1FBC64">
            <wp:extent cx="4337050" cy="2336800"/>
            <wp:effectExtent l="0" t="0" r="6350" b="6350"/>
            <wp:docPr id="2" name="Chart 2">
              <a:extLst xmlns:a="http://schemas.openxmlformats.org/drawingml/2006/main">
                <a:ext uri="{FF2B5EF4-FFF2-40B4-BE49-F238E27FC236}">
                  <a16:creationId xmlns:a16="http://schemas.microsoft.com/office/drawing/2014/main" id="{00000000-0008-0000-2F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CF4D30" w14:textId="77777777" w:rsidR="001945D3" w:rsidRDefault="001945D3" w:rsidP="001945D3">
      <w:pPr>
        <w:pStyle w:val="Heading3"/>
      </w:pPr>
      <w:bookmarkStart w:id="95" w:name="_Toc19034556"/>
      <w:r>
        <w:t>Innovation, science and supporting communities</w:t>
      </w:r>
      <w:bookmarkEnd w:id="95"/>
    </w:p>
    <w:p w14:paraId="76D10DCA" w14:textId="77777777" w:rsidR="001945D3" w:rsidRDefault="001945D3" w:rsidP="001945D3">
      <w:r>
        <w:t xml:space="preserve">Australia’s offshore oil and gas industry is a significant investor in innovation, science and technology. </w:t>
      </w:r>
      <w:r w:rsidR="008713E9">
        <w:t>It includes p</w:t>
      </w:r>
      <w:r>
        <w:t>ioneering world-class infrastructure and rapid new technology adoption:</w:t>
      </w:r>
      <w:r w:rsidRPr="004F39A0">
        <w:t xml:space="preserve"> </w:t>
      </w:r>
    </w:p>
    <w:p w14:paraId="4D0AF90A" w14:textId="77777777" w:rsidR="001945D3" w:rsidRDefault="001945D3" w:rsidP="001945D3">
      <w:pPr>
        <w:pStyle w:val="ListParagraph"/>
        <w:numPr>
          <w:ilvl w:val="0"/>
          <w:numId w:val="46"/>
        </w:numPr>
        <w:ind w:left="714" w:hanging="357"/>
        <w:contextualSpacing w:val="0"/>
      </w:pPr>
      <w:r w:rsidRPr="004F39A0">
        <w:t>Shell’s Prelude</w:t>
      </w:r>
      <w:r w:rsidRPr="00641EDE">
        <w:t xml:space="preserve"> Floating Liquefied Natural Gas (FLNG) facility</w:t>
      </w:r>
      <w:r>
        <w:t xml:space="preserve"> </w:t>
      </w:r>
      <w:r w:rsidRPr="00641EDE">
        <w:t>is the world's largest FLNG vessel and the biggest offshore floating facility</w:t>
      </w:r>
      <w:r>
        <w:t xml:space="preserve">. </w:t>
      </w:r>
    </w:p>
    <w:p w14:paraId="3900DBCF" w14:textId="77777777" w:rsidR="001945D3" w:rsidRDefault="001945D3" w:rsidP="001945D3">
      <w:pPr>
        <w:pStyle w:val="ListParagraph"/>
        <w:numPr>
          <w:ilvl w:val="0"/>
          <w:numId w:val="46"/>
        </w:numPr>
        <w:ind w:left="714" w:hanging="357"/>
        <w:contextualSpacing w:val="0"/>
      </w:pPr>
      <w:r>
        <w:t>The US</w:t>
      </w:r>
      <w:r w:rsidRPr="00F76173">
        <w:t>$</w:t>
      </w:r>
      <w:r w:rsidRPr="003948D0">
        <w:t>60</w:t>
      </w:r>
      <w:r w:rsidRPr="00F76173">
        <w:t xml:space="preserve"> billion Gorgon project is the </w:t>
      </w:r>
      <w:r>
        <w:t xml:space="preserve">largest </w:t>
      </w:r>
      <w:r w:rsidRPr="00F76173">
        <w:t xml:space="preserve">single resource </w:t>
      </w:r>
      <w:r>
        <w:t>project</w:t>
      </w:r>
      <w:r w:rsidRPr="00F76173">
        <w:t xml:space="preserve"> in Australia’s history</w:t>
      </w:r>
      <w:r>
        <w:t xml:space="preserve">, </w:t>
      </w:r>
      <w:r w:rsidRPr="004F39A0">
        <w:t>one of world’s largest LNG projects</w:t>
      </w:r>
      <w:r>
        <w:t xml:space="preserve"> and includes the world’s largest commercial-scale CO</w:t>
      </w:r>
      <w:r w:rsidRPr="0075222C">
        <w:rPr>
          <w:vertAlign w:val="subscript"/>
        </w:rPr>
        <w:t>2</w:t>
      </w:r>
      <w:r>
        <w:t xml:space="preserve"> injection </w:t>
      </w:r>
      <w:r w:rsidR="004C6086">
        <w:t xml:space="preserve">and storage </w:t>
      </w:r>
      <w:r>
        <w:t>project</w:t>
      </w:r>
      <w:r w:rsidRPr="004F39A0">
        <w:t xml:space="preserve">. </w:t>
      </w:r>
    </w:p>
    <w:p w14:paraId="70FD729B" w14:textId="77777777" w:rsidR="001945D3" w:rsidRDefault="001945D3" w:rsidP="001945D3">
      <w:pPr>
        <w:pStyle w:val="ListParagraph"/>
        <w:numPr>
          <w:ilvl w:val="0"/>
          <w:numId w:val="46"/>
        </w:numPr>
        <w:ind w:left="714" w:hanging="357"/>
        <w:contextualSpacing w:val="0"/>
      </w:pPr>
      <w:r>
        <w:t>The Ichthys project includes</w:t>
      </w:r>
      <w:r w:rsidRPr="004F39A0">
        <w:t xml:space="preserve"> the longest subsea gas export pipeline in the southern hemisphere 890km and the world’s largest semi</w:t>
      </w:r>
      <w:r>
        <w:t>-</w:t>
      </w:r>
      <w:r w:rsidRPr="004F39A0">
        <w:t>submersible platform</w:t>
      </w:r>
      <w:r>
        <w:t xml:space="preserve">. </w:t>
      </w:r>
    </w:p>
    <w:p w14:paraId="46229F6A" w14:textId="77777777" w:rsidR="001945D3" w:rsidRDefault="001945D3" w:rsidP="001945D3">
      <w:r>
        <w:t xml:space="preserve">Community investment by the industry takes many forms. These include multi-million dollar programs to support: local businesses, indigenous advancement, trade training centres, STEM curriculum materials in schools, employee time for volunteering, sharing research on local environmental issues, funding festivals, research and innovation centres and many other community and cultural activities. </w:t>
      </w:r>
    </w:p>
    <w:p w14:paraId="2A1C283F" w14:textId="77777777" w:rsidR="00C77F91" w:rsidRDefault="00C77F91" w:rsidP="001945D3"/>
    <w:p w14:paraId="394A9022" w14:textId="77777777" w:rsidR="001945D3" w:rsidRDefault="001945D3" w:rsidP="001945D3">
      <w:r>
        <w:t xml:space="preserve">This community investment has also included direct support of local businesses and indirect benefits from spending by a highly paid workforce in regional areas. Schools, medical centres, airports, heli-ports, parks, roads, jetties and job opportunities have greatly improved the amenity and cultural vibrancy of northern and regional towns such </w:t>
      </w:r>
      <w:r w:rsidRPr="00FF7774">
        <w:t>as Onslow</w:t>
      </w:r>
      <w:r>
        <w:t xml:space="preserve">, </w:t>
      </w:r>
      <w:r w:rsidRPr="00FF7774">
        <w:t>Karratha</w:t>
      </w:r>
      <w:r>
        <w:t xml:space="preserve"> and Broome and Darwin. </w:t>
      </w:r>
    </w:p>
    <w:p w14:paraId="7C882E08" w14:textId="77777777" w:rsidR="00FA6E9D" w:rsidRDefault="00FA6E9D" w:rsidP="00FA6E9D">
      <w:pPr>
        <w:pBdr>
          <w:top w:val="single" w:sz="4" w:space="1" w:color="auto"/>
          <w:left w:val="single" w:sz="4" w:space="4" w:color="auto"/>
          <w:bottom w:val="single" w:sz="4" w:space="1" w:color="auto"/>
          <w:right w:val="single" w:sz="4" w:space="4" w:color="auto"/>
        </w:pBdr>
        <w:shd w:val="clear" w:color="auto" w:fill="D9D9D9"/>
      </w:pPr>
      <w:r>
        <w:rPr>
          <w:b/>
          <w:bCs/>
        </w:rPr>
        <w:t>Supporting Communities – the Larrakia Ichthys LNG Foundation Trust</w:t>
      </w:r>
    </w:p>
    <w:p w14:paraId="0F5AE644" w14:textId="77777777" w:rsidR="00FA6E9D" w:rsidRDefault="00FA6E9D" w:rsidP="00FA6E9D">
      <w:pPr>
        <w:pBdr>
          <w:top w:val="single" w:sz="4" w:space="1" w:color="auto"/>
          <w:left w:val="single" w:sz="4" w:space="4" w:color="auto"/>
          <w:bottom w:val="single" w:sz="4" w:space="1" w:color="auto"/>
          <w:right w:val="single" w:sz="4" w:space="4" w:color="auto"/>
        </w:pBdr>
        <w:shd w:val="clear" w:color="auto" w:fill="D9D9D9"/>
      </w:pPr>
      <w:r>
        <w:t xml:space="preserve">INPEX, as the operator of Ichthys LNG onshore processing facilities in Darwin, established the Larrakia Ichthys LNG Foundation Trust in consultation with the INPEX Larrakia Advisory Committee on behalf of the Larrakia, the Traditional Owners in Darwin. </w:t>
      </w:r>
    </w:p>
    <w:p w14:paraId="2D406DD6" w14:textId="77777777" w:rsidR="00FA6E9D" w:rsidRDefault="00FA6E9D" w:rsidP="00FA6E9D">
      <w:pPr>
        <w:pBdr>
          <w:top w:val="single" w:sz="4" w:space="1" w:color="auto"/>
          <w:left w:val="single" w:sz="4" w:space="4" w:color="auto"/>
          <w:bottom w:val="single" w:sz="4" w:space="1" w:color="auto"/>
          <w:right w:val="single" w:sz="4" w:space="4" w:color="auto"/>
        </w:pBdr>
        <w:shd w:val="clear" w:color="auto" w:fill="D9D9D9"/>
      </w:pPr>
      <w:r>
        <w:rPr>
          <w:lang w:val="en"/>
        </w:rPr>
        <w:t>This Trust will contribute a total of $24 million over the its lifespan, providing education, employment and  a number of other benefits to support the Larrakia people during the next 40 years of INPEX’s Ichthys LNG operations.</w:t>
      </w:r>
    </w:p>
    <w:p w14:paraId="1BC267E3" w14:textId="77777777" w:rsidR="00FA6E9D" w:rsidRDefault="00FA6E9D" w:rsidP="00FA6E9D">
      <w:pPr>
        <w:pBdr>
          <w:top w:val="single" w:sz="4" w:space="1" w:color="auto"/>
          <w:left w:val="single" w:sz="4" w:space="4" w:color="auto"/>
          <w:bottom w:val="single" w:sz="4" w:space="1" w:color="auto"/>
          <w:right w:val="single" w:sz="4" w:space="4" w:color="auto"/>
        </w:pBdr>
        <w:shd w:val="clear" w:color="auto" w:fill="D9D9D9"/>
      </w:pPr>
      <w:r>
        <w:t>The Trust is funded by INPEX and the Ichthys LNG Joint Venture participants in recognition that Ichthys LNG onshore LNG processing facilities at Bladin Point were constructed and are hosted on Larrakia traditional lands.</w:t>
      </w:r>
    </w:p>
    <w:p w14:paraId="0C182B56" w14:textId="77777777" w:rsidR="00FA6E9D" w:rsidRDefault="00FA6E9D" w:rsidP="00FA6E9D">
      <w:pPr>
        <w:pBdr>
          <w:top w:val="single" w:sz="4" w:space="1" w:color="auto"/>
          <w:left w:val="single" w:sz="4" w:space="4" w:color="auto"/>
          <w:bottom w:val="single" w:sz="4" w:space="1" w:color="auto"/>
          <w:right w:val="single" w:sz="4" w:space="4" w:color="auto"/>
        </w:pBdr>
        <w:shd w:val="clear" w:color="auto" w:fill="D9D9D9"/>
      </w:pPr>
      <w:r>
        <w:rPr>
          <w:lang w:val="en"/>
        </w:rPr>
        <w:t>The signing of the agreement formalising the package was witnessed by Minister for Resources and Northern Australia Matt Canavan and Northern Territory Chief Minister Michael Gunner, with INPEX President and CEO Takayuki Ueda also in attendance.</w:t>
      </w:r>
    </w:p>
    <w:p w14:paraId="16433ABE" w14:textId="77777777" w:rsidR="00FA6E9D" w:rsidRDefault="00FA6E9D" w:rsidP="00FA6E9D">
      <w:pPr>
        <w:pBdr>
          <w:top w:val="single" w:sz="4" w:space="1" w:color="auto"/>
          <w:left w:val="single" w:sz="4" w:space="4" w:color="auto"/>
          <w:bottom w:val="single" w:sz="4" w:space="1" w:color="auto"/>
          <w:right w:val="single" w:sz="4" w:space="4" w:color="auto"/>
        </w:pBdr>
        <w:shd w:val="clear" w:color="auto" w:fill="D9D9D9"/>
      </w:pPr>
      <w:r>
        <w:rPr>
          <w:lang w:val="en"/>
        </w:rPr>
        <w:t>The Trust structure ensures the funds are distributed for the sole benefit of the Larrakia people, the Traditional Owners of the land on which the LNG plant has been developed. The initial focus areas of the Trust include the provision of education opportunities and support for Larrakia elderly and people with disabilities.</w:t>
      </w:r>
    </w:p>
    <w:p w14:paraId="2C313CDA" w14:textId="77777777" w:rsidR="00FA6E9D" w:rsidRDefault="00FA6E9D" w:rsidP="00FA6E9D">
      <w:pPr>
        <w:pBdr>
          <w:top w:val="single" w:sz="4" w:space="1" w:color="auto"/>
          <w:left w:val="single" w:sz="4" w:space="4" w:color="auto"/>
          <w:bottom w:val="single" w:sz="4" w:space="1" w:color="auto"/>
          <w:right w:val="single" w:sz="4" w:space="4" w:color="auto"/>
        </w:pBdr>
        <w:shd w:val="clear" w:color="auto" w:fill="D9D9D9"/>
      </w:pPr>
      <w:r>
        <w:rPr>
          <w:lang w:val="en"/>
        </w:rPr>
        <w:t xml:space="preserve">The first milestone occurred when $3 million was paid into the Trust to celebrate the start of the initiative, followed by a further $1 million that will be allocated to mark the Ichthys LNG onshore processing facilities achieving 8.4 million tonnes per annum in LNG production. </w:t>
      </w:r>
    </w:p>
    <w:p w14:paraId="77F84904" w14:textId="77777777" w:rsidR="00FA6E9D" w:rsidRDefault="00FA6E9D" w:rsidP="00FA6E9D">
      <w:pPr>
        <w:pBdr>
          <w:top w:val="single" w:sz="4" w:space="1" w:color="auto"/>
          <w:left w:val="single" w:sz="4" w:space="4" w:color="auto"/>
          <w:bottom w:val="single" w:sz="4" w:space="1" w:color="auto"/>
          <w:right w:val="single" w:sz="4" w:space="4" w:color="auto"/>
        </w:pBdr>
        <w:shd w:val="clear" w:color="auto" w:fill="D9D9D9"/>
      </w:pPr>
      <w:r>
        <w:rPr>
          <w:lang w:val="en"/>
        </w:rPr>
        <w:t>The construction phase of Ichthys LNG has already supported more than 62 Aboriginal and Torres Strait Islander- owned businesses and engaged more than 1,450 Aboriginal and/or Torres Strait Islander peoples.</w:t>
      </w:r>
    </w:p>
    <w:p w14:paraId="0B1605C8" w14:textId="77777777" w:rsidR="001945D3" w:rsidRDefault="001945D3" w:rsidP="009F0F40">
      <w:pPr>
        <w:pStyle w:val="Heading1"/>
        <w:rPr>
          <w:lang w:val="en"/>
        </w:rPr>
      </w:pPr>
      <w:bookmarkStart w:id="96" w:name="_Toc19034557"/>
      <w:r>
        <w:rPr>
          <w:lang w:val="en"/>
        </w:rPr>
        <w:t>The future of Australia’s offshore resources</w:t>
      </w:r>
      <w:bookmarkEnd w:id="96"/>
      <w:r>
        <w:rPr>
          <w:lang w:val="en"/>
        </w:rPr>
        <w:t xml:space="preserve"> </w:t>
      </w:r>
    </w:p>
    <w:p w14:paraId="66E88FB6" w14:textId="607A1CE3" w:rsidR="002512B8" w:rsidRDefault="002512B8" w:rsidP="001945D3">
      <w:r>
        <w:rPr>
          <w:lang w:val="en"/>
        </w:rPr>
        <w:t xml:space="preserve">As of the end of 2017 </w:t>
      </w:r>
      <w:r w:rsidR="001945D3">
        <w:rPr>
          <w:lang w:val="en"/>
        </w:rPr>
        <w:t>Australia’s</w:t>
      </w:r>
      <w:r>
        <w:rPr>
          <w:lang w:val="en"/>
        </w:rPr>
        <w:t xml:space="preserve"> remaining</w:t>
      </w:r>
      <w:r w:rsidR="001945D3">
        <w:rPr>
          <w:lang w:val="en"/>
        </w:rPr>
        <w:t xml:space="preserve"> offshore oil and gas r</w:t>
      </w:r>
      <w:r w:rsidR="000132C9">
        <w:rPr>
          <w:lang w:val="en"/>
        </w:rPr>
        <w:t xml:space="preserve">eserves </w:t>
      </w:r>
      <w:r w:rsidR="001945D3">
        <w:rPr>
          <w:lang w:val="en"/>
        </w:rPr>
        <w:t>include</w:t>
      </w:r>
      <w:r w:rsidR="002B7528">
        <w:rPr>
          <w:lang w:val="en"/>
        </w:rPr>
        <w:t>d</w:t>
      </w:r>
      <w:r w:rsidR="001945D3">
        <w:rPr>
          <w:lang w:val="en"/>
        </w:rPr>
        <w:t xml:space="preserve"> </w:t>
      </w:r>
      <w:r w:rsidR="001945D3">
        <w:t xml:space="preserve">over </w:t>
      </w:r>
      <w:r>
        <w:t xml:space="preserve">68 </w:t>
      </w:r>
      <w:r w:rsidR="000132C9">
        <w:t>trillion cubic feet (</w:t>
      </w:r>
      <w:r>
        <w:t>T</w:t>
      </w:r>
      <w:r w:rsidR="001945D3">
        <w:t>cf</w:t>
      </w:r>
      <w:r w:rsidR="000132C9">
        <w:t>)</w:t>
      </w:r>
      <w:r w:rsidR="001945D3">
        <w:t xml:space="preserve"> of gas, </w:t>
      </w:r>
      <w:r>
        <w:t xml:space="preserve">339 </w:t>
      </w:r>
      <w:r w:rsidR="001945D3">
        <w:t>milli</w:t>
      </w:r>
      <w:r w:rsidR="000132C9">
        <w:t>on barrels (Mmbbls) of oil, 1,32</w:t>
      </w:r>
      <w:r>
        <w:t>9 Mmbbls of condensate and 201 Mmbbls of LPG</w:t>
      </w:r>
      <w:r w:rsidR="001945D3">
        <w:t xml:space="preserve">. </w:t>
      </w:r>
      <w:r>
        <w:t>Further contingent resources included over 102 tcf of gas and 1,497 Mmbbls of condensate.</w:t>
      </w:r>
    </w:p>
    <w:p w14:paraId="02DE32F4" w14:textId="2D01F8B7" w:rsidR="001945D3" w:rsidRDefault="001945D3" w:rsidP="001945D3">
      <w:r>
        <w:t>While m</w:t>
      </w:r>
      <w:r w:rsidRPr="00B30F49">
        <w:t>any offshore gas discover</w:t>
      </w:r>
      <w:r w:rsidR="00CD2BCF">
        <w:t>ies have remained sub</w:t>
      </w:r>
      <w:r w:rsidR="00CD2BCF">
        <w:noBreakHyphen/>
        <w:t xml:space="preserve">economic, </w:t>
      </w:r>
      <w:r w:rsidRPr="00B30F49">
        <w:t xml:space="preserve">Australia’s gas reserves will substantially increase </w:t>
      </w:r>
      <w:r>
        <w:t xml:space="preserve">as projects come on-line, field sequencing for major projects are determined, wells are drilled </w:t>
      </w:r>
      <w:r w:rsidR="004C15D9">
        <w:t xml:space="preserve">to </w:t>
      </w:r>
      <w:r>
        <w:t>reduc</w:t>
      </w:r>
      <w:r w:rsidR="004C15D9">
        <w:t>e</w:t>
      </w:r>
      <w:r>
        <w:t xml:space="preserve"> uncertainty and collaborative commercial</w:t>
      </w:r>
      <w:r w:rsidR="002512B8">
        <w:t xml:space="preserve"> developments are progressed. </w:t>
      </w:r>
    </w:p>
    <w:p w14:paraId="21557B75" w14:textId="77777777" w:rsidR="009B5469" w:rsidRDefault="009B5469" w:rsidP="009B5469">
      <w:r>
        <w:t xml:space="preserve">Future </w:t>
      </w:r>
      <w:r w:rsidRPr="00D4149E">
        <w:t xml:space="preserve">development of </w:t>
      </w:r>
      <w:r>
        <w:t xml:space="preserve">Australia’s offshore </w:t>
      </w:r>
      <w:r w:rsidRPr="00D4149E">
        <w:t>gas resources</w:t>
      </w:r>
      <w:r>
        <w:t xml:space="preserve"> is </w:t>
      </w:r>
      <w:r w:rsidRPr="00D4149E">
        <w:t>less likely to involve the integrated development of upstream and downstream infrastructure</w:t>
      </w:r>
      <w:r>
        <w:t xml:space="preserve">. Instead, </w:t>
      </w:r>
      <w:r w:rsidR="00656C2A">
        <w:t xml:space="preserve">future development is more likely to involve the development of new fields as </w:t>
      </w:r>
      <w:r w:rsidR="00656C2A" w:rsidRPr="00D4149E">
        <w:t xml:space="preserve">backfill </w:t>
      </w:r>
      <w:r w:rsidR="0035515C">
        <w:t>or the incremental expansion of</w:t>
      </w:r>
      <w:r w:rsidR="0035515C" w:rsidRPr="00D4149E">
        <w:t xml:space="preserve"> </w:t>
      </w:r>
      <w:r w:rsidR="00656C2A" w:rsidRPr="00D4149E">
        <w:t>existing infrastructure</w:t>
      </w:r>
      <w:r w:rsidR="00656C2A">
        <w:t xml:space="preserve">. This </w:t>
      </w:r>
      <w:r w:rsidR="00320817">
        <w:t xml:space="preserve">is a consequence of declining </w:t>
      </w:r>
      <w:r w:rsidR="00320817" w:rsidRPr="00D4149E">
        <w:t>production from foundation projects</w:t>
      </w:r>
      <w:r w:rsidR="00986015">
        <w:t xml:space="preserve"> and the economics of developing greenfield facilities in a country that already has ten operational projects</w:t>
      </w:r>
      <w:r w:rsidR="005501F6">
        <w:t>, some of which have space for future expansion</w:t>
      </w:r>
      <w:r>
        <w:t xml:space="preserve">. </w:t>
      </w:r>
      <w:r w:rsidR="008228B1">
        <w:t xml:space="preserve">While some of these will be large fields (such as the Browse fields and Scarborough) </w:t>
      </w:r>
      <w:r w:rsidR="00320817">
        <w:t>many of these will be smaller as industry needs</w:t>
      </w:r>
      <w:r>
        <w:t xml:space="preserve"> to utilise smaller, more distant, or more technically complex fields for infill.</w:t>
      </w:r>
    </w:p>
    <w:p w14:paraId="676DEF8D" w14:textId="77777777" w:rsidR="009B5469" w:rsidRDefault="009B5469" w:rsidP="009B5469">
      <w:r>
        <w:t xml:space="preserve">To realise the development of these smaller and often more isolated fields, collaboration is critical. Collaboration can </w:t>
      </w:r>
      <w:r w:rsidR="002C2CAB">
        <w:t xml:space="preserve">spread the </w:t>
      </w:r>
      <w:r>
        <w:t xml:space="preserve">risk </w:t>
      </w:r>
      <w:r w:rsidR="002C2CAB">
        <w:t xml:space="preserve">on </w:t>
      </w:r>
      <w:r>
        <w:t xml:space="preserve">project investments, encourage third-party participants, enable third-party infrastructure access (and development) and can foster equitable tolling arrangements.  Collaboration will underpin the next wave of development of Australia’s offshore resources. </w:t>
      </w:r>
    </w:p>
    <w:p w14:paraId="7F8BDFF7" w14:textId="77777777" w:rsidR="009B5469" w:rsidRDefault="009B5469" w:rsidP="009B5469">
      <w:r>
        <w:t>Failure to realise Australia’s offshore resources potential could result in inefficient infrastructure use, sub-optimal and delayed development outcomes and stranded fields. This has flow-on effects to the broader economy, the sustainability of regional are</w:t>
      </w:r>
      <w:r w:rsidR="002B7528">
        <w:t>as, small and medium businesses and jobs</w:t>
      </w:r>
      <w:r>
        <w:t>. These issues reflect the department’s support of the Review’s objective to:</w:t>
      </w:r>
    </w:p>
    <w:p w14:paraId="341C0E94" w14:textId="77777777" w:rsidR="009B5469" w:rsidRDefault="009B5469" w:rsidP="009B5469">
      <w:pPr>
        <w:ind w:left="720"/>
        <w:rPr>
          <w:i/>
        </w:rPr>
      </w:pPr>
      <w:r w:rsidRPr="00E63EE3">
        <w:rPr>
          <w:i/>
        </w:rPr>
        <w:t>ensuring the regulations are fit for purpose into the future and compatible with emerging developments in the industry, such as liquefied natural gas (LNG) tolling arrangements and third party processing</w:t>
      </w:r>
      <w:r>
        <w:rPr>
          <w:i/>
        </w:rPr>
        <w:t>.</w:t>
      </w:r>
    </w:p>
    <w:p w14:paraId="33680361" w14:textId="77777777" w:rsidR="004B09E9" w:rsidRPr="004B09E9" w:rsidRDefault="004B09E9" w:rsidP="007028CB">
      <w:pPr>
        <w:rPr>
          <w:b/>
        </w:rPr>
      </w:pPr>
      <w:r w:rsidRPr="004B09E9">
        <w:rPr>
          <w:b/>
        </w:rPr>
        <w:t>Incentivising collaboration</w:t>
      </w:r>
    </w:p>
    <w:p w14:paraId="3856823F" w14:textId="77777777" w:rsidR="007028CB" w:rsidRDefault="00034581" w:rsidP="007028CB">
      <w:r>
        <w:t xml:space="preserve">Tolling </w:t>
      </w:r>
      <w:r w:rsidR="00986015">
        <w:t xml:space="preserve">and an increased need for cross project and regional collaboration </w:t>
      </w:r>
      <w:r>
        <w:t xml:space="preserve">is expected to become more significant in the development of future </w:t>
      </w:r>
      <w:r w:rsidR="00986015">
        <w:t xml:space="preserve">Australian </w:t>
      </w:r>
      <w:r>
        <w:t xml:space="preserve">gas resources. Ensuring these arrangements are supported by a suitable </w:t>
      </w:r>
      <w:r w:rsidR="00986015">
        <w:t xml:space="preserve">offshore titles </w:t>
      </w:r>
      <w:r>
        <w:t>regulatory regime</w:t>
      </w:r>
      <w:r w:rsidR="008713E9">
        <w:t xml:space="preserve"> is a</w:t>
      </w:r>
      <w:r w:rsidR="002C2CAB">
        <w:t xml:space="preserve">n emerging </w:t>
      </w:r>
      <w:r w:rsidR="007028CB">
        <w:t xml:space="preserve">focus of </w:t>
      </w:r>
      <w:r w:rsidR="007028CB" w:rsidRPr="00CE0FB7">
        <w:t>the Australian Government</w:t>
      </w:r>
      <w:r w:rsidR="00090BA2">
        <w:t>’s</w:t>
      </w:r>
      <w:r w:rsidR="007028CB" w:rsidRPr="00CE0FB7">
        <w:t xml:space="preserve"> policy. This is critical to ensure the timely </w:t>
      </w:r>
      <w:r w:rsidR="007028CB">
        <w:t xml:space="preserve">identification of gas fields for backfill to existing infrastructure. </w:t>
      </w:r>
      <w:r w:rsidR="008713E9">
        <w:t xml:space="preserve">The commercial implementation of these </w:t>
      </w:r>
      <w:r w:rsidR="003D654D">
        <w:t xml:space="preserve">arrangements </w:t>
      </w:r>
      <w:r w:rsidR="007028CB">
        <w:t>r</w:t>
      </w:r>
      <w:r w:rsidR="003D654D">
        <w:t xml:space="preserve">equires </w:t>
      </w:r>
      <w:r w:rsidR="007028CB">
        <w:t>multi-level and complex negotiations and financial arrangements.</w:t>
      </w:r>
    </w:p>
    <w:p w14:paraId="69CF74D7" w14:textId="77777777" w:rsidR="007028CB" w:rsidRDefault="003D654D" w:rsidP="007028CB">
      <w:r>
        <w:t xml:space="preserve">The development of the Browse project </w:t>
      </w:r>
      <w:r w:rsidRPr="002D4F50">
        <w:t>(</w:t>
      </w:r>
      <w:r>
        <w:t>ut</w:t>
      </w:r>
      <w:r w:rsidR="003A0EEC">
        <w:t>i</w:t>
      </w:r>
      <w:r>
        <w:t xml:space="preserve">lisiing the </w:t>
      </w:r>
      <w:r w:rsidRPr="002D4F50">
        <w:t>Calliance, Brecknock and Torosa</w:t>
      </w:r>
      <w:r>
        <w:t xml:space="preserve"> fields) is a</w:t>
      </w:r>
      <w:r w:rsidR="007028CB">
        <w:t xml:space="preserve"> significant development in the evolution of the Australian oil and gas industry</w:t>
      </w:r>
      <w:r>
        <w:t xml:space="preserve"> – and reflects a shift </w:t>
      </w:r>
      <w:r w:rsidR="007028CB">
        <w:t xml:space="preserve">to tolling arrangements to backfill existing facilities. The Joint Venture arrangements of the upstream and downstream parts of the project has produced a number of challenges for participants.  While the parties all recognise the benefits of the Browse project as backfill there is still a need to </w:t>
      </w:r>
      <w:r>
        <w:t>align joint venture interests and timeframes for development</w:t>
      </w:r>
      <w:r w:rsidR="007028CB">
        <w:t>.</w:t>
      </w:r>
    </w:p>
    <w:p w14:paraId="56C240A8" w14:textId="77777777" w:rsidR="007028CB" w:rsidRDefault="007028CB" w:rsidP="007028CB">
      <w:pPr>
        <w:rPr>
          <w:lang w:val="en"/>
        </w:rPr>
      </w:pPr>
      <w:r>
        <w:t xml:space="preserve">During consideration of the NWS developments Chevron Australia </w:t>
      </w:r>
      <w:r w:rsidR="004B09E9">
        <w:t xml:space="preserve">publicly </w:t>
      </w:r>
      <w:r>
        <w:t xml:space="preserve">raised the idea of a </w:t>
      </w:r>
      <w:r w:rsidRPr="00E90EAE">
        <w:rPr>
          <w:lang w:val="en"/>
        </w:rPr>
        <w:t>Trans Carnarvon Basin Trunkline</w:t>
      </w:r>
      <w:r>
        <w:rPr>
          <w:lang w:val="en"/>
        </w:rPr>
        <w:t xml:space="preserve">. Such a pipeline could </w:t>
      </w:r>
      <w:r w:rsidRPr="00E90EAE">
        <w:rPr>
          <w:lang w:val="en"/>
        </w:rPr>
        <w:t xml:space="preserve">link </w:t>
      </w:r>
      <w:r>
        <w:rPr>
          <w:lang w:val="en"/>
        </w:rPr>
        <w:t>the</w:t>
      </w:r>
      <w:r w:rsidRPr="00E90EAE">
        <w:rPr>
          <w:lang w:val="en"/>
        </w:rPr>
        <w:t xml:space="preserve"> Scarborou</w:t>
      </w:r>
      <w:r>
        <w:rPr>
          <w:lang w:val="en"/>
        </w:rPr>
        <w:t>gh, Thebe and the Exmouth fields</w:t>
      </w:r>
      <w:r w:rsidRPr="00E90EAE">
        <w:rPr>
          <w:lang w:val="en"/>
        </w:rPr>
        <w:t>, to existing gas facilities such as the North-West Shelf, Pluto and Wheatstone</w:t>
      </w:r>
      <w:r>
        <w:rPr>
          <w:lang w:val="en"/>
        </w:rPr>
        <w:t xml:space="preserve">. Chevron noted that it would be a </w:t>
      </w:r>
      <w:r w:rsidRPr="00E90EAE">
        <w:rPr>
          <w:lang w:val="en"/>
        </w:rPr>
        <w:t>multi-user</w:t>
      </w:r>
      <w:r>
        <w:rPr>
          <w:lang w:val="en"/>
        </w:rPr>
        <w:t xml:space="preserve"> open access offshore pipeline,</w:t>
      </w:r>
      <w:r w:rsidRPr="00E90EAE">
        <w:rPr>
          <w:lang w:val="en"/>
        </w:rPr>
        <w:t xml:space="preserve"> connecting shared offshore</w:t>
      </w:r>
      <w:r>
        <w:rPr>
          <w:lang w:val="en"/>
        </w:rPr>
        <w:t xml:space="preserve"> </w:t>
      </w:r>
      <w:r w:rsidR="004B09E9">
        <w:rPr>
          <w:lang w:val="en"/>
        </w:rPr>
        <w:t>infrastructure</w:t>
      </w:r>
      <w:r>
        <w:rPr>
          <w:lang w:val="en"/>
        </w:rPr>
        <w:t xml:space="preserve"> to create an interconnected basin.</w:t>
      </w:r>
    </w:p>
    <w:p w14:paraId="75376417" w14:textId="77777777" w:rsidR="00254D02" w:rsidRDefault="007028CB" w:rsidP="007028CB">
      <w:r w:rsidRPr="008122CB">
        <w:t>The</w:t>
      </w:r>
      <w:r>
        <w:t xml:space="preserve">re are many challenges to realising this trunkline concept – including ownership structures and financing around uncertainty. The uncertainty relates to the available projects to use this pipeline, timelines and gas specifications – all of which affects the size of the pipe required (which impacts the cost). These commercial decisions are complex when clarity about the nature and timeline of future </w:t>
      </w:r>
      <w:r w:rsidR="00254D02">
        <w:t>developments is uncertain.</w:t>
      </w:r>
    </w:p>
    <w:p w14:paraId="6907B83F" w14:textId="77777777" w:rsidR="007028CB" w:rsidRDefault="007028CB" w:rsidP="007028CB">
      <w:r>
        <w:t>But this concept does highlight the potential benefits of collaboration as the industry transitions toward tolling arrangements – but alignment of joint venture interests will be the determining factor to realise timely development.</w:t>
      </w:r>
    </w:p>
    <w:p w14:paraId="68342652" w14:textId="77777777" w:rsidR="00383B72" w:rsidRDefault="00383B72" w:rsidP="00383B72">
      <w:pPr>
        <w:pStyle w:val="Heading3"/>
      </w:pPr>
      <w:bookmarkStart w:id="97" w:name="_Toc19034559"/>
      <w:r>
        <w:t>Transitioning from vertical integration to tolling infrastructure</w:t>
      </w:r>
      <w:bookmarkEnd w:id="97"/>
      <w:r>
        <w:t xml:space="preserve"> </w:t>
      </w:r>
    </w:p>
    <w:p w14:paraId="33AF0509" w14:textId="77777777" w:rsidR="00383B72" w:rsidRDefault="00383B72" w:rsidP="00383B72">
      <w:r>
        <w:t xml:space="preserve">The majority of Australia’s offshore developments are through joint venture arrangements that enable flexibility, minimise costs and help share the risk of investments. How these joint venture interests and ownership structures align in the transition from vertical integration to tolling and third-parties – is a key area of focus for Australia’s offshore resources policy. </w:t>
      </w:r>
    </w:p>
    <w:p w14:paraId="5C60FDAA" w14:textId="77777777" w:rsidR="00383B72" w:rsidRDefault="00383B72" w:rsidP="00383B72">
      <w:r>
        <w:t>The potential for the North West Shelf, detailed below, highlights the need for alignment of interests to enable timely development. P</w:t>
      </w:r>
      <w:r w:rsidRPr="00F7778E">
        <w:t>roduction from the Browse fields</w:t>
      </w:r>
      <w:r>
        <w:t>,</w:t>
      </w:r>
      <w:r w:rsidRPr="002D4F50">
        <w:t xml:space="preserve"> </w:t>
      </w:r>
      <w:r>
        <w:t xml:space="preserve">and potentially other fields in the Carnarvon Basin, would </w:t>
      </w:r>
      <w:r w:rsidRPr="00F7778E">
        <w:t xml:space="preserve">transition the </w:t>
      </w:r>
      <w:r>
        <w:t xml:space="preserve">Karratha Gas Plant </w:t>
      </w:r>
      <w:r w:rsidRPr="00F7778E">
        <w:t>into a third-party tolling facility and extend the life of the facility for decades.</w:t>
      </w:r>
      <w:r>
        <w:t xml:space="preserve"> </w:t>
      </w:r>
    </w:p>
    <w:p w14:paraId="0F45E044" w14:textId="77777777" w:rsidR="00383B72" w:rsidRDefault="00383B72" w:rsidP="007028CB"/>
    <w:p w14:paraId="06B93EB7" w14:textId="77777777" w:rsidR="009B5469" w:rsidRDefault="009B5469" w:rsidP="006364FE">
      <w:pPr>
        <w:pStyle w:val="Heading3"/>
        <w:pBdr>
          <w:top w:val="single" w:sz="4" w:space="1" w:color="auto"/>
          <w:left w:val="single" w:sz="4" w:space="4" w:color="auto"/>
          <w:bottom w:val="single" w:sz="4" w:space="1" w:color="auto"/>
          <w:right w:val="single" w:sz="4" w:space="4" w:color="auto"/>
        </w:pBdr>
        <w:shd w:val="clear" w:color="auto" w:fill="D9D9D9" w:themeFill="background1" w:themeFillShade="D9"/>
      </w:pPr>
      <w:bookmarkStart w:id="98" w:name="_Toc19034558"/>
      <w:r>
        <w:t>Woodside’s Burrup Hub</w:t>
      </w:r>
      <w:bookmarkEnd w:id="98"/>
    </w:p>
    <w:p w14:paraId="0BA793D4" w14:textId="77777777" w:rsidR="00FF18E5" w:rsidRPr="00F7778E" w:rsidRDefault="001945D3" w:rsidP="006364FE">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Woodside’s Burrup Hub project located in Karratha Western Australia, </w:t>
      </w:r>
      <w:r w:rsidR="00FF0377">
        <w:t xml:space="preserve">aims to </w:t>
      </w:r>
      <w:r w:rsidR="00FF0377" w:rsidRPr="00FF0377">
        <w:t>create a regional LNG production hub on the Burrup Peninsula</w:t>
      </w:r>
      <w:r w:rsidR="00FF0377">
        <w:t xml:space="preserve">. It </w:t>
      </w:r>
      <w:r w:rsidR="00CE0FB7">
        <w:t xml:space="preserve">proposes </w:t>
      </w:r>
      <w:r w:rsidR="003624E1">
        <w:t xml:space="preserve">the </w:t>
      </w:r>
      <w:r w:rsidR="003624E1" w:rsidRPr="006B14C0">
        <w:t>development</w:t>
      </w:r>
      <w:r w:rsidR="00CE0FB7" w:rsidRPr="00FF0377">
        <w:t xml:space="preserve"> of </w:t>
      </w:r>
      <w:r w:rsidR="003624E1">
        <w:t>around</w:t>
      </w:r>
      <w:r w:rsidR="00CE0FB7" w:rsidRPr="00FF0377">
        <w:t xml:space="preserve"> 25 trillion cubic feet of gross dry gas resources from Browse </w:t>
      </w:r>
      <w:r w:rsidR="009E0058">
        <w:t>(US$27</w:t>
      </w:r>
      <w:r w:rsidR="00CE0FB7" w:rsidRPr="006B14C0">
        <w:t xml:space="preserve"> billion)</w:t>
      </w:r>
      <w:r w:rsidR="00CE0FB7">
        <w:t>,</w:t>
      </w:r>
      <w:r w:rsidR="00CE0FB7" w:rsidRPr="006B14C0">
        <w:t xml:space="preserve"> </w:t>
      </w:r>
      <w:r w:rsidR="00CE0FB7" w:rsidRPr="00FF0377">
        <w:t>Scarborough</w:t>
      </w:r>
      <w:r w:rsidR="00CE0FB7">
        <w:t xml:space="preserve"> </w:t>
      </w:r>
      <w:r w:rsidR="00CE0FB7" w:rsidRPr="006B14C0">
        <w:t>(US$</w:t>
      </w:r>
      <w:r w:rsidR="009E0058">
        <w:t>16 billion</w:t>
      </w:r>
      <w:r w:rsidR="00CE0FB7" w:rsidRPr="006B14C0">
        <w:t>)</w:t>
      </w:r>
      <w:r w:rsidR="00CE0FB7" w:rsidRPr="00FF0377">
        <w:t xml:space="preserve"> and Pluto</w:t>
      </w:r>
      <w:r w:rsidR="001407CA">
        <w:t xml:space="preserve"> using North West Shelf infrastructure</w:t>
      </w:r>
      <w:r w:rsidR="00CE0FB7">
        <w:t xml:space="preserve">. </w:t>
      </w:r>
      <w:r w:rsidR="00FF18E5">
        <w:t>It</w:t>
      </w:r>
      <w:r w:rsidR="001407CA">
        <w:t xml:space="preserve"> </w:t>
      </w:r>
      <w:r w:rsidR="008A18DE">
        <w:t>also</w:t>
      </w:r>
      <w:r w:rsidR="00527940" w:rsidRPr="00527940">
        <w:t xml:space="preserve"> </w:t>
      </w:r>
      <w:r w:rsidR="00527940">
        <w:t>involves</w:t>
      </w:r>
      <w:r w:rsidR="00527940" w:rsidRPr="00527940">
        <w:t xml:space="preserve"> processing gas from offshore fields through existing or expanded onshore infrastructure. </w:t>
      </w:r>
      <w:r w:rsidR="008A18DE">
        <w:t>T</w:t>
      </w:r>
      <w:r w:rsidR="00527940" w:rsidRPr="00527940">
        <w:t>hese developments are expected to involve commercial tolling arrangements with existing infrastructure owners.</w:t>
      </w:r>
      <w:r w:rsidR="00FF18E5">
        <w:t xml:space="preserve"> </w:t>
      </w:r>
    </w:p>
    <w:p w14:paraId="36DED8F9" w14:textId="77777777" w:rsidR="00CE0FB7" w:rsidRDefault="00FF18E5" w:rsidP="006364FE">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Production from the Scarborough </w:t>
      </w:r>
      <w:r w:rsidRPr="00FF18E5">
        <w:t xml:space="preserve">gas field </w:t>
      </w:r>
      <w:r w:rsidR="00E90EAE">
        <w:t>could</w:t>
      </w:r>
      <w:r>
        <w:t xml:space="preserve"> include </w:t>
      </w:r>
      <w:r w:rsidRPr="00FF18E5">
        <w:t>new offshore facilities connected to a brownfield expansion of the existing Pluto LNG onshore facilities, including construction of a second LNG train.</w:t>
      </w:r>
      <w:r>
        <w:t xml:space="preserve"> E</w:t>
      </w:r>
      <w:r w:rsidR="00527940" w:rsidRPr="004F0ECC">
        <w:t xml:space="preserve">xpansion of the Pluto onshore facilities </w:t>
      </w:r>
      <w:r w:rsidR="00527940">
        <w:t xml:space="preserve">would also </w:t>
      </w:r>
      <w:r w:rsidR="00527940" w:rsidRPr="004F0ECC">
        <w:t xml:space="preserve">provide the potential to accelerate other offshore Pluto gas reserves and </w:t>
      </w:r>
      <w:r w:rsidR="00527940">
        <w:t xml:space="preserve">would help </w:t>
      </w:r>
      <w:r w:rsidR="00527940" w:rsidRPr="004F0ECC">
        <w:t xml:space="preserve">enable future development of third-party resources. </w:t>
      </w:r>
    </w:p>
    <w:p w14:paraId="1E36A1B3" w14:textId="77777777" w:rsidR="00B61F28" w:rsidRDefault="00B61F28" w:rsidP="006364FE">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B61F28">
        <w:t xml:space="preserve">In 2018 </w:t>
      </w:r>
      <w:r w:rsidR="00E83B7F">
        <w:rPr>
          <w:lang w:val="en"/>
        </w:rPr>
        <w:t>t</w:t>
      </w:r>
      <w:r w:rsidR="00E83B7F" w:rsidRPr="004C15D9">
        <w:rPr>
          <w:lang w:val="en"/>
        </w:rPr>
        <w:t xml:space="preserve">he </w:t>
      </w:r>
      <w:r w:rsidR="00E83B7F" w:rsidRPr="00B61F28">
        <w:t>N</w:t>
      </w:r>
      <w:r w:rsidR="00E83B7F">
        <w:t xml:space="preserve">orth </w:t>
      </w:r>
      <w:r w:rsidR="00E83B7F" w:rsidRPr="00B61F28">
        <w:t>W</w:t>
      </w:r>
      <w:r w:rsidR="00E83B7F">
        <w:t xml:space="preserve">est </w:t>
      </w:r>
      <w:r w:rsidR="00E83B7F" w:rsidRPr="00B61F28">
        <w:t>S</w:t>
      </w:r>
      <w:r w:rsidR="00E83B7F">
        <w:t>helf (NWS)</w:t>
      </w:r>
      <w:r w:rsidR="00E83B7F" w:rsidRPr="00B61F28">
        <w:t xml:space="preserve"> Joint Venture </w:t>
      </w:r>
      <w:r w:rsidR="00E83B7F" w:rsidRPr="004C15D9">
        <w:rPr>
          <w:lang w:val="en"/>
        </w:rPr>
        <w:t>participants executed non-binding preliminary agreements</w:t>
      </w:r>
      <w:r w:rsidR="00E83B7F">
        <w:t xml:space="preserve"> </w:t>
      </w:r>
      <w:r w:rsidR="00E83B7F" w:rsidRPr="004C15D9">
        <w:rPr>
          <w:lang w:val="en"/>
        </w:rPr>
        <w:t xml:space="preserve">with both the Browse Joint Venture and Chevron </w:t>
      </w:r>
      <w:r w:rsidR="00E83B7F">
        <w:rPr>
          <w:lang w:val="en"/>
        </w:rPr>
        <w:t>(</w:t>
      </w:r>
      <w:r w:rsidR="00E83B7F" w:rsidRPr="004C15D9">
        <w:rPr>
          <w:lang w:val="en"/>
        </w:rPr>
        <w:t>as titl</w:t>
      </w:r>
      <w:r w:rsidR="00E83B7F">
        <w:rPr>
          <w:lang w:val="en"/>
        </w:rPr>
        <w:t>eholder of the Clio-Acme fields)</w:t>
      </w:r>
      <w:r w:rsidR="00E83B7F" w:rsidRPr="004C15D9">
        <w:rPr>
          <w:lang w:val="en"/>
        </w:rPr>
        <w:t xml:space="preserve"> to further progress both projects to processing their respective offshore gas resources through the NWS facilities.</w:t>
      </w:r>
      <w:r w:rsidR="00E83B7F">
        <w:rPr>
          <w:lang w:val="en"/>
        </w:rPr>
        <w:t xml:space="preserve"> </w:t>
      </w:r>
      <w:r w:rsidRPr="00B61F28">
        <w:t>The NWS Joint Venture continues to work towards agreement on a Gas Processing</w:t>
      </w:r>
      <w:r>
        <w:t xml:space="preserve"> </w:t>
      </w:r>
      <w:r w:rsidRPr="00B61F28">
        <w:t xml:space="preserve">Agreement </w:t>
      </w:r>
      <w:r w:rsidR="002123CE">
        <w:t>to enable</w:t>
      </w:r>
      <w:r w:rsidRPr="00B61F28">
        <w:t xml:space="preserve"> the NWS Joint Venture to enter into a</w:t>
      </w:r>
      <w:r>
        <w:t xml:space="preserve"> </w:t>
      </w:r>
      <w:r w:rsidRPr="00B61F28">
        <w:t>binding agreement with other resource owners for the provision of services.</w:t>
      </w:r>
    </w:p>
    <w:p w14:paraId="30E61051" w14:textId="77777777" w:rsidR="00B61F28" w:rsidRDefault="004E4825" w:rsidP="006364FE">
      <w:pPr>
        <w:pBdr>
          <w:top w:val="single" w:sz="4" w:space="1" w:color="auto"/>
          <w:left w:val="single" w:sz="4" w:space="4" w:color="auto"/>
          <w:bottom w:val="single" w:sz="4" w:space="1" w:color="auto"/>
          <w:right w:val="single" w:sz="4" w:space="4" w:color="auto"/>
        </w:pBdr>
        <w:shd w:val="clear" w:color="auto" w:fill="D9D9D9" w:themeFill="background1" w:themeFillShade="D9"/>
        <w:rPr>
          <w:highlight w:val="cyan"/>
        </w:rPr>
      </w:pPr>
      <w:r>
        <w:t xml:space="preserve">Upcoming Final Investment Decisions </w:t>
      </w:r>
      <w:r w:rsidR="006364FE">
        <w:t xml:space="preserve">for the Burrup Hub </w:t>
      </w:r>
      <w:r w:rsidR="004470BE">
        <w:t xml:space="preserve">will consolidate the many commercial </w:t>
      </w:r>
      <w:r>
        <w:t>interests</w:t>
      </w:r>
      <w:r w:rsidR="004470BE">
        <w:t xml:space="preserve"> and potential development concepts – and the decisions will take account of </w:t>
      </w:r>
      <w:r>
        <w:t>the tax and regulatory context in which these de</w:t>
      </w:r>
      <w:r w:rsidR="00383B72">
        <w:t xml:space="preserve">velopments could be realised. </w:t>
      </w:r>
    </w:p>
    <w:p w14:paraId="050CC76D" w14:textId="77777777" w:rsidR="00383B72" w:rsidRDefault="00383B72" w:rsidP="00665E2A"/>
    <w:p w14:paraId="564B4576" w14:textId="77777777" w:rsidR="00AF4830" w:rsidRDefault="00AF4830" w:rsidP="00665E2A">
      <w:r>
        <w:t xml:space="preserve">Other examples of the need for alignment include </w:t>
      </w:r>
      <w:r w:rsidR="00665E2A" w:rsidRPr="00F7778E">
        <w:t>Woodside</w:t>
      </w:r>
      <w:r w:rsidR="00665E2A">
        <w:t xml:space="preserve">’s proposal for </w:t>
      </w:r>
      <w:r w:rsidR="00665E2A" w:rsidRPr="00F7778E">
        <w:t>a</w:t>
      </w:r>
      <w:r w:rsidR="00665E2A">
        <w:t>n</w:t>
      </w:r>
      <w:r w:rsidR="00665E2A" w:rsidRPr="00F7778E">
        <w:t xml:space="preserve"> </w:t>
      </w:r>
      <w:r w:rsidR="00665E2A">
        <w:t xml:space="preserve">interconnector </w:t>
      </w:r>
      <w:r w:rsidR="00665E2A" w:rsidRPr="00F7778E">
        <w:t>pipeline</w:t>
      </w:r>
      <w:r w:rsidR="001407CA">
        <w:t xml:space="preserve"> (</w:t>
      </w:r>
      <w:r w:rsidR="00665E2A" w:rsidRPr="00F7778E">
        <w:t xml:space="preserve">to transport gas from Pluto LNG to </w:t>
      </w:r>
      <w:r w:rsidR="00665E2A">
        <w:t>Karratha Gas Plant</w:t>
      </w:r>
      <w:r w:rsidR="001407CA">
        <w:t>)</w:t>
      </w:r>
      <w:r>
        <w:t xml:space="preserve">. </w:t>
      </w:r>
      <w:r w:rsidR="001407CA">
        <w:t xml:space="preserve"> </w:t>
      </w:r>
      <w:r>
        <w:t>I</w:t>
      </w:r>
      <w:r w:rsidR="00665E2A">
        <w:t xml:space="preserve">t would </w:t>
      </w:r>
      <w:r w:rsidR="00665E2A" w:rsidRPr="00F7778E">
        <w:t>be owned and operated by a third party</w:t>
      </w:r>
      <w:r>
        <w:t xml:space="preserve"> and </w:t>
      </w:r>
      <w:r w:rsidR="00414A92">
        <w:t>provide increased flexibility around the management of gas transported to the Pluto and NWS facilities</w:t>
      </w:r>
      <w:r w:rsidR="00665E2A" w:rsidRPr="00F7778E">
        <w:t>.</w:t>
      </w:r>
      <w:r w:rsidR="009F0F40" w:rsidRPr="009F0F40">
        <w:t xml:space="preserve"> </w:t>
      </w:r>
    </w:p>
    <w:p w14:paraId="20B4A7CC" w14:textId="77777777" w:rsidR="00414A92" w:rsidRDefault="00665E2A" w:rsidP="00E1737D">
      <w:r>
        <w:t xml:space="preserve">These changes highlight some of the </w:t>
      </w:r>
      <w:r w:rsidR="00414A92">
        <w:t xml:space="preserve">opportunities and </w:t>
      </w:r>
      <w:r>
        <w:t xml:space="preserve">challenges </w:t>
      </w:r>
      <w:r w:rsidR="00583C27">
        <w:t>facing infrastructure owners and joint ventures as they transition to tolling arrangements</w:t>
      </w:r>
      <w:r w:rsidR="00414A92">
        <w:t>.</w:t>
      </w:r>
      <w:r w:rsidR="007C74DF">
        <w:t xml:space="preserve"> </w:t>
      </w:r>
      <w:r w:rsidR="00414A92">
        <w:t xml:space="preserve">The opportunities </w:t>
      </w:r>
      <w:r w:rsidR="007C74DF">
        <w:t xml:space="preserve">include </w:t>
      </w:r>
      <w:r w:rsidR="00AF4830">
        <w:t>more</w:t>
      </w:r>
      <w:r w:rsidR="00414A92">
        <w:t xml:space="preserve"> options </w:t>
      </w:r>
      <w:r w:rsidR="007C74DF">
        <w:t>to get</w:t>
      </w:r>
      <w:r w:rsidR="00414A92">
        <w:t xml:space="preserve"> gas to markets </w:t>
      </w:r>
      <w:r w:rsidR="00AF4830">
        <w:t xml:space="preserve">by using existing infrastructure – </w:t>
      </w:r>
      <w:r w:rsidR="004B09E9">
        <w:t xml:space="preserve">which is </w:t>
      </w:r>
      <w:r w:rsidR="007C74DF">
        <w:t xml:space="preserve">without </w:t>
      </w:r>
      <w:r w:rsidR="00414A92">
        <w:t>the high cost</w:t>
      </w:r>
      <w:r w:rsidR="004B09E9">
        <w:t xml:space="preserve"> of</w:t>
      </w:r>
      <w:r w:rsidR="007C74DF">
        <w:t xml:space="preserve"> i</w:t>
      </w:r>
      <w:r w:rsidR="00414A92">
        <w:t>nvestment in new LNG facilities</w:t>
      </w:r>
      <w:r w:rsidR="004B09E9">
        <w:t xml:space="preserve">, </w:t>
      </w:r>
      <w:r w:rsidR="007C74DF">
        <w:t xml:space="preserve">and </w:t>
      </w:r>
      <w:r w:rsidR="004B09E9">
        <w:t xml:space="preserve">helps </w:t>
      </w:r>
      <w:r w:rsidR="007C74DF">
        <w:t>avoid significant</w:t>
      </w:r>
      <w:r w:rsidR="00414A92">
        <w:t xml:space="preserve"> regulatory and approvals processes. </w:t>
      </w:r>
    </w:p>
    <w:p w14:paraId="4D95EE1D" w14:textId="77777777" w:rsidR="009F0F40" w:rsidRPr="009F0F40" w:rsidRDefault="009F0F40" w:rsidP="009F0F40">
      <w:pPr>
        <w:rPr>
          <w:b/>
        </w:rPr>
      </w:pPr>
      <w:r w:rsidRPr="009F0F40">
        <w:rPr>
          <w:b/>
        </w:rPr>
        <w:t>Risk allocation</w:t>
      </w:r>
      <w:r>
        <w:rPr>
          <w:b/>
        </w:rPr>
        <w:t xml:space="preserve"> and managing transition</w:t>
      </w:r>
    </w:p>
    <w:p w14:paraId="0BDCA06F" w14:textId="77777777" w:rsidR="00E1737D" w:rsidRDefault="00583C27" w:rsidP="00E1737D">
      <w:r>
        <w:t xml:space="preserve">A key challenge </w:t>
      </w:r>
      <w:r w:rsidR="007C74DF">
        <w:t xml:space="preserve">in the transition to tolling </w:t>
      </w:r>
      <w:r>
        <w:t xml:space="preserve">is the </w:t>
      </w:r>
      <w:r w:rsidRPr="002D0596">
        <w:t>allocation of risk between upstream titleholder and downstream</w:t>
      </w:r>
      <w:r>
        <w:t xml:space="preserve"> </w:t>
      </w:r>
      <w:r w:rsidRPr="002D0596">
        <w:t>infrastructure service provider</w:t>
      </w:r>
      <w:r>
        <w:t>s</w:t>
      </w:r>
      <w:r w:rsidRPr="002D0596">
        <w:t>, and the appropriate level of return on existing and future</w:t>
      </w:r>
      <w:r>
        <w:t xml:space="preserve"> </w:t>
      </w:r>
      <w:r w:rsidRPr="002D0596">
        <w:t>infrastructure investments.</w:t>
      </w:r>
    </w:p>
    <w:p w14:paraId="2A038A42" w14:textId="77777777" w:rsidR="002512B8" w:rsidRDefault="00583C27" w:rsidP="00E1737D">
      <w:r w:rsidRPr="002D0596">
        <w:t>In an integrated LNG project, ownership is aligned across upstream and downstream and as such risk</w:t>
      </w:r>
      <w:r w:rsidR="00E1737D">
        <w:t xml:space="preserve"> </w:t>
      </w:r>
      <w:r w:rsidRPr="002D0596">
        <w:t>allocation is not a consideration. Creating a tolling structure will require the allocation of risk</w:t>
      </w:r>
      <w:r w:rsidR="00E1737D">
        <w:t xml:space="preserve"> </w:t>
      </w:r>
      <w:r w:rsidRPr="002D0596">
        <w:t>between upstream and downstream and will be a factor in attracting other resource owners and the</w:t>
      </w:r>
      <w:r w:rsidR="00E1737D">
        <w:t xml:space="preserve"> </w:t>
      </w:r>
      <w:r w:rsidRPr="002D0596">
        <w:t>financial success</w:t>
      </w:r>
      <w:r w:rsidR="002512B8">
        <w:t xml:space="preserve"> of the infrastructure project.</w:t>
      </w:r>
    </w:p>
    <w:p w14:paraId="64DBC7D6" w14:textId="77777777" w:rsidR="00583C27" w:rsidRDefault="00481A95" w:rsidP="00481A95">
      <w:r w:rsidRPr="002D0596">
        <w:t xml:space="preserve">Infrastructure owners </w:t>
      </w:r>
      <w:r>
        <w:t>are likely unwilling</w:t>
      </w:r>
      <w:r w:rsidRPr="002D0596">
        <w:t xml:space="preserve"> take on risks that are</w:t>
      </w:r>
      <w:r>
        <w:t xml:space="preserve"> </w:t>
      </w:r>
      <w:r w:rsidRPr="002D0596">
        <w:t>within the control of resource owners</w:t>
      </w:r>
      <w:r w:rsidR="003D654D">
        <w:t>.</w:t>
      </w:r>
      <w:r w:rsidRPr="002D0596">
        <w:t xml:space="preserve"> </w:t>
      </w:r>
      <w:r w:rsidR="003D654D">
        <w:t>S</w:t>
      </w:r>
      <w:r w:rsidRPr="002D0596">
        <w:t>imilarly</w:t>
      </w:r>
      <w:r w:rsidR="003D654D">
        <w:t>,</w:t>
      </w:r>
      <w:r w:rsidRPr="002D0596">
        <w:t xml:space="preserve"> resource owners </w:t>
      </w:r>
      <w:r w:rsidR="003D654D">
        <w:t>are</w:t>
      </w:r>
      <w:r>
        <w:t xml:space="preserve"> </w:t>
      </w:r>
      <w:r w:rsidR="003D654D">
        <w:t>un</w:t>
      </w:r>
      <w:r>
        <w:t>likely</w:t>
      </w:r>
      <w:r w:rsidRPr="002D0596">
        <w:t xml:space="preserve"> </w:t>
      </w:r>
      <w:r w:rsidR="003D654D">
        <w:t>to</w:t>
      </w:r>
      <w:r w:rsidRPr="002D0596">
        <w:t xml:space="preserve"> bear the risk of the</w:t>
      </w:r>
      <w:r>
        <w:t xml:space="preserve"> </w:t>
      </w:r>
      <w:r w:rsidRPr="002D0596">
        <w:t>performance of the downstream infrastructure provider</w:t>
      </w:r>
      <w:r w:rsidR="00583C27" w:rsidRPr="002D0596">
        <w:t xml:space="preserve">. </w:t>
      </w:r>
      <w:r>
        <w:t xml:space="preserve">Flexibility, communication, collaboration and a clear commitment to realise timely development are </w:t>
      </w:r>
      <w:r w:rsidR="003D654D">
        <w:t>needed</w:t>
      </w:r>
      <w:r>
        <w:t xml:space="preserve"> to realise equitable arrangements. </w:t>
      </w:r>
    </w:p>
    <w:p w14:paraId="5E8E4FFB" w14:textId="2FDA316A" w:rsidR="00E1737D" w:rsidRDefault="00E1737D" w:rsidP="00665E2A">
      <w:r>
        <w:t xml:space="preserve">As the industry </w:t>
      </w:r>
      <w:r w:rsidR="00122089">
        <w:t xml:space="preserve">moves to </w:t>
      </w:r>
      <w:r w:rsidR="002A4EA6">
        <w:t xml:space="preserve">develop </w:t>
      </w:r>
      <w:r w:rsidR="00D45522">
        <w:t>new gas fields to replace declining resources,</w:t>
      </w:r>
      <w:r w:rsidR="00311B80">
        <w:t xml:space="preserve"> f</w:t>
      </w:r>
      <w:r w:rsidRPr="00E1737D">
        <w:t xml:space="preserve">oundation </w:t>
      </w:r>
      <w:r w:rsidR="00311B80">
        <w:t xml:space="preserve">infrastructure </w:t>
      </w:r>
      <w:r w:rsidRPr="00E1737D">
        <w:t xml:space="preserve">users </w:t>
      </w:r>
      <w:r w:rsidR="00311B80">
        <w:t xml:space="preserve">in what started as an </w:t>
      </w:r>
      <w:r w:rsidRPr="00E1737D">
        <w:t xml:space="preserve">integrated </w:t>
      </w:r>
      <w:r>
        <w:t>LNG project</w:t>
      </w:r>
      <w:r w:rsidR="00311B80">
        <w:t xml:space="preserve"> </w:t>
      </w:r>
      <w:r w:rsidR="00D45522">
        <w:t>are likely to</w:t>
      </w:r>
      <w:r w:rsidR="002A4EA6">
        <w:t xml:space="preserve"> be faced with </w:t>
      </w:r>
      <w:r w:rsidR="00D45522">
        <w:t>the need to put in place to</w:t>
      </w:r>
      <w:r w:rsidR="00CD2BCF">
        <w:t>lling arrangements for resource</w:t>
      </w:r>
      <w:r w:rsidR="00D45522">
        <w:t xml:space="preserve"> </w:t>
      </w:r>
      <w:r w:rsidR="00CD2BCF">
        <w:t xml:space="preserve">owners </w:t>
      </w:r>
      <w:r w:rsidR="00D45522">
        <w:t>that were not part of the original arrangements</w:t>
      </w:r>
      <w:r w:rsidRPr="00E1737D">
        <w:t xml:space="preserve">. </w:t>
      </w:r>
      <w:r w:rsidR="00C6636B">
        <w:t xml:space="preserve">Some of these fields </w:t>
      </w:r>
      <w:r w:rsidR="00CD2BCF">
        <w:t>could be</w:t>
      </w:r>
      <w:r w:rsidR="00C6636B">
        <w:t xml:space="preserve"> developed by smaller companies and may be more </w:t>
      </w:r>
      <w:r w:rsidR="00CD2BCF">
        <w:t>expensive to develop. As such</w:t>
      </w:r>
      <w:r w:rsidR="00C6636B">
        <w:t xml:space="preserve"> tolling arrangements which </w:t>
      </w:r>
      <w:r w:rsidR="00254D02">
        <w:t>result in extra costs for</w:t>
      </w:r>
      <w:r w:rsidR="00C6636B">
        <w:t xml:space="preserve"> upstream developers may be to the detriment of the development of new fields. Consideration of these </w:t>
      </w:r>
      <w:r w:rsidR="003D654D">
        <w:t>issues may be relevant to the R</w:t>
      </w:r>
      <w:r w:rsidR="00C6636B">
        <w:t>eview.</w:t>
      </w:r>
    </w:p>
    <w:p w14:paraId="149F37F6" w14:textId="77777777" w:rsidR="00414A92" w:rsidRPr="00481A95" w:rsidRDefault="00481A95" w:rsidP="00665E2A">
      <w:r w:rsidRPr="00481A95">
        <w:rPr>
          <w:iCs/>
        </w:rPr>
        <w:t>The department also notes that offshore gas pipelines are typically not subject to Australia’s third party access regime for gas pipelines. This is due to pipelines</w:t>
      </w:r>
      <w:r w:rsidR="007A351F">
        <w:rPr>
          <w:iCs/>
        </w:rPr>
        <w:t xml:space="preserve"> in the </w:t>
      </w:r>
      <w:r w:rsidRPr="00481A95">
        <w:rPr>
          <w:iCs/>
        </w:rPr>
        <w:t>upstream of processing facilities being</w:t>
      </w:r>
      <w:r w:rsidR="00261F20">
        <w:rPr>
          <w:iCs/>
        </w:rPr>
        <w:t xml:space="preserve"> currently</w:t>
      </w:r>
      <w:r w:rsidRPr="00481A95">
        <w:rPr>
          <w:iCs/>
        </w:rPr>
        <w:t xml:space="preserve"> exempt from the access regime. </w:t>
      </w:r>
    </w:p>
    <w:p w14:paraId="3B32A1CC" w14:textId="77777777" w:rsidR="00570AF6" w:rsidRDefault="00570AF6" w:rsidP="009F0F40">
      <w:pPr>
        <w:pStyle w:val="Heading1"/>
      </w:pPr>
      <w:bookmarkStart w:id="99" w:name="_Toc19034560"/>
      <w:r>
        <w:t xml:space="preserve">Global energy </w:t>
      </w:r>
      <w:r w:rsidR="00DB0B14">
        <w:t>markets</w:t>
      </w:r>
      <w:bookmarkEnd w:id="99"/>
      <w:r>
        <w:t xml:space="preserve"> </w:t>
      </w:r>
    </w:p>
    <w:p w14:paraId="2075E940" w14:textId="77777777" w:rsidR="006D542E" w:rsidRDefault="00D507F8" w:rsidP="00755DF5">
      <w:r>
        <w:t xml:space="preserve">LNG business models, </w:t>
      </w:r>
      <w:r w:rsidR="0014679A">
        <w:t xml:space="preserve">investments, </w:t>
      </w:r>
      <w:r>
        <w:t>trade</w:t>
      </w:r>
      <w:r w:rsidR="0014679A">
        <w:t>, markets</w:t>
      </w:r>
      <w:r>
        <w:t xml:space="preserve"> and g</w:t>
      </w:r>
      <w:r w:rsidR="002B732E">
        <w:t>lobal</w:t>
      </w:r>
      <w:r>
        <w:t xml:space="preserve"> value chains are evolving.</w:t>
      </w:r>
      <w:r w:rsidR="00755DF5" w:rsidRPr="00755DF5">
        <w:t xml:space="preserve"> </w:t>
      </w:r>
      <w:r w:rsidR="00E57EAC">
        <w:t xml:space="preserve">Australia needs to reflect on the global trends changing the industry – to ensure that our policy settings encourage ongoing investment and development. </w:t>
      </w:r>
    </w:p>
    <w:p w14:paraId="6682036E" w14:textId="77777777" w:rsidR="00D507F8" w:rsidRPr="0074074E" w:rsidRDefault="001A2223" w:rsidP="00D507F8">
      <w:pPr>
        <w:rPr>
          <w:b/>
        </w:rPr>
      </w:pPr>
      <w:r>
        <w:rPr>
          <w:b/>
        </w:rPr>
        <w:t xml:space="preserve">Pre-2000 </w:t>
      </w:r>
      <w:r w:rsidR="00D507F8">
        <w:rPr>
          <w:b/>
        </w:rPr>
        <w:t>LNG business model</w:t>
      </w:r>
    </w:p>
    <w:p w14:paraId="24CA823B" w14:textId="77777777" w:rsidR="004F1048" w:rsidRPr="00755DF5" w:rsidRDefault="004F1048" w:rsidP="004F1048">
      <w:r w:rsidRPr="00755DF5">
        <w:t xml:space="preserve">Before </w:t>
      </w:r>
      <w:r>
        <w:t>2000</w:t>
      </w:r>
      <w:r w:rsidRPr="00755DF5">
        <w:t>, LNG trade in Asia was characterized by</w:t>
      </w:r>
      <w:r w:rsidR="002B1EBA">
        <w:t xml:space="preserve"> point-to-point business model,</w:t>
      </w:r>
      <w:r w:rsidRPr="00755DF5">
        <w:t xml:space="preserve"> long</w:t>
      </w:r>
      <w:r>
        <w:t>-</w:t>
      </w:r>
      <w:r w:rsidRPr="00755DF5">
        <w:t>term contracts, oil-linked pricing and inflexible non-pricing contractual terms.</w:t>
      </w:r>
    </w:p>
    <w:p w14:paraId="07F2E129" w14:textId="77777777" w:rsidR="003261A7" w:rsidRPr="003261A7" w:rsidRDefault="0014679A" w:rsidP="003261A7">
      <w:r>
        <w:t xml:space="preserve">A </w:t>
      </w:r>
      <w:r w:rsidR="003261A7" w:rsidRPr="003261A7">
        <w:t xml:space="preserve">typical LNG project sold gas to a small group of buyers, with dedicated ships taking gas between the seller’s liquefaction plant and the buyers’ regasification terminals. </w:t>
      </w:r>
    </w:p>
    <w:p w14:paraId="0BB49F90" w14:textId="77777777" w:rsidR="003261A7" w:rsidRPr="003261A7" w:rsidRDefault="003261A7" w:rsidP="003261A7">
      <w:r w:rsidRPr="003261A7">
        <w:t xml:space="preserve">LNG was traded on long-term contracts, sometimes in excess of 20 years. LNG projects require a large upfront capital investment, and long-term contracts provided LNG project developers with </w:t>
      </w:r>
      <w:r w:rsidR="00F057C1">
        <w:t>a degree of</w:t>
      </w:r>
      <w:r w:rsidR="00F057C1" w:rsidRPr="003261A7">
        <w:t xml:space="preserve"> </w:t>
      </w:r>
      <w:r w:rsidR="001A2223">
        <w:t xml:space="preserve">revenue </w:t>
      </w:r>
      <w:r w:rsidR="00F057C1">
        <w:t xml:space="preserve">and volume </w:t>
      </w:r>
      <w:r w:rsidRPr="003261A7">
        <w:t xml:space="preserve">certainty </w:t>
      </w:r>
      <w:r w:rsidR="001A2223" w:rsidRPr="003261A7">
        <w:t xml:space="preserve">required to </w:t>
      </w:r>
      <w:r w:rsidR="001A2223">
        <w:t>access project</w:t>
      </w:r>
      <w:r w:rsidR="001A2223" w:rsidRPr="003261A7">
        <w:t xml:space="preserve"> financ</w:t>
      </w:r>
      <w:r w:rsidR="001A2223">
        <w:t>e.</w:t>
      </w:r>
      <w:r w:rsidR="005512B7">
        <w:t xml:space="preserve"> Buyers were also willing to lock-in long term contracts as a way of ensuring supply for newly built gas plants for power generation.</w:t>
      </w:r>
    </w:p>
    <w:p w14:paraId="2B5A1D99" w14:textId="77777777" w:rsidR="003261A7" w:rsidRPr="003261A7" w:rsidRDefault="003261A7" w:rsidP="003261A7">
      <w:r w:rsidRPr="003261A7">
        <w:t xml:space="preserve">These long-term contracts often included terms on matters not related to prices. Destination clauses, for instance, prevented a buyer from reselling LNG cargoes until they were delivered to the buyer’s port. </w:t>
      </w:r>
    </w:p>
    <w:p w14:paraId="3B2E3898" w14:textId="77777777" w:rsidR="003261A7" w:rsidRDefault="003261A7" w:rsidP="003261A7">
      <w:r w:rsidRPr="003261A7">
        <w:t>In Asia, LNG prices were linked to the price of crude oil. When Japan began importing LNG, oil was the main fuel competing with natural gas in power generation, and consequently an oil-price linkage was adopted in LNG contracts. When other Asian buyers entered the market — South Korea (1986), Taiwan (1990), India (2004) and China (2006) — they too adopted this pricing approach. Oil-indexed pricing allowed buyers and sellers to access liquid oil futures markets to manage price risk through hedging.</w:t>
      </w:r>
      <w:r>
        <w:rPr>
          <w:rStyle w:val="FootnoteReference"/>
        </w:rPr>
        <w:footnoteReference w:id="7"/>
      </w:r>
    </w:p>
    <w:p w14:paraId="773DFA07" w14:textId="77777777" w:rsidR="001A2223" w:rsidRPr="001A2223" w:rsidRDefault="001A2223" w:rsidP="0014679A">
      <w:pPr>
        <w:rPr>
          <w:b/>
        </w:rPr>
      </w:pPr>
      <w:r w:rsidRPr="001A2223">
        <w:rPr>
          <w:b/>
        </w:rPr>
        <w:t>Post 2000</w:t>
      </w:r>
      <w:r>
        <w:rPr>
          <w:b/>
        </w:rPr>
        <w:t xml:space="preserve"> LNG business model</w:t>
      </w:r>
    </w:p>
    <w:p w14:paraId="1FADE471" w14:textId="77777777" w:rsidR="007A351F" w:rsidRDefault="0014679A" w:rsidP="0014679A">
      <w:r>
        <w:t xml:space="preserve">Since 2000, </w:t>
      </w:r>
      <w:r w:rsidRPr="00755DF5">
        <w:t>spot and shorter-term trading markets began to grow, providing buyers with access to different pricing arrangements, shorter contract lengths and more flexible contract terms.</w:t>
      </w:r>
      <w:r>
        <w:t xml:space="preserve"> </w:t>
      </w:r>
    </w:p>
    <w:p w14:paraId="6D218D4D" w14:textId="77777777" w:rsidR="0014679A" w:rsidRPr="00755DF5" w:rsidRDefault="0014679A" w:rsidP="0014679A">
      <w:r w:rsidRPr="00755DF5">
        <w:t>The point-to-point business model also started to fade and LNG ‘portfolio players’ emerged.</w:t>
      </w:r>
      <w:r w:rsidR="00254D02">
        <w:t xml:space="preserve"> The percentage of the global LNG market held in short term contracts </w:t>
      </w:r>
      <w:r w:rsidR="0043398C">
        <w:t xml:space="preserve">(4 years or less) </w:t>
      </w:r>
      <w:r w:rsidR="00254D02">
        <w:t>and the spot market increased from just over 20 per cent in 2010 to 40 per cent in 2017 before surging to 50% in 2018.</w:t>
      </w:r>
      <w:r w:rsidR="00254D02">
        <w:rPr>
          <w:rStyle w:val="FootnoteReference"/>
        </w:rPr>
        <w:footnoteReference w:id="8"/>
      </w:r>
    </w:p>
    <w:p w14:paraId="3B36C366" w14:textId="77777777" w:rsidR="007A351F" w:rsidRDefault="004C3901" w:rsidP="006D542E">
      <w:r>
        <w:t>More recently, t</w:t>
      </w:r>
      <w:r w:rsidR="006D542E">
        <w:t xml:space="preserve">he Australian experience (noted above) of a </w:t>
      </w:r>
      <w:r w:rsidR="0043398C">
        <w:t xml:space="preserve">partial </w:t>
      </w:r>
      <w:r w:rsidR="006D542E">
        <w:t>shift from integrated LNG projects to more distinct upstream and downstream activities</w:t>
      </w:r>
      <w:r>
        <w:t xml:space="preserve">, is reflected globally – which is </w:t>
      </w:r>
      <w:r w:rsidR="006D542E">
        <w:t xml:space="preserve">starting to make LNG markets look more like oil markets. </w:t>
      </w:r>
    </w:p>
    <w:p w14:paraId="3EF306C8" w14:textId="77777777" w:rsidR="006D542E" w:rsidRDefault="006D542E" w:rsidP="006D542E">
      <w:r>
        <w:t>At the same time there is increasing investment in value chain</w:t>
      </w:r>
      <w:r w:rsidRPr="00735DEB">
        <w:t xml:space="preserve"> </w:t>
      </w:r>
      <w:r>
        <w:t xml:space="preserve">integration – companies are seeking downstream integration to enable shorter lead-times, lower costs and flexible arrangements. </w:t>
      </w:r>
    </w:p>
    <w:p w14:paraId="0C58019F" w14:textId="7CD07FD5" w:rsidR="002B1EBA" w:rsidRDefault="006D542E" w:rsidP="006D542E">
      <w:r>
        <w:t xml:space="preserve">For example, investments in storage can help LNG sellers cater to seasonal demand and benefit from regional arbitrage opportunities. LNG import terminals provide economic access to new or growing </w:t>
      </w:r>
      <w:r w:rsidR="0043398C">
        <w:t>gas</w:t>
      </w:r>
      <w:r>
        <w:t xml:space="preserve"> markets that may be constrained by a lack of infrastructure. </w:t>
      </w:r>
    </w:p>
    <w:p w14:paraId="2742F7DF" w14:textId="65C50E81" w:rsidR="006D542E" w:rsidRDefault="00D507F8" w:rsidP="006D542E">
      <w:r>
        <w:t xml:space="preserve">This liquidity is also driving the growing role of intermediaries – portfolio deals and commodity traders are playing an important role in connecting new and diverse sources of supply and demand. </w:t>
      </w:r>
      <w:r w:rsidR="002B1EBA" w:rsidRPr="00755DF5">
        <w:t>These ‘portfolio players’ produce LNG and/or purchase it from different regions</w:t>
      </w:r>
      <w:r w:rsidR="004C3901">
        <w:t xml:space="preserve"> – supplying </w:t>
      </w:r>
      <w:r w:rsidR="002B1EBA" w:rsidRPr="00755DF5">
        <w:t>buyers from their global portfolio, rather than from a specific LNG project.</w:t>
      </w:r>
      <w:r w:rsidR="002B1EBA">
        <w:t xml:space="preserve"> </w:t>
      </w:r>
      <w:r>
        <w:t xml:space="preserve">These </w:t>
      </w:r>
      <w:r w:rsidR="004C3901">
        <w:t xml:space="preserve">players or </w:t>
      </w:r>
      <w:r>
        <w:t xml:space="preserve">intermediaries are acting as long-term buyers, </w:t>
      </w:r>
      <w:r w:rsidR="00EF5E5A">
        <w:t xml:space="preserve">project </w:t>
      </w:r>
      <w:r>
        <w:t>financiers and project partners</w:t>
      </w:r>
      <w:r w:rsidR="004C3901">
        <w:t>.</w:t>
      </w:r>
    </w:p>
    <w:p w14:paraId="4F2BE7F3" w14:textId="77777777" w:rsidR="009F0F40" w:rsidRPr="009F0F40" w:rsidRDefault="009F0F40" w:rsidP="000A6432">
      <w:pPr>
        <w:rPr>
          <w:b/>
        </w:rPr>
      </w:pPr>
      <w:r w:rsidRPr="009F0F40">
        <w:rPr>
          <w:b/>
        </w:rPr>
        <w:t xml:space="preserve">Global LNG </w:t>
      </w:r>
      <w:r w:rsidR="00D507F8">
        <w:rPr>
          <w:b/>
        </w:rPr>
        <w:t>prices</w:t>
      </w:r>
    </w:p>
    <w:p w14:paraId="626E291F" w14:textId="77777777" w:rsidR="00A6777A" w:rsidRDefault="00D507F8" w:rsidP="000A6432">
      <w:r>
        <w:t xml:space="preserve">LNG markets have seen a major expansion in global supply capacity over the past few years, particularly in the United States, Australia and Russia. Growth in global supply capacity has pushed LNG spot prices in Asia to near record low levels. </w:t>
      </w:r>
    </w:p>
    <w:p w14:paraId="372C6DEB" w14:textId="77777777" w:rsidR="004D3FE6" w:rsidRDefault="004D3FE6" w:rsidP="000A6432">
      <w:r>
        <w:rPr>
          <w:rFonts w:asciiTheme="minorHAnsi" w:hAnsiTheme="minorHAnsi" w:cstheme="minorHAnsi"/>
        </w:rPr>
        <w:t>R</w:t>
      </w:r>
      <w:r w:rsidRPr="00E41959">
        <w:rPr>
          <w:rFonts w:asciiTheme="minorHAnsi" w:hAnsiTheme="minorHAnsi" w:cstheme="minorHAnsi"/>
        </w:rPr>
        <w:t>ecent fall</w:t>
      </w:r>
      <w:r>
        <w:rPr>
          <w:rFonts w:asciiTheme="minorHAnsi" w:hAnsiTheme="minorHAnsi" w:cstheme="minorHAnsi"/>
        </w:rPr>
        <w:t>s</w:t>
      </w:r>
      <w:r w:rsidRPr="00E41959">
        <w:rPr>
          <w:rFonts w:asciiTheme="minorHAnsi" w:hAnsiTheme="minorHAnsi" w:cstheme="minorHAnsi"/>
        </w:rPr>
        <w:t xml:space="preserve"> in LNG spot prices </w:t>
      </w:r>
      <w:r>
        <w:rPr>
          <w:rFonts w:asciiTheme="minorHAnsi" w:hAnsiTheme="minorHAnsi" w:cstheme="minorHAnsi"/>
        </w:rPr>
        <w:t xml:space="preserve">has resulted in divergence </w:t>
      </w:r>
      <w:r w:rsidRPr="00E41959">
        <w:rPr>
          <w:rFonts w:asciiTheme="minorHAnsi" w:hAnsiTheme="minorHAnsi" w:cstheme="minorHAnsi"/>
        </w:rPr>
        <w:t>from long-term oil-linked contract prices. A key question is what the implications of this decoupling might be, especially if decoupling endures for a sustained period. Previous periods of low spot prices have encouraged buyers to push for shorter, mor</w:t>
      </w:r>
      <w:r w:rsidRPr="00E41959">
        <w:t xml:space="preserve">e flexible </w:t>
      </w:r>
      <w:r w:rsidR="00116393">
        <w:t xml:space="preserve">contracts and gas-based pricing – rather than </w:t>
      </w:r>
      <w:r w:rsidRPr="00E41959">
        <w:t>traditional oil-linked pricing arrangem</w:t>
      </w:r>
      <w:r w:rsidRPr="003A180C">
        <w:t>ents</w:t>
      </w:r>
      <w:r>
        <w:t>.</w:t>
      </w:r>
      <w:r w:rsidR="003261A7">
        <w:rPr>
          <w:rStyle w:val="FootnoteReference"/>
        </w:rPr>
        <w:footnoteReference w:id="9"/>
      </w:r>
      <w:r w:rsidR="003261A7">
        <w:rPr>
          <w:rStyle w:val="CommentReference"/>
          <w:rFonts w:ascii="Times New Roman" w:eastAsia="Times New Roman" w:hAnsi="Times New Roman" w:cs="Times New Roman"/>
          <w:lang w:eastAsia="en-AU"/>
        </w:rPr>
        <w:t xml:space="preserve"> </w:t>
      </w:r>
    </w:p>
    <w:p w14:paraId="3E819A2D" w14:textId="77777777" w:rsidR="004306B3" w:rsidRDefault="004306B3" w:rsidP="000A6432">
      <w:r>
        <w:t>Short-term and spot trades will continue to be</w:t>
      </w:r>
      <w:r w:rsidR="00254D02">
        <w:t xml:space="preserve"> a major part of the LNG market</w:t>
      </w:r>
      <w:r>
        <w:t>. This growth is driven by: increasing volumes, especially from the US and Qatar</w:t>
      </w:r>
      <w:r w:rsidR="0011658A">
        <w:t>, which are linked to other gas markets for example the Henry Hub price</w:t>
      </w:r>
      <w:r>
        <w:t xml:space="preserve">; increasing uncommitted shipping capacity; a large amount of </w:t>
      </w:r>
      <w:r w:rsidR="0031697F">
        <w:t>unused</w:t>
      </w:r>
      <w:r>
        <w:t xml:space="preserve"> regasification capacity</w:t>
      </w:r>
      <w:r w:rsidR="009B64EC">
        <w:t>, particularly in Europe</w:t>
      </w:r>
      <w:r>
        <w:t xml:space="preserve"> </w:t>
      </w:r>
      <w:r w:rsidR="0031697F">
        <w:t xml:space="preserve">(worldwide average utilisation rate in terminals is 30-40 per cent); and increasing demand for spot volumes, particularly from the Asia Pacific. </w:t>
      </w:r>
    </w:p>
    <w:p w14:paraId="0D0486F8" w14:textId="77777777" w:rsidR="008327FE" w:rsidRPr="007C74DF" w:rsidRDefault="007C74DF" w:rsidP="000A6432">
      <w:pPr>
        <w:pStyle w:val="Heading3"/>
      </w:pPr>
      <w:bookmarkStart w:id="100" w:name="_Toc19034561"/>
      <w:r w:rsidRPr="007C74DF">
        <w:t xml:space="preserve">Australia’s global </w:t>
      </w:r>
      <w:r w:rsidR="00620257">
        <w:t>supply role</w:t>
      </w:r>
      <w:bookmarkEnd w:id="100"/>
    </w:p>
    <w:p w14:paraId="01BA8AAD" w14:textId="77777777" w:rsidR="00570AF6" w:rsidRDefault="00570AF6" w:rsidP="00570AF6">
      <w:r>
        <w:t>Australia’s offshore oil and gas industry includes oil and gas supermajors, mid-tier</w:t>
      </w:r>
      <w:r w:rsidR="009B64EC">
        <w:t xml:space="preserve">, junior players, </w:t>
      </w:r>
      <w:r>
        <w:t xml:space="preserve">niche service providers and substantial foreign investment. </w:t>
      </w:r>
      <w:r w:rsidR="00177860">
        <w:t>Since a final investment decision was made on the Plu</w:t>
      </w:r>
      <w:r w:rsidR="007A351F">
        <w:t>to project in 2007 almost $200 b</w:t>
      </w:r>
      <w:r w:rsidR="00177860">
        <w:t xml:space="preserve">illion has been invested in Australia’s offshore </w:t>
      </w:r>
      <w:r w:rsidR="0011658A">
        <w:t xml:space="preserve">gas </w:t>
      </w:r>
      <w:r w:rsidR="00177860">
        <w:t xml:space="preserve">infrastructure and associated </w:t>
      </w:r>
      <w:r w:rsidR="0011658A">
        <w:t xml:space="preserve">LNG </w:t>
      </w:r>
      <w:r w:rsidR="00177860">
        <w:t>processing</w:t>
      </w:r>
      <w:r>
        <w:t>.</w:t>
      </w:r>
      <w:r w:rsidR="00177860">
        <w:t xml:space="preserve"> Along with a further investment of over $60 billion in CSG based projects in Queensland, this has taken Australia to a position of being on par with Qatar as the world’s largest LNG exporter. </w:t>
      </w:r>
      <w:r>
        <w:t xml:space="preserve">This reflects Australia’s reputation as reliable supplier with low sovereign risk and a stable regulatory policy. </w:t>
      </w:r>
    </w:p>
    <w:p w14:paraId="6C66B343" w14:textId="77777777" w:rsidR="007A351F" w:rsidRPr="007A351F" w:rsidRDefault="007A351F" w:rsidP="00570AF6">
      <w:pPr>
        <w:rPr>
          <w:b/>
        </w:rPr>
      </w:pPr>
      <w:r w:rsidRPr="007A351F">
        <w:rPr>
          <w:b/>
        </w:rPr>
        <w:t>Japan</w:t>
      </w:r>
    </w:p>
    <w:p w14:paraId="3AF7F5D2" w14:textId="77777777" w:rsidR="00570AF6" w:rsidRPr="00641EDE" w:rsidRDefault="00570AF6" w:rsidP="00570AF6">
      <w:r w:rsidRPr="00641EDE">
        <w:t>Japan remains Australia’s largest LNG destination</w:t>
      </w:r>
      <w:r w:rsidR="007C0E5C">
        <w:t xml:space="preserve"> and is the world’s largest importer of </w:t>
      </w:r>
      <w:r w:rsidR="007C0E5C" w:rsidRPr="007B2FC4">
        <w:t>LNG.</w:t>
      </w:r>
      <w:r w:rsidRPr="007B2FC4">
        <w:t xml:space="preserve"> Japan takes 44 per cent of Australia’s LNG exports</w:t>
      </w:r>
      <w:r w:rsidR="007A351F">
        <w:t>.</w:t>
      </w:r>
      <w:r w:rsidR="00320817" w:rsidRPr="00641EDE" w:rsidDel="00320817">
        <w:t xml:space="preserve"> </w:t>
      </w:r>
    </w:p>
    <w:p w14:paraId="559E5A05" w14:textId="77777777" w:rsidR="007A351F" w:rsidRPr="007A351F" w:rsidRDefault="007A351F" w:rsidP="00570AF6">
      <w:pPr>
        <w:rPr>
          <w:b/>
        </w:rPr>
      </w:pPr>
      <w:r w:rsidRPr="007A351F">
        <w:rPr>
          <w:b/>
        </w:rPr>
        <w:t>China</w:t>
      </w:r>
    </w:p>
    <w:p w14:paraId="36F05EC3" w14:textId="02B04279" w:rsidR="00570AF6" w:rsidRDefault="00570AF6" w:rsidP="00570AF6">
      <w:r w:rsidRPr="000A06CB">
        <w:t xml:space="preserve">Australia is the largest supplier of LNG to China, taking about a third of Australia’s LNG exports. </w:t>
      </w:r>
      <w:r w:rsidRPr="00D92E67">
        <w:t>China was the second largest LNG buyer in the world in 2018</w:t>
      </w:r>
      <w:r>
        <w:t xml:space="preserve"> and</w:t>
      </w:r>
      <w:r w:rsidRPr="00D92E67">
        <w:t xml:space="preserve"> </w:t>
      </w:r>
      <w:r>
        <w:t xml:space="preserve">will be the main driver of global gas demand accounting </w:t>
      </w:r>
      <w:r w:rsidRPr="000A06CB">
        <w:t>for about 40% of total gas demand increase to 2024</w:t>
      </w:r>
      <w:r w:rsidR="000132C9">
        <w:t>.</w:t>
      </w:r>
      <w:r w:rsidRPr="000A06CB">
        <w:t xml:space="preserve"> </w:t>
      </w:r>
      <w:r w:rsidR="0011658A" w:rsidRPr="000A06CB">
        <w:t>Australia</w:t>
      </w:r>
      <w:r w:rsidR="0011658A">
        <w:t>n LNG</w:t>
      </w:r>
      <w:r w:rsidRPr="000A06CB">
        <w:t xml:space="preserve"> </w:t>
      </w:r>
      <w:r>
        <w:t xml:space="preserve">has </w:t>
      </w:r>
      <w:r w:rsidR="0011658A">
        <w:t>been part of</w:t>
      </w:r>
      <w:r w:rsidR="0011658A" w:rsidRPr="000A06CB">
        <w:t xml:space="preserve"> </w:t>
      </w:r>
      <w:r w:rsidRPr="000A06CB">
        <w:t>China’s coal-to gas switch</w:t>
      </w:r>
      <w:r>
        <w:t>ing</w:t>
      </w:r>
      <w:r w:rsidRPr="000A06CB">
        <w:t xml:space="preserve"> policy</w:t>
      </w:r>
      <w:r>
        <w:t>. This policy has significantly contributed to</w:t>
      </w:r>
      <w:r w:rsidR="0011658A">
        <w:t xml:space="preserve"> LNG</w:t>
      </w:r>
      <w:r>
        <w:t xml:space="preserve"> demand </w:t>
      </w:r>
      <w:r w:rsidR="0011658A">
        <w:t xml:space="preserve">increases </w:t>
      </w:r>
      <w:r>
        <w:t xml:space="preserve">and </w:t>
      </w:r>
      <w:r w:rsidR="002E3744">
        <w:t xml:space="preserve">potentially </w:t>
      </w:r>
      <w:r w:rsidRPr="000A06CB">
        <w:t>averted</w:t>
      </w:r>
      <w:r w:rsidR="002E3744">
        <w:t xml:space="preserve"> </w:t>
      </w:r>
      <w:r w:rsidR="000132C9">
        <w:t>40 million tonnes</w:t>
      </w:r>
      <w:r w:rsidR="002E3744">
        <w:t xml:space="preserve"> </w:t>
      </w:r>
      <w:r w:rsidRPr="000A06CB">
        <w:t>of CO</w:t>
      </w:r>
      <w:r w:rsidRPr="000A06CB">
        <w:rPr>
          <w:vertAlign w:val="subscript"/>
        </w:rPr>
        <w:t>2</w:t>
      </w:r>
      <w:r w:rsidRPr="000A06CB">
        <w:t xml:space="preserve"> emissions</w:t>
      </w:r>
      <w:r w:rsidR="0086587D">
        <w:rPr>
          <w:rStyle w:val="FootnoteReference"/>
        </w:rPr>
        <w:footnoteReference w:id="10"/>
      </w:r>
      <w:r>
        <w:t>.</w:t>
      </w:r>
    </w:p>
    <w:p w14:paraId="3E703CBA" w14:textId="77777777" w:rsidR="007A351F" w:rsidRPr="007A351F" w:rsidRDefault="007A351F" w:rsidP="00570AF6">
      <w:pPr>
        <w:rPr>
          <w:b/>
        </w:rPr>
      </w:pPr>
      <w:r w:rsidRPr="007A351F">
        <w:rPr>
          <w:b/>
        </w:rPr>
        <w:t>South Korea</w:t>
      </w:r>
    </w:p>
    <w:p w14:paraId="72D675E5" w14:textId="44B36ADE" w:rsidR="00E266D8" w:rsidRDefault="00570AF6" w:rsidP="00570AF6">
      <w:r w:rsidRPr="00E266D8">
        <w:t>South Korea was the world’s third largest buyer of LNG in 2018</w:t>
      </w:r>
      <w:r w:rsidR="00E266D8">
        <w:t xml:space="preserve">. </w:t>
      </w:r>
      <w:r w:rsidR="00E266D8" w:rsidRPr="007E0513">
        <w:t>Aus</w:t>
      </w:r>
      <w:r w:rsidR="007E0513" w:rsidRPr="007E0513">
        <w:t>tralia supplie</w:t>
      </w:r>
      <w:r w:rsidR="0011658A">
        <w:t>d</w:t>
      </w:r>
      <w:r w:rsidR="007E0513" w:rsidRPr="007E0513">
        <w:t xml:space="preserve"> 17</w:t>
      </w:r>
      <w:r w:rsidR="00E266D8" w:rsidRPr="007E0513">
        <w:t xml:space="preserve"> per </w:t>
      </w:r>
      <w:r w:rsidR="007E0513" w:rsidRPr="007E0513">
        <w:t xml:space="preserve">cent of South Korea’s LNG and 12 </w:t>
      </w:r>
      <w:r w:rsidR="00E266D8" w:rsidRPr="007E0513">
        <w:t xml:space="preserve">per cent of Australia’s LNG exports </w:t>
      </w:r>
      <w:r w:rsidR="00003352">
        <w:t>went</w:t>
      </w:r>
      <w:r w:rsidR="00003352" w:rsidRPr="007E0513">
        <w:t xml:space="preserve"> </w:t>
      </w:r>
      <w:r w:rsidR="00E266D8" w:rsidRPr="007E0513">
        <w:t>to South Korea</w:t>
      </w:r>
      <w:r w:rsidR="00E266D8">
        <w:t xml:space="preserve">. </w:t>
      </w:r>
      <w:r w:rsidRPr="00E266D8">
        <w:t>South Korea’s long-term plan is to shift its energy mix towards renewables and gas, and away from nuclear and coal</w:t>
      </w:r>
      <w:r w:rsidR="00E266D8">
        <w:t>.</w:t>
      </w:r>
      <w:r w:rsidRPr="00E266D8">
        <w:t xml:space="preserve"> </w:t>
      </w:r>
      <w:r w:rsidR="00E266D8">
        <w:t xml:space="preserve">This is reflected in the recent lowering of the LNG import tax </w:t>
      </w:r>
      <w:r w:rsidR="00E266D8" w:rsidRPr="00E266D8">
        <w:t>by 75 per cent, while the tax on coal was raised by 28 per cent</w:t>
      </w:r>
      <w:r w:rsidR="00E266D8">
        <w:t xml:space="preserve">. </w:t>
      </w:r>
    </w:p>
    <w:p w14:paraId="2875D997" w14:textId="77777777" w:rsidR="00383B72" w:rsidRDefault="00383B72" w:rsidP="00570AF6"/>
    <w:p w14:paraId="4C293206" w14:textId="77777777" w:rsidR="00294EC1" w:rsidRPr="00294EC1" w:rsidRDefault="00294EC1" w:rsidP="00F26C61">
      <w:pPr>
        <w:spacing w:after="160" w:line="259" w:lineRule="auto"/>
        <w:rPr>
          <w:b/>
        </w:rPr>
      </w:pPr>
      <w:r w:rsidRPr="00294EC1">
        <w:rPr>
          <w:rFonts w:asciiTheme="minorHAnsi" w:hAnsiTheme="minorHAnsi" w:cstheme="minorHAnsi"/>
          <w:b/>
        </w:rPr>
        <w:t xml:space="preserve">Figure 2 – </w:t>
      </w:r>
      <w:r w:rsidRPr="00294EC1">
        <w:rPr>
          <w:b/>
        </w:rPr>
        <w:t>Australia’s LNG supply capacity</w:t>
      </w:r>
    </w:p>
    <w:p w14:paraId="6370E48C" w14:textId="77777777" w:rsidR="00294EC1" w:rsidRDefault="00294EC1" w:rsidP="00116393">
      <w:pPr>
        <w:rPr>
          <w:rFonts w:asciiTheme="minorHAnsi" w:hAnsiTheme="minorHAnsi" w:cstheme="minorHAnsi"/>
        </w:rPr>
      </w:pPr>
      <w:r>
        <w:rPr>
          <w:noProof/>
          <w:lang w:eastAsia="en-AU"/>
        </w:rPr>
        <w:drawing>
          <wp:inline distT="0" distB="0" distL="0" distR="0" wp14:anchorId="3E8B1FEB" wp14:editId="7A54612B">
            <wp:extent cx="4318000" cy="2336800"/>
            <wp:effectExtent l="0" t="0" r="6350" b="6350"/>
            <wp:docPr id="1" name="Chart 1">
              <a:extLst xmlns:a="http://schemas.openxmlformats.org/drawingml/2006/main">
                <a:ext uri="{FF2B5EF4-FFF2-40B4-BE49-F238E27FC236}">
                  <a16:creationId xmlns:a16="http://schemas.microsoft.com/office/drawing/2014/main" id="{00000000-0008-0000-3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FCBCED" w14:textId="77777777" w:rsidR="007C2D76" w:rsidRDefault="007C2D76" w:rsidP="007C2D76">
      <w:pPr>
        <w:pStyle w:val="Heading3"/>
      </w:pPr>
      <w:bookmarkStart w:id="101" w:name="_Toc19034562"/>
      <w:r>
        <w:t>Growing demand – and competition</w:t>
      </w:r>
      <w:bookmarkEnd w:id="101"/>
    </w:p>
    <w:p w14:paraId="06E8C9C9" w14:textId="0723E1B8" w:rsidR="007C2D76" w:rsidRDefault="007A74F8" w:rsidP="007A74F8">
      <w:r w:rsidRPr="007A74F8">
        <w:t xml:space="preserve">Incentivising multi-national oil and gas companies to choose Australia as the preferred investment destination, is an issue of aligning Australia’s development </w:t>
      </w:r>
      <w:r w:rsidR="00421657">
        <w:t>opportunities</w:t>
      </w:r>
      <w:r w:rsidR="00421657" w:rsidRPr="007A74F8">
        <w:t xml:space="preserve"> </w:t>
      </w:r>
      <w:r w:rsidRPr="007A74F8">
        <w:t>and global investment port</w:t>
      </w:r>
      <w:r w:rsidR="002A4EA6">
        <w:t>folio priorities.</w:t>
      </w:r>
      <w:r w:rsidRPr="007A74F8">
        <w:t xml:space="preserve"> </w:t>
      </w:r>
    </w:p>
    <w:p w14:paraId="2B91D6E6" w14:textId="69742DE0" w:rsidR="007A74F8" w:rsidRPr="00E41959" w:rsidRDefault="007A74F8" w:rsidP="007A74F8">
      <w:pPr>
        <w:rPr>
          <w:rFonts w:asciiTheme="minorHAnsi" w:hAnsiTheme="minorHAnsi" w:cstheme="minorHAnsi"/>
        </w:rPr>
      </w:pPr>
      <w:r w:rsidRPr="007A74F8">
        <w:t xml:space="preserve">Global demand for LNG is </w:t>
      </w:r>
      <w:r w:rsidR="007A563C">
        <w:t xml:space="preserve">growing. Growth is being led </w:t>
      </w:r>
      <w:r w:rsidRPr="007A74F8">
        <w:t>by China as it switches to gas for energy generation</w:t>
      </w:r>
      <w:r w:rsidR="007A563C">
        <w:t>,</w:t>
      </w:r>
      <w:r w:rsidRPr="007A74F8">
        <w:t xml:space="preserve"> </w:t>
      </w:r>
      <w:r w:rsidR="007A563C">
        <w:t>and other countries in emerging Asia</w:t>
      </w:r>
      <w:r w:rsidRPr="007A74F8">
        <w:t xml:space="preserve">. Gas demand in the coming five years is set to be driven by </w:t>
      </w:r>
      <w:r w:rsidR="009B64EC">
        <w:t xml:space="preserve">the </w:t>
      </w:r>
      <w:r w:rsidRPr="007A74F8">
        <w:t xml:space="preserve">Asia Pacific, forecast to </w:t>
      </w:r>
      <w:r w:rsidRPr="00E41959">
        <w:t>account for almost 60% of the total consumption increase to 2024 (IEA).</w:t>
      </w:r>
      <w:r w:rsidR="007C2D76" w:rsidRPr="00E41959">
        <w:t xml:space="preserve"> Australia is in a </w:t>
      </w:r>
      <w:r w:rsidR="007C2D76" w:rsidRPr="00E41959">
        <w:rPr>
          <w:rFonts w:asciiTheme="minorHAnsi" w:hAnsiTheme="minorHAnsi" w:cstheme="minorHAnsi"/>
        </w:rPr>
        <w:t xml:space="preserve">prime position to supply the increasing gas demand from the Indo-Asia </w:t>
      </w:r>
      <w:r w:rsidR="00421657">
        <w:rPr>
          <w:rFonts w:asciiTheme="minorHAnsi" w:hAnsiTheme="minorHAnsi" w:cstheme="minorHAnsi"/>
        </w:rPr>
        <w:t>P</w:t>
      </w:r>
      <w:r w:rsidR="007C2D76" w:rsidRPr="00E41959">
        <w:rPr>
          <w:rFonts w:asciiTheme="minorHAnsi" w:hAnsiTheme="minorHAnsi" w:cstheme="minorHAnsi"/>
        </w:rPr>
        <w:t>acific region.</w:t>
      </w:r>
      <w:r w:rsidR="001A5639">
        <w:rPr>
          <w:rFonts w:asciiTheme="minorHAnsi" w:hAnsiTheme="minorHAnsi" w:cstheme="minorHAnsi"/>
        </w:rPr>
        <w:t xml:space="preserve"> </w:t>
      </w:r>
      <w:r w:rsidR="00620257">
        <w:rPr>
          <w:rFonts w:asciiTheme="minorHAnsi" w:hAnsiTheme="minorHAnsi" w:cstheme="minorHAnsi"/>
        </w:rPr>
        <w:t xml:space="preserve">India’s </w:t>
      </w:r>
      <w:r w:rsidR="00421657">
        <w:rPr>
          <w:rFonts w:asciiTheme="minorHAnsi" w:hAnsiTheme="minorHAnsi" w:cstheme="minorHAnsi"/>
        </w:rPr>
        <w:t xml:space="preserve">gas </w:t>
      </w:r>
      <w:r w:rsidR="00620257">
        <w:rPr>
          <w:rFonts w:asciiTheme="minorHAnsi" w:hAnsiTheme="minorHAnsi" w:cstheme="minorHAnsi"/>
        </w:rPr>
        <w:t xml:space="preserve">demand has doubled since 2010. </w:t>
      </w:r>
      <w:r w:rsidR="001A5639">
        <w:rPr>
          <w:rFonts w:asciiTheme="minorHAnsi" w:hAnsiTheme="minorHAnsi" w:cstheme="minorHAnsi"/>
        </w:rPr>
        <w:t xml:space="preserve">Global IMO rulings on reducing the sulphur content of </w:t>
      </w:r>
      <w:r w:rsidR="00421657">
        <w:rPr>
          <w:rFonts w:asciiTheme="minorHAnsi" w:hAnsiTheme="minorHAnsi" w:cstheme="minorHAnsi"/>
        </w:rPr>
        <w:t xml:space="preserve">bunker </w:t>
      </w:r>
      <w:r w:rsidR="001A5639">
        <w:rPr>
          <w:rFonts w:asciiTheme="minorHAnsi" w:hAnsiTheme="minorHAnsi" w:cstheme="minorHAnsi"/>
        </w:rPr>
        <w:t xml:space="preserve">fuel is driving a shift </w:t>
      </w:r>
      <w:r w:rsidR="00620257">
        <w:rPr>
          <w:rFonts w:asciiTheme="minorHAnsi" w:hAnsiTheme="minorHAnsi" w:cstheme="minorHAnsi"/>
        </w:rPr>
        <w:t>to LNG</w:t>
      </w:r>
      <w:r w:rsidR="00301776">
        <w:rPr>
          <w:rFonts w:asciiTheme="minorHAnsi" w:hAnsiTheme="minorHAnsi" w:cstheme="minorHAnsi"/>
        </w:rPr>
        <w:t>.</w:t>
      </w:r>
      <w:r w:rsidR="00620257">
        <w:rPr>
          <w:rFonts w:asciiTheme="minorHAnsi" w:hAnsiTheme="minorHAnsi" w:cstheme="minorHAnsi"/>
        </w:rPr>
        <w:t xml:space="preserve"> If the world’s shipping fleet ran on LNG an additional 200+ Mtpa of LNG demand is estimated – compared to </w:t>
      </w:r>
      <w:r w:rsidR="00421657">
        <w:rPr>
          <w:rFonts w:asciiTheme="minorHAnsi" w:hAnsiTheme="minorHAnsi" w:cstheme="minorHAnsi"/>
        </w:rPr>
        <w:t xml:space="preserve">313 </w:t>
      </w:r>
      <w:r w:rsidR="00620257">
        <w:rPr>
          <w:rFonts w:asciiTheme="minorHAnsi" w:hAnsiTheme="minorHAnsi" w:cstheme="minorHAnsi"/>
        </w:rPr>
        <w:t>Mtpa total global demand today.</w:t>
      </w:r>
    </w:p>
    <w:p w14:paraId="14EDF5D9" w14:textId="77777777" w:rsidR="007C2D76" w:rsidRPr="00E41959" w:rsidRDefault="001945D3" w:rsidP="007C2D76">
      <w:pPr>
        <w:rPr>
          <w:rFonts w:asciiTheme="minorHAnsi" w:hAnsiTheme="minorHAnsi" w:cstheme="minorHAnsi"/>
        </w:rPr>
      </w:pPr>
      <w:r w:rsidRPr="00E41959">
        <w:rPr>
          <w:rFonts w:asciiTheme="minorHAnsi" w:hAnsiTheme="minorHAnsi" w:cstheme="minorHAnsi"/>
        </w:rPr>
        <w:t xml:space="preserve">Global competition – for markets and capital are key </w:t>
      </w:r>
      <w:r w:rsidR="007C2D76" w:rsidRPr="00E41959">
        <w:rPr>
          <w:rFonts w:asciiTheme="minorHAnsi" w:hAnsiTheme="minorHAnsi" w:cstheme="minorHAnsi"/>
        </w:rPr>
        <w:t>challenges for</w:t>
      </w:r>
      <w:r w:rsidRPr="00E41959">
        <w:rPr>
          <w:rFonts w:asciiTheme="minorHAnsi" w:hAnsiTheme="minorHAnsi" w:cstheme="minorHAnsi"/>
        </w:rPr>
        <w:t xml:space="preserve"> the Australian offshore oil and gas industry. </w:t>
      </w:r>
      <w:r w:rsidR="007C2D76" w:rsidRPr="00E41959">
        <w:rPr>
          <w:rFonts w:asciiTheme="minorHAnsi" w:hAnsiTheme="minorHAnsi" w:cstheme="minorHAnsi"/>
        </w:rPr>
        <w:t>Australia is facing strong competition from low</w:t>
      </w:r>
      <w:r w:rsidR="00E4087F">
        <w:rPr>
          <w:rFonts w:asciiTheme="minorHAnsi" w:hAnsiTheme="minorHAnsi" w:cstheme="minorHAnsi"/>
        </w:rPr>
        <w:t>er</w:t>
      </w:r>
      <w:r w:rsidR="007C2D76" w:rsidRPr="00E41959">
        <w:rPr>
          <w:rFonts w:asciiTheme="minorHAnsi" w:hAnsiTheme="minorHAnsi" w:cstheme="minorHAnsi"/>
        </w:rPr>
        <w:t xml:space="preserve">-cost gas producers such as Qatar and the United States (US) and new players like Mozambique. US LNG production is projected to reach </w:t>
      </w:r>
      <w:r w:rsidR="007C2D76" w:rsidRPr="00627CD4">
        <w:rPr>
          <w:rFonts w:asciiTheme="minorHAnsi" w:hAnsiTheme="minorHAnsi" w:cstheme="minorHAnsi"/>
        </w:rPr>
        <w:t>86 mt in 2025 and 115 mt in 2040</w:t>
      </w:r>
      <w:r w:rsidR="007C2D76" w:rsidRPr="00E41959">
        <w:rPr>
          <w:rFonts w:asciiTheme="minorHAnsi" w:hAnsiTheme="minorHAnsi" w:cstheme="minorHAnsi"/>
        </w:rPr>
        <w:t xml:space="preserve"> with </w:t>
      </w:r>
      <w:r w:rsidR="00421657">
        <w:rPr>
          <w:rFonts w:asciiTheme="minorHAnsi" w:hAnsiTheme="minorHAnsi" w:cstheme="minorHAnsi"/>
        </w:rPr>
        <w:t>the US</w:t>
      </w:r>
      <w:r w:rsidR="007C2D76" w:rsidRPr="00E41959">
        <w:rPr>
          <w:rFonts w:asciiTheme="minorHAnsi" w:hAnsiTheme="minorHAnsi" w:cstheme="minorHAnsi"/>
        </w:rPr>
        <w:t xml:space="preserve"> accounting for the majority of new liquefaction proposals. </w:t>
      </w:r>
    </w:p>
    <w:p w14:paraId="07FD3378" w14:textId="77777777" w:rsidR="009B5469" w:rsidRDefault="009B64EC" w:rsidP="0068612A">
      <w:r>
        <w:t xml:space="preserve">Australia </w:t>
      </w:r>
      <w:r w:rsidR="009B5469">
        <w:t>faces growing competition at a time when a number of our</w:t>
      </w:r>
      <w:r w:rsidR="00724024">
        <w:t xml:space="preserve"> long term contracts are reaching their expiry</w:t>
      </w:r>
      <w:r>
        <w:t xml:space="preserve"> in the next few years particularly for </w:t>
      </w:r>
      <w:r w:rsidR="009B5469">
        <w:t>the NWS and Darwin LNG projects</w:t>
      </w:r>
      <w:r w:rsidR="00C6636B">
        <w:t xml:space="preserve"> </w:t>
      </w:r>
      <w:r w:rsidR="00F26C61">
        <w:t>(</w:t>
      </w:r>
      <w:r w:rsidR="00F26C61" w:rsidRPr="00F26C61">
        <w:rPr>
          <w:i/>
        </w:rPr>
        <w:t>s</w:t>
      </w:r>
      <w:r w:rsidRPr="00F26C61">
        <w:rPr>
          <w:i/>
        </w:rPr>
        <w:t>ee</w:t>
      </w:r>
      <w:r>
        <w:t xml:space="preserve"> </w:t>
      </w:r>
      <w:r w:rsidR="00C6636B">
        <w:t>Attachment B</w:t>
      </w:r>
      <w:r>
        <w:t>)</w:t>
      </w:r>
      <w:r w:rsidR="00C6636B">
        <w:t xml:space="preserve">. </w:t>
      </w:r>
      <w:r w:rsidR="00724024">
        <w:t xml:space="preserve">These expiries roughly </w:t>
      </w:r>
      <w:r w:rsidR="00C6636B">
        <w:t xml:space="preserve">align </w:t>
      </w:r>
      <w:r w:rsidR="00724024">
        <w:t>with the expected field project life when the contracts were executed</w:t>
      </w:r>
      <w:r w:rsidR="00C6636B">
        <w:t xml:space="preserve"> and so the financing</w:t>
      </w:r>
      <w:r w:rsidR="009B5469">
        <w:t xml:space="preserve"> of backfill arrangements coincides with th</w:t>
      </w:r>
      <w:r w:rsidR="00C6636B">
        <w:t>e expiry of current contracts.</w:t>
      </w:r>
    </w:p>
    <w:p w14:paraId="17AC2776" w14:textId="77777777" w:rsidR="00C6636B" w:rsidRDefault="00C6636B" w:rsidP="0068612A">
      <w:r>
        <w:t>Many of Australia’s long term customers have been raising concerns about the perceived high prices of Australian gas. In order to continue to maintain a foothold in these markets Australian gas will need to be priced competitively.</w:t>
      </w:r>
    </w:p>
    <w:p w14:paraId="41C1A254" w14:textId="77777777" w:rsidR="00821520" w:rsidRPr="00E41B63" w:rsidRDefault="00821520" w:rsidP="00E41B63">
      <w:pPr>
        <w:pStyle w:val="Heading1"/>
      </w:pPr>
      <w:bookmarkStart w:id="102" w:name="_Toc19034563"/>
      <w:r w:rsidRPr="00E41B63">
        <w:t>Conclusion</w:t>
      </w:r>
      <w:bookmarkEnd w:id="102"/>
    </w:p>
    <w:p w14:paraId="3C7D426A" w14:textId="77777777" w:rsidR="00B17080" w:rsidRDefault="00821520" w:rsidP="00821520">
      <w:r>
        <w:t>This submission has</w:t>
      </w:r>
      <w:r w:rsidR="00B17080">
        <w:t xml:space="preserve"> provided an overview of Australia’s offshore oil and gas industry, the future potential investment and some of the key </w:t>
      </w:r>
      <w:r w:rsidR="009B64EC">
        <w:t>changes and challenges that</w:t>
      </w:r>
      <w:r w:rsidR="00B17080">
        <w:t xml:space="preserve"> face industry and governments</w:t>
      </w:r>
      <w:r w:rsidR="00330319">
        <w:t xml:space="preserve">. A key </w:t>
      </w:r>
      <w:r w:rsidR="009B64EC">
        <w:t>objective</w:t>
      </w:r>
      <w:r w:rsidR="00330319">
        <w:t xml:space="preserve"> for </w:t>
      </w:r>
      <w:r w:rsidR="00994BE5">
        <w:t>Australia’s offshore oil and gas industry</w:t>
      </w:r>
      <w:r w:rsidR="00330319">
        <w:t xml:space="preserve"> policy is to ensure Australia continues to </w:t>
      </w:r>
      <w:r w:rsidR="00B17080">
        <w:t>attract and retain investment.</w:t>
      </w:r>
    </w:p>
    <w:p w14:paraId="2C69A471" w14:textId="77777777" w:rsidR="000C7393" w:rsidRDefault="00B17080" w:rsidP="00821520">
      <w:r>
        <w:t>Booming exports, growing Asian demand, growing capacity</w:t>
      </w:r>
      <w:r w:rsidR="00994BE5">
        <w:t xml:space="preserve">, storage and regasification </w:t>
      </w:r>
      <w:r w:rsidR="00494F15">
        <w:t>terminals and</w:t>
      </w:r>
      <w:r w:rsidR="006C68C2">
        <w:t xml:space="preserve"> a </w:t>
      </w:r>
      <w:r w:rsidR="00494F15">
        <w:t xml:space="preserve">trend toward tolling </w:t>
      </w:r>
      <w:r>
        <w:t xml:space="preserve">are </w:t>
      </w:r>
      <w:r w:rsidR="006C68C2">
        <w:t xml:space="preserve">some of the </w:t>
      </w:r>
      <w:r w:rsidR="009B64EC">
        <w:t>dynamics that are</w:t>
      </w:r>
      <w:r>
        <w:t xml:space="preserve"> re-shaping how the industry invests, adapts and restructures in a global market</w:t>
      </w:r>
      <w:r w:rsidR="006C68C2">
        <w:t xml:space="preserve">. The growth in new </w:t>
      </w:r>
      <w:r w:rsidR="00494F15">
        <w:t xml:space="preserve">portfolio </w:t>
      </w:r>
      <w:r>
        <w:t xml:space="preserve">players, </w:t>
      </w:r>
      <w:r w:rsidR="00494F15">
        <w:t xml:space="preserve">supply </w:t>
      </w:r>
      <w:r>
        <w:t>competitors</w:t>
      </w:r>
      <w:r w:rsidR="00494F15">
        <w:t xml:space="preserve"> regional hubs</w:t>
      </w:r>
      <w:r>
        <w:t xml:space="preserve"> and informati</w:t>
      </w:r>
      <w:r w:rsidR="006C68C2">
        <w:t xml:space="preserve">on is deepening liquidity </w:t>
      </w:r>
      <w:r w:rsidR="000C7393">
        <w:t>and providing flexibility to link LNG supply and demand.</w:t>
      </w:r>
    </w:p>
    <w:p w14:paraId="6BD644E9" w14:textId="77777777" w:rsidR="000C7393" w:rsidRDefault="000C7393" w:rsidP="00821520">
      <w:r>
        <w:t xml:space="preserve">These global dynamics </w:t>
      </w:r>
      <w:r w:rsidR="00994BE5">
        <w:t xml:space="preserve">require Australia to ensure that our </w:t>
      </w:r>
      <w:r w:rsidR="00494F15">
        <w:t xml:space="preserve">industry can seize the opportunities, </w:t>
      </w:r>
      <w:r w:rsidR="005F0B80">
        <w:t xml:space="preserve">and </w:t>
      </w:r>
      <w:r w:rsidR="00494F15">
        <w:t>capture the value from evolving supply chains</w:t>
      </w:r>
      <w:r w:rsidR="005F0B80">
        <w:t xml:space="preserve">. It also requires policy settings that encourage collaboration to ensure legacy infrastructure is fully utilised and our offshore oil and gas fields are not stranded. </w:t>
      </w:r>
      <w:r w:rsidR="0058259E">
        <w:t xml:space="preserve">Australia’s unique geology and geography and current state of play requires a broad appreciation of the dynamics shaping the industry at the local and global level. </w:t>
      </w:r>
    </w:p>
    <w:p w14:paraId="161E91E3" w14:textId="77777777" w:rsidR="00402F55" w:rsidRDefault="00402F55">
      <w:pPr>
        <w:spacing w:after="160" w:line="259" w:lineRule="auto"/>
      </w:pPr>
      <w:r>
        <w:br w:type="page"/>
      </w:r>
    </w:p>
    <w:p w14:paraId="2DCF7307" w14:textId="77777777" w:rsidR="00402F55" w:rsidRPr="00B50327" w:rsidRDefault="00B50327" w:rsidP="00E41B63">
      <w:pPr>
        <w:pStyle w:val="Heading1"/>
      </w:pPr>
      <w:bookmarkStart w:id="103" w:name="_Toc19034564"/>
      <w:r w:rsidRPr="00B50327">
        <w:t>Attachment A</w:t>
      </w:r>
      <w:bookmarkEnd w:id="103"/>
    </w:p>
    <w:p w14:paraId="0A7CAAEA" w14:textId="77777777" w:rsidR="00402F55" w:rsidRDefault="00402F55" w:rsidP="00821520"/>
    <w:p w14:paraId="6BB57E8A" w14:textId="77777777" w:rsidR="00402F55" w:rsidRPr="00E41B63" w:rsidRDefault="00402F55" w:rsidP="00E41B63">
      <w:pPr>
        <w:pStyle w:val="Heading2"/>
      </w:pPr>
      <w:bookmarkStart w:id="104" w:name="_Toc19034565"/>
      <w:r w:rsidRPr="00E41B63">
        <w:t>Australia’s LNG development projects – as at 23 August 2019</w:t>
      </w:r>
      <w:bookmarkEnd w:id="104"/>
    </w:p>
    <w:tbl>
      <w:tblPr>
        <w:tblStyle w:val="PetroleumSystemsTable"/>
        <w:tblW w:w="8826" w:type="dxa"/>
        <w:tblLayout w:type="fixed"/>
        <w:tblLook w:val="01E0" w:firstRow="1" w:lastRow="1" w:firstColumn="1" w:lastColumn="1" w:noHBand="0" w:noVBand="0"/>
        <w:tblCaption w:val="Barcoo Sub-basin"/>
        <w:tblDescription w:val="Petroleum system elements table listing - Sources, Reservoirs, Seals and Traps"/>
      </w:tblPr>
      <w:tblGrid>
        <w:gridCol w:w="1208"/>
        <w:gridCol w:w="2903"/>
        <w:gridCol w:w="1134"/>
        <w:gridCol w:w="1327"/>
        <w:gridCol w:w="1083"/>
        <w:gridCol w:w="1171"/>
      </w:tblGrid>
      <w:tr w:rsidR="00067FAB" w:rsidRPr="003A3501" w14:paraId="39D6DFBB" w14:textId="77777777" w:rsidTr="00FA03F9">
        <w:tc>
          <w:tcPr>
            <w:cnfStyle w:val="001000000000" w:firstRow="0" w:lastRow="0" w:firstColumn="1" w:lastColumn="0" w:oddVBand="0" w:evenVBand="0" w:oddHBand="0" w:evenHBand="0" w:firstRowFirstColumn="0" w:firstRowLastColumn="0" w:lastRowFirstColumn="0" w:lastRowLastColumn="0"/>
            <w:tcW w:w="1208" w:type="dxa"/>
          </w:tcPr>
          <w:p w14:paraId="2CC4626E" w14:textId="77777777" w:rsidR="00067FAB" w:rsidRPr="003A3501" w:rsidRDefault="00067FAB" w:rsidP="009B5469">
            <w:pPr>
              <w:keepLines/>
              <w:suppressAutoHyphens/>
              <w:spacing w:line="260" w:lineRule="exact"/>
              <w:rPr>
                <w:rFonts w:cs="Arial"/>
                <w:b/>
                <w:color w:val="333333"/>
                <w:szCs w:val="22"/>
              </w:rPr>
            </w:pPr>
            <w:r>
              <w:rPr>
                <w:rFonts w:cs="Arial"/>
                <w:b/>
                <w:color w:val="333333"/>
                <w:szCs w:val="22"/>
              </w:rPr>
              <w:t>Project</w:t>
            </w:r>
          </w:p>
        </w:tc>
        <w:tc>
          <w:tcPr>
            <w:tcW w:w="2903" w:type="dxa"/>
          </w:tcPr>
          <w:p w14:paraId="0500D7D4" w14:textId="77777777" w:rsidR="00067FAB" w:rsidRPr="003A3501" w:rsidRDefault="00067FAB" w:rsidP="009B5469">
            <w:pPr>
              <w:keepLines/>
              <w:suppressAutoHyphens/>
              <w:spacing w:line="260" w:lineRule="exact"/>
              <w:cnfStyle w:val="000000000000" w:firstRow="0" w:lastRow="0" w:firstColumn="0" w:lastColumn="0" w:oddVBand="0" w:evenVBand="0" w:oddHBand="0" w:evenHBand="0" w:firstRowFirstColumn="0" w:firstRowLastColumn="0" w:lastRowFirstColumn="0" w:lastRowLastColumn="0"/>
              <w:rPr>
                <w:rFonts w:cs="Arial"/>
                <w:b/>
                <w:color w:val="333333"/>
                <w:szCs w:val="22"/>
              </w:rPr>
            </w:pPr>
            <w:r>
              <w:rPr>
                <w:rFonts w:cs="Arial"/>
                <w:b/>
                <w:color w:val="333333"/>
                <w:szCs w:val="22"/>
              </w:rPr>
              <w:t>Investors (Operator in Bold)</w:t>
            </w:r>
          </w:p>
        </w:tc>
        <w:tc>
          <w:tcPr>
            <w:tcW w:w="1134" w:type="dxa"/>
          </w:tcPr>
          <w:p w14:paraId="0C648688" w14:textId="77777777" w:rsidR="00067FAB" w:rsidRPr="003A3501" w:rsidRDefault="00067FAB" w:rsidP="009B5469">
            <w:pPr>
              <w:keepLines/>
              <w:suppressAutoHyphens/>
              <w:spacing w:line="260" w:lineRule="exact"/>
              <w:cnfStyle w:val="000000000000" w:firstRow="0" w:lastRow="0" w:firstColumn="0" w:lastColumn="0" w:oddVBand="0" w:evenVBand="0" w:oddHBand="0" w:evenHBand="0" w:firstRowFirstColumn="0" w:firstRowLastColumn="0" w:lastRowFirstColumn="0" w:lastRowLastColumn="0"/>
              <w:rPr>
                <w:rFonts w:cs="Arial"/>
                <w:b/>
                <w:color w:val="333333"/>
                <w:szCs w:val="22"/>
              </w:rPr>
            </w:pPr>
            <w:r w:rsidRPr="003A3501">
              <w:rPr>
                <w:rFonts w:cs="Arial"/>
                <w:b/>
                <w:color w:val="333333"/>
                <w:szCs w:val="22"/>
              </w:rPr>
              <w:t>Location</w:t>
            </w:r>
            <w:r w:rsidRPr="003A3501">
              <w:rPr>
                <w:rFonts w:cs="Arial"/>
                <w:b/>
                <w:color w:val="333333"/>
                <w:szCs w:val="22"/>
              </w:rPr>
              <w:br/>
              <w:t>Basin</w:t>
            </w:r>
            <w:r w:rsidRPr="003A3501">
              <w:rPr>
                <w:rFonts w:cs="Arial"/>
                <w:b/>
                <w:color w:val="333333"/>
                <w:szCs w:val="22"/>
              </w:rPr>
              <w:br/>
              <w:t>Plant</w:t>
            </w:r>
          </w:p>
        </w:tc>
        <w:tc>
          <w:tcPr>
            <w:tcW w:w="1327" w:type="dxa"/>
          </w:tcPr>
          <w:p w14:paraId="0789D0D3" w14:textId="77777777" w:rsidR="00067FAB" w:rsidRPr="003A3501" w:rsidRDefault="00067FAB" w:rsidP="009B5469">
            <w:pPr>
              <w:keepLines/>
              <w:suppressAutoHyphens/>
              <w:spacing w:line="260" w:lineRule="exact"/>
              <w:cnfStyle w:val="000000000000" w:firstRow="0" w:lastRow="0" w:firstColumn="0" w:lastColumn="0" w:oddVBand="0" w:evenVBand="0" w:oddHBand="0" w:evenHBand="0" w:firstRowFirstColumn="0" w:firstRowLastColumn="0" w:lastRowFirstColumn="0" w:lastRowLastColumn="0"/>
              <w:rPr>
                <w:rFonts w:cs="Arial"/>
                <w:b/>
                <w:color w:val="333333"/>
                <w:szCs w:val="22"/>
              </w:rPr>
            </w:pPr>
            <w:r w:rsidRPr="003A3501">
              <w:rPr>
                <w:rFonts w:cs="Arial"/>
                <w:b/>
                <w:color w:val="333333"/>
                <w:szCs w:val="22"/>
              </w:rPr>
              <w:t>Final Investment Decision (FID) and First Gas (FG)</w:t>
            </w:r>
          </w:p>
        </w:tc>
        <w:tc>
          <w:tcPr>
            <w:tcW w:w="1083" w:type="dxa"/>
          </w:tcPr>
          <w:p w14:paraId="4D1CD1B8" w14:textId="77777777" w:rsidR="00067FAB" w:rsidRPr="003A3501" w:rsidRDefault="00067FAB" w:rsidP="009B5469">
            <w:pPr>
              <w:keepLines/>
              <w:suppressAutoHyphens/>
              <w:spacing w:line="260" w:lineRule="exact"/>
              <w:cnfStyle w:val="000000000000" w:firstRow="0" w:lastRow="0" w:firstColumn="0" w:lastColumn="0" w:oddVBand="0" w:evenVBand="0" w:oddHBand="0" w:evenHBand="0" w:firstRowFirstColumn="0" w:firstRowLastColumn="0" w:lastRowFirstColumn="0" w:lastRowLastColumn="0"/>
              <w:rPr>
                <w:rFonts w:cs="Arial"/>
                <w:b/>
                <w:color w:val="333333"/>
                <w:szCs w:val="22"/>
              </w:rPr>
            </w:pPr>
            <w:r w:rsidRPr="003A3501">
              <w:rPr>
                <w:rFonts w:cs="Arial"/>
                <w:b/>
                <w:color w:val="333333"/>
                <w:szCs w:val="22"/>
              </w:rPr>
              <w:t>Size</w:t>
            </w:r>
          </w:p>
        </w:tc>
        <w:tc>
          <w:tcPr>
            <w:tcW w:w="1171" w:type="dxa"/>
            <w:tcBorders>
              <w:right w:val="single" w:sz="4" w:space="0" w:color="auto"/>
            </w:tcBorders>
          </w:tcPr>
          <w:p w14:paraId="65A659FB" w14:textId="3541FB4E" w:rsidR="00067FAB" w:rsidRPr="003A3501" w:rsidRDefault="00067FAB" w:rsidP="009B5469">
            <w:pPr>
              <w:keepLines/>
              <w:suppressAutoHyphens/>
              <w:spacing w:line="260" w:lineRule="exact"/>
              <w:cnfStyle w:val="000000000000" w:firstRow="0" w:lastRow="0" w:firstColumn="0" w:lastColumn="0" w:oddVBand="0" w:evenVBand="0" w:oddHBand="0" w:evenHBand="0" w:firstRowFirstColumn="0" w:firstRowLastColumn="0" w:lastRowFirstColumn="0" w:lastRowLastColumn="0"/>
              <w:rPr>
                <w:rFonts w:cs="Arial"/>
                <w:b/>
                <w:color w:val="333333"/>
                <w:szCs w:val="22"/>
              </w:rPr>
            </w:pPr>
            <w:r w:rsidRPr="003A3501">
              <w:rPr>
                <w:rFonts w:cs="Arial"/>
                <w:b/>
                <w:color w:val="333333"/>
                <w:szCs w:val="22"/>
              </w:rPr>
              <w:t>Cost</w:t>
            </w:r>
            <w:r w:rsidR="0086587D">
              <w:rPr>
                <w:rStyle w:val="FootnoteReference"/>
                <w:rFonts w:cs="Arial"/>
                <w:b/>
                <w:color w:val="333333"/>
                <w:szCs w:val="22"/>
              </w:rPr>
              <w:footnoteReference w:id="11"/>
            </w:r>
          </w:p>
        </w:tc>
      </w:tr>
      <w:tr w:rsidR="00067FAB" w:rsidRPr="003A3501" w14:paraId="560767D3" w14:textId="77777777" w:rsidTr="00FA03F9">
        <w:tc>
          <w:tcPr>
            <w:cnfStyle w:val="001000000000" w:firstRow="0" w:lastRow="0" w:firstColumn="1" w:lastColumn="0" w:oddVBand="0" w:evenVBand="0" w:oddHBand="0" w:evenHBand="0" w:firstRowFirstColumn="0" w:firstRowLastColumn="0" w:lastRowFirstColumn="0" w:lastRowLastColumn="0"/>
            <w:tcW w:w="1208" w:type="dxa"/>
          </w:tcPr>
          <w:p w14:paraId="0351D1D8" w14:textId="77777777" w:rsidR="00067FAB" w:rsidRPr="003A3501" w:rsidRDefault="00067FAB" w:rsidP="009B5469">
            <w:pPr>
              <w:keepLines/>
              <w:suppressAutoHyphens/>
              <w:spacing w:line="260" w:lineRule="exact"/>
              <w:rPr>
                <w:rFonts w:cs="Arial"/>
                <w:color w:val="333333"/>
                <w:szCs w:val="22"/>
              </w:rPr>
            </w:pPr>
            <w:r w:rsidRPr="003A3501">
              <w:rPr>
                <w:rFonts w:cs="Arial"/>
                <w:color w:val="333333"/>
                <w:szCs w:val="22"/>
              </w:rPr>
              <w:t>North West Shelf</w:t>
            </w:r>
          </w:p>
          <w:p w14:paraId="74EBF4D4" w14:textId="77777777" w:rsidR="00067FAB" w:rsidRDefault="00067FAB" w:rsidP="009B5469">
            <w:pPr>
              <w:keepLines/>
              <w:suppressAutoHyphens/>
              <w:spacing w:line="260" w:lineRule="exact"/>
              <w:rPr>
                <w:rFonts w:cs="Arial"/>
                <w:color w:val="333333"/>
                <w:szCs w:val="22"/>
              </w:rPr>
            </w:pPr>
          </w:p>
          <w:p w14:paraId="1B1C4D0D" w14:textId="77777777" w:rsidR="00067FAB" w:rsidRPr="003A3501" w:rsidRDefault="00067FAB" w:rsidP="009B5469">
            <w:pPr>
              <w:keepLines/>
              <w:suppressAutoHyphens/>
              <w:spacing w:line="260" w:lineRule="exact"/>
              <w:rPr>
                <w:rFonts w:cs="Arial"/>
                <w:color w:val="333333"/>
                <w:szCs w:val="22"/>
              </w:rPr>
            </w:pPr>
          </w:p>
        </w:tc>
        <w:tc>
          <w:tcPr>
            <w:tcW w:w="2903" w:type="dxa"/>
          </w:tcPr>
          <w:p w14:paraId="27C4A2A6" w14:textId="77777777" w:rsidR="00067FAB"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50047E">
              <w:rPr>
                <w:rFonts w:cs="Arial"/>
                <w:b/>
                <w:color w:val="333333"/>
                <w:szCs w:val="18"/>
              </w:rPr>
              <w:t xml:space="preserve">Woodside </w:t>
            </w:r>
            <w:r w:rsidRPr="003A3501">
              <w:rPr>
                <w:rFonts w:cs="Arial"/>
                <w:color w:val="333333"/>
                <w:szCs w:val="18"/>
              </w:rPr>
              <w:t>(16.67</w:t>
            </w:r>
            <w:r>
              <w:rPr>
                <w:rFonts w:cs="Arial"/>
                <w:color w:val="333333"/>
                <w:szCs w:val="18"/>
              </w:rPr>
              <w:t xml:space="preserve"> percent</w:t>
            </w:r>
            <w:r w:rsidRPr="003A3501">
              <w:rPr>
                <w:rFonts w:cs="Arial"/>
                <w:color w:val="333333"/>
                <w:szCs w:val="18"/>
              </w:rPr>
              <w:t>)</w:t>
            </w:r>
          </w:p>
          <w:p w14:paraId="3DA07340" w14:textId="77777777" w:rsidR="00067FAB" w:rsidRPr="0050047E" w:rsidRDefault="00067FAB" w:rsidP="009B5469">
            <w:pPr>
              <w:keepLines/>
              <w:suppressAutoHyphens/>
              <w:spacing w:before="120"/>
              <w:cnfStyle w:val="000000000000" w:firstRow="0" w:lastRow="0" w:firstColumn="0" w:lastColumn="0" w:oddVBand="0" w:evenVBand="0" w:oddHBand="0" w:evenHBand="0" w:firstRowFirstColumn="0" w:firstRowLastColumn="0" w:lastRowFirstColumn="0" w:lastRowLastColumn="0"/>
              <w:rPr>
                <w:rFonts w:cs="Arial"/>
                <w:color w:val="FF0000"/>
                <w:szCs w:val="18"/>
              </w:rPr>
            </w:pPr>
            <w:r w:rsidRPr="003A3501">
              <w:rPr>
                <w:rFonts w:cs="Arial"/>
                <w:color w:val="333333"/>
                <w:szCs w:val="18"/>
              </w:rPr>
              <w:t>Shell (16.67</w:t>
            </w:r>
            <w:r>
              <w:rPr>
                <w:rFonts w:cs="Arial"/>
                <w:color w:val="333333"/>
                <w:szCs w:val="18"/>
              </w:rPr>
              <w:t xml:space="preserve"> percent</w:t>
            </w:r>
            <w:r w:rsidRPr="003A3501" w:rsidDel="00113967">
              <w:rPr>
                <w:rFonts w:cs="Arial"/>
                <w:color w:val="333333"/>
                <w:szCs w:val="18"/>
              </w:rPr>
              <w:t xml:space="preserve"> </w:t>
            </w:r>
            <w:r w:rsidRPr="003A3501">
              <w:rPr>
                <w:rFonts w:cs="Arial"/>
                <w:color w:val="333333"/>
                <w:szCs w:val="18"/>
              </w:rPr>
              <w:t>)</w:t>
            </w:r>
            <w:r w:rsidRPr="003A3501">
              <w:rPr>
                <w:rFonts w:cs="Arial"/>
                <w:color w:val="333333"/>
                <w:szCs w:val="18"/>
              </w:rPr>
              <w:br/>
            </w:r>
            <w:r w:rsidRPr="00113967">
              <w:rPr>
                <w:rFonts w:cs="Arial"/>
                <w:color w:val="333333"/>
                <w:szCs w:val="18"/>
              </w:rPr>
              <w:t>BP Developments</w:t>
            </w:r>
            <w:r>
              <w:rPr>
                <w:rFonts w:cs="Arial"/>
                <w:color w:val="FF0000"/>
                <w:szCs w:val="18"/>
              </w:rPr>
              <w:t xml:space="preserve"> </w:t>
            </w:r>
            <w:r>
              <w:rPr>
                <w:rFonts w:cs="Arial"/>
                <w:color w:val="333333"/>
                <w:szCs w:val="18"/>
              </w:rPr>
              <w:t>16.67 percent</w:t>
            </w:r>
            <w:r w:rsidRPr="003A3501">
              <w:rPr>
                <w:rFonts w:cs="Arial"/>
                <w:color w:val="333333"/>
                <w:szCs w:val="18"/>
              </w:rPr>
              <w:t>)</w:t>
            </w:r>
          </w:p>
          <w:p w14:paraId="4F7239E3" w14:textId="77777777" w:rsidR="00067FAB"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Chevron (16.67</w:t>
            </w:r>
            <w:r>
              <w:rPr>
                <w:rFonts w:cs="Arial"/>
                <w:color w:val="333333"/>
                <w:szCs w:val="18"/>
              </w:rPr>
              <w:t xml:space="preserve"> percent</w:t>
            </w:r>
            <w:r w:rsidRPr="003A3501" w:rsidDel="00113967">
              <w:rPr>
                <w:rFonts w:cs="Arial"/>
                <w:color w:val="333333"/>
                <w:szCs w:val="18"/>
              </w:rPr>
              <w:t xml:space="preserve"> </w:t>
            </w:r>
            <w:r w:rsidRPr="003A3501">
              <w:rPr>
                <w:rFonts w:cs="Arial"/>
                <w:color w:val="333333"/>
                <w:szCs w:val="18"/>
              </w:rPr>
              <w:t>)</w:t>
            </w:r>
            <w:r w:rsidRPr="003A3501">
              <w:rPr>
                <w:rFonts w:cs="Arial"/>
                <w:color w:val="333333"/>
                <w:szCs w:val="18"/>
              </w:rPr>
              <w:br/>
              <w:t>BHP Billiton (16.67</w:t>
            </w:r>
            <w:r>
              <w:rPr>
                <w:rFonts w:cs="Arial"/>
                <w:color w:val="333333"/>
                <w:szCs w:val="18"/>
              </w:rPr>
              <w:t xml:space="preserve"> percent</w:t>
            </w:r>
            <w:r w:rsidRPr="003A3501" w:rsidDel="00113967">
              <w:rPr>
                <w:rFonts w:cs="Arial"/>
                <w:color w:val="333333"/>
                <w:szCs w:val="18"/>
              </w:rPr>
              <w:t xml:space="preserve"> </w:t>
            </w:r>
            <w:r w:rsidRPr="003A3501">
              <w:rPr>
                <w:rFonts w:cs="Arial"/>
                <w:color w:val="333333"/>
                <w:szCs w:val="18"/>
              </w:rPr>
              <w:t xml:space="preserve">) </w:t>
            </w:r>
          </w:p>
          <w:p w14:paraId="6C2398EC" w14:textId="77777777" w:rsidR="00067FAB"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MIMI (16.67</w:t>
            </w:r>
            <w:r>
              <w:rPr>
                <w:rFonts w:cs="Arial"/>
                <w:color w:val="333333"/>
                <w:szCs w:val="18"/>
              </w:rPr>
              <w:t xml:space="preserve"> percent</w:t>
            </w:r>
            <w:r w:rsidRPr="003A3501" w:rsidDel="00113967">
              <w:rPr>
                <w:rFonts w:cs="Arial"/>
                <w:color w:val="333333"/>
                <w:szCs w:val="18"/>
              </w:rPr>
              <w:t xml:space="preserve"> </w:t>
            </w:r>
            <w:r w:rsidRPr="003A3501">
              <w:rPr>
                <w:rFonts w:cs="Arial"/>
                <w:color w:val="333333"/>
                <w:szCs w:val="18"/>
              </w:rPr>
              <w:t>)</w:t>
            </w:r>
            <w:r w:rsidRPr="003A3501">
              <w:rPr>
                <w:rFonts w:cs="Arial"/>
                <w:color w:val="333333"/>
                <w:szCs w:val="18"/>
              </w:rPr>
              <w:br/>
            </w:r>
          </w:p>
          <w:p w14:paraId="2CAE7F4F"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CNOOC (gas and associated liquids 5.3</w:t>
            </w:r>
            <w:r>
              <w:rPr>
                <w:rFonts w:cs="Arial"/>
                <w:color w:val="333333"/>
                <w:szCs w:val="18"/>
              </w:rPr>
              <w:t xml:space="preserve"> percent only</w:t>
            </w:r>
            <w:r w:rsidRPr="003A3501">
              <w:rPr>
                <w:rFonts w:cs="Arial"/>
                <w:color w:val="333333"/>
                <w:szCs w:val="18"/>
              </w:rPr>
              <w:t>)</w:t>
            </w:r>
          </w:p>
        </w:tc>
        <w:tc>
          <w:tcPr>
            <w:tcW w:w="1134" w:type="dxa"/>
          </w:tcPr>
          <w:p w14:paraId="3D56D0FE"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WA</w:t>
            </w:r>
          </w:p>
          <w:p w14:paraId="469C6B34"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Carnarvon</w:t>
            </w:r>
          </w:p>
          <w:p w14:paraId="79C975F1"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Karratha</w:t>
            </w:r>
          </w:p>
        </w:tc>
        <w:tc>
          <w:tcPr>
            <w:tcW w:w="1327" w:type="dxa"/>
          </w:tcPr>
          <w:p w14:paraId="40BE8667"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FG 1989</w:t>
            </w:r>
            <w:r>
              <w:rPr>
                <w:rFonts w:cs="Arial"/>
                <w:color w:val="333333"/>
                <w:szCs w:val="18"/>
              </w:rPr>
              <w:t xml:space="preserve"> (pipeline gas in 1984)</w:t>
            </w:r>
          </w:p>
        </w:tc>
        <w:tc>
          <w:tcPr>
            <w:tcW w:w="1083" w:type="dxa"/>
          </w:tcPr>
          <w:p w14:paraId="6836EDF7"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16.</w:t>
            </w:r>
            <w:r w:rsidR="008D3081">
              <w:rPr>
                <w:rFonts w:cs="Arial"/>
                <w:color w:val="333333"/>
                <w:szCs w:val="18"/>
              </w:rPr>
              <w:t>9</w:t>
            </w:r>
            <w:r w:rsidRPr="003A3501">
              <w:rPr>
                <w:rFonts w:cs="Arial"/>
                <w:color w:val="333333"/>
                <w:szCs w:val="18"/>
              </w:rPr>
              <w:t xml:space="preserve"> Mtpa</w:t>
            </w:r>
          </w:p>
          <w:p w14:paraId="1E5400B0"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 xml:space="preserve">5 trains </w:t>
            </w:r>
          </w:p>
        </w:tc>
        <w:tc>
          <w:tcPr>
            <w:tcW w:w="1171" w:type="dxa"/>
            <w:tcBorders>
              <w:right w:val="single" w:sz="4" w:space="0" w:color="auto"/>
            </w:tcBorders>
          </w:tcPr>
          <w:p w14:paraId="17AB1F41" w14:textId="77777777" w:rsidR="00067FAB"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A$34b</w:t>
            </w:r>
          </w:p>
          <w:p w14:paraId="1ADAC6C0" w14:textId="77777777" w:rsidR="00067FAB" w:rsidRPr="008D2DD7" w:rsidRDefault="00067FAB" w:rsidP="009B5469">
            <w:pPr>
              <w:tabs>
                <w:tab w:val="left" w:pos="720"/>
              </w:tabs>
              <w:cnfStyle w:val="000000000000" w:firstRow="0" w:lastRow="0" w:firstColumn="0" w:lastColumn="0" w:oddVBand="0" w:evenVBand="0" w:oddHBand="0" w:evenHBand="0" w:firstRowFirstColumn="0" w:firstRowLastColumn="0" w:lastRowFirstColumn="0" w:lastRowLastColumn="0"/>
              <w:rPr>
                <w:rFonts w:cs="Arial"/>
                <w:szCs w:val="18"/>
              </w:rPr>
            </w:pPr>
          </w:p>
        </w:tc>
      </w:tr>
      <w:tr w:rsidR="00067FAB" w:rsidRPr="003A3501" w14:paraId="773E5A86" w14:textId="77777777" w:rsidTr="00FA03F9">
        <w:tc>
          <w:tcPr>
            <w:cnfStyle w:val="001000000000" w:firstRow="0" w:lastRow="0" w:firstColumn="1" w:lastColumn="0" w:oddVBand="0" w:evenVBand="0" w:oddHBand="0" w:evenHBand="0" w:firstRowFirstColumn="0" w:firstRowLastColumn="0" w:lastRowFirstColumn="0" w:lastRowLastColumn="0"/>
            <w:tcW w:w="1208" w:type="dxa"/>
          </w:tcPr>
          <w:p w14:paraId="7526ECB4" w14:textId="77777777" w:rsidR="00067FAB" w:rsidRPr="003A3501" w:rsidRDefault="00067FAB" w:rsidP="009B5469">
            <w:pPr>
              <w:keepLines/>
              <w:suppressAutoHyphens/>
              <w:spacing w:line="260" w:lineRule="exact"/>
              <w:rPr>
                <w:rFonts w:cs="Arial"/>
                <w:i/>
                <w:color w:val="333333"/>
                <w:szCs w:val="18"/>
              </w:rPr>
            </w:pPr>
            <w:r w:rsidRPr="003A3501">
              <w:rPr>
                <w:rFonts w:cs="Arial"/>
                <w:color w:val="333333"/>
                <w:szCs w:val="22"/>
              </w:rPr>
              <w:t>Darwin LNG</w:t>
            </w:r>
          </w:p>
          <w:p w14:paraId="7153BA89" w14:textId="77777777" w:rsidR="00067FAB" w:rsidRPr="003A3501" w:rsidRDefault="00067FAB" w:rsidP="009B5469">
            <w:pPr>
              <w:keepLines/>
              <w:suppressAutoHyphens/>
              <w:spacing w:line="260" w:lineRule="exact"/>
              <w:rPr>
                <w:rFonts w:cs="Arial"/>
                <w:i/>
                <w:color w:val="333333"/>
                <w:szCs w:val="18"/>
              </w:rPr>
            </w:pPr>
          </w:p>
        </w:tc>
        <w:tc>
          <w:tcPr>
            <w:tcW w:w="2903" w:type="dxa"/>
          </w:tcPr>
          <w:p w14:paraId="3428116E" w14:textId="77777777" w:rsidR="00067FAB"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50047E">
              <w:rPr>
                <w:rFonts w:cs="Arial"/>
                <w:b/>
                <w:color w:val="333333"/>
                <w:szCs w:val="18"/>
              </w:rPr>
              <w:t>ConocoPhillips</w:t>
            </w:r>
            <w:r w:rsidRPr="003A3501">
              <w:rPr>
                <w:rFonts w:cs="Arial"/>
                <w:color w:val="333333"/>
                <w:szCs w:val="18"/>
              </w:rPr>
              <w:t xml:space="preserve"> (</w:t>
            </w:r>
            <w:r>
              <w:rPr>
                <w:rFonts w:cs="Arial"/>
                <w:color w:val="333333"/>
                <w:szCs w:val="18"/>
              </w:rPr>
              <w:t>56.94 percent</w:t>
            </w:r>
            <w:r w:rsidRPr="003A3501">
              <w:rPr>
                <w:rFonts w:cs="Arial"/>
                <w:color w:val="333333"/>
                <w:szCs w:val="18"/>
              </w:rPr>
              <w:t>)</w:t>
            </w:r>
          </w:p>
          <w:p w14:paraId="003185F3" w14:textId="77777777" w:rsidR="00067FAB" w:rsidRDefault="00067FAB" w:rsidP="009B5469">
            <w:pPr>
              <w:keepLines/>
              <w:suppressAutoHyphens/>
              <w:spacing w:before="120"/>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ENI Australia (10.99</w:t>
            </w:r>
            <w:r>
              <w:rPr>
                <w:rFonts w:cs="Arial"/>
                <w:color w:val="333333"/>
                <w:szCs w:val="18"/>
              </w:rPr>
              <w:t xml:space="preserve"> percent</w:t>
            </w:r>
            <w:r w:rsidRPr="003A3501" w:rsidDel="00113967">
              <w:rPr>
                <w:rFonts w:cs="Arial"/>
                <w:color w:val="333333"/>
                <w:szCs w:val="18"/>
              </w:rPr>
              <w:t xml:space="preserve"> </w:t>
            </w:r>
            <w:r w:rsidRPr="003A3501">
              <w:rPr>
                <w:rFonts w:cs="Arial"/>
                <w:color w:val="333333"/>
                <w:szCs w:val="18"/>
              </w:rPr>
              <w:t>)</w:t>
            </w:r>
            <w:r w:rsidRPr="003A3501">
              <w:rPr>
                <w:rFonts w:cs="Arial"/>
                <w:color w:val="333333"/>
                <w:szCs w:val="18"/>
              </w:rPr>
              <w:br/>
              <w:t>Santos (11.</w:t>
            </w:r>
            <w:r>
              <w:rPr>
                <w:rFonts w:cs="Arial"/>
                <w:color w:val="333333"/>
                <w:szCs w:val="18"/>
              </w:rPr>
              <w:t>49 percent</w:t>
            </w:r>
            <w:r w:rsidRPr="003A3501" w:rsidDel="00113967">
              <w:rPr>
                <w:rFonts w:cs="Arial"/>
                <w:color w:val="333333"/>
                <w:szCs w:val="18"/>
              </w:rPr>
              <w:t xml:space="preserve"> </w:t>
            </w:r>
            <w:r w:rsidRPr="003A3501">
              <w:rPr>
                <w:rFonts w:cs="Arial"/>
                <w:color w:val="333333"/>
                <w:szCs w:val="18"/>
              </w:rPr>
              <w:t>)</w:t>
            </w:r>
            <w:r w:rsidRPr="003A3501">
              <w:rPr>
                <w:rFonts w:cs="Arial"/>
                <w:color w:val="333333"/>
                <w:szCs w:val="18"/>
              </w:rPr>
              <w:br/>
              <w:t>INPEX (11.</w:t>
            </w:r>
            <w:r>
              <w:rPr>
                <w:rFonts w:cs="Arial"/>
                <w:color w:val="333333"/>
                <w:szCs w:val="18"/>
              </w:rPr>
              <w:t>38 percent</w:t>
            </w:r>
            <w:r w:rsidRPr="003A3501" w:rsidDel="00113967">
              <w:rPr>
                <w:rFonts w:cs="Arial"/>
                <w:color w:val="333333"/>
                <w:szCs w:val="18"/>
              </w:rPr>
              <w:t xml:space="preserve"> </w:t>
            </w:r>
            <w:r w:rsidRPr="003A3501">
              <w:rPr>
                <w:rFonts w:cs="Arial"/>
                <w:color w:val="333333"/>
                <w:szCs w:val="18"/>
              </w:rPr>
              <w:t>)</w:t>
            </w:r>
          </w:p>
          <w:p w14:paraId="06EC7EB7"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Pr>
                <w:rFonts w:cs="Arial"/>
                <w:color w:val="333333"/>
                <w:szCs w:val="18"/>
              </w:rPr>
              <w:t>JERA (6.13 percent</w:t>
            </w:r>
            <w:r w:rsidDel="00113967">
              <w:rPr>
                <w:rFonts w:cs="Arial"/>
                <w:color w:val="333333"/>
                <w:szCs w:val="18"/>
              </w:rPr>
              <w:t xml:space="preserve"> </w:t>
            </w:r>
            <w:r>
              <w:rPr>
                <w:rFonts w:cs="Arial"/>
                <w:color w:val="333333"/>
                <w:szCs w:val="18"/>
              </w:rPr>
              <w:t>)</w:t>
            </w:r>
            <w:r w:rsidRPr="003A3501">
              <w:rPr>
                <w:rFonts w:cs="Arial"/>
                <w:color w:val="333333"/>
                <w:szCs w:val="18"/>
              </w:rPr>
              <w:br/>
              <w:t xml:space="preserve">Tokyo Gas </w:t>
            </w:r>
            <w:r>
              <w:rPr>
                <w:rFonts w:cs="Arial"/>
                <w:color w:val="333333"/>
                <w:szCs w:val="18"/>
              </w:rPr>
              <w:t xml:space="preserve">(3.07 percent) </w:t>
            </w:r>
            <w:r w:rsidRPr="003A3501">
              <w:rPr>
                <w:rFonts w:cs="Arial"/>
                <w:color w:val="333333"/>
                <w:szCs w:val="18"/>
              </w:rPr>
              <w:t xml:space="preserve"> </w:t>
            </w:r>
          </w:p>
        </w:tc>
        <w:tc>
          <w:tcPr>
            <w:tcW w:w="1134" w:type="dxa"/>
          </w:tcPr>
          <w:p w14:paraId="39C5F83E"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NT</w:t>
            </w:r>
          </w:p>
          <w:p w14:paraId="7AD1287E"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JPDA</w:t>
            </w:r>
          </w:p>
          <w:p w14:paraId="450B73B7"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Darwin</w:t>
            </w:r>
          </w:p>
        </w:tc>
        <w:tc>
          <w:tcPr>
            <w:tcW w:w="1327" w:type="dxa"/>
          </w:tcPr>
          <w:p w14:paraId="63631CC1"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FG 2006</w:t>
            </w:r>
          </w:p>
        </w:tc>
        <w:tc>
          <w:tcPr>
            <w:tcW w:w="1083" w:type="dxa"/>
          </w:tcPr>
          <w:p w14:paraId="6C52F9D1"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3.7 Mtpa</w:t>
            </w:r>
          </w:p>
          <w:p w14:paraId="4646C1BC"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 xml:space="preserve">1 train </w:t>
            </w:r>
          </w:p>
        </w:tc>
        <w:tc>
          <w:tcPr>
            <w:tcW w:w="1171" w:type="dxa"/>
            <w:tcBorders>
              <w:right w:val="single" w:sz="4" w:space="0" w:color="auto"/>
            </w:tcBorders>
          </w:tcPr>
          <w:p w14:paraId="2383180C" w14:textId="58F5E989" w:rsidR="00067FAB" w:rsidRPr="003A3501" w:rsidRDefault="0086587D"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Pr>
                <w:rFonts w:cs="Arial"/>
                <w:color w:val="333333"/>
                <w:szCs w:val="18"/>
              </w:rPr>
              <w:t>Not available</w:t>
            </w:r>
          </w:p>
        </w:tc>
      </w:tr>
      <w:tr w:rsidR="00067FAB" w:rsidRPr="003A3501" w14:paraId="08228492" w14:textId="77777777" w:rsidTr="00FA03F9">
        <w:tc>
          <w:tcPr>
            <w:cnfStyle w:val="001000000000" w:firstRow="0" w:lastRow="0" w:firstColumn="1" w:lastColumn="0" w:oddVBand="0" w:evenVBand="0" w:oddHBand="0" w:evenHBand="0" w:firstRowFirstColumn="0" w:firstRowLastColumn="0" w:lastRowFirstColumn="0" w:lastRowLastColumn="0"/>
            <w:tcW w:w="1208" w:type="dxa"/>
          </w:tcPr>
          <w:p w14:paraId="2E23C28A" w14:textId="77777777" w:rsidR="00067FAB" w:rsidRPr="003A3501" w:rsidRDefault="00067FAB" w:rsidP="009B5469">
            <w:pPr>
              <w:keepLines/>
              <w:suppressAutoHyphens/>
              <w:spacing w:line="260" w:lineRule="exact"/>
              <w:rPr>
                <w:rFonts w:cs="Arial"/>
                <w:color w:val="333333"/>
                <w:szCs w:val="22"/>
              </w:rPr>
            </w:pPr>
            <w:r w:rsidRPr="003A3501">
              <w:rPr>
                <w:rFonts w:cs="Arial"/>
                <w:color w:val="333333"/>
                <w:szCs w:val="22"/>
              </w:rPr>
              <w:t>Pluto LNG</w:t>
            </w:r>
          </w:p>
        </w:tc>
        <w:tc>
          <w:tcPr>
            <w:tcW w:w="2903" w:type="dxa"/>
          </w:tcPr>
          <w:p w14:paraId="2CEAE55A" w14:textId="77777777" w:rsidR="00067FAB"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50047E">
              <w:rPr>
                <w:rFonts w:cs="Arial"/>
                <w:b/>
                <w:color w:val="333333"/>
                <w:szCs w:val="18"/>
              </w:rPr>
              <w:t>Woodside</w:t>
            </w:r>
            <w:r w:rsidRPr="003A3501">
              <w:rPr>
                <w:rFonts w:cs="Arial"/>
                <w:color w:val="333333"/>
                <w:szCs w:val="18"/>
              </w:rPr>
              <w:t xml:space="preserve"> (9</w:t>
            </w:r>
            <w:r>
              <w:rPr>
                <w:rFonts w:cs="Arial"/>
                <w:color w:val="333333"/>
                <w:szCs w:val="18"/>
              </w:rPr>
              <w:t>0 percent</w:t>
            </w:r>
            <w:r w:rsidRPr="003A3501">
              <w:rPr>
                <w:rFonts w:cs="Arial"/>
                <w:color w:val="333333"/>
                <w:szCs w:val="18"/>
              </w:rPr>
              <w:t>)</w:t>
            </w:r>
          </w:p>
          <w:p w14:paraId="4A6D7088" w14:textId="77777777" w:rsidR="00067FAB" w:rsidRPr="003A3501" w:rsidRDefault="00067FAB" w:rsidP="009B5469">
            <w:pPr>
              <w:keepLines/>
              <w:suppressAutoHyphens/>
              <w:spacing w:before="120"/>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Tokyo Gas (5</w:t>
            </w:r>
            <w:r>
              <w:rPr>
                <w:rFonts w:cs="Arial"/>
                <w:color w:val="333333"/>
                <w:szCs w:val="18"/>
              </w:rPr>
              <w:t xml:space="preserve"> percent</w:t>
            </w:r>
            <w:r w:rsidRPr="003A3501" w:rsidDel="00113967">
              <w:rPr>
                <w:rFonts w:cs="Arial"/>
                <w:color w:val="333333"/>
                <w:szCs w:val="18"/>
              </w:rPr>
              <w:t xml:space="preserve"> </w:t>
            </w:r>
            <w:r w:rsidRPr="003A3501">
              <w:rPr>
                <w:rFonts w:cs="Arial"/>
                <w:color w:val="333333"/>
                <w:szCs w:val="18"/>
              </w:rPr>
              <w:t>)</w:t>
            </w:r>
            <w:r w:rsidRPr="003A3501">
              <w:rPr>
                <w:rFonts w:cs="Arial"/>
                <w:color w:val="333333"/>
                <w:szCs w:val="18"/>
              </w:rPr>
              <w:br/>
              <w:t>Kansai Electric (5</w:t>
            </w:r>
            <w:r>
              <w:rPr>
                <w:rFonts w:cs="Arial"/>
                <w:color w:val="333333"/>
                <w:szCs w:val="18"/>
              </w:rPr>
              <w:t xml:space="preserve"> percent</w:t>
            </w:r>
            <w:r w:rsidRPr="003A3501" w:rsidDel="00113967">
              <w:rPr>
                <w:rFonts w:cs="Arial"/>
                <w:color w:val="333333"/>
                <w:szCs w:val="18"/>
              </w:rPr>
              <w:t xml:space="preserve"> </w:t>
            </w:r>
            <w:r w:rsidRPr="003A3501">
              <w:rPr>
                <w:rFonts w:cs="Arial"/>
                <w:color w:val="333333"/>
                <w:szCs w:val="18"/>
              </w:rPr>
              <w:t>)</w:t>
            </w:r>
          </w:p>
        </w:tc>
        <w:tc>
          <w:tcPr>
            <w:tcW w:w="1134" w:type="dxa"/>
          </w:tcPr>
          <w:p w14:paraId="6382EC24"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WA</w:t>
            </w:r>
          </w:p>
          <w:p w14:paraId="30AA2002"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Carnarvon Karratha</w:t>
            </w:r>
          </w:p>
        </w:tc>
        <w:tc>
          <w:tcPr>
            <w:tcW w:w="1327" w:type="dxa"/>
          </w:tcPr>
          <w:p w14:paraId="099ABB08"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FID 2007</w:t>
            </w:r>
          </w:p>
          <w:p w14:paraId="1005CE44"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FG 2012</w:t>
            </w:r>
          </w:p>
        </w:tc>
        <w:tc>
          <w:tcPr>
            <w:tcW w:w="1083" w:type="dxa"/>
          </w:tcPr>
          <w:p w14:paraId="49C6CE8F"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4.</w:t>
            </w:r>
            <w:r>
              <w:rPr>
                <w:rFonts w:cs="Arial"/>
                <w:color w:val="333333"/>
                <w:szCs w:val="18"/>
              </w:rPr>
              <w:t>9</w:t>
            </w:r>
            <w:r w:rsidRPr="003A3501">
              <w:rPr>
                <w:rFonts w:cs="Arial"/>
                <w:color w:val="333333"/>
                <w:szCs w:val="18"/>
              </w:rPr>
              <w:t xml:space="preserve"> Mtpa</w:t>
            </w:r>
          </w:p>
          <w:p w14:paraId="6AEF2534"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1 train</w:t>
            </w:r>
          </w:p>
        </w:tc>
        <w:tc>
          <w:tcPr>
            <w:tcW w:w="1171" w:type="dxa"/>
            <w:tcBorders>
              <w:right w:val="single" w:sz="4" w:space="0" w:color="auto"/>
            </w:tcBorders>
          </w:tcPr>
          <w:p w14:paraId="73733340"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A$14.9b</w:t>
            </w:r>
          </w:p>
          <w:p w14:paraId="258205BA" w14:textId="05D63BC0"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p>
        </w:tc>
      </w:tr>
      <w:tr w:rsidR="00067FAB" w:rsidRPr="003A3501" w14:paraId="71C3B7C4" w14:textId="77777777" w:rsidTr="00FA03F9">
        <w:tc>
          <w:tcPr>
            <w:cnfStyle w:val="001000000000" w:firstRow="0" w:lastRow="0" w:firstColumn="1" w:lastColumn="0" w:oddVBand="0" w:evenVBand="0" w:oddHBand="0" w:evenHBand="0" w:firstRowFirstColumn="0" w:firstRowLastColumn="0" w:lastRowFirstColumn="0" w:lastRowLastColumn="0"/>
            <w:tcW w:w="1208" w:type="dxa"/>
          </w:tcPr>
          <w:p w14:paraId="2F4479E8" w14:textId="77777777" w:rsidR="00067FAB" w:rsidRPr="003A3501" w:rsidRDefault="00067FAB" w:rsidP="009B5469">
            <w:pPr>
              <w:keepLines/>
              <w:suppressAutoHyphens/>
              <w:spacing w:line="260" w:lineRule="exact"/>
              <w:rPr>
                <w:rFonts w:cs="Arial"/>
                <w:color w:val="333333"/>
                <w:szCs w:val="22"/>
              </w:rPr>
            </w:pPr>
            <w:r w:rsidRPr="003A3501">
              <w:rPr>
                <w:rFonts w:cs="Arial"/>
                <w:color w:val="333333"/>
                <w:szCs w:val="22"/>
              </w:rPr>
              <w:t>Queensland Curtis LNG</w:t>
            </w:r>
          </w:p>
        </w:tc>
        <w:tc>
          <w:tcPr>
            <w:tcW w:w="2903" w:type="dxa"/>
          </w:tcPr>
          <w:p w14:paraId="71057AD7" w14:textId="77777777" w:rsidR="00067FAB"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50047E">
              <w:rPr>
                <w:rFonts w:cs="Arial"/>
                <w:b/>
                <w:color w:val="333333"/>
                <w:szCs w:val="18"/>
              </w:rPr>
              <w:t xml:space="preserve">Shell </w:t>
            </w:r>
            <w:r w:rsidRPr="003A3501">
              <w:rPr>
                <w:rFonts w:cs="Arial"/>
                <w:color w:val="333333"/>
                <w:szCs w:val="18"/>
              </w:rPr>
              <w:t>(50</w:t>
            </w:r>
            <w:r>
              <w:rPr>
                <w:rFonts w:cs="Arial"/>
                <w:color w:val="333333"/>
                <w:szCs w:val="18"/>
              </w:rPr>
              <w:t xml:space="preserve"> percent</w:t>
            </w:r>
            <w:r w:rsidRPr="003A3501">
              <w:rPr>
                <w:rFonts w:cs="Arial"/>
                <w:color w:val="333333"/>
                <w:szCs w:val="18"/>
              </w:rPr>
              <w:t xml:space="preserve"> T1, 97.5</w:t>
            </w:r>
            <w:r>
              <w:rPr>
                <w:rFonts w:cs="Arial"/>
                <w:color w:val="333333"/>
                <w:szCs w:val="18"/>
              </w:rPr>
              <w:t xml:space="preserve"> percent</w:t>
            </w:r>
            <w:r w:rsidRPr="003A3501" w:rsidDel="00113967">
              <w:rPr>
                <w:rFonts w:cs="Arial"/>
                <w:color w:val="333333"/>
                <w:szCs w:val="18"/>
              </w:rPr>
              <w:t xml:space="preserve"> </w:t>
            </w:r>
            <w:r w:rsidRPr="003A3501">
              <w:rPr>
                <w:rFonts w:cs="Arial"/>
                <w:color w:val="333333"/>
                <w:szCs w:val="18"/>
              </w:rPr>
              <w:t>T2)</w:t>
            </w:r>
          </w:p>
          <w:p w14:paraId="7A4687D5" w14:textId="77777777" w:rsidR="00067FAB" w:rsidRPr="003A3501" w:rsidRDefault="00067FAB" w:rsidP="009B5469">
            <w:pPr>
              <w:keepLines/>
              <w:suppressAutoHyphens/>
              <w:spacing w:before="120"/>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CNOOC (50</w:t>
            </w:r>
            <w:r>
              <w:rPr>
                <w:rFonts w:cs="Arial"/>
                <w:color w:val="333333"/>
                <w:szCs w:val="18"/>
              </w:rPr>
              <w:t xml:space="preserve"> percent</w:t>
            </w:r>
            <w:r w:rsidRPr="003A3501" w:rsidDel="00113967">
              <w:rPr>
                <w:rFonts w:cs="Arial"/>
                <w:color w:val="333333"/>
                <w:szCs w:val="18"/>
              </w:rPr>
              <w:t xml:space="preserve"> </w:t>
            </w:r>
            <w:r w:rsidRPr="003A3501">
              <w:rPr>
                <w:rFonts w:cs="Arial"/>
                <w:color w:val="333333"/>
                <w:szCs w:val="18"/>
              </w:rPr>
              <w:t xml:space="preserve"> in T1)</w:t>
            </w:r>
            <w:r w:rsidRPr="003A3501">
              <w:rPr>
                <w:rFonts w:cs="Arial"/>
                <w:color w:val="333333"/>
                <w:szCs w:val="18"/>
              </w:rPr>
              <w:br/>
              <w:t>Tokyo Gas (2.5</w:t>
            </w:r>
            <w:r>
              <w:rPr>
                <w:rFonts w:cs="Arial"/>
                <w:color w:val="333333"/>
                <w:szCs w:val="18"/>
              </w:rPr>
              <w:t xml:space="preserve"> percent</w:t>
            </w:r>
            <w:r w:rsidRPr="003A3501">
              <w:rPr>
                <w:rFonts w:cs="Arial"/>
                <w:color w:val="333333"/>
                <w:szCs w:val="18"/>
              </w:rPr>
              <w:t xml:space="preserve"> in T2)</w:t>
            </w:r>
          </w:p>
        </w:tc>
        <w:tc>
          <w:tcPr>
            <w:tcW w:w="1134" w:type="dxa"/>
          </w:tcPr>
          <w:p w14:paraId="7ED5EEC9"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QLD</w:t>
            </w:r>
          </w:p>
          <w:p w14:paraId="70369153"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Surat</w:t>
            </w:r>
          </w:p>
          <w:p w14:paraId="7872042D"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Gladstone</w:t>
            </w:r>
          </w:p>
        </w:tc>
        <w:tc>
          <w:tcPr>
            <w:tcW w:w="1327" w:type="dxa"/>
          </w:tcPr>
          <w:p w14:paraId="49172942"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FID Oct 2010</w:t>
            </w:r>
          </w:p>
          <w:p w14:paraId="1896AD02"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FG Jan 2015</w:t>
            </w:r>
          </w:p>
        </w:tc>
        <w:tc>
          <w:tcPr>
            <w:tcW w:w="1083" w:type="dxa"/>
          </w:tcPr>
          <w:p w14:paraId="6777EC02"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8.5 Mtpa</w:t>
            </w:r>
          </w:p>
          <w:p w14:paraId="7EA5F119"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2 trains</w:t>
            </w:r>
          </w:p>
        </w:tc>
        <w:tc>
          <w:tcPr>
            <w:tcW w:w="1171" w:type="dxa"/>
            <w:tcBorders>
              <w:right w:val="single" w:sz="4" w:space="0" w:color="auto"/>
            </w:tcBorders>
          </w:tcPr>
          <w:p w14:paraId="3F1F4D42"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A$20.4b</w:t>
            </w:r>
          </w:p>
          <w:p w14:paraId="2EE3BC83" w14:textId="524B5D32"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p>
        </w:tc>
      </w:tr>
      <w:tr w:rsidR="00067FAB" w:rsidRPr="003A3501" w14:paraId="4F0CD6BB" w14:textId="77777777" w:rsidTr="00FA03F9">
        <w:tc>
          <w:tcPr>
            <w:cnfStyle w:val="001000000000" w:firstRow="0" w:lastRow="0" w:firstColumn="1" w:lastColumn="0" w:oddVBand="0" w:evenVBand="0" w:oddHBand="0" w:evenHBand="0" w:firstRowFirstColumn="0" w:firstRowLastColumn="0" w:lastRowFirstColumn="0" w:lastRowLastColumn="0"/>
            <w:tcW w:w="1208" w:type="dxa"/>
          </w:tcPr>
          <w:p w14:paraId="7C6DD3A9" w14:textId="77777777" w:rsidR="00067FAB" w:rsidRPr="003A3501" w:rsidRDefault="00067FAB" w:rsidP="009B5469">
            <w:pPr>
              <w:keepLines/>
              <w:suppressAutoHyphens/>
              <w:spacing w:line="260" w:lineRule="exact"/>
              <w:rPr>
                <w:rFonts w:cs="Arial"/>
                <w:color w:val="333333"/>
                <w:szCs w:val="22"/>
              </w:rPr>
            </w:pPr>
            <w:r w:rsidRPr="003A3501">
              <w:rPr>
                <w:rFonts w:cs="Arial"/>
                <w:color w:val="333333"/>
                <w:szCs w:val="22"/>
              </w:rPr>
              <w:t>Gladstone LNG</w:t>
            </w:r>
          </w:p>
        </w:tc>
        <w:tc>
          <w:tcPr>
            <w:tcW w:w="2903" w:type="dxa"/>
          </w:tcPr>
          <w:p w14:paraId="1C5DE52B" w14:textId="77777777" w:rsidR="00067FAB"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50047E">
              <w:rPr>
                <w:rFonts w:cs="Arial"/>
                <w:b/>
                <w:color w:val="333333"/>
                <w:szCs w:val="18"/>
              </w:rPr>
              <w:t xml:space="preserve">Santos </w:t>
            </w:r>
            <w:r w:rsidRPr="003A3501">
              <w:rPr>
                <w:rFonts w:cs="Arial"/>
                <w:color w:val="333333"/>
                <w:szCs w:val="18"/>
              </w:rPr>
              <w:t>(30</w:t>
            </w:r>
            <w:r>
              <w:rPr>
                <w:rFonts w:cs="Arial"/>
                <w:color w:val="333333"/>
                <w:szCs w:val="18"/>
              </w:rPr>
              <w:t xml:space="preserve"> percent)</w:t>
            </w:r>
          </w:p>
          <w:p w14:paraId="592D7651" w14:textId="77777777" w:rsidR="00067FAB" w:rsidRPr="003A3501" w:rsidRDefault="00067FAB" w:rsidP="009B5469">
            <w:pPr>
              <w:keepLines/>
              <w:suppressAutoHyphens/>
              <w:spacing w:before="120"/>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Petronas (27.5</w:t>
            </w:r>
            <w:r>
              <w:rPr>
                <w:rFonts w:cs="Arial"/>
                <w:color w:val="333333"/>
                <w:szCs w:val="18"/>
              </w:rPr>
              <w:t xml:space="preserve"> percent</w:t>
            </w:r>
            <w:r w:rsidRPr="003A3501">
              <w:rPr>
                <w:rFonts w:cs="Arial"/>
                <w:color w:val="333333"/>
                <w:szCs w:val="18"/>
              </w:rPr>
              <w:t>)</w:t>
            </w:r>
            <w:r w:rsidRPr="003A3501">
              <w:rPr>
                <w:rFonts w:cs="Arial"/>
                <w:color w:val="333333"/>
                <w:szCs w:val="18"/>
              </w:rPr>
              <w:br/>
              <w:t>Total (27.5</w:t>
            </w:r>
            <w:r>
              <w:rPr>
                <w:rFonts w:cs="Arial"/>
                <w:color w:val="333333"/>
                <w:szCs w:val="18"/>
              </w:rPr>
              <w:t xml:space="preserve"> percent</w:t>
            </w:r>
            <w:r w:rsidRPr="003A3501">
              <w:rPr>
                <w:rFonts w:cs="Arial"/>
                <w:color w:val="333333"/>
                <w:szCs w:val="18"/>
              </w:rPr>
              <w:t>)</w:t>
            </w:r>
            <w:r w:rsidRPr="003A3501">
              <w:rPr>
                <w:rFonts w:cs="Arial"/>
                <w:color w:val="333333"/>
                <w:szCs w:val="18"/>
              </w:rPr>
              <w:br/>
              <w:t>KOGAS (15</w:t>
            </w:r>
            <w:r>
              <w:rPr>
                <w:rFonts w:cs="Arial"/>
                <w:color w:val="333333"/>
                <w:szCs w:val="18"/>
              </w:rPr>
              <w:t xml:space="preserve"> percent</w:t>
            </w:r>
            <w:r w:rsidRPr="003A3501">
              <w:rPr>
                <w:rFonts w:cs="Arial"/>
                <w:color w:val="333333"/>
                <w:szCs w:val="18"/>
              </w:rPr>
              <w:t>)</w:t>
            </w:r>
          </w:p>
        </w:tc>
        <w:tc>
          <w:tcPr>
            <w:tcW w:w="1134" w:type="dxa"/>
          </w:tcPr>
          <w:p w14:paraId="4020D725"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QLD</w:t>
            </w:r>
          </w:p>
          <w:p w14:paraId="46EA787D"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Bowen and Surat</w:t>
            </w:r>
          </w:p>
          <w:p w14:paraId="2C1D2948"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Gladstone</w:t>
            </w:r>
          </w:p>
        </w:tc>
        <w:tc>
          <w:tcPr>
            <w:tcW w:w="1327" w:type="dxa"/>
          </w:tcPr>
          <w:p w14:paraId="75C568C6"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FID Jan 2011</w:t>
            </w:r>
          </w:p>
          <w:p w14:paraId="315167EB"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FG Oct 2015</w:t>
            </w:r>
          </w:p>
        </w:tc>
        <w:tc>
          <w:tcPr>
            <w:tcW w:w="1083" w:type="dxa"/>
          </w:tcPr>
          <w:p w14:paraId="1B0C831B"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7.8 Mtpa</w:t>
            </w:r>
          </w:p>
          <w:p w14:paraId="4A0E6964"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2 trains</w:t>
            </w:r>
          </w:p>
        </w:tc>
        <w:tc>
          <w:tcPr>
            <w:tcW w:w="1171" w:type="dxa"/>
            <w:tcBorders>
              <w:right w:val="single" w:sz="4" w:space="0" w:color="auto"/>
            </w:tcBorders>
          </w:tcPr>
          <w:p w14:paraId="25EDFF37"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A$18.5b</w:t>
            </w:r>
          </w:p>
          <w:p w14:paraId="3664AB4F"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p>
        </w:tc>
      </w:tr>
      <w:tr w:rsidR="00067FAB" w:rsidRPr="003A3501" w14:paraId="0076BAC4" w14:textId="77777777" w:rsidTr="00FA03F9">
        <w:tc>
          <w:tcPr>
            <w:cnfStyle w:val="001000000000" w:firstRow="0" w:lastRow="0" w:firstColumn="1" w:lastColumn="0" w:oddVBand="0" w:evenVBand="0" w:oddHBand="0" w:evenHBand="0" w:firstRowFirstColumn="0" w:firstRowLastColumn="0" w:lastRowFirstColumn="0" w:lastRowLastColumn="0"/>
            <w:tcW w:w="1208" w:type="dxa"/>
          </w:tcPr>
          <w:p w14:paraId="3A96A664" w14:textId="77777777" w:rsidR="00067FAB" w:rsidRPr="003A3501" w:rsidRDefault="00067FAB" w:rsidP="009B5469">
            <w:pPr>
              <w:keepLines/>
              <w:suppressAutoHyphens/>
              <w:spacing w:line="260" w:lineRule="exact"/>
              <w:rPr>
                <w:rFonts w:cs="Arial"/>
                <w:color w:val="333333"/>
                <w:szCs w:val="22"/>
              </w:rPr>
            </w:pPr>
            <w:r w:rsidRPr="003A3501">
              <w:rPr>
                <w:rFonts w:cs="Arial"/>
                <w:color w:val="333333"/>
                <w:szCs w:val="22"/>
              </w:rPr>
              <w:t>Australia-Pacific LNG</w:t>
            </w:r>
          </w:p>
        </w:tc>
        <w:tc>
          <w:tcPr>
            <w:tcW w:w="2903" w:type="dxa"/>
          </w:tcPr>
          <w:p w14:paraId="407A17BB" w14:textId="77777777" w:rsidR="00067FAB"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50047E">
              <w:rPr>
                <w:rFonts w:cs="Arial"/>
                <w:b/>
                <w:color w:val="333333"/>
                <w:szCs w:val="18"/>
              </w:rPr>
              <w:t>Origin Energy</w:t>
            </w:r>
            <w:r w:rsidRPr="003A3501">
              <w:rPr>
                <w:rFonts w:cs="Arial"/>
                <w:color w:val="333333"/>
                <w:szCs w:val="18"/>
              </w:rPr>
              <w:t xml:space="preserve"> (37.5</w:t>
            </w:r>
            <w:r>
              <w:rPr>
                <w:rFonts w:cs="Arial"/>
                <w:color w:val="333333"/>
                <w:szCs w:val="18"/>
              </w:rPr>
              <w:t xml:space="preserve"> percent</w:t>
            </w:r>
            <w:r w:rsidRPr="003A3501" w:rsidDel="0026211E">
              <w:rPr>
                <w:rFonts w:cs="Arial"/>
                <w:color w:val="333333"/>
                <w:szCs w:val="18"/>
              </w:rPr>
              <w:t xml:space="preserve"> </w:t>
            </w:r>
            <w:r w:rsidRPr="003A3501">
              <w:rPr>
                <w:rFonts w:cs="Arial"/>
                <w:color w:val="333333"/>
                <w:szCs w:val="18"/>
              </w:rPr>
              <w:t>)</w:t>
            </w:r>
          </w:p>
          <w:p w14:paraId="26ED2CC3" w14:textId="77777777" w:rsidR="00067FAB" w:rsidRPr="003A3501" w:rsidRDefault="00067FAB" w:rsidP="009B5469">
            <w:pPr>
              <w:keepLines/>
              <w:suppressAutoHyphens/>
              <w:spacing w:before="120"/>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ConocoPhillips (37.5</w:t>
            </w:r>
            <w:r>
              <w:rPr>
                <w:rFonts w:cs="Arial"/>
                <w:color w:val="333333"/>
                <w:szCs w:val="18"/>
              </w:rPr>
              <w:t xml:space="preserve"> percent</w:t>
            </w:r>
            <w:r w:rsidRPr="003A3501" w:rsidDel="0026211E">
              <w:rPr>
                <w:rFonts w:cs="Arial"/>
                <w:color w:val="333333"/>
                <w:szCs w:val="18"/>
              </w:rPr>
              <w:t xml:space="preserve"> </w:t>
            </w:r>
            <w:r w:rsidRPr="003A3501">
              <w:rPr>
                <w:rFonts w:cs="Arial"/>
                <w:color w:val="333333"/>
                <w:szCs w:val="18"/>
              </w:rPr>
              <w:t>)</w:t>
            </w:r>
            <w:r w:rsidRPr="003A3501">
              <w:rPr>
                <w:rFonts w:cs="Arial"/>
                <w:color w:val="333333"/>
                <w:szCs w:val="18"/>
              </w:rPr>
              <w:br/>
              <w:t>Sinopec (25</w:t>
            </w:r>
            <w:r>
              <w:rPr>
                <w:rFonts w:cs="Arial"/>
                <w:color w:val="333333"/>
                <w:szCs w:val="18"/>
              </w:rPr>
              <w:t xml:space="preserve"> percent</w:t>
            </w:r>
            <w:r w:rsidRPr="003A3501" w:rsidDel="0026211E">
              <w:rPr>
                <w:rFonts w:cs="Arial"/>
                <w:color w:val="333333"/>
                <w:szCs w:val="18"/>
              </w:rPr>
              <w:t xml:space="preserve"> </w:t>
            </w:r>
            <w:r w:rsidRPr="003A3501">
              <w:rPr>
                <w:rFonts w:cs="Arial"/>
                <w:color w:val="333333"/>
                <w:szCs w:val="18"/>
              </w:rPr>
              <w:t>)</w:t>
            </w:r>
          </w:p>
        </w:tc>
        <w:tc>
          <w:tcPr>
            <w:tcW w:w="1134" w:type="dxa"/>
          </w:tcPr>
          <w:p w14:paraId="73DB07C8"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QLD Bowen and Surat</w:t>
            </w:r>
          </w:p>
          <w:p w14:paraId="34C686C8"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Gladstone</w:t>
            </w:r>
          </w:p>
        </w:tc>
        <w:tc>
          <w:tcPr>
            <w:tcW w:w="1327" w:type="dxa"/>
          </w:tcPr>
          <w:p w14:paraId="3F2D7BB3"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FID T1 Jul 2011</w:t>
            </w:r>
            <w:r w:rsidRPr="003A3501">
              <w:rPr>
                <w:rFonts w:cs="Arial"/>
                <w:color w:val="333333"/>
                <w:szCs w:val="18"/>
              </w:rPr>
              <w:br/>
              <w:t xml:space="preserve">       T2 Jul 2012</w:t>
            </w:r>
          </w:p>
          <w:p w14:paraId="4EEF6216"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 xml:space="preserve">FG Jan 2016 </w:t>
            </w:r>
          </w:p>
        </w:tc>
        <w:tc>
          <w:tcPr>
            <w:tcW w:w="1083" w:type="dxa"/>
          </w:tcPr>
          <w:p w14:paraId="5092BA96"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9 Mtpa</w:t>
            </w:r>
          </w:p>
          <w:p w14:paraId="280CE91B"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2 trains</w:t>
            </w:r>
          </w:p>
        </w:tc>
        <w:tc>
          <w:tcPr>
            <w:tcW w:w="1171" w:type="dxa"/>
            <w:tcBorders>
              <w:right w:val="single" w:sz="4" w:space="0" w:color="auto"/>
            </w:tcBorders>
          </w:tcPr>
          <w:p w14:paraId="125777C5"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A$24.7b</w:t>
            </w:r>
          </w:p>
          <w:p w14:paraId="409A7491"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p>
        </w:tc>
      </w:tr>
      <w:tr w:rsidR="00067FAB" w:rsidRPr="003A3501" w14:paraId="035B22DE" w14:textId="77777777" w:rsidTr="00FA03F9">
        <w:tc>
          <w:tcPr>
            <w:cnfStyle w:val="001000000000" w:firstRow="0" w:lastRow="0" w:firstColumn="1" w:lastColumn="0" w:oddVBand="0" w:evenVBand="0" w:oddHBand="0" w:evenHBand="0" w:firstRowFirstColumn="0" w:firstRowLastColumn="0" w:lastRowFirstColumn="0" w:lastRowLastColumn="0"/>
            <w:tcW w:w="1208" w:type="dxa"/>
          </w:tcPr>
          <w:p w14:paraId="65E7ADBE" w14:textId="145C2563" w:rsidR="00067FAB" w:rsidRPr="003A3501" w:rsidRDefault="00067FAB" w:rsidP="0086587D">
            <w:pPr>
              <w:keepLines/>
              <w:suppressAutoHyphens/>
              <w:spacing w:line="260" w:lineRule="exact"/>
              <w:rPr>
                <w:rFonts w:cs="Arial"/>
                <w:color w:val="333333"/>
                <w:szCs w:val="22"/>
              </w:rPr>
            </w:pPr>
            <w:r w:rsidRPr="003A3501">
              <w:rPr>
                <w:rFonts w:cs="Arial"/>
                <w:color w:val="333333"/>
                <w:szCs w:val="22"/>
              </w:rPr>
              <w:t xml:space="preserve">Gorgon LNG </w:t>
            </w:r>
          </w:p>
        </w:tc>
        <w:tc>
          <w:tcPr>
            <w:tcW w:w="2903" w:type="dxa"/>
          </w:tcPr>
          <w:p w14:paraId="0401493D" w14:textId="10003274" w:rsidR="00067FAB"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50047E">
              <w:rPr>
                <w:rFonts w:cs="Arial"/>
                <w:b/>
                <w:color w:val="333333"/>
                <w:szCs w:val="18"/>
              </w:rPr>
              <w:t>Chevron</w:t>
            </w:r>
            <w:r w:rsidR="0086587D">
              <w:rPr>
                <w:rFonts w:cs="Arial"/>
                <w:color w:val="333333"/>
                <w:szCs w:val="18"/>
              </w:rPr>
              <w:t xml:space="preserve"> (</w:t>
            </w:r>
            <w:r w:rsidRPr="003A3501">
              <w:rPr>
                <w:rFonts w:cs="Arial"/>
                <w:color w:val="333333"/>
                <w:szCs w:val="18"/>
              </w:rPr>
              <w:t>47.333</w:t>
            </w:r>
            <w:r>
              <w:rPr>
                <w:rFonts w:cs="Arial"/>
                <w:color w:val="333333"/>
                <w:szCs w:val="18"/>
              </w:rPr>
              <w:t xml:space="preserve"> percent</w:t>
            </w:r>
            <w:r w:rsidRPr="003A3501">
              <w:rPr>
                <w:rFonts w:cs="Arial"/>
                <w:color w:val="333333"/>
                <w:szCs w:val="18"/>
              </w:rPr>
              <w:t>)</w:t>
            </w:r>
          </w:p>
          <w:p w14:paraId="406367BA"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ExxonMobil (25</w:t>
            </w:r>
            <w:r>
              <w:rPr>
                <w:rFonts w:cs="Arial"/>
                <w:color w:val="333333"/>
                <w:szCs w:val="18"/>
              </w:rPr>
              <w:t xml:space="preserve"> percent</w:t>
            </w:r>
            <w:r w:rsidRPr="003A3501">
              <w:rPr>
                <w:rFonts w:cs="Arial"/>
                <w:color w:val="333333"/>
                <w:szCs w:val="18"/>
              </w:rPr>
              <w:t xml:space="preserve">) </w:t>
            </w:r>
            <w:r w:rsidRPr="003A3501">
              <w:rPr>
                <w:rFonts w:cs="Arial"/>
                <w:color w:val="333333"/>
                <w:szCs w:val="18"/>
              </w:rPr>
              <w:br/>
              <w:t>Shell (25</w:t>
            </w:r>
            <w:r>
              <w:rPr>
                <w:rFonts w:cs="Arial"/>
                <w:color w:val="333333"/>
                <w:szCs w:val="18"/>
              </w:rPr>
              <w:t xml:space="preserve"> percent</w:t>
            </w:r>
            <w:r w:rsidRPr="003A3501">
              <w:rPr>
                <w:rFonts w:cs="Arial"/>
                <w:color w:val="333333"/>
                <w:szCs w:val="18"/>
              </w:rPr>
              <w:t>)</w:t>
            </w:r>
            <w:r w:rsidRPr="003A3501">
              <w:rPr>
                <w:rFonts w:cs="Arial"/>
                <w:color w:val="333333"/>
                <w:szCs w:val="18"/>
              </w:rPr>
              <w:br/>
              <w:t>Osaka Gas (1.25</w:t>
            </w:r>
            <w:r>
              <w:rPr>
                <w:rFonts w:cs="Arial"/>
                <w:color w:val="333333"/>
                <w:szCs w:val="18"/>
              </w:rPr>
              <w:t xml:space="preserve"> percent</w:t>
            </w:r>
            <w:r w:rsidRPr="003A3501">
              <w:rPr>
                <w:rFonts w:cs="Arial"/>
                <w:color w:val="333333"/>
                <w:szCs w:val="18"/>
              </w:rPr>
              <w:t>)</w:t>
            </w:r>
            <w:r w:rsidRPr="003A3501">
              <w:rPr>
                <w:rFonts w:cs="Arial"/>
                <w:color w:val="333333"/>
                <w:szCs w:val="18"/>
              </w:rPr>
              <w:br/>
              <w:t>Tokyo Gas (1</w:t>
            </w:r>
            <w:r>
              <w:rPr>
                <w:rFonts w:cs="Arial"/>
                <w:color w:val="333333"/>
                <w:szCs w:val="18"/>
              </w:rPr>
              <w:t xml:space="preserve"> percent</w:t>
            </w:r>
            <w:r w:rsidRPr="003A3501">
              <w:rPr>
                <w:rFonts w:cs="Arial"/>
                <w:color w:val="333333"/>
                <w:szCs w:val="18"/>
              </w:rPr>
              <w:t>)</w:t>
            </w:r>
            <w:r w:rsidRPr="003A3501">
              <w:rPr>
                <w:rFonts w:cs="Arial"/>
                <w:color w:val="333333"/>
                <w:szCs w:val="18"/>
              </w:rPr>
              <w:br/>
            </w:r>
            <w:r>
              <w:rPr>
                <w:rFonts w:cs="Arial"/>
                <w:color w:val="333333"/>
                <w:szCs w:val="18"/>
              </w:rPr>
              <w:t>JERA</w:t>
            </w:r>
            <w:r w:rsidRPr="003A3501">
              <w:rPr>
                <w:rFonts w:cs="Arial"/>
                <w:color w:val="333333"/>
                <w:szCs w:val="18"/>
              </w:rPr>
              <w:t xml:space="preserve"> (0.417</w:t>
            </w:r>
            <w:r>
              <w:rPr>
                <w:rFonts w:cs="Arial"/>
                <w:color w:val="333333"/>
                <w:szCs w:val="18"/>
              </w:rPr>
              <w:t xml:space="preserve"> percent</w:t>
            </w:r>
            <w:r w:rsidRPr="003A3501">
              <w:rPr>
                <w:rFonts w:cs="Arial"/>
                <w:color w:val="333333"/>
                <w:szCs w:val="18"/>
              </w:rPr>
              <w:t>)</w:t>
            </w:r>
          </w:p>
        </w:tc>
        <w:tc>
          <w:tcPr>
            <w:tcW w:w="1134" w:type="dxa"/>
          </w:tcPr>
          <w:p w14:paraId="408F17BF"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WA</w:t>
            </w:r>
          </w:p>
          <w:p w14:paraId="4C8ED7AC"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Carnarvon</w:t>
            </w:r>
          </w:p>
          <w:p w14:paraId="1EF4C0CC"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Barrow Island</w:t>
            </w:r>
          </w:p>
        </w:tc>
        <w:tc>
          <w:tcPr>
            <w:tcW w:w="1327" w:type="dxa"/>
          </w:tcPr>
          <w:p w14:paraId="2E950763"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FID 2009</w:t>
            </w:r>
          </w:p>
          <w:p w14:paraId="26491A10"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FG Mar 2016</w:t>
            </w:r>
          </w:p>
        </w:tc>
        <w:tc>
          <w:tcPr>
            <w:tcW w:w="1083" w:type="dxa"/>
          </w:tcPr>
          <w:p w14:paraId="5D799B06" w14:textId="77777777" w:rsidR="00067FAB"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LNG – 15</w:t>
            </w:r>
            <w:r>
              <w:rPr>
                <w:rFonts w:cs="Arial"/>
                <w:color w:val="333333"/>
                <w:szCs w:val="18"/>
              </w:rPr>
              <w:t>.6</w:t>
            </w:r>
            <w:r w:rsidRPr="003A3501">
              <w:rPr>
                <w:rFonts w:cs="Arial"/>
                <w:color w:val="333333"/>
                <w:szCs w:val="18"/>
              </w:rPr>
              <w:t xml:space="preserve"> Mtpa</w:t>
            </w:r>
            <w:r w:rsidRPr="003A3501">
              <w:rPr>
                <w:rFonts w:cs="Arial"/>
                <w:color w:val="333333"/>
                <w:szCs w:val="18"/>
              </w:rPr>
              <w:br/>
              <w:t xml:space="preserve">3 trains </w:t>
            </w:r>
          </w:p>
          <w:p w14:paraId="4A116904" w14:textId="75EE1BEB"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p>
        </w:tc>
        <w:tc>
          <w:tcPr>
            <w:tcW w:w="1171" w:type="dxa"/>
            <w:tcBorders>
              <w:right w:val="single" w:sz="4" w:space="0" w:color="auto"/>
            </w:tcBorders>
          </w:tcPr>
          <w:p w14:paraId="18F68EA1"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US$</w:t>
            </w:r>
            <w:r>
              <w:rPr>
                <w:rFonts w:cs="Arial"/>
                <w:color w:val="333333"/>
                <w:szCs w:val="18"/>
              </w:rPr>
              <w:t>60</w:t>
            </w:r>
            <w:r w:rsidRPr="003A3501">
              <w:rPr>
                <w:rFonts w:cs="Arial"/>
                <w:color w:val="333333"/>
                <w:szCs w:val="18"/>
              </w:rPr>
              <w:t>b</w:t>
            </w:r>
          </w:p>
          <w:p w14:paraId="45CA779A" w14:textId="0E182FC3"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p>
        </w:tc>
      </w:tr>
      <w:tr w:rsidR="00067FAB" w:rsidRPr="003A3501" w14:paraId="1656DA77" w14:textId="77777777" w:rsidTr="00FA03F9">
        <w:tc>
          <w:tcPr>
            <w:cnfStyle w:val="001000000000" w:firstRow="0" w:lastRow="0" w:firstColumn="1" w:lastColumn="0" w:oddVBand="0" w:evenVBand="0" w:oddHBand="0" w:evenHBand="0" w:firstRowFirstColumn="0" w:firstRowLastColumn="0" w:lastRowFirstColumn="0" w:lastRowLastColumn="0"/>
            <w:tcW w:w="1208" w:type="dxa"/>
          </w:tcPr>
          <w:p w14:paraId="5A5562E8" w14:textId="108642F0" w:rsidR="00067FAB" w:rsidRPr="003A3501" w:rsidRDefault="00067FAB" w:rsidP="0086587D">
            <w:pPr>
              <w:keepLines/>
              <w:suppressAutoHyphens/>
              <w:spacing w:line="260" w:lineRule="exact"/>
              <w:rPr>
                <w:rFonts w:cs="Arial"/>
                <w:color w:val="333333"/>
                <w:szCs w:val="22"/>
              </w:rPr>
            </w:pPr>
            <w:r w:rsidRPr="003A3501">
              <w:rPr>
                <w:rFonts w:cs="Arial"/>
                <w:color w:val="333333"/>
                <w:szCs w:val="22"/>
              </w:rPr>
              <w:t xml:space="preserve">Wheatstone LNG </w:t>
            </w:r>
          </w:p>
        </w:tc>
        <w:tc>
          <w:tcPr>
            <w:tcW w:w="2903" w:type="dxa"/>
          </w:tcPr>
          <w:p w14:paraId="18C04A55" w14:textId="58FA0584" w:rsidR="00067FAB"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50047E">
              <w:rPr>
                <w:rFonts w:cs="Arial"/>
                <w:b/>
                <w:color w:val="333333"/>
                <w:szCs w:val="18"/>
              </w:rPr>
              <w:t xml:space="preserve">Chevron </w:t>
            </w:r>
            <w:r w:rsidR="0086587D">
              <w:rPr>
                <w:rFonts w:cs="Arial"/>
                <w:color w:val="333333"/>
                <w:szCs w:val="18"/>
              </w:rPr>
              <w:t>(</w:t>
            </w:r>
            <w:r w:rsidRPr="003A3501">
              <w:rPr>
                <w:rFonts w:cs="Arial"/>
                <w:color w:val="333333"/>
                <w:szCs w:val="18"/>
              </w:rPr>
              <w:t>64.14</w:t>
            </w:r>
            <w:r>
              <w:rPr>
                <w:rFonts w:cs="Arial"/>
                <w:color w:val="333333"/>
                <w:szCs w:val="18"/>
              </w:rPr>
              <w:t xml:space="preserve"> percent*</w:t>
            </w:r>
            <w:r w:rsidRPr="003A3501">
              <w:rPr>
                <w:rFonts w:cs="Arial"/>
                <w:color w:val="333333"/>
                <w:szCs w:val="18"/>
              </w:rPr>
              <w:t>)</w:t>
            </w:r>
          </w:p>
          <w:p w14:paraId="23F04F82" w14:textId="77777777" w:rsidR="00067FAB" w:rsidRDefault="00067FAB" w:rsidP="009B5469">
            <w:pPr>
              <w:keepLines/>
              <w:suppressAutoHyphens/>
              <w:spacing w:before="120"/>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Woodside (13</w:t>
            </w:r>
            <w:r>
              <w:t xml:space="preserve"> </w:t>
            </w:r>
            <w:r>
              <w:rPr>
                <w:rFonts w:cs="Arial"/>
                <w:color w:val="333333"/>
                <w:szCs w:val="18"/>
              </w:rPr>
              <w:t>percent</w:t>
            </w:r>
            <w:r w:rsidRPr="003A3501" w:rsidDel="0026211E">
              <w:rPr>
                <w:rFonts w:cs="Arial"/>
                <w:color w:val="333333"/>
                <w:szCs w:val="18"/>
              </w:rPr>
              <w:t xml:space="preserve"> </w:t>
            </w:r>
            <w:r w:rsidRPr="003A3501">
              <w:rPr>
                <w:rFonts w:cs="Arial"/>
                <w:color w:val="333333"/>
                <w:szCs w:val="18"/>
              </w:rPr>
              <w:t>)</w:t>
            </w:r>
          </w:p>
          <w:p w14:paraId="552703A5" w14:textId="77777777" w:rsidR="00067FAB"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KUFPEC (13.4</w:t>
            </w:r>
            <w:r>
              <w:rPr>
                <w:rFonts w:cs="Arial"/>
                <w:color w:val="333333"/>
                <w:szCs w:val="18"/>
              </w:rPr>
              <w:t xml:space="preserve"> percent</w:t>
            </w:r>
            <w:r w:rsidRPr="003A3501" w:rsidDel="0026211E">
              <w:rPr>
                <w:rFonts w:cs="Arial"/>
                <w:color w:val="333333"/>
                <w:szCs w:val="18"/>
              </w:rPr>
              <w:t xml:space="preserve"> </w:t>
            </w:r>
            <w:r w:rsidRPr="003A3501">
              <w:rPr>
                <w:rFonts w:cs="Arial"/>
                <w:color w:val="333333"/>
                <w:szCs w:val="18"/>
              </w:rPr>
              <w:t>)</w:t>
            </w:r>
          </w:p>
          <w:p w14:paraId="54C3AD7A" w14:textId="77777777" w:rsidR="00067FAB"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Kyushu Electric (1.46</w:t>
            </w:r>
            <w:r>
              <w:rPr>
                <w:rFonts w:cs="Arial"/>
                <w:color w:val="333333"/>
                <w:szCs w:val="18"/>
              </w:rPr>
              <w:t xml:space="preserve"> percent</w:t>
            </w:r>
            <w:r w:rsidRPr="003A3501">
              <w:rPr>
                <w:rFonts w:cs="Arial"/>
                <w:color w:val="333333"/>
                <w:szCs w:val="18"/>
              </w:rPr>
              <w:t>), PE Wheatstone</w:t>
            </w:r>
            <w:r>
              <w:rPr>
                <w:rFonts w:cs="Arial"/>
                <w:color w:val="333333"/>
                <w:szCs w:val="18"/>
              </w:rPr>
              <w:t xml:space="preserve"> part owned by JERA</w:t>
            </w:r>
            <w:r w:rsidRPr="003A3501">
              <w:rPr>
                <w:rFonts w:cs="Arial"/>
                <w:color w:val="333333"/>
                <w:szCs w:val="18"/>
              </w:rPr>
              <w:t xml:space="preserve"> (8</w:t>
            </w:r>
            <w:r>
              <w:rPr>
                <w:rFonts w:cs="Arial"/>
                <w:color w:val="333333"/>
                <w:szCs w:val="18"/>
              </w:rPr>
              <w:t xml:space="preserve"> percent</w:t>
            </w:r>
            <w:r w:rsidRPr="003A3501">
              <w:rPr>
                <w:rFonts w:cs="Arial"/>
                <w:color w:val="333333"/>
                <w:szCs w:val="18"/>
              </w:rPr>
              <w:t xml:space="preserve">) </w:t>
            </w:r>
          </w:p>
          <w:p w14:paraId="71E307AB"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Pr>
                <w:rFonts w:cs="Arial"/>
                <w:color w:val="333333"/>
                <w:szCs w:val="18"/>
              </w:rPr>
              <w:t>*Plant. Gas field Chevron (80.17 percent and PEW 10 percent)</w:t>
            </w:r>
          </w:p>
        </w:tc>
        <w:tc>
          <w:tcPr>
            <w:tcW w:w="1134" w:type="dxa"/>
          </w:tcPr>
          <w:p w14:paraId="2DAA2FF8"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WA</w:t>
            </w:r>
          </w:p>
          <w:p w14:paraId="74FF18E1"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Carnarvon</w:t>
            </w:r>
          </w:p>
          <w:p w14:paraId="796A5D21"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Onslow</w:t>
            </w:r>
          </w:p>
        </w:tc>
        <w:tc>
          <w:tcPr>
            <w:tcW w:w="1327" w:type="dxa"/>
          </w:tcPr>
          <w:p w14:paraId="0083C2B0"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FID Sept 2011</w:t>
            </w:r>
          </w:p>
          <w:p w14:paraId="59D08B9D"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 xml:space="preserve">FG </w:t>
            </w:r>
            <w:r>
              <w:rPr>
                <w:rFonts w:cs="Arial"/>
                <w:color w:val="333333"/>
                <w:szCs w:val="18"/>
              </w:rPr>
              <w:t>Oct -</w:t>
            </w:r>
            <w:r w:rsidRPr="003A3501">
              <w:rPr>
                <w:rFonts w:cs="Arial"/>
                <w:color w:val="333333"/>
                <w:szCs w:val="18"/>
              </w:rPr>
              <w:t>2017</w:t>
            </w:r>
          </w:p>
        </w:tc>
        <w:tc>
          <w:tcPr>
            <w:tcW w:w="1083" w:type="dxa"/>
          </w:tcPr>
          <w:p w14:paraId="3EA91605" w14:textId="58023447" w:rsidR="00067FAB" w:rsidRPr="003A3501" w:rsidRDefault="0086587D"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Pr>
                <w:rFonts w:cs="Arial"/>
                <w:color w:val="333333"/>
                <w:szCs w:val="18"/>
              </w:rPr>
              <w:t>LNG - 8.9 Mtpa</w:t>
            </w:r>
            <w:r>
              <w:rPr>
                <w:rFonts w:cs="Arial"/>
                <w:color w:val="333333"/>
                <w:szCs w:val="18"/>
              </w:rPr>
              <w:br/>
              <w:t>2 trains</w:t>
            </w:r>
          </w:p>
        </w:tc>
        <w:tc>
          <w:tcPr>
            <w:tcW w:w="1171" w:type="dxa"/>
            <w:tcBorders>
              <w:right w:val="single" w:sz="4" w:space="0" w:color="auto"/>
            </w:tcBorders>
          </w:tcPr>
          <w:p w14:paraId="77BE80A6"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Pr>
                <w:rFonts w:cs="Arial"/>
                <w:color w:val="333333"/>
                <w:szCs w:val="18"/>
              </w:rPr>
              <w:t>US$34</w:t>
            </w:r>
            <w:r w:rsidRPr="003A3501">
              <w:rPr>
                <w:rFonts w:cs="Arial"/>
                <w:color w:val="333333"/>
                <w:szCs w:val="18"/>
              </w:rPr>
              <w:t>b</w:t>
            </w:r>
          </w:p>
          <w:p w14:paraId="4057AB6C" w14:textId="77777777" w:rsidR="00067FAB"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p>
          <w:p w14:paraId="7E582380"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p>
        </w:tc>
      </w:tr>
      <w:tr w:rsidR="00067FAB" w:rsidRPr="003A3501" w14:paraId="15A48074" w14:textId="77777777" w:rsidTr="00FA03F9">
        <w:tc>
          <w:tcPr>
            <w:cnfStyle w:val="001000000000" w:firstRow="0" w:lastRow="0" w:firstColumn="1" w:lastColumn="0" w:oddVBand="0" w:evenVBand="0" w:oddHBand="0" w:evenHBand="0" w:firstRowFirstColumn="0" w:firstRowLastColumn="0" w:lastRowFirstColumn="0" w:lastRowLastColumn="0"/>
            <w:tcW w:w="1208" w:type="dxa"/>
          </w:tcPr>
          <w:p w14:paraId="1D07CF8A" w14:textId="6BB6EAF2" w:rsidR="00067FAB" w:rsidRPr="003A3501" w:rsidRDefault="00067FAB" w:rsidP="0086587D">
            <w:pPr>
              <w:keepLines/>
              <w:suppressAutoHyphens/>
              <w:spacing w:line="260" w:lineRule="exact"/>
              <w:rPr>
                <w:rFonts w:cs="Arial"/>
                <w:color w:val="333333"/>
                <w:szCs w:val="22"/>
              </w:rPr>
            </w:pPr>
            <w:r w:rsidRPr="003A3501">
              <w:rPr>
                <w:rFonts w:cs="Arial"/>
                <w:color w:val="333333"/>
                <w:szCs w:val="22"/>
              </w:rPr>
              <w:t xml:space="preserve">Ichthys LNG </w:t>
            </w:r>
          </w:p>
        </w:tc>
        <w:tc>
          <w:tcPr>
            <w:tcW w:w="2903" w:type="dxa"/>
            <w:vAlign w:val="center"/>
          </w:tcPr>
          <w:p w14:paraId="4FB19F79" w14:textId="77777777" w:rsidR="00067FAB"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I</w:t>
            </w:r>
            <w:r w:rsidRPr="0050047E">
              <w:rPr>
                <w:rFonts w:cs="Arial"/>
                <w:b/>
                <w:color w:val="333333"/>
                <w:szCs w:val="18"/>
              </w:rPr>
              <w:t>NPEX</w:t>
            </w:r>
            <w:r>
              <w:rPr>
                <w:rFonts w:cs="Arial"/>
                <w:color w:val="333333"/>
                <w:szCs w:val="18"/>
              </w:rPr>
              <w:t xml:space="preserve"> (</w:t>
            </w:r>
            <w:r w:rsidRPr="003A3501">
              <w:rPr>
                <w:rFonts w:cs="Arial"/>
                <w:color w:val="333333"/>
                <w:szCs w:val="18"/>
              </w:rPr>
              <w:t>62.245</w:t>
            </w:r>
            <w:r>
              <w:rPr>
                <w:rFonts w:cs="Arial"/>
                <w:color w:val="333333"/>
                <w:szCs w:val="18"/>
              </w:rPr>
              <w:t xml:space="preserve"> percent</w:t>
            </w:r>
            <w:r w:rsidRPr="003A3501">
              <w:rPr>
                <w:rFonts w:cs="Arial"/>
                <w:color w:val="333333"/>
                <w:szCs w:val="18"/>
              </w:rPr>
              <w:t>)</w:t>
            </w:r>
          </w:p>
          <w:p w14:paraId="6C3FC397" w14:textId="77777777" w:rsidR="00067FAB" w:rsidRPr="0050047E"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b/>
                <w:color w:val="333333"/>
                <w:szCs w:val="18"/>
              </w:rPr>
            </w:pPr>
            <w:r w:rsidRPr="003A3501">
              <w:rPr>
                <w:rFonts w:cs="Arial"/>
                <w:color w:val="333333"/>
                <w:szCs w:val="18"/>
              </w:rPr>
              <w:t>Total (30</w:t>
            </w:r>
            <w:r>
              <w:rPr>
                <w:rFonts w:cs="Arial"/>
                <w:color w:val="333333"/>
                <w:szCs w:val="18"/>
              </w:rPr>
              <w:t xml:space="preserve"> percent</w:t>
            </w:r>
            <w:r w:rsidRPr="003A3501" w:rsidDel="0026211E">
              <w:rPr>
                <w:rFonts w:cs="Arial"/>
                <w:color w:val="333333"/>
                <w:szCs w:val="18"/>
              </w:rPr>
              <w:t xml:space="preserve"> </w:t>
            </w:r>
            <w:r w:rsidRPr="003A3501">
              <w:rPr>
                <w:rFonts w:cs="Arial"/>
                <w:color w:val="333333"/>
                <w:szCs w:val="18"/>
              </w:rPr>
              <w:t>)</w:t>
            </w:r>
            <w:r w:rsidRPr="003A3501">
              <w:rPr>
                <w:rFonts w:cs="Arial"/>
                <w:color w:val="333333"/>
                <w:szCs w:val="18"/>
              </w:rPr>
              <w:br/>
              <w:t>CPC Corporation Taiwan (2.625</w:t>
            </w:r>
            <w:r>
              <w:rPr>
                <w:rFonts w:cs="Arial"/>
                <w:color w:val="333333"/>
                <w:szCs w:val="18"/>
              </w:rPr>
              <w:t xml:space="preserve"> percent</w:t>
            </w:r>
            <w:r w:rsidRPr="003A3501">
              <w:rPr>
                <w:rFonts w:cs="Arial"/>
                <w:color w:val="333333"/>
                <w:szCs w:val="18"/>
              </w:rPr>
              <w:t>)</w:t>
            </w:r>
            <w:r w:rsidRPr="003A3501">
              <w:rPr>
                <w:rFonts w:cs="Arial"/>
                <w:color w:val="333333"/>
                <w:szCs w:val="18"/>
              </w:rPr>
              <w:br/>
              <w:t>Tokyo Gas (1.575</w:t>
            </w:r>
            <w:r>
              <w:rPr>
                <w:rFonts w:cs="Arial"/>
                <w:color w:val="333333"/>
                <w:szCs w:val="18"/>
              </w:rPr>
              <w:t xml:space="preserve"> percent</w:t>
            </w:r>
            <w:r w:rsidRPr="003A3501">
              <w:rPr>
                <w:rFonts w:cs="Arial"/>
                <w:color w:val="333333"/>
                <w:szCs w:val="18"/>
              </w:rPr>
              <w:t>)</w:t>
            </w:r>
            <w:r w:rsidRPr="003A3501">
              <w:rPr>
                <w:rFonts w:cs="Arial"/>
                <w:color w:val="333333"/>
                <w:szCs w:val="18"/>
              </w:rPr>
              <w:br/>
              <w:t>Osaka Gas (1.2</w:t>
            </w:r>
            <w:r>
              <w:rPr>
                <w:rFonts w:cs="Arial"/>
                <w:color w:val="333333"/>
                <w:szCs w:val="18"/>
              </w:rPr>
              <w:t xml:space="preserve"> percent</w:t>
            </w:r>
            <w:r w:rsidRPr="003A3501">
              <w:rPr>
                <w:rFonts w:cs="Arial"/>
                <w:color w:val="333333"/>
                <w:szCs w:val="18"/>
              </w:rPr>
              <w:t>)</w:t>
            </w:r>
            <w:r w:rsidRPr="003A3501">
              <w:rPr>
                <w:rFonts w:cs="Arial"/>
                <w:color w:val="333333"/>
                <w:szCs w:val="18"/>
              </w:rPr>
              <w:br/>
              <w:t>Kansai Electric Power (1.2</w:t>
            </w:r>
            <w:r>
              <w:rPr>
                <w:rFonts w:cs="Arial"/>
                <w:color w:val="333333"/>
                <w:szCs w:val="18"/>
              </w:rPr>
              <w:t xml:space="preserve"> percent</w:t>
            </w:r>
            <w:r w:rsidRPr="003A3501">
              <w:rPr>
                <w:rFonts w:cs="Arial"/>
                <w:color w:val="333333"/>
                <w:szCs w:val="18"/>
              </w:rPr>
              <w:t>)</w:t>
            </w:r>
            <w:r w:rsidRPr="003A3501">
              <w:rPr>
                <w:rFonts w:cs="Arial"/>
                <w:color w:val="333333"/>
                <w:szCs w:val="18"/>
              </w:rPr>
              <w:br/>
              <w:t>Chubu Electric (0.735</w:t>
            </w:r>
            <w:r>
              <w:rPr>
                <w:rFonts w:cs="Arial"/>
                <w:color w:val="333333"/>
                <w:szCs w:val="18"/>
              </w:rPr>
              <w:t xml:space="preserve"> percent</w:t>
            </w:r>
            <w:r w:rsidRPr="003A3501">
              <w:rPr>
                <w:rFonts w:cs="Arial"/>
                <w:color w:val="333333"/>
                <w:szCs w:val="18"/>
              </w:rPr>
              <w:t>)</w:t>
            </w:r>
            <w:r w:rsidRPr="003A3501">
              <w:rPr>
                <w:rFonts w:cs="Arial"/>
                <w:color w:val="333333"/>
                <w:szCs w:val="18"/>
              </w:rPr>
              <w:br/>
              <w:t>Toho Gas (0.42</w:t>
            </w:r>
            <w:r>
              <w:rPr>
                <w:rFonts w:cs="Arial"/>
                <w:color w:val="333333"/>
                <w:szCs w:val="18"/>
              </w:rPr>
              <w:t xml:space="preserve"> percent</w:t>
            </w:r>
            <w:r w:rsidRPr="003A3501">
              <w:rPr>
                <w:rFonts w:cs="Arial"/>
                <w:color w:val="333333"/>
                <w:szCs w:val="18"/>
              </w:rPr>
              <w:t>)</w:t>
            </w:r>
          </w:p>
        </w:tc>
        <w:tc>
          <w:tcPr>
            <w:tcW w:w="1134" w:type="dxa"/>
            <w:vAlign w:val="center"/>
          </w:tcPr>
          <w:p w14:paraId="653F6181"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WA</w:t>
            </w:r>
          </w:p>
          <w:p w14:paraId="4B8C7033"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Browse</w:t>
            </w:r>
          </w:p>
          <w:p w14:paraId="65B9224D"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Darwin</w:t>
            </w:r>
          </w:p>
        </w:tc>
        <w:tc>
          <w:tcPr>
            <w:tcW w:w="1327" w:type="dxa"/>
            <w:vAlign w:val="center"/>
          </w:tcPr>
          <w:p w14:paraId="0A65D2A5"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FID Jan 2012</w:t>
            </w:r>
          </w:p>
          <w:p w14:paraId="7F4EC247"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FG</w:t>
            </w:r>
            <w:r>
              <w:rPr>
                <w:rFonts w:cs="Arial"/>
                <w:color w:val="333333"/>
                <w:szCs w:val="18"/>
              </w:rPr>
              <w:t xml:space="preserve"> Nov</w:t>
            </w:r>
            <w:r w:rsidRPr="003A3501">
              <w:rPr>
                <w:rFonts w:cs="Arial"/>
                <w:color w:val="333333"/>
                <w:szCs w:val="18"/>
              </w:rPr>
              <w:t xml:space="preserve"> 201</w:t>
            </w:r>
            <w:r>
              <w:rPr>
                <w:rFonts w:cs="Arial"/>
                <w:color w:val="333333"/>
                <w:szCs w:val="18"/>
              </w:rPr>
              <w:t>8</w:t>
            </w:r>
          </w:p>
        </w:tc>
        <w:tc>
          <w:tcPr>
            <w:tcW w:w="1083" w:type="dxa"/>
            <w:vAlign w:val="center"/>
          </w:tcPr>
          <w:p w14:paraId="0B8022CB" w14:textId="77777777" w:rsidR="00067FAB" w:rsidRPr="003A3501" w:rsidRDefault="00067FAB" w:rsidP="009B5469">
            <w:pPr>
              <w:keepLines/>
              <w:suppressAutoHyphens/>
              <w:cnfStyle w:val="000000000000" w:firstRow="0" w:lastRow="0" w:firstColumn="0" w:lastColumn="0" w:oddVBand="0" w:evenVBand="0" w:oddHBand="0" w:evenHBand="0" w:firstRowFirstColumn="0" w:firstRowLastColumn="0" w:lastRowFirstColumn="0" w:lastRowLastColumn="0"/>
              <w:rPr>
                <w:rFonts w:cs="Arial"/>
                <w:color w:val="333333"/>
                <w:szCs w:val="18"/>
              </w:rPr>
            </w:pPr>
            <w:r>
              <w:rPr>
                <w:rFonts w:cs="Arial"/>
                <w:color w:val="333333"/>
                <w:szCs w:val="18"/>
              </w:rPr>
              <w:t>8.9</w:t>
            </w:r>
            <w:r w:rsidRPr="003A3501">
              <w:rPr>
                <w:rFonts w:cs="Arial"/>
                <w:color w:val="333333"/>
                <w:szCs w:val="18"/>
              </w:rPr>
              <w:t xml:space="preserve"> Mtpa</w:t>
            </w:r>
          </w:p>
          <w:p w14:paraId="4DC3891B"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2 trains</w:t>
            </w:r>
          </w:p>
        </w:tc>
        <w:tc>
          <w:tcPr>
            <w:tcW w:w="1171" w:type="dxa"/>
            <w:tcBorders>
              <w:right w:val="single" w:sz="4" w:space="0" w:color="auto"/>
            </w:tcBorders>
            <w:vAlign w:val="center"/>
          </w:tcPr>
          <w:p w14:paraId="616FB5F6" w14:textId="77777777" w:rsidR="00067FAB"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Pr>
                <w:rFonts w:cs="Arial"/>
                <w:color w:val="333333"/>
                <w:szCs w:val="18"/>
              </w:rPr>
              <w:t>Over US$</w:t>
            </w:r>
            <w:r w:rsidRPr="003A3501">
              <w:rPr>
                <w:rFonts w:cs="Arial"/>
                <w:color w:val="333333"/>
                <w:szCs w:val="18"/>
              </w:rPr>
              <w:t>4</w:t>
            </w:r>
            <w:r>
              <w:rPr>
                <w:rFonts w:cs="Arial"/>
                <w:color w:val="333333"/>
                <w:szCs w:val="18"/>
              </w:rPr>
              <w:t>5</w:t>
            </w:r>
            <w:r w:rsidRPr="003A3501">
              <w:rPr>
                <w:rFonts w:cs="Arial"/>
                <w:color w:val="333333"/>
                <w:szCs w:val="18"/>
              </w:rPr>
              <w:t xml:space="preserve">b </w:t>
            </w:r>
          </w:p>
        </w:tc>
      </w:tr>
      <w:tr w:rsidR="00067FAB" w:rsidRPr="003A3501" w14:paraId="674DE07E" w14:textId="77777777" w:rsidTr="00FA03F9">
        <w:tc>
          <w:tcPr>
            <w:cnfStyle w:val="001000000000" w:firstRow="0" w:lastRow="0" w:firstColumn="1" w:lastColumn="0" w:oddVBand="0" w:evenVBand="0" w:oddHBand="0" w:evenHBand="0" w:firstRowFirstColumn="0" w:firstRowLastColumn="0" w:lastRowFirstColumn="0" w:lastRowLastColumn="0"/>
            <w:tcW w:w="1208" w:type="dxa"/>
          </w:tcPr>
          <w:p w14:paraId="62E08CB3" w14:textId="3F677815" w:rsidR="00067FAB" w:rsidRPr="003A3501" w:rsidRDefault="00067FAB" w:rsidP="0086587D">
            <w:pPr>
              <w:keepLines/>
              <w:suppressAutoHyphens/>
              <w:spacing w:line="260" w:lineRule="exact"/>
              <w:rPr>
                <w:rFonts w:cs="Arial"/>
                <w:color w:val="333333"/>
                <w:szCs w:val="22"/>
              </w:rPr>
            </w:pPr>
            <w:r w:rsidRPr="003A3501">
              <w:rPr>
                <w:rFonts w:cs="Arial"/>
                <w:color w:val="333333"/>
                <w:szCs w:val="22"/>
              </w:rPr>
              <w:t>Prelude Floating LNG</w:t>
            </w:r>
            <w:r w:rsidRPr="003A3501">
              <w:rPr>
                <w:rFonts w:cs="Arial"/>
                <w:color w:val="333333"/>
                <w:szCs w:val="22"/>
              </w:rPr>
              <w:br/>
            </w:r>
          </w:p>
        </w:tc>
        <w:tc>
          <w:tcPr>
            <w:tcW w:w="2903" w:type="dxa"/>
          </w:tcPr>
          <w:p w14:paraId="5B828F75"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50047E">
              <w:rPr>
                <w:rFonts w:cs="Arial"/>
                <w:b/>
                <w:color w:val="333333"/>
                <w:szCs w:val="18"/>
              </w:rPr>
              <w:t>Shel</w:t>
            </w:r>
            <w:r>
              <w:rPr>
                <w:rFonts w:cs="Arial"/>
                <w:color w:val="333333"/>
                <w:szCs w:val="18"/>
              </w:rPr>
              <w:t>l (</w:t>
            </w:r>
            <w:r w:rsidRPr="003A3501">
              <w:rPr>
                <w:rFonts w:cs="Arial"/>
                <w:color w:val="333333"/>
                <w:szCs w:val="18"/>
              </w:rPr>
              <w:t>67.5</w:t>
            </w:r>
            <w:r>
              <w:rPr>
                <w:rFonts w:cs="Arial"/>
                <w:color w:val="333333"/>
                <w:szCs w:val="18"/>
              </w:rPr>
              <w:t xml:space="preserve"> percent</w:t>
            </w:r>
            <w:r w:rsidRPr="003A3501">
              <w:rPr>
                <w:rFonts w:cs="Arial"/>
                <w:color w:val="333333"/>
                <w:szCs w:val="18"/>
              </w:rPr>
              <w:t>)</w:t>
            </w:r>
            <w:r w:rsidRPr="003A3501">
              <w:rPr>
                <w:rFonts w:cs="Arial"/>
                <w:color w:val="333333"/>
                <w:szCs w:val="18"/>
              </w:rPr>
              <w:br/>
              <w:t>INPEX (17.5</w:t>
            </w:r>
            <w:r>
              <w:rPr>
                <w:rFonts w:cs="Arial"/>
                <w:color w:val="333333"/>
                <w:szCs w:val="18"/>
              </w:rPr>
              <w:t xml:space="preserve"> percent</w:t>
            </w:r>
            <w:r w:rsidRPr="003A3501">
              <w:rPr>
                <w:rFonts w:cs="Arial"/>
                <w:color w:val="333333"/>
                <w:szCs w:val="18"/>
              </w:rPr>
              <w:t>)</w:t>
            </w:r>
            <w:r w:rsidRPr="003A3501">
              <w:rPr>
                <w:rFonts w:cs="Arial"/>
                <w:color w:val="333333"/>
                <w:szCs w:val="18"/>
              </w:rPr>
              <w:br/>
              <w:t>KOGAS (10</w:t>
            </w:r>
            <w:r>
              <w:rPr>
                <w:rFonts w:cs="Arial"/>
                <w:color w:val="333333"/>
                <w:szCs w:val="18"/>
              </w:rPr>
              <w:t xml:space="preserve"> percent</w:t>
            </w:r>
            <w:r w:rsidRPr="003A3501">
              <w:rPr>
                <w:rFonts w:cs="Arial"/>
                <w:color w:val="333333"/>
                <w:szCs w:val="18"/>
              </w:rPr>
              <w:t>)</w:t>
            </w:r>
            <w:r w:rsidRPr="003A3501">
              <w:rPr>
                <w:rFonts w:cs="Arial"/>
                <w:color w:val="333333"/>
                <w:szCs w:val="18"/>
              </w:rPr>
              <w:br/>
              <w:t>OPIC (CPC Taiwan) (5</w:t>
            </w:r>
            <w:r>
              <w:rPr>
                <w:rFonts w:cs="Arial"/>
                <w:color w:val="333333"/>
                <w:szCs w:val="18"/>
              </w:rPr>
              <w:t xml:space="preserve"> percent</w:t>
            </w:r>
            <w:r w:rsidRPr="003A3501">
              <w:rPr>
                <w:rFonts w:cs="Arial"/>
                <w:color w:val="333333"/>
                <w:szCs w:val="18"/>
              </w:rPr>
              <w:t>)</w:t>
            </w:r>
          </w:p>
        </w:tc>
        <w:tc>
          <w:tcPr>
            <w:tcW w:w="1134" w:type="dxa"/>
          </w:tcPr>
          <w:p w14:paraId="3AC672F1"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WA</w:t>
            </w:r>
          </w:p>
          <w:p w14:paraId="6A344F8E"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Browse</w:t>
            </w:r>
          </w:p>
        </w:tc>
        <w:tc>
          <w:tcPr>
            <w:tcW w:w="1327" w:type="dxa"/>
          </w:tcPr>
          <w:p w14:paraId="73DCE9C7"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FID May 2011</w:t>
            </w:r>
          </w:p>
          <w:p w14:paraId="7D016669" w14:textId="77777777" w:rsidR="00067FAB" w:rsidRPr="003A3501" w:rsidRDefault="00067FAB" w:rsidP="009B5469">
            <w:pPr>
              <w:keepLines/>
              <w:suppressAutoHyphens/>
              <w:spacing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 xml:space="preserve">FG </w:t>
            </w:r>
            <w:r>
              <w:rPr>
                <w:rFonts w:cs="Arial"/>
                <w:color w:val="333333"/>
                <w:szCs w:val="18"/>
              </w:rPr>
              <w:t>18</w:t>
            </w:r>
          </w:p>
        </w:tc>
        <w:tc>
          <w:tcPr>
            <w:tcW w:w="1083" w:type="dxa"/>
          </w:tcPr>
          <w:p w14:paraId="39C2B25F"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3.</w:t>
            </w:r>
            <w:r>
              <w:rPr>
                <w:rFonts w:cs="Arial"/>
                <w:color w:val="333333"/>
                <w:szCs w:val="18"/>
              </w:rPr>
              <w:t>6</w:t>
            </w:r>
            <w:r w:rsidRPr="003A3501">
              <w:rPr>
                <w:rFonts w:cs="Arial"/>
                <w:color w:val="333333"/>
                <w:szCs w:val="18"/>
              </w:rPr>
              <w:t xml:space="preserve"> Mtpa</w:t>
            </w:r>
          </w:p>
          <w:p w14:paraId="7D41B376" w14:textId="77777777" w:rsidR="00067FAB" w:rsidRPr="003A3501" w:rsidRDefault="00067FAB" w:rsidP="009B5469">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1 train</w:t>
            </w:r>
          </w:p>
        </w:tc>
        <w:tc>
          <w:tcPr>
            <w:tcW w:w="1171" w:type="dxa"/>
            <w:tcBorders>
              <w:right w:val="single" w:sz="4" w:space="0" w:color="auto"/>
            </w:tcBorders>
          </w:tcPr>
          <w:p w14:paraId="5C8EA49C" w14:textId="7AA12DB3" w:rsidR="00067FAB" w:rsidRPr="003A3501" w:rsidRDefault="00067FAB" w:rsidP="0086587D">
            <w:pPr>
              <w:keepLines/>
              <w:suppressAutoHyphens/>
              <w:spacing w:before="200" w:line="240" w:lineRule="atLeast"/>
              <w:cnfStyle w:val="000000000000" w:firstRow="0" w:lastRow="0" w:firstColumn="0" w:lastColumn="0" w:oddVBand="0" w:evenVBand="0" w:oddHBand="0" w:evenHBand="0" w:firstRowFirstColumn="0" w:firstRowLastColumn="0" w:lastRowFirstColumn="0" w:lastRowLastColumn="0"/>
              <w:rPr>
                <w:rFonts w:cs="Arial"/>
                <w:color w:val="333333"/>
                <w:szCs w:val="18"/>
              </w:rPr>
            </w:pPr>
            <w:r w:rsidRPr="003A3501">
              <w:rPr>
                <w:rFonts w:cs="Arial"/>
                <w:color w:val="333333"/>
                <w:szCs w:val="18"/>
              </w:rPr>
              <w:t xml:space="preserve">US$12.6b </w:t>
            </w:r>
          </w:p>
        </w:tc>
      </w:tr>
    </w:tbl>
    <w:p w14:paraId="31AA2A3A" w14:textId="77777777" w:rsidR="00402F55" w:rsidRDefault="00402F55" w:rsidP="00821520"/>
    <w:p w14:paraId="6822AE7C" w14:textId="77777777" w:rsidR="00C6636B" w:rsidRDefault="00C6636B" w:rsidP="00821520"/>
    <w:p w14:paraId="158CCCD3" w14:textId="77777777" w:rsidR="00FA03F9" w:rsidRDefault="00FA03F9">
      <w:pPr>
        <w:spacing w:after="160" w:line="259" w:lineRule="auto"/>
        <w:sectPr w:rsidR="00FA03F9" w:rsidSect="00FF18CD">
          <w:headerReference w:type="default" r:id="rId17"/>
          <w:pgSz w:w="11906" w:h="16838"/>
          <w:pgMar w:top="1440" w:right="1440" w:bottom="567" w:left="1440" w:header="709" w:footer="709" w:gutter="0"/>
          <w:cols w:space="708"/>
          <w:titlePg/>
          <w:docGrid w:linePitch="360"/>
        </w:sectPr>
      </w:pPr>
    </w:p>
    <w:p w14:paraId="559A8534" w14:textId="77777777" w:rsidR="00C6636B" w:rsidRDefault="00C6636B" w:rsidP="00C6636B">
      <w:pPr>
        <w:pStyle w:val="Heading1"/>
      </w:pPr>
      <w:bookmarkStart w:id="105" w:name="_Toc19034566"/>
      <w:r>
        <w:t>A</w:t>
      </w:r>
      <w:r w:rsidR="00902E5E">
        <w:t>ttachment</w:t>
      </w:r>
      <w:r>
        <w:t xml:space="preserve"> B</w:t>
      </w:r>
      <w:bookmarkEnd w:id="105"/>
    </w:p>
    <w:p w14:paraId="23F511D4" w14:textId="77777777" w:rsidR="00FA03F9" w:rsidRDefault="00FA03F9" w:rsidP="00FA03F9">
      <w:pPr>
        <w:jc w:val="center"/>
        <w:rPr>
          <w:b/>
          <w:sz w:val="28"/>
          <w:szCs w:val="28"/>
        </w:rPr>
      </w:pPr>
      <w:bookmarkStart w:id="106" w:name="_Toc19034567"/>
      <w:r w:rsidRPr="00FA6E9D">
        <w:rPr>
          <w:rStyle w:val="Heading2Char"/>
        </w:rPr>
        <w:t>Upcoming Expiring LNG Contracts</w:t>
      </w:r>
      <w:bookmarkEnd w:id="106"/>
      <w:r w:rsidR="001F50B2" w:rsidRPr="00FA6E9D">
        <w:rPr>
          <w:rStyle w:val="FootnoteReference"/>
        </w:rPr>
        <w:footnoteReference w:id="12"/>
      </w:r>
    </w:p>
    <w:tbl>
      <w:tblPr>
        <w:tblStyle w:val="PlainTable3"/>
        <w:tblW w:w="5000" w:type="pct"/>
        <w:tblLook w:val="04A0" w:firstRow="1" w:lastRow="0" w:firstColumn="1" w:lastColumn="0" w:noHBand="0" w:noVBand="1"/>
      </w:tblPr>
      <w:tblGrid>
        <w:gridCol w:w="1857"/>
        <w:gridCol w:w="3559"/>
        <w:gridCol w:w="2351"/>
        <w:gridCol w:w="1457"/>
        <w:gridCol w:w="1883"/>
        <w:gridCol w:w="1881"/>
      </w:tblGrid>
      <w:tr w:rsidR="003B519F" w:rsidRPr="00976AD3" w14:paraId="2C9FA91D" w14:textId="77777777" w:rsidTr="003B51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5" w:type="pct"/>
          </w:tcPr>
          <w:p w14:paraId="0BB9C81D" w14:textId="77777777" w:rsidR="003B519F" w:rsidRPr="00976AD3" w:rsidRDefault="003B519F" w:rsidP="00821520">
            <w:pPr>
              <w:rPr>
                <w:rFonts w:asciiTheme="minorHAnsi" w:hAnsiTheme="minorHAnsi" w:cstheme="minorHAnsi"/>
                <w:sz w:val="20"/>
                <w:szCs w:val="20"/>
              </w:rPr>
            </w:pPr>
            <w:r w:rsidRPr="00976AD3">
              <w:rPr>
                <w:rFonts w:asciiTheme="minorHAnsi" w:hAnsiTheme="minorHAnsi" w:cstheme="minorHAnsi"/>
                <w:caps w:val="0"/>
                <w:sz w:val="20"/>
                <w:szCs w:val="20"/>
              </w:rPr>
              <w:t>Project</w:t>
            </w:r>
          </w:p>
        </w:tc>
        <w:tc>
          <w:tcPr>
            <w:tcW w:w="1370" w:type="pct"/>
          </w:tcPr>
          <w:p w14:paraId="713EA8B2" w14:textId="77777777" w:rsidR="003B519F" w:rsidRPr="00976AD3" w:rsidRDefault="003B519F" w:rsidP="0082152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caps w:val="0"/>
                <w:sz w:val="20"/>
                <w:szCs w:val="20"/>
              </w:rPr>
              <w:t>Seller</w:t>
            </w:r>
          </w:p>
        </w:tc>
        <w:tc>
          <w:tcPr>
            <w:tcW w:w="905" w:type="pct"/>
          </w:tcPr>
          <w:p w14:paraId="0BDA9C4B" w14:textId="77777777" w:rsidR="003B519F" w:rsidRPr="00976AD3" w:rsidRDefault="003B519F" w:rsidP="0082152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caps w:val="0"/>
                <w:sz w:val="20"/>
                <w:szCs w:val="20"/>
              </w:rPr>
              <w:t>Buyer</w:t>
            </w:r>
          </w:p>
        </w:tc>
        <w:tc>
          <w:tcPr>
            <w:tcW w:w="561" w:type="pct"/>
          </w:tcPr>
          <w:p w14:paraId="5CAAA4D0" w14:textId="77777777" w:rsidR="003B519F" w:rsidRPr="00976AD3" w:rsidRDefault="003B519F" w:rsidP="0082152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caps w:val="0"/>
                <w:sz w:val="20"/>
                <w:szCs w:val="20"/>
              </w:rPr>
              <w:t>ACQ (Mtpa)</w:t>
            </w:r>
          </w:p>
        </w:tc>
        <w:tc>
          <w:tcPr>
            <w:tcW w:w="725" w:type="pct"/>
          </w:tcPr>
          <w:p w14:paraId="1981A8EA" w14:textId="77777777" w:rsidR="003B519F" w:rsidRPr="00976AD3" w:rsidRDefault="003B519F" w:rsidP="0082152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caps w:val="0"/>
                <w:sz w:val="20"/>
                <w:szCs w:val="20"/>
              </w:rPr>
              <w:t xml:space="preserve">Began </w:t>
            </w:r>
          </w:p>
        </w:tc>
        <w:tc>
          <w:tcPr>
            <w:tcW w:w="724" w:type="pct"/>
          </w:tcPr>
          <w:p w14:paraId="1E39DB52" w14:textId="77777777" w:rsidR="003B519F" w:rsidRPr="00976AD3" w:rsidRDefault="003B519F" w:rsidP="0082152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caps w:val="0"/>
                <w:sz w:val="20"/>
                <w:szCs w:val="20"/>
              </w:rPr>
              <w:t>Ends</w:t>
            </w:r>
          </w:p>
        </w:tc>
      </w:tr>
      <w:tr w:rsidR="003B519F" w:rsidRPr="00976AD3" w14:paraId="46B5CAB9" w14:textId="77777777" w:rsidTr="003B5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04278C97" w14:textId="77777777" w:rsidR="003B519F" w:rsidRPr="00976AD3" w:rsidRDefault="003B519F" w:rsidP="00821520">
            <w:pPr>
              <w:rPr>
                <w:rFonts w:asciiTheme="minorHAnsi" w:hAnsiTheme="minorHAnsi" w:cstheme="minorHAnsi"/>
                <w:sz w:val="20"/>
                <w:szCs w:val="20"/>
              </w:rPr>
            </w:pPr>
            <w:r w:rsidRPr="00976AD3">
              <w:rPr>
                <w:rFonts w:asciiTheme="minorHAnsi" w:hAnsiTheme="minorHAnsi" w:cstheme="minorHAnsi"/>
                <w:caps w:val="0"/>
                <w:sz w:val="20"/>
                <w:szCs w:val="20"/>
              </w:rPr>
              <w:t>North West Shelf</w:t>
            </w:r>
          </w:p>
        </w:tc>
        <w:tc>
          <w:tcPr>
            <w:tcW w:w="1370" w:type="pct"/>
          </w:tcPr>
          <w:p w14:paraId="7C49222B"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sz w:val="20"/>
                <w:szCs w:val="20"/>
              </w:rPr>
              <w:t>Woodside, Shell, BHP, BP Australia, Chevron, Japan Australia LNG</w:t>
            </w:r>
          </w:p>
        </w:tc>
        <w:tc>
          <w:tcPr>
            <w:tcW w:w="905" w:type="pct"/>
          </w:tcPr>
          <w:p w14:paraId="1CB0B6FF" w14:textId="77777777" w:rsidR="003B519F" w:rsidRPr="00976AD3" w:rsidRDefault="003B519F" w:rsidP="00FA03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sz w:val="20"/>
                <w:szCs w:val="20"/>
              </w:rPr>
              <w:t>Chugoku Electric</w:t>
            </w:r>
          </w:p>
          <w:p w14:paraId="4269135A" w14:textId="77777777" w:rsidR="003B519F" w:rsidRPr="00976AD3" w:rsidRDefault="003B519F" w:rsidP="00FA03F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561" w:type="pct"/>
          </w:tcPr>
          <w:p w14:paraId="54183ECF"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sz w:val="20"/>
                <w:szCs w:val="20"/>
              </w:rPr>
              <w:t>1.43</w:t>
            </w:r>
          </w:p>
        </w:tc>
        <w:tc>
          <w:tcPr>
            <w:tcW w:w="725" w:type="pct"/>
          </w:tcPr>
          <w:p w14:paraId="412E603E"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sz w:val="20"/>
                <w:szCs w:val="20"/>
              </w:rPr>
              <w:t>2009</w:t>
            </w:r>
          </w:p>
        </w:tc>
        <w:tc>
          <w:tcPr>
            <w:tcW w:w="724" w:type="pct"/>
          </w:tcPr>
          <w:p w14:paraId="2B2F0A95"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sz w:val="20"/>
                <w:szCs w:val="20"/>
              </w:rPr>
              <w:t>2021</w:t>
            </w:r>
          </w:p>
        </w:tc>
      </w:tr>
      <w:tr w:rsidR="003B519F" w:rsidRPr="00976AD3" w14:paraId="765CDC47" w14:textId="77777777" w:rsidTr="003B519F">
        <w:tc>
          <w:tcPr>
            <w:cnfStyle w:val="001000000000" w:firstRow="0" w:lastRow="0" w:firstColumn="1" w:lastColumn="0" w:oddVBand="0" w:evenVBand="0" w:oddHBand="0" w:evenHBand="0" w:firstRowFirstColumn="0" w:firstRowLastColumn="0" w:lastRowFirstColumn="0" w:lastRowLastColumn="0"/>
            <w:tcW w:w="715" w:type="pct"/>
          </w:tcPr>
          <w:p w14:paraId="472EF7D1" w14:textId="77777777" w:rsidR="003B519F" w:rsidRPr="00976AD3" w:rsidRDefault="003B519F" w:rsidP="00821520">
            <w:pPr>
              <w:rPr>
                <w:rFonts w:asciiTheme="minorHAnsi" w:hAnsiTheme="minorHAnsi" w:cstheme="minorHAnsi"/>
                <w:sz w:val="20"/>
                <w:szCs w:val="20"/>
              </w:rPr>
            </w:pPr>
          </w:p>
        </w:tc>
        <w:tc>
          <w:tcPr>
            <w:tcW w:w="1370" w:type="pct"/>
          </w:tcPr>
          <w:p w14:paraId="6FE5FA3E"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05" w:type="pct"/>
          </w:tcPr>
          <w:p w14:paraId="64BE1D40"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sz w:val="20"/>
                <w:szCs w:val="20"/>
              </w:rPr>
              <w:t>JERA</w:t>
            </w:r>
          </w:p>
        </w:tc>
        <w:tc>
          <w:tcPr>
            <w:tcW w:w="561" w:type="pct"/>
          </w:tcPr>
          <w:p w14:paraId="6C74FC7C"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sz w:val="20"/>
                <w:szCs w:val="20"/>
              </w:rPr>
              <w:t>0.5</w:t>
            </w:r>
          </w:p>
        </w:tc>
        <w:tc>
          <w:tcPr>
            <w:tcW w:w="725" w:type="pct"/>
          </w:tcPr>
          <w:p w14:paraId="5F0711E3"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sz w:val="20"/>
                <w:szCs w:val="20"/>
              </w:rPr>
              <w:t>2009</w:t>
            </w:r>
          </w:p>
        </w:tc>
        <w:tc>
          <w:tcPr>
            <w:tcW w:w="724" w:type="pct"/>
          </w:tcPr>
          <w:p w14:paraId="2D462096"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sz w:val="20"/>
                <w:szCs w:val="20"/>
              </w:rPr>
              <w:t>2019</w:t>
            </w:r>
          </w:p>
        </w:tc>
      </w:tr>
      <w:tr w:rsidR="003B519F" w:rsidRPr="00976AD3" w14:paraId="325CC924" w14:textId="77777777" w:rsidTr="003B5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637B7C10" w14:textId="77777777" w:rsidR="003B519F" w:rsidRPr="00976AD3" w:rsidRDefault="003B519F" w:rsidP="00821520">
            <w:pPr>
              <w:rPr>
                <w:rFonts w:asciiTheme="minorHAnsi" w:hAnsiTheme="minorHAnsi" w:cstheme="minorHAnsi"/>
                <w:sz w:val="20"/>
                <w:szCs w:val="20"/>
              </w:rPr>
            </w:pPr>
          </w:p>
        </w:tc>
        <w:tc>
          <w:tcPr>
            <w:tcW w:w="1370" w:type="pct"/>
          </w:tcPr>
          <w:p w14:paraId="13535DCA"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05" w:type="pct"/>
          </w:tcPr>
          <w:p w14:paraId="0041B80C"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561" w:type="pct"/>
          </w:tcPr>
          <w:p w14:paraId="743E5788"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sz w:val="20"/>
                <w:szCs w:val="20"/>
              </w:rPr>
              <w:t>0.3</w:t>
            </w:r>
          </w:p>
        </w:tc>
        <w:tc>
          <w:tcPr>
            <w:tcW w:w="725" w:type="pct"/>
          </w:tcPr>
          <w:p w14:paraId="16B0FEF0"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sz w:val="20"/>
                <w:szCs w:val="20"/>
              </w:rPr>
              <w:t>2009</w:t>
            </w:r>
          </w:p>
        </w:tc>
        <w:tc>
          <w:tcPr>
            <w:tcW w:w="724" w:type="pct"/>
          </w:tcPr>
          <w:p w14:paraId="1F30E8B9"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6AD3">
              <w:rPr>
                <w:rFonts w:asciiTheme="minorHAnsi" w:hAnsiTheme="minorHAnsi" w:cstheme="minorHAnsi"/>
                <w:sz w:val="20"/>
                <w:szCs w:val="20"/>
              </w:rPr>
              <w:t>2024</w:t>
            </w:r>
          </w:p>
        </w:tc>
      </w:tr>
      <w:tr w:rsidR="003B519F" w:rsidRPr="00976AD3" w14:paraId="018748A5" w14:textId="77777777" w:rsidTr="003B519F">
        <w:tc>
          <w:tcPr>
            <w:cnfStyle w:val="001000000000" w:firstRow="0" w:lastRow="0" w:firstColumn="1" w:lastColumn="0" w:oddVBand="0" w:evenVBand="0" w:oddHBand="0" w:evenHBand="0" w:firstRowFirstColumn="0" w:firstRowLastColumn="0" w:lastRowFirstColumn="0" w:lastRowLastColumn="0"/>
            <w:tcW w:w="715" w:type="pct"/>
          </w:tcPr>
          <w:p w14:paraId="2C9D2BF1" w14:textId="77777777" w:rsidR="003B519F" w:rsidRPr="00976AD3" w:rsidRDefault="003B519F" w:rsidP="00821520">
            <w:pPr>
              <w:rPr>
                <w:rFonts w:asciiTheme="minorHAnsi" w:hAnsiTheme="minorHAnsi" w:cstheme="minorHAnsi"/>
                <w:sz w:val="20"/>
                <w:szCs w:val="20"/>
              </w:rPr>
            </w:pPr>
          </w:p>
        </w:tc>
        <w:tc>
          <w:tcPr>
            <w:tcW w:w="1370" w:type="pct"/>
          </w:tcPr>
          <w:p w14:paraId="24AB896E"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05" w:type="pct"/>
          </w:tcPr>
          <w:p w14:paraId="63C4025F"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Kansai Electric</w:t>
            </w:r>
          </w:p>
        </w:tc>
        <w:tc>
          <w:tcPr>
            <w:tcW w:w="561" w:type="pct"/>
          </w:tcPr>
          <w:p w14:paraId="719BE64D"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0.5-0.93</w:t>
            </w:r>
          </w:p>
        </w:tc>
        <w:tc>
          <w:tcPr>
            <w:tcW w:w="725" w:type="pct"/>
          </w:tcPr>
          <w:p w14:paraId="04DF187B"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2009</w:t>
            </w:r>
          </w:p>
        </w:tc>
        <w:tc>
          <w:tcPr>
            <w:tcW w:w="724" w:type="pct"/>
          </w:tcPr>
          <w:p w14:paraId="7DBAC793"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2024</w:t>
            </w:r>
          </w:p>
        </w:tc>
      </w:tr>
      <w:tr w:rsidR="003B519F" w:rsidRPr="00976AD3" w14:paraId="4A2D2A1D" w14:textId="77777777" w:rsidTr="003B5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3DFA8755" w14:textId="77777777" w:rsidR="003B519F" w:rsidRPr="00976AD3" w:rsidRDefault="003B519F" w:rsidP="00821520">
            <w:pPr>
              <w:rPr>
                <w:rFonts w:asciiTheme="minorHAnsi" w:hAnsiTheme="minorHAnsi" w:cstheme="minorHAnsi"/>
                <w:sz w:val="20"/>
                <w:szCs w:val="20"/>
              </w:rPr>
            </w:pPr>
          </w:p>
        </w:tc>
        <w:tc>
          <w:tcPr>
            <w:tcW w:w="1370" w:type="pct"/>
          </w:tcPr>
          <w:p w14:paraId="4F2693DB"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05" w:type="pct"/>
          </w:tcPr>
          <w:p w14:paraId="160324E8"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561" w:type="pct"/>
          </w:tcPr>
          <w:p w14:paraId="11ABA4C9"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0.2-0.44</w:t>
            </w:r>
          </w:p>
        </w:tc>
        <w:tc>
          <w:tcPr>
            <w:tcW w:w="725" w:type="pct"/>
          </w:tcPr>
          <w:p w14:paraId="00DD77F5"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2009</w:t>
            </w:r>
          </w:p>
        </w:tc>
        <w:tc>
          <w:tcPr>
            <w:tcW w:w="724" w:type="pct"/>
          </w:tcPr>
          <w:p w14:paraId="4B4FA9AD"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2024</w:t>
            </w:r>
          </w:p>
        </w:tc>
      </w:tr>
      <w:tr w:rsidR="003B519F" w:rsidRPr="00976AD3" w14:paraId="3D8424FB" w14:textId="77777777" w:rsidTr="003B519F">
        <w:tc>
          <w:tcPr>
            <w:cnfStyle w:val="001000000000" w:firstRow="0" w:lastRow="0" w:firstColumn="1" w:lastColumn="0" w:oddVBand="0" w:evenVBand="0" w:oddHBand="0" w:evenHBand="0" w:firstRowFirstColumn="0" w:firstRowLastColumn="0" w:lastRowFirstColumn="0" w:lastRowLastColumn="0"/>
            <w:tcW w:w="715" w:type="pct"/>
          </w:tcPr>
          <w:p w14:paraId="41B57ECA" w14:textId="77777777" w:rsidR="003B519F" w:rsidRPr="00976AD3" w:rsidRDefault="003B519F" w:rsidP="00821520">
            <w:pPr>
              <w:rPr>
                <w:rFonts w:asciiTheme="minorHAnsi" w:hAnsiTheme="minorHAnsi" w:cstheme="minorHAnsi"/>
                <w:sz w:val="20"/>
                <w:szCs w:val="20"/>
              </w:rPr>
            </w:pPr>
          </w:p>
        </w:tc>
        <w:tc>
          <w:tcPr>
            <w:tcW w:w="1370" w:type="pct"/>
          </w:tcPr>
          <w:p w14:paraId="6ACDE691"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05" w:type="pct"/>
          </w:tcPr>
          <w:p w14:paraId="78134B0C"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Kyushu Electric</w:t>
            </w:r>
          </w:p>
        </w:tc>
        <w:tc>
          <w:tcPr>
            <w:tcW w:w="561" w:type="pct"/>
          </w:tcPr>
          <w:p w14:paraId="17330DAA"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0.7</w:t>
            </w:r>
          </w:p>
        </w:tc>
        <w:tc>
          <w:tcPr>
            <w:tcW w:w="725" w:type="pct"/>
          </w:tcPr>
          <w:p w14:paraId="1C9FE171"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2009</w:t>
            </w:r>
          </w:p>
        </w:tc>
        <w:tc>
          <w:tcPr>
            <w:tcW w:w="724" w:type="pct"/>
          </w:tcPr>
          <w:p w14:paraId="3C9865BF"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2023</w:t>
            </w:r>
          </w:p>
        </w:tc>
      </w:tr>
      <w:tr w:rsidR="003B519F" w:rsidRPr="00976AD3" w14:paraId="0F86418D" w14:textId="77777777" w:rsidTr="003B5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118B8DCC" w14:textId="77777777" w:rsidR="003B519F" w:rsidRPr="00976AD3" w:rsidRDefault="003B519F" w:rsidP="00821520">
            <w:pPr>
              <w:rPr>
                <w:rFonts w:asciiTheme="minorHAnsi" w:hAnsiTheme="minorHAnsi" w:cstheme="minorHAnsi"/>
                <w:sz w:val="20"/>
                <w:szCs w:val="20"/>
              </w:rPr>
            </w:pPr>
          </w:p>
        </w:tc>
        <w:tc>
          <w:tcPr>
            <w:tcW w:w="1370" w:type="pct"/>
          </w:tcPr>
          <w:p w14:paraId="31CB9211"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05" w:type="pct"/>
          </w:tcPr>
          <w:p w14:paraId="69AF7089"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561" w:type="pct"/>
          </w:tcPr>
          <w:p w14:paraId="0A7D3A39"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0.5</w:t>
            </w:r>
          </w:p>
        </w:tc>
        <w:tc>
          <w:tcPr>
            <w:tcW w:w="725" w:type="pct"/>
          </w:tcPr>
          <w:p w14:paraId="012F5941"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2006</w:t>
            </w:r>
          </w:p>
        </w:tc>
        <w:tc>
          <w:tcPr>
            <w:tcW w:w="724" w:type="pct"/>
          </w:tcPr>
          <w:p w14:paraId="107FBD1A"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2021</w:t>
            </w:r>
          </w:p>
        </w:tc>
      </w:tr>
      <w:tr w:rsidR="003B519F" w:rsidRPr="00976AD3" w14:paraId="44213CBE" w14:textId="77777777" w:rsidTr="003B519F">
        <w:tc>
          <w:tcPr>
            <w:cnfStyle w:val="001000000000" w:firstRow="0" w:lastRow="0" w:firstColumn="1" w:lastColumn="0" w:oddVBand="0" w:evenVBand="0" w:oddHBand="0" w:evenHBand="0" w:firstRowFirstColumn="0" w:firstRowLastColumn="0" w:lastRowFirstColumn="0" w:lastRowLastColumn="0"/>
            <w:tcW w:w="715" w:type="pct"/>
          </w:tcPr>
          <w:p w14:paraId="2C8D788E" w14:textId="77777777" w:rsidR="003B519F" w:rsidRPr="00976AD3" w:rsidRDefault="003B519F" w:rsidP="00821520">
            <w:pPr>
              <w:rPr>
                <w:rFonts w:asciiTheme="minorHAnsi" w:hAnsiTheme="minorHAnsi" w:cstheme="minorHAnsi"/>
                <w:sz w:val="20"/>
                <w:szCs w:val="20"/>
              </w:rPr>
            </w:pPr>
          </w:p>
        </w:tc>
        <w:tc>
          <w:tcPr>
            <w:tcW w:w="1370" w:type="pct"/>
          </w:tcPr>
          <w:p w14:paraId="4A56B5DE"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05" w:type="pct"/>
          </w:tcPr>
          <w:p w14:paraId="7B8BD269"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Toho Gas</w:t>
            </w:r>
          </w:p>
        </w:tc>
        <w:tc>
          <w:tcPr>
            <w:tcW w:w="561" w:type="pct"/>
          </w:tcPr>
          <w:p w14:paraId="3E13F6B0" w14:textId="77777777" w:rsidR="003B519F"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0.76</w:t>
            </w:r>
          </w:p>
        </w:tc>
        <w:tc>
          <w:tcPr>
            <w:tcW w:w="725" w:type="pct"/>
          </w:tcPr>
          <w:p w14:paraId="1EEB912F" w14:textId="77777777" w:rsidR="003B519F"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2009</w:t>
            </w:r>
          </w:p>
        </w:tc>
        <w:tc>
          <w:tcPr>
            <w:tcW w:w="724" w:type="pct"/>
          </w:tcPr>
          <w:p w14:paraId="4E2D8A58" w14:textId="77777777" w:rsidR="003B519F"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2019</w:t>
            </w:r>
          </w:p>
        </w:tc>
      </w:tr>
      <w:tr w:rsidR="003B519F" w:rsidRPr="00976AD3" w14:paraId="7F844F01" w14:textId="77777777" w:rsidTr="003B5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4A2418A5" w14:textId="77777777" w:rsidR="003B519F" w:rsidRPr="00976AD3" w:rsidRDefault="003B519F" w:rsidP="00821520">
            <w:pPr>
              <w:rPr>
                <w:rFonts w:asciiTheme="minorHAnsi" w:hAnsiTheme="minorHAnsi" w:cstheme="minorHAnsi"/>
                <w:sz w:val="20"/>
                <w:szCs w:val="20"/>
              </w:rPr>
            </w:pPr>
          </w:p>
        </w:tc>
        <w:tc>
          <w:tcPr>
            <w:tcW w:w="1370" w:type="pct"/>
          </w:tcPr>
          <w:p w14:paraId="65D240B0"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05" w:type="pct"/>
          </w:tcPr>
          <w:p w14:paraId="4E089C78"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Tohoku Electric</w:t>
            </w:r>
          </w:p>
        </w:tc>
        <w:tc>
          <w:tcPr>
            <w:tcW w:w="561" w:type="pct"/>
          </w:tcPr>
          <w:p w14:paraId="3B677D16" w14:textId="77777777" w:rsidR="003B519F"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w:t>
            </w:r>
          </w:p>
        </w:tc>
        <w:tc>
          <w:tcPr>
            <w:tcW w:w="725" w:type="pct"/>
          </w:tcPr>
          <w:p w14:paraId="0C369880" w14:textId="77777777" w:rsidR="003B519F"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2010</w:t>
            </w:r>
          </w:p>
        </w:tc>
        <w:tc>
          <w:tcPr>
            <w:tcW w:w="724" w:type="pct"/>
          </w:tcPr>
          <w:p w14:paraId="2585225F" w14:textId="77777777" w:rsidR="003B519F"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2018</w:t>
            </w:r>
          </w:p>
        </w:tc>
      </w:tr>
      <w:tr w:rsidR="003B519F" w:rsidRPr="00976AD3" w14:paraId="139FD6EB" w14:textId="77777777" w:rsidTr="003B519F">
        <w:tc>
          <w:tcPr>
            <w:cnfStyle w:val="001000000000" w:firstRow="0" w:lastRow="0" w:firstColumn="1" w:lastColumn="0" w:oddVBand="0" w:evenVBand="0" w:oddHBand="0" w:evenHBand="0" w:firstRowFirstColumn="0" w:firstRowLastColumn="0" w:lastRowFirstColumn="0" w:lastRowLastColumn="0"/>
            <w:tcW w:w="715" w:type="pct"/>
          </w:tcPr>
          <w:p w14:paraId="11D7D7EC" w14:textId="77777777" w:rsidR="003B519F" w:rsidRPr="00976AD3" w:rsidRDefault="003B519F" w:rsidP="00821520">
            <w:pPr>
              <w:rPr>
                <w:rFonts w:asciiTheme="minorHAnsi" w:hAnsiTheme="minorHAnsi" w:cstheme="minorHAnsi"/>
                <w:sz w:val="20"/>
                <w:szCs w:val="20"/>
              </w:rPr>
            </w:pPr>
          </w:p>
        </w:tc>
        <w:tc>
          <w:tcPr>
            <w:tcW w:w="1370" w:type="pct"/>
          </w:tcPr>
          <w:p w14:paraId="20832445"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05" w:type="pct"/>
          </w:tcPr>
          <w:p w14:paraId="621332FF"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Tokyo Gas</w:t>
            </w:r>
          </w:p>
        </w:tc>
        <w:tc>
          <w:tcPr>
            <w:tcW w:w="561" w:type="pct"/>
          </w:tcPr>
          <w:p w14:paraId="159848DD" w14:textId="77777777" w:rsidR="003B519F"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0.5</w:t>
            </w:r>
          </w:p>
        </w:tc>
        <w:tc>
          <w:tcPr>
            <w:tcW w:w="725" w:type="pct"/>
          </w:tcPr>
          <w:p w14:paraId="0E30132A" w14:textId="77777777" w:rsidR="003B519F"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2009</w:t>
            </w:r>
          </w:p>
        </w:tc>
        <w:tc>
          <w:tcPr>
            <w:tcW w:w="724" w:type="pct"/>
          </w:tcPr>
          <w:p w14:paraId="655BF3AB" w14:textId="77777777" w:rsidR="003B519F"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2024</w:t>
            </w:r>
          </w:p>
        </w:tc>
      </w:tr>
      <w:tr w:rsidR="003B519F" w:rsidRPr="00976AD3" w14:paraId="19C984CC" w14:textId="77777777" w:rsidTr="003B5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7604A925" w14:textId="77777777" w:rsidR="003B519F" w:rsidRPr="00976AD3" w:rsidRDefault="003B519F" w:rsidP="00821520">
            <w:pPr>
              <w:rPr>
                <w:rFonts w:asciiTheme="minorHAnsi" w:hAnsiTheme="minorHAnsi" w:cstheme="minorHAnsi"/>
                <w:sz w:val="20"/>
                <w:szCs w:val="20"/>
              </w:rPr>
            </w:pPr>
            <w:r w:rsidRPr="000D3800">
              <w:rPr>
                <w:rFonts w:asciiTheme="minorHAnsi" w:hAnsiTheme="minorHAnsi" w:cstheme="minorHAnsi"/>
                <w:caps w:val="0"/>
                <w:sz w:val="20"/>
                <w:szCs w:val="20"/>
              </w:rPr>
              <w:t>D</w:t>
            </w:r>
            <w:r>
              <w:rPr>
                <w:rFonts w:asciiTheme="minorHAnsi" w:hAnsiTheme="minorHAnsi" w:cstheme="minorHAnsi"/>
                <w:caps w:val="0"/>
                <w:sz w:val="20"/>
                <w:szCs w:val="20"/>
              </w:rPr>
              <w:t>arwin LNG</w:t>
            </w:r>
          </w:p>
        </w:tc>
        <w:tc>
          <w:tcPr>
            <w:tcW w:w="1370" w:type="pct"/>
          </w:tcPr>
          <w:p w14:paraId="2BD9DDFD"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3800">
              <w:rPr>
                <w:rFonts w:asciiTheme="minorHAnsi" w:hAnsiTheme="minorHAnsi" w:cstheme="minorHAnsi"/>
                <w:sz w:val="20"/>
                <w:szCs w:val="20"/>
              </w:rPr>
              <w:t>ConocoPhillips, ENI, Santos, INPEX, JERA, Tokyo Gas</w:t>
            </w:r>
          </w:p>
        </w:tc>
        <w:tc>
          <w:tcPr>
            <w:tcW w:w="905" w:type="pct"/>
          </w:tcPr>
          <w:p w14:paraId="6025FBF7"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JERA</w:t>
            </w:r>
          </w:p>
        </w:tc>
        <w:tc>
          <w:tcPr>
            <w:tcW w:w="561" w:type="pct"/>
          </w:tcPr>
          <w:p w14:paraId="2C401064" w14:textId="77777777" w:rsidR="003B519F"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w:t>
            </w:r>
          </w:p>
        </w:tc>
        <w:tc>
          <w:tcPr>
            <w:tcW w:w="725" w:type="pct"/>
          </w:tcPr>
          <w:p w14:paraId="30C1A81E" w14:textId="77777777" w:rsidR="003B519F"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2006</w:t>
            </w:r>
          </w:p>
        </w:tc>
        <w:tc>
          <w:tcPr>
            <w:tcW w:w="724" w:type="pct"/>
          </w:tcPr>
          <w:p w14:paraId="105B4DEF" w14:textId="77777777" w:rsidR="003B519F"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2022</w:t>
            </w:r>
          </w:p>
        </w:tc>
      </w:tr>
      <w:tr w:rsidR="003B519F" w:rsidRPr="00976AD3" w14:paraId="61082DEC" w14:textId="77777777" w:rsidTr="003B519F">
        <w:tc>
          <w:tcPr>
            <w:cnfStyle w:val="001000000000" w:firstRow="0" w:lastRow="0" w:firstColumn="1" w:lastColumn="0" w:oddVBand="0" w:evenVBand="0" w:oddHBand="0" w:evenHBand="0" w:firstRowFirstColumn="0" w:firstRowLastColumn="0" w:lastRowFirstColumn="0" w:lastRowLastColumn="0"/>
            <w:tcW w:w="715" w:type="pct"/>
          </w:tcPr>
          <w:p w14:paraId="62F837B6" w14:textId="77777777" w:rsidR="003B519F" w:rsidRPr="00976AD3" w:rsidRDefault="003B519F" w:rsidP="00821520">
            <w:pPr>
              <w:rPr>
                <w:rFonts w:asciiTheme="minorHAnsi" w:hAnsiTheme="minorHAnsi" w:cstheme="minorHAnsi"/>
                <w:sz w:val="20"/>
                <w:szCs w:val="20"/>
              </w:rPr>
            </w:pPr>
          </w:p>
        </w:tc>
        <w:tc>
          <w:tcPr>
            <w:tcW w:w="1370" w:type="pct"/>
          </w:tcPr>
          <w:p w14:paraId="677E2465"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05" w:type="pct"/>
          </w:tcPr>
          <w:p w14:paraId="6D472A61"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Tokyo Gas</w:t>
            </w:r>
          </w:p>
        </w:tc>
        <w:tc>
          <w:tcPr>
            <w:tcW w:w="561" w:type="pct"/>
          </w:tcPr>
          <w:p w14:paraId="5E31B676" w14:textId="77777777" w:rsidR="003B519F"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w:t>
            </w:r>
          </w:p>
        </w:tc>
        <w:tc>
          <w:tcPr>
            <w:tcW w:w="725" w:type="pct"/>
          </w:tcPr>
          <w:p w14:paraId="3431A403" w14:textId="77777777" w:rsidR="003B519F"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2006</w:t>
            </w:r>
          </w:p>
        </w:tc>
        <w:tc>
          <w:tcPr>
            <w:tcW w:w="724" w:type="pct"/>
          </w:tcPr>
          <w:p w14:paraId="6F6DC414" w14:textId="77777777" w:rsidR="003B519F"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2022</w:t>
            </w:r>
          </w:p>
        </w:tc>
      </w:tr>
      <w:tr w:rsidR="003B519F" w:rsidRPr="00976AD3" w14:paraId="1757824D" w14:textId="77777777" w:rsidTr="003B5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11D69DEA" w14:textId="77777777" w:rsidR="003B519F" w:rsidRPr="00976AD3" w:rsidRDefault="003B519F" w:rsidP="00821520">
            <w:pPr>
              <w:rPr>
                <w:rFonts w:asciiTheme="minorHAnsi" w:hAnsiTheme="minorHAnsi" w:cstheme="minorHAnsi"/>
                <w:sz w:val="20"/>
                <w:szCs w:val="20"/>
              </w:rPr>
            </w:pPr>
            <w:r>
              <w:rPr>
                <w:rFonts w:asciiTheme="minorHAnsi" w:hAnsiTheme="minorHAnsi" w:cstheme="minorHAnsi"/>
                <w:sz w:val="20"/>
                <w:szCs w:val="20"/>
              </w:rPr>
              <w:t>P</w:t>
            </w:r>
            <w:r w:rsidRPr="000D3800">
              <w:rPr>
                <w:rFonts w:asciiTheme="minorHAnsi" w:hAnsiTheme="minorHAnsi" w:cstheme="minorHAnsi"/>
                <w:caps w:val="0"/>
                <w:sz w:val="20"/>
                <w:szCs w:val="20"/>
              </w:rPr>
              <w:t xml:space="preserve">luto </w:t>
            </w:r>
            <w:r>
              <w:rPr>
                <w:rFonts w:asciiTheme="minorHAnsi" w:hAnsiTheme="minorHAnsi" w:cstheme="minorHAnsi"/>
                <w:sz w:val="20"/>
                <w:szCs w:val="20"/>
              </w:rPr>
              <w:t>LNG</w:t>
            </w:r>
          </w:p>
        </w:tc>
        <w:tc>
          <w:tcPr>
            <w:tcW w:w="1370" w:type="pct"/>
          </w:tcPr>
          <w:p w14:paraId="7174D20D"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D3800">
              <w:rPr>
                <w:rFonts w:asciiTheme="minorHAnsi" w:hAnsiTheme="minorHAnsi" w:cstheme="minorHAnsi"/>
                <w:sz w:val="20"/>
                <w:szCs w:val="20"/>
              </w:rPr>
              <w:t>Woodside, Tokyo Gas, Kansai Electric</w:t>
            </w:r>
          </w:p>
        </w:tc>
        <w:tc>
          <w:tcPr>
            <w:tcW w:w="905" w:type="pct"/>
          </w:tcPr>
          <w:p w14:paraId="29AB37D5"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Kansai Electric</w:t>
            </w:r>
          </w:p>
        </w:tc>
        <w:tc>
          <w:tcPr>
            <w:tcW w:w="561" w:type="pct"/>
          </w:tcPr>
          <w:p w14:paraId="2889AAA4" w14:textId="77777777" w:rsidR="003B519F"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1.75-2</w:t>
            </w:r>
          </w:p>
        </w:tc>
        <w:tc>
          <w:tcPr>
            <w:tcW w:w="725" w:type="pct"/>
          </w:tcPr>
          <w:p w14:paraId="44641B43" w14:textId="77777777" w:rsidR="003B519F"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2011</w:t>
            </w:r>
          </w:p>
        </w:tc>
        <w:tc>
          <w:tcPr>
            <w:tcW w:w="724" w:type="pct"/>
          </w:tcPr>
          <w:p w14:paraId="4F76B055" w14:textId="77777777" w:rsidR="003B519F"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2025</w:t>
            </w:r>
          </w:p>
        </w:tc>
      </w:tr>
      <w:tr w:rsidR="003B519F" w:rsidRPr="00976AD3" w14:paraId="5160783D" w14:textId="77777777" w:rsidTr="003B519F">
        <w:tc>
          <w:tcPr>
            <w:cnfStyle w:val="001000000000" w:firstRow="0" w:lastRow="0" w:firstColumn="1" w:lastColumn="0" w:oddVBand="0" w:evenVBand="0" w:oddHBand="0" w:evenHBand="0" w:firstRowFirstColumn="0" w:firstRowLastColumn="0" w:lastRowFirstColumn="0" w:lastRowLastColumn="0"/>
            <w:tcW w:w="715" w:type="pct"/>
          </w:tcPr>
          <w:p w14:paraId="132E7A26" w14:textId="77777777" w:rsidR="003B519F" w:rsidRPr="00976AD3" w:rsidRDefault="003B519F" w:rsidP="00821520">
            <w:pPr>
              <w:rPr>
                <w:rFonts w:asciiTheme="minorHAnsi" w:hAnsiTheme="minorHAnsi" w:cstheme="minorHAnsi"/>
                <w:sz w:val="20"/>
                <w:szCs w:val="20"/>
              </w:rPr>
            </w:pPr>
          </w:p>
        </w:tc>
        <w:tc>
          <w:tcPr>
            <w:tcW w:w="1370" w:type="pct"/>
          </w:tcPr>
          <w:p w14:paraId="7910C3CA"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05" w:type="pct"/>
          </w:tcPr>
          <w:p w14:paraId="1334213C" w14:textId="77777777" w:rsidR="003B519F" w:rsidRPr="00976AD3"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Tokyo Gas</w:t>
            </w:r>
          </w:p>
        </w:tc>
        <w:tc>
          <w:tcPr>
            <w:tcW w:w="561" w:type="pct"/>
          </w:tcPr>
          <w:p w14:paraId="51EBB038" w14:textId="77777777" w:rsidR="003B519F"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1.5</w:t>
            </w:r>
          </w:p>
        </w:tc>
        <w:tc>
          <w:tcPr>
            <w:tcW w:w="725" w:type="pct"/>
          </w:tcPr>
          <w:p w14:paraId="59D441BD" w14:textId="77777777" w:rsidR="003B519F"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2011</w:t>
            </w:r>
          </w:p>
        </w:tc>
        <w:tc>
          <w:tcPr>
            <w:tcW w:w="724" w:type="pct"/>
          </w:tcPr>
          <w:p w14:paraId="3EEAD0FE" w14:textId="77777777" w:rsidR="003B519F" w:rsidRDefault="003B519F" w:rsidP="0082152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2025</w:t>
            </w:r>
          </w:p>
        </w:tc>
      </w:tr>
      <w:tr w:rsidR="003B519F" w:rsidRPr="00976AD3" w14:paraId="080E157E" w14:textId="77777777" w:rsidTr="003B5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pct"/>
          </w:tcPr>
          <w:p w14:paraId="7CF19F70" w14:textId="77777777" w:rsidR="003B519F" w:rsidRPr="00976AD3" w:rsidRDefault="003B519F" w:rsidP="00821520">
            <w:pPr>
              <w:rPr>
                <w:rFonts w:asciiTheme="minorHAnsi" w:hAnsiTheme="minorHAnsi" w:cstheme="minorHAnsi"/>
                <w:sz w:val="20"/>
                <w:szCs w:val="20"/>
              </w:rPr>
            </w:pPr>
            <w:r>
              <w:rPr>
                <w:rFonts w:asciiTheme="minorHAnsi" w:hAnsiTheme="minorHAnsi" w:cstheme="minorHAnsi"/>
                <w:caps w:val="0"/>
                <w:sz w:val="20"/>
                <w:szCs w:val="20"/>
              </w:rPr>
              <w:t>Gorgon</w:t>
            </w:r>
          </w:p>
        </w:tc>
        <w:tc>
          <w:tcPr>
            <w:tcW w:w="1370" w:type="pct"/>
          </w:tcPr>
          <w:p w14:paraId="5C7E7F60"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Chevron</w:t>
            </w:r>
          </w:p>
        </w:tc>
        <w:tc>
          <w:tcPr>
            <w:tcW w:w="905" w:type="pct"/>
          </w:tcPr>
          <w:p w14:paraId="7BE97118" w14:textId="77777777" w:rsidR="003B519F" w:rsidRPr="00976AD3"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SK Group</w:t>
            </w:r>
          </w:p>
        </w:tc>
        <w:tc>
          <w:tcPr>
            <w:tcW w:w="561" w:type="pct"/>
          </w:tcPr>
          <w:p w14:paraId="45A4A326" w14:textId="77777777" w:rsidR="003B519F"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0.83</w:t>
            </w:r>
          </w:p>
        </w:tc>
        <w:tc>
          <w:tcPr>
            <w:tcW w:w="725" w:type="pct"/>
          </w:tcPr>
          <w:p w14:paraId="5813C557" w14:textId="77777777" w:rsidR="003B519F"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2017</w:t>
            </w:r>
          </w:p>
        </w:tc>
        <w:tc>
          <w:tcPr>
            <w:tcW w:w="724" w:type="pct"/>
          </w:tcPr>
          <w:p w14:paraId="098680F6" w14:textId="77777777" w:rsidR="003B519F" w:rsidRDefault="003B519F" w:rsidP="008215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2021</w:t>
            </w:r>
          </w:p>
        </w:tc>
      </w:tr>
    </w:tbl>
    <w:p w14:paraId="1F5B3820" w14:textId="77777777" w:rsidR="00C6636B" w:rsidRPr="00821520" w:rsidRDefault="00C6636B" w:rsidP="001F50B2"/>
    <w:sectPr w:rsidR="00C6636B" w:rsidRPr="00821520" w:rsidSect="00FA03F9">
      <w:pgSz w:w="16838" w:h="11906" w:orient="landscape"/>
      <w:pgMar w:top="1440" w:right="241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4033A" w14:textId="77777777" w:rsidR="002E3744" w:rsidRDefault="002E3744" w:rsidP="00E46A5B">
      <w:r>
        <w:separator/>
      </w:r>
    </w:p>
  </w:endnote>
  <w:endnote w:type="continuationSeparator" w:id="0">
    <w:p w14:paraId="5850C463" w14:textId="77777777" w:rsidR="002E3744" w:rsidRDefault="002E3744" w:rsidP="00E46A5B">
      <w:r>
        <w:continuationSeparator/>
      </w:r>
    </w:p>
  </w:endnote>
  <w:endnote w:type="continuationNotice" w:id="1">
    <w:p w14:paraId="436951FC" w14:textId="77777777" w:rsidR="002E3744" w:rsidRDefault="002E3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 HTF Medium">
    <w:altName w:val="Gotham HTF Medium"/>
    <w:panose1 w:val="00000000000000000000"/>
    <w:charset w:val="00"/>
    <w:family w:val="swiss"/>
    <w:notTrueType/>
    <w:pitch w:val="default"/>
    <w:sig w:usb0="00000003" w:usb1="00000000" w:usb2="00000000" w:usb3="00000000" w:csb0="00000001" w:csb1="00000000"/>
  </w:font>
  <w:font w:name="Gotham Medium">
    <w:altName w:val="Gotham Medium"/>
    <w:panose1 w:val="02000603030000020004"/>
    <w:charset w:val="00"/>
    <w:family w:val="auto"/>
    <w:pitch w:val="variable"/>
    <w:sig w:usb0="A00000AF" w:usb1="40000048" w:usb2="00000000" w:usb3="00000000" w:csb0="00000111" w:csb1="00000000"/>
  </w:font>
  <w:font w:name="Segoe UI">
    <w:panose1 w:val="020B0502040204020203"/>
    <w:charset w:val="00"/>
    <w:family w:val="swiss"/>
    <w:pitch w:val="variable"/>
    <w:sig w:usb0="E10022FF" w:usb1="C000E47F" w:usb2="00000029" w:usb3="00000000" w:csb0="000001DF" w:csb1="00000000"/>
  </w:font>
  <w:font w:name="Arial Bold">
    <w:panose1 w:val="020B0704020202020204"/>
    <w:charset w:val="00"/>
    <w:family w:val="roman"/>
    <w:notTrueType/>
    <w:pitch w:val="default"/>
  </w:font>
  <w:font w:name="Swiss 721 BT">
    <w:altName w:val="Swiss 721 B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otham Narrow Light">
    <w:altName w:val="Gotham Narrow Light"/>
    <w:panose1 w:val="00000000000000000000"/>
    <w:charset w:val="00"/>
    <w:family w:val="swiss"/>
    <w:notTrueType/>
    <w:pitch w:val="default"/>
    <w:sig w:usb0="00000003" w:usb1="00000000" w:usb2="00000000" w:usb3="00000000" w:csb0="00000001" w:csb1="00000000"/>
  </w:font>
  <w:font w:name="GAYKFC+ArialMT">
    <w:altName w:val="GAYKFC+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05027"/>
      <w:docPartObj>
        <w:docPartGallery w:val="Page Numbers (Bottom of Page)"/>
        <w:docPartUnique/>
      </w:docPartObj>
    </w:sdtPr>
    <w:sdtEndPr>
      <w:rPr>
        <w:noProof/>
      </w:rPr>
    </w:sdtEndPr>
    <w:sdtContent>
      <w:p w14:paraId="07EFDADB" w14:textId="5C872969" w:rsidR="002E3744" w:rsidRDefault="002E3744">
        <w:pPr>
          <w:pStyle w:val="Footer"/>
          <w:jc w:val="center"/>
        </w:pPr>
        <w:r>
          <w:fldChar w:fldCharType="begin"/>
        </w:r>
        <w:r>
          <w:instrText xml:space="preserve"> PAGE   \* MERGEFORMAT </w:instrText>
        </w:r>
        <w:r>
          <w:fldChar w:fldCharType="separate"/>
        </w:r>
        <w:r w:rsidR="00B66C0B">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BA038" w14:textId="77777777" w:rsidR="002E3744" w:rsidRDefault="002E3744" w:rsidP="00E46A5B">
      <w:r>
        <w:separator/>
      </w:r>
    </w:p>
  </w:footnote>
  <w:footnote w:type="continuationSeparator" w:id="0">
    <w:p w14:paraId="3A8A08D7" w14:textId="77777777" w:rsidR="002E3744" w:rsidRDefault="002E3744" w:rsidP="00E46A5B">
      <w:r>
        <w:continuationSeparator/>
      </w:r>
    </w:p>
  </w:footnote>
  <w:footnote w:type="continuationNotice" w:id="1">
    <w:p w14:paraId="0294FC9F" w14:textId="77777777" w:rsidR="002E3744" w:rsidRDefault="002E3744"/>
  </w:footnote>
  <w:footnote w:id="2">
    <w:p w14:paraId="619E1B15" w14:textId="77777777" w:rsidR="002E3744" w:rsidRDefault="002E3744">
      <w:pPr>
        <w:pStyle w:val="FootnoteText"/>
      </w:pPr>
      <w:r>
        <w:rPr>
          <w:rStyle w:val="FootnoteReference"/>
        </w:rPr>
        <w:footnoteRef/>
      </w:r>
      <w:r>
        <w:t xml:space="preserve"> </w:t>
      </w:r>
      <w:r w:rsidRPr="00625297">
        <w:rPr>
          <w:rFonts w:asciiTheme="minorHAnsi" w:hAnsiTheme="minorHAnsi" w:cstheme="minorHAnsi"/>
          <w:sz w:val="16"/>
          <w:szCs w:val="16"/>
        </w:rPr>
        <w:t>Australian Bureau of Statistics, Mineral and Petroleum Expenditure Australia, Catalogue 8412.0</w:t>
      </w:r>
      <w:r>
        <w:t xml:space="preserve"> </w:t>
      </w:r>
    </w:p>
  </w:footnote>
  <w:footnote w:id="3">
    <w:p w14:paraId="0981E480" w14:textId="77777777" w:rsidR="002E3744" w:rsidRDefault="002E3744" w:rsidP="00F6141C">
      <w:pPr>
        <w:pStyle w:val="FootnoteText"/>
      </w:pPr>
      <w:r>
        <w:rPr>
          <w:rStyle w:val="FootnoteReference"/>
        </w:rPr>
        <w:footnoteRef/>
      </w:r>
      <w:r>
        <w:t xml:space="preserve"> </w:t>
      </w:r>
      <w:hyperlink r:id="rId1" w:history="1">
        <w:r w:rsidRPr="003948D0">
          <w:rPr>
            <w:rStyle w:val="Hyperlink"/>
            <w:rFonts w:asciiTheme="minorHAnsi" w:hAnsiTheme="minorHAnsi" w:cstheme="minorHAnsi"/>
            <w:sz w:val="16"/>
            <w:szCs w:val="16"/>
          </w:rPr>
          <w:t>https://publications.industry.gov.au/publications/resourcesandenergyquarterlyjune2019/documents/Resources-and-Energy-Quarterly-June-2019.pdf</w:t>
        </w:r>
      </w:hyperlink>
    </w:p>
  </w:footnote>
  <w:footnote w:id="4">
    <w:p w14:paraId="5727BD3E" w14:textId="77777777" w:rsidR="002E3744" w:rsidRDefault="002E3744">
      <w:pPr>
        <w:pStyle w:val="FootnoteText"/>
      </w:pPr>
      <w:r>
        <w:rPr>
          <w:rStyle w:val="FootnoteReference"/>
        </w:rPr>
        <w:footnoteRef/>
      </w:r>
      <w:r>
        <w:t xml:space="preserve"> </w:t>
      </w:r>
      <w:r w:rsidRPr="00E96F30">
        <w:rPr>
          <w:rFonts w:asciiTheme="minorHAnsi" w:hAnsiTheme="minorHAnsi" w:cstheme="minorHAnsi"/>
          <w:sz w:val="16"/>
          <w:szCs w:val="16"/>
        </w:rPr>
        <w:t>https://www.rba.gov.au/publications/smp/2018/feb/pdf/statement-on-monetary-policy-2018-02.pdf</w:t>
      </w:r>
    </w:p>
  </w:footnote>
  <w:footnote w:id="5">
    <w:p w14:paraId="2A93DCF3" w14:textId="77777777" w:rsidR="002E3744" w:rsidRDefault="002E3744">
      <w:pPr>
        <w:pStyle w:val="FootnoteText"/>
      </w:pPr>
      <w:r>
        <w:rPr>
          <w:rStyle w:val="FootnoteReference"/>
        </w:rPr>
        <w:footnoteRef/>
      </w:r>
      <w:r>
        <w:t xml:space="preserve"> </w:t>
      </w:r>
      <w:r w:rsidRPr="00B41A93">
        <w:rPr>
          <w:rFonts w:asciiTheme="minorHAnsi" w:hAnsiTheme="minorHAnsi" w:cstheme="minorHAnsi"/>
          <w:sz w:val="16"/>
          <w:szCs w:val="16"/>
        </w:rPr>
        <w:t>https://www.rba.gov.au/publications/smp/2019/may/pdf/statement-on-monetary-policy-2019-05.pdf</w:t>
      </w:r>
    </w:p>
  </w:footnote>
  <w:footnote w:id="6">
    <w:p w14:paraId="4A635CEF" w14:textId="1E5819EF" w:rsidR="002E3744" w:rsidRDefault="002E3744">
      <w:pPr>
        <w:pStyle w:val="FootnoteText"/>
      </w:pPr>
      <w:r>
        <w:rPr>
          <w:rStyle w:val="FootnoteReference"/>
        </w:rPr>
        <w:footnoteRef/>
      </w:r>
      <w:r>
        <w:t xml:space="preserve"> </w:t>
      </w:r>
      <w:hyperlink r:id="rId2" w:history="1">
        <w:r w:rsidRPr="00EC7F68">
          <w:rPr>
            <w:rStyle w:val="Hyperlink"/>
            <w:rFonts w:asciiTheme="minorHAnsi" w:hAnsiTheme="minorHAnsi" w:cstheme="minorHAnsi"/>
            <w:sz w:val="16"/>
            <w:szCs w:val="16"/>
          </w:rPr>
          <w:t>https://publications.industry.gov.au/publications/resourcesandenergyquarterlyjune2019/documents/Resources-and-Energy-Quarterly-September-2019.pdf</w:t>
        </w:r>
      </w:hyperlink>
    </w:p>
  </w:footnote>
  <w:footnote w:id="7">
    <w:p w14:paraId="05901F90" w14:textId="77777777" w:rsidR="002E3744" w:rsidRDefault="002E3744">
      <w:pPr>
        <w:pStyle w:val="FootnoteText"/>
      </w:pPr>
      <w:r>
        <w:rPr>
          <w:rStyle w:val="FootnoteReference"/>
        </w:rPr>
        <w:footnoteRef/>
      </w:r>
      <w:r>
        <w:t xml:space="preserve"> </w:t>
      </w:r>
      <w:r w:rsidRPr="003261A7">
        <w:rPr>
          <w:rFonts w:asciiTheme="minorHAnsi" w:hAnsiTheme="minorHAnsi" w:cstheme="minorHAnsi"/>
          <w:sz w:val="16"/>
          <w:szCs w:val="16"/>
        </w:rPr>
        <w:t>https://publications.industry.gov.au/publications/resourcesandenergyquarterlyjune2018/documents/Resources-and-Energy-Quarterly-June-2018-Asian-LNG-trade.pdf</w:t>
      </w:r>
    </w:p>
  </w:footnote>
  <w:footnote w:id="8">
    <w:p w14:paraId="05177D28" w14:textId="77777777" w:rsidR="002E3744" w:rsidRDefault="002E3744">
      <w:pPr>
        <w:pStyle w:val="FootnoteText"/>
      </w:pPr>
      <w:r>
        <w:rPr>
          <w:rStyle w:val="FootnoteReference"/>
        </w:rPr>
        <w:footnoteRef/>
      </w:r>
      <w:r>
        <w:t xml:space="preserve"> </w:t>
      </w:r>
      <w:r w:rsidRPr="00FA6E9D">
        <w:rPr>
          <w:rFonts w:asciiTheme="minorHAnsi" w:hAnsiTheme="minorHAnsi" w:cstheme="minorHAnsi"/>
          <w:sz w:val="16"/>
          <w:szCs w:val="16"/>
        </w:rPr>
        <w:t>GIIGNL 2019 Annual Report p29</w:t>
      </w:r>
    </w:p>
  </w:footnote>
  <w:footnote w:id="9">
    <w:p w14:paraId="71291097" w14:textId="77777777" w:rsidR="002E3744" w:rsidRDefault="002E3744">
      <w:pPr>
        <w:pStyle w:val="FootnoteText"/>
      </w:pPr>
      <w:r>
        <w:rPr>
          <w:rStyle w:val="FootnoteReference"/>
        </w:rPr>
        <w:footnoteRef/>
      </w:r>
      <w:r>
        <w:t xml:space="preserve"> </w:t>
      </w:r>
      <w:hyperlink r:id="rId3" w:history="1">
        <w:r w:rsidRPr="003948D0">
          <w:rPr>
            <w:rStyle w:val="Hyperlink"/>
            <w:rFonts w:asciiTheme="minorHAnsi" w:hAnsiTheme="minorHAnsi" w:cstheme="minorHAnsi"/>
            <w:sz w:val="16"/>
            <w:szCs w:val="16"/>
          </w:rPr>
          <w:t>https://publications.industry.gov.au/publications/resourcesandenergyquarterlyjune2019/documents/Resources-and-Energy-Quarterly-June-2019.pdf</w:t>
        </w:r>
      </w:hyperlink>
    </w:p>
  </w:footnote>
  <w:footnote w:id="10">
    <w:p w14:paraId="3EF2BB81" w14:textId="79DC7956" w:rsidR="0086587D" w:rsidRDefault="0086587D">
      <w:pPr>
        <w:pStyle w:val="FootnoteText"/>
      </w:pPr>
      <w:r>
        <w:rPr>
          <w:rStyle w:val="FootnoteReference"/>
        </w:rPr>
        <w:footnoteRef/>
      </w:r>
      <w:r>
        <w:t xml:space="preserve"> </w:t>
      </w:r>
      <w:r w:rsidRPr="0086587D">
        <w:rPr>
          <w:rFonts w:asciiTheme="minorHAnsi" w:hAnsiTheme="minorHAnsi" w:cstheme="minorHAnsi"/>
          <w:sz w:val="16"/>
          <w:szCs w:val="16"/>
        </w:rPr>
        <w:t>IEA G</w:t>
      </w:r>
      <w:r>
        <w:rPr>
          <w:rFonts w:asciiTheme="minorHAnsi" w:hAnsiTheme="minorHAnsi" w:cstheme="minorHAnsi"/>
          <w:sz w:val="16"/>
          <w:szCs w:val="16"/>
        </w:rPr>
        <w:t>lobal E</w:t>
      </w:r>
      <w:r w:rsidRPr="0086587D">
        <w:rPr>
          <w:rFonts w:asciiTheme="minorHAnsi" w:hAnsiTheme="minorHAnsi" w:cstheme="minorHAnsi"/>
          <w:sz w:val="16"/>
          <w:szCs w:val="16"/>
        </w:rPr>
        <w:t>nergy and CO</w:t>
      </w:r>
      <w:r w:rsidRPr="000A06CB">
        <w:rPr>
          <w:vertAlign w:val="subscript"/>
        </w:rPr>
        <w:t>2</w:t>
      </w:r>
      <w:r>
        <w:rPr>
          <w:rFonts w:asciiTheme="minorHAnsi" w:hAnsiTheme="minorHAnsi" w:cstheme="minorHAnsi"/>
          <w:sz w:val="16"/>
          <w:szCs w:val="16"/>
        </w:rPr>
        <w:t xml:space="preserve"> Status R</w:t>
      </w:r>
      <w:r w:rsidRPr="0086587D">
        <w:rPr>
          <w:rFonts w:asciiTheme="minorHAnsi" w:hAnsiTheme="minorHAnsi" w:cstheme="minorHAnsi"/>
          <w:sz w:val="16"/>
          <w:szCs w:val="16"/>
        </w:rPr>
        <w:t>eport</w:t>
      </w:r>
    </w:p>
  </w:footnote>
  <w:footnote w:id="11">
    <w:p w14:paraId="3F52C22B" w14:textId="3A885BDB" w:rsidR="0086587D" w:rsidRDefault="0086587D">
      <w:pPr>
        <w:pStyle w:val="FootnoteText"/>
      </w:pPr>
      <w:r>
        <w:rPr>
          <w:rStyle w:val="FootnoteReference"/>
        </w:rPr>
        <w:footnoteRef/>
      </w:r>
      <w:r>
        <w:t xml:space="preserve"> </w:t>
      </w:r>
      <w:r w:rsidRPr="0086587D">
        <w:rPr>
          <w:rFonts w:asciiTheme="minorHAnsi" w:hAnsiTheme="minorHAnsi" w:cstheme="minorHAnsi"/>
          <w:sz w:val="16"/>
          <w:szCs w:val="16"/>
        </w:rPr>
        <w:t>Estimates from company statements, public presentations and industry estimates</w:t>
      </w:r>
      <w:r w:rsidR="0083330A">
        <w:rPr>
          <w:rFonts w:asciiTheme="minorHAnsi" w:hAnsiTheme="minorHAnsi" w:cstheme="minorHAnsi"/>
          <w:sz w:val="16"/>
          <w:szCs w:val="16"/>
        </w:rPr>
        <w:t>.</w:t>
      </w:r>
    </w:p>
  </w:footnote>
  <w:footnote w:id="12">
    <w:p w14:paraId="4F6E5F60" w14:textId="77777777" w:rsidR="002E3744" w:rsidRDefault="002E3744">
      <w:pPr>
        <w:pStyle w:val="FootnoteText"/>
      </w:pPr>
      <w:r>
        <w:rPr>
          <w:rStyle w:val="FootnoteReference"/>
        </w:rPr>
        <w:footnoteRef/>
      </w:r>
      <w:r>
        <w:t xml:space="preserve"> </w:t>
      </w:r>
      <w:r w:rsidRPr="001F50B2">
        <w:rPr>
          <w:rFonts w:asciiTheme="majorHAnsi" w:hAnsiTheme="majorHAnsi" w:cstheme="majorHAnsi"/>
          <w:sz w:val="16"/>
          <w:szCs w:val="16"/>
        </w:rPr>
        <w:t>International Group of LNG Importers 2019 Annual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13E34" w14:textId="77777777" w:rsidR="002E3744" w:rsidRDefault="002E3744">
    <w:pPr>
      <w:pStyle w:val="Header"/>
    </w:pPr>
    <w:r w:rsidRPr="00180BF8">
      <w:rPr>
        <w:noProof/>
      </w:rPr>
      <w:drawing>
        <wp:inline distT="0" distB="0" distL="0" distR="0" wp14:anchorId="4C5A2F6D" wp14:editId="3ADA3E8B">
          <wp:extent cx="2448560" cy="727710"/>
          <wp:effectExtent l="0" t="0" r="8890" b="0"/>
          <wp:docPr id="5" name="Picture 5" descr="Australian Government | Department of Industry, Innovation and Science logo&#10;" title="Australian Government | Department of Industry, Innovation and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8560" cy="727710"/>
                  </a:xfrm>
                  <a:prstGeom prst="rect">
                    <a:avLst/>
                  </a:prstGeom>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83C06FD" w14:textId="77777777" w:rsidR="002E3744" w:rsidRDefault="002E3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3235B" w14:textId="77777777" w:rsidR="002E3744" w:rsidRPr="00FF18CD" w:rsidRDefault="002E3744" w:rsidP="00FF1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8BDF31"/>
    <w:multiLevelType w:val="hybridMultilevel"/>
    <w:tmpl w:val="D77AE8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D0E8E17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4624515C"/>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E78317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8CDE2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AE446F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50A683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EC0C60"/>
    <w:multiLevelType w:val="multilevel"/>
    <w:tmpl w:val="B33A5A00"/>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1F164E"/>
    <w:multiLevelType w:val="hybridMultilevel"/>
    <w:tmpl w:val="76F4EB94"/>
    <w:lvl w:ilvl="0" w:tplc="319CB12C">
      <w:start w:val="1"/>
      <w:numFmt w:val="bullet"/>
      <w:lvlText w:val=""/>
      <w:lvlJc w:val="left"/>
      <w:pPr>
        <w:tabs>
          <w:tab w:val="num" w:pos="567"/>
        </w:tabs>
        <w:ind w:left="567" w:hanging="567"/>
      </w:pPr>
      <w:rPr>
        <w:rFonts w:ascii="Symbol" w:hAnsi="Symbol" w:hint="default"/>
        <w:color w:val="auto"/>
        <w:effect w:val="none"/>
      </w:rPr>
    </w:lvl>
    <w:lvl w:ilvl="1" w:tplc="8DE64DCC">
      <w:start w:val="1"/>
      <w:numFmt w:val="bullet"/>
      <w:lvlText w:val=""/>
      <w:lvlJc w:val="left"/>
      <w:pPr>
        <w:tabs>
          <w:tab w:val="num" w:pos="1440"/>
        </w:tabs>
        <w:ind w:left="1440" w:hanging="360"/>
      </w:pPr>
      <w:rPr>
        <w:rFonts w:ascii="Symbol" w:hAnsi="Symbol" w:hint="default"/>
        <w:color w:val="auto"/>
        <w:effect w:val="none"/>
      </w:rPr>
    </w:lvl>
    <w:lvl w:ilvl="2" w:tplc="E2FEE798">
      <w:start w:val="1"/>
      <w:numFmt w:val="decimal"/>
      <w:lvlText w:val="%3."/>
      <w:lvlJc w:val="left"/>
      <w:pPr>
        <w:tabs>
          <w:tab w:val="num" w:pos="2160"/>
        </w:tabs>
        <w:ind w:left="2160" w:hanging="360"/>
      </w:pPr>
    </w:lvl>
    <w:lvl w:ilvl="3" w:tplc="5ACCB496">
      <w:start w:val="1"/>
      <w:numFmt w:val="decimal"/>
      <w:lvlText w:val="%4."/>
      <w:lvlJc w:val="left"/>
      <w:pPr>
        <w:tabs>
          <w:tab w:val="num" w:pos="2880"/>
        </w:tabs>
        <w:ind w:left="2880" w:hanging="360"/>
      </w:pPr>
    </w:lvl>
    <w:lvl w:ilvl="4" w:tplc="646CDA52">
      <w:start w:val="1"/>
      <w:numFmt w:val="decimal"/>
      <w:lvlText w:val="%5."/>
      <w:lvlJc w:val="left"/>
      <w:pPr>
        <w:tabs>
          <w:tab w:val="num" w:pos="3600"/>
        </w:tabs>
        <w:ind w:left="3600" w:hanging="360"/>
      </w:pPr>
    </w:lvl>
    <w:lvl w:ilvl="5" w:tplc="26EEEE0E">
      <w:start w:val="1"/>
      <w:numFmt w:val="decimal"/>
      <w:lvlText w:val="%6."/>
      <w:lvlJc w:val="left"/>
      <w:pPr>
        <w:tabs>
          <w:tab w:val="num" w:pos="4320"/>
        </w:tabs>
        <w:ind w:left="4320" w:hanging="360"/>
      </w:pPr>
    </w:lvl>
    <w:lvl w:ilvl="6" w:tplc="45A09282">
      <w:start w:val="1"/>
      <w:numFmt w:val="decimal"/>
      <w:lvlText w:val="%7."/>
      <w:lvlJc w:val="left"/>
      <w:pPr>
        <w:tabs>
          <w:tab w:val="num" w:pos="5040"/>
        </w:tabs>
        <w:ind w:left="5040" w:hanging="360"/>
      </w:pPr>
    </w:lvl>
    <w:lvl w:ilvl="7" w:tplc="320094E0">
      <w:start w:val="1"/>
      <w:numFmt w:val="decimal"/>
      <w:lvlText w:val="%8."/>
      <w:lvlJc w:val="left"/>
      <w:pPr>
        <w:tabs>
          <w:tab w:val="num" w:pos="5760"/>
        </w:tabs>
        <w:ind w:left="5760" w:hanging="360"/>
      </w:pPr>
    </w:lvl>
    <w:lvl w:ilvl="8" w:tplc="E6223A70">
      <w:start w:val="1"/>
      <w:numFmt w:val="decimal"/>
      <w:lvlText w:val="%9."/>
      <w:lvlJc w:val="left"/>
      <w:pPr>
        <w:tabs>
          <w:tab w:val="num" w:pos="6480"/>
        </w:tabs>
        <w:ind w:left="6480" w:hanging="360"/>
      </w:pPr>
    </w:lvl>
  </w:abstractNum>
  <w:abstractNum w:abstractNumId="9" w15:restartNumberingAfterBreak="0">
    <w:nsid w:val="078D6B76"/>
    <w:multiLevelType w:val="hybridMultilevel"/>
    <w:tmpl w:val="B3F2BD40"/>
    <w:lvl w:ilvl="0" w:tplc="0C090003">
      <w:start w:val="1"/>
      <w:numFmt w:val="bullet"/>
      <w:lvlText w:val="o"/>
      <w:lvlJc w:val="left"/>
      <w:pPr>
        <w:ind w:left="1240" w:hanging="360"/>
      </w:pPr>
      <w:rPr>
        <w:rFonts w:ascii="Courier New" w:hAnsi="Courier New" w:cs="Courier New" w:hint="default"/>
      </w:rPr>
    </w:lvl>
    <w:lvl w:ilvl="1" w:tplc="0C090003">
      <w:start w:val="1"/>
      <w:numFmt w:val="bullet"/>
      <w:lvlText w:val="o"/>
      <w:lvlJc w:val="left"/>
      <w:pPr>
        <w:ind w:left="1960" w:hanging="360"/>
      </w:pPr>
      <w:rPr>
        <w:rFonts w:ascii="Courier New" w:hAnsi="Courier New" w:cs="Courier New" w:hint="default"/>
      </w:rPr>
    </w:lvl>
    <w:lvl w:ilvl="2" w:tplc="0C090005" w:tentative="1">
      <w:start w:val="1"/>
      <w:numFmt w:val="bullet"/>
      <w:lvlText w:val=""/>
      <w:lvlJc w:val="left"/>
      <w:pPr>
        <w:ind w:left="2680" w:hanging="360"/>
      </w:pPr>
      <w:rPr>
        <w:rFonts w:ascii="Wingdings" w:hAnsi="Wingdings" w:hint="default"/>
      </w:rPr>
    </w:lvl>
    <w:lvl w:ilvl="3" w:tplc="0C090001" w:tentative="1">
      <w:start w:val="1"/>
      <w:numFmt w:val="bullet"/>
      <w:lvlText w:val=""/>
      <w:lvlJc w:val="left"/>
      <w:pPr>
        <w:ind w:left="3400" w:hanging="360"/>
      </w:pPr>
      <w:rPr>
        <w:rFonts w:ascii="Symbol" w:hAnsi="Symbol" w:hint="default"/>
      </w:rPr>
    </w:lvl>
    <w:lvl w:ilvl="4" w:tplc="0C090003" w:tentative="1">
      <w:start w:val="1"/>
      <w:numFmt w:val="bullet"/>
      <w:lvlText w:val="o"/>
      <w:lvlJc w:val="left"/>
      <w:pPr>
        <w:ind w:left="4120" w:hanging="360"/>
      </w:pPr>
      <w:rPr>
        <w:rFonts w:ascii="Courier New" w:hAnsi="Courier New" w:cs="Courier New" w:hint="default"/>
      </w:rPr>
    </w:lvl>
    <w:lvl w:ilvl="5" w:tplc="0C090005" w:tentative="1">
      <w:start w:val="1"/>
      <w:numFmt w:val="bullet"/>
      <w:lvlText w:val=""/>
      <w:lvlJc w:val="left"/>
      <w:pPr>
        <w:ind w:left="4840" w:hanging="360"/>
      </w:pPr>
      <w:rPr>
        <w:rFonts w:ascii="Wingdings" w:hAnsi="Wingdings" w:hint="default"/>
      </w:rPr>
    </w:lvl>
    <w:lvl w:ilvl="6" w:tplc="0C090001" w:tentative="1">
      <w:start w:val="1"/>
      <w:numFmt w:val="bullet"/>
      <w:lvlText w:val=""/>
      <w:lvlJc w:val="left"/>
      <w:pPr>
        <w:ind w:left="5560" w:hanging="360"/>
      </w:pPr>
      <w:rPr>
        <w:rFonts w:ascii="Symbol" w:hAnsi="Symbol" w:hint="default"/>
      </w:rPr>
    </w:lvl>
    <w:lvl w:ilvl="7" w:tplc="0C090003" w:tentative="1">
      <w:start w:val="1"/>
      <w:numFmt w:val="bullet"/>
      <w:lvlText w:val="o"/>
      <w:lvlJc w:val="left"/>
      <w:pPr>
        <w:ind w:left="6280" w:hanging="360"/>
      </w:pPr>
      <w:rPr>
        <w:rFonts w:ascii="Courier New" w:hAnsi="Courier New" w:cs="Courier New" w:hint="default"/>
      </w:rPr>
    </w:lvl>
    <w:lvl w:ilvl="8" w:tplc="0C090005" w:tentative="1">
      <w:start w:val="1"/>
      <w:numFmt w:val="bullet"/>
      <w:lvlText w:val=""/>
      <w:lvlJc w:val="left"/>
      <w:pPr>
        <w:ind w:left="7000" w:hanging="360"/>
      </w:pPr>
      <w:rPr>
        <w:rFonts w:ascii="Wingdings" w:hAnsi="Wingdings" w:hint="default"/>
      </w:rPr>
    </w:lvl>
  </w:abstractNum>
  <w:abstractNum w:abstractNumId="10" w15:restartNumberingAfterBreak="0">
    <w:nsid w:val="13026985"/>
    <w:multiLevelType w:val="multilevel"/>
    <w:tmpl w:val="170EB39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E6254A"/>
    <w:multiLevelType w:val="hybridMultilevel"/>
    <w:tmpl w:val="6D968F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3" w15:restartNumberingAfterBreak="0">
    <w:nsid w:val="1B2E66ED"/>
    <w:multiLevelType w:val="hybridMultilevel"/>
    <w:tmpl w:val="CDDE7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1CBD471C"/>
    <w:multiLevelType w:val="multilevel"/>
    <w:tmpl w:val="87F674E4"/>
    <w:lvl w:ilvl="0">
      <w:start w:val="1"/>
      <w:numFmt w:val="bullet"/>
      <w:lvlText w:val=""/>
      <w:lvlJc w:val="left"/>
      <w:pPr>
        <w:tabs>
          <w:tab w:val="num" w:pos="520"/>
        </w:tabs>
        <w:ind w:left="520" w:hanging="520"/>
      </w:pPr>
      <w:rPr>
        <w:rFonts w:ascii="Wingdings" w:hAnsi="Wingdings" w:hint="default"/>
        <w:b w:val="0"/>
        <w:i w:val="0"/>
      </w:rPr>
    </w:lvl>
    <w:lvl w:ilvl="1">
      <w:start w:val="1"/>
      <w:numFmt w:val="bullet"/>
      <w:lvlText w:val="–"/>
      <w:lvlJc w:val="left"/>
      <w:pPr>
        <w:tabs>
          <w:tab w:val="num" w:pos="1040"/>
        </w:tabs>
        <w:ind w:left="1040" w:hanging="520"/>
      </w:pPr>
      <w:rPr>
        <w:rFonts w:ascii="Times New Roman" w:hAnsi="Times New Roman" w:cs="Times New Roman"/>
        <w:b w:val="0"/>
        <w:i w:val="0"/>
      </w:rPr>
    </w:lvl>
    <w:lvl w:ilvl="2">
      <w:start w:val="1"/>
      <w:numFmt w:val="bulle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2007"/>
        </w:tabs>
        <w:ind w:left="2007" w:hanging="360"/>
      </w:pPr>
      <w:rPr>
        <w:b w:val="0"/>
        <w:i w:val="0"/>
      </w:rPr>
    </w:lvl>
    <w:lvl w:ilvl="4">
      <w:start w:val="1"/>
      <w:numFmt w:val="lowerLetter"/>
      <w:lvlText w:val="(%5)"/>
      <w:lvlJc w:val="left"/>
      <w:pPr>
        <w:tabs>
          <w:tab w:val="num" w:pos="2367"/>
        </w:tabs>
        <w:ind w:left="2367" w:hanging="360"/>
      </w:pPr>
      <w:rPr>
        <w:b w:val="0"/>
        <w:i w:val="0"/>
      </w:rPr>
    </w:lvl>
    <w:lvl w:ilvl="5">
      <w:start w:val="1"/>
      <w:numFmt w:val="lowerRoman"/>
      <w:lvlText w:val="(%6)"/>
      <w:lvlJc w:val="left"/>
      <w:pPr>
        <w:tabs>
          <w:tab w:val="num" w:pos="2727"/>
        </w:tabs>
        <w:ind w:left="2727" w:hanging="360"/>
      </w:pPr>
      <w:rPr>
        <w:b w:val="0"/>
        <w:i w:val="0"/>
      </w:rPr>
    </w:lvl>
    <w:lvl w:ilvl="6">
      <w:start w:val="1"/>
      <w:numFmt w:val="decimal"/>
      <w:lvlText w:val="%7."/>
      <w:lvlJc w:val="left"/>
      <w:pPr>
        <w:tabs>
          <w:tab w:val="num" w:pos="3087"/>
        </w:tabs>
        <w:ind w:left="3087" w:hanging="360"/>
      </w:pPr>
      <w:rPr>
        <w:b w:val="0"/>
        <w:i w:val="0"/>
      </w:rPr>
    </w:lvl>
    <w:lvl w:ilvl="7">
      <w:start w:val="1"/>
      <w:numFmt w:val="lowerLetter"/>
      <w:lvlText w:val="%8."/>
      <w:lvlJc w:val="left"/>
      <w:pPr>
        <w:tabs>
          <w:tab w:val="num" w:pos="3447"/>
        </w:tabs>
        <w:ind w:left="3447" w:hanging="360"/>
      </w:pPr>
      <w:rPr>
        <w:b w:val="0"/>
        <w:i w:val="0"/>
      </w:rPr>
    </w:lvl>
    <w:lvl w:ilvl="8">
      <w:start w:val="1"/>
      <w:numFmt w:val="lowerRoman"/>
      <w:lvlText w:val="%9."/>
      <w:lvlJc w:val="left"/>
      <w:pPr>
        <w:tabs>
          <w:tab w:val="num" w:pos="3807"/>
        </w:tabs>
        <w:ind w:left="3807" w:hanging="360"/>
      </w:pPr>
      <w:rPr>
        <w:b w:val="0"/>
        <w:i w:val="0"/>
      </w:rPr>
    </w:lvl>
  </w:abstractNum>
  <w:abstractNum w:abstractNumId="16" w15:restartNumberingAfterBreak="0">
    <w:nsid w:val="256548E1"/>
    <w:multiLevelType w:val="multilevel"/>
    <w:tmpl w:val="1FA8B282"/>
    <w:name w:val="Recommendation Heading List"/>
    <w:lvl w:ilvl="0">
      <w:start w:val="1"/>
      <w:numFmt w:val="decimal"/>
      <w:lvlRestart w:val="0"/>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263C0C94"/>
    <w:multiLevelType w:val="hybridMultilevel"/>
    <w:tmpl w:val="7DE2B0E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440C8B"/>
    <w:multiLevelType w:val="multilevel"/>
    <w:tmpl w:val="CA4C6386"/>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2007"/>
        </w:tabs>
        <w:ind w:left="2007" w:hanging="360"/>
      </w:pPr>
      <w:rPr>
        <w:b w:val="0"/>
        <w:i w:val="0"/>
      </w:rPr>
    </w:lvl>
    <w:lvl w:ilvl="4">
      <w:start w:val="1"/>
      <w:numFmt w:val="lowerLetter"/>
      <w:lvlText w:val="(%5)"/>
      <w:lvlJc w:val="left"/>
      <w:pPr>
        <w:tabs>
          <w:tab w:val="num" w:pos="2367"/>
        </w:tabs>
        <w:ind w:left="2367" w:hanging="360"/>
      </w:pPr>
      <w:rPr>
        <w:b w:val="0"/>
        <w:i w:val="0"/>
      </w:rPr>
    </w:lvl>
    <w:lvl w:ilvl="5">
      <w:start w:val="1"/>
      <w:numFmt w:val="lowerRoman"/>
      <w:lvlText w:val="(%6)"/>
      <w:lvlJc w:val="left"/>
      <w:pPr>
        <w:tabs>
          <w:tab w:val="num" w:pos="2727"/>
        </w:tabs>
        <w:ind w:left="2727" w:hanging="360"/>
      </w:pPr>
      <w:rPr>
        <w:b w:val="0"/>
        <w:i w:val="0"/>
      </w:rPr>
    </w:lvl>
    <w:lvl w:ilvl="6">
      <w:start w:val="1"/>
      <w:numFmt w:val="decimal"/>
      <w:lvlText w:val="%7."/>
      <w:lvlJc w:val="left"/>
      <w:pPr>
        <w:tabs>
          <w:tab w:val="num" w:pos="3087"/>
        </w:tabs>
        <w:ind w:left="3087" w:hanging="360"/>
      </w:pPr>
      <w:rPr>
        <w:b w:val="0"/>
        <w:i w:val="0"/>
      </w:rPr>
    </w:lvl>
    <w:lvl w:ilvl="7">
      <w:start w:val="1"/>
      <w:numFmt w:val="lowerLetter"/>
      <w:lvlText w:val="%8."/>
      <w:lvlJc w:val="left"/>
      <w:pPr>
        <w:tabs>
          <w:tab w:val="num" w:pos="3447"/>
        </w:tabs>
        <w:ind w:left="3447" w:hanging="360"/>
      </w:pPr>
      <w:rPr>
        <w:b w:val="0"/>
        <w:i w:val="0"/>
      </w:rPr>
    </w:lvl>
    <w:lvl w:ilvl="8">
      <w:start w:val="1"/>
      <w:numFmt w:val="lowerRoman"/>
      <w:lvlText w:val="%9."/>
      <w:lvlJc w:val="left"/>
      <w:pPr>
        <w:tabs>
          <w:tab w:val="num" w:pos="3807"/>
        </w:tabs>
        <w:ind w:left="3807" w:hanging="360"/>
      </w:pPr>
      <w:rPr>
        <w:b w:val="0"/>
        <w:i w:val="0"/>
      </w:rPr>
    </w:lvl>
  </w:abstractNum>
  <w:abstractNum w:abstractNumId="19" w15:restartNumberingAfterBreak="0">
    <w:nsid w:val="2875412D"/>
    <w:multiLevelType w:val="hybridMultilevel"/>
    <w:tmpl w:val="44A497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0F60BF"/>
    <w:multiLevelType w:val="multilevel"/>
    <w:tmpl w:val="A80C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FEA735"/>
    <w:multiLevelType w:val="hybridMultilevel"/>
    <w:tmpl w:val="BD7878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23" w15:restartNumberingAfterBreak="0">
    <w:nsid w:val="2DF54350"/>
    <w:multiLevelType w:val="multilevel"/>
    <w:tmpl w:val="2DB61A66"/>
    <w:lvl w:ilvl="0">
      <w:start w:val="1"/>
      <w:numFmt w:val="bullet"/>
      <w:pStyle w:val="OutlineNumbered1"/>
      <w:lvlText w:val="•"/>
      <w:lvlJc w:val="left"/>
      <w:pPr>
        <w:tabs>
          <w:tab w:val="num" w:pos="472"/>
        </w:tabs>
        <w:ind w:left="472" w:hanging="472"/>
      </w:pPr>
      <w:rPr>
        <w:rFonts w:ascii="Times New Roman" w:hAnsi="Times New Roman" w:cs="Times New Roman"/>
      </w:rPr>
    </w:lvl>
    <w:lvl w:ilvl="1">
      <w:start w:val="1"/>
      <w:numFmt w:val="bullet"/>
      <w:pStyle w:val="OutlineNumbered2"/>
      <w:lvlText w:val="–"/>
      <w:lvlJc w:val="left"/>
      <w:pPr>
        <w:tabs>
          <w:tab w:val="num" w:pos="944"/>
        </w:tabs>
        <w:ind w:left="944" w:hanging="472"/>
      </w:pPr>
      <w:rPr>
        <w:rFonts w:ascii="Times New Roman" w:hAnsi="Times New Roman" w:cs="Times New Roman"/>
      </w:rPr>
    </w:lvl>
    <w:lvl w:ilvl="2">
      <w:start w:val="1"/>
      <w:numFmt w:val="bullet"/>
      <w:pStyle w:val="OutlineNumbered3"/>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4211E7F"/>
    <w:multiLevelType w:val="hybridMultilevel"/>
    <w:tmpl w:val="4D66951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0A6448"/>
    <w:multiLevelType w:val="hybridMultilevel"/>
    <w:tmpl w:val="D15A0D6A"/>
    <w:lvl w:ilvl="0" w:tplc="542A524C">
      <w:numFmt w:val="bullet"/>
      <w:lvlText w:val="•"/>
      <w:lvlJc w:val="left"/>
      <w:pPr>
        <w:ind w:left="1080" w:hanging="360"/>
      </w:pPr>
      <w:rPr>
        <w:rFonts w:ascii="Calibri" w:eastAsiaTheme="minorHAnsi" w:hAnsi="Calibri" w:cs="Calibri" w:hint="default"/>
        <w:b/>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3D714D4B"/>
    <w:multiLevelType w:val="multilevel"/>
    <w:tmpl w:val="138AF9F6"/>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19056E"/>
    <w:multiLevelType w:val="multilevel"/>
    <w:tmpl w:val="DEF60DBE"/>
    <w:lvl w:ilvl="0">
      <w:start w:val="1"/>
      <w:numFmt w:val="bullet"/>
      <w:lvlText w:val=""/>
      <w:lvlJc w:val="left"/>
      <w:pPr>
        <w:tabs>
          <w:tab w:val="num" w:pos="520"/>
        </w:tabs>
        <w:ind w:left="520" w:hanging="520"/>
      </w:pPr>
      <w:rPr>
        <w:rFonts w:ascii="Wingdings" w:hAnsi="Wingdings" w:hint="default"/>
        <w:b w:val="0"/>
        <w:i w:val="0"/>
      </w:rPr>
    </w:lvl>
    <w:lvl w:ilvl="1">
      <w:start w:val="1"/>
      <w:numFmt w:val="bullet"/>
      <w:lvlText w:val="–"/>
      <w:lvlJc w:val="left"/>
      <w:pPr>
        <w:tabs>
          <w:tab w:val="num" w:pos="1040"/>
        </w:tabs>
        <w:ind w:left="1040" w:hanging="520"/>
      </w:pPr>
      <w:rPr>
        <w:rFonts w:ascii="Times New Roman" w:hAnsi="Times New Roman" w:cs="Times New Roman"/>
        <w:b w:val="0"/>
        <w:i w:val="0"/>
      </w:rPr>
    </w:lvl>
    <w:lvl w:ilvl="2">
      <w:start w:val="1"/>
      <w:numFmt w:val="bulle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8" w15:restartNumberingAfterBreak="0">
    <w:nsid w:val="3EE468C6"/>
    <w:multiLevelType w:val="hybridMultilevel"/>
    <w:tmpl w:val="60E6B77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7C52AC"/>
    <w:multiLevelType w:val="hybridMultilevel"/>
    <w:tmpl w:val="F7FACB26"/>
    <w:lvl w:ilvl="0" w:tplc="421473CC">
      <w:start w:val="1"/>
      <w:numFmt w:val="bullet"/>
      <w:pStyle w:val="Keypointsbullet"/>
      <w:lvlText w:val=""/>
      <w:lvlJc w:val="left"/>
      <w:pPr>
        <w:ind w:left="360" w:hanging="360"/>
      </w:pPr>
      <w:rPr>
        <w:rFonts w:ascii="Wingdings" w:hAnsi="Wingdings" w:hint="default"/>
        <w:color w:val="005CAF"/>
      </w:rPr>
    </w:lvl>
    <w:lvl w:ilvl="1" w:tplc="0C090003">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0" w15:restartNumberingAfterBreak="0">
    <w:nsid w:val="4492DEC8"/>
    <w:multiLevelType w:val="hybridMultilevel"/>
    <w:tmpl w:val="DFA0E4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B94390E"/>
    <w:multiLevelType w:val="multilevel"/>
    <w:tmpl w:val="D8FA72B0"/>
    <w:styleLink w:val="OCEBulletedList"/>
    <w:lvl w:ilvl="0">
      <w:start w:val="1"/>
      <w:numFmt w:val="bullet"/>
      <w:pStyle w:val="ListBullet"/>
      <w:lvlText w:val=""/>
      <w:lvlJc w:val="left"/>
      <w:pPr>
        <w:ind w:left="340" w:hanging="340"/>
      </w:pPr>
      <w:rPr>
        <w:rFonts w:ascii="Wingdings" w:hAnsi="Wingdings" w:hint="default"/>
        <w:color w:val="005CAF"/>
      </w:rPr>
    </w:lvl>
    <w:lvl w:ilvl="1">
      <w:start w:val="1"/>
      <w:numFmt w:val="bullet"/>
      <w:pStyle w:val="ListBullet2"/>
      <w:lvlText w:val=""/>
      <w:lvlJc w:val="left"/>
      <w:pPr>
        <w:ind w:left="709" w:hanging="369"/>
      </w:pPr>
      <w:rPr>
        <w:rFonts w:ascii="Wingdings" w:hAnsi="Wingdings" w:hint="default"/>
        <w:b w:val="0"/>
        <w:i w:val="0"/>
        <w:color w:val="005CAF"/>
        <w:w w:val="100"/>
        <w:position w:val="0"/>
        <w:sz w:val="20"/>
        <w:vertAlign w:val="baseline"/>
      </w:rPr>
    </w:lvl>
    <w:lvl w:ilvl="2">
      <w:start w:val="1"/>
      <w:numFmt w:val="bullet"/>
      <w:pStyle w:val="ListBullet3"/>
      <w:lvlText w:val="-"/>
      <w:lvlJc w:val="left"/>
      <w:pPr>
        <w:ind w:left="964" w:hanging="255"/>
      </w:pPr>
      <w:rPr>
        <w:rFonts w:ascii="Courier New" w:hAnsi="Courier New" w:hint="default"/>
        <w:color w:val="005CAF"/>
      </w:rPr>
    </w:lvl>
    <w:lvl w:ilvl="3">
      <w:start w:val="1"/>
      <w:numFmt w:val="none"/>
      <w:pStyle w:val="ListBullet4"/>
      <w:suff w:val="nothing"/>
      <w:lvlText w:val=""/>
      <w:lvlJc w:val="left"/>
      <w:pPr>
        <w:ind w:left="0" w:firstLine="96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33" w15:restartNumberingAfterBreak="0">
    <w:nsid w:val="4D5610F9"/>
    <w:multiLevelType w:val="multilevel"/>
    <w:tmpl w:val="99862D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EFB3435"/>
    <w:multiLevelType w:val="multilevel"/>
    <w:tmpl w:val="0E9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C737CD"/>
    <w:multiLevelType w:val="hybridMultilevel"/>
    <w:tmpl w:val="DA2A261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7" w15:restartNumberingAfterBreak="0">
    <w:nsid w:val="624C5848"/>
    <w:multiLevelType w:val="hybridMultilevel"/>
    <w:tmpl w:val="1430DF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871497"/>
    <w:multiLevelType w:val="hybridMultilevel"/>
    <w:tmpl w:val="46CED2D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6F0E73"/>
    <w:multiLevelType w:val="hybridMultilevel"/>
    <w:tmpl w:val="1C8EE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410C2D"/>
    <w:multiLevelType w:val="hybridMultilevel"/>
    <w:tmpl w:val="93EC3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A24685"/>
    <w:multiLevelType w:val="hybridMultilevel"/>
    <w:tmpl w:val="33E8B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BF32D9"/>
    <w:multiLevelType w:val="hybridMultilevel"/>
    <w:tmpl w:val="35DA94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6F30895"/>
    <w:multiLevelType w:val="multilevel"/>
    <w:tmpl w:val="C662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CA90DB"/>
    <w:multiLevelType w:val="hybridMultilevel"/>
    <w:tmpl w:val="2CF9E1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B3C7526"/>
    <w:multiLevelType w:val="multilevel"/>
    <w:tmpl w:val="E8D4A3D2"/>
    <w:lvl w:ilvl="0">
      <w:start w:val="1"/>
      <w:numFmt w:val="bullet"/>
      <w:lvlText w:val=""/>
      <w:lvlJc w:val="left"/>
      <w:pPr>
        <w:ind w:left="369" w:hanging="369"/>
      </w:pPr>
      <w:rPr>
        <w:rFonts w:ascii="Symbol" w:hAnsi="Symbol" w:hint="default"/>
        <w:color w:val="auto"/>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7" w15:restartNumberingAfterBreak="0">
    <w:nsid w:val="7CD41E13"/>
    <w:multiLevelType w:val="hybridMultilevel"/>
    <w:tmpl w:val="0AD01DC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30268B"/>
    <w:multiLevelType w:val="multilevel"/>
    <w:tmpl w:val="3F08634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5"/>
  </w:num>
  <w:num w:numId="2">
    <w:abstractNumId w:val="0"/>
  </w:num>
  <w:num w:numId="3">
    <w:abstractNumId w:val="30"/>
  </w:num>
  <w:num w:numId="4">
    <w:abstractNumId w:val="43"/>
  </w:num>
  <w:num w:numId="5">
    <w:abstractNumId w:val="21"/>
  </w:num>
  <w:num w:numId="6">
    <w:abstractNumId w:val="45"/>
  </w:num>
  <w:num w:numId="7">
    <w:abstractNumId w:val="18"/>
  </w:num>
  <w:num w:numId="8">
    <w:abstractNumId w:val="22"/>
  </w:num>
  <w:num w:numId="9">
    <w:abstractNumId w:val="32"/>
  </w:num>
  <w:num w:numId="10">
    <w:abstractNumId w:val="36"/>
  </w:num>
  <w:num w:numId="11">
    <w:abstractNumId w:val="12"/>
  </w:num>
  <w:num w:numId="12">
    <w:abstractNumId w:val="14"/>
  </w:num>
  <w:num w:numId="13">
    <w:abstractNumId w:val="23"/>
  </w:num>
  <w:num w:numId="14">
    <w:abstractNumId w:val="42"/>
  </w:num>
  <w:num w:numId="15">
    <w:abstractNumId w:val="13"/>
  </w:num>
  <w:num w:numId="16">
    <w:abstractNumId w:val="34"/>
  </w:num>
  <w:num w:numId="17">
    <w:abstractNumId w:val="20"/>
  </w:num>
  <w:num w:numId="18">
    <w:abstractNumId w:val="48"/>
  </w:num>
  <w:num w:numId="19">
    <w:abstractNumId w:val="7"/>
  </w:num>
  <w:num w:numId="20">
    <w:abstractNumId w:val="26"/>
    <w:lvlOverride w:ilvl="0">
      <w:lvl w:ilvl="0">
        <w:start w:val="1"/>
        <w:numFmt w:val="decimal"/>
        <w:pStyle w:val="ChapterHeading"/>
        <w:lvlText w:val="Chapter %1"/>
        <w:lvlJc w:val="left"/>
        <w:pPr>
          <w:tabs>
            <w:tab w:val="num" w:pos="1134"/>
          </w:tabs>
          <w:ind w:left="0" w:firstLine="0"/>
        </w:pPr>
        <w:rPr>
          <w:rFonts w:cs="Times New Roman"/>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21">
    <w:abstractNumId w:val="28"/>
  </w:num>
  <w:num w:numId="22">
    <w:abstractNumId w:val="24"/>
  </w:num>
  <w:num w:numId="23">
    <w:abstractNumId w:val="26"/>
  </w:num>
  <w:num w:numId="24">
    <w:abstractNumId w:val="38"/>
  </w:num>
  <w:num w:numId="25">
    <w:abstractNumId w:val="27"/>
  </w:num>
  <w:num w:numId="26">
    <w:abstractNumId w:val="17"/>
  </w:num>
  <w:num w:numId="27">
    <w:abstractNumId w:val="19"/>
  </w:num>
  <w:num w:numId="28">
    <w:abstractNumId w:val="11"/>
  </w:num>
  <w:num w:numId="29">
    <w:abstractNumId w:val="35"/>
  </w:num>
  <w:num w:numId="30">
    <w:abstractNumId w:val="15"/>
  </w:num>
  <w:num w:numId="31">
    <w:abstractNumId w:val="16"/>
  </w:num>
  <w:num w:numId="32">
    <w:abstractNumId w:val="37"/>
  </w:num>
  <w:num w:numId="33">
    <w:abstractNumId w:val="47"/>
  </w:num>
  <w:num w:numId="34">
    <w:abstractNumId w:val="10"/>
  </w:num>
  <w:num w:numId="35">
    <w:abstractNumId w:val="9"/>
  </w:num>
  <w:num w:numId="36">
    <w:abstractNumId w:val="6"/>
  </w:num>
  <w:num w:numId="37">
    <w:abstractNumId w:val="4"/>
  </w:num>
  <w:num w:numId="38">
    <w:abstractNumId w:val="3"/>
  </w:num>
  <w:num w:numId="39">
    <w:abstractNumId w:val="2"/>
  </w:num>
  <w:num w:numId="40">
    <w:abstractNumId w:val="1"/>
  </w:num>
  <w:num w:numId="41">
    <w:abstractNumId w:val="5"/>
  </w:num>
  <w:num w:numId="42">
    <w:abstractNumId w:val="33"/>
  </w:num>
  <w:num w:numId="43">
    <w:abstractNumId w:val="46"/>
  </w:num>
  <w:num w:numId="44">
    <w:abstractNumId w:val="41"/>
  </w:num>
  <w:num w:numId="4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40"/>
  </w:num>
  <w:num w:numId="48">
    <w:abstractNumId w:val="44"/>
  </w:num>
  <w:num w:numId="49">
    <w:abstractNumId w:val="31"/>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75"/>
    <w:rsid w:val="00003352"/>
    <w:rsid w:val="000132C9"/>
    <w:rsid w:val="000228C6"/>
    <w:rsid w:val="00034581"/>
    <w:rsid w:val="00063210"/>
    <w:rsid w:val="00063D39"/>
    <w:rsid w:val="00067FAB"/>
    <w:rsid w:val="00073B4C"/>
    <w:rsid w:val="00075F7C"/>
    <w:rsid w:val="00090BA2"/>
    <w:rsid w:val="00092955"/>
    <w:rsid w:val="00093668"/>
    <w:rsid w:val="00093AA8"/>
    <w:rsid w:val="00096C68"/>
    <w:rsid w:val="000A06CB"/>
    <w:rsid w:val="000A6432"/>
    <w:rsid w:val="000A7034"/>
    <w:rsid w:val="000B19BB"/>
    <w:rsid w:val="000B2685"/>
    <w:rsid w:val="000B55A2"/>
    <w:rsid w:val="000C7393"/>
    <w:rsid w:val="000D3800"/>
    <w:rsid w:val="000F00DA"/>
    <w:rsid w:val="000F4656"/>
    <w:rsid w:val="000F6DFC"/>
    <w:rsid w:val="00100404"/>
    <w:rsid w:val="00110135"/>
    <w:rsid w:val="00116393"/>
    <w:rsid w:val="0011658A"/>
    <w:rsid w:val="00117889"/>
    <w:rsid w:val="00122089"/>
    <w:rsid w:val="00123920"/>
    <w:rsid w:val="00123A25"/>
    <w:rsid w:val="001343AF"/>
    <w:rsid w:val="001407CA"/>
    <w:rsid w:val="0014679A"/>
    <w:rsid w:val="0015469E"/>
    <w:rsid w:val="00157E0D"/>
    <w:rsid w:val="00163083"/>
    <w:rsid w:val="00166B5D"/>
    <w:rsid w:val="00176C3D"/>
    <w:rsid w:val="00177860"/>
    <w:rsid w:val="00184B31"/>
    <w:rsid w:val="001869D9"/>
    <w:rsid w:val="00193499"/>
    <w:rsid w:val="001945D3"/>
    <w:rsid w:val="00194DC9"/>
    <w:rsid w:val="00195407"/>
    <w:rsid w:val="001A2223"/>
    <w:rsid w:val="001A2E44"/>
    <w:rsid w:val="001A5639"/>
    <w:rsid w:val="001B3B38"/>
    <w:rsid w:val="001B7B75"/>
    <w:rsid w:val="001C3D53"/>
    <w:rsid w:val="001F50B2"/>
    <w:rsid w:val="00206CB5"/>
    <w:rsid w:val="002123CE"/>
    <w:rsid w:val="00216BB3"/>
    <w:rsid w:val="0023070A"/>
    <w:rsid w:val="002422D0"/>
    <w:rsid w:val="002512B8"/>
    <w:rsid w:val="0025217F"/>
    <w:rsid w:val="00254D02"/>
    <w:rsid w:val="00255882"/>
    <w:rsid w:val="0026134E"/>
    <w:rsid w:val="00261F20"/>
    <w:rsid w:val="002623AB"/>
    <w:rsid w:val="00264528"/>
    <w:rsid w:val="00283537"/>
    <w:rsid w:val="00284752"/>
    <w:rsid w:val="00294EC1"/>
    <w:rsid w:val="002A14D0"/>
    <w:rsid w:val="002A4EA6"/>
    <w:rsid w:val="002B1EBA"/>
    <w:rsid w:val="002B732E"/>
    <w:rsid w:val="002B7528"/>
    <w:rsid w:val="002B76FB"/>
    <w:rsid w:val="002C2CAB"/>
    <w:rsid w:val="002C4717"/>
    <w:rsid w:val="002D0596"/>
    <w:rsid w:val="002D1775"/>
    <w:rsid w:val="002D4F50"/>
    <w:rsid w:val="002E1512"/>
    <w:rsid w:val="002E3744"/>
    <w:rsid w:val="002E77B6"/>
    <w:rsid w:val="002F1BA4"/>
    <w:rsid w:val="00301776"/>
    <w:rsid w:val="0030424A"/>
    <w:rsid w:val="00311B80"/>
    <w:rsid w:val="0031430A"/>
    <w:rsid w:val="0031697F"/>
    <w:rsid w:val="00320817"/>
    <w:rsid w:val="00322264"/>
    <w:rsid w:val="003261A7"/>
    <w:rsid w:val="00330319"/>
    <w:rsid w:val="00331B99"/>
    <w:rsid w:val="00334248"/>
    <w:rsid w:val="00335B31"/>
    <w:rsid w:val="0034127F"/>
    <w:rsid w:val="00342633"/>
    <w:rsid w:val="003430BA"/>
    <w:rsid w:val="0035515C"/>
    <w:rsid w:val="00360804"/>
    <w:rsid w:val="003624E1"/>
    <w:rsid w:val="00364645"/>
    <w:rsid w:val="00376678"/>
    <w:rsid w:val="00380794"/>
    <w:rsid w:val="00383B72"/>
    <w:rsid w:val="003948D0"/>
    <w:rsid w:val="003966D0"/>
    <w:rsid w:val="00396F86"/>
    <w:rsid w:val="003A095D"/>
    <w:rsid w:val="003A0EEC"/>
    <w:rsid w:val="003A180C"/>
    <w:rsid w:val="003B23C9"/>
    <w:rsid w:val="003B370B"/>
    <w:rsid w:val="003B519F"/>
    <w:rsid w:val="003D654D"/>
    <w:rsid w:val="003E0C7D"/>
    <w:rsid w:val="003F0EA8"/>
    <w:rsid w:val="003F4430"/>
    <w:rsid w:val="00402F55"/>
    <w:rsid w:val="0040700F"/>
    <w:rsid w:val="00410E25"/>
    <w:rsid w:val="00414A92"/>
    <w:rsid w:val="00417B50"/>
    <w:rsid w:val="00421531"/>
    <w:rsid w:val="00421657"/>
    <w:rsid w:val="0042540E"/>
    <w:rsid w:val="00426E18"/>
    <w:rsid w:val="004306B3"/>
    <w:rsid w:val="00431BD0"/>
    <w:rsid w:val="0043398C"/>
    <w:rsid w:val="00434FFF"/>
    <w:rsid w:val="004425D2"/>
    <w:rsid w:val="0044459F"/>
    <w:rsid w:val="004470BE"/>
    <w:rsid w:val="00455F48"/>
    <w:rsid w:val="0045613B"/>
    <w:rsid w:val="004654B1"/>
    <w:rsid w:val="00474EED"/>
    <w:rsid w:val="00477FED"/>
    <w:rsid w:val="00480F9B"/>
    <w:rsid w:val="00481A95"/>
    <w:rsid w:val="00494F15"/>
    <w:rsid w:val="00497782"/>
    <w:rsid w:val="004A31FC"/>
    <w:rsid w:val="004B09E9"/>
    <w:rsid w:val="004C15D9"/>
    <w:rsid w:val="004C2081"/>
    <w:rsid w:val="004C2B53"/>
    <w:rsid w:val="004C3901"/>
    <w:rsid w:val="004C6086"/>
    <w:rsid w:val="004D3FE6"/>
    <w:rsid w:val="004E1B4D"/>
    <w:rsid w:val="004E2B3E"/>
    <w:rsid w:val="004E4266"/>
    <w:rsid w:val="004E4825"/>
    <w:rsid w:val="004F0ECC"/>
    <w:rsid w:val="004F1048"/>
    <w:rsid w:val="004F39A0"/>
    <w:rsid w:val="00527940"/>
    <w:rsid w:val="00537C33"/>
    <w:rsid w:val="00541565"/>
    <w:rsid w:val="0054297A"/>
    <w:rsid w:val="005501F6"/>
    <w:rsid w:val="005512B7"/>
    <w:rsid w:val="0055633E"/>
    <w:rsid w:val="00567520"/>
    <w:rsid w:val="00567F11"/>
    <w:rsid w:val="00570AF6"/>
    <w:rsid w:val="00580C38"/>
    <w:rsid w:val="0058259E"/>
    <w:rsid w:val="00583C27"/>
    <w:rsid w:val="005A04E7"/>
    <w:rsid w:val="005A1D89"/>
    <w:rsid w:val="005B0043"/>
    <w:rsid w:val="005B1AFE"/>
    <w:rsid w:val="005B27D6"/>
    <w:rsid w:val="005C39F4"/>
    <w:rsid w:val="005D3852"/>
    <w:rsid w:val="005F0B80"/>
    <w:rsid w:val="006061F7"/>
    <w:rsid w:val="00607A67"/>
    <w:rsid w:val="006101EC"/>
    <w:rsid w:val="00612AA5"/>
    <w:rsid w:val="00620257"/>
    <w:rsid w:val="006237C7"/>
    <w:rsid w:val="00625297"/>
    <w:rsid w:val="00627CD4"/>
    <w:rsid w:val="006364FE"/>
    <w:rsid w:val="00641EDE"/>
    <w:rsid w:val="00645569"/>
    <w:rsid w:val="00655E89"/>
    <w:rsid w:val="00656C2A"/>
    <w:rsid w:val="006617C1"/>
    <w:rsid w:val="00665E2A"/>
    <w:rsid w:val="006713EA"/>
    <w:rsid w:val="0068612A"/>
    <w:rsid w:val="006B14C0"/>
    <w:rsid w:val="006B5055"/>
    <w:rsid w:val="006C682F"/>
    <w:rsid w:val="006C68C2"/>
    <w:rsid w:val="006D542E"/>
    <w:rsid w:val="006E1598"/>
    <w:rsid w:val="006F1092"/>
    <w:rsid w:val="006F225C"/>
    <w:rsid w:val="006F7471"/>
    <w:rsid w:val="007028CB"/>
    <w:rsid w:val="007030DE"/>
    <w:rsid w:val="0070348C"/>
    <w:rsid w:val="00705CFA"/>
    <w:rsid w:val="00711A82"/>
    <w:rsid w:val="00714ECB"/>
    <w:rsid w:val="00724024"/>
    <w:rsid w:val="0073383D"/>
    <w:rsid w:val="00735DEB"/>
    <w:rsid w:val="0073650D"/>
    <w:rsid w:val="0074729F"/>
    <w:rsid w:val="0075222C"/>
    <w:rsid w:val="007531B2"/>
    <w:rsid w:val="00755136"/>
    <w:rsid w:val="00755DF5"/>
    <w:rsid w:val="00774575"/>
    <w:rsid w:val="00797C81"/>
    <w:rsid w:val="007A0199"/>
    <w:rsid w:val="007A2FDE"/>
    <w:rsid w:val="007A351F"/>
    <w:rsid w:val="007A563C"/>
    <w:rsid w:val="007A74F8"/>
    <w:rsid w:val="007A7CEC"/>
    <w:rsid w:val="007B2FC4"/>
    <w:rsid w:val="007C0E5C"/>
    <w:rsid w:val="007C2B51"/>
    <w:rsid w:val="007C2D76"/>
    <w:rsid w:val="007C74DF"/>
    <w:rsid w:val="007D6B61"/>
    <w:rsid w:val="007E0513"/>
    <w:rsid w:val="007F20C2"/>
    <w:rsid w:val="007F575E"/>
    <w:rsid w:val="00800400"/>
    <w:rsid w:val="00803E08"/>
    <w:rsid w:val="00806AA3"/>
    <w:rsid w:val="008122CB"/>
    <w:rsid w:val="00817549"/>
    <w:rsid w:val="00821520"/>
    <w:rsid w:val="008228B1"/>
    <w:rsid w:val="00824C2F"/>
    <w:rsid w:val="008327FE"/>
    <w:rsid w:val="00832B0D"/>
    <w:rsid w:val="0083330A"/>
    <w:rsid w:val="00844FAE"/>
    <w:rsid w:val="00852F76"/>
    <w:rsid w:val="00856E4C"/>
    <w:rsid w:val="0086587D"/>
    <w:rsid w:val="008713E9"/>
    <w:rsid w:val="00877637"/>
    <w:rsid w:val="008837ED"/>
    <w:rsid w:val="0089239D"/>
    <w:rsid w:val="008A18DE"/>
    <w:rsid w:val="008D2876"/>
    <w:rsid w:val="008D3081"/>
    <w:rsid w:val="008E4AD6"/>
    <w:rsid w:val="008F0A2A"/>
    <w:rsid w:val="008F27B8"/>
    <w:rsid w:val="008F2CAA"/>
    <w:rsid w:val="00902E5E"/>
    <w:rsid w:val="00904D5B"/>
    <w:rsid w:val="00911CDC"/>
    <w:rsid w:val="00913316"/>
    <w:rsid w:val="00915D08"/>
    <w:rsid w:val="00941C29"/>
    <w:rsid w:val="00944F85"/>
    <w:rsid w:val="00951D11"/>
    <w:rsid w:val="00953359"/>
    <w:rsid w:val="009715BB"/>
    <w:rsid w:val="009735D3"/>
    <w:rsid w:val="00973E06"/>
    <w:rsid w:val="009754E7"/>
    <w:rsid w:val="00976AD3"/>
    <w:rsid w:val="00986015"/>
    <w:rsid w:val="00994BE5"/>
    <w:rsid w:val="009A5C5A"/>
    <w:rsid w:val="009B5469"/>
    <w:rsid w:val="009B64EC"/>
    <w:rsid w:val="009C06C6"/>
    <w:rsid w:val="009C45E7"/>
    <w:rsid w:val="009C5E3C"/>
    <w:rsid w:val="009D4162"/>
    <w:rsid w:val="009E0058"/>
    <w:rsid w:val="009E4DFE"/>
    <w:rsid w:val="009F0F40"/>
    <w:rsid w:val="009F2592"/>
    <w:rsid w:val="009F4478"/>
    <w:rsid w:val="009F7DDE"/>
    <w:rsid w:val="00A126BE"/>
    <w:rsid w:val="00A22A93"/>
    <w:rsid w:val="00A311BB"/>
    <w:rsid w:val="00A3359B"/>
    <w:rsid w:val="00A36BBB"/>
    <w:rsid w:val="00A533E7"/>
    <w:rsid w:val="00A6642B"/>
    <w:rsid w:val="00A6777A"/>
    <w:rsid w:val="00A77902"/>
    <w:rsid w:val="00A81EA6"/>
    <w:rsid w:val="00A824A2"/>
    <w:rsid w:val="00A83A37"/>
    <w:rsid w:val="00A86F4C"/>
    <w:rsid w:val="00AA0494"/>
    <w:rsid w:val="00AC428F"/>
    <w:rsid w:val="00AC5EE6"/>
    <w:rsid w:val="00AC678C"/>
    <w:rsid w:val="00AE2F70"/>
    <w:rsid w:val="00AF40ED"/>
    <w:rsid w:val="00AF4830"/>
    <w:rsid w:val="00B00931"/>
    <w:rsid w:val="00B11168"/>
    <w:rsid w:val="00B17080"/>
    <w:rsid w:val="00B30F49"/>
    <w:rsid w:val="00B41A93"/>
    <w:rsid w:val="00B50327"/>
    <w:rsid w:val="00B52945"/>
    <w:rsid w:val="00B539C3"/>
    <w:rsid w:val="00B539F4"/>
    <w:rsid w:val="00B61F28"/>
    <w:rsid w:val="00B66C0B"/>
    <w:rsid w:val="00B72FEA"/>
    <w:rsid w:val="00B842EA"/>
    <w:rsid w:val="00B90FCF"/>
    <w:rsid w:val="00BA64F0"/>
    <w:rsid w:val="00BB0337"/>
    <w:rsid w:val="00BC041D"/>
    <w:rsid w:val="00BC370F"/>
    <w:rsid w:val="00BD474F"/>
    <w:rsid w:val="00BF5D37"/>
    <w:rsid w:val="00C04009"/>
    <w:rsid w:val="00C11FBA"/>
    <w:rsid w:val="00C21774"/>
    <w:rsid w:val="00C4000B"/>
    <w:rsid w:val="00C4228B"/>
    <w:rsid w:val="00C62DCC"/>
    <w:rsid w:val="00C6358D"/>
    <w:rsid w:val="00C6636B"/>
    <w:rsid w:val="00C735B5"/>
    <w:rsid w:val="00C74AB8"/>
    <w:rsid w:val="00C77F91"/>
    <w:rsid w:val="00C8555D"/>
    <w:rsid w:val="00C93B9F"/>
    <w:rsid w:val="00C957C4"/>
    <w:rsid w:val="00C96896"/>
    <w:rsid w:val="00C96E5A"/>
    <w:rsid w:val="00CA23FC"/>
    <w:rsid w:val="00CB0B0D"/>
    <w:rsid w:val="00CB3841"/>
    <w:rsid w:val="00CB78EC"/>
    <w:rsid w:val="00CC27FE"/>
    <w:rsid w:val="00CC3555"/>
    <w:rsid w:val="00CD2BCF"/>
    <w:rsid w:val="00CD5C68"/>
    <w:rsid w:val="00CE06FB"/>
    <w:rsid w:val="00CE0832"/>
    <w:rsid w:val="00CE0FB7"/>
    <w:rsid w:val="00CE1FE9"/>
    <w:rsid w:val="00CE268A"/>
    <w:rsid w:val="00CE308B"/>
    <w:rsid w:val="00CF5104"/>
    <w:rsid w:val="00D028A4"/>
    <w:rsid w:val="00D05B4F"/>
    <w:rsid w:val="00D13540"/>
    <w:rsid w:val="00D17207"/>
    <w:rsid w:val="00D20730"/>
    <w:rsid w:val="00D34CD4"/>
    <w:rsid w:val="00D4149E"/>
    <w:rsid w:val="00D45522"/>
    <w:rsid w:val="00D507F8"/>
    <w:rsid w:val="00D61936"/>
    <w:rsid w:val="00D6472D"/>
    <w:rsid w:val="00D64D64"/>
    <w:rsid w:val="00D67718"/>
    <w:rsid w:val="00D70157"/>
    <w:rsid w:val="00D73572"/>
    <w:rsid w:val="00D809F8"/>
    <w:rsid w:val="00D837EC"/>
    <w:rsid w:val="00D87191"/>
    <w:rsid w:val="00D91887"/>
    <w:rsid w:val="00D91F99"/>
    <w:rsid w:val="00D92E67"/>
    <w:rsid w:val="00D962D5"/>
    <w:rsid w:val="00DA3A00"/>
    <w:rsid w:val="00DB0B14"/>
    <w:rsid w:val="00DB3405"/>
    <w:rsid w:val="00DC64F9"/>
    <w:rsid w:val="00DD35EC"/>
    <w:rsid w:val="00DE762A"/>
    <w:rsid w:val="00DF317D"/>
    <w:rsid w:val="00E02216"/>
    <w:rsid w:val="00E124EB"/>
    <w:rsid w:val="00E13DFA"/>
    <w:rsid w:val="00E1737D"/>
    <w:rsid w:val="00E20E73"/>
    <w:rsid w:val="00E266D8"/>
    <w:rsid w:val="00E33CBB"/>
    <w:rsid w:val="00E4087F"/>
    <w:rsid w:val="00E41959"/>
    <w:rsid w:val="00E41B63"/>
    <w:rsid w:val="00E46A5B"/>
    <w:rsid w:val="00E51142"/>
    <w:rsid w:val="00E56639"/>
    <w:rsid w:val="00E56FA4"/>
    <w:rsid w:val="00E57EAC"/>
    <w:rsid w:val="00E61903"/>
    <w:rsid w:val="00E6300B"/>
    <w:rsid w:val="00E63011"/>
    <w:rsid w:val="00E63EE3"/>
    <w:rsid w:val="00E83B7F"/>
    <w:rsid w:val="00E90EAE"/>
    <w:rsid w:val="00E954A2"/>
    <w:rsid w:val="00E96F30"/>
    <w:rsid w:val="00EF5E5A"/>
    <w:rsid w:val="00F02244"/>
    <w:rsid w:val="00F057C1"/>
    <w:rsid w:val="00F1048C"/>
    <w:rsid w:val="00F133FF"/>
    <w:rsid w:val="00F24E49"/>
    <w:rsid w:val="00F26C61"/>
    <w:rsid w:val="00F47E1F"/>
    <w:rsid w:val="00F554B4"/>
    <w:rsid w:val="00F55B35"/>
    <w:rsid w:val="00F6141C"/>
    <w:rsid w:val="00F654B4"/>
    <w:rsid w:val="00F6553D"/>
    <w:rsid w:val="00F67C77"/>
    <w:rsid w:val="00F72536"/>
    <w:rsid w:val="00F76173"/>
    <w:rsid w:val="00F7778E"/>
    <w:rsid w:val="00F83B80"/>
    <w:rsid w:val="00FA03F9"/>
    <w:rsid w:val="00FA0C9C"/>
    <w:rsid w:val="00FA6E9D"/>
    <w:rsid w:val="00FB00C6"/>
    <w:rsid w:val="00FC0145"/>
    <w:rsid w:val="00FC5400"/>
    <w:rsid w:val="00FF0377"/>
    <w:rsid w:val="00FF18CD"/>
    <w:rsid w:val="00FF18E5"/>
    <w:rsid w:val="00FF77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27EEB"/>
  <w15:chartTrackingRefBased/>
  <w15:docId w15:val="{99A17678-2D49-4400-B36A-81A8B803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3FF"/>
    <w:pPr>
      <w:spacing w:after="120" w:line="240" w:lineRule="auto"/>
    </w:pPr>
    <w:rPr>
      <w:rFonts w:ascii="Calibri" w:hAnsi="Calibri" w:cs="Calibri"/>
    </w:rPr>
  </w:style>
  <w:style w:type="paragraph" w:styleId="Heading1">
    <w:name w:val="heading 1"/>
    <w:basedOn w:val="Normal"/>
    <w:next w:val="Normal"/>
    <w:link w:val="Heading1Char"/>
    <w:qFormat/>
    <w:rsid w:val="00431BD0"/>
    <w:pPr>
      <w:keepNext/>
      <w:keepLines/>
      <w:spacing w:before="240"/>
      <w:outlineLvl w:val="0"/>
    </w:pPr>
    <w:rPr>
      <w:rFonts w:asciiTheme="majorHAnsi" w:eastAsiaTheme="majorEastAsia" w:hAnsiTheme="majorHAnsi" w:cstheme="majorBidi"/>
      <w:color w:val="2E74B5" w:themeColor="accent1" w:themeShade="BF"/>
      <w:sz w:val="36"/>
      <w:szCs w:val="32"/>
    </w:rPr>
  </w:style>
  <w:style w:type="paragraph" w:styleId="Heading2">
    <w:name w:val="heading 2"/>
    <w:basedOn w:val="Normal"/>
    <w:next w:val="Normal"/>
    <w:link w:val="Heading2Char"/>
    <w:autoRedefine/>
    <w:unhideWhenUsed/>
    <w:qFormat/>
    <w:rsid w:val="00E41B63"/>
    <w:pPr>
      <w:keepNext/>
      <w:keepLines/>
      <w:spacing w:before="40" w:line="300" w:lineRule="auto"/>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nhideWhenUsed/>
    <w:qFormat/>
    <w:rsid w:val="0030424A"/>
    <w:pPr>
      <w:keepNext/>
      <w:keepLines/>
      <w:spacing w:before="40"/>
      <w:outlineLvl w:val="2"/>
    </w:pPr>
    <w:rPr>
      <w:rFonts w:asciiTheme="majorHAnsi" w:eastAsiaTheme="majorEastAsia" w:hAnsiTheme="majorHAnsi" w:cstheme="majorBidi"/>
      <w:color w:val="1F4D78" w:themeColor="accent1" w:themeShade="7F"/>
      <w:sz w:val="28"/>
      <w:szCs w:val="24"/>
    </w:rPr>
  </w:style>
  <w:style w:type="paragraph" w:styleId="Heading4">
    <w:name w:val="heading 4"/>
    <w:basedOn w:val="HeadingBase"/>
    <w:next w:val="OutlineNumbered1"/>
    <w:link w:val="Heading4Char"/>
    <w:qFormat/>
    <w:rsid w:val="00194DC9"/>
    <w:pPr>
      <w:spacing w:after="240"/>
      <w:outlineLvl w:val="3"/>
    </w:pPr>
    <w:rPr>
      <w:b/>
      <w:bCs/>
      <w:sz w:val="22"/>
      <w:szCs w:val="22"/>
    </w:rPr>
  </w:style>
  <w:style w:type="paragraph" w:styleId="Heading5">
    <w:name w:val="heading 5"/>
    <w:basedOn w:val="HeadingBase"/>
    <w:next w:val="OutlineNumbered1"/>
    <w:link w:val="Heading5Char"/>
    <w:qFormat/>
    <w:rsid w:val="00194DC9"/>
    <w:pPr>
      <w:spacing w:after="120"/>
      <w:outlineLvl w:val="4"/>
    </w:pPr>
    <w:rPr>
      <w:b/>
      <w:bCs/>
      <w:iCs/>
    </w:rPr>
  </w:style>
  <w:style w:type="paragraph" w:styleId="Heading6">
    <w:name w:val="heading 6"/>
    <w:basedOn w:val="HeadingBase"/>
    <w:next w:val="OutlineNumbered1"/>
    <w:link w:val="Heading6Char"/>
    <w:qFormat/>
    <w:rsid w:val="00194DC9"/>
    <w:pPr>
      <w:spacing w:after="120"/>
      <w:outlineLvl w:val="5"/>
    </w:pPr>
    <w:rPr>
      <w:bCs/>
      <w:szCs w:val="22"/>
    </w:rPr>
  </w:style>
  <w:style w:type="paragraph" w:styleId="Heading7">
    <w:name w:val="heading 7"/>
    <w:basedOn w:val="HeadingBase"/>
    <w:next w:val="Normal"/>
    <w:link w:val="Heading7Char"/>
    <w:qFormat/>
    <w:rsid w:val="00194DC9"/>
    <w:pPr>
      <w:spacing w:after="120"/>
      <w:outlineLvl w:val="6"/>
    </w:pPr>
    <w:rPr>
      <w:szCs w:val="24"/>
    </w:rPr>
  </w:style>
  <w:style w:type="paragraph" w:styleId="Heading8">
    <w:name w:val="heading 8"/>
    <w:basedOn w:val="HeadingBase"/>
    <w:next w:val="Normal"/>
    <w:link w:val="Heading8Char"/>
    <w:qFormat/>
    <w:rsid w:val="00194DC9"/>
    <w:pPr>
      <w:spacing w:after="120"/>
      <w:outlineLvl w:val="7"/>
    </w:pPr>
    <w:rPr>
      <w:iCs/>
      <w:szCs w:val="24"/>
    </w:rPr>
  </w:style>
  <w:style w:type="paragraph" w:styleId="Heading9">
    <w:name w:val="heading 9"/>
    <w:basedOn w:val="HeadingBase"/>
    <w:next w:val="Normal"/>
    <w:link w:val="Heading9Char"/>
    <w:qFormat/>
    <w:rsid w:val="00194DC9"/>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bullet point list,1 heading,Bullet point,Dot point 1.5 line spacing,List Paragraph - bullets,NFP GP Bulleted List,List Paragraph111,F5 List Paragraph,Dot pt,CV text,Table text,FooterText,列"/>
    <w:basedOn w:val="Normal"/>
    <w:link w:val="ListParagraphChar"/>
    <w:uiPriority w:val="34"/>
    <w:qFormat/>
    <w:rsid w:val="00092955"/>
    <w:pPr>
      <w:spacing w:after="160" w:line="259" w:lineRule="auto"/>
      <w:ind w:left="720"/>
      <w:contextualSpacing/>
    </w:pPr>
    <w:rPr>
      <w:rFonts w:asciiTheme="minorHAnsi" w:hAnsiTheme="minorHAnsi" w:cstheme="minorBidi"/>
    </w:rPr>
  </w:style>
  <w:style w:type="character" w:customStyle="1" w:styleId="ListParagraphChar">
    <w:name w:val="List Paragraph Char"/>
    <w:aliases w:val="List Paragraph1 Char,Recommendation Char,List Paragraph11 Char,L Char,bullet point list Char,1 heading Char,Bullet point Char,Dot point 1.5 line spacing Char,List Paragraph - bullets Char,NFP GP Bulleted List Char,Dot pt Char,列 Char"/>
    <w:basedOn w:val="DefaultParagraphFont"/>
    <w:link w:val="ListParagraph"/>
    <w:uiPriority w:val="34"/>
    <w:qFormat/>
    <w:locked/>
    <w:rsid w:val="00092955"/>
  </w:style>
  <w:style w:type="character" w:customStyle="1" w:styleId="Heading2Char">
    <w:name w:val="Heading 2 Char"/>
    <w:basedOn w:val="DefaultParagraphFont"/>
    <w:link w:val="Heading2"/>
    <w:rsid w:val="00E41B63"/>
    <w:rPr>
      <w:rFonts w:asciiTheme="majorHAnsi" w:eastAsiaTheme="majorEastAsia" w:hAnsiTheme="majorHAnsi" w:cstheme="majorBidi"/>
      <w:sz w:val="28"/>
      <w:szCs w:val="26"/>
    </w:rPr>
  </w:style>
  <w:style w:type="character" w:customStyle="1" w:styleId="Heading1Char">
    <w:name w:val="Heading 1 Char"/>
    <w:basedOn w:val="DefaultParagraphFont"/>
    <w:link w:val="Heading1"/>
    <w:rsid w:val="00431BD0"/>
    <w:rPr>
      <w:rFonts w:asciiTheme="majorHAnsi" w:eastAsiaTheme="majorEastAsia" w:hAnsiTheme="majorHAnsi" w:cstheme="majorBidi"/>
      <w:color w:val="2E74B5" w:themeColor="accent1" w:themeShade="BF"/>
      <w:sz w:val="36"/>
      <w:szCs w:val="32"/>
    </w:rPr>
  </w:style>
  <w:style w:type="paragraph" w:styleId="Title">
    <w:name w:val="Title"/>
    <w:basedOn w:val="Normal"/>
    <w:next w:val="Normal"/>
    <w:link w:val="TitleChar"/>
    <w:uiPriority w:val="10"/>
    <w:qFormat/>
    <w:rsid w:val="000929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955"/>
    <w:rPr>
      <w:rFonts w:asciiTheme="majorHAnsi" w:eastAsiaTheme="majorEastAsia" w:hAnsiTheme="majorHAnsi" w:cstheme="majorBidi"/>
      <w:spacing w:val="-10"/>
      <w:kern w:val="28"/>
      <w:sz w:val="56"/>
      <w:szCs w:val="56"/>
    </w:rPr>
  </w:style>
  <w:style w:type="paragraph" w:customStyle="1" w:styleId="Default">
    <w:name w:val="Default"/>
    <w:rsid w:val="00AC428F"/>
    <w:pPr>
      <w:autoSpaceDE w:val="0"/>
      <w:autoSpaceDN w:val="0"/>
      <w:adjustRightInd w:val="0"/>
      <w:spacing w:after="0" w:line="240" w:lineRule="auto"/>
    </w:pPr>
    <w:rPr>
      <w:rFonts w:ascii="Gotham HTF Medium" w:hAnsi="Gotham HTF Medium" w:cs="Gotham HTF Medium"/>
      <w:color w:val="000000"/>
      <w:sz w:val="24"/>
      <w:szCs w:val="24"/>
    </w:rPr>
  </w:style>
  <w:style w:type="paragraph" w:customStyle="1" w:styleId="Pa4">
    <w:name w:val="Pa4"/>
    <w:basedOn w:val="Default"/>
    <w:next w:val="Default"/>
    <w:uiPriority w:val="99"/>
    <w:rsid w:val="00AC428F"/>
    <w:pPr>
      <w:spacing w:line="201" w:lineRule="atLeast"/>
    </w:pPr>
    <w:rPr>
      <w:rFonts w:cstheme="minorBidi"/>
      <w:color w:val="auto"/>
    </w:rPr>
  </w:style>
  <w:style w:type="paragraph" w:customStyle="1" w:styleId="Pa2">
    <w:name w:val="Pa2"/>
    <w:basedOn w:val="Default"/>
    <w:next w:val="Default"/>
    <w:uiPriority w:val="99"/>
    <w:rsid w:val="00AC428F"/>
    <w:pPr>
      <w:spacing w:line="161" w:lineRule="atLeast"/>
    </w:pPr>
    <w:rPr>
      <w:rFonts w:cstheme="minorBidi"/>
      <w:color w:val="auto"/>
    </w:rPr>
  </w:style>
  <w:style w:type="paragraph" w:customStyle="1" w:styleId="Pa5">
    <w:name w:val="Pa5"/>
    <w:basedOn w:val="Default"/>
    <w:next w:val="Default"/>
    <w:uiPriority w:val="99"/>
    <w:rsid w:val="00AC428F"/>
    <w:pPr>
      <w:spacing w:line="181" w:lineRule="atLeast"/>
    </w:pPr>
    <w:rPr>
      <w:rFonts w:ascii="Gotham Medium" w:hAnsi="Gotham Medium" w:cstheme="minorBidi"/>
      <w:color w:val="auto"/>
    </w:rPr>
  </w:style>
  <w:style w:type="paragraph" w:customStyle="1" w:styleId="Pa8">
    <w:name w:val="Pa8"/>
    <w:basedOn w:val="Default"/>
    <w:next w:val="Default"/>
    <w:uiPriority w:val="99"/>
    <w:rsid w:val="00AC428F"/>
    <w:pPr>
      <w:spacing w:line="181" w:lineRule="atLeast"/>
    </w:pPr>
    <w:rPr>
      <w:rFonts w:ascii="Gotham Medium" w:hAnsi="Gotham Medium" w:cstheme="minorBidi"/>
      <w:color w:val="auto"/>
    </w:rPr>
  </w:style>
  <w:style w:type="paragraph" w:customStyle="1" w:styleId="Pa9">
    <w:name w:val="Pa9"/>
    <w:basedOn w:val="Default"/>
    <w:next w:val="Default"/>
    <w:uiPriority w:val="99"/>
    <w:rsid w:val="00AC428F"/>
    <w:pPr>
      <w:spacing w:line="161" w:lineRule="atLeast"/>
    </w:pPr>
    <w:rPr>
      <w:rFonts w:ascii="Gotham Medium" w:hAnsi="Gotham Medium" w:cstheme="minorBidi"/>
      <w:color w:val="auto"/>
    </w:rPr>
  </w:style>
  <w:style w:type="table" w:customStyle="1" w:styleId="PetroleumSystemsTable">
    <w:name w:val="Petroleum Systems Table"/>
    <w:basedOn w:val="TableNormal"/>
    <w:uiPriority w:val="99"/>
    <w:rsid w:val="00E46A5B"/>
    <w:pPr>
      <w:spacing w:after="0" w:line="240" w:lineRule="auto"/>
    </w:pPr>
    <w:rPr>
      <w:rFonts w:ascii="Arial" w:eastAsia="Times New Roman" w:hAnsi="Arial" w:cs="Times New Roman"/>
      <w:sz w:val="18"/>
      <w:szCs w:val="20"/>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character" w:styleId="CommentReference">
    <w:name w:val="annotation reference"/>
    <w:basedOn w:val="DefaultParagraphFont"/>
    <w:uiPriority w:val="99"/>
    <w:semiHidden/>
    <w:unhideWhenUsed/>
    <w:rsid w:val="00E46A5B"/>
    <w:rPr>
      <w:sz w:val="16"/>
      <w:szCs w:val="16"/>
    </w:rPr>
  </w:style>
  <w:style w:type="paragraph" w:styleId="CommentText">
    <w:name w:val="annotation text"/>
    <w:basedOn w:val="Normal"/>
    <w:link w:val="CommentTextChar"/>
    <w:uiPriority w:val="99"/>
    <w:unhideWhenUsed/>
    <w:rsid w:val="00E46A5B"/>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E46A5B"/>
    <w:rPr>
      <w:rFonts w:ascii="Times New Roman" w:eastAsia="Times New Roman" w:hAnsi="Times New Roman" w:cs="Times New Roman"/>
      <w:sz w:val="20"/>
      <w:szCs w:val="20"/>
      <w:lang w:eastAsia="en-AU"/>
    </w:rPr>
  </w:style>
  <w:style w:type="paragraph" w:styleId="FootnoteText">
    <w:name w:val="footnote text"/>
    <w:basedOn w:val="Normal"/>
    <w:link w:val="FootnoteTextChar"/>
    <w:uiPriority w:val="99"/>
    <w:unhideWhenUsed/>
    <w:qFormat/>
    <w:rsid w:val="00E46A5B"/>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rsid w:val="00E46A5B"/>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unhideWhenUsed/>
    <w:rsid w:val="00E46A5B"/>
    <w:rPr>
      <w:vertAlign w:val="superscript"/>
    </w:rPr>
  </w:style>
  <w:style w:type="paragraph" w:styleId="BalloonText">
    <w:name w:val="Balloon Text"/>
    <w:basedOn w:val="Normal"/>
    <w:link w:val="BalloonTextChar"/>
    <w:uiPriority w:val="99"/>
    <w:semiHidden/>
    <w:unhideWhenUsed/>
    <w:rsid w:val="00E46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A5B"/>
    <w:rPr>
      <w:rFonts w:ascii="Segoe UI" w:hAnsi="Segoe UI" w:cs="Segoe UI"/>
      <w:sz w:val="18"/>
      <w:szCs w:val="18"/>
    </w:rPr>
  </w:style>
  <w:style w:type="character" w:customStyle="1" w:styleId="Heading3Char">
    <w:name w:val="Heading 3 Char"/>
    <w:basedOn w:val="DefaultParagraphFont"/>
    <w:link w:val="Heading3"/>
    <w:rsid w:val="0030424A"/>
    <w:rPr>
      <w:rFonts w:asciiTheme="majorHAnsi" w:eastAsiaTheme="majorEastAsia" w:hAnsiTheme="majorHAnsi" w:cstheme="majorBidi"/>
      <w:color w:val="1F4D78" w:themeColor="accent1" w:themeShade="7F"/>
      <w:sz w:val="28"/>
      <w:szCs w:val="24"/>
    </w:rPr>
  </w:style>
  <w:style w:type="character" w:customStyle="1" w:styleId="Heading4Char">
    <w:name w:val="Heading 4 Char"/>
    <w:basedOn w:val="DefaultParagraphFont"/>
    <w:link w:val="Heading4"/>
    <w:rsid w:val="00194DC9"/>
    <w:rPr>
      <w:rFonts w:ascii="Century Gothic" w:eastAsia="Times New Roman" w:hAnsi="Century Gothic" w:cs="Times New Roman"/>
      <w:b/>
      <w:bCs/>
      <w:color w:val="44546A" w:themeColor="text2"/>
      <w:lang w:eastAsia="en-AU"/>
    </w:rPr>
  </w:style>
  <w:style w:type="character" w:customStyle="1" w:styleId="Heading5Char">
    <w:name w:val="Heading 5 Char"/>
    <w:basedOn w:val="DefaultParagraphFont"/>
    <w:link w:val="Heading5"/>
    <w:rsid w:val="00194DC9"/>
    <w:rPr>
      <w:rFonts w:ascii="Century Gothic" w:eastAsia="Times New Roman" w:hAnsi="Century Gothic" w:cs="Times New Roman"/>
      <w:b/>
      <w:bCs/>
      <w:iCs/>
      <w:color w:val="44546A" w:themeColor="text2"/>
      <w:sz w:val="20"/>
      <w:szCs w:val="20"/>
      <w:lang w:eastAsia="en-AU"/>
    </w:rPr>
  </w:style>
  <w:style w:type="character" w:customStyle="1" w:styleId="Heading6Char">
    <w:name w:val="Heading 6 Char"/>
    <w:basedOn w:val="DefaultParagraphFont"/>
    <w:link w:val="Heading6"/>
    <w:rsid w:val="00194DC9"/>
    <w:rPr>
      <w:rFonts w:ascii="Century Gothic" w:eastAsia="Times New Roman" w:hAnsi="Century Gothic" w:cs="Times New Roman"/>
      <w:bCs/>
      <w:color w:val="44546A" w:themeColor="text2"/>
      <w:sz w:val="20"/>
      <w:lang w:eastAsia="en-AU"/>
    </w:rPr>
  </w:style>
  <w:style w:type="character" w:customStyle="1" w:styleId="Heading7Char">
    <w:name w:val="Heading 7 Char"/>
    <w:basedOn w:val="DefaultParagraphFont"/>
    <w:link w:val="Heading7"/>
    <w:rsid w:val="00194DC9"/>
    <w:rPr>
      <w:rFonts w:ascii="Century Gothic" w:eastAsia="Times New Roman" w:hAnsi="Century Gothic" w:cs="Times New Roman"/>
      <w:color w:val="44546A" w:themeColor="text2"/>
      <w:sz w:val="20"/>
      <w:szCs w:val="24"/>
      <w:lang w:eastAsia="en-AU"/>
    </w:rPr>
  </w:style>
  <w:style w:type="character" w:customStyle="1" w:styleId="Heading8Char">
    <w:name w:val="Heading 8 Char"/>
    <w:basedOn w:val="DefaultParagraphFont"/>
    <w:link w:val="Heading8"/>
    <w:rsid w:val="00194DC9"/>
    <w:rPr>
      <w:rFonts w:ascii="Century Gothic" w:eastAsia="Times New Roman" w:hAnsi="Century Gothic" w:cs="Times New Roman"/>
      <w:iCs/>
      <w:color w:val="44546A" w:themeColor="text2"/>
      <w:sz w:val="20"/>
      <w:szCs w:val="24"/>
      <w:lang w:eastAsia="en-AU"/>
    </w:rPr>
  </w:style>
  <w:style w:type="character" w:customStyle="1" w:styleId="Heading9Char">
    <w:name w:val="Heading 9 Char"/>
    <w:basedOn w:val="DefaultParagraphFont"/>
    <w:link w:val="Heading9"/>
    <w:rsid w:val="00194DC9"/>
    <w:rPr>
      <w:rFonts w:ascii="Century Gothic" w:eastAsia="Times New Roman" w:hAnsi="Century Gothic" w:cs="Arial"/>
      <w:color w:val="44546A" w:themeColor="text2"/>
      <w:sz w:val="20"/>
      <w:lang w:eastAsia="en-AU"/>
    </w:rPr>
  </w:style>
  <w:style w:type="paragraph" w:customStyle="1" w:styleId="SingleParagraph">
    <w:name w:val="Single Paragraph"/>
    <w:basedOn w:val="Normal"/>
    <w:link w:val="SingleParagraphChar"/>
    <w:rsid w:val="00194DC9"/>
    <w:pPr>
      <w:spacing w:line="260" w:lineRule="exact"/>
      <w:jc w:val="both"/>
    </w:pPr>
    <w:rPr>
      <w:rFonts w:ascii="Book Antiqua" w:eastAsia="Times New Roman" w:hAnsi="Book Antiqua" w:cs="Times New Roman"/>
      <w:color w:val="000000"/>
      <w:szCs w:val="20"/>
      <w:lang w:eastAsia="en-AU"/>
    </w:rPr>
  </w:style>
  <w:style w:type="character" w:styleId="Hyperlink">
    <w:name w:val="Hyperlink"/>
    <w:basedOn w:val="DefaultParagraphFont"/>
    <w:uiPriority w:val="99"/>
    <w:rsid w:val="00194DC9"/>
    <w:rPr>
      <w:color w:val="auto"/>
      <w:u w:val="none"/>
    </w:rPr>
  </w:style>
  <w:style w:type="character" w:customStyle="1" w:styleId="BoldandItalic">
    <w:name w:val="Bold and Italic"/>
    <w:basedOn w:val="DefaultParagraphFont"/>
    <w:rsid w:val="00194DC9"/>
    <w:rPr>
      <w:rFonts w:ascii="Arial" w:hAnsi="Arial"/>
      <w:b/>
      <w:i/>
    </w:rPr>
  </w:style>
  <w:style w:type="table" w:styleId="TableGrid">
    <w:name w:val="Table Grid"/>
    <w:basedOn w:val="TableNormal"/>
    <w:uiPriority w:val="59"/>
    <w:rsid w:val="00194DC9"/>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character" w:styleId="PageNumber">
    <w:name w:val="page number"/>
    <w:basedOn w:val="DefaultParagraphFont"/>
    <w:rsid w:val="00194DC9"/>
    <w:rPr>
      <w:rFonts w:ascii="Book Antiqua" w:hAnsi="Book Antiqua"/>
      <w:sz w:val="18"/>
    </w:rPr>
  </w:style>
  <w:style w:type="paragraph" w:customStyle="1" w:styleId="Bullet">
    <w:name w:val="Bullet"/>
    <w:aliases w:val="b,b1,b + line,Body,level 1,Bullet + line"/>
    <w:basedOn w:val="Normal"/>
    <w:link w:val="BulletChar"/>
    <w:qFormat/>
    <w:rsid w:val="00194DC9"/>
    <w:pPr>
      <w:numPr>
        <w:numId w:val="7"/>
      </w:numPr>
      <w:spacing w:after="240" w:line="260" w:lineRule="exact"/>
      <w:jc w:val="both"/>
    </w:pPr>
    <w:rPr>
      <w:rFonts w:ascii="Book Antiqua" w:eastAsia="Times New Roman" w:hAnsi="Book Antiqua" w:cs="Times New Roman"/>
      <w:color w:val="000000"/>
      <w:szCs w:val="20"/>
      <w:lang w:eastAsia="en-AU"/>
    </w:rPr>
  </w:style>
  <w:style w:type="paragraph" w:customStyle="1" w:styleId="Dash">
    <w:name w:val="Dash"/>
    <w:basedOn w:val="Normal"/>
    <w:link w:val="DashChar"/>
    <w:qFormat/>
    <w:rsid w:val="00194DC9"/>
    <w:pPr>
      <w:numPr>
        <w:ilvl w:val="1"/>
        <w:numId w:val="7"/>
      </w:numPr>
      <w:spacing w:after="240" w:line="260" w:lineRule="exact"/>
      <w:jc w:val="both"/>
    </w:pPr>
    <w:rPr>
      <w:rFonts w:ascii="Book Antiqua" w:eastAsia="Times New Roman" w:hAnsi="Book Antiqua" w:cs="Times New Roman"/>
      <w:color w:val="000000"/>
      <w:szCs w:val="20"/>
      <w:lang w:eastAsia="en-AU"/>
    </w:rPr>
  </w:style>
  <w:style w:type="paragraph" w:customStyle="1" w:styleId="DoubleDot">
    <w:name w:val="Double Dot"/>
    <w:basedOn w:val="Normal"/>
    <w:link w:val="DoubleDotChar"/>
    <w:qFormat/>
    <w:rsid w:val="00194DC9"/>
    <w:pPr>
      <w:numPr>
        <w:ilvl w:val="2"/>
        <w:numId w:val="7"/>
      </w:numPr>
      <w:spacing w:after="240" w:line="260" w:lineRule="exact"/>
      <w:jc w:val="both"/>
    </w:pPr>
    <w:rPr>
      <w:rFonts w:ascii="Book Antiqua" w:eastAsia="Times New Roman" w:hAnsi="Book Antiqua" w:cs="Times New Roman"/>
      <w:color w:val="000000"/>
      <w:szCs w:val="20"/>
      <w:lang w:eastAsia="en-AU"/>
    </w:rPr>
  </w:style>
  <w:style w:type="paragraph" w:customStyle="1" w:styleId="OutlineNumbered1">
    <w:name w:val="Outline Numbered 1"/>
    <w:basedOn w:val="Normal"/>
    <w:link w:val="OutlineNumbered1Char"/>
    <w:rsid w:val="00194DC9"/>
    <w:pPr>
      <w:numPr>
        <w:numId w:val="13"/>
      </w:numPr>
      <w:spacing w:after="240" w:line="260" w:lineRule="exact"/>
      <w:jc w:val="both"/>
    </w:pPr>
    <w:rPr>
      <w:rFonts w:ascii="Book Antiqua" w:eastAsia="Times New Roman" w:hAnsi="Book Antiqua" w:cs="Times New Roman"/>
      <w:color w:val="000000"/>
      <w:szCs w:val="20"/>
      <w:lang w:eastAsia="en-AU"/>
    </w:rPr>
  </w:style>
  <w:style w:type="paragraph" w:customStyle="1" w:styleId="OutlineNumbered2">
    <w:name w:val="Outline Numbered 2"/>
    <w:basedOn w:val="Normal"/>
    <w:rsid w:val="00194DC9"/>
    <w:pPr>
      <w:numPr>
        <w:ilvl w:val="1"/>
        <w:numId w:val="13"/>
      </w:numPr>
      <w:spacing w:after="240" w:line="260" w:lineRule="exact"/>
      <w:jc w:val="both"/>
    </w:pPr>
    <w:rPr>
      <w:rFonts w:ascii="Book Antiqua" w:eastAsia="Times New Roman" w:hAnsi="Book Antiqua" w:cs="Times New Roman"/>
      <w:color w:val="000000"/>
      <w:szCs w:val="20"/>
      <w:lang w:eastAsia="en-AU"/>
    </w:rPr>
  </w:style>
  <w:style w:type="paragraph" w:customStyle="1" w:styleId="OutlineNumbered3">
    <w:name w:val="Outline Numbered 3"/>
    <w:basedOn w:val="Normal"/>
    <w:rsid w:val="00194DC9"/>
    <w:pPr>
      <w:numPr>
        <w:ilvl w:val="2"/>
        <w:numId w:val="13"/>
      </w:numPr>
      <w:spacing w:after="240" w:line="260" w:lineRule="exact"/>
      <w:jc w:val="both"/>
    </w:pPr>
    <w:rPr>
      <w:rFonts w:ascii="Book Antiqua" w:eastAsia="Times New Roman" w:hAnsi="Book Antiqua" w:cs="Times New Roman"/>
      <w:color w:val="000000"/>
      <w:szCs w:val="20"/>
      <w:lang w:eastAsia="en-AU"/>
    </w:rPr>
  </w:style>
  <w:style w:type="paragraph" w:customStyle="1" w:styleId="AlphaParagraph">
    <w:name w:val="Alpha Paragraph"/>
    <w:basedOn w:val="Normal"/>
    <w:rsid w:val="00194DC9"/>
    <w:pPr>
      <w:numPr>
        <w:numId w:val="8"/>
      </w:numPr>
      <w:tabs>
        <w:tab w:val="clear" w:pos="567"/>
        <w:tab w:val="num" w:pos="283"/>
      </w:tabs>
      <w:spacing w:after="240" w:line="260" w:lineRule="exact"/>
      <w:ind w:left="283" w:hanging="283"/>
      <w:jc w:val="both"/>
    </w:pPr>
    <w:rPr>
      <w:rFonts w:ascii="Book Antiqua" w:eastAsia="Times New Roman" w:hAnsi="Book Antiqua" w:cs="Times New Roman"/>
      <w:color w:val="000000"/>
      <w:szCs w:val="20"/>
      <w:lang w:eastAsia="en-AU"/>
    </w:rPr>
  </w:style>
  <w:style w:type="paragraph" w:customStyle="1" w:styleId="HeadingBase">
    <w:name w:val="Heading Base"/>
    <w:next w:val="Normal"/>
    <w:rsid w:val="00194DC9"/>
    <w:pPr>
      <w:keepNext/>
      <w:spacing w:after="0" w:line="240" w:lineRule="auto"/>
    </w:pPr>
    <w:rPr>
      <w:rFonts w:ascii="Century Gothic" w:eastAsia="Times New Roman" w:hAnsi="Century Gothic" w:cs="Times New Roman"/>
      <w:color w:val="44546A" w:themeColor="text2"/>
      <w:sz w:val="20"/>
      <w:szCs w:val="20"/>
      <w:lang w:eastAsia="en-AU"/>
    </w:rPr>
  </w:style>
  <w:style w:type="paragraph" w:customStyle="1" w:styleId="AppendixHeading">
    <w:name w:val="Appendix Heading"/>
    <w:basedOn w:val="HeadingBase"/>
    <w:next w:val="Normal"/>
    <w:rsid w:val="00194DC9"/>
    <w:pPr>
      <w:spacing w:before="720" w:after="360"/>
    </w:pPr>
    <w:rPr>
      <w:rFonts w:ascii="Arial Bold" w:hAnsi="Arial Bold"/>
      <w:b/>
      <w:smallCaps/>
      <w:sz w:val="36"/>
      <w:szCs w:val="36"/>
    </w:rPr>
  </w:style>
  <w:style w:type="character" w:customStyle="1" w:styleId="Bold">
    <w:name w:val="Bold"/>
    <w:basedOn w:val="DefaultParagraphFont"/>
    <w:rsid w:val="00194DC9"/>
    <w:rPr>
      <w:b/>
    </w:rPr>
  </w:style>
  <w:style w:type="paragraph" w:customStyle="1" w:styleId="BoxHeading">
    <w:name w:val="Box Heading"/>
    <w:basedOn w:val="HeadingBase"/>
    <w:next w:val="BoxText"/>
    <w:rsid w:val="00194DC9"/>
    <w:pPr>
      <w:numPr>
        <w:numId w:val="14"/>
      </w:numPr>
      <w:spacing w:before="120" w:after="120"/>
    </w:pPr>
    <w:rPr>
      <w:b/>
      <w:sz w:val="22"/>
    </w:rPr>
  </w:style>
  <w:style w:type="paragraph" w:customStyle="1" w:styleId="BoxTextBase">
    <w:name w:val="Box Text Base"/>
    <w:basedOn w:val="Normal"/>
    <w:rsid w:val="00194DC9"/>
    <w:pPr>
      <w:spacing w:after="240"/>
      <w:jc w:val="both"/>
    </w:pPr>
    <w:rPr>
      <w:rFonts w:ascii="Book Antiqua" w:eastAsia="Times New Roman" w:hAnsi="Book Antiqua" w:cs="Times New Roman"/>
      <w:color w:val="000080"/>
      <w:szCs w:val="20"/>
      <w:lang w:eastAsia="en-AU"/>
    </w:rPr>
  </w:style>
  <w:style w:type="paragraph" w:customStyle="1" w:styleId="ChartandTableFootnoteAlpha">
    <w:name w:val="Chart and Table Footnote Alpha"/>
    <w:rsid w:val="00194DC9"/>
    <w:pPr>
      <w:numPr>
        <w:numId w:val="9"/>
      </w:numPr>
      <w:spacing w:after="0" w:line="240" w:lineRule="auto"/>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rsid w:val="00194DC9"/>
    <w:pPr>
      <w:jc w:val="center"/>
    </w:pPr>
  </w:style>
  <w:style w:type="paragraph" w:customStyle="1" w:styleId="ChartMainHeading">
    <w:name w:val="Chart Main Heading"/>
    <w:basedOn w:val="HeadingBase"/>
    <w:next w:val="ChartGraphic"/>
    <w:rsid w:val="00194DC9"/>
    <w:pPr>
      <w:spacing w:after="20"/>
      <w:jc w:val="center"/>
    </w:pPr>
    <w:rPr>
      <w:b/>
      <w:sz w:val="22"/>
    </w:rPr>
  </w:style>
  <w:style w:type="paragraph" w:customStyle="1" w:styleId="ChartorTableNote">
    <w:name w:val="Chart or Table Note"/>
    <w:next w:val="Normal"/>
    <w:rsid w:val="00194DC9"/>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194DC9"/>
    <w:pPr>
      <w:spacing w:after="20"/>
      <w:jc w:val="center"/>
    </w:pPr>
  </w:style>
  <w:style w:type="paragraph" w:customStyle="1" w:styleId="Classification">
    <w:name w:val="Classification"/>
    <w:basedOn w:val="HeadingBase"/>
    <w:next w:val="Footer"/>
    <w:rsid w:val="00194DC9"/>
    <w:pPr>
      <w:spacing w:after="120"/>
      <w:jc w:val="center"/>
    </w:pPr>
    <w:rPr>
      <w:b/>
      <w:smallCaps/>
    </w:rPr>
  </w:style>
  <w:style w:type="paragraph" w:styleId="Footer">
    <w:name w:val="footer"/>
    <w:basedOn w:val="HeadingBase"/>
    <w:link w:val="FooterChar"/>
    <w:uiPriority w:val="99"/>
    <w:rsid w:val="00194DC9"/>
    <w:rPr>
      <w:sz w:val="18"/>
    </w:rPr>
  </w:style>
  <w:style w:type="character" w:customStyle="1" w:styleId="FooterChar">
    <w:name w:val="Footer Char"/>
    <w:basedOn w:val="DefaultParagraphFont"/>
    <w:link w:val="Footer"/>
    <w:uiPriority w:val="99"/>
    <w:rsid w:val="00194DC9"/>
    <w:rPr>
      <w:rFonts w:ascii="Century Gothic" w:eastAsia="Times New Roman" w:hAnsi="Century Gothic" w:cs="Times New Roman"/>
      <w:color w:val="44546A" w:themeColor="text2"/>
      <w:sz w:val="18"/>
      <w:szCs w:val="20"/>
      <w:lang w:eastAsia="en-AU"/>
    </w:rPr>
  </w:style>
  <w:style w:type="paragraph" w:customStyle="1" w:styleId="ContentsHeading">
    <w:name w:val="Contents Heading"/>
    <w:basedOn w:val="HeadingBase"/>
    <w:next w:val="Normal"/>
    <w:rsid w:val="00194DC9"/>
    <w:pPr>
      <w:spacing w:after="360"/>
      <w:jc w:val="center"/>
    </w:pPr>
    <w:rPr>
      <w:smallCaps/>
      <w:sz w:val="36"/>
      <w:szCs w:val="36"/>
    </w:rPr>
  </w:style>
  <w:style w:type="paragraph" w:customStyle="1" w:styleId="CoverTitleMain">
    <w:name w:val="Cover Title Main"/>
    <w:basedOn w:val="HeadingBase"/>
    <w:next w:val="Normal"/>
    <w:rsid w:val="00194DC9"/>
    <w:pPr>
      <w:spacing w:after="480"/>
      <w:jc w:val="center"/>
    </w:pPr>
    <w:rPr>
      <w:b/>
      <w:sz w:val="48"/>
    </w:rPr>
  </w:style>
  <w:style w:type="paragraph" w:customStyle="1" w:styleId="CoverTitleSub">
    <w:name w:val="Cover Title Sub"/>
    <w:basedOn w:val="HeadingBase"/>
    <w:rsid w:val="00194DC9"/>
    <w:pPr>
      <w:spacing w:after="360"/>
      <w:jc w:val="center"/>
    </w:pPr>
    <w:rPr>
      <w:sz w:val="36"/>
    </w:rPr>
  </w:style>
  <w:style w:type="paragraph" w:customStyle="1" w:styleId="FooterCentered">
    <w:name w:val="Footer Centered"/>
    <w:basedOn w:val="Footer"/>
    <w:rsid w:val="00194DC9"/>
    <w:pPr>
      <w:jc w:val="center"/>
    </w:pPr>
    <w:rPr>
      <w:rFonts w:ascii="Book Antiqua" w:hAnsi="Book Antiqua"/>
      <w:sz w:val="22"/>
    </w:rPr>
  </w:style>
  <w:style w:type="paragraph" w:customStyle="1" w:styleId="FooterEven">
    <w:name w:val="Footer Even"/>
    <w:basedOn w:val="Footer"/>
    <w:rsid w:val="00194DC9"/>
  </w:style>
  <w:style w:type="paragraph" w:customStyle="1" w:styleId="FooterOdd">
    <w:name w:val="Footer Odd"/>
    <w:basedOn w:val="Footer"/>
    <w:rsid w:val="00194DC9"/>
    <w:pPr>
      <w:jc w:val="right"/>
    </w:pPr>
  </w:style>
  <w:style w:type="character" w:customStyle="1" w:styleId="FramedFooter">
    <w:name w:val="Framed Footer"/>
    <w:rsid w:val="00194DC9"/>
    <w:rPr>
      <w:rFonts w:ascii="Arial" w:hAnsi="Arial"/>
      <w:sz w:val="18"/>
    </w:rPr>
  </w:style>
  <w:style w:type="character" w:customStyle="1" w:styleId="FramedHeader">
    <w:name w:val="Framed Header"/>
    <w:basedOn w:val="DefaultParagraphFont"/>
    <w:rsid w:val="00194DC9"/>
    <w:rPr>
      <w:rFonts w:ascii="Arial" w:hAnsi="Arial"/>
      <w:dstrike w:val="0"/>
      <w:color w:val="auto"/>
      <w:sz w:val="18"/>
      <w:vertAlign w:val="baseline"/>
    </w:rPr>
  </w:style>
  <w:style w:type="paragraph" w:styleId="Header">
    <w:name w:val="header"/>
    <w:basedOn w:val="HeadingBase"/>
    <w:link w:val="HeaderChar"/>
    <w:rsid w:val="00194DC9"/>
    <w:rPr>
      <w:sz w:val="18"/>
    </w:rPr>
  </w:style>
  <w:style w:type="character" w:customStyle="1" w:styleId="HeaderChar">
    <w:name w:val="Header Char"/>
    <w:basedOn w:val="DefaultParagraphFont"/>
    <w:link w:val="Header"/>
    <w:rsid w:val="00194DC9"/>
    <w:rPr>
      <w:rFonts w:ascii="Century Gothic" w:eastAsia="Times New Roman" w:hAnsi="Century Gothic" w:cs="Times New Roman"/>
      <w:color w:val="44546A" w:themeColor="text2"/>
      <w:sz w:val="18"/>
      <w:szCs w:val="20"/>
      <w:lang w:eastAsia="en-AU"/>
    </w:rPr>
  </w:style>
  <w:style w:type="paragraph" w:customStyle="1" w:styleId="HeaderEven">
    <w:name w:val="Header Even"/>
    <w:basedOn w:val="Header"/>
    <w:rsid w:val="00194DC9"/>
  </w:style>
  <w:style w:type="paragraph" w:customStyle="1" w:styleId="HeaderOdd">
    <w:name w:val="Header Odd"/>
    <w:basedOn w:val="Header"/>
    <w:rsid w:val="00194DC9"/>
    <w:pPr>
      <w:jc w:val="right"/>
    </w:pPr>
  </w:style>
  <w:style w:type="paragraph" w:styleId="NormalIndent">
    <w:name w:val="Normal Indent"/>
    <w:basedOn w:val="Normal"/>
    <w:rsid w:val="00194DC9"/>
    <w:pPr>
      <w:spacing w:after="240" w:line="260" w:lineRule="exact"/>
      <w:ind w:left="567"/>
      <w:jc w:val="both"/>
    </w:pPr>
    <w:rPr>
      <w:rFonts w:ascii="Book Antiqua" w:eastAsia="Times New Roman" w:hAnsi="Book Antiqua" w:cs="Times New Roman"/>
      <w:color w:val="000000"/>
      <w:szCs w:val="20"/>
      <w:lang w:eastAsia="en-AU"/>
    </w:rPr>
  </w:style>
  <w:style w:type="paragraph" w:customStyle="1" w:styleId="RecommendationHeading">
    <w:name w:val="Recommendation Heading"/>
    <w:basedOn w:val="HeadingBase"/>
    <w:next w:val="RecommendationText"/>
    <w:rsid w:val="00194DC9"/>
    <w:pPr>
      <w:tabs>
        <w:tab w:val="num" w:pos="472"/>
      </w:tabs>
      <w:spacing w:before="120" w:after="240"/>
      <w:ind w:left="472" w:hanging="472"/>
    </w:pPr>
    <w:rPr>
      <w:b/>
      <w:sz w:val="22"/>
    </w:rPr>
  </w:style>
  <w:style w:type="paragraph" w:customStyle="1" w:styleId="RecommendationTextBase">
    <w:name w:val="Recommendation Text Base"/>
    <w:basedOn w:val="Normal"/>
    <w:rsid w:val="00194DC9"/>
    <w:pPr>
      <w:spacing w:after="240" w:line="260" w:lineRule="exact"/>
      <w:jc w:val="both"/>
    </w:pPr>
    <w:rPr>
      <w:rFonts w:ascii="Book Antiqua" w:eastAsia="Times New Roman" w:hAnsi="Book Antiqua" w:cs="Times New Roman"/>
      <w:color w:val="000000"/>
      <w:szCs w:val="20"/>
      <w:lang w:eastAsia="en-AU"/>
    </w:rPr>
  </w:style>
  <w:style w:type="paragraph" w:customStyle="1" w:styleId="RecommendationText">
    <w:name w:val="Recommendation Text"/>
    <w:basedOn w:val="RecommendationTextBase"/>
    <w:rsid w:val="00194DC9"/>
  </w:style>
  <w:style w:type="paragraph" w:customStyle="1" w:styleId="TableTextBase">
    <w:name w:val="Table Text Base"/>
    <w:rsid w:val="00194DC9"/>
    <w:pPr>
      <w:spacing w:before="40" w:after="40" w:line="240" w:lineRule="auto"/>
    </w:pPr>
    <w:rPr>
      <w:rFonts w:ascii="Arial" w:eastAsia="Times New Roman" w:hAnsi="Arial" w:cs="Times New Roman"/>
      <w:color w:val="000000"/>
      <w:sz w:val="16"/>
      <w:szCs w:val="20"/>
      <w:lang w:eastAsia="en-AU"/>
    </w:rPr>
  </w:style>
  <w:style w:type="paragraph" w:customStyle="1" w:styleId="TableColumnHeadingCentred">
    <w:name w:val="Table Column Heading Centred"/>
    <w:basedOn w:val="TableTextBase"/>
    <w:rsid w:val="00194DC9"/>
    <w:pPr>
      <w:jc w:val="center"/>
    </w:pPr>
    <w:rPr>
      <w:b/>
    </w:rPr>
  </w:style>
  <w:style w:type="paragraph" w:customStyle="1" w:styleId="TableColumnHeadingLeft">
    <w:name w:val="Table Column Heading Left"/>
    <w:basedOn w:val="TableTextBase"/>
    <w:rsid w:val="00194DC9"/>
    <w:rPr>
      <w:b/>
    </w:rPr>
  </w:style>
  <w:style w:type="paragraph" w:customStyle="1" w:styleId="TableColumnHeadingRight">
    <w:name w:val="Table Column Heading Right"/>
    <w:basedOn w:val="TableTextBase"/>
    <w:rsid w:val="00194DC9"/>
    <w:pPr>
      <w:jc w:val="right"/>
    </w:pPr>
    <w:rPr>
      <w:b/>
    </w:rPr>
  </w:style>
  <w:style w:type="paragraph" w:customStyle="1" w:styleId="TableGraphic">
    <w:name w:val="Table Graphic"/>
    <w:basedOn w:val="HeadingBase"/>
    <w:next w:val="Normal"/>
    <w:rsid w:val="00194DC9"/>
  </w:style>
  <w:style w:type="paragraph" w:customStyle="1" w:styleId="TableMainHeading">
    <w:name w:val="Table Main Heading"/>
    <w:basedOn w:val="HeadingBase"/>
    <w:next w:val="TableGraphic"/>
    <w:rsid w:val="00194DC9"/>
    <w:pPr>
      <w:spacing w:after="20"/>
    </w:pPr>
    <w:rPr>
      <w:b/>
      <w:sz w:val="22"/>
    </w:rPr>
  </w:style>
  <w:style w:type="paragraph" w:customStyle="1" w:styleId="TableMainHeadingContd">
    <w:name w:val="Table Main Heading Contd"/>
    <w:basedOn w:val="HeadingBase"/>
    <w:next w:val="TableGraphic"/>
    <w:rsid w:val="00194DC9"/>
    <w:pPr>
      <w:spacing w:after="20"/>
    </w:pPr>
    <w:rPr>
      <w:b/>
      <w:sz w:val="22"/>
    </w:rPr>
  </w:style>
  <w:style w:type="paragraph" w:customStyle="1" w:styleId="TableSecondHeading">
    <w:name w:val="Table Second Heading"/>
    <w:basedOn w:val="HeadingBase"/>
    <w:next w:val="TableGraphic"/>
    <w:rsid w:val="00194DC9"/>
    <w:pPr>
      <w:spacing w:after="20"/>
    </w:pPr>
  </w:style>
  <w:style w:type="paragraph" w:customStyle="1" w:styleId="TableTextCentered">
    <w:name w:val="Table Text Centered"/>
    <w:basedOn w:val="TableTextBase"/>
    <w:rsid w:val="00194DC9"/>
    <w:pPr>
      <w:jc w:val="center"/>
    </w:pPr>
  </w:style>
  <w:style w:type="paragraph" w:customStyle="1" w:styleId="TableTextIndented">
    <w:name w:val="Table Text Indented"/>
    <w:basedOn w:val="TableTextBase"/>
    <w:rsid w:val="00194DC9"/>
    <w:pPr>
      <w:ind w:left="284"/>
    </w:pPr>
  </w:style>
  <w:style w:type="paragraph" w:customStyle="1" w:styleId="TableTextLeft">
    <w:name w:val="Table Text Left"/>
    <w:basedOn w:val="TableTextBase"/>
    <w:rsid w:val="00194DC9"/>
  </w:style>
  <w:style w:type="paragraph" w:customStyle="1" w:styleId="TableTextRight">
    <w:name w:val="Table Text Right"/>
    <w:basedOn w:val="TableTextBase"/>
    <w:rsid w:val="00194DC9"/>
    <w:pPr>
      <w:jc w:val="right"/>
    </w:pPr>
  </w:style>
  <w:style w:type="paragraph" w:styleId="TOC1">
    <w:name w:val="toc 1"/>
    <w:basedOn w:val="HeadingBase"/>
    <w:next w:val="Normal"/>
    <w:uiPriority w:val="39"/>
    <w:rsid w:val="00194DC9"/>
    <w:pPr>
      <w:tabs>
        <w:tab w:val="right" w:leader="dot" w:pos="9072"/>
      </w:tabs>
      <w:spacing w:before="180" w:after="60"/>
      <w:ind w:right="851"/>
    </w:pPr>
    <w:rPr>
      <w:b/>
      <w:sz w:val="24"/>
      <w:szCs w:val="22"/>
    </w:rPr>
  </w:style>
  <w:style w:type="paragraph" w:styleId="TOC2">
    <w:name w:val="toc 2"/>
    <w:basedOn w:val="HeadingBase"/>
    <w:next w:val="Normal"/>
    <w:uiPriority w:val="39"/>
    <w:rsid w:val="00194DC9"/>
    <w:pPr>
      <w:tabs>
        <w:tab w:val="right" w:leader="dot" w:pos="9072"/>
      </w:tabs>
      <w:spacing w:before="60"/>
      <w:ind w:right="851"/>
    </w:pPr>
    <w:rPr>
      <w:sz w:val="22"/>
    </w:rPr>
  </w:style>
  <w:style w:type="paragraph" w:styleId="TOC3">
    <w:name w:val="toc 3"/>
    <w:basedOn w:val="Normal"/>
    <w:next w:val="Normal"/>
    <w:uiPriority w:val="39"/>
    <w:rsid w:val="00194DC9"/>
    <w:pPr>
      <w:tabs>
        <w:tab w:val="right" w:leader="dot" w:pos="9072"/>
      </w:tabs>
      <w:spacing w:before="40"/>
      <w:ind w:right="851"/>
      <w:jc w:val="both"/>
    </w:pPr>
    <w:rPr>
      <w:rFonts w:ascii="Century Gothic" w:eastAsia="Times New Roman" w:hAnsi="Century Gothic" w:cs="Times New Roman"/>
      <w:color w:val="000000"/>
      <w:szCs w:val="20"/>
      <w:lang w:eastAsia="en-AU"/>
    </w:rPr>
  </w:style>
  <w:style w:type="paragraph" w:styleId="TOC4">
    <w:name w:val="toc 4"/>
    <w:basedOn w:val="Normal"/>
    <w:next w:val="Normal"/>
    <w:uiPriority w:val="39"/>
    <w:rsid w:val="00194DC9"/>
    <w:pPr>
      <w:tabs>
        <w:tab w:val="right" w:leader="dot" w:pos="9072"/>
      </w:tabs>
      <w:ind w:left="284" w:right="851"/>
      <w:jc w:val="both"/>
    </w:pPr>
    <w:rPr>
      <w:rFonts w:ascii="Book Antiqua" w:eastAsia="Times New Roman" w:hAnsi="Book Antiqua" w:cs="Times New Roman"/>
      <w:color w:val="000000"/>
      <w:szCs w:val="20"/>
      <w:lang w:eastAsia="en-AU"/>
    </w:rPr>
  </w:style>
  <w:style w:type="character" w:customStyle="1" w:styleId="italic">
    <w:name w:val="italic"/>
    <w:basedOn w:val="DefaultParagraphFont"/>
    <w:rsid w:val="00194DC9"/>
    <w:rPr>
      <w:i/>
    </w:rPr>
  </w:style>
  <w:style w:type="paragraph" w:customStyle="1" w:styleId="OneLevelNumberedParagraph">
    <w:name w:val="One Level Numbered Paragraph"/>
    <w:basedOn w:val="Normal"/>
    <w:rsid w:val="00194DC9"/>
    <w:pPr>
      <w:numPr>
        <w:numId w:val="11"/>
      </w:numPr>
      <w:spacing w:after="240" w:line="260" w:lineRule="exact"/>
      <w:jc w:val="both"/>
    </w:pPr>
    <w:rPr>
      <w:rFonts w:ascii="Book Antiqua" w:eastAsia="Times New Roman" w:hAnsi="Book Antiqua" w:cs="Times New Roman"/>
      <w:color w:val="000000"/>
      <w:szCs w:val="20"/>
      <w:lang w:eastAsia="en-AU"/>
    </w:rPr>
  </w:style>
  <w:style w:type="paragraph" w:customStyle="1" w:styleId="BoxText">
    <w:name w:val="Box Text"/>
    <w:basedOn w:val="BoxTextBase"/>
    <w:rsid w:val="00194DC9"/>
  </w:style>
  <w:style w:type="paragraph" w:customStyle="1" w:styleId="BoxBullet">
    <w:name w:val="Box Bullet"/>
    <w:basedOn w:val="BoxTextBase"/>
    <w:rsid w:val="00194DC9"/>
    <w:pPr>
      <w:numPr>
        <w:numId w:val="10"/>
      </w:numPr>
    </w:pPr>
  </w:style>
  <w:style w:type="paragraph" w:customStyle="1" w:styleId="BoxDash">
    <w:name w:val="Box Dash"/>
    <w:basedOn w:val="BoxTextBase"/>
    <w:rsid w:val="00194DC9"/>
    <w:pPr>
      <w:numPr>
        <w:ilvl w:val="1"/>
        <w:numId w:val="10"/>
      </w:numPr>
    </w:pPr>
  </w:style>
  <w:style w:type="paragraph" w:customStyle="1" w:styleId="BoxDoubleDot">
    <w:name w:val="Box Double Dot"/>
    <w:basedOn w:val="BoxTextBase"/>
    <w:rsid w:val="00194DC9"/>
    <w:pPr>
      <w:numPr>
        <w:ilvl w:val="2"/>
        <w:numId w:val="10"/>
      </w:numPr>
    </w:pPr>
  </w:style>
  <w:style w:type="paragraph" w:customStyle="1" w:styleId="RecommendationBullet">
    <w:name w:val="Recommendation Bullet"/>
    <w:basedOn w:val="RecommendationTextBase"/>
    <w:rsid w:val="00194DC9"/>
    <w:pPr>
      <w:numPr>
        <w:numId w:val="12"/>
      </w:numPr>
    </w:pPr>
  </w:style>
  <w:style w:type="paragraph" w:customStyle="1" w:styleId="RecommendationDash">
    <w:name w:val="Recommendation Dash"/>
    <w:basedOn w:val="RecommendationTextBase"/>
    <w:rsid w:val="00194DC9"/>
    <w:pPr>
      <w:numPr>
        <w:ilvl w:val="1"/>
        <w:numId w:val="12"/>
      </w:numPr>
    </w:pPr>
  </w:style>
  <w:style w:type="paragraph" w:customStyle="1" w:styleId="RecommendationDoubleDot">
    <w:name w:val="Recommendation Double Dot"/>
    <w:basedOn w:val="RecommendationTextBase"/>
    <w:rsid w:val="00194DC9"/>
    <w:pPr>
      <w:numPr>
        <w:ilvl w:val="2"/>
        <w:numId w:val="12"/>
      </w:numPr>
    </w:pPr>
  </w:style>
  <w:style w:type="character" w:styleId="FollowedHyperlink">
    <w:name w:val="FollowedHyperlink"/>
    <w:basedOn w:val="DefaultParagraphFont"/>
    <w:rsid w:val="00194DC9"/>
    <w:rPr>
      <w:color w:val="auto"/>
      <w:u w:val="none"/>
    </w:rPr>
  </w:style>
  <w:style w:type="paragraph" w:customStyle="1" w:styleId="Disclaimer">
    <w:name w:val="Disclaimer"/>
    <w:basedOn w:val="HeadingBase"/>
    <w:rsid w:val="00194DC9"/>
    <w:pPr>
      <w:spacing w:after="240"/>
    </w:pPr>
    <w:rPr>
      <w:b/>
      <w:sz w:val="22"/>
    </w:rPr>
  </w:style>
  <w:style w:type="paragraph" w:customStyle="1" w:styleId="SecurityClassificationHeader">
    <w:name w:val="Security Classification Header"/>
    <w:rsid w:val="00194DC9"/>
    <w:pPr>
      <w:spacing w:after="240" w:line="240" w:lineRule="auto"/>
      <w:jc w:val="center"/>
    </w:pPr>
    <w:rPr>
      <w:rFonts w:ascii="Book Antiqua" w:eastAsia="Times New Roman" w:hAnsi="Book Antiqua" w:cs="Times New Roman"/>
      <w:b/>
      <w:caps/>
      <w:color w:val="000080"/>
      <w:szCs w:val="20"/>
      <w:lang w:eastAsia="en-AU"/>
    </w:rPr>
  </w:style>
  <w:style w:type="paragraph" w:customStyle="1" w:styleId="SecurityClassificationFooter">
    <w:name w:val="Security Classification Footer"/>
    <w:rsid w:val="00194DC9"/>
    <w:pPr>
      <w:spacing w:before="240" w:after="0" w:line="240" w:lineRule="auto"/>
      <w:jc w:val="center"/>
    </w:pPr>
    <w:rPr>
      <w:rFonts w:ascii="Book Antiqua" w:eastAsia="Times New Roman" w:hAnsi="Book Antiqua" w:cs="Times New Roman"/>
      <w:b/>
      <w:caps/>
      <w:color w:val="000080"/>
      <w:szCs w:val="20"/>
      <w:lang w:eastAsia="en-AU"/>
    </w:rPr>
  </w:style>
  <w:style w:type="character" w:customStyle="1" w:styleId="EmailStyle84">
    <w:name w:val="EmailStyle84"/>
    <w:basedOn w:val="DefaultParagraphFont"/>
    <w:semiHidden/>
    <w:rsid w:val="00194DC9"/>
    <w:rPr>
      <w:rFonts w:ascii="Arial" w:hAnsi="Arial" w:cs="Arial"/>
      <w:color w:val="auto"/>
      <w:sz w:val="20"/>
      <w:szCs w:val="20"/>
    </w:rPr>
  </w:style>
  <w:style w:type="character" w:customStyle="1" w:styleId="Italics">
    <w:name w:val="Italics"/>
    <w:basedOn w:val="DefaultParagraphFont"/>
    <w:rsid w:val="00194DC9"/>
    <w:rPr>
      <w:i/>
    </w:rPr>
  </w:style>
  <w:style w:type="paragraph" w:customStyle="1" w:styleId="NotesHeading">
    <w:name w:val="Notes Heading"/>
    <w:basedOn w:val="ContentsHeading"/>
    <w:rsid w:val="00194DC9"/>
    <w:pPr>
      <w:spacing w:before="240"/>
    </w:pPr>
  </w:style>
  <w:style w:type="paragraph" w:customStyle="1" w:styleId="BoxHeadingnonumber">
    <w:name w:val="Box Heading no number"/>
    <w:basedOn w:val="BoxHeading"/>
    <w:next w:val="BoxText"/>
    <w:qFormat/>
    <w:rsid w:val="00194DC9"/>
    <w:pPr>
      <w:numPr>
        <w:numId w:val="0"/>
      </w:numPr>
    </w:pPr>
  </w:style>
  <w:style w:type="numbering" w:customStyle="1" w:styleId="Outlinenumbering">
    <w:name w:val="Outline numbering"/>
    <w:uiPriority w:val="99"/>
    <w:rsid w:val="00194DC9"/>
  </w:style>
  <w:style w:type="numbering" w:customStyle="1" w:styleId="Optionboxheading">
    <w:name w:val="Option box heading"/>
    <w:uiPriority w:val="99"/>
    <w:rsid w:val="00194DC9"/>
    <w:pPr>
      <w:numPr>
        <w:numId w:val="14"/>
      </w:numPr>
    </w:pPr>
  </w:style>
  <w:style w:type="character" w:customStyle="1" w:styleId="A5">
    <w:name w:val="A5"/>
    <w:uiPriority w:val="99"/>
    <w:rsid w:val="00194DC9"/>
    <w:rPr>
      <w:rFonts w:cs="Swiss 721 BT"/>
      <w:color w:val="000000"/>
      <w:sz w:val="20"/>
      <w:szCs w:val="20"/>
    </w:rPr>
  </w:style>
  <w:style w:type="paragraph" w:customStyle="1" w:styleId="Heading2NotNumbered">
    <w:name w:val="Heading 2 Not Numbered"/>
    <w:basedOn w:val="Heading2"/>
    <w:next w:val="Normal"/>
    <w:rsid w:val="00194DC9"/>
    <w:pPr>
      <w:keepLines w:val="0"/>
      <w:spacing w:before="300" w:after="180" w:line="240" w:lineRule="auto"/>
    </w:pPr>
    <w:rPr>
      <w:rFonts w:ascii="Century Gothic" w:eastAsia="Times New Roman" w:hAnsi="Century Gothic" w:cs="Arial"/>
      <w:b/>
      <w:bCs/>
      <w:iCs/>
      <w:smallCaps/>
      <w:color w:val="44546A" w:themeColor="text2"/>
      <w:sz w:val="32"/>
      <w:szCs w:val="28"/>
      <w:lang w:eastAsia="en-AU"/>
    </w:rPr>
  </w:style>
  <w:style w:type="character" w:customStyle="1" w:styleId="SingleParagraphChar">
    <w:name w:val="Single Paragraph Char"/>
    <w:basedOn w:val="DefaultParagraphFont"/>
    <w:link w:val="SingleParagraph"/>
    <w:rsid w:val="00194DC9"/>
    <w:rPr>
      <w:rFonts w:ascii="Book Antiqua" w:eastAsia="Times New Roman" w:hAnsi="Book Antiqua" w:cs="Times New Roman"/>
      <w:color w:val="000000"/>
      <w:szCs w:val="20"/>
      <w:lang w:eastAsia="en-AU"/>
    </w:rPr>
  </w:style>
  <w:style w:type="paragraph" w:styleId="NoSpacing">
    <w:name w:val="No Spacing"/>
    <w:uiPriority w:val="1"/>
    <w:qFormat/>
    <w:rsid w:val="00194DC9"/>
    <w:pPr>
      <w:spacing w:after="0" w:line="240" w:lineRule="auto"/>
      <w:jc w:val="both"/>
    </w:pPr>
    <w:rPr>
      <w:rFonts w:ascii="Book Antiqua" w:eastAsia="Times New Roman" w:hAnsi="Book Antiqua" w:cs="Times New Roman"/>
      <w:color w:val="000000"/>
      <w:szCs w:val="20"/>
      <w:lang w:eastAsia="en-AU"/>
    </w:rPr>
  </w:style>
  <w:style w:type="paragraph" w:styleId="Quote">
    <w:name w:val="Quote"/>
    <w:basedOn w:val="Normal"/>
    <w:next w:val="Normal"/>
    <w:link w:val="QuoteChar"/>
    <w:uiPriority w:val="29"/>
    <w:qFormat/>
    <w:rsid w:val="00194DC9"/>
    <w:pPr>
      <w:spacing w:after="240" w:line="260" w:lineRule="exact"/>
      <w:jc w:val="both"/>
    </w:pPr>
    <w:rPr>
      <w:rFonts w:ascii="Book Antiqua" w:eastAsia="Times New Roman" w:hAnsi="Book Antiqua" w:cs="Times New Roman"/>
      <w:i/>
      <w:iCs/>
      <w:color w:val="000000" w:themeColor="text1"/>
      <w:szCs w:val="20"/>
      <w:lang w:eastAsia="en-AU"/>
    </w:rPr>
  </w:style>
  <w:style w:type="character" w:customStyle="1" w:styleId="QuoteChar">
    <w:name w:val="Quote Char"/>
    <w:basedOn w:val="DefaultParagraphFont"/>
    <w:link w:val="Quote"/>
    <w:uiPriority w:val="29"/>
    <w:rsid w:val="00194DC9"/>
    <w:rPr>
      <w:rFonts w:ascii="Book Antiqua" w:eastAsia="Times New Roman" w:hAnsi="Book Antiqua" w:cs="Times New Roman"/>
      <w:i/>
      <w:iCs/>
      <w:color w:val="000000" w:themeColor="text1"/>
      <w:szCs w:val="20"/>
      <w:lang w:eastAsia="en-AU"/>
    </w:rPr>
  </w:style>
  <w:style w:type="table" w:customStyle="1" w:styleId="TableGrid2">
    <w:name w:val="Table Grid2"/>
    <w:basedOn w:val="TableNormal"/>
    <w:next w:val="TableGrid"/>
    <w:uiPriority w:val="59"/>
    <w:rsid w:val="00194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94DC9"/>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table" w:customStyle="1" w:styleId="TableGrid1">
    <w:name w:val="Table Grid1"/>
    <w:basedOn w:val="TableNormal"/>
    <w:next w:val="TableGrid"/>
    <w:rsid w:val="00194DC9"/>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styleId="TOC5">
    <w:name w:val="toc 5"/>
    <w:basedOn w:val="Normal"/>
    <w:next w:val="Normal"/>
    <w:autoRedefine/>
    <w:uiPriority w:val="39"/>
    <w:unhideWhenUsed/>
    <w:rsid w:val="00194DC9"/>
    <w:pPr>
      <w:spacing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194DC9"/>
    <w:pPr>
      <w:spacing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194DC9"/>
    <w:pPr>
      <w:spacing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194DC9"/>
    <w:pPr>
      <w:spacing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194DC9"/>
    <w:pPr>
      <w:spacing w:after="100" w:line="276" w:lineRule="auto"/>
      <w:ind w:left="1760"/>
    </w:pPr>
    <w:rPr>
      <w:rFonts w:asciiTheme="minorHAnsi" w:eastAsiaTheme="minorEastAsia" w:hAnsiTheme="minorHAnsi" w:cstheme="minorBidi"/>
      <w:lang w:eastAsia="en-AU"/>
    </w:rPr>
  </w:style>
  <w:style w:type="paragraph" w:styleId="CommentSubject">
    <w:name w:val="annotation subject"/>
    <w:basedOn w:val="CommentText"/>
    <w:next w:val="CommentText"/>
    <w:link w:val="CommentSubjectChar"/>
    <w:uiPriority w:val="99"/>
    <w:semiHidden/>
    <w:unhideWhenUsed/>
    <w:rsid w:val="00194DC9"/>
    <w:pPr>
      <w:spacing w:after="240"/>
      <w:jc w:val="both"/>
    </w:pPr>
    <w:rPr>
      <w:rFonts w:ascii="Book Antiqua" w:hAnsi="Book Antiqua"/>
      <w:b/>
      <w:bCs/>
      <w:color w:val="000000"/>
    </w:rPr>
  </w:style>
  <w:style w:type="character" w:customStyle="1" w:styleId="CommentSubjectChar">
    <w:name w:val="Comment Subject Char"/>
    <w:basedOn w:val="CommentTextChar"/>
    <w:link w:val="CommentSubject"/>
    <w:uiPriority w:val="99"/>
    <w:semiHidden/>
    <w:rsid w:val="00194DC9"/>
    <w:rPr>
      <w:rFonts w:ascii="Book Antiqua" w:eastAsia="Times New Roman" w:hAnsi="Book Antiqua" w:cs="Times New Roman"/>
      <w:b/>
      <w:bCs/>
      <w:color w:val="000000"/>
      <w:sz w:val="20"/>
      <w:szCs w:val="20"/>
      <w:lang w:eastAsia="en-AU"/>
    </w:rPr>
  </w:style>
  <w:style w:type="character" w:customStyle="1" w:styleId="OutlineNumbered1Char">
    <w:name w:val="Outline Numbered 1 Char"/>
    <w:basedOn w:val="DefaultParagraphFont"/>
    <w:link w:val="OutlineNumbered1"/>
    <w:rsid w:val="00194DC9"/>
    <w:rPr>
      <w:rFonts w:ascii="Book Antiqua" w:eastAsia="Times New Roman" w:hAnsi="Book Antiqua" w:cs="Times New Roman"/>
      <w:color w:val="000000"/>
      <w:szCs w:val="20"/>
      <w:lang w:eastAsia="en-AU"/>
    </w:rPr>
  </w:style>
  <w:style w:type="character" w:styleId="HTMLCite">
    <w:name w:val="HTML Cite"/>
    <w:basedOn w:val="DefaultParagraphFont"/>
    <w:uiPriority w:val="99"/>
    <w:semiHidden/>
    <w:unhideWhenUsed/>
    <w:rsid w:val="00194DC9"/>
    <w:rPr>
      <w:i/>
      <w:iCs/>
    </w:rPr>
  </w:style>
  <w:style w:type="character" w:customStyle="1" w:styleId="BulletChar">
    <w:name w:val="Bullet Char"/>
    <w:aliases w:val="b Char,b Char Char,b + line Char Char,b1 Char,b + line Char,Body Char,level 1 Char"/>
    <w:basedOn w:val="DefaultParagraphFont"/>
    <w:link w:val="Bullet"/>
    <w:rsid w:val="00194DC9"/>
    <w:rPr>
      <w:rFonts w:ascii="Book Antiqua" w:eastAsia="Times New Roman" w:hAnsi="Book Antiqua" w:cs="Times New Roman"/>
      <w:color w:val="000000"/>
      <w:szCs w:val="20"/>
      <w:lang w:eastAsia="en-AU"/>
    </w:rPr>
  </w:style>
  <w:style w:type="character" w:customStyle="1" w:styleId="DoubleDotChar">
    <w:name w:val="Double Dot Char"/>
    <w:basedOn w:val="DefaultParagraphFont"/>
    <w:link w:val="DoubleDot"/>
    <w:rsid w:val="00194DC9"/>
    <w:rPr>
      <w:rFonts w:ascii="Book Antiqua" w:eastAsia="Times New Roman" w:hAnsi="Book Antiqua" w:cs="Times New Roman"/>
      <w:color w:val="000000"/>
      <w:szCs w:val="20"/>
      <w:lang w:eastAsia="en-AU"/>
    </w:rPr>
  </w:style>
  <w:style w:type="character" w:customStyle="1" w:styleId="DashChar">
    <w:name w:val="Dash Char"/>
    <w:basedOn w:val="DefaultParagraphFont"/>
    <w:link w:val="Dash"/>
    <w:rsid w:val="00194DC9"/>
    <w:rPr>
      <w:rFonts w:ascii="Book Antiqua" w:eastAsia="Times New Roman" w:hAnsi="Book Antiqua" w:cs="Times New Roman"/>
      <w:color w:val="000000"/>
      <w:szCs w:val="20"/>
      <w:lang w:eastAsia="en-AU"/>
    </w:rPr>
  </w:style>
  <w:style w:type="paragraph" w:customStyle="1" w:styleId="ChapterHeading">
    <w:name w:val="Chapter Heading"/>
    <w:next w:val="Heading2"/>
    <w:rsid w:val="00194DC9"/>
    <w:pPr>
      <w:numPr>
        <w:numId w:val="20"/>
      </w:numPr>
      <w:pBdr>
        <w:top w:val="single" w:sz="4" w:space="1" w:color="auto"/>
        <w:bottom w:val="single" w:sz="4" w:space="1" w:color="auto"/>
      </w:pBdr>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194DC9"/>
    <w:pPr>
      <w:numPr>
        <w:ilvl w:val="4"/>
        <w:numId w:val="20"/>
      </w:numPr>
      <w:spacing w:before="120" w:after="120"/>
    </w:pPr>
    <w:rPr>
      <w:rFonts w:ascii="Times New Roman" w:hAnsi="Times New Roman"/>
      <w:bCs w:val="0"/>
      <w:color w:val="auto"/>
      <w:szCs w:val="20"/>
    </w:rPr>
  </w:style>
  <w:style w:type="paragraph" w:customStyle="1" w:styleId="base-text-paragraph">
    <w:name w:val="base-text-paragraph"/>
    <w:basedOn w:val="Normal"/>
    <w:link w:val="base-text-paragraphChar"/>
    <w:rsid w:val="00194DC9"/>
    <w:pPr>
      <w:numPr>
        <w:ilvl w:val="1"/>
        <w:numId w:val="20"/>
      </w:numPr>
      <w:spacing w:before="120"/>
    </w:pPr>
    <w:rPr>
      <w:rFonts w:ascii="Times New Roman" w:eastAsia="Times New Roman" w:hAnsi="Times New Roman" w:cs="Times New Roman"/>
      <w:szCs w:val="20"/>
      <w:lang w:eastAsia="en-AU"/>
    </w:rPr>
  </w:style>
  <w:style w:type="paragraph" w:customStyle="1" w:styleId="ExampleHeading">
    <w:name w:val="Example Heading"/>
    <w:basedOn w:val="Normal"/>
    <w:next w:val="Normal"/>
    <w:rsid w:val="00194DC9"/>
    <w:pPr>
      <w:keepNext/>
      <w:numPr>
        <w:ilvl w:val="3"/>
        <w:numId w:val="20"/>
      </w:numPr>
      <w:spacing w:before="120"/>
    </w:pPr>
    <w:rPr>
      <w:rFonts w:ascii="Times New Roman" w:eastAsia="Times New Roman" w:hAnsi="Times New Roman" w:cs="Times New Roman"/>
      <w:b/>
      <w:szCs w:val="20"/>
      <w:lang w:eastAsia="en-AU"/>
    </w:rPr>
  </w:style>
  <w:style w:type="paragraph" w:customStyle="1" w:styleId="Diagram">
    <w:name w:val="Diagram"/>
    <w:basedOn w:val="Normal"/>
    <w:next w:val="Normal"/>
    <w:rsid w:val="00194DC9"/>
    <w:pPr>
      <w:keepNext/>
      <w:numPr>
        <w:ilvl w:val="2"/>
        <w:numId w:val="20"/>
      </w:numPr>
      <w:tabs>
        <w:tab w:val="num" w:pos="1416"/>
      </w:tabs>
      <w:ind w:left="1416" w:hanging="472"/>
    </w:pPr>
    <w:rPr>
      <w:rFonts w:ascii="Times New Roman" w:eastAsia="Times New Roman" w:hAnsi="Times New Roman" w:cs="Times New Roman"/>
      <w:b/>
      <w:szCs w:val="20"/>
      <w:lang w:eastAsia="en-AU"/>
    </w:rPr>
  </w:style>
  <w:style w:type="character" w:customStyle="1" w:styleId="base-text-paragraphChar">
    <w:name w:val="base-text-paragraph Char"/>
    <w:basedOn w:val="DefaultParagraphFont"/>
    <w:link w:val="base-text-paragraph"/>
    <w:rsid w:val="00194DC9"/>
    <w:rPr>
      <w:rFonts w:ascii="Times New Roman" w:eastAsia="Times New Roman" w:hAnsi="Times New Roman" w:cs="Times New Roman"/>
      <w:szCs w:val="20"/>
      <w:lang w:eastAsia="en-AU"/>
    </w:rPr>
  </w:style>
  <w:style w:type="numbering" w:customStyle="1" w:styleId="ChapterList">
    <w:name w:val="ChapterList"/>
    <w:uiPriority w:val="99"/>
    <w:rsid w:val="00194DC9"/>
    <w:pPr>
      <w:numPr>
        <w:numId w:val="23"/>
      </w:numPr>
    </w:pPr>
  </w:style>
  <w:style w:type="character" w:customStyle="1" w:styleId="Referencingstyle">
    <w:name w:val="Referencing style"/>
    <w:basedOn w:val="DefaultParagraphFont"/>
    <w:rsid w:val="00194DC9"/>
    <w:rPr>
      <w:b/>
      <w:i/>
      <w:sz w:val="18"/>
    </w:rPr>
  </w:style>
  <w:style w:type="numbering" w:customStyle="1" w:styleId="Outlinenumbering1">
    <w:name w:val="Outline numbering1"/>
    <w:uiPriority w:val="99"/>
    <w:rsid w:val="00194DC9"/>
  </w:style>
  <w:style w:type="paragraph" w:styleId="Revision">
    <w:name w:val="Revision"/>
    <w:hidden/>
    <w:uiPriority w:val="99"/>
    <w:semiHidden/>
    <w:rsid w:val="00194DC9"/>
    <w:pPr>
      <w:spacing w:after="0" w:line="240" w:lineRule="auto"/>
    </w:pPr>
    <w:rPr>
      <w:rFonts w:ascii="Book Antiqua" w:eastAsia="Times New Roman" w:hAnsi="Book Antiqua" w:cs="Times New Roman"/>
      <w:color w:val="000000"/>
      <w:szCs w:val="20"/>
      <w:lang w:eastAsia="en-AU"/>
    </w:rPr>
  </w:style>
  <w:style w:type="table" w:customStyle="1" w:styleId="TableGrid4">
    <w:name w:val="Table Grid4"/>
    <w:basedOn w:val="TableNormal"/>
    <w:next w:val="TableGrid"/>
    <w:uiPriority w:val="59"/>
    <w:rsid w:val="00194D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4DC9"/>
    <w:rPr>
      <w:i/>
      <w:iCs/>
    </w:rPr>
  </w:style>
  <w:style w:type="paragraph" w:customStyle="1" w:styleId="Copyrightheading">
    <w:name w:val="Copyright heading"/>
    <w:basedOn w:val="Normal"/>
    <w:qFormat/>
    <w:rsid w:val="00194DC9"/>
    <w:pPr>
      <w:spacing w:before="200"/>
    </w:pPr>
    <w:rPr>
      <w:rFonts w:ascii="Book Antiqua" w:hAnsi="Book Antiqua" w:cstheme="minorBidi"/>
      <w:b/>
    </w:rPr>
  </w:style>
  <w:style w:type="character" w:styleId="Strong">
    <w:name w:val="Strong"/>
    <w:basedOn w:val="DefaultParagraphFont"/>
    <w:uiPriority w:val="22"/>
    <w:qFormat/>
    <w:rsid w:val="00194DC9"/>
    <w:rPr>
      <w:b/>
      <w:bCs/>
    </w:rPr>
  </w:style>
  <w:style w:type="table" w:styleId="LightList-Accent1">
    <w:name w:val="Light List Accent 1"/>
    <w:basedOn w:val="TableNormal"/>
    <w:uiPriority w:val="61"/>
    <w:rsid w:val="00194DC9"/>
    <w:pPr>
      <w:spacing w:after="0" w:line="240" w:lineRule="auto"/>
    </w:pPr>
    <w:rPr>
      <w:rFonts w:ascii="Courier" w:hAnsi="Courier"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PlainText">
    <w:name w:val="Plain Text"/>
    <w:basedOn w:val="Normal"/>
    <w:link w:val="PlainTextChar"/>
    <w:uiPriority w:val="99"/>
    <w:semiHidden/>
    <w:unhideWhenUsed/>
    <w:rsid w:val="00194DC9"/>
    <w:rPr>
      <w:rFonts w:cstheme="minorBidi"/>
      <w:szCs w:val="21"/>
    </w:rPr>
  </w:style>
  <w:style w:type="character" w:customStyle="1" w:styleId="PlainTextChar">
    <w:name w:val="Plain Text Char"/>
    <w:basedOn w:val="DefaultParagraphFont"/>
    <w:link w:val="PlainText"/>
    <w:uiPriority w:val="99"/>
    <w:semiHidden/>
    <w:rsid w:val="00194DC9"/>
    <w:rPr>
      <w:rFonts w:ascii="Calibri" w:hAnsi="Calibri"/>
      <w:szCs w:val="21"/>
    </w:rPr>
  </w:style>
  <w:style w:type="paragraph" w:styleId="NormalWeb">
    <w:name w:val="Normal (Web)"/>
    <w:basedOn w:val="Normal"/>
    <w:uiPriority w:val="99"/>
    <w:semiHidden/>
    <w:unhideWhenUsed/>
    <w:rsid w:val="00194DC9"/>
    <w:pPr>
      <w:spacing w:after="240" w:line="260" w:lineRule="exact"/>
      <w:jc w:val="both"/>
    </w:pPr>
    <w:rPr>
      <w:rFonts w:ascii="Times New Roman" w:eastAsia="Times New Roman" w:hAnsi="Times New Roman" w:cs="Times New Roman"/>
      <w:color w:val="000000"/>
      <w:sz w:val="24"/>
      <w:szCs w:val="24"/>
      <w:lang w:eastAsia="en-AU"/>
    </w:rPr>
  </w:style>
  <w:style w:type="paragraph" w:customStyle="1" w:styleId="Pa13">
    <w:name w:val="Pa13"/>
    <w:basedOn w:val="Default"/>
    <w:next w:val="Default"/>
    <w:uiPriority w:val="99"/>
    <w:rsid w:val="0089239D"/>
    <w:pPr>
      <w:spacing w:line="181" w:lineRule="atLeast"/>
    </w:pPr>
    <w:rPr>
      <w:rFonts w:ascii="Gotham Narrow Light" w:hAnsi="Gotham Narrow Light" w:cstheme="minorBidi"/>
      <w:color w:val="auto"/>
    </w:rPr>
  </w:style>
  <w:style w:type="paragraph" w:styleId="ListNumber">
    <w:name w:val="List Number"/>
    <w:basedOn w:val="Normal"/>
    <w:uiPriority w:val="99"/>
    <w:qFormat/>
    <w:rsid w:val="00E56FA4"/>
    <w:pPr>
      <w:spacing w:after="200" w:line="276" w:lineRule="auto"/>
    </w:pPr>
    <w:rPr>
      <w:rFonts w:ascii="Arial" w:eastAsia="Calibri" w:hAnsi="Arial" w:cs="Times New Roman"/>
    </w:rPr>
  </w:style>
  <w:style w:type="paragraph" w:styleId="TOCHeading">
    <w:name w:val="TOC Heading"/>
    <w:basedOn w:val="Heading1"/>
    <w:next w:val="Normal"/>
    <w:uiPriority w:val="39"/>
    <w:unhideWhenUsed/>
    <w:qFormat/>
    <w:rsid w:val="000A7034"/>
    <w:pPr>
      <w:spacing w:after="0" w:line="259" w:lineRule="auto"/>
      <w:outlineLvl w:val="9"/>
    </w:pPr>
    <w:rPr>
      <w:sz w:val="32"/>
      <w:lang w:val="en-US"/>
    </w:rPr>
  </w:style>
  <w:style w:type="table" w:styleId="PlainTable1">
    <w:name w:val="Plain Table 1"/>
    <w:basedOn w:val="TableNormal"/>
    <w:uiPriority w:val="41"/>
    <w:rsid w:val="00902E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02E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02E5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OCEBulletedList">
    <w:name w:val="OCE Bulleted List"/>
    <w:uiPriority w:val="99"/>
    <w:rsid w:val="00E61903"/>
    <w:pPr>
      <w:numPr>
        <w:numId w:val="49"/>
      </w:numPr>
    </w:pPr>
  </w:style>
  <w:style w:type="paragraph" w:styleId="ListBullet">
    <w:name w:val="List Bullet"/>
    <w:basedOn w:val="BodyText"/>
    <w:uiPriority w:val="4"/>
    <w:qFormat/>
    <w:rsid w:val="00E61903"/>
    <w:pPr>
      <w:numPr>
        <w:numId w:val="49"/>
      </w:numPr>
      <w:tabs>
        <w:tab w:val="num" w:pos="520"/>
      </w:tabs>
      <w:spacing w:after="40" w:line="270" w:lineRule="exact"/>
      <w:ind w:left="520" w:hanging="520"/>
      <w:jc w:val="both"/>
    </w:pPr>
    <w:rPr>
      <w:rFonts w:asciiTheme="minorHAnsi" w:hAnsiTheme="minorHAnsi" w:cstheme="minorBidi"/>
      <w:color w:val="373737"/>
      <w:sz w:val="20"/>
    </w:rPr>
  </w:style>
  <w:style w:type="paragraph" w:styleId="ListBullet2">
    <w:name w:val="List Bullet 2"/>
    <w:basedOn w:val="ListBullet"/>
    <w:uiPriority w:val="4"/>
    <w:qFormat/>
    <w:rsid w:val="00E61903"/>
    <w:pPr>
      <w:numPr>
        <w:ilvl w:val="1"/>
      </w:numPr>
      <w:tabs>
        <w:tab w:val="num" w:pos="1040"/>
      </w:tabs>
      <w:ind w:left="1040" w:hanging="520"/>
    </w:pPr>
  </w:style>
  <w:style w:type="paragraph" w:styleId="ListBullet4">
    <w:name w:val="List Bullet 4"/>
    <w:basedOn w:val="ListBullet3"/>
    <w:rsid w:val="00E61903"/>
    <w:pPr>
      <w:numPr>
        <w:ilvl w:val="3"/>
      </w:numPr>
      <w:ind w:left="1440" w:hanging="360"/>
    </w:pPr>
  </w:style>
  <w:style w:type="paragraph" w:styleId="ListBullet3">
    <w:name w:val="List Bullet 3"/>
    <w:basedOn w:val="ListBullet2"/>
    <w:uiPriority w:val="4"/>
    <w:qFormat/>
    <w:rsid w:val="00E61903"/>
    <w:pPr>
      <w:numPr>
        <w:ilvl w:val="2"/>
      </w:numPr>
      <w:tabs>
        <w:tab w:val="num" w:pos="1560"/>
      </w:tabs>
      <w:ind w:left="1560" w:hanging="520"/>
    </w:pPr>
  </w:style>
  <w:style w:type="paragraph" w:customStyle="1" w:styleId="Keypointsbullet">
    <w:name w:val="Key points bullet"/>
    <w:basedOn w:val="BodyText"/>
    <w:qFormat/>
    <w:rsid w:val="00E61903"/>
    <w:pPr>
      <w:numPr>
        <w:numId w:val="50"/>
      </w:numPr>
      <w:tabs>
        <w:tab w:val="num" w:pos="520"/>
      </w:tabs>
      <w:spacing w:line="270" w:lineRule="exact"/>
      <w:ind w:left="520" w:right="153" w:hanging="520"/>
    </w:pPr>
    <w:rPr>
      <w:rFonts w:asciiTheme="minorHAnsi" w:eastAsia="Times New Roman" w:hAnsiTheme="minorHAnsi" w:cs="Arial"/>
      <w:b/>
      <w:color w:val="373737"/>
      <w:sz w:val="20"/>
      <w:szCs w:val="20"/>
      <w:lang w:val="en"/>
    </w:rPr>
  </w:style>
  <w:style w:type="paragraph" w:styleId="BodyText">
    <w:name w:val="Body Text"/>
    <w:basedOn w:val="Normal"/>
    <w:link w:val="BodyTextChar"/>
    <w:uiPriority w:val="99"/>
    <w:semiHidden/>
    <w:unhideWhenUsed/>
    <w:rsid w:val="00E61903"/>
  </w:style>
  <w:style w:type="character" w:customStyle="1" w:styleId="BodyTextChar">
    <w:name w:val="Body Text Char"/>
    <w:basedOn w:val="DefaultParagraphFont"/>
    <w:link w:val="BodyText"/>
    <w:uiPriority w:val="99"/>
    <w:semiHidden/>
    <w:rsid w:val="00E6190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2535">
      <w:bodyDiv w:val="1"/>
      <w:marLeft w:val="0"/>
      <w:marRight w:val="0"/>
      <w:marTop w:val="0"/>
      <w:marBottom w:val="0"/>
      <w:divBdr>
        <w:top w:val="none" w:sz="0" w:space="0" w:color="auto"/>
        <w:left w:val="none" w:sz="0" w:space="0" w:color="auto"/>
        <w:bottom w:val="none" w:sz="0" w:space="0" w:color="auto"/>
        <w:right w:val="none" w:sz="0" w:space="0" w:color="auto"/>
      </w:divBdr>
      <w:divsChild>
        <w:div w:id="3241352">
          <w:marLeft w:val="0"/>
          <w:marRight w:val="0"/>
          <w:marTop w:val="0"/>
          <w:marBottom w:val="0"/>
          <w:divBdr>
            <w:top w:val="none" w:sz="0" w:space="0" w:color="auto"/>
            <w:left w:val="none" w:sz="0" w:space="0" w:color="auto"/>
            <w:bottom w:val="none" w:sz="0" w:space="0" w:color="auto"/>
            <w:right w:val="none" w:sz="0" w:space="0" w:color="auto"/>
          </w:divBdr>
          <w:divsChild>
            <w:div w:id="680934241">
              <w:marLeft w:val="0"/>
              <w:marRight w:val="0"/>
              <w:marTop w:val="0"/>
              <w:marBottom w:val="0"/>
              <w:divBdr>
                <w:top w:val="none" w:sz="0" w:space="0" w:color="auto"/>
                <w:left w:val="none" w:sz="0" w:space="0" w:color="auto"/>
                <w:bottom w:val="none" w:sz="0" w:space="0" w:color="auto"/>
                <w:right w:val="none" w:sz="0" w:space="0" w:color="auto"/>
              </w:divBdr>
              <w:divsChild>
                <w:div w:id="1424181618">
                  <w:marLeft w:val="0"/>
                  <w:marRight w:val="0"/>
                  <w:marTop w:val="0"/>
                  <w:marBottom w:val="0"/>
                  <w:divBdr>
                    <w:top w:val="none" w:sz="0" w:space="0" w:color="auto"/>
                    <w:left w:val="none" w:sz="0" w:space="0" w:color="auto"/>
                    <w:bottom w:val="none" w:sz="0" w:space="0" w:color="auto"/>
                    <w:right w:val="none" w:sz="0" w:space="0" w:color="auto"/>
                  </w:divBdr>
                  <w:divsChild>
                    <w:div w:id="1955163352">
                      <w:marLeft w:val="0"/>
                      <w:marRight w:val="0"/>
                      <w:marTop w:val="0"/>
                      <w:marBottom w:val="0"/>
                      <w:divBdr>
                        <w:top w:val="none" w:sz="0" w:space="0" w:color="auto"/>
                        <w:left w:val="none" w:sz="0" w:space="0" w:color="auto"/>
                        <w:bottom w:val="none" w:sz="0" w:space="0" w:color="auto"/>
                        <w:right w:val="none" w:sz="0" w:space="0" w:color="auto"/>
                      </w:divBdr>
                      <w:divsChild>
                        <w:div w:id="611328125">
                          <w:marLeft w:val="-225"/>
                          <w:marRight w:val="-225"/>
                          <w:marTop w:val="0"/>
                          <w:marBottom w:val="0"/>
                          <w:divBdr>
                            <w:top w:val="none" w:sz="0" w:space="0" w:color="auto"/>
                            <w:left w:val="none" w:sz="0" w:space="0" w:color="auto"/>
                            <w:bottom w:val="none" w:sz="0" w:space="0" w:color="auto"/>
                            <w:right w:val="none" w:sz="0" w:space="0" w:color="auto"/>
                          </w:divBdr>
                          <w:divsChild>
                            <w:div w:id="689531305">
                              <w:marLeft w:val="0"/>
                              <w:marRight w:val="0"/>
                              <w:marTop w:val="0"/>
                              <w:marBottom w:val="0"/>
                              <w:divBdr>
                                <w:top w:val="none" w:sz="0" w:space="0" w:color="auto"/>
                                <w:left w:val="none" w:sz="0" w:space="0" w:color="auto"/>
                                <w:bottom w:val="none" w:sz="0" w:space="0" w:color="auto"/>
                                <w:right w:val="none" w:sz="0" w:space="0" w:color="auto"/>
                              </w:divBdr>
                              <w:divsChild>
                                <w:div w:id="1330258157">
                                  <w:marLeft w:val="0"/>
                                  <w:marRight w:val="0"/>
                                  <w:marTop w:val="0"/>
                                  <w:marBottom w:val="0"/>
                                  <w:divBdr>
                                    <w:top w:val="none" w:sz="0" w:space="0" w:color="auto"/>
                                    <w:left w:val="none" w:sz="0" w:space="0" w:color="auto"/>
                                    <w:bottom w:val="none" w:sz="0" w:space="0" w:color="auto"/>
                                    <w:right w:val="none" w:sz="0" w:space="0" w:color="auto"/>
                                  </w:divBdr>
                                  <w:divsChild>
                                    <w:div w:id="1229456069">
                                      <w:marLeft w:val="0"/>
                                      <w:marRight w:val="0"/>
                                      <w:marTop w:val="0"/>
                                      <w:marBottom w:val="0"/>
                                      <w:divBdr>
                                        <w:top w:val="none" w:sz="0" w:space="0" w:color="auto"/>
                                        <w:left w:val="none" w:sz="0" w:space="0" w:color="auto"/>
                                        <w:bottom w:val="none" w:sz="0" w:space="0" w:color="auto"/>
                                        <w:right w:val="none" w:sz="0" w:space="0" w:color="auto"/>
                                      </w:divBdr>
                                      <w:divsChild>
                                        <w:div w:id="1212115677">
                                          <w:marLeft w:val="-225"/>
                                          <w:marRight w:val="-225"/>
                                          <w:marTop w:val="0"/>
                                          <w:marBottom w:val="0"/>
                                          <w:divBdr>
                                            <w:top w:val="none" w:sz="0" w:space="0" w:color="auto"/>
                                            <w:left w:val="none" w:sz="0" w:space="0" w:color="auto"/>
                                            <w:bottom w:val="none" w:sz="0" w:space="0" w:color="auto"/>
                                            <w:right w:val="none" w:sz="0" w:space="0" w:color="auto"/>
                                          </w:divBdr>
                                          <w:divsChild>
                                            <w:div w:id="198782974">
                                              <w:marLeft w:val="0"/>
                                              <w:marRight w:val="0"/>
                                              <w:marTop w:val="0"/>
                                              <w:marBottom w:val="0"/>
                                              <w:divBdr>
                                                <w:top w:val="none" w:sz="0" w:space="0" w:color="auto"/>
                                                <w:left w:val="none" w:sz="0" w:space="0" w:color="auto"/>
                                                <w:bottom w:val="none" w:sz="0" w:space="0" w:color="auto"/>
                                                <w:right w:val="none" w:sz="0" w:space="0" w:color="auto"/>
                                              </w:divBdr>
                                              <w:divsChild>
                                                <w:div w:id="17663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04532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05">
          <w:marLeft w:val="0"/>
          <w:marRight w:val="0"/>
          <w:marTop w:val="0"/>
          <w:marBottom w:val="0"/>
          <w:divBdr>
            <w:top w:val="none" w:sz="0" w:space="0" w:color="auto"/>
            <w:left w:val="none" w:sz="0" w:space="0" w:color="auto"/>
            <w:bottom w:val="none" w:sz="0" w:space="0" w:color="auto"/>
            <w:right w:val="none" w:sz="0" w:space="0" w:color="auto"/>
          </w:divBdr>
          <w:divsChild>
            <w:div w:id="599071010">
              <w:marLeft w:val="0"/>
              <w:marRight w:val="0"/>
              <w:marTop w:val="100"/>
              <w:marBottom w:val="100"/>
              <w:divBdr>
                <w:top w:val="none" w:sz="0" w:space="0" w:color="auto"/>
                <w:left w:val="none" w:sz="0" w:space="0" w:color="auto"/>
                <w:bottom w:val="none" w:sz="0" w:space="0" w:color="auto"/>
                <w:right w:val="none" w:sz="0" w:space="0" w:color="auto"/>
              </w:divBdr>
              <w:divsChild>
                <w:div w:id="1196385061">
                  <w:marLeft w:val="0"/>
                  <w:marRight w:val="0"/>
                  <w:marTop w:val="0"/>
                  <w:marBottom w:val="0"/>
                  <w:divBdr>
                    <w:top w:val="none" w:sz="0" w:space="0" w:color="auto"/>
                    <w:left w:val="none" w:sz="0" w:space="0" w:color="auto"/>
                    <w:bottom w:val="none" w:sz="0" w:space="0" w:color="auto"/>
                    <w:right w:val="none" w:sz="0" w:space="0" w:color="auto"/>
                  </w:divBdr>
                  <w:divsChild>
                    <w:div w:id="160436811">
                      <w:marLeft w:val="0"/>
                      <w:marRight w:val="0"/>
                      <w:marTop w:val="0"/>
                      <w:marBottom w:val="450"/>
                      <w:divBdr>
                        <w:top w:val="none" w:sz="0" w:space="0" w:color="auto"/>
                        <w:left w:val="none" w:sz="0" w:space="0" w:color="auto"/>
                        <w:bottom w:val="none" w:sz="0" w:space="0" w:color="auto"/>
                        <w:right w:val="none" w:sz="0" w:space="0" w:color="auto"/>
                      </w:divBdr>
                      <w:divsChild>
                        <w:div w:id="1482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355250">
      <w:bodyDiv w:val="1"/>
      <w:marLeft w:val="0"/>
      <w:marRight w:val="0"/>
      <w:marTop w:val="0"/>
      <w:marBottom w:val="0"/>
      <w:divBdr>
        <w:top w:val="none" w:sz="0" w:space="0" w:color="auto"/>
        <w:left w:val="none" w:sz="0" w:space="0" w:color="auto"/>
        <w:bottom w:val="none" w:sz="0" w:space="0" w:color="auto"/>
        <w:right w:val="none" w:sz="0" w:space="0" w:color="auto"/>
      </w:divBdr>
      <w:divsChild>
        <w:div w:id="146288277">
          <w:marLeft w:val="0"/>
          <w:marRight w:val="0"/>
          <w:marTop w:val="0"/>
          <w:marBottom w:val="0"/>
          <w:divBdr>
            <w:top w:val="none" w:sz="0" w:space="0" w:color="auto"/>
            <w:left w:val="none" w:sz="0" w:space="0" w:color="auto"/>
            <w:bottom w:val="none" w:sz="0" w:space="0" w:color="auto"/>
            <w:right w:val="none" w:sz="0" w:space="0" w:color="auto"/>
          </w:divBdr>
          <w:divsChild>
            <w:div w:id="1253928344">
              <w:marLeft w:val="0"/>
              <w:marRight w:val="0"/>
              <w:marTop w:val="0"/>
              <w:marBottom w:val="0"/>
              <w:divBdr>
                <w:top w:val="none" w:sz="0" w:space="0" w:color="auto"/>
                <w:left w:val="none" w:sz="0" w:space="0" w:color="auto"/>
                <w:bottom w:val="none" w:sz="0" w:space="0" w:color="auto"/>
                <w:right w:val="none" w:sz="0" w:space="0" w:color="auto"/>
              </w:divBdr>
              <w:divsChild>
                <w:div w:id="2056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77981">
      <w:bodyDiv w:val="1"/>
      <w:marLeft w:val="0"/>
      <w:marRight w:val="0"/>
      <w:marTop w:val="0"/>
      <w:marBottom w:val="0"/>
      <w:divBdr>
        <w:top w:val="none" w:sz="0" w:space="0" w:color="auto"/>
        <w:left w:val="none" w:sz="0" w:space="0" w:color="auto"/>
        <w:bottom w:val="none" w:sz="0" w:space="0" w:color="auto"/>
        <w:right w:val="none" w:sz="0" w:space="0" w:color="auto"/>
      </w:divBdr>
    </w:div>
    <w:div w:id="805128343">
      <w:bodyDiv w:val="1"/>
      <w:marLeft w:val="0"/>
      <w:marRight w:val="0"/>
      <w:marTop w:val="0"/>
      <w:marBottom w:val="0"/>
      <w:divBdr>
        <w:top w:val="none" w:sz="0" w:space="0" w:color="auto"/>
        <w:left w:val="none" w:sz="0" w:space="0" w:color="auto"/>
        <w:bottom w:val="none" w:sz="0" w:space="0" w:color="auto"/>
        <w:right w:val="none" w:sz="0" w:space="0" w:color="auto"/>
      </w:divBdr>
    </w:div>
    <w:div w:id="821041008">
      <w:bodyDiv w:val="1"/>
      <w:marLeft w:val="0"/>
      <w:marRight w:val="0"/>
      <w:marTop w:val="0"/>
      <w:marBottom w:val="0"/>
      <w:divBdr>
        <w:top w:val="none" w:sz="0" w:space="0" w:color="auto"/>
        <w:left w:val="none" w:sz="0" w:space="0" w:color="auto"/>
        <w:bottom w:val="none" w:sz="0" w:space="0" w:color="auto"/>
        <w:right w:val="none" w:sz="0" w:space="0" w:color="auto"/>
      </w:divBdr>
      <w:divsChild>
        <w:div w:id="210918431">
          <w:marLeft w:val="0"/>
          <w:marRight w:val="0"/>
          <w:marTop w:val="0"/>
          <w:marBottom w:val="0"/>
          <w:divBdr>
            <w:top w:val="none" w:sz="0" w:space="0" w:color="auto"/>
            <w:left w:val="none" w:sz="0" w:space="0" w:color="auto"/>
            <w:bottom w:val="none" w:sz="0" w:space="0" w:color="auto"/>
            <w:right w:val="none" w:sz="0" w:space="0" w:color="auto"/>
          </w:divBdr>
          <w:divsChild>
            <w:div w:id="1278830790">
              <w:marLeft w:val="-450"/>
              <w:marRight w:val="0"/>
              <w:marTop w:val="0"/>
              <w:marBottom w:val="0"/>
              <w:divBdr>
                <w:top w:val="none" w:sz="0" w:space="0" w:color="auto"/>
                <w:left w:val="none" w:sz="0" w:space="0" w:color="auto"/>
                <w:bottom w:val="none" w:sz="0" w:space="0" w:color="auto"/>
                <w:right w:val="none" w:sz="0" w:space="0" w:color="auto"/>
              </w:divBdr>
              <w:divsChild>
                <w:div w:id="1188063148">
                  <w:marLeft w:val="0"/>
                  <w:marRight w:val="0"/>
                  <w:marTop w:val="0"/>
                  <w:marBottom w:val="0"/>
                  <w:divBdr>
                    <w:top w:val="none" w:sz="0" w:space="0" w:color="auto"/>
                    <w:left w:val="none" w:sz="0" w:space="0" w:color="auto"/>
                    <w:bottom w:val="none" w:sz="0" w:space="0" w:color="auto"/>
                    <w:right w:val="none" w:sz="0" w:space="0" w:color="auto"/>
                  </w:divBdr>
                  <w:divsChild>
                    <w:div w:id="1153449146">
                      <w:marLeft w:val="0"/>
                      <w:marRight w:val="0"/>
                      <w:marTop w:val="0"/>
                      <w:marBottom w:val="0"/>
                      <w:divBdr>
                        <w:top w:val="none" w:sz="0" w:space="0" w:color="auto"/>
                        <w:left w:val="none" w:sz="0" w:space="0" w:color="auto"/>
                        <w:bottom w:val="none" w:sz="0" w:space="0" w:color="auto"/>
                        <w:right w:val="none" w:sz="0" w:space="0" w:color="auto"/>
                      </w:divBdr>
                      <w:divsChild>
                        <w:div w:id="1905986502">
                          <w:marLeft w:val="0"/>
                          <w:marRight w:val="0"/>
                          <w:marTop w:val="0"/>
                          <w:marBottom w:val="0"/>
                          <w:divBdr>
                            <w:top w:val="none" w:sz="0" w:space="0" w:color="auto"/>
                            <w:left w:val="none" w:sz="0" w:space="0" w:color="auto"/>
                            <w:bottom w:val="none" w:sz="0" w:space="0" w:color="auto"/>
                            <w:right w:val="none" w:sz="0" w:space="0" w:color="auto"/>
                          </w:divBdr>
                          <w:divsChild>
                            <w:div w:id="184901261">
                              <w:marLeft w:val="0"/>
                              <w:marRight w:val="0"/>
                              <w:marTop w:val="0"/>
                              <w:marBottom w:val="0"/>
                              <w:divBdr>
                                <w:top w:val="none" w:sz="0" w:space="0" w:color="auto"/>
                                <w:left w:val="none" w:sz="0" w:space="0" w:color="auto"/>
                                <w:bottom w:val="none" w:sz="0" w:space="0" w:color="auto"/>
                                <w:right w:val="none" w:sz="0" w:space="0" w:color="auto"/>
                              </w:divBdr>
                              <w:divsChild>
                                <w:div w:id="1376733293">
                                  <w:marLeft w:val="0"/>
                                  <w:marRight w:val="0"/>
                                  <w:marTop w:val="0"/>
                                  <w:marBottom w:val="0"/>
                                  <w:divBdr>
                                    <w:top w:val="none" w:sz="0" w:space="0" w:color="auto"/>
                                    <w:left w:val="none" w:sz="0" w:space="0" w:color="auto"/>
                                    <w:bottom w:val="none" w:sz="0" w:space="0" w:color="auto"/>
                                    <w:right w:val="none" w:sz="0" w:space="0" w:color="auto"/>
                                  </w:divBdr>
                                  <w:divsChild>
                                    <w:div w:id="328027934">
                                      <w:marLeft w:val="0"/>
                                      <w:marRight w:val="0"/>
                                      <w:marTop w:val="0"/>
                                      <w:marBottom w:val="0"/>
                                      <w:divBdr>
                                        <w:top w:val="none" w:sz="0" w:space="0" w:color="auto"/>
                                        <w:left w:val="none" w:sz="0" w:space="0" w:color="auto"/>
                                        <w:bottom w:val="none" w:sz="0" w:space="0" w:color="auto"/>
                                        <w:right w:val="none" w:sz="0" w:space="0" w:color="auto"/>
                                      </w:divBdr>
                                      <w:divsChild>
                                        <w:div w:id="653677691">
                                          <w:marLeft w:val="0"/>
                                          <w:marRight w:val="0"/>
                                          <w:marTop w:val="0"/>
                                          <w:marBottom w:val="0"/>
                                          <w:divBdr>
                                            <w:top w:val="none" w:sz="0" w:space="0" w:color="auto"/>
                                            <w:left w:val="none" w:sz="0" w:space="0" w:color="auto"/>
                                            <w:bottom w:val="none" w:sz="0" w:space="0" w:color="auto"/>
                                            <w:right w:val="none" w:sz="0" w:space="0" w:color="auto"/>
                                          </w:divBdr>
                                          <w:divsChild>
                                            <w:div w:id="99229506">
                                              <w:marLeft w:val="0"/>
                                              <w:marRight w:val="0"/>
                                              <w:marTop w:val="0"/>
                                              <w:marBottom w:val="0"/>
                                              <w:divBdr>
                                                <w:top w:val="none" w:sz="0" w:space="0" w:color="auto"/>
                                                <w:left w:val="none" w:sz="0" w:space="0" w:color="auto"/>
                                                <w:bottom w:val="none" w:sz="0" w:space="0" w:color="auto"/>
                                                <w:right w:val="none" w:sz="0" w:space="0" w:color="auto"/>
                                              </w:divBdr>
                                              <w:divsChild>
                                                <w:div w:id="2070877933">
                                                  <w:marLeft w:val="0"/>
                                                  <w:marRight w:val="0"/>
                                                  <w:marTop w:val="0"/>
                                                  <w:marBottom w:val="0"/>
                                                  <w:divBdr>
                                                    <w:top w:val="none" w:sz="0" w:space="0" w:color="auto"/>
                                                    <w:left w:val="none" w:sz="0" w:space="0" w:color="auto"/>
                                                    <w:bottom w:val="none" w:sz="0" w:space="0" w:color="auto"/>
                                                    <w:right w:val="none" w:sz="0" w:space="0" w:color="auto"/>
                                                  </w:divBdr>
                                                  <w:divsChild>
                                                    <w:div w:id="1474256329">
                                                      <w:marLeft w:val="0"/>
                                                      <w:marRight w:val="0"/>
                                                      <w:marTop w:val="0"/>
                                                      <w:marBottom w:val="0"/>
                                                      <w:divBdr>
                                                        <w:top w:val="none" w:sz="0" w:space="0" w:color="auto"/>
                                                        <w:left w:val="none" w:sz="0" w:space="0" w:color="auto"/>
                                                        <w:bottom w:val="none" w:sz="0" w:space="0" w:color="auto"/>
                                                        <w:right w:val="none" w:sz="0" w:space="0" w:color="auto"/>
                                                      </w:divBdr>
                                                      <w:divsChild>
                                                        <w:div w:id="1313292808">
                                                          <w:marLeft w:val="0"/>
                                                          <w:marRight w:val="0"/>
                                                          <w:marTop w:val="0"/>
                                                          <w:marBottom w:val="0"/>
                                                          <w:divBdr>
                                                            <w:top w:val="none" w:sz="0" w:space="0" w:color="auto"/>
                                                            <w:left w:val="none" w:sz="0" w:space="0" w:color="auto"/>
                                                            <w:bottom w:val="none" w:sz="0" w:space="0" w:color="auto"/>
                                                            <w:right w:val="none" w:sz="0" w:space="0" w:color="auto"/>
                                                          </w:divBdr>
                                                          <w:divsChild>
                                                            <w:div w:id="1253733723">
                                                              <w:marLeft w:val="0"/>
                                                              <w:marRight w:val="0"/>
                                                              <w:marTop w:val="0"/>
                                                              <w:marBottom w:val="0"/>
                                                              <w:divBdr>
                                                                <w:top w:val="single" w:sz="12" w:space="0" w:color="006699"/>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4794353">
      <w:bodyDiv w:val="1"/>
      <w:marLeft w:val="0"/>
      <w:marRight w:val="0"/>
      <w:marTop w:val="0"/>
      <w:marBottom w:val="0"/>
      <w:divBdr>
        <w:top w:val="none" w:sz="0" w:space="0" w:color="auto"/>
        <w:left w:val="none" w:sz="0" w:space="0" w:color="auto"/>
        <w:bottom w:val="none" w:sz="0" w:space="0" w:color="auto"/>
        <w:right w:val="none" w:sz="0" w:space="0" w:color="auto"/>
      </w:divBdr>
      <w:divsChild>
        <w:div w:id="975374619">
          <w:marLeft w:val="0"/>
          <w:marRight w:val="0"/>
          <w:marTop w:val="0"/>
          <w:marBottom w:val="0"/>
          <w:divBdr>
            <w:top w:val="none" w:sz="0" w:space="0" w:color="auto"/>
            <w:left w:val="none" w:sz="0" w:space="0" w:color="auto"/>
            <w:bottom w:val="none" w:sz="0" w:space="0" w:color="auto"/>
            <w:right w:val="none" w:sz="0" w:space="0" w:color="auto"/>
          </w:divBdr>
          <w:divsChild>
            <w:div w:id="2136635088">
              <w:marLeft w:val="0"/>
              <w:marRight w:val="0"/>
              <w:marTop w:val="100"/>
              <w:marBottom w:val="100"/>
              <w:divBdr>
                <w:top w:val="none" w:sz="0" w:space="0" w:color="auto"/>
                <w:left w:val="none" w:sz="0" w:space="0" w:color="auto"/>
                <w:bottom w:val="none" w:sz="0" w:space="0" w:color="auto"/>
                <w:right w:val="none" w:sz="0" w:space="0" w:color="auto"/>
              </w:divBdr>
              <w:divsChild>
                <w:div w:id="1644891420">
                  <w:marLeft w:val="0"/>
                  <w:marRight w:val="0"/>
                  <w:marTop w:val="0"/>
                  <w:marBottom w:val="0"/>
                  <w:divBdr>
                    <w:top w:val="none" w:sz="0" w:space="0" w:color="auto"/>
                    <w:left w:val="none" w:sz="0" w:space="0" w:color="auto"/>
                    <w:bottom w:val="none" w:sz="0" w:space="0" w:color="auto"/>
                    <w:right w:val="none" w:sz="0" w:space="0" w:color="auto"/>
                  </w:divBdr>
                  <w:divsChild>
                    <w:div w:id="2065132794">
                      <w:marLeft w:val="0"/>
                      <w:marRight w:val="0"/>
                      <w:marTop w:val="0"/>
                      <w:marBottom w:val="450"/>
                      <w:divBdr>
                        <w:top w:val="none" w:sz="0" w:space="0" w:color="auto"/>
                        <w:left w:val="none" w:sz="0" w:space="0" w:color="auto"/>
                        <w:bottom w:val="none" w:sz="0" w:space="0" w:color="auto"/>
                        <w:right w:val="none" w:sz="0" w:space="0" w:color="auto"/>
                      </w:divBdr>
                      <w:divsChild>
                        <w:div w:id="20474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57637">
      <w:bodyDiv w:val="1"/>
      <w:marLeft w:val="0"/>
      <w:marRight w:val="0"/>
      <w:marTop w:val="0"/>
      <w:marBottom w:val="0"/>
      <w:divBdr>
        <w:top w:val="none" w:sz="0" w:space="0" w:color="auto"/>
        <w:left w:val="none" w:sz="0" w:space="0" w:color="auto"/>
        <w:bottom w:val="none" w:sz="0" w:space="0" w:color="auto"/>
        <w:right w:val="none" w:sz="0" w:space="0" w:color="auto"/>
      </w:divBdr>
    </w:div>
    <w:div w:id="1687362195">
      <w:bodyDiv w:val="1"/>
      <w:marLeft w:val="0"/>
      <w:marRight w:val="0"/>
      <w:marTop w:val="0"/>
      <w:marBottom w:val="0"/>
      <w:divBdr>
        <w:top w:val="none" w:sz="0" w:space="0" w:color="auto"/>
        <w:left w:val="none" w:sz="0" w:space="0" w:color="auto"/>
        <w:bottom w:val="none" w:sz="0" w:space="0" w:color="auto"/>
        <w:right w:val="none" w:sz="0" w:space="0" w:color="auto"/>
      </w:divBdr>
    </w:div>
    <w:div w:id="1871602542">
      <w:bodyDiv w:val="1"/>
      <w:marLeft w:val="0"/>
      <w:marRight w:val="0"/>
      <w:marTop w:val="0"/>
      <w:marBottom w:val="0"/>
      <w:divBdr>
        <w:top w:val="none" w:sz="0" w:space="0" w:color="auto"/>
        <w:left w:val="none" w:sz="0" w:space="0" w:color="auto"/>
        <w:bottom w:val="none" w:sz="0" w:space="0" w:color="auto"/>
        <w:right w:val="none" w:sz="0" w:space="0" w:color="auto"/>
      </w:divBdr>
      <w:divsChild>
        <w:div w:id="759369985">
          <w:marLeft w:val="0"/>
          <w:marRight w:val="0"/>
          <w:marTop w:val="0"/>
          <w:marBottom w:val="0"/>
          <w:divBdr>
            <w:top w:val="none" w:sz="0" w:space="0" w:color="auto"/>
            <w:left w:val="none" w:sz="0" w:space="0" w:color="auto"/>
            <w:bottom w:val="none" w:sz="0" w:space="0" w:color="auto"/>
            <w:right w:val="none" w:sz="0" w:space="0" w:color="auto"/>
          </w:divBdr>
          <w:divsChild>
            <w:div w:id="1227914180">
              <w:marLeft w:val="0"/>
              <w:marRight w:val="0"/>
              <w:marTop w:val="0"/>
              <w:marBottom w:val="0"/>
              <w:divBdr>
                <w:top w:val="none" w:sz="0" w:space="0" w:color="auto"/>
                <w:left w:val="none" w:sz="0" w:space="0" w:color="auto"/>
                <w:bottom w:val="none" w:sz="0" w:space="0" w:color="auto"/>
                <w:right w:val="none" w:sz="0" w:space="0" w:color="auto"/>
              </w:divBdr>
              <w:divsChild>
                <w:div w:id="1725375339">
                  <w:marLeft w:val="0"/>
                  <w:marRight w:val="0"/>
                  <w:marTop w:val="0"/>
                  <w:marBottom w:val="600"/>
                  <w:divBdr>
                    <w:top w:val="none" w:sz="0" w:space="0" w:color="auto"/>
                    <w:left w:val="none" w:sz="0" w:space="0" w:color="auto"/>
                    <w:bottom w:val="none" w:sz="0" w:space="0" w:color="auto"/>
                    <w:right w:val="none" w:sz="0" w:space="0" w:color="auto"/>
                  </w:divBdr>
                  <w:divsChild>
                    <w:div w:id="215701579">
                      <w:marLeft w:val="0"/>
                      <w:marRight w:val="0"/>
                      <w:marTop w:val="0"/>
                      <w:marBottom w:val="0"/>
                      <w:divBdr>
                        <w:top w:val="none" w:sz="0" w:space="0" w:color="auto"/>
                        <w:left w:val="none" w:sz="0" w:space="0" w:color="auto"/>
                        <w:bottom w:val="none" w:sz="0" w:space="0" w:color="auto"/>
                        <w:right w:val="none" w:sz="0" w:space="0" w:color="auto"/>
                      </w:divBdr>
                      <w:divsChild>
                        <w:div w:id="7953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244392">
      <w:bodyDiv w:val="1"/>
      <w:marLeft w:val="0"/>
      <w:marRight w:val="0"/>
      <w:marTop w:val="0"/>
      <w:marBottom w:val="0"/>
      <w:divBdr>
        <w:top w:val="none" w:sz="0" w:space="0" w:color="auto"/>
        <w:left w:val="none" w:sz="0" w:space="0" w:color="auto"/>
        <w:bottom w:val="none" w:sz="0" w:space="0" w:color="auto"/>
        <w:right w:val="none" w:sz="0" w:space="0" w:color="auto"/>
      </w:divBdr>
    </w:div>
    <w:div w:id="1934122153">
      <w:bodyDiv w:val="1"/>
      <w:marLeft w:val="0"/>
      <w:marRight w:val="0"/>
      <w:marTop w:val="0"/>
      <w:marBottom w:val="0"/>
      <w:divBdr>
        <w:top w:val="none" w:sz="0" w:space="0" w:color="auto"/>
        <w:left w:val="none" w:sz="0" w:space="0" w:color="auto"/>
        <w:bottom w:val="none" w:sz="0" w:space="0" w:color="auto"/>
        <w:right w:val="none" w:sz="0" w:space="0" w:color="auto"/>
      </w:divBdr>
      <w:divsChild>
        <w:div w:id="1261261759">
          <w:marLeft w:val="0"/>
          <w:marRight w:val="0"/>
          <w:marTop w:val="0"/>
          <w:marBottom w:val="0"/>
          <w:divBdr>
            <w:top w:val="none" w:sz="0" w:space="0" w:color="auto"/>
            <w:left w:val="none" w:sz="0" w:space="0" w:color="auto"/>
            <w:bottom w:val="none" w:sz="0" w:space="0" w:color="auto"/>
            <w:right w:val="none" w:sz="0" w:space="0" w:color="auto"/>
          </w:divBdr>
          <w:divsChild>
            <w:div w:id="2087221278">
              <w:marLeft w:val="0"/>
              <w:marRight w:val="0"/>
              <w:marTop w:val="0"/>
              <w:marBottom w:val="0"/>
              <w:divBdr>
                <w:top w:val="none" w:sz="0" w:space="0" w:color="auto"/>
                <w:left w:val="none" w:sz="0" w:space="0" w:color="auto"/>
                <w:bottom w:val="none" w:sz="0" w:space="0" w:color="auto"/>
                <w:right w:val="none" w:sz="0" w:space="0" w:color="auto"/>
              </w:divBdr>
              <w:divsChild>
                <w:div w:id="375205754">
                  <w:marLeft w:val="0"/>
                  <w:marRight w:val="0"/>
                  <w:marTop w:val="0"/>
                  <w:marBottom w:val="0"/>
                  <w:divBdr>
                    <w:top w:val="none" w:sz="0" w:space="0" w:color="auto"/>
                    <w:left w:val="none" w:sz="0" w:space="0" w:color="auto"/>
                    <w:bottom w:val="none" w:sz="0" w:space="0" w:color="auto"/>
                    <w:right w:val="none" w:sz="0" w:space="0" w:color="auto"/>
                  </w:divBdr>
                  <w:divsChild>
                    <w:div w:id="289212514">
                      <w:marLeft w:val="0"/>
                      <w:marRight w:val="0"/>
                      <w:marTop w:val="0"/>
                      <w:marBottom w:val="0"/>
                      <w:divBdr>
                        <w:top w:val="none" w:sz="0" w:space="0" w:color="auto"/>
                        <w:left w:val="none" w:sz="0" w:space="0" w:color="auto"/>
                        <w:bottom w:val="none" w:sz="0" w:space="0" w:color="auto"/>
                        <w:right w:val="none" w:sz="0" w:space="0" w:color="auto"/>
                      </w:divBdr>
                      <w:divsChild>
                        <w:div w:id="1639414396">
                          <w:marLeft w:val="0"/>
                          <w:marRight w:val="0"/>
                          <w:marTop w:val="0"/>
                          <w:marBottom w:val="0"/>
                          <w:divBdr>
                            <w:top w:val="none" w:sz="0" w:space="0" w:color="auto"/>
                            <w:left w:val="none" w:sz="0" w:space="0" w:color="auto"/>
                            <w:bottom w:val="none" w:sz="0" w:space="0" w:color="auto"/>
                            <w:right w:val="none" w:sz="0" w:space="0" w:color="auto"/>
                          </w:divBdr>
                          <w:divsChild>
                            <w:div w:id="799570748">
                              <w:marLeft w:val="0"/>
                              <w:marRight w:val="0"/>
                              <w:marTop w:val="0"/>
                              <w:marBottom w:val="0"/>
                              <w:divBdr>
                                <w:top w:val="none" w:sz="0" w:space="0" w:color="auto"/>
                                <w:left w:val="none" w:sz="0" w:space="0" w:color="auto"/>
                                <w:bottom w:val="none" w:sz="0" w:space="0" w:color="auto"/>
                                <w:right w:val="none" w:sz="0" w:space="0" w:color="auto"/>
                              </w:divBdr>
                              <w:divsChild>
                                <w:div w:id="20329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531390">
      <w:bodyDiv w:val="1"/>
      <w:marLeft w:val="0"/>
      <w:marRight w:val="0"/>
      <w:marTop w:val="0"/>
      <w:marBottom w:val="0"/>
      <w:divBdr>
        <w:top w:val="none" w:sz="0" w:space="0" w:color="auto"/>
        <w:left w:val="none" w:sz="0" w:space="0" w:color="auto"/>
        <w:bottom w:val="none" w:sz="0" w:space="0" w:color="auto"/>
        <w:right w:val="none" w:sz="0" w:space="0" w:color="auto"/>
      </w:divBdr>
      <w:divsChild>
        <w:div w:id="1389302094">
          <w:marLeft w:val="0"/>
          <w:marRight w:val="0"/>
          <w:marTop w:val="0"/>
          <w:marBottom w:val="0"/>
          <w:divBdr>
            <w:top w:val="none" w:sz="0" w:space="0" w:color="auto"/>
            <w:left w:val="none" w:sz="0" w:space="0" w:color="auto"/>
            <w:bottom w:val="none" w:sz="0" w:space="0" w:color="auto"/>
            <w:right w:val="none" w:sz="0" w:space="0" w:color="auto"/>
          </w:divBdr>
          <w:divsChild>
            <w:div w:id="825442054">
              <w:marLeft w:val="0"/>
              <w:marRight w:val="0"/>
              <w:marTop w:val="0"/>
              <w:marBottom w:val="0"/>
              <w:divBdr>
                <w:top w:val="none" w:sz="0" w:space="0" w:color="auto"/>
                <w:left w:val="none" w:sz="0" w:space="0" w:color="auto"/>
                <w:bottom w:val="none" w:sz="0" w:space="0" w:color="auto"/>
                <w:right w:val="none" w:sz="0" w:space="0" w:color="auto"/>
              </w:divBdr>
              <w:divsChild>
                <w:div w:id="1987322880">
                  <w:marLeft w:val="0"/>
                  <w:marRight w:val="0"/>
                  <w:marTop w:val="0"/>
                  <w:marBottom w:val="0"/>
                  <w:divBdr>
                    <w:top w:val="none" w:sz="0" w:space="0" w:color="auto"/>
                    <w:left w:val="none" w:sz="0" w:space="0" w:color="auto"/>
                    <w:bottom w:val="none" w:sz="0" w:space="0" w:color="auto"/>
                    <w:right w:val="none" w:sz="0" w:space="0" w:color="auto"/>
                  </w:divBdr>
                  <w:divsChild>
                    <w:div w:id="544218511">
                      <w:marLeft w:val="0"/>
                      <w:marRight w:val="0"/>
                      <w:marTop w:val="0"/>
                      <w:marBottom w:val="0"/>
                      <w:divBdr>
                        <w:top w:val="none" w:sz="0" w:space="0" w:color="auto"/>
                        <w:left w:val="none" w:sz="0" w:space="0" w:color="auto"/>
                        <w:bottom w:val="none" w:sz="0" w:space="0" w:color="auto"/>
                        <w:right w:val="none" w:sz="0" w:space="0" w:color="auto"/>
                      </w:divBdr>
                      <w:divsChild>
                        <w:div w:id="644360539">
                          <w:marLeft w:val="0"/>
                          <w:marRight w:val="0"/>
                          <w:marTop w:val="0"/>
                          <w:marBottom w:val="0"/>
                          <w:divBdr>
                            <w:top w:val="none" w:sz="0" w:space="0" w:color="auto"/>
                            <w:left w:val="none" w:sz="0" w:space="0" w:color="auto"/>
                            <w:bottom w:val="none" w:sz="0" w:space="0" w:color="auto"/>
                            <w:right w:val="none" w:sz="0" w:space="0" w:color="auto"/>
                          </w:divBdr>
                          <w:divsChild>
                            <w:div w:id="7920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hart" Target="charts/chart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ublications.industry.gov.au/publications/resourcesandenergyquarterlyjune2019/documents/Resources-and-Energy-Quarterly-June-2019.pdf" TargetMode="External"/><Relationship Id="rId2" Type="http://schemas.openxmlformats.org/officeDocument/2006/relationships/hyperlink" Target="https://publications.industry.gov.au/publications/resourcesandenergyquarterlyjune2019/documents/Resources-and-Energy-Quarterly-September-2019.pdf" TargetMode="External"/><Relationship Id="rId1" Type="http://schemas.openxmlformats.org/officeDocument/2006/relationships/hyperlink" Target="https://publications.industry.gov.au/publications/resourcesandenergyquarterlyjune2019/documents/Resources-and-Energy-Quarterly-June-201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dochub/div/economicanalyticalservices/businessfunctions/publicationsmgmt/resourcesenergyqtrly/docs/Gas%20workbook%20REQ%20September%20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ochub/div/economicanalyticalservices/businessfunctions/publicationsmgmt/resourcesenergyqtrly/docs/Gas%20workbook%20REQ%20September%20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61292614718784"/>
          <c:y val="4.7464924677412444E-2"/>
          <c:w val="0.77294209317585305"/>
          <c:h val="0.76170663133127781"/>
        </c:manualLayout>
      </c:layout>
      <c:barChart>
        <c:barDir val="col"/>
        <c:grouping val="clustered"/>
        <c:varyColors val="0"/>
        <c:ser>
          <c:idx val="0"/>
          <c:order val="0"/>
          <c:tx>
            <c:strRef>
              <c:f>'Aus exports'!$A$27</c:f>
              <c:strCache>
                <c:ptCount val="1"/>
                <c:pt idx="0">
                  <c:v>Volume</c:v>
                </c:pt>
              </c:strCache>
            </c:strRef>
          </c:tx>
          <c:spPr>
            <a:solidFill>
              <a:srgbClr val="005CAF"/>
            </a:solidFill>
            <a:ln>
              <a:solidFill>
                <a:srgbClr val="005CAF"/>
              </a:solidFill>
              <a:prstDash val="solid"/>
            </a:ln>
            <a:effectLst/>
          </c:spPr>
          <c:invertIfNegative val="0"/>
          <c:cat>
            <c:strRef>
              <c:f>'Aus exports'!$G$2:$Q$2</c:f>
              <c:strCache>
                <c:ptCount val="11"/>
                <c:pt idx="0">
                  <c:v>2008–09</c:v>
                </c:pt>
                <c:pt idx="1">
                  <c:v>2009–10</c:v>
                </c:pt>
                <c:pt idx="2">
                  <c:v>2010–11</c:v>
                </c:pt>
                <c:pt idx="3">
                  <c:v>2011–12</c:v>
                </c:pt>
                <c:pt idx="4">
                  <c:v>2012–13</c:v>
                </c:pt>
                <c:pt idx="5">
                  <c:v>2013–14</c:v>
                </c:pt>
                <c:pt idx="6">
                  <c:v>2014–15</c:v>
                </c:pt>
                <c:pt idx="7">
                  <c:v>2015–16</c:v>
                </c:pt>
                <c:pt idx="8">
                  <c:v>2016–17</c:v>
                </c:pt>
                <c:pt idx="9">
                  <c:v>2017–18</c:v>
                </c:pt>
                <c:pt idx="10">
                  <c:v>2018–19</c:v>
                </c:pt>
              </c:strCache>
            </c:strRef>
          </c:cat>
          <c:val>
            <c:numRef>
              <c:f>'Aus exports'!$G$27:$Q$27</c:f>
              <c:numCache>
                <c:formatCode>0</c:formatCode>
                <c:ptCount val="11"/>
                <c:pt idx="0">
                  <c:v>15.409873754386</c:v>
                </c:pt>
                <c:pt idx="1">
                  <c:v>17.865959</c:v>
                </c:pt>
                <c:pt idx="2">
                  <c:v>19.956931000000001</c:v>
                </c:pt>
                <c:pt idx="3">
                  <c:v>18.866</c:v>
                </c:pt>
                <c:pt idx="4">
                  <c:v>23.503</c:v>
                </c:pt>
                <c:pt idx="5">
                  <c:v>23.245999999999999</c:v>
                </c:pt>
                <c:pt idx="6">
                  <c:v>25.0474</c:v>
                </c:pt>
                <c:pt idx="7">
                  <c:v>36.851871770000002</c:v>
                </c:pt>
                <c:pt idx="8">
                  <c:v>52.121597719999997</c:v>
                </c:pt>
                <c:pt idx="9">
                  <c:v>61.690875099000003</c:v>
                </c:pt>
                <c:pt idx="10">
                  <c:v>74.900190080000002</c:v>
                </c:pt>
              </c:numCache>
            </c:numRef>
          </c:val>
          <c:extLst>
            <c:ext xmlns:c16="http://schemas.microsoft.com/office/drawing/2014/chart" uri="{C3380CC4-5D6E-409C-BE32-E72D297353CC}">
              <c16:uniqueId val="{00000000-74D3-4331-891C-D9B66DCAE1DF}"/>
            </c:ext>
          </c:extLst>
        </c:ser>
        <c:dLbls>
          <c:showLegendKey val="0"/>
          <c:showVal val="0"/>
          <c:showCatName val="0"/>
          <c:showSerName val="0"/>
          <c:showPercent val="0"/>
          <c:showBubbleSize val="0"/>
        </c:dLbls>
        <c:gapWidth val="70"/>
        <c:axId val="586455440"/>
        <c:axId val="586452696"/>
      </c:barChart>
      <c:lineChart>
        <c:grouping val="standard"/>
        <c:varyColors val="0"/>
        <c:ser>
          <c:idx val="1"/>
          <c:order val="1"/>
          <c:tx>
            <c:strRef>
              <c:f>'Aus exports'!$A$28</c:f>
              <c:strCache>
                <c:ptCount val="1"/>
                <c:pt idx="0">
                  <c:v>Value (rhs)</c:v>
                </c:pt>
              </c:strCache>
            </c:strRef>
          </c:tx>
          <c:spPr>
            <a:ln w="28575" cap="rnd" cmpd="sng" algn="ctr">
              <a:solidFill>
                <a:srgbClr val="56B4DF"/>
              </a:solidFill>
              <a:prstDash val="solid"/>
              <a:round/>
              <a:headEnd type="none" w="med" len="med"/>
              <a:tailEnd type="none" w="med" len="med"/>
            </a:ln>
            <a:effectLst/>
          </c:spPr>
          <c:marker>
            <c:symbol val="none"/>
          </c:marker>
          <c:cat>
            <c:strRef>
              <c:f>'Aus exports'!$G$2:$Q$2</c:f>
              <c:strCache>
                <c:ptCount val="11"/>
                <c:pt idx="0">
                  <c:v>2008–09</c:v>
                </c:pt>
                <c:pt idx="1">
                  <c:v>2009–10</c:v>
                </c:pt>
                <c:pt idx="2">
                  <c:v>2010–11</c:v>
                </c:pt>
                <c:pt idx="3">
                  <c:v>2011–12</c:v>
                </c:pt>
                <c:pt idx="4">
                  <c:v>2012–13</c:v>
                </c:pt>
                <c:pt idx="5">
                  <c:v>2013–14</c:v>
                </c:pt>
                <c:pt idx="6">
                  <c:v>2014–15</c:v>
                </c:pt>
                <c:pt idx="7">
                  <c:v>2015–16</c:v>
                </c:pt>
                <c:pt idx="8">
                  <c:v>2016–17</c:v>
                </c:pt>
                <c:pt idx="9">
                  <c:v>2017–18</c:v>
                </c:pt>
                <c:pt idx="10">
                  <c:v>2018–19</c:v>
                </c:pt>
              </c:strCache>
            </c:strRef>
          </c:cat>
          <c:val>
            <c:numRef>
              <c:f>'Aus exports'!$G$28:$Q$28</c:f>
              <c:numCache>
                <c:formatCode>0</c:formatCode>
                <c:ptCount val="11"/>
                <c:pt idx="0">
                  <c:v>10.078740821</c:v>
                </c:pt>
                <c:pt idx="1">
                  <c:v>7.7886639969999996</c:v>
                </c:pt>
                <c:pt idx="2">
                  <c:v>10.437139502349401</c:v>
                </c:pt>
                <c:pt idx="3">
                  <c:v>11.949465661</c:v>
                </c:pt>
                <c:pt idx="4">
                  <c:v>14.270618779000001</c:v>
                </c:pt>
                <c:pt idx="5">
                  <c:v>16.304696856</c:v>
                </c:pt>
                <c:pt idx="6">
                  <c:v>16.894712147</c:v>
                </c:pt>
                <c:pt idx="7">
                  <c:v>16.575580115000001</c:v>
                </c:pt>
                <c:pt idx="8">
                  <c:v>22.307841396000001</c:v>
                </c:pt>
                <c:pt idx="9">
                  <c:v>30.906565695000001</c:v>
                </c:pt>
                <c:pt idx="10">
                  <c:v>49.992046408</c:v>
                </c:pt>
              </c:numCache>
            </c:numRef>
          </c:val>
          <c:smooth val="0"/>
          <c:extLst>
            <c:ext xmlns:c16="http://schemas.microsoft.com/office/drawing/2014/chart" uri="{C3380CC4-5D6E-409C-BE32-E72D297353CC}">
              <c16:uniqueId val="{00000001-74D3-4331-891C-D9B66DCAE1DF}"/>
            </c:ext>
          </c:extLst>
        </c:ser>
        <c:dLbls>
          <c:showLegendKey val="0"/>
          <c:showVal val="0"/>
          <c:showCatName val="0"/>
          <c:showSerName val="0"/>
          <c:showPercent val="0"/>
          <c:showBubbleSize val="0"/>
        </c:dLbls>
        <c:marker val="1"/>
        <c:smooth val="0"/>
        <c:axId val="586452304"/>
        <c:axId val="586453088"/>
      </c:lineChart>
      <c:catAx>
        <c:axId val="586455440"/>
        <c:scaling>
          <c:orientation val="minMax"/>
        </c:scaling>
        <c:delete val="0"/>
        <c:axPos val="b"/>
        <c:numFmt formatCode="General" sourceLinked="1"/>
        <c:majorTickMark val="out"/>
        <c:minorTickMark val="none"/>
        <c:tickLblPos val="nextTo"/>
        <c:spPr>
          <a:noFill/>
          <a:ln w="3175" cap="flat" cmpd="sng" algn="ctr">
            <a:solidFill>
              <a:srgbClr val="BCBFC1"/>
            </a:solidFill>
            <a:prstDash val="solid"/>
            <a:round/>
            <a:headEnd type="none" w="med" len="med"/>
            <a:tailEnd type="none" w="med" len="med"/>
          </a:ln>
          <a:effectLst/>
        </c:spPr>
        <c:txPr>
          <a:bodyPr rot="-60000000" spcFirstLastPara="1" vertOverflow="ellipsis" vert="horz" wrap="square" anchor="ctr" anchorCtr="1"/>
          <a:lstStyle/>
          <a:p>
            <a:pPr>
              <a:defRPr sz="900" b="0" i="0" u="none" strike="noStrike" kern="1200" baseline="0">
                <a:solidFill>
                  <a:srgbClr val="595A5B"/>
                </a:solidFill>
                <a:latin typeface="Arial"/>
                <a:ea typeface="Arial"/>
                <a:cs typeface="Arial"/>
              </a:defRPr>
            </a:pPr>
            <a:endParaRPr lang="en-US"/>
          </a:p>
        </c:txPr>
        <c:crossAx val="586452696"/>
        <c:crosses val="autoZero"/>
        <c:auto val="1"/>
        <c:lblAlgn val="ctr"/>
        <c:lblOffset val="100"/>
        <c:tickLblSkip val="2"/>
        <c:tickMarkSkip val="4"/>
        <c:noMultiLvlLbl val="0"/>
      </c:catAx>
      <c:valAx>
        <c:axId val="586452696"/>
        <c:scaling>
          <c:orientation val="minMax"/>
        </c:scaling>
        <c:delete val="0"/>
        <c:axPos val="l"/>
        <c:title>
          <c:tx>
            <c:rich>
              <a:bodyPr rot="-5400000" spcFirstLastPara="1" vertOverflow="ellipsis" vert="horz" wrap="square" anchor="ctr" anchorCtr="1"/>
              <a:lstStyle/>
              <a:p>
                <a:pPr algn="ctr" rtl="0">
                  <a:defRPr sz="900" b="0" i="0" u="none" strike="noStrike" kern="1200" baseline="0">
                    <a:solidFill>
                      <a:srgbClr val="595A5B"/>
                    </a:solidFill>
                    <a:latin typeface="Arial" panose="020B0604020202020204" pitchFamily="34" charset="0"/>
                    <a:ea typeface="Arial"/>
                    <a:cs typeface="Arial" panose="020B0604020202020204" pitchFamily="34" charset="0"/>
                  </a:defRPr>
                </a:pPr>
                <a:r>
                  <a:rPr lang="en-US" sz="900" b="0" i="0" u="none" strike="noStrike" kern="1200" baseline="0">
                    <a:solidFill>
                      <a:srgbClr val="595A5B"/>
                    </a:solidFill>
                    <a:latin typeface="Arial" panose="020B0604020202020204" pitchFamily="34" charset="0"/>
                    <a:cs typeface="Arial" panose="020B0604020202020204" pitchFamily="34" charset="0"/>
                  </a:rPr>
                  <a:t>Million tonnes</a:t>
                </a:r>
              </a:p>
            </c:rich>
          </c:tx>
          <c:layout/>
          <c:overlay val="0"/>
          <c:spPr>
            <a:noFill/>
            <a:ln>
              <a:noFill/>
            </a:ln>
            <a:effectLst/>
          </c:spPr>
          <c:txPr>
            <a:bodyPr rot="-5400000" spcFirstLastPara="1" vertOverflow="ellipsis" vert="horz" wrap="square" anchor="ctr" anchorCtr="1"/>
            <a:lstStyle/>
            <a:p>
              <a:pPr algn="ctr" rtl="0">
                <a:defRPr sz="900" b="0" i="0" u="none" strike="noStrike" kern="1200" baseline="0">
                  <a:solidFill>
                    <a:srgbClr val="595A5B"/>
                  </a:solidFill>
                  <a:latin typeface="Arial" panose="020B0604020202020204" pitchFamily="34" charset="0"/>
                  <a:ea typeface="Arial"/>
                  <a:cs typeface="Arial" panose="020B0604020202020204" pitchFamily="34" charset="0"/>
                </a:defRPr>
              </a:pPr>
              <a:endParaRPr lang="en-US"/>
            </a:p>
          </c:txPr>
        </c:title>
        <c:numFmt formatCode="0" sourceLinked="1"/>
        <c:majorTickMark val="out"/>
        <c:minorTickMark val="none"/>
        <c:tickLblPos val="nextTo"/>
        <c:spPr>
          <a:noFill/>
          <a:ln w="3175" cap="flat" cmpd="sng" algn="ctr">
            <a:solidFill>
              <a:srgbClr val="BCBFC1"/>
            </a:solidFill>
            <a:prstDash val="solid"/>
            <a:round/>
            <a:headEnd type="none" w="med" len="med"/>
            <a:tailEnd type="none" w="med" len="med"/>
          </a:ln>
          <a:effectLst/>
        </c:spPr>
        <c:txPr>
          <a:bodyPr rot="-60000000" spcFirstLastPara="1" vertOverflow="ellipsis" vert="horz" wrap="square" anchor="ctr" anchorCtr="1"/>
          <a:lstStyle/>
          <a:p>
            <a:pPr>
              <a:defRPr sz="900" b="0" i="0" u="none" strike="noStrike" kern="1200" baseline="0">
                <a:solidFill>
                  <a:srgbClr val="595A5B"/>
                </a:solidFill>
                <a:latin typeface="Arial"/>
                <a:ea typeface="Arial"/>
                <a:cs typeface="Arial"/>
              </a:defRPr>
            </a:pPr>
            <a:endParaRPr lang="en-US"/>
          </a:p>
        </c:txPr>
        <c:crossAx val="586455440"/>
        <c:crosses val="autoZero"/>
        <c:crossBetween val="between"/>
        <c:majorUnit val="15"/>
      </c:valAx>
      <c:valAx>
        <c:axId val="586453088"/>
        <c:scaling>
          <c:orientation val="minMax"/>
        </c:scaling>
        <c:delete val="0"/>
        <c:axPos val="r"/>
        <c:title>
          <c:tx>
            <c:rich>
              <a:bodyPr rot="-5400000" spcFirstLastPara="1" vertOverflow="ellipsis" vert="horz" wrap="square" anchor="ctr" anchorCtr="1"/>
              <a:lstStyle/>
              <a:p>
                <a:pPr>
                  <a:defRPr sz="900" b="0" i="0" u="none" strike="noStrike" kern="1200" baseline="0">
                    <a:solidFill>
                      <a:srgbClr val="595A5B"/>
                    </a:solidFill>
                    <a:latin typeface="Arial"/>
                    <a:ea typeface="Arial"/>
                    <a:cs typeface="Arial"/>
                  </a:defRPr>
                </a:pPr>
                <a:r>
                  <a:rPr lang="en-AU"/>
                  <a:t>A$ billion</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rgbClr val="595A5B"/>
                  </a:solidFill>
                  <a:latin typeface="Arial"/>
                  <a:ea typeface="Arial"/>
                  <a:cs typeface="Arial"/>
                </a:defRPr>
              </a:pPr>
              <a:endParaRPr lang="en-US"/>
            </a:p>
          </c:txPr>
        </c:title>
        <c:numFmt formatCode="0" sourceLinked="1"/>
        <c:majorTickMark val="out"/>
        <c:minorTickMark val="none"/>
        <c:tickLblPos val="nextTo"/>
        <c:spPr>
          <a:noFill/>
          <a:ln w="9525" cap="flat" cmpd="sng" algn="ctr">
            <a:solidFill>
              <a:srgbClr val="BCBFC1"/>
            </a:solidFill>
            <a:prstDash val="solid"/>
            <a:round/>
            <a:headEnd type="none" w="med" len="med"/>
            <a:tailEnd type="none" w="med" len="med"/>
          </a:ln>
          <a:effectLst/>
        </c:spPr>
        <c:txPr>
          <a:bodyPr rot="-60000000" spcFirstLastPara="1" vertOverflow="ellipsis" vert="horz" wrap="square" anchor="ctr" anchorCtr="1"/>
          <a:lstStyle/>
          <a:p>
            <a:pPr>
              <a:defRPr sz="900" b="0" i="0" u="none" strike="noStrike" kern="1200" baseline="0">
                <a:solidFill>
                  <a:srgbClr val="595A5B"/>
                </a:solidFill>
                <a:latin typeface="Arial"/>
                <a:ea typeface="Arial"/>
                <a:cs typeface="Arial"/>
              </a:defRPr>
            </a:pPr>
            <a:endParaRPr lang="en-US"/>
          </a:p>
        </c:txPr>
        <c:crossAx val="586452304"/>
        <c:crosses val="max"/>
        <c:crossBetween val="between"/>
      </c:valAx>
      <c:catAx>
        <c:axId val="586452304"/>
        <c:scaling>
          <c:orientation val="minMax"/>
        </c:scaling>
        <c:delete val="1"/>
        <c:axPos val="b"/>
        <c:numFmt formatCode="General" sourceLinked="1"/>
        <c:majorTickMark val="out"/>
        <c:minorTickMark val="none"/>
        <c:tickLblPos val="nextTo"/>
        <c:crossAx val="586453088"/>
        <c:crosses val="autoZero"/>
        <c:auto val="1"/>
        <c:lblAlgn val="ctr"/>
        <c:lblOffset val="100"/>
        <c:noMultiLvlLbl val="0"/>
      </c:cat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rgbClr val="595A5B"/>
              </a:solidFill>
              <a:latin typeface="Arial"/>
              <a:ea typeface="Arial"/>
              <a:cs typeface="Arial"/>
            </a:defRPr>
          </a:pPr>
          <a:endParaRPr lang="en-US"/>
        </a:p>
      </c:txPr>
    </c:legend>
    <c:plotVisOnly val="1"/>
    <c:dispBlanksAs val="gap"/>
    <c:showDLblsOverMax val="0"/>
  </c:chart>
  <c:spPr>
    <a:solidFill>
      <a:schemeClr val="bg1"/>
    </a:solidFill>
    <a:ln w="25400" cap="flat" cmpd="sng" algn="ctr">
      <a:noFill/>
      <a:round/>
    </a:ln>
    <a:effectLst/>
  </c:spPr>
  <c:txPr>
    <a:bodyPr/>
    <a:lstStyle/>
    <a:p>
      <a:pPr>
        <a:defRPr sz="900" b="0">
          <a:solidFill>
            <a:srgbClr val="595A5B"/>
          </a:solidFill>
          <a:latin typeface="Arial"/>
          <a:ea typeface="Arial"/>
          <a:cs typeface="Aria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'Current and planned capacity'!$E$25</c:f>
              <c:strCache>
                <c:ptCount val="1"/>
                <c:pt idx="0">
                  <c:v>Existing</c:v>
                </c:pt>
              </c:strCache>
            </c:strRef>
          </c:tx>
          <c:spPr>
            <a:solidFill>
              <a:srgbClr val="005CAF"/>
            </a:solidFill>
            <a:ln>
              <a:noFill/>
            </a:ln>
            <a:effectLst/>
          </c:spPr>
          <c:invertIfNegative val="0"/>
          <c:cat>
            <c:strRef>
              <c:f>'Current and planned capacity'!$H$24:$W$24</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'Current and planned capacity'!$H$25:$W$25</c:f>
              <c:numCache>
                <c:formatCode>0.0</c:formatCode>
                <c:ptCount val="16"/>
                <c:pt idx="0">
                  <c:v>15.600000000000001</c:v>
                </c:pt>
                <c:pt idx="1">
                  <c:v>20</c:v>
                </c:pt>
                <c:pt idx="2">
                  <c:v>20</c:v>
                </c:pt>
                <c:pt idx="3">
                  <c:v>20</c:v>
                </c:pt>
                <c:pt idx="4">
                  <c:v>24.3</c:v>
                </c:pt>
                <c:pt idx="5">
                  <c:v>24.3</c:v>
                </c:pt>
                <c:pt idx="6">
                  <c:v>24.3</c:v>
                </c:pt>
                <c:pt idx="7">
                  <c:v>28.55</c:v>
                </c:pt>
                <c:pt idx="8">
                  <c:v>51.3</c:v>
                </c:pt>
                <c:pt idx="9">
                  <c:v>66.2</c:v>
                </c:pt>
                <c:pt idx="10">
                  <c:v>75.100000000000009</c:v>
                </c:pt>
                <c:pt idx="11">
                  <c:v>83.2</c:v>
                </c:pt>
                <c:pt idx="12">
                  <c:v>87.600000000000009</c:v>
                </c:pt>
                <c:pt idx="13">
                  <c:v>87.600000000000009</c:v>
                </c:pt>
                <c:pt idx="14">
                  <c:v>87.600000000000009</c:v>
                </c:pt>
                <c:pt idx="15">
                  <c:v>87.600000000000009</c:v>
                </c:pt>
              </c:numCache>
            </c:numRef>
          </c:val>
          <c:extLst>
            <c:ext xmlns:c16="http://schemas.microsoft.com/office/drawing/2014/chart" uri="{C3380CC4-5D6E-409C-BE32-E72D297353CC}">
              <c16:uniqueId val="{00000000-357F-4C7A-981D-F992CA362BB4}"/>
            </c:ext>
          </c:extLst>
        </c:ser>
        <c:ser>
          <c:idx val="1"/>
          <c:order val="1"/>
          <c:tx>
            <c:strRef>
              <c:f>'Current and planned capacity'!$E$26</c:f>
              <c:strCache>
                <c:ptCount val="1"/>
                <c:pt idx="0">
                  <c:v>New capacity additions</c:v>
                </c:pt>
              </c:strCache>
            </c:strRef>
          </c:tx>
          <c:spPr>
            <a:solidFill>
              <a:srgbClr val="56B4DF"/>
            </a:solidFill>
            <a:ln>
              <a:noFill/>
            </a:ln>
            <a:effectLst/>
          </c:spPr>
          <c:invertIfNegative val="0"/>
          <c:cat>
            <c:strRef>
              <c:f>'Current and planned capacity'!$H$24:$W$24</c:f>
              <c:strCache>
                <c:ptCount val="16"/>
                <c:pt idx="0">
                  <c:v>2008–09</c:v>
                </c:pt>
                <c:pt idx="1">
                  <c:v>2009–10</c:v>
                </c:pt>
                <c:pt idx="2">
                  <c:v>2010–11</c:v>
                </c:pt>
                <c:pt idx="3">
                  <c:v>2011–12</c:v>
                </c:pt>
                <c:pt idx="4">
                  <c:v>2012–13</c:v>
                </c:pt>
                <c:pt idx="5">
                  <c:v>2013–14</c:v>
                </c:pt>
                <c:pt idx="6">
                  <c:v>2014–15</c:v>
                </c:pt>
                <c:pt idx="7">
                  <c:v>2015–16</c:v>
                </c:pt>
                <c:pt idx="8">
                  <c:v>2016–17</c:v>
                </c:pt>
                <c:pt idx="9">
                  <c:v>2017–18</c:v>
                </c:pt>
                <c:pt idx="10">
                  <c:v>2018–19</c:v>
                </c:pt>
                <c:pt idx="11">
                  <c:v>2019–20</c:v>
                </c:pt>
                <c:pt idx="12">
                  <c:v>2020–21</c:v>
                </c:pt>
                <c:pt idx="13">
                  <c:v>2021–22</c:v>
                </c:pt>
                <c:pt idx="14">
                  <c:v>2022–23</c:v>
                </c:pt>
                <c:pt idx="15">
                  <c:v>2023–24</c:v>
                </c:pt>
              </c:strCache>
            </c:strRef>
          </c:cat>
          <c:val>
            <c:numRef>
              <c:f>'Current and planned capacity'!$H$26:$W$26</c:f>
              <c:numCache>
                <c:formatCode>0.0</c:formatCode>
                <c:ptCount val="16"/>
                <c:pt idx="0">
                  <c:v>4.3999999999999986</c:v>
                </c:pt>
                <c:pt idx="1">
                  <c:v>0</c:v>
                </c:pt>
                <c:pt idx="2">
                  <c:v>0</c:v>
                </c:pt>
                <c:pt idx="3">
                  <c:v>4.3000000000000007</c:v>
                </c:pt>
                <c:pt idx="4">
                  <c:v>0</c:v>
                </c:pt>
                <c:pt idx="5">
                  <c:v>0</c:v>
                </c:pt>
                <c:pt idx="6">
                  <c:v>4.25</c:v>
                </c:pt>
                <c:pt idx="7">
                  <c:v>22.749999999999996</c:v>
                </c:pt>
                <c:pt idx="8">
                  <c:v>14.900000000000006</c:v>
                </c:pt>
                <c:pt idx="9">
                  <c:v>8.9000000000000057</c:v>
                </c:pt>
                <c:pt idx="10">
                  <c:v>8.0999999999999943</c:v>
                </c:pt>
                <c:pt idx="11">
                  <c:v>4.4000000000000057</c:v>
                </c:pt>
                <c:pt idx="12">
                  <c:v>0</c:v>
                </c:pt>
                <c:pt idx="13">
                  <c:v>0</c:v>
                </c:pt>
                <c:pt idx="14">
                  <c:v>0</c:v>
                </c:pt>
                <c:pt idx="15">
                  <c:v>4.5</c:v>
                </c:pt>
              </c:numCache>
            </c:numRef>
          </c:val>
          <c:extLst>
            <c:ext xmlns:c16="http://schemas.microsoft.com/office/drawing/2014/chart" uri="{C3380CC4-5D6E-409C-BE32-E72D297353CC}">
              <c16:uniqueId val="{00000001-357F-4C7A-981D-F992CA362BB4}"/>
            </c:ext>
          </c:extLst>
        </c:ser>
        <c:dLbls>
          <c:showLegendKey val="0"/>
          <c:showVal val="0"/>
          <c:showCatName val="0"/>
          <c:showSerName val="0"/>
          <c:showPercent val="0"/>
          <c:showBubbleSize val="0"/>
        </c:dLbls>
        <c:gapWidth val="70"/>
        <c:overlap val="100"/>
        <c:axId val="578745976"/>
        <c:axId val="578745584"/>
      </c:barChart>
      <c:catAx>
        <c:axId val="578745976"/>
        <c:scaling>
          <c:orientation val="minMax"/>
        </c:scaling>
        <c:delete val="0"/>
        <c:axPos val="b"/>
        <c:numFmt formatCode="General" sourceLinked="1"/>
        <c:majorTickMark val="out"/>
        <c:minorTickMark val="none"/>
        <c:tickLblPos val="nextTo"/>
        <c:spPr>
          <a:noFill/>
          <a:ln w="3175" cap="flat" cmpd="sng" algn="ctr">
            <a:solidFill>
              <a:srgbClr val="BCBFC1"/>
            </a:solidFill>
            <a:prstDash val="solid"/>
            <a:round/>
            <a:headEnd type="none" w="med" len="med"/>
            <a:tailEnd type="none" w="med" len="med"/>
          </a:ln>
          <a:effectLst/>
        </c:spPr>
        <c:txPr>
          <a:bodyPr rot="-60000000" spcFirstLastPara="1" vertOverflow="ellipsis" vert="horz" wrap="square" anchor="ctr" anchorCtr="1"/>
          <a:lstStyle/>
          <a:p>
            <a:pPr>
              <a:defRPr sz="900" b="0" i="0" u="none" strike="noStrike" kern="1200" baseline="0">
                <a:solidFill>
                  <a:srgbClr val="595A5B"/>
                </a:solidFill>
                <a:latin typeface="Arial"/>
                <a:ea typeface="Arial"/>
                <a:cs typeface="Arial"/>
              </a:defRPr>
            </a:pPr>
            <a:endParaRPr lang="en-US"/>
          </a:p>
        </c:txPr>
        <c:crossAx val="578745584"/>
        <c:crosses val="autoZero"/>
        <c:auto val="1"/>
        <c:lblAlgn val="ctr"/>
        <c:lblOffset val="100"/>
        <c:tickLblSkip val="3"/>
        <c:noMultiLvlLbl val="0"/>
      </c:catAx>
      <c:valAx>
        <c:axId val="578745584"/>
        <c:scaling>
          <c:orientation val="minMax"/>
        </c:scaling>
        <c:delete val="0"/>
        <c:axPos val="l"/>
        <c:title>
          <c:tx>
            <c:rich>
              <a:bodyPr rot="-5400000" spcFirstLastPara="1" vertOverflow="ellipsis" vert="horz" wrap="square" anchor="ctr" anchorCtr="1"/>
              <a:lstStyle/>
              <a:p>
                <a:pPr algn="ctr" rtl="0">
                  <a:defRPr sz="900" b="0" i="0" u="none" strike="noStrike" kern="1200" baseline="0">
                    <a:solidFill>
                      <a:srgbClr val="595A5B"/>
                    </a:solidFill>
                    <a:latin typeface="Arial" panose="020B0604020202020204" pitchFamily="34" charset="0"/>
                    <a:ea typeface="Arial"/>
                    <a:cs typeface="Arial" panose="020B0604020202020204" pitchFamily="34" charset="0"/>
                  </a:defRPr>
                </a:pPr>
                <a:r>
                  <a:rPr lang="en-US" sz="900" b="0" i="0" u="none" strike="noStrike" kern="1200" baseline="0">
                    <a:solidFill>
                      <a:srgbClr val="595A5B"/>
                    </a:solidFill>
                    <a:latin typeface="Arial" panose="020B0604020202020204" pitchFamily="34" charset="0"/>
                    <a:cs typeface="Arial" panose="020B0604020202020204" pitchFamily="34" charset="0"/>
                  </a:rPr>
                  <a:t>Million tonnes</a:t>
                </a:r>
              </a:p>
            </c:rich>
          </c:tx>
          <c:layout/>
          <c:overlay val="0"/>
          <c:spPr>
            <a:noFill/>
            <a:ln>
              <a:noFill/>
            </a:ln>
            <a:effectLst/>
          </c:spPr>
          <c:txPr>
            <a:bodyPr rot="-5400000" spcFirstLastPara="1" vertOverflow="ellipsis" vert="horz" wrap="square" anchor="ctr" anchorCtr="1"/>
            <a:lstStyle/>
            <a:p>
              <a:pPr algn="ctr" rtl="0">
                <a:defRPr sz="900" b="0" i="0" u="none" strike="noStrike" kern="1200" baseline="0">
                  <a:solidFill>
                    <a:srgbClr val="595A5B"/>
                  </a:solidFill>
                  <a:latin typeface="Arial" panose="020B0604020202020204" pitchFamily="34" charset="0"/>
                  <a:ea typeface="Arial"/>
                  <a:cs typeface="Arial" panose="020B0604020202020204" pitchFamily="34" charset="0"/>
                </a:defRPr>
              </a:pPr>
              <a:endParaRPr lang="en-US"/>
            </a:p>
          </c:txPr>
        </c:title>
        <c:numFmt formatCode="0" sourceLinked="0"/>
        <c:majorTickMark val="out"/>
        <c:minorTickMark val="none"/>
        <c:tickLblPos val="nextTo"/>
        <c:spPr>
          <a:noFill/>
          <a:ln w="3175" cap="flat" cmpd="sng" algn="ctr">
            <a:solidFill>
              <a:srgbClr val="BCBFC1"/>
            </a:solidFill>
            <a:prstDash val="solid"/>
            <a:round/>
            <a:headEnd type="none" w="med" len="med"/>
            <a:tailEnd type="none" w="med" len="med"/>
          </a:ln>
          <a:effectLst/>
        </c:spPr>
        <c:txPr>
          <a:bodyPr rot="-60000000" spcFirstLastPara="1" vertOverflow="ellipsis" vert="horz" wrap="square" anchor="ctr" anchorCtr="1"/>
          <a:lstStyle/>
          <a:p>
            <a:pPr>
              <a:defRPr sz="900" b="0" i="0" u="none" strike="noStrike" kern="1200" baseline="0">
                <a:solidFill>
                  <a:srgbClr val="595A5B"/>
                </a:solidFill>
                <a:latin typeface="Arial"/>
                <a:ea typeface="Arial"/>
                <a:cs typeface="Arial"/>
              </a:defRPr>
            </a:pPr>
            <a:endParaRPr lang="en-US"/>
          </a:p>
        </c:txPr>
        <c:crossAx val="578745976"/>
        <c:crosses val="autoZero"/>
        <c:crossBetween val="between"/>
        <c:majorUnit val="20"/>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rgbClr val="595A5B"/>
              </a:solidFill>
              <a:latin typeface="Arial"/>
              <a:ea typeface="Arial"/>
              <a:cs typeface="Arial"/>
            </a:defRPr>
          </a:pPr>
          <a:endParaRPr lang="en-US"/>
        </a:p>
      </c:txPr>
    </c:legend>
    <c:plotVisOnly val="1"/>
    <c:dispBlanksAs val="gap"/>
    <c:showDLblsOverMax val="0"/>
  </c:chart>
  <c:spPr>
    <a:solidFill>
      <a:schemeClr val="bg1"/>
    </a:solidFill>
    <a:ln w="25400" cap="flat" cmpd="sng" algn="ctr">
      <a:noFill/>
      <a:round/>
    </a:ln>
    <a:effectLst/>
  </c:spPr>
  <c:txPr>
    <a:bodyPr/>
    <a:lstStyle/>
    <a:p>
      <a:pPr>
        <a:defRPr sz="900" b="0">
          <a:solidFill>
            <a:srgbClr val="595A5B"/>
          </a:solidFill>
          <a:latin typeface="Arial"/>
          <a:ea typeface="Arial"/>
          <a:cs typeface="Aria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6</Value>
    </TaxCatchAll>
    <_dlc_DocId xmlns="0f563589-9cf9-4143-b1eb-fb0534803d38">2019RG-107-4810</_dlc_DocId>
    <_dlc_DocIdUrl xmlns="0f563589-9cf9-4143-b1eb-fb0534803d38">
      <Url>http://tweb/sites/rg/citd/_layouts/15/DocIdRedir.aspx?ID=2019RG-107-4810</Url>
      <Description>2019RG-107-4810</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3CAB97E37CA214A8A47994F042FD6AD" ma:contentTypeVersion="23521" ma:contentTypeDescription=" " ma:contentTypeScope="" ma:versionID="3036f7d093ed9d4a6536071886e5e548">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a6fa6dea3962614e2953148b93ebb8bc"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DC454-9329-4937-A1AA-B2F37E78EC0C}">
  <ds:schemaRefs>
    <ds:schemaRef ds:uri="http://purl.org/dc/terms/"/>
    <ds:schemaRef ds:uri="http://purl.org/dc/dcmitype/"/>
    <ds:schemaRef ds:uri="9f7bc583-7cbe-45b9-a2bd-8bbb6543b37e"/>
    <ds:schemaRef ds:uri="http://schemas.microsoft.com/office/2006/documentManagement/types"/>
    <ds:schemaRef ds:uri="http://schemas.microsoft.com/sharepoint/v4"/>
    <ds:schemaRef ds:uri="http://www.w3.org/XML/1998/namespace"/>
    <ds:schemaRef ds:uri="http://purl.org/dc/elements/1.1/"/>
    <ds:schemaRef ds:uri="http://schemas.openxmlformats.org/package/2006/metadata/core-properties"/>
    <ds:schemaRef ds:uri="http://schemas.microsoft.com/sharepoint/v3"/>
    <ds:schemaRef ds:uri="http://schemas.microsoft.com/office/infopath/2007/PartnerControls"/>
    <ds:schemaRef ds:uri="0f563589-9cf9-4143-b1eb-fb0534803d38"/>
    <ds:schemaRef ds:uri="http://schemas.microsoft.com/office/2006/metadata/properties"/>
  </ds:schemaRefs>
</ds:datastoreItem>
</file>

<file path=customXml/itemProps2.xml><?xml version="1.0" encoding="utf-8"?>
<ds:datastoreItem xmlns:ds="http://schemas.openxmlformats.org/officeDocument/2006/customXml" ds:itemID="{508BCBDB-7B01-4D6F-951F-89C9694080CE}">
  <ds:schemaRefs>
    <ds:schemaRef ds:uri="http://schemas.microsoft.com/sharepoint/v3/contenttype/forms"/>
  </ds:schemaRefs>
</ds:datastoreItem>
</file>

<file path=customXml/itemProps3.xml><?xml version="1.0" encoding="utf-8"?>
<ds:datastoreItem xmlns:ds="http://schemas.openxmlformats.org/officeDocument/2006/customXml" ds:itemID="{C4CE8472-5A19-420B-9AA2-F79C2399217E}"/>
</file>

<file path=customXml/itemProps4.xml><?xml version="1.0" encoding="utf-8"?>
<ds:datastoreItem xmlns:ds="http://schemas.openxmlformats.org/officeDocument/2006/customXml" ds:itemID="{E78B0408-3720-4DEC-802E-2EA1AC4A9EEE}">
  <ds:schemaRefs>
    <ds:schemaRef ds:uri="http://schemas.microsoft.com/sharepoint/events"/>
  </ds:schemaRefs>
</ds:datastoreItem>
</file>

<file path=customXml/itemProps5.xml><?xml version="1.0" encoding="utf-8"?>
<ds:datastoreItem xmlns:ds="http://schemas.openxmlformats.org/officeDocument/2006/customXml" ds:itemID="{478F060C-BAD3-4AB3-B772-792213200119}">
  <ds:schemaRefs>
    <ds:schemaRef ds:uri="office.server.policy"/>
  </ds:schemaRefs>
</ds:datastoreItem>
</file>

<file path=customXml/itemProps6.xml><?xml version="1.0" encoding="utf-8"?>
<ds:datastoreItem xmlns:ds="http://schemas.openxmlformats.org/officeDocument/2006/customXml" ds:itemID="{0FB2372C-08F4-44F2-AA17-1738FBC51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5330</Words>
  <Characters>30382</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35641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Niven, Richard</dc:creator>
  <cp:keywords/>
  <dc:description/>
  <cp:lastModifiedBy>Radosavljevic, Savina</cp:lastModifiedBy>
  <cp:revision>2</cp:revision>
  <cp:lastPrinted>2019-09-10T08:34:00Z</cp:lastPrinted>
  <dcterms:created xsi:type="dcterms:W3CDTF">2019-09-30T01:26:00Z</dcterms:created>
  <dcterms:modified xsi:type="dcterms:W3CDTF">2019-09-30T01:26:00Z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0x01010036BB8DE7EC542E42A8B2E98CC20CB6970043CAB97E37CA214A8A47994F042FD6AD</vt:lpwstr>
  </property>
  <property fmtid="{D5CDD505-2E9C-101B-9397-08002B2CF9AE}" pid="3" name="DocHub_Year">
    <vt:lpwstr>3075;#2019|7e451fe0-4dc6-437a-a849-bab7965a9aee</vt:lpwstr>
  </property>
  <property fmtid="{D5CDD505-2E9C-101B-9397-08002B2CF9AE}" pid="4" name="DocHub_RegionCountry">
    <vt:lpwstr/>
  </property>
  <property fmtid="{D5CDD505-2E9C-101B-9397-08002B2CF9AE}" pid="5" name="DocHub_DocumentType">
    <vt:lpwstr>353;#Submission|3407b47c-0a22-4cac-8385-04198c3d2cb3</vt:lpwstr>
  </property>
  <property fmtid="{D5CDD505-2E9C-101B-9397-08002B2CF9AE}" pid="6" name="DocHub_GroupsOtherEntities">
    <vt:lpwstr/>
  </property>
  <property fmtid="{D5CDD505-2E9C-101B-9397-08002B2CF9AE}" pid="7" name="DocHub_SecurityClassification">
    <vt:lpwstr>1;#UNCLASSIFIED|6106d03b-a1a0-4e30-9d91-d5e9fb4314f9</vt:lpwstr>
  </property>
  <property fmtid="{D5CDD505-2E9C-101B-9397-08002B2CF9AE}" pid="8" name="DocHub_GovernmentEntities">
    <vt:lpwstr/>
  </property>
  <property fmtid="{D5CDD505-2E9C-101B-9397-08002B2CF9AE}" pid="9" name="DocHub_OrganisationEntities">
    <vt:lpwstr/>
  </property>
  <property fmtid="{D5CDD505-2E9C-101B-9397-08002B2CF9AE}" pid="10" name="DocHub_WorkActivity">
    <vt:lpwstr>389;#Inquiry|cba4782b-1293-4dd5-99db-34982ee38822</vt:lpwstr>
  </property>
  <property fmtid="{D5CDD505-2E9C-101B-9397-08002B2CF9AE}" pid="11" name="DocHub_WorkTopic">
    <vt:lpwstr>1286;#Policy Development|b63e72f9-099d-44ea-9b7c-5daf7d62732d</vt:lpwstr>
  </property>
  <property fmtid="{D5CDD505-2E9C-101B-9397-08002B2CF9AE}" pid="12" name="DocHub_EnergyMineralResources">
    <vt:lpwstr/>
  </property>
  <property fmtid="{D5CDD505-2E9C-101B-9397-08002B2CF9AE}" pid="13" name="DocHub_State">
    <vt:lpwstr/>
  </property>
  <property fmtid="{D5CDD505-2E9C-101B-9397-08002B2CF9AE}" pid="14" name="DocHub_Keywords">
    <vt:lpwstr>1564;#taxation|12b2f163-414d-4074-9328-e23dfadd1e6e;#1383;#PRRT|3f0714bf-4fac-4d90-82df-61387d4826e3;#3641;#gas transfer pricing|2ebc3ac9-8891-4665-910b-954bdf843929</vt:lpwstr>
  </property>
  <property fmtid="{D5CDD505-2E9C-101B-9397-08002B2CF9AE}" pid="15" name="_dlc_DocIdItemGuid">
    <vt:lpwstr>d1d3c0ca-e11f-46cd-8b94-79f866667daa</vt:lpwstr>
  </property>
  <property fmtid="{D5CDD505-2E9C-101B-9397-08002B2CF9AE}" pid="16" name="TSYRecordClass">
    <vt:lpwstr>6;#TSY RA-9241 - Retain as national archives|f92f0150-6021-43b5-a30c-415e02490674</vt:lpwstr>
  </property>
  <property fmtid="{D5CDD505-2E9C-101B-9397-08002B2CF9AE}" pid="17" name="RecordPoint_WorkflowType">
    <vt:lpwstr>ActiveSubmitStub</vt:lpwstr>
  </property>
  <property fmtid="{D5CDD505-2E9C-101B-9397-08002B2CF9AE}" pid="18" name="RecordPoint_ActiveItemWebId">
    <vt:lpwstr>{d08daa6a-5e5e-49f3-9d0d-66002ab0e83b}</vt:lpwstr>
  </property>
  <property fmtid="{D5CDD505-2E9C-101B-9397-08002B2CF9AE}" pid="19" name="RecordPoint_ActiveItemSiteId">
    <vt:lpwstr>{5b52b9a5-e5b2-4521-8814-a1e24ca2869d}</vt:lpwstr>
  </property>
  <property fmtid="{D5CDD505-2E9C-101B-9397-08002B2CF9AE}" pid="20" name="RecordPoint_ActiveItemListId">
    <vt:lpwstr>{41b20761-b927-4baf-95ca-187ddfd6b285}</vt:lpwstr>
  </property>
  <property fmtid="{D5CDD505-2E9C-101B-9397-08002B2CF9AE}" pid="21" name="RecordPoint_ActiveItemUniqueId">
    <vt:lpwstr>{d1d3c0ca-e11f-46cd-8b94-79f866667daa}</vt:lpwstr>
  </property>
</Properties>
</file>