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DA44B" w14:textId="2B2818B2" w:rsidR="00F109D4" w:rsidRPr="008F5298" w:rsidRDefault="00F03F8C" w:rsidP="003916BB">
      <w:pPr>
        <w:pStyle w:val="Heading1"/>
        <w:keepLines/>
        <w:spacing w:after="360"/>
        <w:rPr>
          <w:rFonts w:ascii="Times New Roman" w:hAnsi="Times New Roman"/>
          <w:u w:val="none"/>
        </w:rPr>
      </w:pPr>
      <w:r w:rsidRPr="008F5298">
        <w:rPr>
          <w:rFonts w:ascii="Times New Roman" w:hAnsi="Times New Roman"/>
          <w:u w:val="none"/>
        </w:rPr>
        <w:t xml:space="preserve">EXPOSURE DRAFT </w:t>
      </w:r>
      <w:r w:rsidR="00F109D4" w:rsidRPr="008F5298">
        <w:rPr>
          <w:rFonts w:ascii="Times New Roman" w:hAnsi="Times New Roman"/>
          <w:u w:val="none"/>
        </w:rPr>
        <w:t>EXPLANATORY STATEMENT</w:t>
      </w:r>
    </w:p>
    <w:p w14:paraId="66988875" w14:textId="77777777" w:rsidR="007428D1" w:rsidRPr="00731FEA" w:rsidRDefault="007428D1" w:rsidP="007428D1">
      <w:pPr>
        <w:pStyle w:val="Heading2"/>
        <w:jc w:val="center"/>
        <w:rPr>
          <w:sz w:val="24"/>
          <w:szCs w:val="24"/>
        </w:rPr>
      </w:pPr>
      <w:r w:rsidRPr="007B335E">
        <w:rPr>
          <w:sz w:val="24"/>
          <w:szCs w:val="24"/>
        </w:rPr>
        <w:t>Issued by authority of the</w:t>
      </w:r>
      <w:r w:rsidRPr="00731FEA">
        <w:rPr>
          <w:sz w:val="24"/>
          <w:szCs w:val="24"/>
        </w:rPr>
        <w:t xml:space="preserve"> </w:t>
      </w:r>
      <w:sdt>
        <w:sdtPr>
          <w:rPr>
            <w:sz w:val="24"/>
            <w:szCs w:val="24"/>
          </w:rPr>
          <w:id w:val="435951383"/>
          <w:placeholder>
            <w:docPart w:val="980EF5A1D2AC493B8F395B1937275623"/>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Content>
          <w:r>
            <w:rPr>
              <w:sz w:val="24"/>
              <w:szCs w:val="24"/>
            </w:rPr>
            <w:t>Minister for Housing and Assistant Treasurer</w:t>
          </w:r>
        </w:sdtContent>
      </w:sdt>
    </w:p>
    <w:p w14:paraId="5BE62E2E" w14:textId="2478B396" w:rsidR="00F109D4" w:rsidRPr="008F5298" w:rsidRDefault="00CF5729" w:rsidP="007428D1">
      <w:pPr>
        <w:keepLines/>
        <w:spacing w:before="240" w:after="240"/>
        <w:jc w:val="center"/>
        <w:rPr>
          <w:i/>
        </w:rPr>
      </w:pPr>
      <w:bookmarkStart w:id="0" w:name="_GoBack"/>
      <w:bookmarkEnd w:id="0"/>
      <w:r w:rsidRPr="008F5298">
        <w:rPr>
          <w:i/>
        </w:rPr>
        <w:t xml:space="preserve">National Housing Finance and Investment Corporation </w:t>
      </w:r>
      <w:r w:rsidR="006C378F" w:rsidRPr="008F5298">
        <w:rPr>
          <w:i/>
        </w:rPr>
        <w:t xml:space="preserve">Act </w:t>
      </w:r>
      <w:r w:rsidRPr="008F5298">
        <w:rPr>
          <w:i/>
        </w:rPr>
        <w:t>2018</w:t>
      </w:r>
    </w:p>
    <w:p w14:paraId="288672E7" w14:textId="3D007C48" w:rsidR="00F109D4" w:rsidRPr="008F5298" w:rsidRDefault="006C378F" w:rsidP="003916BB">
      <w:pPr>
        <w:keepLines/>
        <w:tabs>
          <w:tab w:val="left" w:pos="1418"/>
        </w:tabs>
        <w:spacing w:before="0" w:after="240"/>
        <w:jc w:val="center"/>
        <w:rPr>
          <w:i/>
        </w:rPr>
      </w:pPr>
      <w:r w:rsidRPr="008F5298">
        <w:rPr>
          <w:i/>
          <w:noProof/>
        </w:rPr>
        <w:t xml:space="preserve">National Housing Finance and Investment </w:t>
      </w:r>
      <w:r w:rsidR="00AD033B" w:rsidRPr="008F5298">
        <w:rPr>
          <w:i/>
          <w:noProof/>
        </w:rPr>
        <w:t xml:space="preserve">Corporation Investment Mandate </w:t>
      </w:r>
      <w:r w:rsidR="006819F9" w:rsidRPr="008F5298">
        <w:rPr>
          <w:i/>
          <w:noProof/>
        </w:rPr>
        <w:t>Amendment</w:t>
      </w:r>
      <w:r w:rsidRPr="008F5298">
        <w:rPr>
          <w:i/>
          <w:noProof/>
        </w:rPr>
        <w:t xml:space="preserve"> (</w:t>
      </w:r>
      <w:r w:rsidR="00F03F8C" w:rsidRPr="008F5298">
        <w:rPr>
          <w:i/>
          <w:noProof/>
        </w:rPr>
        <w:t>First Home Loan Deposit Scheme</w:t>
      </w:r>
      <w:r w:rsidR="006819F9" w:rsidRPr="008F5298">
        <w:rPr>
          <w:i/>
          <w:noProof/>
        </w:rPr>
        <w:t>) Direction</w:t>
      </w:r>
      <w:r w:rsidRPr="008F5298">
        <w:rPr>
          <w:i/>
          <w:noProof/>
        </w:rPr>
        <w:t xml:space="preserve"> 2019</w:t>
      </w:r>
    </w:p>
    <w:p w14:paraId="48F2D9BD" w14:textId="25DD5C93" w:rsidR="00F109D4" w:rsidRPr="008F5298" w:rsidRDefault="00C55D29" w:rsidP="003916BB">
      <w:pPr>
        <w:keepLines/>
        <w:spacing w:before="240"/>
      </w:pPr>
      <w:r w:rsidRPr="008F5298">
        <w:t>S</w:t>
      </w:r>
      <w:r w:rsidR="00CF5729" w:rsidRPr="008F5298">
        <w:t>ubs</w:t>
      </w:r>
      <w:r w:rsidRPr="008F5298">
        <w:t xml:space="preserve">ection </w:t>
      </w:r>
      <w:r w:rsidR="00CF5729" w:rsidRPr="008F5298">
        <w:t xml:space="preserve">12(1) </w:t>
      </w:r>
      <w:r w:rsidR="00F109D4" w:rsidRPr="008F5298">
        <w:t xml:space="preserve">of the </w:t>
      </w:r>
      <w:r w:rsidR="00CF5729" w:rsidRPr="008F5298">
        <w:rPr>
          <w:i/>
        </w:rPr>
        <w:t xml:space="preserve">National Housing Finance and Investment Corporation </w:t>
      </w:r>
      <w:r w:rsidR="001D0484" w:rsidRPr="008F5298">
        <w:rPr>
          <w:i/>
        </w:rPr>
        <w:t>Act </w:t>
      </w:r>
      <w:r w:rsidR="00CF5729" w:rsidRPr="008F5298">
        <w:rPr>
          <w:i/>
        </w:rPr>
        <w:t>2018</w:t>
      </w:r>
      <w:r w:rsidR="00F109D4" w:rsidRPr="008F5298">
        <w:t xml:space="preserve"> (the Act) provides that the </w:t>
      </w:r>
      <w:r w:rsidR="00CF5729" w:rsidRPr="008F5298">
        <w:t>Minister</w:t>
      </w:r>
      <w:r w:rsidR="00F109D4" w:rsidRPr="008F5298">
        <w:t xml:space="preserve"> may</w:t>
      </w:r>
      <w:r w:rsidR="00CF5729" w:rsidRPr="008F5298">
        <w:t>, by legislative instrument, give the Board of the National Housing Finance and Investment Corporation (NHFIC) directions about the performance of the NHFIC’s functions.</w:t>
      </w:r>
    </w:p>
    <w:p w14:paraId="27980EFD" w14:textId="6898E282" w:rsidR="00F109D4" w:rsidRPr="008F5298" w:rsidRDefault="00CF5729" w:rsidP="003916BB">
      <w:pPr>
        <w:keepLines/>
        <w:spacing w:before="240"/>
      </w:pPr>
      <w:r w:rsidRPr="008F5298">
        <w:t xml:space="preserve">The </w:t>
      </w:r>
      <w:r w:rsidR="008127CD" w:rsidRPr="008F5298">
        <w:rPr>
          <w:i/>
          <w:noProof/>
        </w:rPr>
        <w:t xml:space="preserve">National Housing Finance and Investment </w:t>
      </w:r>
      <w:r w:rsidR="004A0FF8" w:rsidRPr="008F5298">
        <w:rPr>
          <w:i/>
          <w:noProof/>
        </w:rPr>
        <w:t xml:space="preserve">Corporation Investment Mandate </w:t>
      </w:r>
      <w:r w:rsidR="00B868DB" w:rsidRPr="008F5298">
        <w:rPr>
          <w:i/>
          <w:noProof/>
        </w:rPr>
        <w:t xml:space="preserve">Amendment </w:t>
      </w:r>
      <w:r w:rsidR="008127CD" w:rsidRPr="008F5298">
        <w:rPr>
          <w:i/>
          <w:noProof/>
        </w:rPr>
        <w:t>(</w:t>
      </w:r>
      <w:r w:rsidR="00F03F8C" w:rsidRPr="008F5298">
        <w:rPr>
          <w:i/>
          <w:noProof/>
        </w:rPr>
        <w:t>First Home Loan Deposit Scheme</w:t>
      </w:r>
      <w:r w:rsidR="008127CD" w:rsidRPr="008F5298">
        <w:rPr>
          <w:i/>
          <w:noProof/>
        </w:rPr>
        <w:t xml:space="preserve">) </w:t>
      </w:r>
      <w:r w:rsidR="00B868DB" w:rsidRPr="008F5298">
        <w:rPr>
          <w:i/>
          <w:noProof/>
        </w:rPr>
        <w:t>Direction</w:t>
      </w:r>
      <w:r w:rsidR="008127CD" w:rsidRPr="008F5298">
        <w:rPr>
          <w:i/>
          <w:noProof/>
        </w:rPr>
        <w:t xml:space="preserve"> 2019 </w:t>
      </w:r>
      <w:r w:rsidRPr="008F5298">
        <w:rPr>
          <w:noProof/>
        </w:rPr>
        <w:t xml:space="preserve">(the Instrument) amends the </w:t>
      </w:r>
      <w:r w:rsidRPr="008F5298">
        <w:rPr>
          <w:i/>
        </w:rPr>
        <w:t>National Housing Finance and Investment Corporation Investment Mandate Direction 2018</w:t>
      </w:r>
      <w:r w:rsidRPr="008F5298">
        <w:t xml:space="preserve"> (the Investment Mandate). </w:t>
      </w:r>
    </w:p>
    <w:p w14:paraId="10CC8814" w14:textId="692E36A2" w:rsidR="0009567E" w:rsidRPr="008F5298" w:rsidRDefault="00B42392" w:rsidP="003916BB">
      <w:pPr>
        <w:keepLines/>
        <w:spacing w:before="240"/>
      </w:pPr>
      <w:r w:rsidRPr="008F5298">
        <w:t xml:space="preserve">The </w:t>
      </w:r>
      <w:r w:rsidRPr="008F5298">
        <w:rPr>
          <w:i/>
        </w:rPr>
        <w:t xml:space="preserve">National Housing Finance and Investment Corporation Amendment </w:t>
      </w:r>
      <w:r w:rsidR="008A07BC" w:rsidRPr="008F5298">
        <w:rPr>
          <w:i/>
        </w:rPr>
        <w:t>Act</w:t>
      </w:r>
      <w:r w:rsidRPr="008F5298">
        <w:rPr>
          <w:i/>
        </w:rPr>
        <w:t xml:space="preserve"> 2019 </w:t>
      </w:r>
      <w:r w:rsidRPr="008F5298">
        <w:t>amend</w:t>
      </w:r>
      <w:r w:rsidR="008A07BC" w:rsidRPr="008F5298">
        <w:t>ed</w:t>
      </w:r>
      <w:r w:rsidR="006D0964" w:rsidRPr="008F5298">
        <w:t xml:space="preserve"> the</w:t>
      </w:r>
      <w:r w:rsidRPr="008F5298">
        <w:t xml:space="preserve"> Act to</w:t>
      </w:r>
      <w:r w:rsidR="0009567E" w:rsidRPr="008F5298">
        <w:t>:</w:t>
      </w:r>
    </w:p>
    <w:p w14:paraId="793EBA4C" w14:textId="77777777" w:rsidR="0009567E" w:rsidRPr="008F5298" w:rsidRDefault="00B42392" w:rsidP="003916BB">
      <w:pPr>
        <w:pStyle w:val="Dotpoint"/>
        <w:keepLines/>
      </w:pPr>
      <w:r w:rsidRPr="008F5298">
        <w:t xml:space="preserve">authorise </w:t>
      </w:r>
      <w:r w:rsidR="0009567E" w:rsidRPr="008F5298">
        <w:t xml:space="preserve">and fund </w:t>
      </w:r>
      <w:r w:rsidRPr="008F5298">
        <w:t xml:space="preserve">the NHFIC to </w:t>
      </w:r>
      <w:r w:rsidR="0009567E" w:rsidRPr="008F5298">
        <w:t>provide a limited guarantee to lenders to allow eligible first home buyers to purchase or construct a dwelling sooner; and</w:t>
      </w:r>
    </w:p>
    <w:p w14:paraId="418478E4" w14:textId="1FE96F36" w:rsidR="00B42392" w:rsidRPr="008F5298" w:rsidRDefault="0009567E" w:rsidP="003916BB">
      <w:pPr>
        <w:pStyle w:val="Dotpoint"/>
        <w:keepLines/>
      </w:pPr>
      <w:proofErr w:type="gramStart"/>
      <w:r w:rsidRPr="008F5298">
        <w:t>authorise</w:t>
      </w:r>
      <w:proofErr w:type="gramEnd"/>
      <w:r w:rsidRPr="008F5298">
        <w:t xml:space="preserve"> the NHFIC to undertake research into housing affordability, supply and demand. </w:t>
      </w:r>
    </w:p>
    <w:p w14:paraId="72269014" w14:textId="59ACC875" w:rsidR="0009567E" w:rsidRPr="008F5298" w:rsidRDefault="0009567E" w:rsidP="003916BB">
      <w:pPr>
        <w:keepLines/>
        <w:spacing w:before="240"/>
      </w:pPr>
      <w:r w:rsidRPr="008F5298">
        <w:t>The Instrument amends the Investment Mandate to provide the NHFIC</w:t>
      </w:r>
      <w:r w:rsidR="00AF39F8" w:rsidRPr="008F5298">
        <w:t xml:space="preserve"> with the</w:t>
      </w:r>
      <w:r w:rsidRPr="008F5298">
        <w:t xml:space="preserve"> function to provide limited guarantees</w:t>
      </w:r>
      <w:r w:rsidR="004333F8" w:rsidRPr="008F5298">
        <w:t xml:space="preserve"> for first home loans</w:t>
      </w:r>
      <w:r w:rsidRPr="008F5298">
        <w:t xml:space="preserve"> to give effect to the First Home Loan Deposit Scheme. </w:t>
      </w:r>
    </w:p>
    <w:p w14:paraId="75393A21" w14:textId="60B7B652" w:rsidR="000C5ADA" w:rsidRPr="008F5298" w:rsidRDefault="000C5ADA" w:rsidP="000C5ADA">
      <w:pPr>
        <w:keepLines/>
        <w:spacing w:before="240"/>
      </w:pPr>
      <w:r w:rsidRPr="008F5298">
        <w:t xml:space="preserve">On 12 May 2019, the Government announced </w:t>
      </w:r>
      <w:r w:rsidR="0021660C" w:rsidRPr="008F5298">
        <w:t xml:space="preserve">the First Home Loan Deposit Scheme </w:t>
      </w:r>
      <w:r w:rsidR="0079187D" w:rsidRPr="008F5298">
        <w:t>under which</w:t>
      </w:r>
      <w:r w:rsidR="0021660C" w:rsidRPr="008F5298">
        <w:t xml:space="preserve"> </w:t>
      </w:r>
      <w:r w:rsidRPr="008F5298">
        <w:t xml:space="preserve">the Commonwealth, </w:t>
      </w:r>
      <w:r w:rsidR="0079187D" w:rsidRPr="008F5298">
        <w:t>through</w:t>
      </w:r>
      <w:r w:rsidRPr="008F5298">
        <w:t xml:space="preserve"> the NHFIC, would provide a guarantee to allow eligible borrowers to purchase a modest home with a deposit of as little as 5</w:t>
      </w:r>
      <w:r w:rsidR="00A735A5" w:rsidRPr="008F5298">
        <w:t> </w:t>
      </w:r>
      <w:r w:rsidRPr="008F5298">
        <w:t>per</w:t>
      </w:r>
      <w:r w:rsidR="00A735A5" w:rsidRPr="008F5298">
        <w:t> </w:t>
      </w:r>
      <w:r w:rsidRPr="008F5298">
        <w:t>cent.</w:t>
      </w:r>
      <w:r w:rsidR="0021660C" w:rsidRPr="008F5298">
        <w:t xml:space="preserve"> </w:t>
      </w:r>
      <w:r w:rsidRPr="008F5298">
        <w:t xml:space="preserve">The Government announced that the First Home Loan Deposit Scheme is intended to </w:t>
      </w:r>
      <w:r w:rsidR="005F5F0A" w:rsidRPr="008F5298">
        <w:t xml:space="preserve">provide </w:t>
      </w:r>
      <w:r w:rsidRPr="008F5298">
        <w:t xml:space="preserve">up to 10,000 </w:t>
      </w:r>
      <w:r w:rsidR="005F5F0A" w:rsidRPr="008F5298">
        <w:t>guarantees each year to support</w:t>
      </w:r>
      <w:r w:rsidRPr="008F5298">
        <w:t xml:space="preserve"> purchases of dwellings by first home buyers, and that eligibility criteria will incorporate income and regional dwelling price </w:t>
      </w:r>
      <w:r w:rsidR="008A65FA" w:rsidRPr="008F5298">
        <w:t>caps</w:t>
      </w:r>
      <w:r w:rsidRPr="008F5298">
        <w:t xml:space="preserve">. </w:t>
      </w:r>
    </w:p>
    <w:p w14:paraId="2F77F582" w14:textId="478A2CC5" w:rsidR="000C5ADA" w:rsidRPr="008F5298" w:rsidRDefault="000C5ADA" w:rsidP="000C5ADA">
      <w:pPr>
        <w:keepLines/>
        <w:spacing w:before="240"/>
      </w:pPr>
      <w:r w:rsidRPr="008F5298">
        <w:t xml:space="preserve">Research </w:t>
      </w:r>
      <w:r w:rsidR="00AF39F8" w:rsidRPr="008F5298">
        <w:t>demonstrates</w:t>
      </w:r>
      <w:r w:rsidRPr="008F5298">
        <w:t xml:space="preserve"> that the ability to save a deposit </w:t>
      </w:r>
      <w:r w:rsidR="005F5F0A" w:rsidRPr="008F5298">
        <w:t xml:space="preserve">has become </w:t>
      </w:r>
      <w:r w:rsidRPr="008F5298">
        <w:t>a greater constraint on home ownership for first home buyers than the ability to service a home loan.</w:t>
      </w:r>
      <w:r w:rsidR="005F5F0A" w:rsidRPr="008F5298">
        <w:t xml:space="preserve"> The First Home Loan Deposit Scheme is designed to allow first home buyers to access the </w:t>
      </w:r>
      <w:r w:rsidR="00B84102">
        <w:t xml:space="preserve">housing </w:t>
      </w:r>
      <w:r w:rsidR="005F5F0A" w:rsidRPr="008F5298">
        <w:t>market sooner.</w:t>
      </w:r>
    </w:p>
    <w:p w14:paraId="281236E6" w14:textId="19ACFE73" w:rsidR="000C5ADA" w:rsidRPr="008F5298" w:rsidRDefault="000C5ADA" w:rsidP="000C5ADA">
      <w:pPr>
        <w:keepLines/>
        <w:spacing w:before="240"/>
      </w:pPr>
      <w:r w:rsidRPr="008F5298">
        <w:lastRenderedPageBreak/>
        <w:t>The Government also announced that the NHFIC will develop the capacity to conduct research into housing demand, supply and affordability. The NHFIC’s new research function is intended to support the monitoring of housing demand, supply and affordability in Australia – highlighting current and potential gaps between housing supply and demand while also complementing existing Australian housing related research.</w:t>
      </w:r>
    </w:p>
    <w:p w14:paraId="487C8F21" w14:textId="57108756" w:rsidR="005F5F0A" w:rsidRDefault="005F5F0A" w:rsidP="005F5F0A">
      <w:pPr>
        <w:keepLines/>
        <w:spacing w:before="240"/>
      </w:pPr>
      <w:r w:rsidRPr="008F5298">
        <w:t xml:space="preserve">The First Home Loan Deposit Scheme complements other measures the Government has taken to reduce pressure on housing affordability in Australia. The Government has successfully implemented </w:t>
      </w:r>
      <w:r w:rsidR="00B84102">
        <w:t>most</w:t>
      </w:r>
      <w:r w:rsidRPr="008F5298">
        <w:t xml:space="preserve"> of measures announced in the Reducing Pressure on Housing Affordability 2017-18 Budget package, including the First Home Super Saver Scheme which assists savers to build a deposit for a first home inside their superannuation fund by making voluntary contributions, and reducing barriers to downsizing to free up homes for younger families.</w:t>
      </w:r>
    </w:p>
    <w:p w14:paraId="4733C697" w14:textId="5F6FFD9D" w:rsidR="00EB49E9" w:rsidRPr="008F5298" w:rsidRDefault="00EB49E9" w:rsidP="005F5F0A">
      <w:pPr>
        <w:keepLines/>
        <w:spacing w:before="240"/>
      </w:pPr>
      <w:r>
        <w:t>Consultation was undertaken with the NHFIC during the development of the Instrument.</w:t>
      </w:r>
    </w:p>
    <w:p w14:paraId="772ACCF4" w14:textId="6171589D" w:rsidR="009143A0" w:rsidRPr="008F5298" w:rsidRDefault="00285673" w:rsidP="003916BB">
      <w:pPr>
        <w:keepLines/>
        <w:spacing w:before="240"/>
      </w:pPr>
      <w:r w:rsidRPr="008F5298">
        <w:t xml:space="preserve">Under </w:t>
      </w:r>
      <w:r w:rsidR="007C7CBF" w:rsidRPr="008F5298">
        <w:t>section</w:t>
      </w:r>
      <w:r w:rsidRPr="008F5298">
        <w:t xml:space="preserve"> 2</w:t>
      </w:r>
      <w:r w:rsidR="008D7CFF" w:rsidRPr="008F5298">
        <w:t>,</w:t>
      </w:r>
      <w:r w:rsidRPr="008F5298">
        <w:t xml:space="preserve"> t</w:t>
      </w:r>
      <w:r w:rsidR="00F109D4" w:rsidRPr="008F5298">
        <w:t xml:space="preserve">he </w:t>
      </w:r>
      <w:r w:rsidR="009E4B20" w:rsidRPr="008F5298">
        <w:t>Instrument</w:t>
      </w:r>
      <w:r w:rsidR="00F109D4" w:rsidRPr="008F5298">
        <w:t xml:space="preserve"> commence</w:t>
      </w:r>
      <w:r w:rsidR="00F03F8C" w:rsidRPr="008F5298">
        <w:t>s</w:t>
      </w:r>
      <w:r w:rsidR="00F109D4" w:rsidRPr="008F5298">
        <w:t xml:space="preserve"> on </w:t>
      </w:r>
      <w:r w:rsidR="006E5741" w:rsidRPr="008F5298">
        <w:t xml:space="preserve">the day after </w:t>
      </w:r>
      <w:r w:rsidR="008127CD" w:rsidRPr="008F5298">
        <w:t xml:space="preserve">the day </w:t>
      </w:r>
      <w:r w:rsidR="009E4B20" w:rsidRPr="008F5298">
        <w:t xml:space="preserve">it </w:t>
      </w:r>
      <w:r w:rsidR="00F03F8C" w:rsidRPr="008F5298">
        <w:t>is</w:t>
      </w:r>
      <w:r w:rsidR="006E5741" w:rsidRPr="008F5298">
        <w:t xml:space="preserve"> registered</w:t>
      </w:r>
      <w:r w:rsidR="008127CD" w:rsidRPr="008F5298">
        <w:t xml:space="preserve"> on the Federal Register of Legislation</w:t>
      </w:r>
      <w:r w:rsidR="006E5741" w:rsidRPr="008F5298">
        <w:t xml:space="preserve">. </w:t>
      </w:r>
    </w:p>
    <w:p w14:paraId="13F01F76" w14:textId="260A13D7" w:rsidR="006D0964" w:rsidRPr="008F5298" w:rsidRDefault="006D0964" w:rsidP="003916BB">
      <w:pPr>
        <w:keepLines/>
        <w:spacing w:before="0" w:after="0"/>
        <w:rPr>
          <w:b/>
        </w:rPr>
      </w:pPr>
      <w:r w:rsidRPr="008F5298">
        <w:t xml:space="preserve">Details of the Instrument are </w:t>
      </w:r>
      <w:r w:rsidR="00AF39F8" w:rsidRPr="008F5298">
        <w:t>included</w:t>
      </w:r>
      <w:r w:rsidRPr="008F5298">
        <w:t xml:space="preserve"> in the </w:t>
      </w:r>
      <w:r w:rsidRPr="008F5298">
        <w:rPr>
          <w:u w:val="single"/>
        </w:rPr>
        <w:t>Attachment</w:t>
      </w:r>
      <w:r w:rsidRPr="008F5298">
        <w:t>.</w:t>
      </w:r>
    </w:p>
    <w:p w14:paraId="6E684433" w14:textId="77777777" w:rsidR="00BA6AAD" w:rsidRPr="008F5298" w:rsidRDefault="00BA6AAD" w:rsidP="003916BB">
      <w:pPr>
        <w:keepLines/>
        <w:pageBreakBefore/>
        <w:shd w:val="clear" w:color="auto" w:fill="FFFFFF"/>
        <w:spacing w:before="0" w:after="240"/>
        <w:ind w:right="91"/>
        <w:jc w:val="right"/>
        <w:rPr>
          <w:sz w:val="28"/>
          <w:szCs w:val="24"/>
          <w:lang w:val="en-US"/>
        </w:rPr>
      </w:pPr>
      <w:r w:rsidRPr="008F5298">
        <w:rPr>
          <w:b/>
          <w:bCs/>
          <w:sz w:val="28"/>
          <w:szCs w:val="24"/>
          <w:u w:val="single"/>
        </w:rPr>
        <w:lastRenderedPageBreak/>
        <w:t>ATTACHMENT</w:t>
      </w:r>
    </w:p>
    <w:p w14:paraId="310D3F55" w14:textId="464818BB" w:rsidR="00BA6AAD" w:rsidRPr="008F5298" w:rsidRDefault="00BA6AAD" w:rsidP="003916BB">
      <w:pPr>
        <w:keepLines/>
        <w:spacing w:before="240"/>
        <w:jc w:val="center"/>
        <w:rPr>
          <w:b/>
          <w:sz w:val="28"/>
          <w:u w:val="single"/>
        </w:rPr>
      </w:pPr>
      <w:r w:rsidRPr="008F5298">
        <w:rPr>
          <w:b/>
          <w:sz w:val="28"/>
          <w:u w:val="single"/>
        </w:rPr>
        <w:t xml:space="preserve">Details of the </w:t>
      </w:r>
      <w:r w:rsidRPr="008F5298">
        <w:rPr>
          <w:b/>
          <w:i/>
          <w:sz w:val="28"/>
          <w:u w:val="single"/>
        </w:rPr>
        <w:t xml:space="preserve">National Housing Finance and Investment Corporation Investment Mandate </w:t>
      </w:r>
      <w:r w:rsidR="008F439E" w:rsidRPr="008F5298">
        <w:rPr>
          <w:b/>
          <w:i/>
          <w:sz w:val="28"/>
          <w:u w:val="single"/>
        </w:rPr>
        <w:t>Amendment</w:t>
      </w:r>
      <w:r w:rsidRPr="008F5298">
        <w:rPr>
          <w:b/>
          <w:i/>
          <w:sz w:val="28"/>
          <w:u w:val="single"/>
        </w:rPr>
        <w:t xml:space="preserve"> (First Home Loan Deposit Scheme) </w:t>
      </w:r>
      <w:r w:rsidR="008F439E" w:rsidRPr="008F5298">
        <w:rPr>
          <w:b/>
          <w:i/>
          <w:sz w:val="28"/>
          <w:u w:val="single"/>
        </w:rPr>
        <w:t>Direction</w:t>
      </w:r>
      <w:r w:rsidRPr="008F5298">
        <w:rPr>
          <w:b/>
          <w:i/>
          <w:sz w:val="28"/>
          <w:u w:val="single"/>
        </w:rPr>
        <w:t xml:space="preserve"> 2019</w:t>
      </w:r>
    </w:p>
    <w:p w14:paraId="64435B72" w14:textId="77777777" w:rsidR="00BA6AAD" w:rsidRPr="008F5298" w:rsidRDefault="00BA6AAD" w:rsidP="00F05A3A">
      <w:pPr>
        <w:pStyle w:val="Heading2"/>
        <w:keepLines/>
      </w:pPr>
      <w:r w:rsidRPr="008F5298">
        <w:t>Part 1 – Preliminary</w:t>
      </w:r>
    </w:p>
    <w:p w14:paraId="07180DC4" w14:textId="77777777" w:rsidR="00BA6AAD" w:rsidRPr="008F5298" w:rsidRDefault="00BA6AAD" w:rsidP="00F05A3A">
      <w:pPr>
        <w:pStyle w:val="Heading3"/>
        <w:keepLines/>
      </w:pPr>
      <w:r w:rsidRPr="008F5298">
        <w:t>Section 1 – Name of the investment mandate</w:t>
      </w:r>
    </w:p>
    <w:p w14:paraId="40D4DA84" w14:textId="4A5A33A8" w:rsidR="00BA6AAD" w:rsidRPr="008F5298" w:rsidRDefault="00BA6AAD" w:rsidP="003916BB">
      <w:pPr>
        <w:keepLines/>
        <w:spacing w:before="240"/>
      </w:pPr>
      <w:r w:rsidRPr="008F5298">
        <w:t xml:space="preserve">Section 1 provides that the title of the </w:t>
      </w:r>
      <w:r w:rsidR="006D0964" w:rsidRPr="008F5298">
        <w:t>Instrument</w:t>
      </w:r>
      <w:r w:rsidRPr="008F5298">
        <w:t xml:space="preserve"> is the </w:t>
      </w:r>
      <w:r w:rsidRPr="008F5298">
        <w:rPr>
          <w:i/>
        </w:rPr>
        <w:t xml:space="preserve">National Housing Finance and Investment Corporation Investment Mandate </w:t>
      </w:r>
      <w:r w:rsidR="00B868DB" w:rsidRPr="008F5298">
        <w:rPr>
          <w:i/>
        </w:rPr>
        <w:t xml:space="preserve">Amendment </w:t>
      </w:r>
      <w:r w:rsidRPr="008F5298">
        <w:rPr>
          <w:i/>
        </w:rPr>
        <w:t xml:space="preserve">(First Home Loan Deposit Scheme) </w:t>
      </w:r>
      <w:r w:rsidR="00B868DB" w:rsidRPr="008F5298">
        <w:rPr>
          <w:i/>
        </w:rPr>
        <w:t xml:space="preserve">Direction </w:t>
      </w:r>
      <w:r w:rsidRPr="008F5298">
        <w:rPr>
          <w:i/>
        </w:rPr>
        <w:t>2019</w:t>
      </w:r>
      <w:r w:rsidRPr="008F5298">
        <w:t>.</w:t>
      </w:r>
    </w:p>
    <w:p w14:paraId="40CFCA47" w14:textId="77777777" w:rsidR="00BA6AAD" w:rsidRPr="008F5298" w:rsidRDefault="00BA6AAD" w:rsidP="00F05A3A">
      <w:pPr>
        <w:pStyle w:val="Heading3"/>
        <w:keepLines/>
      </w:pPr>
      <w:r w:rsidRPr="008F5298">
        <w:t>Section 2 – Commencement</w:t>
      </w:r>
    </w:p>
    <w:p w14:paraId="7E8FD4D7" w14:textId="51BB6269" w:rsidR="00BA6AAD" w:rsidRPr="008F5298" w:rsidRDefault="00BA6AAD" w:rsidP="003916BB">
      <w:pPr>
        <w:keepLines/>
        <w:spacing w:before="240"/>
      </w:pPr>
      <w:r w:rsidRPr="008F5298">
        <w:t xml:space="preserve">Section 2 provides that the </w:t>
      </w:r>
      <w:r w:rsidR="006D0964" w:rsidRPr="008F5298">
        <w:t>Instrument</w:t>
      </w:r>
      <w:r w:rsidRPr="008F5298">
        <w:t xml:space="preserve"> commences the day after it is registered. </w:t>
      </w:r>
    </w:p>
    <w:p w14:paraId="6EE52E25" w14:textId="77777777" w:rsidR="00BA6AAD" w:rsidRPr="008F5298" w:rsidRDefault="00BA6AAD" w:rsidP="00F05A3A">
      <w:pPr>
        <w:pStyle w:val="Heading3"/>
        <w:keepLines/>
      </w:pPr>
      <w:r w:rsidRPr="008F5298">
        <w:t>Section 3 – Authority</w:t>
      </w:r>
    </w:p>
    <w:p w14:paraId="504CF846" w14:textId="6BA7DABF" w:rsidR="00BA6AAD" w:rsidRPr="008F5298" w:rsidRDefault="00BA6AAD" w:rsidP="003916BB">
      <w:pPr>
        <w:keepLines/>
        <w:spacing w:before="240"/>
      </w:pPr>
      <w:r w:rsidRPr="008F5298">
        <w:t xml:space="preserve">Section 3 provides that the </w:t>
      </w:r>
      <w:r w:rsidR="002209CC" w:rsidRPr="008F5298">
        <w:t xml:space="preserve">Instrument </w:t>
      </w:r>
      <w:r w:rsidRPr="008F5298">
        <w:t xml:space="preserve">is made under subsection 12(1) of the </w:t>
      </w:r>
      <w:r w:rsidR="006D0964" w:rsidRPr="008F5298">
        <w:t>Act</w:t>
      </w:r>
      <w:r w:rsidRPr="008F5298">
        <w:t xml:space="preserve">. </w:t>
      </w:r>
    </w:p>
    <w:p w14:paraId="033FC7C2" w14:textId="34D192A2" w:rsidR="0021660C" w:rsidRPr="008F5298" w:rsidRDefault="003926AB" w:rsidP="00F05A3A">
      <w:pPr>
        <w:pStyle w:val="Heading3"/>
        <w:keepLines/>
      </w:pPr>
      <w:r w:rsidRPr="008F5298">
        <w:t>Section 4 – Amendments</w:t>
      </w:r>
    </w:p>
    <w:p w14:paraId="66F313E9" w14:textId="0148C67D" w:rsidR="003926AB" w:rsidRPr="008F5298" w:rsidRDefault="004A40B4" w:rsidP="00F05A3A">
      <w:pPr>
        <w:pStyle w:val="base-text-paragraph"/>
        <w:keepLines/>
        <w:ind w:left="0"/>
      </w:pPr>
      <w:r w:rsidRPr="008F5298">
        <w:t xml:space="preserve">Section 4 </w:t>
      </w:r>
      <w:r w:rsidR="004333F8" w:rsidRPr="008F5298">
        <w:t>has the effect</w:t>
      </w:r>
      <w:r w:rsidRPr="008F5298">
        <w:t xml:space="preserve"> that </w:t>
      </w:r>
      <w:r w:rsidR="003401D5" w:rsidRPr="008F5298">
        <w:t xml:space="preserve">the </w:t>
      </w:r>
      <w:r w:rsidR="003401D5" w:rsidRPr="008F5298">
        <w:rPr>
          <w:i/>
        </w:rPr>
        <w:t xml:space="preserve">National Housing Finance and Investment Corporation </w:t>
      </w:r>
      <w:r w:rsidRPr="008F5298">
        <w:rPr>
          <w:i/>
        </w:rPr>
        <w:t xml:space="preserve">Investment Mandate </w:t>
      </w:r>
      <w:r w:rsidR="003401D5" w:rsidRPr="008F5298">
        <w:rPr>
          <w:i/>
        </w:rPr>
        <w:t>Direction 2018</w:t>
      </w:r>
      <w:r w:rsidR="003401D5" w:rsidRPr="008F5298">
        <w:t xml:space="preserve"> (</w:t>
      </w:r>
      <w:r w:rsidRPr="008F5298">
        <w:t>Investment Mandate</w:t>
      </w:r>
      <w:r w:rsidR="003401D5" w:rsidRPr="008F5298">
        <w:t>)</w:t>
      </w:r>
      <w:r w:rsidRPr="008F5298">
        <w:t xml:space="preserve"> specified in Schedule 1 </w:t>
      </w:r>
      <w:r w:rsidR="00DC0513" w:rsidRPr="008F5298">
        <w:t xml:space="preserve">of </w:t>
      </w:r>
      <w:r w:rsidRPr="008F5298">
        <w:t>the Instrument is amended as set out in the applicable items in the Schedule.</w:t>
      </w:r>
    </w:p>
    <w:p w14:paraId="3EF4844E" w14:textId="093E18EE" w:rsidR="006D0964" w:rsidRPr="008F5298" w:rsidRDefault="008A07BC" w:rsidP="00F05A3A">
      <w:pPr>
        <w:pStyle w:val="Heading2"/>
        <w:keepLines/>
      </w:pPr>
      <w:r w:rsidRPr="008F5298">
        <w:t>The First Home Loan Deposit Scheme</w:t>
      </w:r>
    </w:p>
    <w:p w14:paraId="02F46655" w14:textId="3786EEAB" w:rsidR="00D42C7B" w:rsidRPr="008F5298" w:rsidRDefault="004C4E39" w:rsidP="00D42C7B">
      <w:pPr>
        <w:keepLines/>
        <w:spacing w:before="240"/>
      </w:pPr>
      <w:r w:rsidRPr="008F5298">
        <w:t xml:space="preserve">Item </w:t>
      </w:r>
      <w:r w:rsidR="00D42C7B" w:rsidRPr="008F5298">
        <w:t xml:space="preserve">2 of Schedule 1 </w:t>
      </w:r>
      <w:r w:rsidR="00D279CC" w:rsidRPr="008F5298">
        <w:t>to</w:t>
      </w:r>
      <w:r w:rsidR="00D42C7B" w:rsidRPr="008F5298">
        <w:t xml:space="preserve"> the Instrument insert</w:t>
      </w:r>
      <w:r w:rsidR="00941061" w:rsidRPr="008F5298">
        <w:t>s</w:t>
      </w:r>
      <w:r w:rsidR="003851F7" w:rsidRPr="008F5298">
        <w:t xml:space="preserve"> a definition of FHLDS in</w:t>
      </w:r>
      <w:r w:rsidR="00D42C7B" w:rsidRPr="008F5298">
        <w:t xml:space="preserve"> section 4 of the Investment Mandate </w:t>
      </w:r>
      <w:r w:rsidR="003401D5" w:rsidRPr="008F5298">
        <w:t xml:space="preserve">that is </w:t>
      </w:r>
      <w:r w:rsidR="00D42C7B" w:rsidRPr="008F5298">
        <w:t xml:space="preserve">consistent with </w:t>
      </w:r>
      <w:r w:rsidR="003401D5" w:rsidRPr="008F5298">
        <w:t>the</w:t>
      </w:r>
      <w:r w:rsidR="00D42C7B" w:rsidRPr="008F5298">
        <w:t xml:space="preserve"> meaning set out in section 8A</w:t>
      </w:r>
      <w:r w:rsidR="003851F7" w:rsidRPr="008F5298">
        <w:t>. Section 8A</w:t>
      </w:r>
      <w:r w:rsidR="00D42C7B" w:rsidRPr="008F5298">
        <w:t xml:space="preserve"> </w:t>
      </w:r>
      <w:r w:rsidR="003851F7" w:rsidRPr="008F5298">
        <w:t>provides that</w:t>
      </w:r>
      <w:r w:rsidR="00D42C7B" w:rsidRPr="008F5298">
        <w:t xml:space="preserve"> </w:t>
      </w:r>
      <w:r w:rsidR="003851F7" w:rsidRPr="008F5298">
        <w:t xml:space="preserve">the NHFIC must establish and operate </w:t>
      </w:r>
      <w:r w:rsidR="00D42C7B" w:rsidRPr="008F5298">
        <w:t xml:space="preserve">the </w:t>
      </w:r>
      <w:r w:rsidR="003401D5" w:rsidRPr="008F5298">
        <w:t xml:space="preserve">First Home Loan Deposit </w:t>
      </w:r>
      <w:r w:rsidR="00D42C7B" w:rsidRPr="008F5298">
        <w:t>Scheme</w:t>
      </w:r>
      <w:r w:rsidR="003401D5" w:rsidRPr="008F5298">
        <w:t xml:space="preserve"> </w:t>
      </w:r>
      <w:r w:rsidR="00D42C7B" w:rsidRPr="008F5298">
        <w:t xml:space="preserve">in accordance with Part 5A of the Investment Mandate. </w:t>
      </w:r>
    </w:p>
    <w:p w14:paraId="399BD85C" w14:textId="398AD36A" w:rsidR="006D0964" w:rsidRPr="008F5298" w:rsidRDefault="004C4E39" w:rsidP="003916BB">
      <w:pPr>
        <w:keepLines/>
        <w:spacing w:before="240"/>
      </w:pPr>
      <w:r w:rsidRPr="008F5298">
        <w:t>Item</w:t>
      </w:r>
      <w:r w:rsidRPr="008F5298" w:rsidDel="005F3249">
        <w:t xml:space="preserve"> </w:t>
      </w:r>
      <w:r w:rsidR="005F3249" w:rsidRPr="008F5298">
        <w:t xml:space="preserve">6 </w:t>
      </w:r>
      <w:r w:rsidRPr="008F5298">
        <w:t xml:space="preserve">of </w:t>
      </w:r>
      <w:r w:rsidR="001771CF" w:rsidRPr="008F5298">
        <w:t xml:space="preserve">Schedule 1 to </w:t>
      </w:r>
      <w:r w:rsidRPr="008F5298">
        <w:t xml:space="preserve">the Instrument inserts new Part </w:t>
      </w:r>
      <w:r w:rsidR="008A07BC" w:rsidRPr="008F5298">
        <w:t xml:space="preserve">5A </w:t>
      </w:r>
      <w:r w:rsidR="003401D5" w:rsidRPr="008F5298">
        <w:t>in</w:t>
      </w:r>
      <w:r w:rsidR="008A07BC" w:rsidRPr="008F5298">
        <w:t xml:space="preserve"> the Investment </w:t>
      </w:r>
      <w:r w:rsidR="00D64666" w:rsidRPr="008F5298">
        <w:t>Mandate that</w:t>
      </w:r>
      <w:r w:rsidR="00224F8A" w:rsidRPr="008F5298">
        <w:t xml:space="preserve"> provides an</w:t>
      </w:r>
      <w:r w:rsidR="00C60DDD" w:rsidRPr="008F5298">
        <w:t xml:space="preserve"> outline </w:t>
      </w:r>
      <w:r w:rsidR="00224F8A" w:rsidRPr="008F5298">
        <w:t xml:space="preserve">of </w:t>
      </w:r>
      <w:r w:rsidR="00C60DDD" w:rsidRPr="008F5298">
        <w:t xml:space="preserve">the </w:t>
      </w:r>
      <w:r w:rsidR="006F2863" w:rsidRPr="008F5298">
        <w:t xml:space="preserve">First Home Loan Deposit </w:t>
      </w:r>
      <w:r w:rsidR="000738C4" w:rsidRPr="008F5298">
        <w:t xml:space="preserve">Scheme </w:t>
      </w:r>
      <w:r w:rsidR="00B868DB" w:rsidRPr="008F5298">
        <w:t>and the Government’s expectations for the operation of the Scheme</w:t>
      </w:r>
      <w:r w:rsidR="00C60DDD" w:rsidRPr="008F5298">
        <w:t xml:space="preserve">. </w:t>
      </w:r>
    </w:p>
    <w:p w14:paraId="7C0B9567" w14:textId="204AC6F2" w:rsidR="00C60DDD" w:rsidRPr="008F5298" w:rsidRDefault="00E03D38" w:rsidP="00F05A3A">
      <w:pPr>
        <w:pStyle w:val="Heading3"/>
        <w:keepLines/>
      </w:pPr>
      <w:r w:rsidRPr="008F5298">
        <w:t>Eligibility</w:t>
      </w:r>
      <w:r w:rsidR="00C60DDD" w:rsidRPr="008F5298">
        <w:t xml:space="preserve"> </w:t>
      </w:r>
      <w:r w:rsidRPr="008F5298">
        <w:t>criteria</w:t>
      </w:r>
    </w:p>
    <w:p w14:paraId="7F03532B" w14:textId="744F4B83" w:rsidR="00C60DDD" w:rsidRPr="008F5298" w:rsidRDefault="004A0C84" w:rsidP="003916BB">
      <w:pPr>
        <w:keepLines/>
        <w:spacing w:before="240"/>
      </w:pPr>
      <w:r w:rsidRPr="008F5298">
        <w:t>Section 29A provides that t</w:t>
      </w:r>
      <w:r w:rsidR="00C60DDD" w:rsidRPr="008F5298">
        <w:t>he NHFIC</w:t>
      </w:r>
      <w:r w:rsidR="00DC0513" w:rsidRPr="008F5298">
        <w:t xml:space="preserve">’s power to issue guarantees is limited to </w:t>
      </w:r>
      <w:r w:rsidR="008A4370" w:rsidRPr="008F5298">
        <w:t xml:space="preserve">guarantees </w:t>
      </w:r>
      <w:r w:rsidR="00DC0513" w:rsidRPr="008F5298">
        <w:t>for</w:t>
      </w:r>
      <w:r w:rsidR="008A4370" w:rsidRPr="008F5298">
        <w:t xml:space="preserve"> eligible loans </w:t>
      </w:r>
      <w:r w:rsidR="00840B24" w:rsidRPr="008F5298">
        <w:t>entered into by</w:t>
      </w:r>
      <w:r w:rsidR="008A4370" w:rsidRPr="008F5298">
        <w:t xml:space="preserve"> eligible lenders.</w:t>
      </w:r>
      <w:r w:rsidR="00FC1C5E" w:rsidRPr="008F5298" w:rsidDel="00FC1C5E">
        <w:t xml:space="preserve"> </w:t>
      </w:r>
      <w:r w:rsidR="00AF66FB" w:rsidRPr="008F5298">
        <w:t xml:space="preserve">These eligibility criteria give effect to the </w:t>
      </w:r>
      <w:r w:rsidR="006F2863" w:rsidRPr="008F5298">
        <w:t xml:space="preserve">First Home Loan Deposit </w:t>
      </w:r>
      <w:r w:rsidR="002D3DED" w:rsidRPr="008F5298">
        <w:t>Scheme</w:t>
      </w:r>
      <w:r w:rsidR="00AF66FB" w:rsidRPr="008F5298">
        <w:t xml:space="preserve">. </w:t>
      </w:r>
    </w:p>
    <w:p w14:paraId="026826BC" w14:textId="09D1DF6D" w:rsidR="00E03D38" w:rsidRPr="008F5298" w:rsidRDefault="00E03D38" w:rsidP="00F05A3A">
      <w:pPr>
        <w:pStyle w:val="Heading4"/>
        <w:keepLines/>
      </w:pPr>
      <w:r w:rsidRPr="008F5298">
        <w:lastRenderedPageBreak/>
        <w:t>Eligible lender</w:t>
      </w:r>
      <w:r w:rsidR="002808A6" w:rsidRPr="008F5298">
        <w:t>s</w:t>
      </w:r>
    </w:p>
    <w:p w14:paraId="1A4C9C0A" w14:textId="094C8352" w:rsidR="00AD0C03" w:rsidRPr="008F5298" w:rsidRDefault="00380FAA" w:rsidP="008E03A8">
      <w:pPr>
        <w:keepLines/>
        <w:spacing w:before="240"/>
      </w:pPr>
      <w:r w:rsidRPr="008F5298">
        <w:t>S</w:t>
      </w:r>
      <w:r w:rsidR="00D4448A" w:rsidRPr="008F5298">
        <w:t>ubs</w:t>
      </w:r>
      <w:r w:rsidR="00D53FEB" w:rsidRPr="008F5298">
        <w:t xml:space="preserve">ection </w:t>
      </w:r>
      <w:proofErr w:type="gramStart"/>
      <w:r w:rsidR="00D53FEB" w:rsidRPr="008F5298">
        <w:t>29B</w:t>
      </w:r>
      <w:r w:rsidR="00D4448A" w:rsidRPr="008F5298">
        <w:t>(</w:t>
      </w:r>
      <w:proofErr w:type="gramEnd"/>
      <w:r w:rsidR="00D4448A" w:rsidRPr="008F5298">
        <w:t>1)</w:t>
      </w:r>
      <w:r w:rsidR="00D53FEB" w:rsidRPr="008F5298">
        <w:t xml:space="preserve"> </w:t>
      </w:r>
      <w:r w:rsidRPr="008F5298">
        <w:t>provides that a</w:t>
      </w:r>
      <w:r w:rsidR="00E03D38" w:rsidRPr="008F5298">
        <w:t xml:space="preserve"> loan is only eligible </w:t>
      </w:r>
      <w:r w:rsidR="00C82FD5" w:rsidRPr="008F5298">
        <w:t xml:space="preserve">for a guarantee </w:t>
      </w:r>
      <w:r w:rsidR="00E03D38" w:rsidRPr="008F5298">
        <w:t xml:space="preserve">if the lender is approved by the NHFIC </w:t>
      </w:r>
      <w:r w:rsidR="00D53FEB" w:rsidRPr="008F5298">
        <w:t>(</w:t>
      </w:r>
      <w:r w:rsidR="005F3249" w:rsidRPr="008F5298">
        <w:t xml:space="preserve">as an </w:t>
      </w:r>
      <w:r w:rsidR="00D53FEB" w:rsidRPr="008F5298">
        <w:t xml:space="preserve">eligible lender) </w:t>
      </w:r>
      <w:r w:rsidR="00E03D38" w:rsidRPr="008F5298">
        <w:t xml:space="preserve">for the financial year in which the </w:t>
      </w:r>
      <w:r w:rsidR="00AF66FB" w:rsidRPr="008F5298">
        <w:t xml:space="preserve">NHFIC approves the issue of the </w:t>
      </w:r>
      <w:r w:rsidR="00477572" w:rsidRPr="008F5298">
        <w:t>guarantee</w:t>
      </w:r>
      <w:r w:rsidR="00E03D38" w:rsidRPr="008F5298">
        <w:t xml:space="preserve">. </w:t>
      </w:r>
      <w:r w:rsidR="008E03A8" w:rsidRPr="008F5298">
        <w:t>This allows a</w:t>
      </w:r>
      <w:r w:rsidR="00CE69E3" w:rsidRPr="008F5298">
        <w:t>n eligible</w:t>
      </w:r>
      <w:r w:rsidR="008E03A8" w:rsidRPr="008F5298">
        <w:t xml:space="preserve"> lender </w:t>
      </w:r>
      <w:r w:rsidR="005F5F0A" w:rsidRPr="008F5298">
        <w:t xml:space="preserve">to </w:t>
      </w:r>
      <w:r w:rsidR="000724A5" w:rsidRPr="008F5298">
        <w:t>approve</w:t>
      </w:r>
      <w:r w:rsidR="005F5F0A" w:rsidRPr="008F5298">
        <w:t xml:space="preserve"> </w:t>
      </w:r>
      <w:r w:rsidR="0021611E" w:rsidRPr="008F5298">
        <w:t>a loan</w:t>
      </w:r>
      <w:r w:rsidR="005F5F0A" w:rsidRPr="008F5298">
        <w:t xml:space="preserve"> under the </w:t>
      </w:r>
      <w:r w:rsidR="00CE69E3" w:rsidRPr="008F5298">
        <w:t xml:space="preserve">First Home Loan Deposit </w:t>
      </w:r>
      <w:r w:rsidR="005F5F0A" w:rsidRPr="008F5298">
        <w:t xml:space="preserve">Scheme in </w:t>
      </w:r>
      <w:r w:rsidR="000724A5" w:rsidRPr="008F5298">
        <w:t xml:space="preserve">a </w:t>
      </w:r>
      <w:r w:rsidR="0021611E" w:rsidRPr="008F5298">
        <w:t>financial year and enter into the loan in</w:t>
      </w:r>
      <w:r w:rsidR="000724A5" w:rsidRPr="008F5298">
        <w:t xml:space="preserve"> </w:t>
      </w:r>
      <w:r w:rsidR="005F5F0A" w:rsidRPr="008F5298" w:rsidDel="000724A5">
        <w:t xml:space="preserve">the following </w:t>
      </w:r>
      <w:r w:rsidR="005F5F0A" w:rsidRPr="008F5298">
        <w:t xml:space="preserve">financial year (regardless of whether they are </w:t>
      </w:r>
      <w:r w:rsidR="00CE69E3" w:rsidRPr="008F5298">
        <w:t>still an eligible lender</w:t>
      </w:r>
      <w:r w:rsidR="005F5F0A" w:rsidRPr="008F5298">
        <w:t xml:space="preserve"> for that </w:t>
      </w:r>
      <w:r w:rsidR="00CE69E3" w:rsidRPr="008F5298">
        <w:t>following</w:t>
      </w:r>
      <w:r w:rsidR="005F5F0A" w:rsidRPr="008F5298">
        <w:t xml:space="preserve"> </w:t>
      </w:r>
      <w:r w:rsidR="00BB3784" w:rsidRPr="008F5298">
        <w:t xml:space="preserve">financial </w:t>
      </w:r>
      <w:r w:rsidR="005F5F0A" w:rsidRPr="008F5298">
        <w:t>year)</w:t>
      </w:r>
      <w:r w:rsidR="008E03A8" w:rsidRPr="008F5298">
        <w:t>.</w:t>
      </w:r>
      <w:r w:rsidR="00775968" w:rsidRPr="008F5298">
        <w:t xml:space="preserve"> </w:t>
      </w:r>
    </w:p>
    <w:p w14:paraId="6358F314" w14:textId="3EFB21C9" w:rsidR="00E03D38" w:rsidRPr="008F5298" w:rsidRDefault="00AF0F26" w:rsidP="008E03A8">
      <w:pPr>
        <w:keepLines/>
        <w:spacing w:before="240"/>
      </w:pPr>
      <w:r w:rsidRPr="008F5298">
        <w:t>The Government envisages</w:t>
      </w:r>
      <w:r w:rsidR="00AD0C03" w:rsidRPr="008F5298">
        <w:t xml:space="preserve"> </w:t>
      </w:r>
      <w:r w:rsidR="00380656" w:rsidRPr="008F5298">
        <w:t>that</w:t>
      </w:r>
      <w:r w:rsidR="00AD0C03" w:rsidRPr="008F5298">
        <w:t xml:space="preserve"> the </w:t>
      </w:r>
      <w:r w:rsidRPr="008F5298">
        <w:t xml:space="preserve">approval of lenders will involve commercial negotiations between the NHFIC and lenders to ensure </w:t>
      </w:r>
      <w:r w:rsidR="00AD33D5" w:rsidRPr="008F5298">
        <w:t>that</w:t>
      </w:r>
      <w:r w:rsidRPr="008F5298">
        <w:t xml:space="preserve"> the objectives of the </w:t>
      </w:r>
      <w:r w:rsidR="006F2863" w:rsidRPr="008F5298">
        <w:t xml:space="preserve">First Home Loan Deposit </w:t>
      </w:r>
      <w:r w:rsidRPr="008F5298">
        <w:t xml:space="preserve">Scheme and the Government’s expectations for the operation of the Scheme are achieved. The NHFIC may </w:t>
      </w:r>
      <w:r w:rsidR="00B751BE" w:rsidRPr="008F5298">
        <w:t xml:space="preserve">decide to </w:t>
      </w:r>
      <w:r w:rsidRPr="008F5298">
        <w:t xml:space="preserve">approve </w:t>
      </w:r>
      <w:r w:rsidR="00B751BE" w:rsidRPr="008F5298">
        <w:t xml:space="preserve">a </w:t>
      </w:r>
      <w:r w:rsidRPr="008F5298">
        <w:t>lender</w:t>
      </w:r>
      <w:r w:rsidRPr="008F5298" w:rsidDel="00B751BE">
        <w:t xml:space="preserve"> for</w:t>
      </w:r>
      <w:r w:rsidRPr="008F5298">
        <w:t xml:space="preserve"> </w:t>
      </w:r>
      <w:r w:rsidRPr="008F5298" w:rsidDel="00B751BE">
        <w:t>multiple</w:t>
      </w:r>
      <w:r w:rsidRPr="008F5298">
        <w:t xml:space="preserve"> financial </w:t>
      </w:r>
      <w:r w:rsidR="006E38C1" w:rsidRPr="008F5298">
        <w:t>year</w:t>
      </w:r>
      <w:r w:rsidRPr="008F5298" w:rsidDel="00B751BE">
        <w:t>s</w:t>
      </w:r>
      <w:r w:rsidRPr="008F5298">
        <w:t xml:space="preserve"> to attract participation by lenders</w:t>
      </w:r>
      <w:r w:rsidR="005F3249" w:rsidRPr="008F5298">
        <w:t>,</w:t>
      </w:r>
      <w:r w:rsidRPr="008F5298">
        <w:t xml:space="preserve"> subject to </w:t>
      </w:r>
      <w:r w:rsidR="00DB5956" w:rsidRPr="008F5298">
        <w:t xml:space="preserve">processes </w:t>
      </w:r>
      <w:r w:rsidR="00AF66FB" w:rsidRPr="008F5298">
        <w:t xml:space="preserve">for the </w:t>
      </w:r>
      <w:r w:rsidRPr="008F5298">
        <w:t xml:space="preserve">review </w:t>
      </w:r>
      <w:r w:rsidR="00AF66FB" w:rsidRPr="008F5298">
        <w:t xml:space="preserve">of lender </w:t>
      </w:r>
      <w:r w:rsidR="00B82F47" w:rsidRPr="008F5298">
        <w:t xml:space="preserve">performance </w:t>
      </w:r>
      <w:r w:rsidRPr="008F5298">
        <w:t xml:space="preserve">and </w:t>
      </w:r>
      <w:r w:rsidR="00AF66FB" w:rsidRPr="008F5298">
        <w:t xml:space="preserve">lender </w:t>
      </w:r>
      <w:r w:rsidRPr="008F5298">
        <w:t xml:space="preserve">termination </w:t>
      </w:r>
      <w:r w:rsidR="00AF66FB" w:rsidRPr="008F5298">
        <w:t>that</w:t>
      </w:r>
      <w:r w:rsidR="00FF2264" w:rsidRPr="008F5298">
        <w:t xml:space="preserve"> </w:t>
      </w:r>
      <w:r w:rsidR="005F3249" w:rsidRPr="008F5298">
        <w:t xml:space="preserve">ensure </w:t>
      </w:r>
      <w:r w:rsidR="00AF66FB" w:rsidRPr="008F5298">
        <w:t>lenders act</w:t>
      </w:r>
      <w:r w:rsidR="005F3249" w:rsidRPr="008F5298">
        <w:t xml:space="preserve"> </w:t>
      </w:r>
      <w:r w:rsidR="00FF2264" w:rsidRPr="008F5298">
        <w:t>consistent</w:t>
      </w:r>
      <w:r w:rsidR="00AF66FB" w:rsidRPr="008F5298">
        <w:t>ly</w:t>
      </w:r>
      <w:r w:rsidR="00FF2264" w:rsidRPr="008F5298">
        <w:t xml:space="preserve"> with Government expectations</w:t>
      </w:r>
      <w:r w:rsidRPr="008F5298">
        <w:t xml:space="preserve">. </w:t>
      </w:r>
    </w:p>
    <w:p w14:paraId="7FB7BEE9" w14:textId="2657EB0E" w:rsidR="008E03A8" w:rsidRPr="008F5298" w:rsidRDefault="0065455A" w:rsidP="008E03A8">
      <w:pPr>
        <w:keepLines/>
        <w:rPr>
          <w:sz w:val="22"/>
        </w:rPr>
      </w:pPr>
      <w:r w:rsidRPr="008F5298">
        <w:t xml:space="preserve">Under subsection </w:t>
      </w:r>
      <w:proofErr w:type="gramStart"/>
      <w:r w:rsidRPr="008F5298">
        <w:t>29B(</w:t>
      </w:r>
      <w:proofErr w:type="gramEnd"/>
      <w:r w:rsidRPr="008F5298">
        <w:t>2)</w:t>
      </w:r>
      <w:r w:rsidR="00CA63F6" w:rsidRPr="008F5298">
        <w:t>,</w:t>
      </w:r>
      <w:r w:rsidRPr="008F5298">
        <w:t xml:space="preserve"> </w:t>
      </w:r>
      <w:r w:rsidR="00CA63F6" w:rsidRPr="008F5298">
        <w:t>i</w:t>
      </w:r>
      <w:r w:rsidR="008E03A8" w:rsidRPr="008F5298">
        <w:t>n selecting lenders for a financial year, the NHFIC has the discretion to determine the criteria and processes it adopts</w:t>
      </w:r>
      <w:r w:rsidRPr="008F5298">
        <w:t xml:space="preserve"> to </w:t>
      </w:r>
      <w:r w:rsidR="00FF64A1" w:rsidRPr="008F5298">
        <w:t>approve entities as eligible lenders</w:t>
      </w:r>
      <w:r w:rsidR="008E03A8" w:rsidRPr="008F5298">
        <w:t xml:space="preserve">. However, </w:t>
      </w:r>
      <w:r w:rsidR="00D16486" w:rsidRPr="008F5298">
        <w:t>this discretion is subject to</w:t>
      </w:r>
      <w:r w:rsidR="00FF64A1" w:rsidRPr="008F5298">
        <w:t xml:space="preserve"> subsection 29B(3)</w:t>
      </w:r>
      <w:r w:rsidR="007E19B4" w:rsidRPr="008F5298">
        <w:t xml:space="preserve">, which requires </w:t>
      </w:r>
      <w:r w:rsidR="008E03A8" w:rsidRPr="008F5298">
        <w:t xml:space="preserve">the NHFIC </w:t>
      </w:r>
      <w:r w:rsidR="007E19B4" w:rsidRPr="008F5298">
        <w:t xml:space="preserve">to </w:t>
      </w:r>
      <w:r w:rsidR="006E38C1" w:rsidRPr="008F5298">
        <w:t>take into account</w:t>
      </w:r>
      <w:r w:rsidR="008E03A8" w:rsidRPr="008F5298">
        <w:t xml:space="preserve"> </w:t>
      </w:r>
      <w:r w:rsidR="00455DD6" w:rsidRPr="008F5298">
        <w:t xml:space="preserve">all of </w:t>
      </w:r>
      <w:r w:rsidR="008E03A8" w:rsidRPr="008F5298">
        <w:t xml:space="preserve">the following criteria to ensure </w:t>
      </w:r>
      <w:r w:rsidR="00AD33D5" w:rsidRPr="008F5298">
        <w:t xml:space="preserve">that </w:t>
      </w:r>
      <w:r w:rsidR="008E03A8" w:rsidRPr="008F5298">
        <w:t xml:space="preserve">the </w:t>
      </w:r>
      <w:r w:rsidR="006F2863" w:rsidRPr="008F5298">
        <w:t xml:space="preserve">First Home Loan Deposit </w:t>
      </w:r>
      <w:r w:rsidR="008E03A8" w:rsidRPr="008F5298">
        <w:t xml:space="preserve">Scheme </w:t>
      </w:r>
      <w:r w:rsidR="006E38C1" w:rsidRPr="008F5298">
        <w:t xml:space="preserve">operates </w:t>
      </w:r>
      <w:r w:rsidR="00361A91" w:rsidRPr="008F5298">
        <w:t>in accordance</w:t>
      </w:r>
      <w:r w:rsidR="006E38C1" w:rsidRPr="008F5298">
        <w:t xml:space="preserve"> with</w:t>
      </w:r>
      <w:r w:rsidR="008E03A8" w:rsidRPr="008F5298">
        <w:t xml:space="preserve"> the Government’</w:t>
      </w:r>
      <w:r w:rsidR="00775968" w:rsidRPr="008F5298">
        <w:t>s expectations</w:t>
      </w:r>
      <w:r w:rsidR="008E03A8" w:rsidRPr="008F5298">
        <w:t>:</w:t>
      </w:r>
    </w:p>
    <w:p w14:paraId="4C951C9C" w14:textId="3E9A8A4F" w:rsidR="00C35CA4" w:rsidRPr="008F5298" w:rsidRDefault="008E03A8" w:rsidP="00F05A3A">
      <w:pPr>
        <w:pStyle w:val="Dotpoint"/>
        <w:keepLines/>
      </w:pPr>
      <w:r w:rsidRPr="008F5298">
        <w:t xml:space="preserve">a lender’s standard of customer care, including </w:t>
      </w:r>
      <w:r w:rsidR="00D16486" w:rsidRPr="008F5298">
        <w:t xml:space="preserve">their </w:t>
      </w:r>
      <w:r w:rsidRPr="008F5298">
        <w:t>treatment of borrowers in financial hardship;</w:t>
      </w:r>
    </w:p>
    <w:p w14:paraId="481DCF1D" w14:textId="1B7D7661" w:rsidR="008E03A8" w:rsidRPr="008F5298" w:rsidRDefault="008E03A8" w:rsidP="00F05A3A">
      <w:pPr>
        <w:pStyle w:val="Dotpoint"/>
        <w:keepLines/>
      </w:pPr>
      <w:r w:rsidRPr="008F5298">
        <w:t>the competitiveness of loan products offered by a lender</w:t>
      </w:r>
      <w:r w:rsidR="006E38C1" w:rsidRPr="008F5298">
        <w:t xml:space="preserve"> for the purposes of the </w:t>
      </w:r>
      <w:r w:rsidR="006F2863" w:rsidRPr="008F5298">
        <w:t xml:space="preserve">First Home Loan Deposit </w:t>
      </w:r>
      <w:r w:rsidR="006E38C1" w:rsidRPr="008F5298">
        <w:t>Scheme</w:t>
      </w:r>
      <w:r w:rsidRPr="008F5298">
        <w:t>, including interest rates and other fees;</w:t>
      </w:r>
    </w:p>
    <w:p w14:paraId="3A9F6F57" w14:textId="77777777" w:rsidR="008E03A8" w:rsidRPr="008F5298" w:rsidRDefault="008E03A8" w:rsidP="00F05A3A">
      <w:pPr>
        <w:pStyle w:val="Dotpoint"/>
        <w:keepLines/>
      </w:pPr>
      <w:r w:rsidRPr="008F5298">
        <w:t>the quality of a lender’s loan origination processes and the associated level of financial risk to the Commonwealth;</w:t>
      </w:r>
    </w:p>
    <w:p w14:paraId="4C21DF88" w14:textId="6C5B67EA" w:rsidR="00237B59" w:rsidRPr="008F5298" w:rsidRDefault="00EC09A2" w:rsidP="00F05A3A">
      <w:pPr>
        <w:pStyle w:val="Dotpoint"/>
        <w:keepLines/>
      </w:pPr>
      <w:r w:rsidRPr="008F5298">
        <w:t xml:space="preserve">the reputation </w:t>
      </w:r>
      <w:r w:rsidR="00237B59" w:rsidRPr="008F5298">
        <w:t>of the lender;</w:t>
      </w:r>
    </w:p>
    <w:p w14:paraId="117F345A" w14:textId="74F81707" w:rsidR="008E03A8" w:rsidRPr="008F5298" w:rsidRDefault="008E03A8" w:rsidP="00F05A3A">
      <w:pPr>
        <w:pStyle w:val="Dotpoint"/>
        <w:keepLines/>
      </w:pPr>
      <w:r w:rsidRPr="008F5298">
        <w:t xml:space="preserve">the extent to which the decision </w:t>
      </w:r>
      <w:r w:rsidR="006E38C1" w:rsidRPr="008F5298">
        <w:t xml:space="preserve">to </w:t>
      </w:r>
      <w:r w:rsidR="00EC09A2" w:rsidRPr="008F5298">
        <w:t>approve</w:t>
      </w:r>
      <w:r w:rsidR="006E38C1" w:rsidRPr="008F5298">
        <w:t xml:space="preserve"> a lender </w:t>
      </w:r>
      <w:r w:rsidRPr="008F5298">
        <w:t>will promote competition in lending markets and related markets;</w:t>
      </w:r>
      <w:r w:rsidR="0057229C" w:rsidRPr="008F5298">
        <w:t xml:space="preserve"> and</w:t>
      </w:r>
    </w:p>
    <w:p w14:paraId="580808B5" w14:textId="52D0F881" w:rsidR="008E03A8" w:rsidRPr="008F5298" w:rsidRDefault="008E03A8" w:rsidP="00F05A3A">
      <w:pPr>
        <w:pStyle w:val="Dotpoint"/>
        <w:keepLines/>
      </w:pPr>
      <w:proofErr w:type="gramStart"/>
      <w:r w:rsidRPr="008F5298">
        <w:t>the</w:t>
      </w:r>
      <w:proofErr w:type="gramEnd"/>
      <w:r w:rsidRPr="008F5298">
        <w:t xml:space="preserve"> extent to which all the lenders approved for the financial year </w:t>
      </w:r>
      <w:r w:rsidR="00C44524" w:rsidRPr="008F5298">
        <w:t xml:space="preserve">when considered together </w:t>
      </w:r>
      <w:r w:rsidRPr="008F5298">
        <w:t>can undertake credit activities (including through other entities providing credit services) across Australia</w:t>
      </w:r>
      <w:r w:rsidR="0057229C" w:rsidRPr="008F5298">
        <w:t>.</w:t>
      </w:r>
    </w:p>
    <w:p w14:paraId="438B012B" w14:textId="3024CFCD" w:rsidR="0058443D" w:rsidRPr="008F5298" w:rsidRDefault="008E03A8" w:rsidP="002C1403">
      <w:pPr>
        <w:pStyle w:val="Bullet"/>
        <w:keepLines/>
        <w:numPr>
          <w:ilvl w:val="0"/>
          <w:numId w:val="0"/>
        </w:numPr>
        <w:spacing w:before="0" w:after="0"/>
      </w:pPr>
      <w:r w:rsidRPr="008F5298">
        <w:t>Credit activities and credit service</w:t>
      </w:r>
      <w:r w:rsidR="00867D9A" w:rsidRPr="008F5298">
        <w:t>s</w:t>
      </w:r>
      <w:r w:rsidRPr="008F5298">
        <w:t xml:space="preserve"> are defined</w:t>
      </w:r>
      <w:r w:rsidR="00FC58FA" w:rsidRPr="008F5298">
        <w:t xml:space="preserve"> in subsection </w:t>
      </w:r>
      <w:proofErr w:type="gramStart"/>
      <w:r w:rsidR="00FC58FA" w:rsidRPr="008F5298">
        <w:t>29B(</w:t>
      </w:r>
      <w:proofErr w:type="gramEnd"/>
      <w:r w:rsidR="00FC58FA" w:rsidRPr="008F5298">
        <w:t>5)</w:t>
      </w:r>
      <w:r w:rsidRPr="008F5298">
        <w:t xml:space="preserve"> </w:t>
      </w:r>
      <w:r w:rsidR="00552762" w:rsidRPr="008F5298">
        <w:t>by reference to their meaning</w:t>
      </w:r>
      <w:r w:rsidR="00682FF8" w:rsidRPr="008F5298">
        <w:t xml:space="preserve"> </w:t>
      </w:r>
      <w:r w:rsidRPr="008F5298">
        <w:t xml:space="preserve">in sections 6 and 7 of the </w:t>
      </w:r>
      <w:r w:rsidRPr="008F5298">
        <w:rPr>
          <w:i/>
        </w:rPr>
        <w:t>National Consumer Credit Protection Act</w:t>
      </w:r>
      <w:r w:rsidR="0005470A" w:rsidRPr="008F5298">
        <w:rPr>
          <w:i/>
        </w:rPr>
        <w:t> </w:t>
      </w:r>
      <w:r w:rsidRPr="008F5298">
        <w:rPr>
          <w:i/>
        </w:rPr>
        <w:t>2009</w:t>
      </w:r>
      <w:r w:rsidR="00775968" w:rsidRPr="008F5298">
        <w:t xml:space="preserve"> </w:t>
      </w:r>
      <w:r w:rsidR="00FC58FA" w:rsidRPr="008F5298">
        <w:t>respectively</w:t>
      </w:r>
      <w:r w:rsidR="00524DDC" w:rsidRPr="008F5298">
        <w:t xml:space="preserve">. These concepts encompass </w:t>
      </w:r>
      <w:r w:rsidR="00775968" w:rsidRPr="008F5298">
        <w:t xml:space="preserve">a range of services associated with the supply of credit in the form of a loan </w:t>
      </w:r>
      <w:r w:rsidR="00524DDC" w:rsidRPr="008F5298">
        <w:t>and</w:t>
      </w:r>
      <w:r w:rsidR="00775968" w:rsidRPr="008F5298">
        <w:t xml:space="preserve"> include services provided by mortgage brokers.</w:t>
      </w:r>
      <w:r w:rsidRPr="008F5298">
        <w:t xml:space="preserve"> It is </w:t>
      </w:r>
      <w:r w:rsidR="00775968" w:rsidRPr="008F5298">
        <w:t>the Government’s expectation</w:t>
      </w:r>
      <w:r w:rsidRPr="008F5298">
        <w:t xml:space="preserve"> </w:t>
      </w:r>
      <w:r w:rsidR="000C2DF7" w:rsidRPr="008F5298">
        <w:t>that</w:t>
      </w:r>
      <w:r w:rsidRPr="008F5298">
        <w:t xml:space="preserve"> the NHFIC seek</w:t>
      </w:r>
      <w:r w:rsidR="005E7020" w:rsidRPr="008F5298">
        <w:t>s</w:t>
      </w:r>
      <w:r w:rsidRPr="008F5298">
        <w:t xml:space="preserve"> to </w:t>
      </w:r>
      <w:r w:rsidR="00650B79" w:rsidRPr="008F5298">
        <w:t>ensure</w:t>
      </w:r>
      <w:r w:rsidRPr="008F5298">
        <w:t xml:space="preserve"> </w:t>
      </w:r>
      <w:r w:rsidR="00AB5E9B" w:rsidRPr="008F5298">
        <w:t xml:space="preserve">loans guaranteed under the First Home Loan Deposit Scheme are able to be issued </w:t>
      </w:r>
      <w:r w:rsidR="00530B58">
        <w:t>through</w:t>
      </w:r>
      <w:r w:rsidR="00AB5E9B" w:rsidRPr="008F5298">
        <w:t xml:space="preserve"> both proprietary and third party lending channels (e.g. </w:t>
      </w:r>
      <w:r w:rsidRPr="008F5298">
        <w:t>mortgage brokers</w:t>
      </w:r>
      <w:r w:rsidR="00AB5E9B" w:rsidRPr="008F5298">
        <w:t>)</w:t>
      </w:r>
      <w:r w:rsidR="0058443D" w:rsidRPr="008F5298">
        <w:t>.</w:t>
      </w:r>
    </w:p>
    <w:p w14:paraId="34C71257" w14:textId="0A201EBA" w:rsidR="00D54F7C" w:rsidRPr="008F5298" w:rsidRDefault="000C2DF7" w:rsidP="00D54F7C">
      <w:pPr>
        <w:keepLines/>
        <w:spacing w:before="240"/>
      </w:pPr>
      <w:r w:rsidRPr="008F5298">
        <w:t xml:space="preserve">The </w:t>
      </w:r>
      <w:r w:rsidR="00552762" w:rsidRPr="008F5298">
        <w:t>term</w:t>
      </w:r>
      <w:r w:rsidRPr="008F5298">
        <w:t xml:space="preserve"> major bank is </w:t>
      </w:r>
      <w:r w:rsidR="00552762" w:rsidRPr="008F5298">
        <w:t>defined in secti</w:t>
      </w:r>
      <w:r w:rsidR="00EA1B8D" w:rsidRPr="008F5298">
        <w:t>o</w:t>
      </w:r>
      <w:r w:rsidR="00552762" w:rsidRPr="008F5298">
        <w:t>n 4 of the Investment Mandate</w:t>
      </w:r>
      <w:r w:rsidR="00EA1B8D" w:rsidRPr="008F5298">
        <w:t xml:space="preserve"> </w:t>
      </w:r>
      <w:r w:rsidR="004A65C9" w:rsidRPr="008F5298">
        <w:t xml:space="preserve">as inserted </w:t>
      </w:r>
      <w:r w:rsidR="00EA1B8D" w:rsidRPr="008F5298">
        <w:t xml:space="preserve">by </w:t>
      </w:r>
      <w:r w:rsidRPr="008F5298">
        <w:t>i</w:t>
      </w:r>
      <w:r w:rsidR="00D54F7C" w:rsidRPr="008F5298">
        <w:t>tem 2 of Schedule 1 to the Instrument</w:t>
      </w:r>
      <w:r w:rsidR="009D1E70" w:rsidRPr="008F5298">
        <w:t xml:space="preserve">. For the purposes of the </w:t>
      </w:r>
      <w:r w:rsidR="007D4DE4" w:rsidRPr="008F5298">
        <w:t xml:space="preserve">First Home Loan Deposit </w:t>
      </w:r>
      <w:r w:rsidR="009D1E70" w:rsidRPr="008F5298">
        <w:t xml:space="preserve">Scheme, a major bank is any of the following entities and their related bodies corporate </w:t>
      </w:r>
      <w:r w:rsidR="005E7020" w:rsidRPr="008F5298">
        <w:t>(</w:t>
      </w:r>
      <w:r w:rsidR="009D1E70" w:rsidRPr="008F5298">
        <w:t xml:space="preserve">within the meaning of the </w:t>
      </w:r>
      <w:r w:rsidR="009D1E70" w:rsidRPr="008F5298">
        <w:rPr>
          <w:i/>
        </w:rPr>
        <w:t>Corporations Act 2001</w:t>
      </w:r>
      <w:r w:rsidR="00504EED" w:rsidRPr="008F5298">
        <w:t>)</w:t>
      </w:r>
      <w:r w:rsidR="00EA1B8D" w:rsidRPr="008F5298">
        <w:t>:</w:t>
      </w:r>
    </w:p>
    <w:p w14:paraId="246A5F85" w14:textId="18DDFCAC" w:rsidR="00D54F7C" w:rsidRPr="008F5298" w:rsidRDefault="00D54F7C" w:rsidP="00F05A3A">
      <w:pPr>
        <w:pStyle w:val="Dotpoint"/>
        <w:keepLines/>
      </w:pPr>
      <w:r w:rsidRPr="008F5298">
        <w:lastRenderedPageBreak/>
        <w:t>Australia and New Zealand Banking Gro</w:t>
      </w:r>
      <w:r w:rsidR="009E49A0" w:rsidRPr="008F5298">
        <w:t>up Limited</w:t>
      </w:r>
      <w:r w:rsidR="00E53EAD">
        <w:t xml:space="preserve"> (ANZ Bank)</w:t>
      </w:r>
      <w:r w:rsidR="009E49A0" w:rsidRPr="008F5298">
        <w:t xml:space="preserve"> (ACN 005 357 522)</w:t>
      </w:r>
      <w:r w:rsidR="0058443D" w:rsidRPr="008F5298">
        <w:t xml:space="preserve"> and any entity that is a related body corporate</w:t>
      </w:r>
      <w:r w:rsidR="009E49A0" w:rsidRPr="008F5298">
        <w:t xml:space="preserve">; </w:t>
      </w:r>
    </w:p>
    <w:p w14:paraId="1FDF44CA" w14:textId="232DB83F" w:rsidR="00D54F7C" w:rsidRPr="008F5298" w:rsidRDefault="00D54F7C" w:rsidP="00F05A3A">
      <w:pPr>
        <w:pStyle w:val="Dotpoint"/>
        <w:keepLines/>
      </w:pPr>
      <w:r w:rsidRPr="008F5298">
        <w:t>Commonwealth Bank of Aus</w:t>
      </w:r>
      <w:r w:rsidR="009E49A0" w:rsidRPr="008F5298">
        <w:t>tralia (ACN 123 123 124)</w:t>
      </w:r>
      <w:r w:rsidR="0058443D" w:rsidRPr="008F5298">
        <w:t xml:space="preserve"> and any entity that is a related body corporate</w:t>
      </w:r>
      <w:r w:rsidR="009E49A0" w:rsidRPr="008F5298">
        <w:t>;</w:t>
      </w:r>
    </w:p>
    <w:p w14:paraId="535EBA32" w14:textId="678675E4" w:rsidR="00D54F7C" w:rsidRPr="008F5298" w:rsidRDefault="00D54F7C" w:rsidP="00F05A3A">
      <w:pPr>
        <w:pStyle w:val="Dotpoint"/>
        <w:keepLines/>
      </w:pPr>
      <w:r w:rsidRPr="008F5298">
        <w:t>National Australia Ba</w:t>
      </w:r>
      <w:r w:rsidR="009E49A0" w:rsidRPr="008F5298">
        <w:t xml:space="preserve">nk Limited </w:t>
      </w:r>
      <w:r w:rsidR="00E53EAD">
        <w:t xml:space="preserve">(NAB) </w:t>
      </w:r>
      <w:r w:rsidR="009E49A0" w:rsidRPr="008F5298">
        <w:t>(ACN 004 044 937)</w:t>
      </w:r>
      <w:r w:rsidR="0058443D" w:rsidRPr="008F5298">
        <w:t xml:space="preserve"> and any entity that is a related body corporate</w:t>
      </w:r>
      <w:r w:rsidR="009E49A0" w:rsidRPr="008F5298">
        <w:t>;</w:t>
      </w:r>
    </w:p>
    <w:p w14:paraId="77E75DA1" w14:textId="5FD622EF" w:rsidR="009E49A0" w:rsidRPr="008F5298" w:rsidRDefault="00D54F7C" w:rsidP="00F05A3A">
      <w:pPr>
        <w:pStyle w:val="Dotpoint"/>
        <w:keepLines/>
      </w:pPr>
      <w:r w:rsidRPr="008F5298">
        <w:t>Westpac Bankin</w:t>
      </w:r>
      <w:r w:rsidR="009E49A0" w:rsidRPr="008F5298">
        <w:t>g Corporation (ACN 007 457 141)</w:t>
      </w:r>
      <w:r w:rsidR="0058443D" w:rsidRPr="008F5298">
        <w:t xml:space="preserve"> and any entity that is a related body corporate</w:t>
      </w:r>
      <w:r w:rsidR="009E49A0" w:rsidRPr="008F5298">
        <w:t>.</w:t>
      </w:r>
    </w:p>
    <w:p w14:paraId="4D44A7BB" w14:textId="4B2CBACD" w:rsidR="0058443D" w:rsidRPr="008F5298" w:rsidRDefault="0058443D" w:rsidP="000B3285">
      <w:pPr>
        <w:keepLines/>
        <w:spacing w:before="240"/>
      </w:pPr>
      <w:r w:rsidRPr="008F5298">
        <w:t xml:space="preserve">Section 4 provides that a related body corporate has the same meaning as in the </w:t>
      </w:r>
      <w:r w:rsidRPr="008F5298">
        <w:rPr>
          <w:i/>
        </w:rPr>
        <w:t>Corporations Act 2001</w:t>
      </w:r>
      <w:r w:rsidR="00ED76EA" w:rsidRPr="008F5298">
        <w:t xml:space="preserve">, which includes holding companies and subsidiaries. This reflects the policy intention that, where the ANZ Bank, the Commonwealth Bank, the NAB, or </w:t>
      </w:r>
      <w:r w:rsidR="00EB49E9">
        <w:t xml:space="preserve">the </w:t>
      </w:r>
      <w:r w:rsidR="00ED76EA" w:rsidRPr="008F5298">
        <w:t>Westpac</w:t>
      </w:r>
      <w:r w:rsidR="00EB49E9">
        <w:t xml:space="preserve"> Banking Corporation</w:t>
      </w:r>
      <w:r w:rsidR="00ED76EA" w:rsidRPr="008F5298">
        <w:t xml:space="preserve"> is approved as an eligible lender in a financial year, then their subsidiaries </w:t>
      </w:r>
      <w:r w:rsidR="0012239D">
        <w:t xml:space="preserve">and other related body corporates </w:t>
      </w:r>
      <w:r w:rsidR="00ED76EA" w:rsidRPr="008F5298">
        <w:t>are also approved as eligible lenders.</w:t>
      </w:r>
      <w:r w:rsidR="000F4056">
        <w:t xml:space="preserve"> </w:t>
      </w:r>
      <w:r w:rsidR="00334E94">
        <w:t>Accordingly, for example the ANZ Bank and its related body corporates are treated as one major bank only</w:t>
      </w:r>
      <w:r w:rsidR="000F4056">
        <w:t>.</w:t>
      </w:r>
    </w:p>
    <w:p w14:paraId="7488AA55" w14:textId="0F44B1FC" w:rsidR="008D7A64" w:rsidRPr="008F5298" w:rsidRDefault="008D7A64" w:rsidP="008D7A64">
      <w:pPr>
        <w:keepLines/>
        <w:spacing w:before="240"/>
      </w:pPr>
      <w:r w:rsidRPr="008F5298">
        <w:t xml:space="preserve">The Instrument does not set a limit on the total number of lenders the NHFIC may approve to participate in the First Home Loan Deposit Scheme, though subsection 29B(4) provides that no more than two major banks </w:t>
      </w:r>
      <w:r w:rsidR="00D177CB">
        <w:t>(</w:t>
      </w:r>
      <w:r w:rsidR="00DD1690">
        <w:t>inclusive of</w:t>
      </w:r>
      <w:r w:rsidR="00EB49E9">
        <w:t xml:space="preserve"> their related body corporates</w:t>
      </w:r>
      <w:r w:rsidR="00D177CB">
        <w:t>)</w:t>
      </w:r>
      <w:r w:rsidR="00EB49E9">
        <w:t xml:space="preserve"> </w:t>
      </w:r>
      <w:r w:rsidRPr="008F5298">
        <w:t xml:space="preserve">can be approved as eligible lenders for a financial year. The NHFIC will set the number of lenders it wishes to approve for a financial year (or years). </w:t>
      </w:r>
    </w:p>
    <w:p w14:paraId="432FAC37" w14:textId="6C6F9B37" w:rsidR="009C2AB5" w:rsidRPr="008F5298" w:rsidRDefault="00AE5402" w:rsidP="000B3285">
      <w:pPr>
        <w:keepLines/>
        <w:spacing w:before="240"/>
      </w:pPr>
      <w:r w:rsidRPr="008F5298">
        <w:t xml:space="preserve">Under subsection </w:t>
      </w:r>
      <w:proofErr w:type="gramStart"/>
      <w:r w:rsidRPr="008F5298">
        <w:t>29I(</w:t>
      </w:r>
      <w:proofErr w:type="gramEnd"/>
      <w:r w:rsidRPr="008F5298">
        <w:t>2)</w:t>
      </w:r>
      <w:r w:rsidR="00C55BCF" w:rsidRPr="008F5298">
        <w:t>,</w:t>
      </w:r>
      <w:r w:rsidRPr="008F5298">
        <w:t xml:space="preserve"> </w:t>
      </w:r>
      <w:r w:rsidR="00D54B89" w:rsidRPr="008F5298">
        <w:t>a</w:t>
      </w:r>
      <w:r w:rsidR="009C2AB5" w:rsidRPr="008F5298">
        <w:t xml:space="preserve"> maximum </w:t>
      </w:r>
      <w:r w:rsidR="00D54B89" w:rsidRPr="008F5298">
        <w:t xml:space="preserve">of </w:t>
      </w:r>
      <w:r w:rsidR="007F1F27" w:rsidRPr="008F5298">
        <w:t>5</w:t>
      </w:r>
      <w:r w:rsidR="00D54B89" w:rsidRPr="008F5298">
        <w:t>,000</w:t>
      </w:r>
      <w:r w:rsidR="009C2AB5" w:rsidRPr="008F5298">
        <w:t xml:space="preserve"> guarantees can be issued </w:t>
      </w:r>
      <w:r w:rsidR="007D4DE4" w:rsidRPr="008F5298">
        <w:t xml:space="preserve">to major banks </w:t>
      </w:r>
      <w:r w:rsidR="009C2AB5" w:rsidRPr="008F5298">
        <w:t>in a financial year</w:t>
      </w:r>
      <w:r w:rsidR="00462B67" w:rsidRPr="008F5298">
        <w:t>.</w:t>
      </w:r>
    </w:p>
    <w:p w14:paraId="785EDE6A" w14:textId="596CC119" w:rsidR="00C55BCF" w:rsidRPr="008F5298" w:rsidRDefault="00C55BCF" w:rsidP="00C55BCF">
      <w:pPr>
        <w:keepLines/>
        <w:spacing w:before="240"/>
      </w:pPr>
      <w:r w:rsidRPr="008F5298">
        <w:t xml:space="preserve">These rules are designed to ensure the Government’s expectation </w:t>
      </w:r>
      <w:r w:rsidR="00AB5E9B" w:rsidRPr="008F5298">
        <w:t xml:space="preserve">that smaller lenders </w:t>
      </w:r>
      <w:r w:rsidR="005B5DB3">
        <w:t>play a significant role in the First Home Loan Deposit Scheme</w:t>
      </w:r>
      <w:r w:rsidR="00AB5E9B" w:rsidRPr="008F5298">
        <w:t xml:space="preserve"> to boost competition</w:t>
      </w:r>
      <w:r w:rsidR="00E65C9C" w:rsidRPr="008F5298">
        <w:t xml:space="preserve"> </w:t>
      </w:r>
      <w:r w:rsidR="007F1F27" w:rsidRPr="008F5298">
        <w:t>is</w:t>
      </w:r>
      <w:r w:rsidR="00E65C9C" w:rsidRPr="008F5298">
        <w:t xml:space="preserve"> met</w:t>
      </w:r>
      <w:r w:rsidR="00AB5E9B" w:rsidRPr="008F5298">
        <w:t>.</w:t>
      </w:r>
    </w:p>
    <w:p w14:paraId="6BBEEF1F" w14:textId="38C00309" w:rsidR="00B168DC" w:rsidRPr="008F5298" w:rsidRDefault="00443DEE" w:rsidP="00F05A3A">
      <w:pPr>
        <w:pStyle w:val="Heading4"/>
        <w:keepLines/>
      </w:pPr>
      <w:r w:rsidRPr="008F5298">
        <w:t>Eligible loans – general criteria</w:t>
      </w:r>
    </w:p>
    <w:p w14:paraId="6413F0B9" w14:textId="77777777" w:rsidR="00F91357" w:rsidRDefault="00157C4E" w:rsidP="00F05A3A">
      <w:pPr>
        <w:keepLines/>
      </w:pPr>
      <w:r w:rsidRPr="008F5298">
        <w:t>S</w:t>
      </w:r>
      <w:r w:rsidR="00B168DC" w:rsidRPr="008F5298">
        <w:t xml:space="preserve">ubsection </w:t>
      </w:r>
      <w:proofErr w:type="gramStart"/>
      <w:r w:rsidR="00B168DC" w:rsidRPr="008F5298">
        <w:t>29C(</w:t>
      </w:r>
      <w:proofErr w:type="gramEnd"/>
      <w:r w:rsidR="00FC58FA" w:rsidRPr="008F5298">
        <w:t>1</w:t>
      </w:r>
      <w:r w:rsidR="00B168DC" w:rsidRPr="008F5298">
        <w:t xml:space="preserve">) provides that an eligible loan must </w:t>
      </w:r>
      <w:r w:rsidR="00FC58FA" w:rsidRPr="008F5298">
        <w:t xml:space="preserve">satisfy the requirements of subsection 29C(2) </w:t>
      </w:r>
      <w:r w:rsidR="0022125F" w:rsidRPr="008F5298">
        <w:t>(the general criteria) or</w:t>
      </w:r>
      <w:r w:rsidR="00FC58FA" w:rsidRPr="008F5298">
        <w:t xml:space="preserve"> </w:t>
      </w:r>
      <w:r w:rsidR="0022125F" w:rsidRPr="008F5298">
        <w:t>subsection</w:t>
      </w:r>
      <w:r w:rsidR="00FC58FA" w:rsidRPr="008F5298">
        <w:t xml:space="preserve"> (</w:t>
      </w:r>
      <w:r w:rsidR="00EB621D">
        <w:t>4</w:t>
      </w:r>
      <w:r w:rsidR="00FC58FA" w:rsidRPr="008F5298">
        <w:t>)</w:t>
      </w:r>
      <w:r w:rsidR="0022125F" w:rsidRPr="008F5298">
        <w:t xml:space="preserve"> (the refinancing criteria)</w:t>
      </w:r>
      <w:r w:rsidR="004F0E68">
        <w:t xml:space="preserve"> as well as any further criteria or processes established by the NHFIC</w:t>
      </w:r>
      <w:r w:rsidR="00FC58FA" w:rsidRPr="008F5298">
        <w:t xml:space="preserve">. </w:t>
      </w:r>
    </w:p>
    <w:p w14:paraId="52E0E167" w14:textId="39D7AC4D" w:rsidR="00D018D5" w:rsidRPr="008F5298" w:rsidRDefault="00EA4719" w:rsidP="00F05A3A">
      <w:pPr>
        <w:keepLines/>
      </w:pPr>
      <w:r>
        <w:t>Allowing</w:t>
      </w:r>
      <w:r w:rsidR="004F0E68">
        <w:t xml:space="preserve"> the NHFIC to establish criteria and processes </w:t>
      </w:r>
      <w:r w:rsidR="00F91357">
        <w:t xml:space="preserve">for the approval of eligible loans is intended to </w:t>
      </w:r>
      <w:r w:rsidR="00242428">
        <w:t>enable</w:t>
      </w:r>
      <w:r w:rsidR="00F91357">
        <w:t xml:space="preserve"> the NHFIC </w:t>
      </w:r>
      <w:r w:rsidR="00242428">
        <w:t xml:space="preserve">to </w:t>
      </w:r>
      <w:r w:rsidR="001A6234">
        <w:t xml:space="preserve">support the framework established in the Instrument. </w:t>
      </w:r>
      <w:r w:rsidR="009B3DB3">
        <w:t>Any criteria and processes established by the NHFIC must not be inconsistent with the requirements of section 29C.</w:t>
      </w:r>
    </w:p>
    <w:p w14:paraId="16E87B9D" w14:textId="3EC3A114" w:rsidR="00B168DC" w:rsidRPr="008F5298" w:rsidRDefault="00FC58FA" w:rsidP="00F05A3A">
      <w:pPr>
        <w:keepLines/>
      </w:pPr>
      <w:r w:rsidRPr="008F5298">
        <w:t xml:space="preserve">Subsection </w:t>
      </w:r>
      <w:proofErr w:type="gramStart"/>
      <w:r w:rsidRPr="008F5298">
        <w:t>29C(</w:t>
      </w:r>
      <w:proofErr w:type="gramEnd"/>
      <w:r w:rsidRPr="008F5298">
        <w:t>2) provides that an eligible loan must have</w:t>
      </w:r>
      <w:r w:rsidR="00B168DC" w:rsidRPr="008F5298">
        <w:t xml:space="preserve"> the following features at the time it is entered into: </w:t>
      </w:r>
    </w:p>
    <w:p w14:paraId="6FDAF98B" w14:textId="77777777" w:rsidR="00B168DC" w:rsidRPr="008F5298" w:rsidRDefault="00B168DC" w:rsidP="00F05A3A">
      <w:pPr>
        <w:pStyle w:val="Dotpoint"/>
        <w:keepLines/>
      </w:pPr>
      <w:r w:rsidRPr="008F5298">
        <w:t>the loan must be made by an eligible lender;</w:t>
      </w:r>
    </w:p>
    <w:p w14:paraId="3EA43C96" w14:textId="0DFB5DF9" w:rsidR="00B168DC" w:rsidRPr="008F5298" w:rsidRDefault="00B168DC" w:rsidP="00F05A3A">
      <w:pPr>
        <w:pStyle w:val="Dotpoint"/>
        <w:keepLines/>
      </w:pPr>
      <w:r w:rsidRPr="008F5298">
        <w:t xml:space="preserve">there </w:t>
      </w:r>
      <w:r w:rsidR="00615C67" w:rsidRPr="008F5298">
        <w:t>m</w:t>
      </w:r>
      <w:r w:rsidR="002840F8" w:rsidRPr="008F5298">
        <w:t>ust</w:t>
      </w:r>
      <w:r w:rsidR="00615C67" w:rsidRPr="008F5298">
        <w:t xml:space="preserve"> be no more than</w:t>
      </w:r>
      <w:r w:rsidRPr="008F5298">
        <w:t xml:space="preserve"> two borrowers under the loan agreement;</w:t>
      </w:r>
    </w:p>
    <w:p w14:paraId="3DB52055" w14:textId="77777777" w:rsidR="00B168DC" w:rsidRPr="008F5298" w:rsidRDefault="00B168DC" w:rsidP="00F05A3A">
      <w:pPr>
        <w:pStyle w:val="Dotpoint"/>
        <w:keepLines/>
      </w:pPr>
      <w:r w:rsidRPr="008F5298">
        <w:t>where there are two borrowers, each borrower must be the spouse or de facto partner of the other borrower;</w:t>
      </w:r>
    </w:p>
    <w:p w14:paraId="68A62E8C" w14:textId="13BD71E9" w:rsidR="00B168DC" w:rsidRPr="008F5298" w:rsidRDefault="00B168DC" w:rsidP="00F05A3A">
      <w:pPr>
        <w:pStyle w:val="Dotpoint"/>
        <w:keepLines/>
      </w:pPr>
      <w:r w:rsidRPr="008F5298">
        <w:lastRenderedPageBreak/>
        <w:t xml:space="preserve">each borrower under a loan </w:t>
      </w:r>
      <w:r w:rsidR="00615C67" w:rsidRPr="008F5298">
        <w:t xml:space="preserve">must be </w:t>
      </w:r>
      <w:r w:rsidRPr="008F5298">
        <w:t>an eligible first home buyer;</w:t>
      </w:r>
    </w:p>
    <w:p w14:paraId="4A54B09D" w14:textId="37A939AF" w:rsidR="00B168DC" w:rsidRPr="008F5298" w:rsidRDefault="00B168DC" w:rsidP="00F05A3A">
      <w:pPr>
        <w:pStyle w:val="Dotpoint"/>
        <w:keepLines/>
      </w:pPr>
      <w:r w:rsidRPr="008F5298">
        <w:t xml:space="preserve">the loan </w:t>
      </w:r>
      <w:r w:rsidR="00615C67" w:rsidRPr="008F5298">
        <w:t xml:space="preserve">must be </w:t>
      </w:r>
      <w:r w:rsidRPr="008F5298">
        <w:t>for the purchase of residential property;</w:t>
      </w:r>
    </w:p>
    <w:p w14:paraId="2E084543" w14:textId="3C38D0E5" w:rsidR="00B168DC" w:rsidRPr="008F5298" w:rsidRDefault="00B168DC" w:rsidP="00F05A3A">
      <w:pPr>
        <w:pStyle w:val="Dotpoint"/>
        <w:keepLines/>
      </w:pPr>
      <w:proofErr w:type="gramStart"/>
      <w:r w:rsidRPr="008F5298">
        <w:t>if</w:t>
      </w:r>
      <w:proofErr w:type="gramEnd"/>
      <w:r w:rsidRPr="008F5298">
        <w:t xml:space="preserve"> vacant land is acquired </w:t>
      </w:r>
      <w:r w:rsidR="002840F8" w:rsidRPr="008F5298">
        <w:t>under</w:t>
      </w:r>
      <w:r w:rsidRPr="008F5298">
        <w:t xml:space="preserve"> the loan</w:t>
      </w:r>
      <w:r w:rsidR="00615C67" w:rsidRPr="008F5298">
        <w:t xml:space="preserve">, </w:t>
      </w:r>
      <w:r w:rsidRPr="008F5298">
        <w:t xml:space="preserve">the loan </w:t>
      </w:r>
      <w:r w:rsidR="00615C67" w:rsidRPr="008F5298">
        <w:t xml:space="preserve">must </w:t>
      </w:r>
      <w:r w:rsidRPr="008F5298">
        <w:t>also relate to the construction of a dwelling on that vacant land</w:t>
      </w:r>
      <w:r w:rsidR="00E87DD8">
        <w:t xml:space="preserve"> within a period of time agreed with the lender</w:t>
      </w:r>
      <w:r w:rsidR="00517A53" w:rsidRPr="008F5298">
        <w:t>.</w:t>
      </w:r>
      <w:r w:rsidR="007A5543" w:rsidRPr="008F5298">
        <w:t xml:space="preserve"> Separate loans for</w:t>
      </w:r>
      <w:r w:rsidR="00B369C0" w:rsidRPr="008F5298">
        <w:t xml:space="preserve"> the purchase of</w:t>
      </w:r>
      <w:r w:rsidR="007A5543" w:rsidRPr="008F5298">
        <w:t xml:space="preserve"> vacant land and the construction of residential premises cannot qualify as eligible loans</w:t>
      </w:r>
      <w:r w:rsidR="00517A53" w:rsidRPr="008F5298">
        <w:t>;</w:t>
      </w:r>
    </w:p>
    <w:p w14:paraId="5B3E78F0" w14:textId="6ED5AC6E" w:rsidR="00E11C0D" w:rsidRPr="008F5298" w:rsidRDefault="00E11C0D" w:rsidP="00F05A3A">
      <w:pPr>
        <w:pStyle w:val="Dotpoint"/>
        <w:keepLines/>
      </w:pPr>
      <w:r w:rsidRPr="008F5298">
        <w:t xml:space="preserve">the value of the residential property </w:t>
      </w:r>
      <w:r w:rsidR="00383BCF">
        <w:t xml:space="preserve">at the time the loan is entered into </w:t>
      </w:r>
      <w:r w:rsidR="00615C67" w:rsidRPr="008F5298">
        <w:t>must</w:t>
      </w:r>
      <w:r w:rsidRPr="008F5298">
        <w:t xml:space="preserve"> not exceed the relevant price cap in the area </w:t>
      </w:r>
      <w:r w:rsidR="00615C67" w:rsidRPr="008F5298">
        <w:t>where</w:t>
      </w:r>
      <w:r w:rsidRPr="008F5298">
        <w:t xml:space="preserve"> the property is located;</w:t>
      </w:r>
    </w:p>
    <w:p w14:paraId="39947983" w14:textId="27BE6043" w:rsidR="00E11C0D" w:rsidRPr="008F5298" w:rsidRDefault="00E11C0D" w:rsidP="00F05A3A">
      <w:pPr>
        <w:pStyle w:val="Dotpoint"/>
        <w:keepLines/>
      </w:pPr>
      <w:proofErr w:type="gramStart"/>
      <w:r w:rsidRPr="008F5298">
        <w:t>the</w:t>
      </w:r>
      <w:proofErr w:type="gramEnd"/>
      <w:r w:rsidRPr="008F5298">
        <w:t xml:space="preserve"> residential property acquired through the loan </w:t>
      </w:r>
      <w:r w:rsidR="00615C67" w:rsidRPr="008F5298">
        <w:t>must be</w:t>
      </w:r>
      <w:r w:rsidR="002840F8" w:rsidRPr="008F5298">
        <w:t xml:space="preserve"> for</w:t>
      </w:r>
      <w:r w:rsidR="00615C67" w:rsidRPr="008F5298">
        <w:t xml:space="preserve"> </w:t>
      </w:r>
      <w:r w:rsidR="002840F8" w:rsidRPr="008F5298">
        <w:t xml:space="preserve">owner </w:t>
      </w:r>
      <w:r w:rsidRPr="008F5298">
        <w:t>occup</w:t>
      </w:r>
      <w:r w:rsidR="002840F8" w:rsidRPr="008F5298">
        <w:t>ation</w:t>
      </w:r>
      <w:r w:rsidR="00235C59" w:rsidRPr="008F5298">
        <w:t xml:space="preserve">. An investment loan for the purchase of an investment property is not an eligible loan under the </w:t>
      </w:r>
      <w:r w:rsidR="006F2863" w:rsidRPr="008F5298">
        <w:t>First Home Loan Deposit Scheme</w:t>
      </w:r>
      <w:r w:rsidRPr="008F5298">
        <w:t>;</w:t>
      </w:r>
    </w:p>
    <w:p w14:paraId="0E55E719" w14:textId="680F449E" w:rsidR="00B168DC" w:rsidRPr="008F5298" w:rsidRDefault="00B168DC" w:rsidP="00F05A3A">
      <w:pPr>
        <w:pStyle w:val="Dotpoint"/>
        <w:keepLines/>
      </w:pPr>
      <w:proofErr w:type="gramStart"/>
      <w:r w:rsidRPr="008F5298">
        <w:t>the</w:t>
      </w:r>
      <w:proofErr w:type="gramEnd"/>
      <w:r w:rsidRPr="008F5298">
        <w:t xml:space="preserve"> loan-to-value ratio of the loan must be between 80 and 95 per cent. The loan</w:t>
      </w:r>
      <w:r w:rsidRPr="008F5298">
        <w:noBreakHyphen/>
        <w:t>to-value ratio of the loan is worked out according to standard industry lending practice</w:t>
      </w:r>
      <w:r w:rsidR="00D018D5" w:rsidRPr="008F5298">
        <w:t>;</w:t>
      </w:r>
      <w:r w:rsidRPr="008F5298">
        <w:t xml:space="preserve"> </w:t>
      </w:r>
    </w:p>
    <w:p w14:paraId="108F4FB3" w14:textId="7D9AF0F3" w:rsidR="00B168DC" w:rsidRPr="008F5298" w:rsidRDefault="00B168DC" w:rsidP="00F05A3A">
      <w:pPr>
        <w:pStyle w:val="Dotpoint"/>
        <w:keepLines/>
      </w:pPr>
      <w:proofErr w:type="gramStart"/>
      <w:r w:rsidRPr="008F5298">
        <w:t>the</w:t>
      </w:r>
      <w:proofErr w:type="gramEnd"/>
      <w:r w:rsidRPr="008F5298">
        <w:t xml:space="preserve"> loan must require regular repayments of the principal for the full period of the loan. </w:t>
      </w:r>
      <w:r w:rsidR="004F01C8" w:rsidRPr="008F5298">
        <w:t xml:space="preserve">However, the capacity for a lender to enter into arrangements with a borrower should they suffer financial hardship </w:t>
      </w:r>
      <w:r w:rsidR="00D028D0" w:rsidRPr="008F5298">
        <w:t>during part of the term of the loan will not make the loan ineligible</w:t>
      </w:r>
      <w:r>
        <w:t>;</w:t>
      </w:r>
      <w:r w:rsidR="00E63F27">
        <w:t xml:space="preserve"> and</w:t>
      </w:r>
    </w:p>
    <w:p w14:paraId="64F1408B" w14:textId="74D88FC5" w:rsidR="00B168DC" w:rsidRPr="008F5298" w:rsidRDefault="00B168DC" w:rsidP="00F05A3A">
      <w:pPr>
        <w:pStyle w:val="Dotpoint"/>
        <w:keepLines/>
      </w:pPr>
      <w:proofErr w:type="gramStart"/>
      <w:r w:rsidRPr="008F5298">
        <w:t>the</w:t>
      </w:r>
      <w:proofErr w:type="gramEnd"/>
      <w:r w:rsidRPr="008F5298">
        <w:t xml:space="preserve"> loan must have a term of no more than 30 years. Together with the exclusion of interest-only loans, this requirement supports responsible lending outcomes and </w:t>
      </w:r>
      <w:r w:rsidR="00D028D0" w:rsidRPr="008F5298">
        <w:t>limits</w:t>
      </w:r>
      <w:r w:rsidRPr="008F5298">
        <w:t xml:space="preserve"> the long-term costs of the loan to eligible first home buyers. </w:t>
      </w:r>
    </w:p>
    <w:p w14:paraId="795E2DDC" w14:textId="17135F32" w:rsidR="00F65163" w:rsidRPr="008F5298" w:rsidRDefault="00F65163" w:rsidP="00F65163">
      <w:pPr>
        <w:pStyle w:val="Dotpoint"/>
        <w:numPr>
          <w:ilvl w:val="0"/>
          <w:numId w:val="0"/>
        </w:numPr>
      </w:pPr>
      <w:r w:rsidRPr="00F65163">
        <w:t xml:space="preserve">The requirement </w:t>
      </w:r>
      <w:r w:rsidR="00905A9B">
        <w:t xml:space="preserve">concerning eligible loans </w:t>
      </w:r>
      <w:r w:rsidRPr="00F65163">
        <w:t>in paragraph </w:t>
      </w:r>
      <w:proofErr w:type="gramStart"/>
      <w:r w:rsidRPr="00F65163">
        <w:t>29C(</w:t>
      </w:r>
      <w:proofErr w:type="gramEnd"/>
      <w:r w:rsidRPr="00F65163">
        <w:t>2)(j) that the loan require payments of interest and principal for the full period of the loan is subject to subsection 29C(3). Where the loan relates to the purchase of an interest in land on which a dwelling is to be built, a loan may be an eligible loan where it allows interest</w:t>
      </w:r>
      <w:r w:rsidRPr="00F65163">
        <w:noBreakHyphen/>
        <w:t xml:space="preserve">only payments in the period of construction of the new dwelling. This period is provided in the terms of the loan </w:t>
      </w:r>
      <w:r w:rsidR="00905A9B">
        <w:t xml:space="preserve">agreement </w:t>
      </w:r>
      <w:r w:rsidRPr="00F65163">
        <w:t xml:space="preserve">that the lender </w:t>
      </w:r>
      <w:r w:rsidR="00905A9B">
        <w:t>enters into with</w:t>
      </w:r>
      <w:r w:rsidRPr="00F65163">
        <w:t xml:space="preserve"> the borrower. At the conclusion of the construction period, the terms of the loan agreement must require repayments of the principal of the loan and the payment of interest for the remaining period of the agreement.</w:t>
      </w:r>
    </w:p>
    <w:p w14:paraId="6F5924A9" w14:textId="5802F06B" w:rsidR="00615C67" w:rsidRPr="008F5298" w:rsidRDefault="00615C67" w:rsidP="00F05A3A">
      <w:pPr>
        <w:keepLines/>
      </w:pPr>
      <w:r w:rsidRPr="008F5298">
        <w:t xml:space="preserve">Item 2 of Schedule 1 to the Instrument amends section 4 of the Investment Mandate to define residential property. The definition takes the meaning of the term in the National Credit Code (in the </w:t>
      </w:r>
      <w:r w:rsidRPr="008F5298">
        <w:rPr>
          <w:i/>
        </w:rPr>
        <w:t>National Consumer Credit Protection Act 2009</w:t>
      </w:r>
      <w:r w:rsidRPr="008F5298">
        <w:t>) to mean ‘land on which a dwelling is or will be affixed predominantly for residential purposes’</w:t>
      </w:r>
      <w:r w:rsidR="0076752B" w:rsidRPr="008F5298">
        <w:t>,</w:t>
      </w:r>
      <w:r w:rsidR="00FB393A" w:rsidRPr="008F5298">
        <w:t xml:space="preserve"> a</w:t>
      </w:r>
      <w:r w:rsidRPr="008F5298">
        <w:t xml:space="preserve"> long-term Crown le</w:t>
      </w:r>
      <w:r w:rsidR="00FB393A" w:rsidRPr="008F5298">
        <w:t>ase, an</w:t>
      </w:r>
      <w:r w:rsidR="001C4371" w:rsidRPr="008F5298">
        <w:t xml:space="preserve"> occupancy licence</w:t>
      </w:r>
      <w:r w:rsidRPr="008F5298">
        <w:t xml:space="preserve">, </w:t>
      </w:r>
      <w:r w:rsidR="0076752B" w:rsidRPr="008F5298">
        <w:t xml:space="preserve">or </w:t>
      </w:r>
      <w:r w:rsidRPr="008F5298">
        <w:t xml:space="preserve">company title interests. </w:t>
      </w:r>
    </w:p>
    <w:p w14:paraId="12FA5863" w14:textId="2FEE13DD" w:rsidR="00F2490D" w:rsidRPr="008F5298" w:rsidRDefault="00F2490D" w:rsidP="00F05A3A">
      <w:pPr>
        <w:keepLines/>
      </w:pPr>
      <w:r w:rsidRPr="008F5298">
        <w:t xml:space="preserve">The conditions apply at the time the loan is entered into. The conditions do not continue </w:t>
      </w:r>
      <w:r w:rsidR="001C4371" w:rsidRPr="008F5298">
        <w:t xml:space="preserve">to </w:t>
      </w:r>
      <w:r w:rsidRPr="008F5298">
        <w:t>need to be met over the term of the loan</w:t>
      </w:r>
      <w:r w:rsidR="006F2863" w:rsidRPr="008F5298">
        <w:t xml:space="preserve"> as this</w:t>
      </w:r>
      <w:r w:rsidRPr="008F5298">
        <w:t xml:space="preserve"> would impose high compliance costs </w:t>
      </w:r>
      <w:r w:rsidR="006F2863" w:rsidRPr="008F5298">
        <w:t>on participants in</w:t>
      </w:r>
      <w:r w:rsidRPr="008F5298">
        <w:t xml:space="preserve"> the </w:t>
      </w:r>
      <w:r w:rsidR="006F2863" w:rsidRPr="008F5298">
        <w:t xml:space="preserve">First Home Loan </w:t>
      </w:r>
      <w:r w:rsidR="00AC7FE4" w:rsidRPr="008F5298">
        <w:t xml:space="preserve">Deposit </w:t>
      </w:r>
      <w:r w:rsidRPr="008F5298">
        <w:t>Scheme</w:t>
      </w:r>
      <w:r w:rsidR="00615C67" w:rsidRPr="008F5298">
        <w:t>.</w:t>
      </w:r>
    </w:p>
    <w:p w14:paraId="16460F62" w14:textId="72570F39" w:rsidR="00B168DC" w:rsidRPr="008F5298" w:rsidRDefault="00E942C5" w:rsidP="00F05A3A">
      <w:pPr>
        <w:pStyle w:val="Heading4"/>
        <w:keepLines/>
      </w:pPr>
      <w:r w:rsidRPr="008F5298">
        <w:lastRenderedPageBreak/>
        <w:t>Eligible loans –</w:t>
      </w:r>
      <w:r w:rsidR="00B168DC" w:rsidRPr="008F5298">
        <w:t xml:space="preserve"> refinanced guaranteed loans</w:t>
      </w:r>
    </w:p>
    <w:p w14:paraId="18C8D1E2" w14:textId="1CAE4E2F" w:rsidR="00B168DC" w:rsidRPr="008F5298" w:rsidRDefault="0035667A" w:rsidP="00B168DC">
      <w:pPr>
        <w:keepLines/>
        <w:spacing w:before="240"/>
        <w:rPr>
          <w:rStyle w:val="CommentReference"/>
        </w:rPr>
      </w:pPr>
      <w:r w:rsidRPr="008F5298">
        <w:t>S</w:t>
      </w:r>
      <w:r w:rsidR="00B168DC" w:rsidRPr="008F5298">
        <w:t>ubsection 29C(</w:t>
      </w:r>
      <w:r w:rsidR="002C60C1">
        <w:t>4</w:t>
      </w:r>
      <w:r w:rsidR="00B168DC" w:rsidRPr="008F5298">
        <w:t xml:space="preserve">) provides that a loan made by an approved lender is eligible if its sole purpose is to refinance the debt owed under an existing loan that was </w:t>
      </w:r>
      <w:r w:rsidR="00AB5E9B" w:rsidRPr="008F5298">
        <w:t>guaranteed under</w:t>
      </w:r>
      <w:r w:rsidR="00B168DC" w:rsidRPr="008F5298">
        <w:t xml:space="preserve"> </w:t>
      </w:r>
      <w:r w:rsidR="009F137F" w:rsidRPr="008F5298">
        <w:t>the</w:t>
      </w:r>
      <w:r w:rsidR="00B168DC" w:rsidRPr="008F5298">
        <w:t xml:space="preserve"> </w:t>
      </w:r>
      <w:r w:rsidR="007F6CCF" w:rsidRPr="008F5298">
        <w:t xml:space="preserve">First Home Loan Deposit </w:t>
      </w:r>
      <w:r w:rsidR="00FD5EE7" w:rsidRPr="008F5298">
        <w:t xml:space="preserve">Scheme </w:t>
      </w:r>
      <w:r w:rsidR="00B168DC" w:rsidRPr="008F5298">
        <w:t>immediately prior to refinancing. This allows loans</w:t>
      </w:r>
      <w:r w:rsidR="00FD5EE7" w:rsidRPr="008F5298">
        <w:t xml:space="preserve"> </w:t>
      </w:r>
      <w:r w:rsidR="00C03EE5" w:rsidRPr="008F5298">
        <w:t xml:space="preserve">subject to a guarantee </w:t>
      </w:r>
      <w:r w:rsidR="00FD5EE7" w:rsidRPr="008F5298">
        <w:t xml:space="preserve">under the </w:t>
      </w:r>
      <w:r w:rsidR="007F6CCF" w:rsidRPr="008F5298">
        <w:t xml:space="preserve">First Home Loan Deposit </w:t>
      </w:r>
      <w:r w:rsidR="00FD5EE7" w:rsidRPr="008F5298">
        <w:t xml:space="preserve">Scheme </w:t>
      </w:r>
      <w:r w:rsidR="00B168DC" w:rsidRPr="008F5298">
        <w:t>to be refinanced</w:t>
      </w:r>
      <w:r w:rsidR="00AB5E9B" w:rsidRPr="008F5298">
        <w:t xml:space="preserve"> </w:t>
      </w:r>
      <w:r w:rsidR="00F81B85" w:rsidRPr="008F5298">
        <w:t>with</w:t>
      </w:r>
      <w:r w:rsidR="00AB5E9B" w:rsidRPr="008F5298">
        <w:t xml:space="preserve"> other eligible lenders</w:t>
      </w:r>
      <w:r w:rsidR="00B168DC" w:rsidRPr="008F5298">
        <w:t xml:space="preserve">, promoting consumer choice and competition, despite the new loan otherwise not being an eligible loan at the time it is </w:t>
      </w:r>
      <w:r w:rsidR="00C03EE5" w:rsidRPr="008F5298">
        <w:t>entered into</w:t>
      </w:r>
      <w:r w:rsidR="001B3B85" w:rsidRPr="008F5298">
        <w:t>. F</w:t>
      </w:r>
      <w:r w:rsidR="003C1A27" w:rsidRPr="008F5298">
        <w:t>or example</w:t>
      </w:r>
      <w:r w:rsidR="001B3B85" w:rsidRPr="008F5298">
        <w:t>,</w:t>
      </w:r>
      <w:r w:rsidR="003C1A27" w:rsidRPr="008F5298">
        <w:t xml:space="preserve"> </w:t>
      </w:r>
      <w:r w:rsidR="001B3B85" w:rsidRPr="008F5298">
        <w:t xml:space="preserve">the new loan </w:t>
      </w:r>
      <w:r w:rsidR="009F137F" w:rsidRPr="008F5298">
        <w:t>can be subject to a guarantee under the First Home Loan Deposit Scheme despite</w:t>
      </w:r>
      <w:r w:rsidR="00AB5E9B" w:rsidRPr="008F5298">
        <w:t>,</w:t>
      </w:r>
      <w:r w:rsidR="003C1A27" w:rsidRPr="008F5298">
        <w:t xml:space="preserve"> in later income years</w:t>
      </w:r>
      <w:r w:rsidR="001B3B85" w:rsidRPr="008F5298">
        <w:t>,</w:t>
      </w:r>
      <w:r w:rsidR="003C1A27" w:rsidRPr="008F5298">
        <w:t xml:space="preserve"> the</w:t>
      </w:r>
      <w:r w:rsidR="00322715" w:rsidRPr="008F5298">
        <w:t xml:space="preserve"> owner’s</w:t>
      </w:r>
      <w:r w:rsidR="003C1A27" w:rsidRPr="008F5298">
        <w:t xml:space="preserve"> taxable income ex</w:t>
      </w:r>
      <w:r w:rsidR="009F137F" w:rsidRPr="008F5298">
        <w:t>ceed</w:t>
      </w:r>
      <w:r w:rsidR="00F81B85" w:rsidRPr="008F5298">
        <w:t>ing</w:t>
      </w:r>
      <w:r w:rsidR="003C1A27" w:rsidRPr="008F5298">
        <w:t xml:space="preserve"> the income threshold or they </w:t>
      </w:r>
      <w:r w:rsidR="001B3B85" w:rsidRPr="008F5298">
        <w:t>have</w:t>
      </w:r>
      <w:r w:rsidR="003C1A27" w:rsidRPr="008F5298">
        <w:t xml:space="preserve"> </w:t>
      </w:r>
      <w:r w:rsidR="002B79F8" w:rsidRPr="008F5298">
        <w:t xml:space="preserve">also </w:t>
      </w:r>
      <w:r w:rsidR="003C1A27" w:rsidRPr="008F5298">
        <w:t>acquire</w:t>
      </w:r>
      <w:r w:rsidR="001B3B85" w:rsidRPr="008F5298">
        <w:t>d</w:t>
      </w:r>
      <w:r w:rsidR="003C1A27" w:rsidRPr="008F5298">
        <w:t xml:space="preserve"> a</w:t>
      </w:r>
      <w:r w:rsidR="009875C6" w:rsidRPr="008F5298">
        <w:t>n investment</w:t>
      </w:r>
      <w:r w:rsidR="003C1A27" w:rsidRPr="008F5298">
        <w:t xml:space="preserve"> property</w:t>
      </w:r>
      <w:r w:rsidR="00B168DC" w:rsidRPr="008F5298">
        <w:t>.</w:t>
      </w:r>
      <w:r w:rsidR="00B168DC" w:rsidRPr="008F5298">
        <w:rPr>
          <w:rStyle w:val="CommentReference"/>
        </w:rPr>
        <w:t xml:space="preserve"> </w:t>
      </w:r>
    </w:p>
    <w:p w14:paraId="60245D78" w14:textId="77777777" w:rsidR="00346613" w:rsidRPr="008F5298" w:rsidRDefault="00A752D4" w:rsidP="00B168DC">
      <w:pPr>
        <w:keepLines/>
        <w:spacing w:before="240"/>
      </w:pPr>
      <w:r w:rsidRPr="008F5298">
        <w:t>To be eligible, the new loan must be for the refinancing of an existing guaranteed loan. The new loan cannot be greater than the remaining principal amount owing on the refinanced loan. In addition, the guarantee on the original loan must be in force at the time of the refinancing and that guarantee must not have been subject to a claim.</w:t>
      </w:r>
      <w:r w:rsidRPr="008F5298" w:rsidDel="00A752D4">
        <w:t xml:space="preserve"> </w:t>
      </w:r>
    </w:p>
    <w:p w14:paraId="6B28962D" w14:textId="112C00B8" w:rsidR="00B168DC" w:rsidRPr="008F5298" w:rsidRDefault="00B168DC" w:rsidP="00B168DC">
      <w:pPr>
        <w:keepLines/>
        <w:spacing w:before="240"/>
      </w:pPr>
      <w:r w:rsidRPr="008F5298">
        <w:t xml:space="preserve">Under </w:t>
      </w:r>
      <w:r w:rsidR="00157C4E" w:rsidRPr="008F5298">
        <w:t>paragraph</w:t>
      </w:r>
      <w:r w:rsidRPr="008F5298">
        <w:t xml:space="preserve"> </w:t>
      </w:r>
      <w:proofErr w:type="gramStart"/>
      <w:r w:rsidRPr="008F5298">
        <w:t>29K</w:t>
      </w:r>
      <w:r w:rsidR="00157C4E" w:rsidRPr="008F5298">
        <w:t>(</w:t>
      </w:r>
      <w:proofErr w:type="gramEnd"/>
      <w:r w:rsidR="00157C4E" w:rsidRPr="008F5298">
        <w:t>1)(b)</w:t>
      </w:r>
      <w:r w:rsidRPr="008F5298">
        <w:t xml:space="preserve">, the NHFIC must </w:t>
      </w:r>
      <w:r w:rsidR="00615C67" w:rsidRPr="008F5298">
        <w:t>seek</w:t>
      </w:r>
      <w:r w:rsidRPr="008F5298">
        <w:t xml:space="preserve"> to </w:t>
      </w:r>
      <w:r w:rsidR="00157C4E" w:rsidRPr="008F5298">
        <w:t xml:space="preserve">prevent properties </w:t>
      </w:r>
      <w:r w:rsidR="00615C67" w:rsidRPr="008F5298">
        <w:t xml:space="preserve">purchased under the First Home Loan Deposit Scheme </w:t>
      </w:r>
      <w:r w:rsidR="00157C4E" w:rsidRPr="008F5298">
        <w:t>being used other than as owner</w:t>
      </w:r>
      <w:r w:rsidR="00157C4E" w:rsidRPr="008F5298">
        <w:noBreakHyphen/>
        <w:t>occupied reside</w:t>
      </w:r>
      <w:r w:rsidR="00E218E7" w:rsidRPr="008F5298">
        <w:t>nces. Where there is a refinancing</w:t>
      </w:r>
      <w:r w:rsidR="00157C4E" w:rsidRPr="008F5298">
        <w:t xml:space="preserve"> of a guaranteed loan, the NHFIC </w:t>
      </w:r>
      <w:r w:rsidR="00B5292A" w:rsidRPr="008F5298">
        <w:t>should</w:t>
      </w:r>
      <w:r w:rsidR="00157C4E" w:rsidRPr="008F5298">
        <w:t xml:space="preserve"> </w:t>
      </w:r>
      <w:r w:rsidRPr="008F5298">
        <w:t xml:space="preserve">decline </w:t>
      </w:r>
      <w:r w:rsidR="00157C4E" w:rsidRPr="008F5298">
        <w:t xml:space="preserve">the </w:t>
      </w:r>
      <w:r w:rsidRPr="008F5298">
        <w:t>issue</w:t>
      </w:r>
      <w:r w:rsidR="00157C4E" w:rsidRPr="008F5298">
        <w:t xml:space="preserve"> of</w:t>
      </w:r>
      <w:r w:rsidRPr="008F5298">
        <w:t xml:space="preserve"> a guarantee in relation to a new loan if the </w:t>
      </w:r>
      <w:r w:rsidR="002B79F8" w:rsidRPr="008F5298">
        <w:t>borrowers</w:t>
      </w:r>
      <w:r w:rsidRPr="008F5298">
        <w:t xml:space="preserve"> no longer intend to continue to live in the relevant property</w:t>
      </w:r>
      <w:r w:rsidR="002B79F8" w:rsidRPr="008F5298">
        <w:t xml:space="preserve"> to which the loan relates</w:t>
      </w:r>
      <w:r w:rsidRPr="008F5298">
        <w:t>.</w:t>
      </w:r>
    </w:p>
    <w:p w14:paraId="3537AF25" w14:textId="2572A958" w:rsidR="001771CF" w:rsidRPr="008F5298" w:rsidRDefault="00FF2264" w:rsidP="00F05A3A">
      <w:pPr>
        <w:pStyle w:val="Heading4"/>
        <w:keepLines/>
      </w:pPr>
      <w:r w:rsidRPr="008F5298">
        <w:t>Eligible first home buyer</w:t>
      </w:r>
      <w:r w:rsidR="00380A3D" w:rsidRPr="008F5298">
        <w:t>s</w:t>
      </w:r>
    </w:p>
    <w:p w14:paraId="2FC8935B" w14:textId="0642DC17" w:rsidR="000937DE" w:rsidRPr="008F5298" w:rsidRDefault="00C55BCF" w:rsidP="000937DE">
      <w:pPr>
        <w:keepLines/>
        <w:spacing w:before="240"/>
      </w:pPr>
      <w:r w:rsidRPr="008F5298">
        <w:t>Section 29D provides that t</w:t>
      </w:r>
      <w:r w:rsidR="000937DE" w:rsidRPr="008F5298">
        <w:t xml:space="preserve">he </w:t>
      </w:r>
      <w:r w:rsidR="008052E3" w:rsidRPr="008F5298">
        <w:t xml:space="preserve">First Home Loan Deposit </w:t>
      </w:r>
      <w:r w:rsidR="000937DE" w:rsidRPr="008F5298">
        <w:t>Scheme is only available for home loans where</w:t>
      </w:r>
      <w:r w:rsidR="008B6845" w:rsidRPr="008F5298">
        <w:t>,</w:t>
      </w:r>
      <w:r w:rsidR="000937DE" w:rsidRPr="008F5298">
        <w:t xml:space="preserve"> </w:t>
      </w:r>
      <w:r w:rsidR="00DA5010" w:rsidRPr="008F5298">
        <w:t>at the time the loan agreement is entered into</w:t>
      </w:r>
      <w:r w:rsidR="00362EE9" w:rsidRPr="008F5298">
        <w:t>,</w:t>
      </w:r>
      <w:r w:rsidR="00DA5010" w:rsidRPr="008F5298">
        <w:t xml:space="preserve"> </w:t>
      </w:r>
      <w:r w:rsidR="000937DE" w:rsidRPr="008F5298">
        <w:t xml:space="preserve">each purchaser is an eligible first home buyer. </w:t>
      </w:r>
    </w:p>
    <w:p w14:paraId="2AC91E8D" w14:textId="751C7CE6" w:rsidR="00405C9C" w:rsidRPr="008F5298" w:rsidRDefault="000937DE" w:rsidP="000937DE">
      <w:pPr>
        <w:keepLines/>
        <w:spacing w:before="240"/>
      </w:pPr>
      <w:r w:rsidRPr="008F5298">
        <w:t xml:space="preserve">To be an eligible first home buyer, </w:t>
      </w:r>
      <w:r w:rsidR="003E1493" w:rsidRPr="008F5298">
        <w:t xml:space="preserve">under paragraph </w:t>
      </w:r>
      <w:proofErr w:type="gramStart"/>
      <w:r w:rsidR="003E1493" w:rsidRPr="008F5298">
        <w:t>29D(</w:t>
      </w:r>
      <w:proofErr w:type="gramEnd"/>
      <w:r w:rsidR="003E1493" w:rsidRPr="008F5298">
        <w:t xml:space="preserve">b), </w:t>
      </w:r>
      <w:r w:rsidRPr="008F5298">
        <w:t>a purchaser must be an Australian citizen aged 18 years or older</w:t>
      </w:r>
      <w:r w:rsidR="003E1493" w:rsidRPr="008F5298">
        <w:t xml:space="preserve"> at the time of entering into a loan</w:t>
      </w:r>
      <w:r w:rsidRPr="008F5298">
        <w:t xml:space="preserve">. </w:t>
      </w:r>
    </w:p>
    <w:p w14:paraId="20D38DAC" w14:textId="2DDA452D" w:rsidR="00251A69" w:rsidRPr="008F5298" w:rsidRDefault="00F820A0" w:rsidP="000937DE">
      <w:pPr>
        <w:keepLines/>
        <w:spacing w:before="240"/>
      </w:pPr>
      <w:r w:rsidRPr="008F5298">
        <w:t xml:space="preserve">A purchaser is </w:t>
      </w:r>
      <w:r w:rsidR="00405C9C" w:rsidRPr="008F5298">
        <w:t xml:space="preserve">not an eligible first home buyer </w:t>
      </w:r>
      <w:r w:rsidR="00DA5010" w:rsidRPr="008F5298">
        <w:t xml:space="preserve">under paragraph 29D(a) </w:t>
      </w:r>
      <w:r w:rsidRPr="008F5298">
        <w:t xml:space="preserve">if </w:t>
      </w:r>
      <w:r w:rsidR="00E218E7" w:rsidRPr="008F5298">
        <w:t xml:space="preserve">at the time of entering into the loan </w:t>
      </w:r>
      <w:r w:rsidRPr="008F5298">
        <w:t>they have ever owned</w:t>
      </w:r>
      <w:r w:rsidR="007B385D" w:rsidRPr="008F5298">
        <w:t xml:space="preserve"> </w:t>
      </w:r>
      <w:r w:rsidR="000F114D" w:rsidRPr="008F5298">
        <w:t>a</w:t>
      </w:r>
      <w:r w:rsidR="00251A69" w:rsidRPr="008F5298">
        <w:t>n</w:t>
      </w:r>
      <w:r w:rsidR="00FE377B" w:rsidRPr="008F5298">
        <w:t xml:space="preserve"> interest</w:t>
      </w:r>
      <w:r w:rsidRPr="008F5298">
        <w:t xml:space="preserve"> in Australia</w:t>
      </w:r>
      <w:r w:rsidR="00FE377B" w:rsidRPr="008F5298">
        <w:t>n land</w:t>
      </w:r>
      <w:r w:rsidR="00251A69" w:rsidRPr="008F5298">
        <w:t xml:space="preserve"> comprising</w:t>
      </w:r>
      <w:r w:rsidRPr="008F5298">
        <w:t xml:space="preserve">: </w:t>
      </w:r>
    </w:p>
    <w:p w14:paraId="03C4333D" w14:textId="2E490DD2" w:rsidR="00D9224B" w:rsidRPr="008F5298" w:rsidRDefault="00D9224B" w:rsidP="00F05A3A">
      <w:pPr>
        <w:pStyle w:val="Dotpoint"/>
        <w:keepLines/>
      </w:pPr>
      <w:r w:rsidRPr="008F5298">
        <w:t>a freehold interest in real property (</w:t>
      </w:r>
      <w:r w:rsidR="00F820A0" w:rsidRPr="008F5298">
        <w:t>includ</w:t>
      </w:r>
      <w:r w:rsidRPr="008F5298">
        <w:t>ing</w:t>
      </w:r>
      <w:r w:rsidR="00F820A0" w:rsidRPr="008F5298">
        <w:t xml:space="preserve"> an investment property, vacant land</w:t>
      </w:r>
      <w:r w:rsidR="00E218E7" w:rsidRPr="008F5298">
        <w:t xml:space="preserve"> or</w:t>
      </w:r>
      <w:r w:rsidR="008B6845" w:rsidRPr="008F5298">
        <w:t xml:space="preserve"> </w:t>
      </w:r>
      <w:r w:rsidR="00F820A0" w:rsidRPr="008F5298">
        <w:t>commercial property</w:t>
      </w:r>
      <w:r w:rsidRPr="008F5298">
        <w:t>);</w:t>
      </w:r>
    </w:p>
    <w:p w14:paraId="4A4572CF" w14:textId="03E61D18" w:rsidR="00257594" w:rsidRPr="008F5298" w:rsidRDefault="00F820A0" w:rsidP="00F05A3A">
      <w:pPr>
        <w:pStyle w:val="Dotpoint"/>
        <w:keepLines/>
      </w:pPr>
      <w:r w:rsidRPr="008F5298">
        <w:t>a long</w:t>
      </w:r>
      <w:r w:rsidR="00251A69" w:rsidRPr="008F5298">
        <w:noBreakHyphen/>
      </w:r>
      <w:r w:rsidRPr="008F5298">
        <w:t xml:space="preserve">term </w:t>
      </w:r>
      <w:r w:rsidR="00BF4B71" w:rsidRPr="008F5298">
        <w:t xml:space="preserve">(50 years or more) </w:t>
      </w:r>
      <w:r w:rsidRPr="008F5298">
        <w:t>lease of land</w:t>
      </w:r>
      <w:r w:rsidR="00D9224B" w:rsidRPr="008F5298">
        <w:t xml:space="preserve"> or a renewal or extension of </w:t>
      </w:r>
      <w:r w:rsidR="00BF4B71" w:rsidRPr="008F5298">
        <w:t xml:space="preserve">such a </w:t>
      </w:r>
      <w:r w:rsidR="00D9224B" w:rsidRPr="008F5298">
        <w:t>long-term lease</w:t>
      </w:r>
      <w:r w:rsidR="00407EC7" w:rsidRPr="008F5298">
        <w:t xml:space="preserve"> on substantially the same terms as the lessor owned the real property or held it under a leas</w:t>
      </w:r>
      <w:r w:rsidR="00026677" w:rsidRPr="008F5298">
        <w:t>e</w:t>
      </w:r>
      <w:r w:rsidR="00257594" w:rsidRPr="008F5298">
        <w:t>;</w:t>
      </w:r>
      <w:r w:rsidRPr="008F5298">
        <w:t xml:space="preserve"> or</w:t>
      </w:r>
    </w:p>
    <w:p w14:paraId="3D3CC820" w14:textId="2DF6E442" w:rsidR="00257594" w:rsidRPr="008F5298" w:rsidRDefault="00F820A0" w:rsidP="00F05A3A">
      <w:pPr>
        <w:pStyle w:val="Dotpoint"/>
        <w:keepLines/>
      </w:pPr>
      <w:proofErr w:type="gramStart"/>
      <w:r w:rsidRPr="008F5298">
        <w:t>a</w:t>
      </w:r>
      <w:proofErr w:type="gramEnd"/>
      <w:r w:rsidRPr="008F5298">
        <w:t xml:space="preserve"> company title interest in land.</w:t>
      </w:r>
      <w:r w:rsidR="007901EA" w:rsidRPr="008F5298">
        <w:t xml:space="preserve"> </w:t>
      </w:r>
    </w:p>
    <w:p w14:paraId="43DC3971" w14:textId="479EFF28" w:rsidR="00F820A0" w:rsidRPr="008F5298" w:rsidRDefault="007901EA" w:rsidP="00F05A3A">
      <w:pPr>
        <w:pStyle w:val="Dotpoint"/>
        <w:keepLines/>
        <w:numPr>
          <w:ilvl w:val="0"/>
          <w:numId w:val="0"/>
        </w:numPr>
      </w:pPr>
      <w:r w:rsidRPr="008F5298">
        <w:t xml:space="preserve">The test </w:t>
      </w:r>
      <w:r w:rsidR="00313DB7" w:rsidRPr="008F5298">
        <w:t xml:space="preserve">for whether a purchaser has owned </w:t>
      </w:r>
      <w:r w:rsidR="008D7CEE" w:rsidRPr="008F5298">
        <w:t>a</w:t>
      </w:r>
      <w:r w:rsidR="00183F6D" w:rsidRPr="008F5298">
        <w:t>n</w:t>
      </w:r>
      <w:r w:rsidR="008D7CEE" w:rsidRPr="008F5298">
        <w:t xml:space="preserve"> interest in Australian land</w:t>
      </w:r>
      <w:r w:rsidR="008D7CEE" w:rsidRPr="008F5298" w:rsidDel="008D7CEE">
        <w:t xml:space="preserve"> </w:t>
      </w:r>
      <w:r w:rsidR="00313DB7" w:rsidRPr="008F5298">
        <w:t>is based on paragraph 138</w:t>
      </w:r>
      <w:r w:rsidR="00FE62CE" w:rsidRPr="008F5298">
        <w:noBreakHyphen/>
      </w:r>
      <w:proofErr w:type="gramStart"/>
      <w:r w:rsidR="00313DB7" w:rsidRPr="008F5298">
        <w:t>10(</w:t>
      </w:r>
      <w:proofErr w:type="gramEnd"/>
      <w:r w:rsidR="00313DB7" w:rsidRPr="008F5298">
        <w:t xml:space="preserve">2)(a) in Schedule 1 to the </w:t>
      </w:r>
      <w:r w:rsidR="00313DB7" w:rsidRPr="008F5298">
        <w:rPr>
          <w:i/>
        </w:rPr>
        <w:t>Taxation Administration Act 1953</w:t>
      </w:r>
      <w:r w:rsidR="00313DB7" w:rsidRPr="008F5298">
        <w:t xml:space="preserve">, which </w:t>
      </w:r>
      <w:r w:rsidR="00701466" w:rsidRPr="008F5298">
        <w:t xml:space="preserve">also </w:t>
      </w:r>
      <w:r w:rsidR="00313DB7" w:rsidRPr="008F5298">
        <w:t xml:space="preserve">applies for the purposes of the First Home Super Saver Scheme. </w:t>
      </w:r>
    </w:p>
    <w:p w14:paraId="1DA18BEA" w14:textId="5EFA3EAD" w:rsidR="00405C9C" w:rsidRPr="008F5298" w:rsidRDefault="00405C9C" w:rsidP="00405C9C">
      <w:pPr>
        <w:keepLines/>
        <w:spacing w:before="240"/>
      </w:pPr>
      <w:r w:rsidRPr="008F5298">
        <w:lastRenderedPageBreak/>
        <w:t xml:space="preserve">Applicants must also satisfy an income test </w:t>
      </w:r>
      <w:r w:rsidR="00DA5010" w:rsidRPr="008F5298">
        <w:t xml:space="preserve">under </w:t>
      </w:r>
      <w:r w:rsidR="00B25D27" w:rsidRPr="008F5298">
        <w:t>paragraph</w:t>
      </w:r>
      <w:r w:rsidR="00DF6851" w:rsidRPr="008F5298">
        <w:t xml:space="preserve"> 29D(c) at the time of entering into a loan agreement</w:t>
      </w:r>
      <w:r w:rsidR="00B25D27" w:rsidRPr="008F5298">
        <w:t xml:space="preserve"> </w:t>
      </w:r>
      <w:r w:rsidRPr="008F5298">
        <w:t xml:space="preserve">to be eligible first home buyers. </w:t>
      </w:r>
      <w:r w:rsidR="00DF6851" w:rsidRPr="008F5298">
        <w:t>Section 29E provides that a</w:t>
      </w:r>
      <w:r w:rsidRPr="008F5298">
        <w:t xml:space="preserve">n individual </w:t>
      </w:r>
      <w:r w:rsidR="00681692" w:rsidRPr="008F5298">
        <w:t xml:space="preserve">applicant </w:t>
      </w:r>
      <w:r w:rsidR="00996781" w:rsidRPr="008F5298">
        <w:t xml:space="preserve">for </w:t>
      </w:r>
      <w:r w:rsidR="00681692" w:rsidRPr="008F5298">
        <w:t xml:space="preserve">a loan </w:t>
      </w:r>
      <w:r w:rsidRPr="008F5298">
        <w:t xml:space="preserve">must have a taxable income of $125,000 or less. Joint applicants (as a couple) must have a combined taxable income of $200,000 or less. </w:t>
      </w:r>
      <w:r w:rsidR="00DF6851" w:rsidRPr="008F5298">
        <w:t>T</w:t>
      </w:r>
      <w:r w:rsidRPr="008F5298">
        <w:t xml:space="preserve">axable income refers to the taxable income assessed in the income year preceding the </w:t>
      </w:r>
      <w:r w:rsidR="00540B4A" w:rsidRPr="008F5298">
        <w:t xml:space="preserve">income </w:t>
      </w:r>
      <w:r w:rsidRPr="008F5298">
        <w:t xml:space="preserve">year in which the loan is entered into. </w:t>
      </w:r>
    </w:p>
    <w:p w14:paraId="7D9B5012" w14:textId="3CA3B00E" w:rsidR="002A6913" w:rsidRPr="008F5298" w:rsidRDefault="002A6913" w:rsidP="00405C9C">
      <w:pPr>
        <w:keepLines/>
        <w:spacing w:before="240"/>
      </w:pPr>
      <w:r w:rsidRPr="008F5298">
        <w:t xml:space="preserve">If the property is to be purchased by two people as joint applicants, the joint applicants must be a couple that is legally married or in a de facto relationship. The </w:t>
      </w:r>
      <w:r w:rsidR="008052E3" w:rsidRPr="008F5298">
        <w:t>First Home Loan Deposit</w:t>
      </w:r>
      <w:r w:rsidRPr="008F5298">
        <w:t xml:space="preserve"> Scheme is not available to more than two joint applicants. </w:t>
      </w:r>
    </w:p>
    <w:p w14:paraId="203CEBC1" w14:textId="687979E1" w:rsidR="00F2490D" w:rsidRPr="008F5298" w:rsidRDefault="00F2490D" w:rsidP="00405C9C">
      <w:pPr>
        <w:keepLines/>
        <w:spacing w:before="240"/>
      </w:pPr>
      <w:r w:rsidRPr="008F5298">
        <w:t xml:space="preserve">The income threshold applies </w:t>
      </w:r>
      <w:r w:rsidR="00AF0D4A" w:rsidRPr="008F5298">
        <w:t>only at t</w:t>
      </w:r>
      <w:r w:rsidRPr="008F5298">
        <w:t xml:space="preserve">he time of entering into the loan and recognises that future increases in income </w:t>
      </w:r>
      <w:r w:rsidR="00AF0D4A" w:rsidRPr="008F5298">
        <w:t xml:space="preserve">during the term of the loan </w:t>
      </w:r>
      <w:r w:rsidRPr="008F5298">
        <w:t>will not affect the provision of a guarantee</w:t>
      </w:r>
      <w:r w:rsidR="002A6913" w:rsidRPr="008F5298">
        <w:t xml:space="preserve"> that is already issued</w:t>
      </w:r>
      <w:r w:rsidRPr="008F5298">
        <w:t>.</w:t>
      </w:r>
    </w:p>
    <w:p w14:paraId="6B630750" w14:textId="71A03953" w:rsidR="004453AE" w:rsidRPr="008F5298" w:rsidRDefault="002A6913" w:rsidP="0050713B">
      <w:pPr>
        <w:pStyle w:val="Heading4"/>
      </w:pPr>
      <w:r w:rsidRPr="008F5298">
        <w:t>Price cap for the p</w:t>
      </w:r>
      <w:r w:rsidR="004453AE" w:rsidRPr="008F5298">
        <w:t xml:space="preserve">urchase or construction of </w:t>
      </w:r>
      <w:r w:rsidR="008A65FA" w:rsidRPr="008F5298">
        <w:t xml:space="preserve">a </w:t>
      </w:r>
      <w:r w:rsidR="004453AE" w:rsidRPr="008F5298">
        <w:t>modest home</w:t>
      </w:r>
    </w:p>
    <w:p w14:paraId="74FBD748" w14:textId="56E571AD" w:rsidR="00DA0020" w:rsidRPr="008F5298" w:rsidRDefault="0084066B" w:rsidP="00DA0020">
      <w:pPr>
        <w:keepLines/>
        <w:spacing w:before="240"/>
      </w:pPr>
      <w:r w:rsidRPr="008F5298">
        <w:t xml:space="preserve">To ensure the </w:t>
      </w:r>
      <w:r w:rsidR="008052E3" w:rsidRPr="008F5298">
        <w:t>First Home Loan Deposit</w:t>
      </w:r>
      <w:r w:rsidRPr="008F5298">
        <w:t xml:space="preserve"> Scheme is only available for the purchase of a modest home</w:t>
      </w:r>
      <w:r w:rsidR="0063018F" w:rsidRPr="008F5298">
        <w:t>,</w:t>
      </w:r>
      <w:r w:rsidR="007E7067" w:rsidRPr="008F5298">
        <w:t xml:space="preserve"> or the purchase of land and construction of a modest home</w:t>
      </w:r>
      <w:r w:rsidR="002E4F42" w:rsidRPr="008F5298">
        <w:t xml:space="preserve"> in Australia</w:t>
      </w:r>
      <w:r w:rsidRPr="008F5298">
        <w:t xml:space="preserve">, </w:t>
      </w:r>
      <w:r w:rsidR="00584AE5" w:rsidRPr="008F5298">
        <w:t xml:space="preserve">dwelling </w:t>
      </w:r>
      <w:r w:rsidRPr="008F5298">
        <w:t>price</w:t>
      </w:r>
      <w:r w:rsidR="00DA0020" w:rsidRPr="008F5298">
        <w:t xml:space="preserve"> caps apply on a regional basis. The following dwelling price caps apply </w:t>
      </w:r>
      <w:r w:rsidR="00B846B3" w:rsidRPr="008F5298">
        <w:t>under subsection</w:t>
      </w:r>
      <w:r w:rsidR="008B6845" w:rsidRPr="008F5298">
        <w:t> </w:t>
      </w:r>
      <w:proofErr w:type="gramStart"/>
      <w:r w:rsidR="00B846B3" w:rsidRPr="008F5298">
        <w:t>29F(</w:t>
      </w:r>
      <w:proofErr w:type="gramEnd"/>
      <w:r w:rsidR="00B846B3" w:rsidRPr="008F5298">
        <w:t xml:space="preserve">1) </w:t>
      </w:r>
      <w:r w:rsidR="00DA0020" w:rsidRPr="008F5298">
        <w:t>to restrict the value of properties that may be purchased</w:t>
      </w:r>
      <w:r w:rsidR="004453AE" w:rsidRPr="008F5298">
        <w:t xml:space="preserve">, </w:t>
      </w:r>
      <w:r w:rsidR="007E7067" w:rsidRPr="008F5298">
        <w:t xml:space="preserve">or the </w:t>
      </w:r>
      <w:r w:rsidR="00FE377B" w:rsidRPr="008F5298">
        <w:t>on</w:t>
      </w:r>
      <w:r w:rsidR="002A190A" w:rsidRPr="008F5298">
        <w:noBreakHyphen/>
      </w:r>
      <w:r w:rsidR="00FE377B" w:rsidRPr="008F5298">
        <w:t xml:space="preserve">completion </w:t>
      </w:r>
      <w:r w:rsidR="007E7067" w:rsidRPr="008F5298">
        <w:t xml:space="preserve">value of </w:t>
      </w:r>
      <w:r w:rsidR="001F56C9" w:rsidRPr="008F5298">
        <w:t xml:space="preserve">new </w:t>
      </w:r>
      <w:r w:rsidR="0063018F" w:rsidRPr="008F5298">
        <w:t>residential premises</w:t>
      </w:r>
      <w:r w:rsidR="001F56C9" w:rsidRPr="008F5298">
        <w:t>,</w:t>
      </w:r>
      <w:r w:rsidR="007E7067" w:rsidRPr="008F5298">
        <w:t xml:space="preserve"> </w:t>
      </w:r>
      <w:r w:rsidR="00DA0020" w:rsidRPr="008F5298">
        <w:t xml:space="preserve">under the </w:t>
      </w:r>
      <w:r w:rsidR="008052E3" w:rsidRPr="008F5298">
        <w:t>First Home Loan Deposit Scheme</w:t>
      </w:r>
      <w:r w:rsidR="00DA0020" w:rsidRPr="008F5298">
        <w:t>:</w:t>
      </w: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159"/>
        <w:gridCol w:w="5362"/>
        <w:gridCol w:w="1843"/>
      </w:tblGrid>
      <w:tr w:rsidR="00036462" w:rsidRPr="008F5298" w14:paraId="4B788043" w14:textId="77777777" w:rsidTr="00F54736">
        <w:trPr>
          <w:tblHeader/>
        </w:trPr>
        <w:tc>
          <w:tcPr>
            <w:tcW w:w="8364" w:type="dxa"/>
            <w:gridSpan w:val="3"/>
            <w:tcBorders>
              <w:top w:val="single" w:sz="12" w:space="0" w:color="auto"/>
              <w:bottom w:val="single" w:sz="6" w:space="0" w:color="auto"/>
            </w:tcBorders>
            <w:shd w:val="clear" w:color="auto" w:fill="auto"/>
            <w:hideMark/>
          </w:tcPr>
          <w:p w14:paraId="2A5CF6E5" w14:textId="77777777" w:rsidR="00036462" w:rsidRPr="008F5298" w:rsidRDefault="00036462" w:rsidP="00036462">
            <w:pPr>
              <w:pStyle w:val="TableHeading"/>
            </w:pPr>
            <w:r w:rsidRPr="008F5298">
              <w:t>Price Cap for an area</w:t>
            </w:r>
          </w:p>
        </w:tc>
      </w:tr>
      <w:tr w:rsidR="0050713B" w:rsidRPr="008F5298" w14:paraId="57ED036D" w14:textId="77777777" w:rsidTr="00E9355A">
        <w:trPr>
          <w:tblHeader/>
        </w:trPr>
        <w:tc>
          <w:tcPr>
            <w:tcW w:w="1159" w:type="dxa"/>
            <w:tcBorders>
              <w:top w:val="single" w:sz="6" w:space="0" w:color="auto"/>
              <w:bottom w:val="single" w:sz="12" w:space="0" w:color="auto"/>
            </w:tcBorders>
            <w:shd w:val="clear" w:color="auto" w:fill="auto"/>
            <w:hideMark/>
          </w:tcPr>
          <w:p w14:paraId="4F9F3BDB" w14:textId="77777777" w:rsidR="0050713B" w:rsidRPr="008F5298" w:rsidRDefault="0050713B" w:rsidP="00E9355A">
            <w:pPr>
              <w:pStyle w:val="TableHeading"/>
            </w:pPr>
            <w:r w:rsidRPr="008F5298">
              <w:t>Item</w:t>
            </w:r>
          </w:p>
        </w:tc>
        <w:tc>
          <w:tcPr>
            <w:tcW w:w="5362" w:type="dxa"/>
            <w:tcBorders>
              <w:top w:val="single" w:sz="6" w:space="0" w:color="auto"/>
              <w:bottom w:val="single" w:sz="12" w:space="0" w:color="auto"/>
            </w:tcBorders>
            <w:shd w:val="clear" w:color="auto" w:fill="auto"/>
            <w:hideMark/>
          </w:tcPr>
          <w:p w14:paraId="2AC832C0" w14:textId="77777777" w:rsidR="0050713B" w:rsidRPr="008F5298" w:rsidRDefault="0050713B" w:rsidP="00E9355A">
            <w:pPr>
              <w:pStyle w:val="TableHeading"/>
            </w:pPr>
            <w:r w:rsidRPr="008F5298">
              <w:t>Area</w:t>
            </w:r>
          </w:p>
        </w:tc>
        <w:tc>
          <w:tcPr>
            <w:tcW w:w="1843" w:type="dxa"/>
            <w:tcBorders>
              <w:top w:val="single" w:sz="6" w:space="0" w:color="auto"/>
              <w:bottom w:val="single" w:sz="12" w:space="0" w:color="auto"/>
            </w:tcBorders>
            <w:shd w:val="clear" w:color="auto" w:fill="auto"/>
            <w:hideMark/>
          </w:tcPr>
          <w:p w14:paraId="5D4FC2B2" w14:textId="77777777" w:rsidR="0050713B" w:rsidRPr="008F5298" w:rsidRDefault="0050713B" w:rsidP="00E9355A">
            <w:pPr>
              <w:pStyle w:val="TableHeading"/>
            </w:pPr>
            <w:r w:rsidRPr="008F5298">
              <w:t>Price cap</w:t>
            </w:r>
          </w:p>
        </w:tc>
      </w:tr>
      <w:tr w:rsidR="00C37915" w:rsidRPr="008F5298" w14:paraId="4B1AC54B" w14:textId="77777777" w:rsidTr="00E9355A">
        <w:tc>
          <w:tcPr>
            <w:tcW w:w="1159" w:type="dxa"/>
            <w:tcBorders>
              <w:top w:val="single" w:sz="12" w:space="0" w:color="auto"/>
              <w:bottom w:val="single" w:sz="8" w:space="0" w:color="auto"/>
            </w:tcBorders>
            <w:shd w:val="clear" w:color="auto" w:fill="auto"/>
            <w:hideMark/>
          </w:tcPr>
          <w:p w14:paraId="3AA9417E" w14:textId="55481D5B" w:rsidR="0050713B" w:rsidRPr="00036462" w:rsidRDefault="0050713B" w:rsidP="00036462">
            <w:pPr>
              <w:pStyle w:val="Tabletext"/>
              <w:rPr>
                <w:i/>
              </w:rPr>
            </w:pPr>
            <w:r w:rsidRPr="008F5298">
              <w:t>1</w:t>
            </w:r>
          </w:p>
        </w:tc>
        <w:tc>
          <w:tcPr>
            <w:tcW w:w="5362" w:type="dxa"/>
            <w:tcBorders>
              <w:top w:val="single" w:sz="12" w:space="0" w:color="auto"/>
              <w:bottom w:val="single" w:sz="8" w:space="0" w:color="auto"/>
            </w:tcBorders>
            <w:shd w:val="clear" w:color="auto" w:fill="auto"/>
            <w:hideMark/>
          </w:tcPr>
          <w:p w14:paraId="0A4250E6" w14:textId="656E6966" w:rsidR="0050713B" w:rsidRPr="008F5298" w:rsidRDefault="0050713B" w:rsidP="00036462">
            <w:pPr>
              <w:pStyle w:val="Tabletext"/>
            </w:pPr>
            <w:r w:rsidRPr="008F5298">
              <w:t>Australian Capital Territory</w:t>
            </w:r>
          </w:p>
        </w:tc>
        <w:tc>
          <w:tcPr>
            <w:tcW w:w="1843" w:type="dxa"/>
            <w:tcBorders>
              <w:top w:val="single" w:sz="12" w:space="0" w:color="auto"/>
              <w:bottom w:val="single" w:sz="8" w:space="0" w:color="auto"/>
            </w:tcBorders>
            <w:shd w:val="clear" w:color="auto" w:fill="auto"/>
          </w:tcPr>
          <w:p w14:paraId="2D263E07" w14:textId="4C9E448E" w:rsidR="0050713B" w:rsidRPr="008F5298" w:rsidRDefault="0050713B" w:rsidP="00036462">
            <w:pPr>
              <w:pStyle w:val="Tabletext"/>
            </w:pPr>
            <w:r w:rsidRPr="008F5298">
              <w:t>$500,000</w:t>
            </w:r>
          </w:p>
        </w:tc>
      </w:tr>
      <w:tr w:rsidR="0050713B" w:rsidRPr="008F5298" w14:paraId="3484EFAB" w14:textId="77777777" w:rsidTr="00036462">
        <w:tc>
          <w:tcPr>
            <w:tcW w:w="1159" w:type="dxa"/>
            <w:tcBorders>
              <w:top w:val="single" w:sz="8" w:space="0" w:color="auto"/>
              <w:bottom w:val="single" w:sz="8" w:space="0" w:color="auto"/>
            </w:tcBorders>
            <w:shd w:val="clear" w:color="auto" w:fill="auto"/>
          </w:tcPr>
          <w:p w14:paraId="706659C7" w14:textId="6EB8D2BA" w:rsidR="0050713B" w:rsidRPr="008F5298" w:rsidRDefault="0050713B" w:rsidP="00036462">
            <w:pPr>
              <w:pStyle w:val="Tabletext"/>
            </w:pPr>
            <w:r w:rsidRPr="008F5298">
              <w:t>2</w:t>
            </w:r>
          </w:p>
        </w:tc>
        <w:tc>
          <w:tcPr>
            <w:tcW w:w="5362" w:type="dxa"/>
            <w:tcBorders>
              <w:top w:val="single" w:sz="8" w:space="0" w:color="auto"/>
              <w:bottom w:val="single" w:sz="8" w:space="0" w:color="auto"/>
            </w:tcBorders>
            <w:shd w:val="clear" w:color="auto" w:fill="auto"/>
          </w:tcPr>
          <w:p w14:paraId="218F2ADF" w14:textId="43790CED" w:rsidR="0050713B" w:rsidRPr="008F5298" w:rsidRDefault="0050713B" w:rsidP="00036462">
            <w:pPr>
              <w:pStyle w:val="Tabletext"/>
            </w:pPr>
            <w:r w:rsidRPr="008F5298">
              <w:t>New South Wales—capital city and regional centre</w:t>
            </w:r>
          </w:p>
        </w:tc>
        <w:tc>
          <w:tcPr>
            <w:tcW w:w="1843" w:type="dxa"/>
            <w:tcBorders>
              <w:top w:val="single" w:sz="8" w:space="0" w:color="auto"/>
              <w:bottom w:val="single" w:sz="8" w:space="0" w:color="auto"/>
            </w:tcBorders>
            <w:shd w:val="clear" w:color="auto" w:fill="auto"/>
          </w:tcPr>
          <w:p w14:paraId="0C6C5EFE" w14:textId="15F1B48B" w:rsidR="0050713B" w:rsidRPr="008F5298" w:rsidRDefault="0050713B" w:rsidP="00036462">
            <w:pPr>
              <w:pStyle w:val="Tabletext"/>
            </w:pPr>
            <w:r w:rsidRPr="008F5298">
              <w:t>$700,000</w:t>
            </w:r>
          </w:p>
        </w:tc>
      </w:tr>
      <w:tr w:rsidR="0050713B" w:rsidRPr="008F5298" w14:paraId="1E85DA9A" w14:textId="77777777" w:rsidTr="00E9355A">
        <w:tc>
          <w:tcPr>
            <w:tcW w:w="1159" w:type="dxa"/>
            <w:tcBorders>
              <w:top w:val="single" w:sz="8" w:space="0" w:color="auto"/>
              <w:bottom w:val="single" w:sz="8" w:space="0" w:color="auto"/>
            </w:tcBorders>
            <w:shd w:val="clear" w:color="auto" w:fill="auto"/>
          </w:tcPr>
          <w:p w14:paraId="6AEB5234" w14:textId="77777777" w:rsidR="0050713B" w:rsidRPr="008F5298" w:rsidRDefault="0050713B" w:rsidP="00E9355A">
            <w:pPr>
              <w:pStyle w:val="Tabletext"/>
            </w:pPr>
            <w:r w:rsidRPr="008F5298">
              <w:t>3</w:t>
            </w:r>
          </w:p>
        </w:tc>
        <w:tc>
          <w:tcPr>
            <w:tcW w:w="5362" w:type="dxa"/>
            <w:tcBorders>
              <w:top w:val="single" w:sz="8" w:space="0" w:color="auto"/>
              <w:bottom w:val="single" w:sz="8" w:space="0" w:color="auto"/>
            </w:tcBorders>
            <w:shd w:val="clear" w:color="auto" w:fill="auto"/>
          </w:tcPr>
          <w:p w14:paraId="60BD81FC" w14:textId="77777777" w:rsidR="0050713B" w:rsidRPr="008F5298" w:rsidRDefault="0050713B" w:rsidP="00E9355A">
            <w:pPr>
              <w:pStyle w:val="Tabletext"/>
            </w:pPr>
            <w:r w:rsidRPr="008F5298">
              <w:t>New South Wales—other (including Jervis Bay and Norfolk Island)</w:t>
            </w:r>
          </w:p>
        </w:tc>
        <w:tc>
          <w:tcPr>
            <w:tcW w:w="1843" w:type="dxa"/>
            <w:tcBorders>
              <w:top w:val="single" w:sz="8" w:space="0" w:color="auto"/>
              <w:bottom w:val="single" w:sz="8" w:space="0" w:color="auto"/>
            </w:tcBorders>
            <w:shd w:val="clear" w:color="auto" w:fill="auto"/>
          </w:tcPr>
          <w:p w14:paraId="61308C5E" w14:textId="77777777" w:rsidR="0050713B" w:rsidRPr="008F5298" w:rsidRDefault="0050713B" w:rsidP="00E9355A">
            <w:pPr>
              <w:pStyle w:val="Tabletext"/>
            </w:pPr>
            <w:r w:rsidRPr="008F5298">
              <w:t>$450,000</w:t>
            </w:r>
          </w:p>
        </w:tc>
      </w:tr>
      <w:tr w:rsidR="0050713B" w:rsidRPr="008F5298" w14:paraId="2346B034" w14:textId="77777777" w:rsidTr="00E9355A">
        <w:tc>
          <w:tcPr>
            <w:tcW w:w="1159" w:type="dxa"/>
            <w:tcBorders>
              <w:top w:val="single" w:sz="8" w:space="0" w:color="auto"/>
              <w:bottom w:val="single" w:sz="8" w:space="0" w:color="auto"/>
            </w:tcBorders>
            <w:shd w:val="clear" w:color="auto" w:fill="auto"/>
          </w:tcPr>
          <w:p w14:paraId="1020015E" w14:textId="77777777" w:rsidR="0050713B" w:rsidRPr="008F5298" w:rsidRDefault="0050713B" w:rsidP="00E9355A">
            <w:pPr>
              <w:pStyle w:val="Tabletext"/>
            </w:pPr>
            <w:r w:rsidRPr="008F5298">
              <w:t>4</w:t>
            </w:r>
          </w:p>
        </w:tc>
        <w:tc>
          <w:tcPr>
            <w:tcW w:w="5362" w:type="dxa"/>
            <w:tcBorders>
              <w:top w:val="single" w:sz="8" w:space="0" w:color="auto"/>
              <w:bottom w:val="single" w:sz="8" w:space="0" w:color="auto"/>
            </w:tcBorders>
            <w:shd w:val="clear" w:color="auto" w:fill="auto"/>
          </w:tcPr>
          <w:p w14:paraId="36E12833" w14:textId="77777777" w:rsidR="0050713B" w:rsidRPr="008F5298" w:rsidRDefault="0050713B" w:rsidP="00E9355A">
            <w:pPr>
              <w:pStyle w:val="Tabletext"/>
            </w:pPr>
            <w:r w:rsidRPr="008F5298">
              <w:t>Victoria—capital city and regional centre</w:t>
            </w:r>
          </w:p>
        </w:tc>
        <w:tc>
          <w:tcPr>
            <w:tcW w:w="1843" w:type="dxa"/>
            <w:tcBorders>
              <w:top w:val="single" w:sz="8" w:space="0" w:color="auto"/>
              <w:bottom w:val="single" w:sz="8" w:space="0" w:color="auto"/>
            </w:tcBorders>
            <w:shd w:val="clear" w:color="auto" w:fill="auto"/>
          </w:tcPr>
          <w:p w14:paraId="76CFF714" w14:textId="77777777" w:rsidR="0050713B" w:rsidRPr="008F5298" w:rsidRDefault="0050713B" w:rsidP="00E9355A">
            <w:pPr>
              <w:pStyle w:val="Tabletext"/>
            </w:pPr>
            <w:r w:rsidRPr="008F5298">
              <w:t>$600,000</w:t>
            </w:r>
          </w:p>
        </w:tc>
      </w:tr>
      <w:tr w:rsidR="0050713B" w:rsidRPr="008F5298" w14:paraId="279E3186" w14:textId="77777777" w:rsidTr="00E9355A">
        <w:tc>
          <w:tcPr>
            <w:tcW w:w="1159" w:type="dxa"/>
            <w:tcBorders>
              <w:top w:val="single" w:sz="8" w:space="0" w:color="auto"/>
              <w:bottom w:val="single" w:sz="8" w:space="0" w:color="auto"/>
            </w:tcBorders>
            <w:shd w:val="clear" w:color="auto" w:fill="auto"/>
          </w:tcPr>
          <w:p w14:paraId="69E29121" w14:textId="77777777" w:rsidR="0050713B" w:rsidRPr="008F5298" w:rsidRDefault="0050713B" w:rsidP="00E9355A">
            <w:pPr>
              <w:pStyle w:val="Tabletext"/>
            </w:pPr>
            <w:r w:rsidRPr="008F5298">
              <w:t>5</w:t>
            </w:r>
          </w:p>
        </w:tc>
        <w:tc>
          <w:tcPr>
            <w:tcW w:w="5362" w:type="dxa"/>
            <w:tcBorders>
              <w:top w:val="single" w:sz="8" w:space="0" w:color="auto"/>
              <w:bottom w:val="single" w:sz="8" w:space="0" w:color="auto"/>
            </w:tcBorders>
            <w:shd w:val="clear" w:color="auto" w:fill="auto"/>
          </w:tcPr>
          <w:p w14:paraId="33E6A1D0" w14:textId="77777777" w:rsidR="0050713B" w:rsidRPr="008F5298" w:rsidRDefault="0050713B" w:rsidP="00E9355A">
            <w:pPr>
              <w:pStyle w:val="Tabletext"/>
            </w:pPr>
            <w:r w:rsidRPr="008F5298">
              <w:t>Victoria—other</w:t>
            </w:r>
          </w:p>
        </w:tc>
        <w:tc>
          <w:tcPr>
            <w:tcW w:w="1843" w:type="dxa"/>
            <w:tcBorders>
              <w:top w:val="single" w:sz="8" w:space="0" w:color="auto"/>
              <w:bottom w:val="single" w:sz="8" w:space="0" w:color="auto"/>
            </w:tcBorders>
            <w:shd w:val="clear" w:color="auto" w:fill="auto"/>
          </w:tcPr>
          <w:p w14:paraId="31DA87F3" w14:textId="77777777" w:rsidR="0050713B" w:rsidRPr="008F5298" w:rsidRDefault="0050713B" w:rsidP="00E9355A">
            <w:pPr>
              <w:pStyle w:val="Tabletext"/>
            </w:pPr>
            <w:r w:rsidRPr="008F5298">
              <w:t>$375,000</w:t>
            </w:r>
          </w:p>
        </w:tc>
      </w:tr>
      <w:tr w:rsidR="0050713B" w:rsidRPr="008F5298" w14:paraId="3301692E" w14:textId="77777777" w:rsidTr="00E9355A">
        <w:tc>
          <w:tcPr>
            <w:tcW w:w="1159" w:type="dxa"/>
            <w:tcBorders>
              <w:top w:val="single" w:sz="8" w:space="0" w:color="auto"/>
              <w:bottom w:val="single" w:sz="8" w:space="0" w:color="auto"/>
            </w:tcBorders>
            <w:shd w:val="clear" w:color="auto" w:fill="auto"/>
          </w:tcPr>
          <w:p w14:paraId="7ADE96A7" w14:textId="77777777" w:rsidR="0050713B" w:rsidRPr="008F5298" w:rsidRDefault="0050713B" w:rsidP="00E9355A">
            <w:pPr>
              <w:pStyle w:val="Tabletext"/>
            </w:pPr>
            <w:r w:rsidRPr="008F5298">
              <w:t>6</w:t>
            </w:r>
          </w:p>
        </w:tc>
        <w:tc>
          <w:tcPr>
            <w:tcW w:w="5362" w:type="dxa"/>
            <w:tcBorders>
              <w:top w:val="single" w:sz="8" w:space="0" w:color="auto"/>
              <w:bottom w:val="single" w:sz="8" w:space="0" w:color="auto"/>
            </w:tcBorders>
            <w:shd w:val="clear" w:color="auto" w:fill="auto"/>
          </w:tcPr>
          <w:p w14:paraId="48466E9E" w14:textId="77777777" w:rsidR="0050713B" w:rsidRPr="008F5298" w:rsidRDefault="0050713B" w:rsidP="00E9355A">
            <w:pPr>
              <w:pStyle w:val="Tabletext"/>
            </w:pPr>
            <w:r w:rsidRPr="008F5298">
              <w:t>Queensland—capital city and regional centre</w:t>
            </w:r>
          </w:p>
        </w:tc>
        <w:tc>
          <w:tcPr>
            <w:tcW w:w="1843" w:type="dxa"/>
            <w:tcBorders>
              <w:top w:val="single" w:sz="8" w:space="0" w:color="auto"/>
              <w:bottom w:val="single" w:sz="8" w:space="0" w:color="auto"/>
            </w:tcBorders>
            <w:shd w:val="clear" w:color="auto" w:fill="auto"/>
          </w:tcPr>
          <w:p w14:paraId="510E773E" w14:textId="77777777" w:rsidR="0050713B" w:rsidRPr="008F5298" w:rsidRDefault="0050713B" w:rsidP="00E9355A">
            <w:pPr>
              <w:pStyle w:val="Tabletext"/>
            </w:pPr>
            <w:r w:rsidRPr="008F5298">
              <w:t>$475,000</w:t>
            </w:r>
          </w:p>
        </w:tc>
      </w:tr>
      <w:tr w:rsidR="0050713B" w:rsidRPr="008F5298" w14:paraId="083FC9F7" w14:textId="77777777" w:rsidTr="00E9355A">
        <w:tc>
          <w:tcPr>
            <w:tcW w:w="1159" w:type="dxa"/>
            <w:tcBorders>
              <w:top w:val="single" w:sz="8" w:space="0" w:color="auto"/>
              <w:bottom w:val="single" w:sz="8" w:space="0" w:color="auto"/>
            </w:tcBorders>
            <w:shd w:val="clear" w:color="auto" w:fill="auto"/>
          </w:tcPr>
          <w:p w14:paraId="582CD384" w14:textId="77777777" w:rsidR="0050713B" w:rsidRPr="008F5298" w:rsidRDefault="0050713B" w:rsidP="00E9355A">
            <w:pPr>
              <w:pStyle w:val="Tabletext"/>
            </w:pPr>
            <w:r w:rsidRPr="008F5298">
              <w:t>7</w:t>
            </w:r>
          </w:p>
        </w:tc>
        <w:tc>
          <w:tcPr>
            <w:tcW w:w="5362" w:type="dxa"/>
            <w:tcBorders>
              <w:top w:val="single" w:sz="8" w:space="0" w:color="auto"/>
              <w:bottom w:val="single" w:sz="8" w:space="0" w:color="auto"/>
            </w:tcBorders>
            <w:shd w:val="clear" w:color="auto" w:fill="auto"/>
          </w:tcPr>
          <w:p w14:paraId="4ABB4592" w14:textId="77777777" w:rsidR="0050713B" w:rsidRPr="008F5298" w:rsidRDefault="0050713B" w:rsidP="00E9355A">
            <w:pPr>
              <w:pStyle w:val="Tabletext"/>
            </w:pPr>
            <w:r w:rsidRPr="008F5298">
              <w:t>Queensland—other</w:t>
            </w:r>
          </w:p>
        </w:tc>
        <w:tc>
          <w:tcPr>
            <w:tcW w:w="1843" w:type="dxa"/>
            <w:tcBorders>
              <w:top w:val="single" w:sz="8" w:space="0" w:color="auto"/>
              <w:bottom w:val="single" w:sz="8" w:space="0" w:color="auto"/>
            </w:tcBorders>
            <w:shd w:val="clear" w:color="auto" w:fill="auto"/>
          </w:tcPr>
          <w:p w14:paraId="0D68CAFB" w14:textId="77777777" w:rsidR="0050713B" w:rsidRPr="008F5298" w:rsidRDefault="0050713B" w:rsidP="00E9355A">
            <w:pPr>
              <w:pStyle w:val="Tabletext"/>
            </w:pPr>
            <w:r w:rsidRPr="008F5298">
              <w:t>$400,000</w:t>
            </w:r>
          </w:p>
        </w:tc>
      </w:tr>
      <w:tr w:rsidR="00C37915" w:rsidRPr="008F5298" w14:paraId="42BF3D09" w14:textId="77777777" w:rsidTr="00E9355A">
        <w:tc>
          <w:tcPr>
            <w:tcW w:w="1159" w:type="dxa"/>
            <w:tcBorders>
              <w:top w:val="single" w:sz="8" w:space="0" w:color="auto"/>
              <w:bottom w:val="single" w:sz="8" w:space="0" w:color="auto"/>
            </w:tcBorders>
            <w:shd w:val="clear" w:color="auto" w:fill="auto"/>
          </w:tcPr>
          <w:p w14:paraId="1233C6D9" w14:textId="7A861FB1" w:rsidR="0050713B" w:rsidRPr="008F5298" w:rsidRDefault="0050713B" w:rsidP="00036462">
            <w:pPr>
              <w:pStyle w:val="Tabletext"/>
            </w:pPr>
            <w:r w:rsidRPr="008F5298">
              <w:t>8</w:t>
            </w:r>
          </w:p>
        </w:tc>
        <w:tc>
          <w:tcPr>
            <w:tcW w:w="5362" w:type="dxa"/>
            <w:tcBorders>
              <w:top w:val="single" w:sz="8" w:space="0" w:color="auto"/>
              <w:bottom w:val="single" w:sz="8" w:space="0" w:color="auto"/>
            </w:tcBorders>
            <w:shd w:val="clear" w:color="auto" w:fill="auto"/>
          </w:tcPr>
          <w:p w14:paraId="67603C8F" w14:textId="64EDDFA7" w:rsidR="0050713B" w:rsidRPr="008F5298" w:rsidRDefault="0050713B" w:rsidP="00036462">
            <w:pPr>
              <w:pStyle w:val="Tabletext"/>
            </w:pPr>
            <w:r w:rsidRPr="008F5298">
              <w:t>Northern Territory</w:t>
            </w:r>
          </w:p>
        </w:tc>
        <w:tc>
          <w:tcPr>
            <w:tcW w:w="1843" w:type="dxa"/>
            <w:tcBorders>
              <w:top w:val="single" w:sz="8" w:space="0" w:color="auto"/>
              <w:bottom w:val="single" w:sz="8" w:space="0" w:color="auto"/>
            </w:tcBorders>
            <w:shd w:val="clear" w:color="auto" w:fill="auto"/>
          </w:tcPr>
          <w:p w14:paraId="72002FF5" w14:textId="1647FFC0" w:rsidR="0050713B" w:rsidRPr="008F5298" w:rsidRDefault="0050713B" w:rsidP="00036462">
            <w:pPr>
              <w:pStyle w:val="Tabletext"/>
            </w:pPr>
            <w:r w:rsidRPr="008F5298">
              <w:t>$375,000</w:t>
            </w:r>
          </w:p>
        </w:tc>
      </w:tr>
      <w:tr w:rsidR="0050713B" w:rsidRPr="008F5298" w14:paraId="100D843E" w14:textId="77777777" w:rsidTr="00036462">
        <w:tc>
          <w:tcPr>
            <w:tcW w:w="1159" w:type="dxa"/>
            <w:tcBorders>
              <w:top w:val="single" w:sz="8" w:space="0" w:color="auto"/>
              <w:bottom w:val="single" w:sz="8" w:space="0" w:color="auto"/>
            </w:tcBorders>
            <w:shd w:val="clear" w:color="auto" w:fill="auto"/>
          </w:tcPr>
          <w:p w14:paraId="13A1BF85" w14:textId="632B1508" w:rsidR="0050713B" w:rsidRPr="008F5298" w:rsidRDefault="0050713B" w:rsidP="00036462">
            <w:pPr>
              <w:pStyle w:val="Tabletext"/>
            </w:pPr>
            <w:r w:rsidRPr="008F5298">
              <w:t>9</w:t>
            </w:r>
          </w:p>
        </w:tc>
        <w:tc>
          <w:tcPr>
            <w:tcW w:w="5362" w:type="dxa"/>
            <w:tcBorders>
              <w:top w:val="single" w:sz="8" w:space="0" w:color="auto"/>
              <w:bottom w:val="single" w:sz="8" w:space="0" w:color="auto"/>
            </w:tcBorders>
            <w:shd w:val="clear" w:color="auto" w:fill="auto"/>
          </w:tcPr>
          <w:p w14:paraId="3F3CFA87" w14:textId="14AA0334" w:rsidR="0050713B" w:rsidRPr="008F5298" w:rsidRDefault="0050713B" w:rsidP="00036462">
            <w:pPr>
              <w:pStyle w:val="Tabletext"/>
            </w:pPr>
            <w:r w:rsidRPr="008F5298">
              <w:t>South Australia—capital city</w:t>
            </w:r>
          </w:p>
        </w:tc>
        <w:tc>
          <w:tcPr>
            <w:tcW w:w="1843" w:type="dxa"/>
            <w:tcBorders>
              <w:top w:val="single" w:sz="8" w:space="0" w:color="auto"/>
              <w:bottom w:val="single" w:sz="8" w:space="0" w:color="auto"/>
            </w:tcBorders>
            <w:shd w:val="clear" w:color="auto" w:fill="auto"/>
          </w:tcPr>
          <w:p w14:paraId="2163E323" w14:textId="77777777" w:rsidR="0050713B" w:rsidRPr="008F5298" w:rsidRDefault="0050713B" w:rsidP="00036462">
            <w:pPr>
              <w:pStyle w:val="Tabletext"/>
            </w:pPr>
            <w:r w:rsidRPr="008F5298">
              <w:t>$400,000</w:t>
            </w:r>
          </w:p>
        </w:tc>
      </w:tr>
      <w:tr w:rsidR="0050713B" w:rsidRPr="008F5298" w14:paraId="500F5AA6" w14:textId="77777777" w:rsidTr="00036462">
        <w:tc>
          <w:tcPr>
            <w:tcW w:w="1159" w:type="dxa"/>
            <w:tcBorders>
              <w:top w:val="single" w:sz="8" w:space="0" w:color="auto"/>
              <w:bottom w:val="single" w:sz="8" w:space="0" w:color="auto"/>
            </w:tcBorders>
            <w:shd w:val="clear" w:color="auto" w:fill="auto"/>
          </w:tcPr>
          <w:p w14:paraId="7196FFC9" w14:textId="06D2BB29" w:rsidR="0050713B" w:rsidRPr="008F5298" w:rsidRDefault="0050713B" w:rsidP="00036462">
            <w:pPr>
              <w:pStyle w:val="Tabletext"/>
            </w:pPr>
            <w:r w:rsidRPr="008F5298">
              <w:t>10</w:t>
            </w:r>
          </w:p>
        </w:tc>
        <w:tc>
          <w:tcPr>
            <w:tcW w:w="5362" w:type="dxa"/>
            <w:tcBorders>
              <w:top w:val="single" w:sz="8" w:space="0" w:color="auto"/>
              <w:bottom w:val="single" w:sz="8" w:space="0" w:color="auto"/>
            </w:tcBorders>
            <w:shd w:val="clear" w:color="auto" w:fill="auto"/>
          </w:tcPr>
          <w:p w14:paraId="48DFA3E0" w14:textId="5949AD31" w:rsidR="0050713B" w:rsidRPr="008F5298" w:rsidRDefault="0050713B" w:rsidP="00036462">
            <w:pPr>
              <w:pStyle w:val="Tabletext"/>
            </w:pPr>
            <w:r w:rsidRPr="008F5298">
              <w:t>South Australia—other</w:t>
            </w:r>
          </w:p>
        </w:tc>
        <w:tc>
          <w:tcPr>
            <w:tcW w:w="1843" w:type="dxa"/>
            <w:tcBorders>
              <w:top w:val="single" w:sz="8" w:space="0" w:color="auto"/>
              <w:bottom w:val="single" w:sz="8" w:space="0" w:color="auto"/>
            </w:tcBorders>
            <w:shd w:val="clear" w:color="auto" w:fill="auto"/>
          </w:tcPr>
          <w:p w14:paraId="469EAAE8" w14:textId="77777777" w:rsidR="0050713B" w:rsidRPr="008F5298" w:rsidRDefault="0050713B" w:rsidP="00036462">
            <w:pPr>
              <w:pStyle w:val="Tabletext"/>
            </w:pPr>
            <w:r w:rsidRPr="008F5298">
              <w:t>$250,000</w:t>
            </w:r>
          </w:p>
        </w:tc>
      </w:tr>
      <w:tr w:rsidR="0050713B" w:rsidRPr="008F5298" w14:paraId="4410D725" w14:textId="77777777" w:rsidTr="00036462">
        <w:tc>
          <w:tcPr>
            <w:tcW w:w="1159" w:type="dxa"/>
            <w:tcBorders>
              <w:top w:val="single" w:sz="8" w:space="0" w:color="auto"/>
              <w:bottom w:val="single" w:sz="8" w:space="0" w:color="auto"/>
            </w:tcBorders>
            <w:shd w:val="clear" w:color="auto" w:fill="auto"/>
          </w:tcPr>
          <w:p w14:paraId="7815805F" w14:textId="5D62D2E8" w:rsidR="0050713B" w:rsidRPr="008F5298" w:rsidRDefault="0050713B" w:rsidP="00036462">
            <w:pPr>
              <w:pStyle w:val="Tabletext"/>
            </w:pPr>
            <w:r w:rsidRPr="008F5298">
              <w:t>11</w:t>
            </w:r>
          </w:p>
        </w:tc>
        <w:tc>
          <w:tcPr>
            <w:tcW w:w="5362" w:type="dxa"/>
            <w:tcBorders>
              <w:top w:val="single" w:sz="8" w:space="0" w:color="auto"/>
              <w:bottom w:val="single" w:sz="8" w:space="0" w:color="auto"/>
            </w:tcBorders>
            <w:shd w:val="clear" w:color="auto" w:fill="auto"/>
          </w:tcPr>
          <w:p w14:paraId="6BEAB631" w14:textId="33420545" w:rsidR="0050713B" w:rsidRPr="008F5298" w:rsidRDefault="0050713B" w:rsidP="00036462">
            <w:pPr>
              <w:pStyle w:val="Tabletext"/>
            </w:pPr>
            <w:r w:rsidRPr="008F5298">
              <w:t>Western Australia—capital city</w:t>
            </w:r>
          </w:p>
        </w:tc>
        <w:tc>
          <w:tcPr>
            <w:tcW w:w="1843" w:type="dxa"/>
            <w:tcBorders>
              <w:top w:val="single" w:sz="8" w:space="0" w:color="auto"/>
              <w:bottom w:val="single" w:sz="8" w:space="0" w:color="auto"/>
            </w:tcBorders>
            <w:shd w:val="clear" w:color="auto" w:fill="auto"/>
          </w:tcPr>
          <w:p w14:paraId="265C7568" w14:textId="06D0ECA1" w:rsidR="0050713B" w:rsidRPr="008F5298" w:rsidRDefault="0050713B" w:rsidP="00036462">
            <w:pPr>
              <w:pStyle w:val="Tabletext"/>
            </w:pPr>
            <w:r w:rsidRPr="008F5298">
              <w:t>$400,000</w:t>
            </w:r>
          </w:p>
        </w:tc>
      </w:tr>
      <w:tr w:rsidR="00C37915" w:rsidRPr="008F5298" w14:paraId="47264E4A" w14:textId="77777777" w:rsidTr="00E9355A">
        <w:tc>
          <w:tcPr>
            <w:tcW w:w="1159" w:type="dxa"/>
            <w:tcBorders>
              <w:top w:val="single" w:sz="8" w:space="0" w:color="auto"/>
              <w:bottom w:val="single" w:sz="8" w:space="0" w:color="auto"/>
            </w:tcBorders>
            <w:shd w:val="clear" w:color="auto" w:fill="auto"/>
          </w:tcPr>
          <w:p w14:paraId="551A8167" w14:textId="65CB7CB4" w:rsidR="0050713B" w:rsidRPr="008F5298" w:rsidRDefault="0050713B" w:rsidP="00036462">
            <w:pPr>
              <w:pStyle w:val="Tabletext"/>
            </w:pPr>
            <w:r w:rsidRPr="008F5298">
              <w:t>12</w:t>
            </w:r>
          </w:p>
        </w:tc>
        <w:tc>
          <w:tcPr>
            <w:tcW w:w="5362" w:type="dxa"/>
            <w:tcBorders>
              <w:top w:val="single" w:sz="8" w:space="0" w:color="auto"/>
              <w:bottom w:val="single" w:sz="8" w:space="0" w:color="auto"/>
            </w:tcBorders>
            <w:shd w:val="clear" w:color="auto" w:fill="auto"/>
          </w:tcPr>
          <w:p w14:paraId="74E339E3" w14:textId="7BF0E2E6" w:rsidR="0050713B" w:rsidRPr="008F5298" w:rsidRDefault="0050713B" w:rsidP="00036462">
            <w:pPr>
              <w:pStyle w:val="Tabletext"/>
            </w:pPr>
            <w:r w:rsidRPr="008F5298">
              <w:t>Western Australia—other (including Christmas Island and Cocos (Keeling) Islands)</w:t>
            </w:r>
          </w:p>
        </w:tc>
        <w:tc>
          <w:tcPr>
            <w:tcW w:w="1843" w:type="dxa"/>
            <w:tcBorders>
              <w:top w:val="single" w:sz="8" w:space="0" w:color="auto"/>
              <w:bottom w:val="single" w:sz="8" w:space="0" w:color="auto"/>
            </w:tcBorders>
            <w:shd w:val="clear" w:color="auto" w:fill="auto"/>
          </w:tcPr>
          <w:p w14:paraId="4C30A1C4" w14:textId="77777777" w:rsidR="0050713B" w:rsidRPr="008F5298" w:rsidRDefault="0050713B" w:rsidP="00036462">
            <w:pPr>
              <w:pStyle w:val="Tabletext"/>
            </w:pPr>
            <w:r w:rsidRPr="008F5298">
              <w:t>$300,000</w:t>
            </w:r>
          </w:p>
        </w:tc>
      </w:tr>
      <w:tr w:rsidR="0050713B" w:rsidRPr="008F5298" w14:paraId="16574946" w14:textId="77777777" w:rsidTr="00E9355A">
        <w:tc>
          <w:tcPr>
            <w:tcW w:w="1159" w:type="dxa"/>
            <w:tcBorders>
              <w:top w:val="single" w:sz="8" w:space="0" w:color="auto"/>
              <w:bottom w:val="single" w:sz="8" w:space="0" w:color="auto"/>
            </w:tcBorders>
            <w:shd w:val="clear" w:color="auto" w:fill="auto"/>
          </w:tcPr>
          <w:p w14:paraId="1500A004" w14:textId="77777777" w:rsidR="0050713B" w:rsidRPr="008F5298" w:rsidRDefault="0050713B" w:rsidP="00E9355A">
            <w:pPr>
              <w:pStyle w:val="Tabletext"/>
            </w:pPr>
            <w:r w:rsidRPr="008F5298">
              <w:t>13</w:t>
            </w:r>
          </w:p>
        </w:tc>
        <w:tc>
          <w:tcPr>
            <w:tcW w:w="5362" w:type="dxa"/>
            <w:tcBorders>
              <w:top w:val="single" w:sz="8" w:space="0" w:color="auto"/>
              <w:bottom w:val="single" w:sz="8" w:space="0" w:color="auto"/>
            </w:tcBorders>
            <w:shd w:val="clear" w:color="auto" w:fill="auto"/>
          </w:tcPr>
          <w:p w14:paraId="54078342" w14:textId="77777777" w:rsidR="0050713B" w:rsidRPr="008F5298" w:rsidRDefault="0050713B" w:rsidP="00E9355A">
            <w:pPr>
              <w:pStyle w:val="Tabletext"/>
            </w:pPr>
            <w:r w:rsidRPr="008F5298">
              <w:t>Tasmania—capital city</w:t>
            </w:r>
          </w:p>
        </w:tc>
        <w:tc>
          <w:tcPr>
            <w:tcW w:w="1843" w:type="dxa"/>
            <w:tcBorders>
              <w:top w:val="single" w:sz="8" w:space="0" w:color="auto"/>
              <w:bottom w:val="single" w:sz="8" w:space="0" w:color="auto"/>
            </w:tcBorders>
            <w:shd w:val="clear" w:color="auto" w:fill="auto"/>
          </w:tcPr>
          <w:p w14:paraId="3F435D18" w14:textId="77777777" w:rsidR="0050713B" w:rsidRPr="008F5298" w:rsidRDefault="0050713B" w:rsidP="00E9355A">
            <w:pPr>
              <w:pStyle w:val="Tabletext"/>
            </w:pPr>
            <w:r w:rsidRPr="008F5298">
              <w:t>$400,000</w:t>
            </w:r>
          </w:p>
        </w:tc>
      </w:tr>
      <w:tr w:rsidR="0050713B" w:rsidRPr="008F5298" w14:paraId="54DC6BF8" w14:textId="77777777" w:rsidTr="00E9355A">
        <w:tc>
          <w:tcPr>
            <w:tcW w:w="1159" w:type="dxa"/>
            <w:tcBorders>
              <w:top w:val="single" w:sz="8" w:space="0" w:color="auto"/>
              <w:bottom w:val="single" w:sz="8" w:space="0" w:color="auto"/>
            </w:tcBorders>
            <w:shd w:val="clear" w:color="auto" w:fill="auto"/>
          </w:tcPr>
          <w:p w14:paraId="2DA2B6F5" w14:textId="77777777" w:rsidR="0050713B" w:rsidRPr="008F5298" w:rsidRDefault="0050713B" w:rsidP="00E9355A">
            <w:pPr>
              <w:pStyle w:val="Tabletext"/>
            </w:pPr>
            <w:r w:rsidRPr="008F5298">
              <w:t>14</w:t>
            </w:r>
          </w:p>
        </w:tc>
        <w:tc>
          <w:tcPr>
            <w:tcW w:w="5362" w:type="dxa"/>
            <w:tcBorders>
              <w:top w:val="single" w:sz="8" w:space="0" w:color="auto"/>
              <w:bottom w:val="single" w:sz="8" w:space="0" w:color="auto"/>
            </w:tcBorders>
            <w:shd w:val="clear" w:color="auto" w:fill="auto"/>
          </w:tcPr>
          <w:p w14:paraId="56519524" w14:textId="77777777" w:rsidR="0050713B" w:rsidRPr="008F5298" w:rsidRDefault="0050713B" w:rsidP="00E9355A">
            <w:pPr>
              <w:pStyle w:val="Tabletext"/>
            </w:pPr>
            <w:r w:rsidRPr="008F5298">
              <w:t>Tasmania—other</w:t>
            </w:r>
          </w:p>
        </w:tc>
        <w:tc>
          <w:tcPr>
            <w:tcW w:w="1843" w:type="dxa"/>
            <w:tcBorders>
              <w:top w:val="single" w:sz="8" w:space="0" w:color="auto"/>
              <w:bottom w:val="single" w:sz="8" w:space="0" w:color="auto"/>
            </w:tcBorders>
            <w:shd w:val="clear" w:color="auto" w:fill="auto"/>
          </w:tcPr>
          <w:p w14:paraId="12D37281" w14:textId="77777777" w:rsidR="0050713B" w:rsidRPr="008F5298" w:rsidRDefault="0050713B" w:rsidP="00E9355A">
            <w:pPr>
              <w:pStyle w:val="Tabletext"/>
            </w:pPr>
            <w:r w:rsidRPr="008F5298">
              <w:t>$300,000</w:t>
            </w:r>
          </w:p>
        </w:tc>
      </w:tr>
    </w:tbl>
    <w:p w14:paraId="4F4EC0C4" w14:textId="11797246" w:rsidR="004B5A8F" w:rsidRPr="008F5298" w:rsidRDefault="00AC25A9" w:rsidP="00F05A3A">
      <w:pPr>
        <w:keepLines/>
      </w:pPr>
      <w:r w:rsidRPr="008F5298">
        <w:lastRenderedPageBreak/>
        <w:t xml:space="preserve">Under subsection </w:t>
      </w:r>
      <w:proofErr w:type="gramStart"/>
      <w:r w:rsidRPr="008F5298">
        <w:t>29F(</w:t>
      </w:r>
      <w:proofErr w:type="gramEnd"/>
      <w:r w:rsidRPr="008F5298">
        <w:t>3) t</w:t>
      </w:r>
      <w:r w:rsidR="004B5A8F" w:rsidRPr="008F5298">
        <w:t xml:space="preserve">he States are divided into two </w:t>
      </w:r>
      <w:r w:rsidR="00E9355A" w:rsidRPr="008F5298">
        <w:t>categories</w:t>
      </w:r>
      <w:r w:rsidR="004B5A8F" w:rsidRPr="008F5298">
        <w:t xml:space="preserve">: the first </w:t>
      </w:r>
      <w:r w:rsidR="00E9355A" w:rsidRPr="008F5298">
        <w:t>category</w:t>
      </w:r>
      <w:r w:rsidR="00C84539" w:rsidRPr="008F5298">
        <w:t xml:space="preserve"> is</w:t>
      </w:r>
      <w:r w:rsidR="004B5A8F" w:rsidRPr="008F5298">
        <w:t xml:space="preserve"> the capital city and significant regional centres, and the second </w:t>
      </w:r>
      <w:r w:rsidR="00E9355A" w:rsidRPr="008F5298">
        <w:t>category</w:t>
      </w:r>
      <w:r w:rsidR="00C84539" w:rsidRPr="008F5298">
        <w:t xml:space="preserve"> is</w:t>
      </w:r>
      <w:r w:rsidR="00CC7FFE" w:rsidRPr="008F5298">
        <w:t xml:space="preserve"> </w:t>
      </w:r>
      <w:r w:rsidR="004B5A8F" w:rsidRPr="008F5298">
        <w:t xml:space="preserve">the rest of the State. The </w:t>
      </w:r>
      <w:r w:rsidR="00540B4A" w:rsidRPr="008F5298">
        <w:t xml:space="preserve">geographic boundaries of </w:t>
      </w:r>
      <w:r w:rsidR="006C6297" w:rsidRPr="008F5298">
        <w:t xml:space="preserve">the </w:t>
      </w:r>
      <w:r w:rsidR="00540B4A" w:rsidRPr="008F5298">
        <w:t>capital city of a State are those set out in</w:t>
      </w:r>
      <w:r w:rsidR="004B5A8F" w:rsidRPr="008F5298">
        <w:t xml:space="preserve"> the relevant Greater Capital City Statistical Area determined in accordance with the </w:t>
      </w:r>
      <w:r w:rsidR="00792302" w:rsidRPr="008F5298">
        <w:t xml:space="preserve">2016 edition of the </w:t>
      </w:r>
      <w:r w:rsidR="004B5A8F" w:rsidRPr="008F5298">
        <w:rPr>
          <w:i/>
        </w:rPr>
        <w:t>Australian Statistical Geography Standard</w:t>
      </w:r>
      <w:r w:rsidR="004B5A8F" w:rsidRPr="008F5298">
        <w:t xml:space="preserve">. </w:t>
      </w:r>
      <w:r w:rsidR="0096156F" w:rsidRPr="008F5298">
        <w:t xml:space="preserve">Further information about the Standard is available on the Australian Bureau of Statistics’ website: </w:t>
      </w:r>
      <w:hyperlink r:id="rId13" w:history="1">
        <w:r w:rsidR="0096156F" w:rsidRPr="008F5298">
          <w:rPr>
            <w:rStyle w:val="Hyperlink"/>
            <w:color w:val="auto"/>
          </w:rPr>
          <w:t>www.abs.gov.au</w:t>
        </w:r>
      </w:hyperlink>
      <w:r w:rsidR="0096156F" w:rsidRPr="008F5298">
        <w:t xml:space="preserve">. </w:t>
      </w:r>
    </w:p>
    <w:p w14:paraId="13178D15" w14:textId="55AB4E07" w:rsidR="0084066B" w:rsidRPr="008F5298" w:rsidRDefault="004B5A8F" w:rsidP="00F05A3A">
      <w:pPr>
        <w:keepNext/>
        <w:keepLines/>
      </w:pPr>
      <w:r w:rsidRPr="008F5298">
        <w:t>The following regional centres</w:t>
      </w:r>
      <w:r w:rsidR="00E9355A" w:rsidRPr="008F5298">
        <w:t xml:space="preserve">, within the meaning of the </w:t>
      </w:r>
      <w:r w:rsidR="00E9355A" w:rsidRPr="008F5298">
        <w:rPr>
          <w:i/>
        </w:rPr>
        <w:t>Australian Statistical Geography Standard</w:t>
      </w:r>
      <w:r w:rsidR="00E9355A" w:rsidRPr="008F5298">
        <w:t>,</w:t>
      </w:r>
      <w:r w:rsidRPr="008F5298">
        <w:t xml:space="preserve"> are also included in the first category and property purchased in these areas is subject to the higher price cap applying in the relevant State</w:t>
      </w:r>
      <w:r w:rsidR="00504EED" w:rsidRPr="008F5298">
        <w:t>:</w:t>
      </w:r>
    </w:p>
    <w:p w14:paraId="21D8A813" w14:textId="3C682AA9" w:rsidR="00E9355A" w:rsidRPr="008F5298" w:rsidRDefault="00E9355A" w:rsidP="00E9355A">
      <w:pPr>
        <w:pStyle w:val="Bullet"/>
      </w:pPr>
      <w:r w:rsidRPr="008F5298">
        <w:t>Gold Coast;</w:t>
      </w:r>
    </w:p>
    <w:p w14:paraId="55EDCC8A" w14:textId="1FE2FD99" w:rsidR="00E9355A" w:rsidRPr="008F5298" w:rsidRDefault="00E9355A" w:rsidP="00E9355A">
      <w:pPr>
        <w:pStyle w:val="Bullet"/>
      </w:pPr>
      <w:r w:rsidRPr="008F5298">
        <w:t>Sunshine Coast;</w:t>
      </w:r>
    </w:p>
    <w:p w14:paraId="39585695" w14:textId="75101068" w:rsidR="00E9355A" w:rsidRPr="008F5298" w:rsidRDefault="00E9355A" w:rsidP="00E9355A">
      <w:pPr>
        <w:pStyle w:val="Bullet"/>
      </w:pPr>
      <w:r w:rsidRPr="008F5298">
        <w:t>Newcastle and Lake Macquarie;</w:t>
      </w:r>
    </w:p>
    <w:p w14:paraId="21EBC0D7" w14:textId="6A4E4093" w:rsidR="00E9355A" w:rsidRPr="008F5298" w:rsidRDefault="00E9355A" w:rsidP="00E9355A">
      <w:pPr>
        <w:pStyle w:val="Bullet"/>
      </w:pPr>
      <w:r w:rsidRPr="008F5298">
        <w:t>Illawarra;</w:t>
      </w:r>
    </w:p>
    <w:p w14:paraId="09AC772F" w14:textId="0C739E9B" w:rsidR="00E9355A" w:rsidRPr="008F5298" w:rsidRDefault="00E9355A" w:rsidP="00E9355A">
      <w:pPr>
        <w:pStyle w:val="Bullet"/>
      </w:pPr>
      <w:r w:rsidRPr="008F5298">
        <w:t>Geelong.</w:t>
      </w:r>
    </w:p>
    <w:p w14:paraId="59FB9049" w14:textId="7003640F" w:rsidR="00DA0020" w:rsidRPr="008F5298" w:rsidRDefault="004B5A8F" w:rsidP="00F05A3A">
      <w:pPr>
        <w:keepLines/>
      </w:pPr>
      <w:r w:rsidRPr="008F5298">
        <w:t xml:space="preserve">Regional centres are defined by reference to the relevant Statistical Area 4 determined in accordance with the </w:t>
      </w:r>
      <w:r w:rsidR="00792302" w:rsidRPr="008F5298">
        <w:t xml:space="preserve">2016 edition of the </w:t>
      </w:r>
      <w:r w:rsidRPr="008F5298">
        <w:rPr>
          <w:i/>
        </w:rPr>
        <w:t>Australian Statistical Geography Standard</w:t>
      </w:r>
      <w:r w:rsidRPr="008F5298">
        <w:t>.</w:t>
      </w:r>
      <w:r w:rsidR="00B56659" w:rsidRPr="008F5298">
        <w:t xml:space="preserve"> The regional centres were selected on the basis that they ha</w:t>
      </w:r>
      <w:r w:rsidR="007E7067" w:rsidRPr="008F5298">
        <w:t>ve</w:t>
      </w:r>
      <w:r w:rsidR="00B56659" w:rsidRPr="008F5298">
        <w:t xml:space="preserve"> a </w:t>
      </w:r>
      <w:r w:rsidR="00DD0321" w:rsidRPr="008F5298">
        <w:t xml:space="preserve">concentrated </w:t>
      </w:r>
      <w:r w:rsidR="00B56659" w:rsidRPr="008F5298">
        <w:t xml:space="preserve">population in excess of 250,000. </w:t>
      </w:r>
    </w:p>
    <w:p w14:paraId="78176B99" w14:textId="3ACC8080" w:rsidR="004B5A8F" w:rsidRPr="008F5298" w:rsidRDefault="004B5A8F" w:rsidP="00F05A3A">
      <w:pPr>
        <w:keepLines/>
      </w:pPr>
      <w:r w:rsidRPr="008F5298">
        <w:t xml:space="preserve">The Australian Capital Territory and the Northern Territory </w:t>
      </w:r>
      <w:r w:rsidR="009918B8" w:rsidRPr="008F5298">
        <w:t xml:space="preserve">are not divided into </w:t>
      </w:r>
      <w:r w:rsidR="008D34D7" w:rsidRPr="008F5298">
        <w:t>categories</w:t>
      </w:r>
      <w:r w:rsidR="009918B8" w:rsidRPr="008F5298">
        <w:t xml:space="preserve">. A single price cap applies to all property purchased within each </w:t>
      </w:r>
      <w:r w:rsidR="00CC7FFE" w:rsidRPr="008F5298">
        <w:t>territory</w:t>
      </w:r>
      <w:r w:rsidR="009918B8" w:rsidRPr="008F5298">
        <w:t xml:space="preserve">. </w:t>
      </w:r>
    </w:p>
    <w:p w14:paraId="73FE3687" w14:textId="5B900831" w:rsidR="009918B8" w:rsidRPr="008F5298" w:rsidRDefault="009918B8" w:rsidP="00EC25DF">
      <w:pPr>
        <w:keepNext/>
        <w:keepLines/>
      </w:pPr>
      <w:r w:rsidRPr="008F5298">
        <w:t xml:space="preserve">The territories of Jervis Bay, Norfolk Island, Christmas Island and the Cocos (Keeling) Islands are incorporated in the </w:t>
      </w:r>
      <w:r w:rsidR="00584AE5" w:rsidRPr="008F5298">
        <w:t xml:space="preserve">dwelling </w:t>
      </w:r>
      <w:r w:rsidRPr="008F5298">
        <w:t>price cap applying in the closest State</w:t>
      </w:r>
      <w:r w:rsidR="00EC25DF" w:rsidRPr="008F5298">
        <w:t xml:space="preserve"> – New South Wales—other, and Western Australian—other respectively. </w:t>
      </w:r>
    </w:p>
    <w:tbl>
      <w:tblPr>
        <w:tblW w:w="0" w:type="auto"/>
        <w:jc w:val="center"/>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533"/>
        <w:gridCol w:w="2533"/>
        <w:gridCol w:w="2533"/>
      </w:tblGrid>
      <w:tr w:rsidR="009918B8" w:rsidRPr="00EF1ADF" w14:paraId="1FEBE0DF" w14:textId="77777777" w:rsidTr="002A190A">
        <w:trPr>
          <w:tblHeader/>
          <w:jc w:val="center"/>
        </w:trPr>
        <w:tc>
          <w:tcPr>
            <w:tcW w:w="2533" w:type="dxa"/>
            <w:tcBorders>
              <w:top w:val="single" w:sz="12" w:space="0" w:color="auto"/>
              <w:bottom w:val="single" w:sz="12" w:space="0" w:color="auto"/>
            </w:tcBorders>
            <w:shd w:val="clear" w:color="auto" w:fill="auto"/>
          </w:tcPr>
          <w:p w14:paraId="1EBC8AB9" w14:textId="77777777" w:rsidR="009918B8" w:rsidRPr="00EF1ADF" w:rsidRDefault="00584AE5" w:rsidP="00F05A3A">
            <w:pPr>
              <w:pStyle w:val="TableHeading"/>
              <w:keepLines/>
            </w:pPr>
            <w:r>
              <w:t>Territory</w:t>
            </w:r>
          </w:p>
        </w:tc>
        <w:tc>
          <w:tcPr>
            <w:tcW w:w="2533" w:type="dxa"/>
            <w:tcBorders>
              <w:top w:val="single" w:sz="12" w:space="0" w:color="auto"/>
              <w:bottom w:val="single" w:sz="12" w:space="0" w:color="auto"/>
            </w:tcBorders>
            <w:shd w:val="clear" w:color="auto" w:fill="auto"/>
          </w:tcPr>
          <w:p w14:paraId="42229055" w14:textId="77777777" w:rsidR="009918B8" w:rsidRPr="00EF1ADF" w:rsidRDefault="009918B8" w:rsidP="00F05A3A">
            <w:pPr>
              <w:pStyle w:val="TableHeading"/>
              <w:keepLines/>
            </w:pPr>
            <w:r>
              <w:t>Closest State</w:t>
            </w:r>
          </w:p>
        </w:tc>
        <w:tc>
          <w:tcPr>
            <w:tcW w:w="2533" w:type="dxa"/>
            <w:tcBorders>
              <w:top w:val="single" w:sz="12" w:space="0" w:color="auto"/>
              <w:bottom w:val="single" w:sz="12" w:space="0" w:color="auto"/>
            </w:tcBorders>
            <w:shd w:val="clear" w:color="auto" w:fill="auto"/>
          </w:tcPr>
          <w:p w14:paraId="4307DE67" w14:textId="77777777" w:rsidR="009918B8" w:rsidRPr="00EF1ADF" w:rsidRDefault="00584AE5" w:rsidP="00F05A3A">
            <w:pPr>
              <w:pStyle w:val="TableHeading"/>
              <w:keepLines/>
            </w:pPr>
            <w:r>
              <w:t>Dwelling p</w:t>
            </w:r>
            <w:r w:rsidR="009918B8">
              <w:t>rice cap</w:t>
            </w:r>
          </w:p>
        </w:tc>
      </w:tr>
      <w:tr w:rsidR="009918B8" w:rsidRPr="00EF1ADF" w14:paraId="5DD4AABB" w14:textId="77777777" w:rsidTr="002A190A">
        <w:trPr>
          <w:jc w:val="center"/>
        </w:trPr>
        <w:tc>
          <w:tcPr>
            <w:tcW w:w="2533" w:type="dxa"/>
            <w:shd w:val="clear" w:color="auto" w:fill="auto"/>
          </w:tcPr>
          <w:p w14:paraId="371EA17B" w14:textId="77777777" w:rsidR="009918B8" w:rsidRPr="00EF1ADF" w:rsidRDefault="009918B8" w:rsidP="00FA73A4">
            <w:pPr>
              <w:pStyle w:val="Tabletext"/>
              <w:keepNext/>
              <w:keepLines/>
            </w:pPr>
            <w:r>
              <w:t>Jervis Bay</w:t>
            </w:r>
          </w:p>
        </w:tc>
        <w:tc>
          <w:tcPr>
            <w:tcW w:w="2533" w:type="dxa"/>
            <w:shd w:val="clear" w:color="auto" w:fill="auto"/>
          </w:tcPr>
          <w:p w14:paraId="2D25B6B0" w14:textId="77777777" w:rsidR="009918B8" w:rsidRDefault="009918B8" w:rsidP="00FA73A4">
            <w:pPr>
              <w:pStyle w:val="Tabletext"/>
              <w:keepNext/>
              <w:keepLines/>
            </w:pPr>
            <w:r>
              <w:t>New South Wales</w:t>
            </w:r>
          </w:p>
        </w:tc>
        <w:tc>
          <w:tcPr>
            <w:tcW w:w="2533" w:type="dxa"/>
            <w:shd w:val="clear" w:color="auto" w:fill="auto"/>
          </w:tcPr>
          <w:p w14:paraId="1ADE50F6" w14:textId="77777777" w:rsidR="009918B8" w:rsidRDefault="009918B8" w:rsidP="00FA73A4">
            <w:pPr>
              <w:pStyle w:val="Tabletext"/>
              <w:keepNext/>
              <w:keepLines/>
            </w:pPr>
            <w:r>
              <w:t>$450,000</w:t>
            </w:r>
          </w:p>
        </w:tc>
      </w:tr>
      <w:tr w:rsidR="009918B8" w:rsidRPr="00EF1ADF" w14:paraId="799193BF" w14:textId="77777777" w:rsidTr="002A190A">
        <w:trPr>
          <w:jc w:val="center"/>
        </w:trPr>
        <w:tc>
          <w:tcPr>
            <w:tcW w:w="2533" w:type="dxa"/>
            <w:shd w:val="clear" w:color="auto" w:fill="auto"/>
          </w:tcPr>
          <w:p w14:paraId="42A6BF12" w14:textId="77777777" w:rsidR="009918B8" w:rsidRPr="00EF1ADF" w:rsidRDefault="009918B8" w:rsidP="00FA73A4">
            <w:pPr>
              <w:pStyle w:val="Tabletext"/>
              <w:keepNext/>
              <w:keepLines/>
            </w:pPr>
            <w:r>
              <w:t>Norfolk Island</w:t>
            </w:r>
          </w:p>
        </w:tc>
        <w:tc>
          <w:tcPr>
            <w:tcW w:w="2533" w:type="dxa"/>
            <w:shd w:val="clear" w:color="auto" w:fill="auto"/>
          </w:tcPr>
          <w:p w14:paraId="11FCE80A" w14:textId="77777777" w:rsidR="009918B8" w:rsidRPr="00EF1ADF" w:rsidRDefault="009918B8" w:rsidP="00FA73A4">
            <w:pPr>
              <w:pStyle w:val="Tabletext"/>
              <w:keepNext/>
              <w:keepLines/>
            </w:pPr>
            <w:r>
              <w:t>New South Wales</w:t>
            </w:r>
          </w:p>
        </w:tc>
        <w:tc>
          <w:tcPr>
            <w:tcW w:w="2533" w:type="dxa"/>
            <w:shd w:val="clear" w:color="auto" w:fill="auto"/>
          </w:tcPr>
          <w:p w14:paraId="2E5E7A96" w14:textId="77777777" w:rsidR="009918B8" w:rsidRPr="00EF1ADF" w:rsidRDefault="009918B8" w:rsidP="00FA73A4">
            <w:pPr>
              <w:pStyle w:val="Tabletext"/>
              <w:keepNext/>
              <w:keepLines/>
            </w:pPr>
            <w:r>
              <w:t>$450,000</w:t>
            </w:r>
          </w:p>
        </w:tc>
      </w:tr>
      <w:tr w:rsidR="009918B8" w:rsidRPr="00EF1ADF" w14:paraId="58057D5D" w14:textId="77777777" w:rsidTr="002A190A">
        <w:trPr>
          <w:jc w:val="center"/>
        </w:trPr>
        <w:tc>
          <w:tcPr>
            <w:tcW w:w="2533" w:type="dxa"/>
            <w:shd w:val="clear" w:color="auto" w:fill="auto"/>
          </w:tcPr>
          <w:p w14:paraId="60DDFC9F" w14:textId="77777777" w:rsidR="009918B8" w:rsidRPr="00EF1ADF" w:rsidRDefault="009918B8" w:rsidP="00FA73A4">
            <w:pPr>
              <w:pStyle w:val="Tabletext"/>
              <w:keepNext/>
              <w:keepLines/>
            </w:pPr>
            <w:r>
              <w:t>Christmas Island</w:t>
            </w:r>
          </w:p>
        </w:tc>
        <w:tc>
          <w:tcPr>
            <w:tcW w:w="2533" w:type="dxa"/>
            <w:shd w:val="clear" w:color="auto" w:fill="auto"/>
          </w:tcPr>
          <w:p w14:paraId="3F3151E1" w14:textId="77777777" w:rsidR="009918B8" w:rsidRPr="00EF1ADF" w:rsidRDefault="009918B8" w:rsidP="00FA73A4">
            <w:pPr>
              <w:pStyle w:val="Tabletext"/>
              <w:keepNext/>
              <w:keepLines/>
            </w:pPr>
            <w:r>
              <w:t>Western Australia</w:t>
            </w:r>
          </w:p>
        </w:tc>
        <w:tc>
          <w:tcPr>
            <w:tcW w:w="2533" w:type="dxa"/>
            <w:shd w:val="clear" w:color="auto" w:fill="auto"/>
          </w:tcPr>
          <w:p w14:paraId="621EF0B7" w14:textId="77777777" w:rsidR="009918B8" w:rsidRPr="00EF1ADF" w:rsidRDefault="009918B8" w:rsidP="00FA73A4">
            <w:pPr>
              <w:pStyle w:val="Tabletext"/>
              <w:keepNext/>
              <w:keepLines/>
            </w:pPr>
            <w:r>
              <w:t>$300,000</w:t>
            </w:r>
          </w:p>
        </w:tc>
      </w:tr>
      <w:tr w:rsidR="009918B8" w:rsidRPr="00EF1ADF" w14:paraId="41B3FA54" w14:textId="77777777" w:rsidTr="002A190A">
        <w:trPr>
          <w:jc w:val="center"/>
        </w:trPr>
        <w:tc>
          <w:tcPr>
            <w:tcW w:w="2533" w:type="dxa"/>
            <w:shd w:val="clear" w:color="auto" w:fill="auto"/>
          </w:tcPr>
          <w:p w14:paraId="65A72D4D" w14:textId="77777777" w:rsidR="009918B8" w:rsidRPr="00EF1ADF" w:rsidRDefault="009918B8" w:rsidP="00F05A3A">
            <w:pPr>
              <w:pStyle w:val="Tabletext"/>
              <w:keepLines/>
            </w:pPr>
            <w:r>
              <w:t>The Cocos (Keeling) Islands</w:t>
            </w:r>
          </w:p>
        </w:tc>
        <w:tc>
          <w:tcPr>
            <w:tcW w:w="2533" w:type="dxa"/>
            <w:shd w:val="clear" w:color="auto" w:fill="auto"/>
          </w:tcPr>
          <w:p w14:paraId="5981DEFA" w14:textId="77777777" w:rsidR="009918B8" w:rsidRPr="00EF1ADF" w:rsidRDefault="009918B8" w:rsidP="00F05A3A">
            <w:pPr>
              <w:pStyle w:val="Tabletext"/>
              <w:keepLines/>
            </w:pPr>
            <w:r>
              <w:t>Western Australia</w:t>
            </w:r>
          </w:p>
        </w:tc>
        <w:tc>
          <w:tcPr>
            <w:tcW w:w="2533" w:type="dxa"/>
            <w:shd w:val="clear" w:color="auto" w:fill="auto"/>
          </w:tcPr>
          <w:p w14:paraId="66540E42" w14:textId="77777777" w:rsidR="009918B8" w:rsidRPr="00EF1ADF" w:rsidRDefault="009918B8" w:rsidP="00F05A3A">
            <w:pPr>
              <w:pStyle w:val="Tabletext"/>
              <w:keepLines/>
            </w:pPr>
            <w:r>
              <w:t>$300,000</w:t>
            </w:r>
          </w:p>
        </w:tc>
      </w:tr>
    </w:tbl>
    <w:p w14:paraId="65024FFC" w14:textId="137C21F4" w:rsidR="00DD0D30" w:rsidRPr="008F5298" w:rsidRDefault="00C84539" w:rsidP="00F05A3A">
      <w:pPr>
        <w:keepLines/>
      </w:pPr>
      <w:r w:rsidRPr="008F5298">
        <w:t xml:space="preserve">The price caps for the capital cities, regional area and remaining areas have been set having regard to </w:t>
      </w:r>
      <w:r w:rsidR="00D70BE8" w:rsidRPr="008F5298">
        <w:t>the price of dwellings in the different property markets whilst also ensuring that the caps are easy for first home buyers to understand.</w:t>
      </w:r>
    </w:p>
    <w:p w14:paraId="14244706" w14:textId="59FA576F" w:rsidR="00D70BE8" w:rsidRPr="008F5298" w:rsidRDefault="00D70BE8" w:rsidP="00F05A3A">
      <w:pPr>
        <w:keepLines/>
      </w:pPr>
      <w:r w:rsidRPr="008F5298">
        <w:t xml:space="preserve">The price caps for the large regional centres are higher than other regional areas as </w:t>
      </w:r>
      <w:r w:rsidR="00254E0E" w:rsidRPr="008F5298">
        <w:t xml:space="preserve">median </w:t>
      </w:r>
      <w:r w:rsidRPr="008F5298">
        <w:t>dwelling</w:t>
      </w:r>
      <w:r w:rsidR="00254E0E" w:rsidRPr="008F5298">
        <w:t xml:space="preserve"> price</w:t>
      </w:r>
      <w:r w:rsidRPr="008F5298">
        <w:t xml:space="preserve">s in </w:t>
      </w:r>
      <w:r w:rsidR="008A65FA" w:rsidRPr="008F5298">
        <w:t xml:space="preserve">these </w:t>
      </w:r>
      <w:r w:rsidRPr="008F5298">
        <w:t>regional centres are typically significantly higher than other regional areas.</w:t>
      </w:r>
    </w:p>
    <w:p w14:paraId="1F5B210B" w14:textId="4F6D1529" w:rsidR="004B5A8F" w:rsidRPr="008F5298" w:rsidRDefault="00CC7FFE" w:rsidP="00F05A3A">
      <w:pPr>
        <w:keepLines/>
      </w:pPr>
      <w:r w:rsidRPr="008F5298">
        <w:lastRenderedPageBreak/>
        <w:t>S</w:t>
      </w:r>
      <w:r w:rsidR="00201674" w:rsidRPr="008F5298">
        <w:t xml:space="preserve">ubsection 29F(2) </w:t>
      </w:r>
      <w:r w:rsidR="00C13C19" w:rsidRPr="008F5298">
        <w:t xml:space="preserve">provides that </w:t>
      </w:r>
      <w:r w:rsidR="00F26C3F" w:rsidRPr="008F5298">
        <w:t>t</w:t>
      </w:r>
      <w:r w:rsidR="00584AE5" w:rsidRPr="008F5298">
        <w:t xml:space="preserve">he NHFIC </w:t>
      </w:r>
      <w:r w:rsidR="00C6064D" w:rsidRPr="008F5298">
        <w:t>must</w:t>
      </w:r>
      <w:r w:rsidR="00584AE5" w:rsidRPr="008F5298">
        <w:t xml:space="preserve"> make recommendations to the Minister </w:t>
      </w:r>
      <w:r w:rsidR="00C6064D" w:rsidRPr="008F5298">
        <w:t>as soon as practica</w:t>
      </w:r>
      <w:r w:rsidRPr="008F5298">
        <w:t>b</w:t>
      </w:r>
      <w:r w:rsidR="00C6064D" w:rsidRPr="008F5298">
        <w:t>l</w:t>
      </w:r>
      <w:r w:rsidRPr="008F5298">
        <w:t>e</w:t>
      </w:r>
      <w:r w:rsidR="00C6064D" w:rsidRPr="008F5298">
        <w:t xml:space="preserve"> after the end of each 12 month period ending on 31</w:t>
      </w:r>
      <w:r w:rsidR="00EC2660" w:rsidRPr="008F5298">
        <w:t> </w:t>
      </w:r>
      <w:r w:rsidR="00C6064D" w:rsidRPr="008F5298">
        <w:t>December</w:t>
      </w:r>
      <w:r w:rsidR="00584AE5" w:rsidRPr="008F5298">
        <w:t xml:space="preserve"> outlining what (if any) changes should be made to the dwelling price caps. The Government will consider the NHFIC’s recommendations in deciding whether to adjust the dwelling price caps. </w:t>
      </w:r>
      <w:r w:rsidR="00F26C3F" w:rsidRPr="008F5298">
        <w:t>The NHFIC may make recommendations at other time</w:t>
      </w:r>
      <w:r w:rsidR="00B65DF9" w:rsidRPr="008F5298">
        <w:t>s</w:t>
      </w:r>
      <w:r w:rsidR="00F26C3F" w:rsidRPr="008F5298">
        <w:t xml:space="preserve"> if it considers there are factors that warrant an </w:t>
      </w:r>
      <w:r w:rsidR="00EC2660" w:rsidRPr="008F5298">
        <w:t>adjustment to</w:t>
      </w:r>
      <w:r w:rsidR="00F26C3F" w:rsidRPr="008F5298">
        <w:t xml:space="preserve"> the price caps outside of the annual review period.</w:t>
      </w:r>
    </w:p>
    <w:p w14:paraId="65607F1F" w14:textId="2183EBA6" w:rsidR="006F35FF" w:rsidRPr="008F5298" w:rsidRDefault="006F7F07" w:rsidP="00F05A3A">
      <w:pPr>
        <w:keepLines/>
      </w:pPr>
      <w:r w:rsidRPr="008F5298">
        <w:t>Item 2</w:t>
      </w:r>
      <w:r w:rsidR="007A485D" w:rsidRPr="008F5298">
        <w:t xml:space="preserve"> of Schedule 1 to the Instrument </w:t>
      </w:r>
      <w:r w:rsidR="00CC7FFE" w:rsidRPr="008F5298">
        <w:t xml:space="preserve">inserts </w:t>
      </w:r>
      <w:r w:rsidR="00C12020" w:rsidRPr="008F5298">
        <w:t>a</w:t>
      </w:r>
      <w:r w:rsidR="00CC7FFE" w:rsidRPr="008F5298">
        <w:t xml:space="preserve"> definition of</w:t>
      </w:r>
      <w:r w:rsidR="007A485D" w:rsidRPr="008F5298">
        <w:t xml:space="preserve"> value </w:t>
      </w:r>
      <w:r w:rsidR="00306864" w:rsidRPr="008F5298">
        <w:t xml:space="preserve">in section 4 of the Investment Mandate </w:t>
      </w:r>
      <w:r w:rsidR="007A485D" w:rsidRPr="008F5298">
        <w:t xml:space="preserve">in </w:t>
      </w:r>
      <w:r w:rsidR="00CC7FFE" w:rsidRPr="008F5298">
        <w:t>relation to</w:t>
      </w:r>
      <w:r w:rsidR="007A485D" w:rsidRPr="008F5298">
        <w:t xml:space="preserve"> a residential property as the value assessed by the eligible lender</w:t>
      </w:r>
      <w:r w:rsidR="008B4A8D" w:rsidRPr="008F5298">
        <w:t xml:space="preserve"> at the time at which the loan is entered into. The value is determined </w:t>
      </w:r>
      <w:r w:rsidR="007A485D" w:rsidRPr="008F5298">
        <w:t>consistent with standard lending practice</w:t>
      </w:r>
      <w:r w:rsidR="00D54F7C" w:rsidRPr="008F5298">
        <w:t xml:space="preserve"> in the residential mortgage lending sector.</w:t>
      </w:r>
      <w:r w:rsidR="00D10D12" w:rsidRPr="008F5298">
        <w:t xml:space="preserve"> </w:t>
      </w:r>
    </w:p>
    <w:p w14:paraId="1F5CA371" w14:textId="60D74071" w:rsidR="004B5A8F" w:rsidRPr="008F5298" w:rsidRDefault="006F35FF" w:rsidP="00F05A3A">
      <w:pPr>
        <w:keepLines/>
      </w:pPr>
      <w:r w:rsidRPr="008F5298">
        <w:t>Where there is a single loan for both the purchase of</w:t>
      </w:r>
      <w:r w:rsidR="00F26C3F" w:rsidRPr="008F5298">
        <w:t xml:space="preserve"> land and </w:t>
      </w:r>
      <w:r w:rsidR="00D10D12" w:rsidRPr="008F5298">
        <w:t>construct</w:t>
      </w:r>
      <w:r w:rsidR="007A5543" w:rsidRPr="008F5298">
        <w:t>ion of</w:t>
      </w:r>
      <w:r w:rsidR="00D10D12" w:rsidRPr="008F5298">
        <w:t xml:space="preserve"> residential premises, the value </w:t>
      </w:r>
      <w:r w:rsidR="00877B2F" w:rsidRPr="008F5298">
        <w:t>is the</w:t>
      </w:r>
      <w:r w:rsidR="005F21AF" w:rsidRPr="008F5298">
        <w:t xml:space="preserve"> </w:t>
      </w:r>
      <w:r w:rsidR="00C12020" w:rsidRPr="008F5298">
        <w:t>projected</w:t>
      </w:r>
      <w:r w:rsidR="00877B2F" w:rsidRPr="008F5298">
        <w:t xml:space="preserve"> </w:t>
      </w:r>
      <w:r w:rsidR="00C12020" w:rsidRPr="008F5298">
        <w:t xml:space="preserve">market </w:t>
      </w:r>
      <w:r w:rsidR="005F21AF" w:rsidRPr="008F5298">
        <w:t>value of the residential premises</w:t>
      </w:r>
      <w:r w:rsidR="00346DEE" w:rsidRPr="008F5298">
        <w:t xml:space="preserve"> (including the land)</w:t>
      </w:r>
      <w:r w:rsidR="00D10D12" w:rsidRPr="008F5298">
        <w:t xml:space="preserve"> estimated at the time the loan is entered into</w:t>
      </w:r>
      <w:r w:rsidR="003D1241" w:rsidRPr="008F5298">
        <w:t xml:space="preserve">, </w:t>
      </w:r>
      <w:r w:rsidR="00A3204E" w:rsidRPr="008F5298">
        <w:t>assuming</w:t>
      </w:r>
      <w:r w:rsidR="005F21AF" w:rsidRPr="008F5298">
        <w:t xml:space="preserve"> </w:t>
      </w:r>
      <w:r w:rsidR="00A3204E" w:rsidRPr="008F5298">
        <w:t>that</w:t>
      </w:r>
      <w:r w:rsidR="005F21AF" w:rsidRPr="008F5298">
        <w:t xml:space="preserve"> construction </w:t>
      </w:r>
      <w:r w:rsidR="00E950A2" w:rsidRPr="008F5298">
        <w:t>had been</w:t>
      </w:r>
      <w:r w:rsidR="002131F1" w:rsidRPr="008F5298">
        <w:t xml:space="preserve"> </w:t>
      </w:r>
      <w:r w:rsidR="003D1241" w:rsidRPr="008F5298">
        <w:t>already</w:t>
      </w:r>
      <w:r w:rsidR="00D10D12" w:rsidRPr="008F5298">
        <w:t xml:space="preserve"> </w:t>
      </w:r>
      <w:r w:rsidR="005F21AF" w:rsidRPr="008F5298">
        <w:t>complete</w:t>
      </w:r>
      <w:r w:rsidR="00E950A2" w:rsidRPr="008F5298">
        <w:t>d</w:t>
      </w:r>
      <w:r w:rsidR="003D1241" w:rsidRPr="008F5298">
        <w:t>.</w:t>
      </w:r>
    </w:p>
    <w:p w14:paraId="52B78CC2" w14:textId="77777777" w:rsidR="007A7A59" w:rsidRPr="008F5298" w:rsidRDefault="007A7A59" w:rsidP="00F05A3A">
      <w:pPr>
        <w:pStyle w:val="Heading3"/>
        <w:keepLines/>
      </w:pPr>
      <w:r w:rsidRPr="008F5298">
        <w:t>NHFIC may rely on information</w:t>
      </w:r>
    </w:p>
    <w:p w14:paraId="669FCA43" w14:textId="348CEE7D" w:rsidR="007A7A59" w:rsidRPr="008F5298" w:rsidRDefault="007A7A59" w:rsidP="007A7A59">
      <w:pPr>
        <w:pStyle w:val="base-text-paragraph"/>
        <w:keepLines/>
        <w:ind w:left="0"/>
      </w:pPr>
      <w:r w:rsidRPr="008F5298">
        <w:t xml:space="preserve">Under section 29G, the NHFIC can rely on information provided to it directly or indirectly by an eligible lender, eligible borrower or any other third party </w:t>
      </w:r>
      <w:r w:rsidR="00E674F9" w:rsidRPr="008F5298">
        <w:t xml:space="preserve">(for example, a mortgage broker) </w:t>
      </w:r>
      <w:r w:rsidRPr="008F5298">
        <w:t xml:space="preserve">involved in the application under the </w:t>
      </w:r>
      <w:r w:rsidR="008052E3" w:rsidRPr="008F5298">
        <w:t xml:space="preserve">First Home Loan Deposit </w:t>
      </w:r>
      <w:r w:rsidRPr="008F5298">
        <w:t>Scheme or in verifying the guarantee or guarantee claim processes.</w:t>
      </w:r>
    </w:p>
    <w:p w14:paraId="32BABE50" w14:textId="77777777" w:rsidR="00183F6D" w:rsidRPr="008F5298" w:rsidRDefault="00C60DDD" w:rsidP="00F05A3A">
      <w:pPr>
        <w:pStyle w:val="Heading3"/>
        <w:keepLines/>
      </w:pPr>
      <w:r w:rsidRPr="008F5298">
        <w:t>Form of guarantees</w:t>
      </w:r>
    </w:p>
    <w:p w14:paraId="4D38B098" w14:textId="64C9775F" w:rsidR="00C55BCF" w:rsidRPr="008F5298" w:rsidRDefault="00504EED" w:rsidP="00C55BCF">
      <w:pPr>
        <w:keepLines/>
        <w:spacing w:before="240"/>
      </w:pPr>
      <w:r w:rsidRPr="008F5298">
        <w:t>Under section 29</w:t>
      </w:r>
      <w:r w:rsidR="00594863" w:rsidRPr="008F5298">
        <w:t>J</w:t>
      </w:r>
      <w:r w:rsidRPr="008F5298">
        <w:t xml:space="preserve">, </w:t>
      </w:r>
      <w:r w:rsidR="00C55BCF" w:rsidRPr="008F5298">
        <w:t>the NHFIC is not entitled to charge a fee for the issue of a guarantee. This ensures that loans are provided to first home buyers at the lowest possible cost</w:t>
      </w:r>
      <w:r w:rsidR="001C786A" w:rsidRPr="008F5298">
        <w:t xml:space="preserve"> to maximise the benefits from the </w:t>
      </w:r>
      <w:r w:rsidR="008052E3" w:rsidRPr="008F5298">
        <w:t>First Home Loan Deposit Scheme</w:t>
      </w:r>
      <w:r w:rsidR="00C55BCF" w:rsidRPr="008F5298">
        <w:t xml:space="preserve">. </w:t>
      </w:r>
    </w:p>
    <w:p w14:paraId="18D2C6D7" w14:textId="72AB5B04" w:rsidR="005E7F08" w:rsidRPr="005E7F08" w:rsidRDefault="005E7F08" w:rsidP="005E7F08">
      <w:pPr>
        <w:keepLines/>
        <w:spacing w:before="240"/>
      </w:pPr>
      <w:r w:rsidRPr="005E7F08">
        <w:t>Section 29H provides that a guarantee issued by the NHFIC only applies upon the application of the proceeds of sale of a property that was sold by the lender as a result o</w:t>
      </w:r>
      <w:r w:rsidR="00926346">
        <w:t>f</w:t>
      </w:r>
      <w:r w:rsidRPr="005E7F08">
        <w:t xml:space="preserve"> the default by the borrower under the terms of the loan agreement. </w:t>
      </w:r>
    </w:p>
    <w:p w14:paraId="1FF565E2" w14:textId="6D8C410D" w:rsidR="00586451" w:rsidRPr="008F5298" w:rsidRDefault="005E7F08" w:rsidP="00C55BCF">
      <w:pPr>
        <w:keepLines/>
        <w:spacing w:before="240"/>
      </w:pPr>
      <w:r w:rsidRPr="005E7F08">
        <w:t>In these circumstances the guarantee applies to the</w:t>
      </w:r>
      <w:r w:rsidRPr="008F5298">
        <w:t xml:space="preserve"> </w:t>
      </w:r>
      <w:r w:rsidR="00586451" w:rsidRPr="008F5298">
        <w:t>lesser of:</w:t>
      </w:r>
    </w:p>
    <w:p w14:paraId="6746E247" w14:textId="049000B2" w:rsidR="00015EFB" w:rsidRDefault="00015EFB" w:rsidP="00586451">
      <w:pPr>
        <w:pStyle w:val="Bullet"/>
      </w:pPr>
      <w:bookmarkStart w:id="1" w:name="tempbookmark"/>
      <w:bookmarkEnd w:id="1"/>
      <w:r w:rsidRPr="008F5298">
        <w:t>the outstanding balance of the loan after applying the proceeds of the sale of the residential property</w:t>
      </w:r>
      <w:r>
        <w:t xml:space="preserve"> (paragraph 29H(1)(a)); and</w:t>
      </w:r>
    </w:p>
    <w:p w14:paraId="64D96BD2" w14:textId="72EC8A76" w:rsidR="00586451" w:rsidRPr="008F5298" w:rsidRDefault="00586451" w:rsidP="00586451">
      <w:pPr>
        <w:pStyle w:val="Bullet"/>
      </w:pPr>
      <w:proofErr w:type="gramStart"/>
      <w:r w:rsidRPr="008F5298">
        <w:t>the</w:t>
      </w:r>
      <w:proofErr w:type="gramEnd"/>
      <w:r w:rsidRPr="008F5298">
        <w:t xml:space="preserve"> </w:t>
      </w:r>
      <w:r w:rsidR="00322474" w:rsidRPr="008F5298">
        <w:t xml:space="preserve">maximum amount of the guarantee </w:t>
      </w:r>
      <w:r w:rsidRPr="008F5298">
        <w:t xml:space="preserve">worked out using the formula in </w:t>
      </w:r>
      <w:r w:rsidR="00015EFB">
        <w:t>paragraph</w:t>
      </w:r>
      <w:r w:rsidR="00015EFB" w:rsidRPr="008F5298">
        <w:t xml:space="preserve"> </w:t>
      </w:r>
      <w:r w:rsidRPr="008F5298">
        <w:t>29H(</w:t>
      </w:r>
      <w:r w:rsidR="00015EFB">
        <w:t>1</w:t>
      </w:r>
      <w:r w:rsidR="00322474" w:rsidRPr="008F5298">
        <w:t>)</w:t>
      </w:r>
      <w:r w:rsidR="00015EFB">
        <w:t>(b)</w:t>
      </w:r>
      <w:r w:rsidR="00847403">
        <w:t>.</w:t>
      </w:r>
    </w:p>
    <w:p w14:paraId="705A0DCA" w14:textId="54505EEA" w:rsidR="00586451" w:rsidRPr="008F5298" w:rsidRDefault="00586451" w:rsidP="00036462">
      <w:pPr>
        <w:pStyle w:val="Bullet"/>
        <w:numPr>
          <w:ilvl w:val="0"/>
          <w:numId w:val="0"/>
        </w:numPr>
      </w:pPr>
      <w:r w:rsidRPr="008F5298">
        <w:t xml:space="preserve">The formula in </w:t>
      </w:r>
      <w:r w:rsidR="00015EFB">
        <w:t>paragraph</w:t>
      </w:r>
      <w:r w:rsidRPr="008F5298">
        <w:t xml:space="preserve"> </w:t>
      </w:r>
      <w:proofErr w:type="gramStart"/>
      <w:r w:rsidRPr="008F5298">
        <w:t>29H(</w:t>
      </w:r>
      <w:proofErr w:type="gramEnd"/>
      <w:r w:rsidR="00015EFB">
        <w:t>1</w:t>
      </w:r>
      <w:r w:rsidRPr="008F5298">
        <w:t>)</w:t>
      </w:r>
      <w:r w:rsidR="00015EFB">
        <w:t>(b</w:t>
      </w:r>
      <w:r w:rsidRPr="008F5298">
        <w:t>) provides that the maximum amount guarantees granted by the NHFIC may cover is the difference between the amount of the initial deposit paid and 20 per cent of the value of the property at the time the loan is entered into.</w:t>
      </w:r>
    </w:p>
    <w:p w14:paraId="3330211F" w14:textId="11D9A00F" w:rsidR="00807880" w:rsidRPr="008F5298" w:rsidRDefault="00807880" w:rsidP="00807880">
      <w:pPr>
        <w:keepLines/>
        <w:spacing w:before="240"/>
      </w:pPr>
      <w:r w:rsidRPr="008F5298">
        <w:lastRenderedPageBreak/>
        <w:t xml:space="preserve">The limit </w:t>
      </w:r>
      <w:r w:rsidR="00015EFB">
        <w:t xml:space="preserve">provided </w:t>
      </w:r>
      <w:r w:rsidRPr="008F5298">
        <w:t xml:space="preserve">in </w:t>
      </w:r>
      <w:r w:rsidR="00015EFB">
        <w:t xml:space="preserve">paragraph </w:t>
      </w:r>
      <w:proofErr w:type="gramStart"/>
      <w:r w:rsidRPr="008F5298">
        <w:t>29H(</w:t>
      </w:r>
      <w:proofErr w:type="gramEnd"/>
      <w:r w:rsidRPr="008F5298">
        <w:t>1)</w:t>
      </w:r>
      <w:r w:rsidR="00015EFB">
        <w:t>(a</w:t>
      </w:r>
      <w:r w:rsidRPr="008F5298">
        <w:t>) ensures that the guarantee only applies to the extent of any shortfall in the sale proceeds of the property. For example, assume an eligible first home buyer purchases a home worth $500,000 with a 10 per cent deposit ($50,000). The original guaranteed amount is $50,000 (representing 20 per cent of the initial value ($100,000) less the initial deposit paid. Assume, following a default, the lender exercises its power of sale and the net sale proceeds reduce the amount owing to the lender to $30,000. The amount claimable under the guarantee and payable by the NHFIC is $30,000.</w:t>
      </w:r>
    </w:p>
    <w:p w14:paraId="143061F7" w14:textId="64DE1206" w:rsidR="00807880" w:rsidRPr="008F5298" w:rsidRDefault="00807880" w:rsidP="00807880">
      <w:pPr>
        <w:keepLines/>
        <w:spacing w:before="240"/>
      </w:pPr>
      <w:r w:rsidRPr="008F5298">
        <w:t xml:space="preserve">Under subsection </w:t>
      </w:r>
      <w:proofErr w:type="gramStart"/>
      <w:r w:rsidRPr="008F5298">
        <w:t>29H(</w:t>
      </w:r>
      <w:proofErr w:type="gramEnd"/>
      <w:r w:rsidR="001436F7">
        <w:t>2</w:t>
      </w:r>
      <w:r w:rsidRPr="008F5298">
        <w:t xml:space="preserve">), guarantees cease once the balance of the loan is 80 per cent or less of the value of the residential property when the loan was entered into. This is because the guarantee is only intended to cover the risk of default for loans of 80 per cent or more of the property value. </w:t>
      </w:r>
    </w:p>
    <w:p w14:paraId="4654F9CE" w14:textId="238C21A6" w:rsidR="00C60DDD" w:rsidRPr="008F5298" w:rsidRDefault="004C32C7" w:rsidP="003916BB">
      <w:pPr>
        <w:keepLines/>
        <w:spacing w:before="240"/>
      </w:pPr>
      <w:r>
        <w:t>However,</w:t>
      </w:r>
      <w:r w:rsidR="00C15033">
        <w:t xml:space="preserve"> this rule on the cessation of guarantee does not apply</w:t>
      </w:r>
      <w:r>
        <w:t xml:space="preserve"> </w:t>
      </w:r>
      <w:r w:rsidR="00C15033">
        <w:t>where there is a default of the borrower</w:t>
      </w:r>
      <w:r w:rsidR="008231AA">
        <w:t>,</w:t>
      </w:r>
      <w:r w:rsidR="00C15033">
        <w:t xml:space="preserve"> and the proceeds of sale following that default is applied to the loan, resulting in a balance of the loan that is 80 per cent or less of the value of the residential property (at the time the loan was entered into). In these circumstances, the guarantee does not cease and the amount of guarantee payable is calculated according to the rules under subsection </w:t>
      </w:r>
      <w:proofErr w:type="gramStart"/>
      <w:r w:rsidR="00C15033">
        <w:t>29H(</w:t>
      </w:r>
      <w:proofErr w:type="gramEnd"/>
      <w:r w:rsidR="00C15033">
        <w:t>1).</w:t>
      </w:r>
      <w:r w:rsidR="00D85E80">
        <w:t xml:space="preserve"> This ensures that the intent of the provision of the guarantee is not unwound where a shortfall occurs on default.</w:t>
      </w:r>
      <w:r w:rsidR="00F8725A">
        <w:t xml:space="preserve"> </w:t>
      </w:r>
      <w:r w:rsidR="005B790C" w:rsidRPr="008F5298">
        <w:t xml:space="preserve">The </w:t>
      </w:r>
      <w:r w:rsidR="006766DD" w:rsidRPr="008F5298">
        <w:t xml:space="preserve">NHFIC may </w:t>
      </w:r>
      <w:r w:rsidR="00F07D58" w:rsidRPr="008F5298">
        <w:t>negotiate other terms</w:t>
      </w:r>
      <w:r w:rsidR="006766DD" w:rsidRPr="008F5298">
        <w:t xml:space="preserve"> </w:t>
      </w:r>
      <w:r w:rsidR="005B790C" w:rsidRPr="008F5298">
        <w:t>that identify other circumstances in which the guarantee ceases</w:t>
      </w:r>
      <w:r w:rsidR="00682FF8" w:rsidRPr="008F5298">
        <w:t>,</w:t>
      </w:r>
      <w:r w:rsidR="005B790C" w:rsidRPr="008F5298">
        <w:t xml:space="preserve"> such as when the property is no longer for use </w:t>
      </w:r>
      <w:r w:rsidR="00065F02" w:rsidRPr="008F5298">
        <w:t>as an</w:t>
      </w:r>
      <w:r w:rsidR="005B790C" w:rsidRPr="008F5298">
        <w:t xml:space="preserve"> owner</w:t>
      </w:r>
      <w:r w:rsidR="00065F02" w:rsidRPr="008F5298">
        <w:t>-</w:t>
      </w:r>
      <w:r w:rsidR="005B790C" w:rsidRPr="008F5298">
        <w:t>occup</w:t>
      </w:r>
      <w:r w:rsidR="00065F02" w:rsidRPr="008F5298">
        <w:t>ied residence</w:t>
      </w:r>
      <w:r w:rsidR="005B790C" w:rsidRPr="008F5298">
        <w:t>.</w:t>
      </w:r>
    </w:p>
    <w:p w14:paraId="3763F5E1" w14:textId="3118CE08" w:rsidR="00BA115F" w:rsidRPr="008F5298" w:rsidRDefault="00BE1758" w:rsidP="00BE1758">
      <w:pPr>
        <w:keepLines/>
        <w:spacing w:before="240"/>
      </w:pPr>
      <w:r w:rsidRPr="008F5298">
        <w:t xml:space="preserve">The contractual design of guarantees is the primary responsibility of the NHFIC to determine in negotiation with eligible lenders. </w:t>
      </w:r>
      <w:r w:rsidR="00E674F9" w:rsidRPr="008F5298">
        <w:t>T</w:t>
      </w:r>
      <w:r w:rsidR="00F74E2E" w:rsidRPr="008F5298">
        <w:t xml:space="preserve">he Government expects the NHFIC to operate the </w:t>
      </w:r>
      <w:r w:rsidR="008052E3" w:rsidRPr="008F5298">
        <w:t xml:space="preserve">First Home Loan Deposit </w:t>
      </w:r>
      <w:r w:rsidR="00F74E2E" w:rsidRPr="008F5298">
        <w:t>Scheme in a responsible</w:t>
      </w:r>
      <w:r w:rsidR="00F74E2E" w:rsidRPr="008F5298" w:rsidDel="005351E7">
        <w:t xml:space="preserve"> and commercial</w:t>
      </w:r>
      <w:r w:rsidR="00F74E2E" w:rsidRPr="008F5298">
        <w:t xml:space="preserve"> manner </w:t>
      </w:r>
      <w:r w:rsidR="00303DDD" w:rsidRPr="008F5298">
        <w:t>(</w:t>
      </w:r>
      <w:r w:rsidR="00F07D58" w:rsidRPr="008F5298">
        <w:t>subject to the other requirements of the Investment Mandate</w:t>
      </w:r>
      <w:r w:rsidR="00303DDD" w:rsidRPr="008F5298">
        <w:t xml:space="preserve">) </w:t>
      </w:r>
      <w:r w:rsidR="00056FDA" w:rsidRPr="008F5298">
        <w:t>to</w:t>
      </w:r>
      <w:r w:rsidR="00F74E2E" w:rsidRPr="008F5298">
        <w:t xml:space="preserve"> give effect to the objects of the Scheme. </w:t>
      </w:r>
      <w:r w:rsidR="00F66AF3" w:rsidRPr="008F5298">
        <w:t>This requirement</w:t>
      </w:r>
      <w:r w:rsidR="00BA115F" w:rsidRPr="008F5298">
        <w:t xml:space="preserve"> under subsection </w:t>
      </w:r>
      <w:proofErr w:type="gramStart"/>
      <w:r w:rsidR="00BA115F" w:rsidRPr="008F5298">
        <w:t>29K(</w:t>
      </w:r>
      <w:proofErr w:type="gramEnd"/>
      <w:r w:rsidR="00BA115F" w:rsidRPr="008F5298">
        <w:t>2)</w:t>
      </w:r>
      <w:r w:rsidR="00F66AF3" w:rsidRPr="008F5298">
        <w:t xml:space="preserve"> to administer the </w:t>
      </w:r>
      <w:r w:rsidR="008052E3" w:rsidRPr="008F5298">
        <w:t>First Home Loan Deposit Scheme</w:t>
      </w:r>
      <w:r w:rsidR="00F66AF3" w:rsidRPr="008F5298">
        <w:t xml:space="preserve"> in a responsible and commercial manner is not limited by the principles </w:t>
      </w:r>
      <w:r w:rsidR="00BA115F" w:rsidRPr="008F5298">
        <w:t xml:space="preserve">set out in </w:t>
      </w:r>
      <w:r w:rsidR="00F66AF3" w:rsidRPr="008F5298">
        <w:t xml:space="preserve">subsection 29K(1) under which the NHFIC is expected to operate the Scheme. </w:t>
      </w:r>
    </w:p>
    <w:p w14:paraId="41A31E83" w14:textId="0EF86079" w:rsidR="00BE1758" w:rsidRPr="008F5298" w:rsidRDefault="00F74E2E" w:rsidP="00BE1758">
      <w:pPr>
        <w:keepLines/>
        <w:spacing w:before="240"/>
      </w:pPr>
      <w:r w:rsidRPr="008F5298">
        <w:t>In</w:t>
      </w:r>
      <w:r w:rsidR="00BE1758" w:rsidRPr="008F5298">
        <w:t xml:space="preserve"> designing the guarantee and its other operational processes, </w:t>
      </w:r>
      <w:r w:rsidR="00303DDD" w:rsidRPr="008F5298">
        <w:t>s</w:t>
      </w:r>
      <w:r w:rsidR="00F625E6" w:rsidRPr="008F5298">
        <w:t>ubs</w:t>
      </w:r>
      <w:r w:rsidR="00303DDD" w:rsidRPr="008F5298">
        <w:t xml:space="preserve">ection </w:t>
      </w:r>
      <w:proofErr w:type="gramStart"/>
      <w:r w:rsidR="00303DDD" w:rsidRPr="008F5298">
        <w:t>29K</w:t>
      </w:r>
      <w:r w:rsidR="00F625E6" w:rsidRPr="008F5298">
        <w:t>(</w:t>
      </w:r>
      <w:proofErr w:type="gramEnd"/>
      <w:r w:rsidR="00F625E6" w:rsidRPr="008F5298">
        <w:t>1)</w:t>
      </w:r>
      <w:r w:rsidR="00303DDD" w:rsidRPr="008F5298">
        <w:t xml:space="preserve"> </w:t>
      </w:r>
      <w:r w:rsidR="00CB1B0D" w:rsidRPr="008F5298">
        <w:t>provides that</w:t>
      </w:r>
      <w:r w:rsidR="00BE1758" w:rsidRPr="008F5298">
        <w:t xml:space="preserve"> the NHFIC must </w:t>
      </w:r>
      <w:r w:rsidR="00BA0657" w:rsidRPr="008F5298">
        <w:t xml:space="preserve">operate the </w:t>
      </w:r>
      <w:r w:rsidR="008052E3" w:rsidRPr="008F5298">
        <w:t xml:space="preserve">First Home Loan Deposit </w:t>
      </w:r>
      <w:r w:rsidR="00BA0657" w:rsidRPr="008F5298">
        <w:t>Scheme</w:t>
      </w:r>
      <w:r w:rsidR="00BE1758" w:rsidRPr="008F5298">
        <w:t xml:space="preserve"> to:</w:t>
      </w:r>
    </w:p>
    <w:p w14:paraId="29D66ADF" w14:textId="31630C35" w:rsidR="00BE1758" w:rsidRPr="008F5298" w:rsidRDefault="00BE1758" w:rsidP="00F05A3A">
      <w:pPr>
        <w:pStyle w:val="Dotpoint"/>
        <w:keepLines/>
      </w:pPr>
      <w:r w:rsidRPr="008F5298">
        <w:t xml:space="preserve">maximise the integrity of the </w:t>
      </w:r>
      <w:r w:rsidR="008052E3" w:rsidRPr="008F5298">
        <w:t xml:space="preserve">First Home Loan Deposit </w:t>
      </w:r>
      <w:r w:rsidRPr="008F5298">
        <w:t xml:space="preserve">Scheme; </w:t>
      </w:r>
    </w:p>
    <w:p w14:paraId="21CEBA57" w14:textId="5180E5F3" w:rsidR="00BE1758" w:rsidRPr="008F5298" w:rsidRDefault="00BE1758" w:rsidP="00F05A3A">
      <w:pPr>
        <w:pStyle w:val="Dotpoint"/>
        <w:keepLines/>
      </w:pPr>
      <w:r w:rsidRPr="008F5298">
        <w:t xml:space="preserve">prevent properties purchased or constructed under the </w:t>
      </w:r>
      <w:r w:rsidR="008052E3" w:rsidRPr="008F5298">
        <w:t xml:space="preserve">First Home Loan Deposit </w:t>
      </w:r>
      <w:r w:rsidRPr="008F5298">
        <w:t>Scheme continuing to be subject to a guarantee if</w:t>
      </w:r>
      <w:r w:rsidR="002259A1" w:rsidRPr="008F5298">
        <w:t xml:space="preserve"> they are</w:t>
      </w:r>
      <w:r w:rsidRPr="008F5298">
        <w:t xml:space="preserve"> used other</w:t>
      </w:r>
      <w:r w:rsidR="002259A1" w:rsidRPr="008F5298">
        <w:t>wise</w:t>
      </w:r>
      <w:r w:rsidRPr="008F5298">
        <w:t xml:space="preserve"> than as an owner-occupied residence (including as collateral for another loan);</w:t>
      </w:r>
    </w:p>
    <w:p w14:paraId="12CF6078" w14:textId="6262E93D" w:rsidR="00BE1758" w:rsidRPr="008F5298" w:rsidRDefault="00BE1758" w:rsidP="00F05A3A">
      <w:pPr>
        <w:pStyle w:val="Dotpoint"/>
        <w:keepLines/>
      </w:pPr>
      <w:proofErr w:type="gramStart"/>
      <w:r w:rsidRPr="008F5298">
        <w:t>encourage</w:t>
      </w:r>
      <w:proofErr w:type="gramEnd"/>
      <w:r w:rsidRPr="008F5298">
        <w:t xml:space="preserve"> and incentivise borrowers to repay loans as soon as possible</w:t>
      </w:r>
      <w:r w:rsidR="00C22108" w:rsidRPr="008F5298">
        <w:t>. This also cover the consequences of redrawing amounts on the loan</w:t>
      </w:r>
      <w:r w:rsidRPr="008F5298">
        <w:t xml:space="preserve">; </w:t>
      </w:r>
    </w:p>
    <w:p w14:paraId="38B48C4C" w14:textId="6999C2FE" w:rsidR="00BE1758" w:rsidRPr="008F5298" w:rsidRDefault="00BE1758" w:rsidP="00F05A3A">
      <w:pPr>
        <w:pStyle w:val="Dotpoint"/>
        <w:keepLines/>
      </w:pPr>
      <w:r w:rsidRPr="008F5298">
        <w:t>ensure all eligible first home buyers have used the maximum amount of their savings as a deposit (</w:t>
      </w:r>
      <w:r w:rsidR="00284CAC" w:rsidRPr="008F5298">
        <w:t>other than</w:t>
      </w:r>
      <w:r w:rsidRPr="008F5298">
        <w:t xml:space="preserve"> funds for reasonable </w:t>
      </w:r>
      <w:r w:rsidR="00731692" w:rsidRPr="008F5298">
        <w:t xml:space="preserve">day to day </w:t>
      </w:r>
      <w:r w:rsidRPr="008F5298">
        <w:t>living expenses);</w:t>
      </w:r>
    </w:p>
    <w:p w14:paraId="01771C00" w14:textId="52B053F1" w:rsidR="00BE1758" w:rsidRPr="008F5298" w:rsidRDefault="00BE1758" w:rsidP="00F05A3A">
      <w:pPr>
        <w:pStyle w:val="Dotpoint"/>
        <w:keepLines/>
      </w:pPr>
      <w:r w:rsidRPr="008F5298">
        <w:t xml:space="preserve">minimise the </w:t>
      </w:r>
      <w:r w:rsidR="00BA0657" w:rsidRPr="008F5298">
        <w:t>amount</w:t>
      </w:r>
      <w:r w:rsidRPr="008F5298">
        <w:t xml:space="preserve"> of payouts under the guarantees in accordance with industry best practice applied to typical loans with parental guarantees</w:t>
      </w:r>
      <w:r w:rsidR="009D3C92" w:rsidRPr="008F5298">
        <w:t xml:space="preserve">; </w:t>
      </w:r>
    </w:p>
    <w:p w14:paraId="65D0593A" w14:textId="4952DC76" w:rsidR="009D3C92" w:rsidRPr="008F5298" w:rsidRDefault="009D3C92" w:rsidP="00F05A3A">
      <w:pPr>
        <w:pStyle w:val="Dotpoint"/>
        <w:keepLines/>
      </w:pPr>
      <w:r w:rsidRPr="008F5298">
        <w:t>monitor the status of guarantee loans and identify if there is a significant likelihood that a borrower will default on their obligations under a loan;</w:t>
      </w:r>
    </w:p>
    <w:p w14:paraId="64B7B7DA" w14:textId="146F795B" w:rsidR="00255282" w:rsidRPr="008F5298" w:rsidRDefault="00DA0701" w:rsidP="00F05A3A">
      <w:pPr>
        <w:pStyle w:val="Dotpoint"/>
        <w:keepLines/>
      </w:pPr>
      <w:proofErr w:type="gramStart"/>
      <w:r w:rsidRPr="008F5298">
        <w:lastRenderedPageBreak/>
        <w:t>reduce</w:t>
      </w:r>
      <w:proofErr w:type="gramEnd"/>
      <w:r w:rsidRPr="008F5298">
        <w:t xml:space="preserve"> as m</w:t>
      </w:r>
      <w:r w:rsidR="009D3C92" w:rsidRPr="008F5298">
        <w:t>uch as possible</w:t>
      </w:r>
      <w:r w:rsidR="003074D1" w:rsidRPr="008F5298">
        <w:t>,</w:t>
      </w:r>
      <w:r w:rsidR="009D3C92" w:rsidRPr="008F5298">
        <w:t xml:space="preserve"> </w:t>
      </w:r>
      <w:r w:rsidRPr="008F5298">
        <w:t xml:space="preserve">the cost of guaranteed loans </w:t>
      </w:r>
      <w:r w:rsidR="00BA0657" w:rsidRPr="008F5298">
        <w:t>to</w:t>
      </w:r>
      <w:r w:rsidRPr="008F5298">
        <w:t xml:space="preserve"> borrowers.</w:t>
      </w:r>
    </w:p>
    <w:p w14:paraId="0BB66B53" w14:textId="0059E213" w:rsidR="00C60DDD" w:rsidRPr="008F5298" w:rsidRDefault="00C60DDD" w:rsidP="00F05A3A">
      <w:pPr>
        <w:pStyle w:val="Heading3"/>
        <w:keepLines/>
      </w:pPr>
      <w:r w:rsidRPr="008F5298">
        <w:t>Annual cap on guarantees</w:t>
      </w:r>
    </w:p>
    <w:p w14:paraId="1E384CBC" w14:textId="2B40FFFE" w:rsidR="00C60DDD" w:rsidRPr="008F5298" w:rsidRDefault="00D01515" w:rsidP="003916BB">
      <w:pPr>
        <w:keepLines/>
        <w:spacing w:before="240"/>
      </w:pPr>
      <w:r w:rsidRPr="008F5298">
        <w:t xml:space="preserve">Under subsection </w:t>
      </w:r>
      <w:proofErr w:type="gramStart"/>
      <w:r w:rsidRPr="008F5298">
        <w:t>29I(</w:t>
      </w:r>
      <w:proofErr w:type="gramEnd"/>
      <w:r w:rsidRPr="008F5298">
        <w:t>1)</w:t>
      </w:r>
      <w:r w:rsidR="00027067" w:rsidRPr="008F5298">
        <w:t xml:space="preserve"> </w:t>
      </w:r>
      <w:r w:rsidR="005F4853" w:rsidRPr="008F5298">
        <w:t>t</w:t>
      </w:r>
      <w:r w:rsidR="003916BB" w:rsidRPr="008F5298">
        <w:t>he NHFIC m</w:t>
      </w:r>
      <w:r w:rsidRPr="008F5298">
        <w:t>ust</w:t>
      </w:r>
      <w:r w:rsidR="003916BB" w:rsidRPr="008F5298">
        <w:t xml:space="preserve"> not issue more than 10,000 guarantees in a financial year.</w:t>
      </w:r>
      <w:r w:rsidRPr="008F5298">
        <w:t xml:space="preserve"> Although, the </w:t>
      </w:r>
      <w:r w:rsidR="008052E3" w:rsidRPr="008F5298">
        <w:t>First Home Loan Deposit</w:t>
      </w:r>
      <w:r w:rsidRPr="008F5298">
        <w:t xml:space="preserve"> Scheme cannot come into operation any earlier than </w:t>
      </w:r>
      <w:r w:rsidR="007D6EC0" w:rsidRPr="008F5298">
        <w:t>1 </w:t>
      </w:r>
      <w:r w:rsidRPr="008F5298">
        <w:t>January 2020</w:t>
      </w:r>
      <w:r w:rsidR="00027067" w:rsidRPr="008F5298">
        <w:t>, t</w:t>
      </w:r>
      <w:r w:rsidRPr="008F5298">
        <w:t xml:space="preserve">he NHFIC may </w:t>
      </w:r>
      <w:r w:rsidR="00027067" w:rsidRPr="008F5298">
        <w:t xml:space="preserve">still </w:t>
      </w:r>
      <w:r w:rsidRPr="008F5298">
        <w:t xml:space="preserve">issue 10,000 guarantees </w:t>
      </w:r>
      <w:r w:rsidR="00027067" w:rsidRPr="008F5298">
        <w:t>for</w:t>
      </w:r>
      <w:r w:rsidRPr="008F5298">
        <w:t xml:space="preserve"> the 2019</w:t>
      </w:r>
      <w:r w:rsidR="007D6EC0" w:rsidRPr="008F5298">
        <w:noBreakHyphen/>
      </w:r>
      <w:r w:rsidRPr="008F5298">
        <w:t>20 financial year.</w:t>
      </w:r>
    </w:p>
    <w:p w14:paraId="56A0DBDB" w14:textId="0EC2C2D9" w:rsidR="00B16418" w:rsidRPr="008F5298" w:rsidRDefault="00B16418" w:rsidP="003916BB">
      <w:pPr>
        <w:keepLines/>
        <w:spacing w:before="240"/>
      </w:pPr>
      <w:r w:rsidRPr="008F5298">
        <w:t xml:space="preserve">Subsection </w:t>
      </w:r>
      <w:proofErr w:type="gramStart"/>
      <w:r w:rsidRPr="008F5298">
        <w:t>29I(</w:t>
      </w:r>
      <w:proofErr w:type="gramEnd"/>
      <w:r w:rsidRPr="008F5298">
        <w:t xml:space="preserve">2) limits the number of guarantees that the NHFIC can issue to major banks in a financial year. The NHFIC must not issue more than </w:t>
      </w:r>
      <w:r w:rsidR="00EC3AFB" w:rsidRPr="008F5298">
        <w:t>5</w:t>
      </w:r>
      <w:r w:rsidRPr="008F5298">
        <w:t>,000 guarantees to major banks in a financial year.</w:t>
      </w:r>
    </w:p>
    <w:p w14:paraId="6E9FFCBA" w14:textId="46909C70" w:rsidR="00DC51AE" w:rsidRPr="008F5298" w:rsidRDefault="00DC51AE" w:rsidP="003916BB">
      <w:pPr>
        <w:keepLines/>
        <w:spacing w:before="240"/>
      </w:pPr>
      <w:r w:rsidRPr="008F5298">
        <w:t xml:space="preserve">A guarantee is issued in relation to a financial year when it is offered to an eligible </w:t>
      </w:r>
      <w:r w:rsidR="00E5510B" w:rsidRPr="008F5298">
        <w:t xml:space="preserve">lender in relation to </w:t>
      </w:r>
      <w:r w:rsidRPr="008F5298">
        <w:t xml:space="preserve">an eligible first home buyer approved to participate in the </w:t>
      </w:r>
      <w:r w:rsidR="008052E3" w:rsidRPr="008F5298">
        <w:t>First Home Loan Deposit Scheme</w:t>
      </w:r>
      <w:r w:rsidRPr="008F5298">
        <w:t>. Th</w:t>
      </w:r>
      <w:r w:rsidR="00E5510B" w:rsidRPr="008F5298">
        <w:t>e offer</w:t>
      </w:r>
      <w:r w:rsidRPr="008F5298">
        <w:t xml:space="preserve"> </w:t>
      </w:r>
      <w:r w:rsidR="00B16418" w:rsidRPr="008F5298">
        <w:t>may</w:t>
      </w:r>
      <w:r w:rsidRPr="008F5298">
        <w:t xml:space="preserve"> occur before the eligible first home buyer purchases the residential property and before the eligible lender issues a loan. </w:t>
      </w:r>
    </w:p>
    <w:p w14:paraId="7CFBF9BE" w14:textId="50B21E95" w:rsidR="00DC51AE" w:rsidRPr="008F5298" w:rsidRDefault="00FA7517" w:rsidP="003916BB">
      <w:pPr>
        <w:keepLines/>
        <w:spacing w:before="240"/>
      </w:pPr>
      <w:r w:rsidRPr="008F5298">
        <w:t xml:space="preserve">There may be circumstances where a guarantee is offered in one financial year but </w:t>
      </w:r>
      <w:r w:rsidR="00BC4452" w:rsidRPr="008F5298">
        <w:t xml:space="preserve">is not </w:t>
      </w:r>
      <w:r w:rsidRPr="008F5298">
        <w:t xml:space="preserve">accepted </w:t>
      </w:r>
      <w:r w:rsidR="00BC4452" w:rsidRPr="008F5298">
        <w:t>until the</w:t>
      </w:r>
      <w:r w:rsidRPr="008F5298">
        <w:t xml:space="preserve"> </w:t>
      </w:r>
      <w:r w:rsidR="003D64AC" w:rsidRPr="008F5298">
        <w:t>subsequent</w:t>
      </w:r>
      <w:r w:rsidRPr="008F5298">
        <w:t xml:space="preserve"> financial year. For example</w:t>
      </w:r>
      <w:r w:rsidR="00380FA8" w:rsidRPr="008F5298">
        <w:t xml:space="preserve">, </w:t>
      </w:r>
      <w:r w:rsidR="00B014A6" w:rsidRPr="008F5298">
        <w:t xml:space="preserve">assume </w:t>
      </w:r>
      <w:r w:rsidR="00DC51AE" w:rsidRPr="008F5298">
        <w:t xml:space="preserve">a loan </w:t>
      </w:r>
      <w:r w:rsidR="007661DF" w:rsidRPr="008F5298">
        <w:t xml:space="preserve">is approved </w:t>
      </w:r>
      <w:r w:rsidR="00DC51AE" w:rsidRPr="008F5298">
        <w:t xml:space="preserve">and a guarantee </w:t>
      </w:r>
      <w:r w:rsidR="007661DF" w:rsidRPr="008F5298">
        <w:t>is offered</w:t>
      </w:r>
      <w:r w:rsidR="00DC51AE" w:rsidRPr="008F5298">
        <w:t xml:space="preserve"> </w:t>
      </w:r>
      <w:r w:rsidR="00A31110" w:rsidRPr="008F5298">
        <w:t>in</w:t>
      </w:r>
      <w:r w:rsidR="00C51110" w:rsidRPr="008F5298">
        <w:t xml:space="preserve"> </w:t>
      </w:r>
      <w:r w:rsidR="00DC51AE" w:rsidRPr="008F5298">
        <w:t xml:space="preserve">June 2020 </w:t>
      </w:r>
      <w:r w:rsidR="00BB419A" w:rsidRPr="008F5298">
        <w:t>but</w:t>
      </w:r>
      <w:r w:rsidR="00DC51AE" w:rsidRPr="008F5298">
        <w:t xml:space="preserve"> the property </w:t>
      </w:r>
      <w:r w:rsidR="000D21C1" w:rsidRPr="008F5298">
        <w:t>settlement</w:t>
      </w:r>
      <w:r w:rsidR="00DC51AE" w:rsidRPr="008F5298">
        <w:t xml:space="preserve"> occurs </w:t>
      </w:r>
      <w:r w:rsidR="00A31110" w:rsidRPr="008F5298">
        <w:t>in July</w:t>
      </w:r>
      <w:r w:rsidR="00EA506E" w:rsidRPr="008F5298">
        <w:t> </w:t>
      </w:r>
      <w:r w:rsidR="00DC51AE" w:rsidRPr="008F5298">
        <w:t>2020</w:t>
      </w:r>
      <w:r w:rsidR="00B014A6" w:rsidRPr="008F5298">
        <w:t>.</w:t>
      </w:r>
      <w:r w:rsidR="00DC51AE" w:rsidRPr="008F5298">
        <w:t xml:space="preserve"> </w:t>
      </w:r>
      <w:r w:rsidR="00B014A6" w:rsidRPr="008F5298">
        <w:t>T</w:t>
      </w:r>
      <w:r w:rsidR="00DC51AE" w:rsidRPr="008F5298">
        <w:t xml:space="preserve">he guarantee is </w:t>
      </w:r>
      <w:r w:rsidR="00BB419A" w:rsidRPr="008F5298">
        <w:t xml:space="preserve">still </w:t>
      </w:r>
      <w:r w:rsidR="00DC51AE" w:rsidRPr="008F5298">
        <w:t xml:space="preserve">taken </w:t>
      </w:r>
      <w:r w:rsidR="008A274B" w:rsidRPr="008F5298">
        <w:t>under paragraph</w:t>
      </w:r>
      <w:r w:rsidR="00EA506E" w:rsidRPr="008F5298">
        <w:t> </w:t>
      </w:r>
      <w:proofErr w:type="gramStart"/>
      <w:r w:rsidR="008A274B" w:rsidRPr="008F5298">
        <w:t>29I(</w:t>
      </w:r>
      <w:proofErr w:type="gramEnd"/>
      <w:r w:rsidR="008A274B" w:rsidRPr="008F5298">
        <w:t xml:space="preserve">3)(a) </w:t>
      </w:r>
      <w:r w:rsidR="00DC51AE" w:rsidRPr="008F5298">
        <w:t>to be issued in relation to the 2019</w:t>
      </w:r>
      <w:r w:rsidR="008052E3" w:rsidRPr="008F5298">
        <w:noBreakHyphen/>
      </w:r>
      <w:r w:rsidR="00DC51AE" w:rsidRPr="008F5298">
        <w:t>20</w:t>
      </w:r>
      <w:r w:rsidR="008052E3" w:rsidRPr="008F5298">
        <w:t> </w:t>
      </w:r>
      <w:r w:rsidR="00DC51AE" w:rsidRPr="008F5298">
        <w:t>financial year</w:t>
      </w:r>
      <w:r w:rsidR="00C51110" w:rsidRPr="008F5298">
        <w:t xml:space="preserve"> for the purposes of the </w:t>
      </w:r>
      <w:r w:rsidR="008052E3" w:rsidRPr="008F5298">
        <w:t xml:space="preserve">First Home Loan Deposit </w:t>
      </w:r>
      <w:r w:rsidR="00C51110" w:rsidRPr="008F5298">
        <w:t>Scheme</w:t>
      </w:r>
      <w:r w:rsidR="00DC51AE" w:rsidRPr="008F5298">
        <w:t xml:space="preserve">. </w:t>
      </w:r>
    </w:p>
    <w:p w14:paraId="14340229" w14:textId="5C4C292C" w:rsidR="00DC51AE" w:rsidRPr="008F5298" w:rsidRDefault="00C51110" w:rsidP="003916BB">
      <w:pPr>
        <w:keepLines/>
        <w:spacing w:before="240"/>
      </w:pPr>
      <w:r w:rsidRPr="008F5298">
        <w:t xml:space="preserve">There </w:t>
      </w:r>
      <w:r w:rsidR="00144DAB" w:rsidRPr="008F5298">
        <w:t>may also</w:t>
      </w:r>
      <w:r w:rsidRPr="008F5298">
        <w:t xml:space="preserve"> be circumstances where n</w:t>
      </w:r>
      <w:r w:rsidR="00DC51AE" w:rsidRPr="008F5298">
        <w:t>ot all guarantees offered result in the issue of a guarantee</w:t>
      </w:r>
      <w:r w:rsidRPr="008F5298">
        <w:t xml:space="preserve"> at general law</w:t>
      </w:r>
      <w:r w:rsidR="00DC51AE" w:rsidRPr="008F5298">
        <w:t xml:space="preserve">. </w:t>
      </w:r>
      <w:r w:rsidR="00837708" w:rsidRPr="008F5298">
        <w:t>I</w:t>
      </w:r>
      <w:r w:rsidR="00DC51AE" w:rsidRPr="008F5298">
        <w:t xml:space="preserve">f an offer of a guarantee </w:t>
      </w:r>
      <w:r w:rsidR="008852FC" w:rsidRPr="008F5298">
        <w:t xml:space="preserve">is not accepted </w:t>
      </w:r>
      <w:r w:rsidR="00DC51AE" w:rsidRPr="008F5298">
        <w:t>or the offer expires (according to its terms), the offer of the guarantee is not counted towards the cap for the relevant financial year</w:t>
      </w:r>
      <w:r w:rsidR="00E66996" w:rsidRPr="008F5298">
        <w:t xml:space="preserve"> because the </w:t>
      </w:r>
      <w:r w:rsidR="00427065" w:rsidRPr="008F5298">
        <w:t xml:space="preserve">cap </w:t>
      </w:r>
      <w:r w:rsidR="00A874C1" w:rsidRPr="008F5298">
        <w:t xml:space="preserve">is intended to </w:t>
      </w:r>
      <w:r w:rsidR="00427065" w:rsidRPr="008F5298">
        <w:t xml:space="preserve">include only </w:t>
      </w:r>
      <w:r w:rsidR="00A874C1" w:rsidRPr="008F5298">
        <w:t xml:space="preserve">the </w:t>
      </w:r>
      <w:r w:rsidR="00C62545" w:rsidRPr="008F5298">
        <w:t xml:space="preserve">guarantees </w:t>
      </w:r>
      <w:r w:rsidR="00427065" w:rsidRPr="008F5298">
        <w:t>that are</w:t>
      </w:r>
      <w:r w:rsidR="00A874C1" w:rsidRPr="008F5298">
        <w:t xml:space="preserve"> ultimately</w:t>
      </w:r>
      <w:r w:rsidR="00427065" w:rsidRPr="008F5298">
        <w:t xml:space="preserve"> </w:t>
      </w:r>
      <w:r w:rsidR="00E66996" w:rsidRPr="008F5298">
        <w:t>issued</w:t>
      </w:r>
      <w:r w:rsidR="00DC51AE" w:rsidRPr="008F5298">
        <w:t xml:space="preserve">. If </w:t>
      </w:r>
      <w:r w:rsidR="00EA506E" w:rsidRPr="008F5298">
        <w:t>fewer</w:t>
      </w:r>
      <w:r w:rsidR="008A274B" w:rsidRPr="008F5298">
        <w:t xml:space="preserve"> than</w:t>
      </w:r>
      <w:r w:rsidR="00DC51AE" w:rsidRPr="008F5298">
        <w:t xml:space="preserve"> 10,000 guarantees are issued in relation to a financial year – for example, because some guarantees offered in that year </w:t>
      </w:r>
      <w:r w:rsidRPr="008F5298">
        <w:t>were</w:t>
      </w:r>
      <w:r w:rsidR="00DC51AE" w:rsidRPr="008F5298">
        <w:t xml:space="preserve"> not accepted in the following year – the shortfall is not rolled-over to become available in a subsequent financial year.</w:t>
      </w:r>
    </w:p>
    <w:p w14:paraId="47479382" w14:textId="70D45E2A" w:rsidR="00837708" w:rsidRPr="008F5298" w:rsidRDefault="00A31E17" w:rsidP="003916BB">
      <w:pPr>
        <w:keepLines/>
        <w:spacing w:before="240"/>
      </w:pPr>
      <w:r w:rsidRPr="008F5298">
        <w:t xml:space="preserve">Under paragraph </w:t>
      </w:r>
      <w:proofErr w:type="gramStart"/>
      <w:r w:rsidRPr="008F5298">
        <w:t>29I(</w:t>
      </w:r>
      <w:proofErr w:type="gramEnd"/>
      <w:r w:rsidRPr="008F5298">
        <w:t>3)(b), w</w:t>
      </w:r>
      <w:r w:rsidR="00837708" w:rsidRPr="008F5298">
        <w:t>here a guarantee is issued in relation to a refinanced loan under subsection 29C(</w:t>
      </w:r>
      <w:r w:rsidR="002C60C1">
        <w:t>4</w:t>
      </w:r>
      <w:r w:rsidR="00837708" w:rsidRPr="008F5298">
        <w:t xml:space="preserve">), </w:t>
      </w:r>
      <w:r w:rsidRPr="008F5298">
        <w:t>the</w:t>
      </w:r>
      <w:r w:rsidR="00837708" w:rsidRPr="008F5298">
        <w:t xml:space="preserve"> guarantee issued </w:t>
      </w:r>
      <w:r w:rsidR="00B16418" w:rsidRPr="008F5298">
        <w:t xml:space="preserve">for the new loan </w:t>
      </w:r>
      <w:r w:rsidR="00837708" w:rsidRPr="008F5298">
        <w:t xml:space="preserve">does not </w:t>
      </w:r>
      <w:r w:rsidR="00E66996" w:rsidRPr="008F5298">
        <w:t>count</w:t>
      </w:r>
      <w:r w:rsidR="00837708" w:rsidRPr="008F5298">
        <w:t xml:space="preserve"> towards the </w:t>
      </w:r>
      <w:r w:rsidRPr="008F5298">
        <w:t>number of guarantees that may be issued in a financial year.</w:t>
      </w:r>
    </w:p>
    <w:p w14:paraId="762ACAB1" w14:textId="51042927" w:rsidR="00C60DDD" w:rsidRPr="008F5298" w:rsidRDefault="00C60DDD" w:rsidP="00F05A3A">
      <w:pPr>
        <w:pStyle w:val="Heading3"/>
        <w:keepLines/>
      </w:pPr>
      <w:r w:rsidRPr="008F5298">
        <w:t>Reporting requirements</w:t>
      </w:r>
    </w:p>
    <w:p w14:paraId="6A1757D2" w14:textId="7003634B" w:rsidR="003916BB" w:rsidRPr="008F5298" w:rsidRDefault="00977ED6" w:rsidP="003916BB">
      <w:pPr>
        <w:pStyle w:val="base-text-paragraph"/>
        <w:keepLines/>
        <w:ind w:left="0"/>
      </w:pPr>
      <w:r w:rsidRPr="008F5298">
        <w:t>The NHFIC has reporting re</w:t>
      </w:r>
      <w:r w:rsidR="009C26ED" w:rsidRPr="008F5298">
        <w:t>sponsibilities</w:t>
      </w:r>
      <w:r w:rsidRPr="008F5298">
        <w:t xml:space="preserve"> under section 29L. </w:t>
      </w:r>
      <w:r w:rsidR="003916BB" w:rsidRPr="008F5298">
        <w:t>The NHFIC must report to the Minister</w:t>
      </w:r>
      <w:r w:rsidRPr="008F5298">
        <w:t>,</w:t>
      </w:r>
      <w:r w:rsidR="00FE7A51" w:rsidRPr="008F5298">
        <w:t xml:space="preserve"> </w:t>
      </w:r>
      <w:r w:rsidR="00830A35" w:rsidRPr="008F5298">
        <w:t>as soon as practicable</w:t>
      </w:r>
      <w:r w:rsidR="00FE7A51" w:rsidRPr="008F5298">
        <w:t xml:space="preserve"> after the </w:t>
      </w:r>
      <w:r w:rsidR="00830A35" w:rsidRPr="008F5298">
        <w:t>end</w:t>
      </w:r>
      <w:r w:rsidR="00FE7A51" w:rsidRPr="008F5298">
        <w:t xml:space="preserve"> of</w:t>
      </w:r>
      <w:r w:rsidR="003916BB" w:rsidRPr="008F5298" w:rsidDel="00FE7A51">
        <w:t xml:space="preserve"> every</w:t>
      </w:r>
      <w:r w:rsidR="003916BB" w:rsidRPr="008F5298">
        <w:t xml:space="preserve"> six</w:t>
      </w:r>
      <w:r w:rsidR="00830A35" w:rsidRPr="008F5298">
        <w:t>-</w:t>
      </w:r>
      <w:r w:rsidR="003916BB" w:rsidRPr="008F5298">
        <w:t>month</w:t>
      </w:r>
      <w:r w:rsidR="00830A35" w:rsidRPr="008F5298">
        <w:t xml:space="preserve"> period</w:t>
      </w:r>
      <w:r w:rsidR="003916BB" w:rsidRPr="008F5298">
        <w:t xml:space="preserve"> </w:t>
      </w:r>
      <w:r w:rsidR="00FE7A51" w:rsidRPr="008F5298">
        <w:t xml:space="preserve">starting </w:t>
      </w:r>
      <w:r w:rsidR="003916BB" w:rsidRPr="008F5298">
        <w:t>from 1 January 2020 on the status of guaranteed loans, th</w:t>
      </w:r>
      <w:r w:rsidR="001771CF" w:rsidRPr="008F5298">
        <w:t xml:space="preserve">e operating costs of the </w:t>
      </w:r>
      <w:r w:rsidR="008052E3" w:rsidRPr="008F5298">
        <w:t xml:space="preserve">First Home Loan Deposit </w:t>
      </w:r>
      <w:r w:rsidR="001771CF" w:rsidRPr="008F5298">
        <w:t xml:space="preserve">Scheme, </w:t>
      </w:r>
      <w:r w:rsidR="00CB1B0D" w:rsidRPr="008F5298">
        <w:t>the total value of</w:t>
      </w:r>
      <w:r w:rsidR="003916BB" w:rsidRPr="008F5298">
        <w:t xml:space="preserve"> guarantee liabilities</w:t>
      </w:r>
      <w:r w:rsidR="001771CF" w:rsidRPr="008F5298">
        <w:t xml:space="preserve"> and any other </w:t>
      </w:r>
      <w:r w:rsidR="00371B8F" w:rsidRPr="008F5298">
        <w:t>information</w:t>
      </w:r>
      <w:r w:rsidR="001771CF" w:rsidRPr="008F5298">
        <w:t xml:space="preserve"> requested by the Minister</w:t>
      </w:r>
      <w:r w:rsidR="003916BB" w:rsidRPr="008F5298">
        <w:t>.</w:t>
      </w:r>
      <w:r w:rsidR="00CB1B0D" w:rsidRPr="008F5298">
        <w:t xml:space="preserve"> Accordingly, the first report is due as soon as practicable after </w:t>
      </w:r>
      <w:r w:rsidR="00A874C1" w:rsidRPr="008F5298">
        <w:t>30 June </w:t>
      </w:r>
      <w:r w:rsidR="00CB1B0D" w:rsidRPr="008F5298">
        <w:t>2020.</w:t>
      </w:r>
    </w:p>
    <w:p w14:paraId="318F526C" w14:textId="3BA61860" w:rsidR="004A40B4" w:rsidRPr="008F5298" w:rsidRDefault="004A40B4" w:rsidP="00F05A3A">
      <w:pPr>
        <w:pStyle w:val="Heading2"/>
        <w:keepLines/>
      </w:pPr>
      <w:r w:rsidRPr="008F5298">
        <w:t>The NHFIC’s research function</w:t>
      </w:r>
    </w:p>
    <w:p w14:paraId="6E01DF0F" w14:textId="704376E5" w:rsidR="004A40B4" w:rsidRPr="008F5298" w:rsidRDefault="004A40B4" w:rsidP="00F05A3A">
      <w:pPr>
        <w:pStyle w:val="base-text-paragraph"/>
        <w:keepLines/>
        <w:ind w:left="0"/>
      </w:pPr>
      <w:r w:rsidRPr="008F5298">
        <w:t xml:space="preserve">Item </w:t>
      </w:r>
      <w:r w:rsidR="005F4853" w:rsidRPr="008F5298">
        <w:t>6</w:t>
      </w:r>
      <w:r w:rsidRPr="008F5298">
        <w:t xml:space="preserve"> of Schedule 1 to the Instrument inserts new Part 5B </w:t>
      </w:r>
      <w:r w:rsidR="00F42476" w:rsidRPr="008F5298">
        <w:t>in</w:t>
      </w:r>
      <w:r w:rsidRPr="008F5298">
        <w:t xml:space="preserve"> the Investment Mandate</w:t>
      </w:r>
      <w:r w:rsidR="00F42476" w:rsidRPr="008F5298">
        <w:t>, including</w:t>
      </w:r>
      <w:r w:rsidR="00AE115B" w:rsidRPr="008F5298">
        <w:t xml:space="preserve"> a guide to the Part </w:t>
      </w:r>
      <w:r w:rsidRPr="008F5298">
        <w:t xml:space="preserve">to </w:t>
      </w:r>
      <w:r w:rsidR="008737DB" w:rsidRPr="008F5298">
        <w:t xml:space="preserve">provide direction to </w:t>
      </w:r>
      <w:r w:rsidR="0046745D" w:rsidRPr="008F5298">
        <w:t xml:space="preserve">the </w:t>
      </w:r>
      <w:r w:rsidR="008737DB" w:rsidRPr="008F5298">
        <w:t>NHFIC on undertaking its research function</w:t>
      </w:r>
      <w:r w:rsidRPr="008F5298">
        <w:t>.</w:t>
      </w:r>
    </w:p>
    <w:p w14:paraId="67E8E94E" w14:textId="4ECA5BA2" w:rsidR="008E03A8" w:rsidRPr="008F5298" w:rsidRDefault="00387C3C" w:rsidP="008E03A8">
      <w:pPr>
        <w:pStyle w:val="base-text-paragraph"/>
        <w:keepLines/>
        <w:ind w:left="0"/>
        <w:rPr>
          <w:sz w:val="22"/>
        </w:rPr>
      </w:pPr>
      <w:r w:rsidRPr="008F5298">
        <w:lastRenderedPageBreak/>
        <w:t>Under section 29M t</w:t>
      </w:r>
      <w:r w:rsidR="008E03A8" w:rsidRPr="008F5298">
        <w:t xml:space="preserve">he NHFIC </w:t>
      </w:r>
      <w:r w:rsidR="001E50C3" w:rsidRPr="008F5298">
        <w:t>must</w:t>
      </w:r>
      <w:r w:rsidR="008E03A8" w:rsidRPr="008F5298">
        <w:t>:</w:t>
      </w:r>
    </w:p>
    <w:p w14:paraId="6D4B5071" w14:textId="13B36813" w:rsidR="008E03A8" w:rsidRPr="008F5298" w:rsidRDefault="008E03A8" w:rsidP="00F05A3A">
      <w:pPr>
        <w:pStyle w:val="Dotpoint"/>
        <w:keepLines/>
      </w:pPr>
      <w:r w:rsidRPr="008F5298">
        <w:t xml:space="preserve">conduct comprehensive research into housing demand, supply and affordability in Australia, highlighting current and potential </w:t>
      </w:r>
      <w:r w:rsidR="00AE115B" w:rsidRPr="008F5298">
        <w:t xml:space="preserve">future </w:t>
      </w:r>
      <w:r w:rsidRPr="008F5298">
        <w:t>gaps between housing supply and demand; and</w:t>
      </w:r>
    </w:p>
    <w:p w14:paraId="7D59E998" w14:textId="3CF49BC2" w:rsidR="008E03A8" w:rsidRPr="008F5298" w:rsidRDefault="008E03A8" w:rsidP="00F05A3A">
      <w:pPr>
        <w:pStyle w:val="Dotpoint"/>
        <w:keepLines/>
      </w:pPr>
      <w:proofErr w:type="gramStart"/>
      <w:r w:rsidRPr="008F5298">
        <w:t>complement</w:t>
      </w:r>
      <w:proofErr w:type="gramEnd"/>
      <w:r w:rsidRPr="008F5298">
        <w:t xml:space="preserve"> existing research and reflect on the adequacy of </w:t>
      </w:r>
      <w:r w:rsidR="00324131" w:rsidRPr="008F5298">
        <w:t xml:space="preserve">housing </w:t>
      </w:r>
      <w:r w:rsidRPr="008F5298">
        <w:t xml:space="preserve">construction rates and land supply to meet future </w:t>
      </w:r>
      <w:r w:rsidR="00324131" w:rsidRPr="008F5298">
        <w:t xml:space="preserve">housing </w:t>
      </w:r>
      <w:r w:rsidRPr="008F5298">
        <w:t>needs.</w:t>
      </w:r>
    </w:p>
    <w:p w14:paraId="7D6377CF" w14:textId="605624CB" w:rsidR="008E03A8" w:rsidRPr="008F5298" w:rsidRDefault="00387C3C" w:rsidP="008E03A8">
      <w:pPr>
        <w:pStyle w:val="base-text-paragraph"/>
        <w:keepLines/>
        <w:ind w:left="0"/>
      </w:pPr>
      <w:r w:rsidRPr="008F5298">
        <w:t>Section 29N provides that i</w:t>
      </w:r>
      <w:r w:rsidR="008E03A8" w:rsidRPr="008F5298">
        <w:t xml:space="preserve">n </w:t>
      </w:r>
      <w:r w:rsidR="0092734F" w:rsidRPr="008F5298">
        <w:t>performing its research function</w:t>
      </w:r>
      <w:r w:rsidR="008E03A8" w:rsidRPr="008F5298">
        <w:t>,</w:t>
      </w:r>
      <w:r w:rsidR="0092734F" w:rsidRPr="008F5298">
        <w:t xml:space="preserve"> the</w:t>
      </w:r>
      <w:r w:rsidR="008E03A8" w:rsidRPr="008F5298">
        <w:t xml:space="preserve"> NHFIC </w:t>
      </w:r>
      <w:r w:rsidR="00A5026C" w:rsidRPr="008F5298">
        <w:t>is expected to</w:t>
      </w:r>
      <w:r w:rsidR="008E03A8" w:rsidRPr="008F5298">
        <w:t>:</w:t>
      </w:r>
    </w:p>
    <w:p w14:paraId="6BF82952" w14:textId="77777777" w:rsidR="008E03A8" w:rsidRPr="008F5298" w:rsidRDefault="008E03A8" w:rsidP="00F05A3A">
      <w:pPr>
        <w:pStyle w:val="Dotpoint"/>
        <w:keepLines/>
      </w:pPr>
      <w:r w:rsidRPr="008F5298">
        <w:t>undertake research on its own initiative;</w:t>
      </w:r>
    </w:p>
    <w:p w14:paraId="2A562900" w14:textId="77777777" w:rsidR="008E03A8" w:rsidRPr="008F5298" w:rsidRDefault="008E03A8" w:rsidP="00F05A3A">
      <w:pPr>
        <w:pStyle w:val="Dotpoint"/>
        <w:keepLines/>
      </w:pPr>
      <w:r w:rsidRPr="008F5298">
        <w:t>undertake specific research as requested by the Minister;</w:t>
      </w:r>
    </w:p>
    <w:p w14:paraId="466FA25E" w14:textId="77777777" w:rsidR="008E03A8" w:rsidRPr="008F5298" w:rsidRDefault="008E03A8" w:rsidP="00F05A3A">
      <w:pPr>
        <w:pStyle w:val="Dotpoint"/>
        <w:keepLines/>
      </w:pPr>
      <w:r w:rsidRPr="008F5298">
        <w:t>publish the results of its research; and</w:t>
      </w:r>
    </w:p>
    <w:p w14:paraId="0EE7C7EF" w14:textId="01046200" w:rsidR="008E03A8" w:rsidRPr="008F5298" w:rsidRDefault="008E03A8" w:rsidP="00F05A3A">
      <w:pPr>
        <w:pStyle w:val="Dotpoint"/>
        <w:keepLines/>
      </w:pPr>
      <w:proofErr w:type="gramStart"/>
      <w:r w:rsidRPr="008F5298">
        <w:t>liaise</w:t>
      </w:r>
      <w:proofErr w:type="gramEnd"/>
      <w:r w:rsidRPr="008F5298">
        <w:t xml:space="preserve"> with </w:t>
      </w:r>
      <w:r w:rsidR="001E50C3" w:rsidRPr="008F5298">
        <w:t>relevant</w:t>
      </w:r>
      <w:r w:rsidRPr="008F5298">
        <w:t xml:space="preserve"> stakeholders, particularly relevant state and territory bodies, </w:t>
      </w:r>
      <w:r w:rsidR="005D4A63" w:rsidRPr="008F5298">
        <w:t>F</w:t>
      </w:r>
      <w:r w:rsidRPr="008F5298">
        <w:t xml:space="preserve">ederal and </w:t>
      </w:r>
      <w:r w:rsidR="005D4A63" w:rsidRPr="008F5298">
        <w:t>S</w:t>
      </w:r>
      <w:r w:rsidRPr="008F5298">
        <w:t xml:space="preserve">tate </w:t>
      </w:r>
      <w:r w:rsidR="005D4A63" w:rsidRPr="008F5298">
        <w:t>and Territory</w:t>
      </w:r>
      <w:r w:rsidRPr="008F5298">
        <w:t xml:space="preserve"> government agencies, research institutions, market participants and the housing sector.</w:t>
      </w:r>
    </w:p>
    <w:p w14:paraId="07657B12" w14:textId="0BA85F77" w:rsidR="00E260DA" w:rsidRPr="008F5298" w:rsidRDefault="00E260DA" w:rsidP="00346613">
      <w:pPr>
        <w:pStyle w:val="base-text-paragraph"/>
        <w:keepLines/>
        <w:ind w:left="0"/>
      </w:pPr>
      <w:r w:rsidRPr="008F5298">
        <w:t xml:space="preserve">It is intended that </w:t>
      </w:r>
      <w:r w:rsidR="00E02C6D" w:rsidRPr="008F5298">
        <w:t xml:space="preserve">the </w:t>
      </w:r>
      <w:r w:rsidRPr="008F5298">
        <w:t xml:space="preserve">NHFIC will establish a strong working relationship with relevant stakeholders, and particularly relevant Commonwealth, State and Territory </w:t>
      </w:r>
      <w:r w:rsidR="00E02C6D" w:rsidRPr="008F5298">
        <w:t>bodies that</w:t>
      </w:r>
      <w:r w:rsidRPr="008F5298">
        <w:t xml:space="preserve"> possess relevant data and policy responsibility as well as research institutions and market participants and the housing sector. Establishing arrangements with these stakeholders will ensure that the work being undertaken by </w:t>
      </w:r>
      <w:r w:rsidR="00E02C6D" w:rsidRPr="008F5298">
        <w:t xml:space="preserve">the </w:t>
      </w:r>
      <w:r w:rsidRPr="008F5298">
        <w:t>NHFIC does not duplicate the work of other organisations</w:t>
      </w:r>
      <w:r w:rsidR="00E02C6D" w:rsidRPr="008F5298">
        <w:t xml:space="preserve"> but instead focuses on where relevant information and research gaps exist.</w:t>
      </w:r>
    </w:p>
    <w:p w14:paraId="76668283" w14:textId="403AF9D6" w:rsidR="008A07BC" w:rsidRPr="008F5298" w:rsidRDefault="008A07BC" w:rsidP="00F05A3A">
      <w:pPr>
        <w:pStyle w:val="Heading2"/>
        <w:keepLines/>
      </w:pPr>
      <w:r w:rsidRPr="008F5298">
        <w:t>Consequential amendments</w:t>
      </w:r>
    </w:p>
    <w:p w14:paraId="54AF0B67" w14:textId="2030514D" w:rsidR="00C503AF" w:rsidRPr="008F5298" w:rsidRDefault="00C503AF" w:rsidP="00C503AF">
      <w:pPr>
        <w:keepLines/>
        <w:spacing w:before="240"/>
      </w:pPr>
      <w:r w:rsidRPr="008F5298">
        <w:t xml:space="preserve">Item 1 of Schedule 1 to the Instrument amends the note to section 4 of the Investment Mandate to include a reference to guarantee liabilities as a definition in the Instrument that </w:t>
      </w:r>
      <w:r w:rsidR="00674F82" w:rsidRPr="008F5298">
        <w:t xml:space="preserve">is </w:t>
      </w:r>
      <w:r w:rsidRPr="008F5298">
        <w:t>already defined in the Act.</w:t>
      </w:r>
    </w:p>
    <w:p w14:paraId="050D98C8" w14:textId="24747B59" w:rsidR="00612F40" w:rsidRPr="008F5298" w:rsidRDefault="008A07BC" w:rsidP="003916BB">
      <w:pPr>
        <w:keepLines/>
        <w:spacing w:before="240"/>
      </w:pPr>
      <w:r w:rsidRPr="008F5298">
        <w:t xml:space="preserve">Item </w:t>
      </w:r>
      <w:r w:rsidR="004A40B4" w:rsidRPr="008F5298">
        <w:t>3</w:t>
      </w:r>
      <w:r w:rsidRPr="008F5298">
        <w:t xml:space="preserve"> of </w:t>
      </w:r>
      <w:r w:rsidR="00121553" w:rsidRPr="008F5298">
        <w:t xml:space="preserve">Schedule 1 to </w:t>
      </w:r>
      <w:r w:rsidRPr="008F5298">
        <w:t>the Instrument inserts section</w:t>
      </w:r>
      <w:r w:rsidR="004A40B4" w:rsidRPr="008F5298">
        <w:t>s</w:t>
      </w:r>
      <w:r w:rsidRPr="008F5298">
        <w:t xml:space="preserve"> 8A </w:t>
      </w:r>
      <w:r w:rsidR="004A40B4" w:rsidRPr="008F5298">
        <w:t xml:space="preserve">and 8B </w:t>
      </w:r>
      <w:r w:rsidR="008D1687" w:rsidRPr="008F5298">
        <w:t>into</w:t>
      </w:r>
      <w:r w:rsidRPr="008F5298">
        <w:t xml:space="preserve"> the Investment Mandate to authorise the NHFIC to</w:t>
      </w:r>
      <w:r w:rsidR="00612F40" w:rsidRPr="008F5298">
        <w:t>:</w:t>
      </w:r>
    </w:p>
    <w:p w14:paraId="5041E493" w14:textId="264C576D" w:rsidR="00612F40" w:rsidRPr="008F5298" w:rsidRDefault="00612F40" w:rsidP="00F05A3A">
      <w:pPr>
        <w:pStyle w:val="Dotpoint"/>
        <w:keepLines/>
      </w:pPr>
      <w:r w:rsidRPr="008F5298">
        <w:t xml:space="preserve">establish and operate a </w:t>
      </w:r>
      <w:r w:rsidR="008052E3" w:rsidRPr="008F5298">
        <w:t>First Home Loan Deposit Scheme</w:t>
      </w:r>
      <w:r w:rsidRPr="008F5298">
        <w:t xml:space="preserve"> to issue guarantees to eligible lenders for eligible loan consistent with Part 5A of the </w:t>
      </w:r>
      <w:r w:rsidR="008052E3" w:rsidRPr="008F5298">
        <w:t>Investment Mandate</w:t>
      </w:r>
      <w:r w:rsidR="00076283" w:rsidRPr="008F5298">
        <w:t>; and</w:t>
      </w:r>
    </w:p>
    <w:p w14:paraId="0E7C7B88" w14:textId="2CF669EE" w:rsidR="008A07BC" w:rsidRPr="008F5298" w:rsidRDefault="008A07BC" w:rsidP="00F05A3A">
      <w:pPr>
        <w:pStyle w:val="Dotpoint"/>
        <w:keepLines/>
      </w:pPr>
      <w:proofErr w:type="gramStart"/>
      <w:r w:rsidRPr="008F5298">
        <w:t>undertake</w:t>
      </w:r>
      <w:proofErr w:type="gramEnd"/>
      <w:r w:rsidRPr="008F5298">
        <w:t xml:space="preserve"> </w:t>
      </w:r>
      <w:r w:rsidR="004A40B4" w:rsidRPr="008F5298">
        <w:t xml:space="preserve">research </w:t>
      </w:r>
      <w:r w:rsidR="00612F40" w:rsidRPr="008F5298">
        <w:t>into housing affordability in Australia</w:t>
      </w:r>
      <w:r w:rsidR="002A66BB" w:rsidRPr="008F5298">
        <w:t xml:space="preserve"> consistent with Part 5B of the </w:t>
      </w:r>
      <w:r w:rsidR="008052E3" w:rsidRPr="008F5298">
        <w:t>Investment Mandate</w:t>
      </w:r>
      <w:r w:rsidR="002A66BB" w:rsidRPr="008F5298">
        <w:t>.</w:t>
      </w:r>
    </w:p>
    <w:p w14:paraId="1B175316" w14:textId="14FDFF8C" w:rsidR="008A07BC" w:rsidRPr="008F5298" w:rsidRDefault="008A07BC" w:rsidP="003916BB">
      <w:pPr>
        <w:keepLines/>
        <w:spacing w:before="240"/>
      </w:pPr>
      <w:r w:rsidRPr="008F5298">
        <w:t xml:space="preserve">Item </w:t>
      </w:r>
      <w:r w:rsidR="00121553" w:rsidRPr="008F5298">
        <w:t>4</w:t>
      </w:r>
      <w:r w:rsidRPr="008F5298">
        <w:t xml:space="preserve"> of </w:t>
      </w:r>
      <w:r w:rsidR="00121553" w:rsidRPr="008F5298">
        <w:t xml:space="preserve">Schedule 1 to </w:t>
      </w:r>
      <w:r w:rsidRPr="008F5298">
        <w:t xml:space="preserve">the Instrument amends </w:t>
      </w:r>
      <w:r w:rsidR="00EE51F3" w:rsidRPr="008F5298">
        <w:t>paragraph 9(1</w:t>
      </w:r>
      <w:proofErr w:type="gramStart"/>
      <w:r w:rsidR="00EE51F3" w:rsidRPr="008F5298">
        <w:t>)(</w:t>
      </w:r>
      <w:proofErr w:type="gramEnd"/>
      <w:r w:rsidR="00EE51F3" w:rsidRPr="008F5298">
        <w:t>a) of the Investment Mandate to ensure th</w:t>
      </w:r>
      <w:r w:rsidR="00532573" w:rsidRPr="008F5298">
        <w:t>at the NHFIC is able to spend</w:t>
      </w:r>
      <w:r w:rsidR="00EE51F3" w:rsidRPr="008F5298">
        <w:t xml:space="preserve"> money for the purposes of administering the </w:t>
      </w:r>
      <w:r w:rsidR="008052E3" w:rsidRPr="008F5298">
        <w:t>First Home Loan Deposit Scheme</w:t>
      </w:r>
      <w:r w:rsidR="00EE51F3" w:rsidRPr="008F5298">
        <w:t xml:space="preserve">. </w:t>
      </w:r>
      <w:r w:rsidR="00532573" w:rsidRPr="008F5298">
        <w:t xml:space="preserve">Item 4 of Schedule 1 to the Instrument </w:t>
      </w:r>
      <w:r w:rsidR="00977ED6" w:rsidRPr="008F5298">
        <w:t xml:space="preserve">also </w:t>
      </w:r>
      <w:r w:rsidR="00532573" w:rsidRPr="008F5298">
        <w:t xml:space="preserve">inserts </w:t>
      </w:r>
      <w:r w:rsidRPr="008F5298">
        <w:t xml:space="preserve">section 10 </w:t>
      </w:r>
      <w:r w:rsidR="00532573" w:rsidRPr="008F5298">
        <w:t xml:space="preserve">into </w:t>
      </w:r>
      <w:r w:rsidRPr="008F5298">
        <w:t xml:space="preserve">the Investment Mandate to require the NHFIC to exercise commercial discipline when making decisions in relation to the </w:t>
      </w:r>
      <w:r w:rsidR="008052E3" w:rsidRPr="008F5298">
        <w:t>First Home Loan Deposit Scheme</w:t>
      </w:r>
      <w:r w:rsidRPr="008F5298">
        <w:t xml:space="preserve">. </w:t>
      </w:r>
      <w:r w:rsidR="00532573" w:rsidRPr="008F5298">
        <w:t xml:space="preserve">This ensures that the NHFIC operates the </w:t>
      </w:r>
      <w:r w:rsidR="008052E3" w:rsidRPr="008F5298">
        <w:t>First Home Loan Deposit Scheme</w:t>
      </w:r>
      <w:r w:rsidR="00532573" w:rsidRPr="008F5298">
        <w:t xml:space="preserve"> based on commercial principles</w:t>
      </w:r>
      <w:r w:rsidR="004F00E5" w:rsidRPr="008F5298">
        <w:t>,</w:t>
      </w:r>
      <w:r w:rsidR="00532573" w:rsidRPr="008F5298">
        <w:t xml:space="preserve"> other than charging for the provision of the guarantee.</w:t>
      </w:r>
    </w:p>
    <w:p w14:paraId="6D465BE2" w14:textId="21DF8761" w:rsidR="008A07BC" w:rsidRPr="00BA6AAD" w:rsidRDefault="008A07BC" w:rsidP="003916BB">
      <w:pPr>
        <w:keepLines/>
        <w:spacing w:before="240"/>
      </w:pPr>
      <w:r w:rsidRPr="008F5298">
        <w:lastRenderedPageBreak/>
        <w:t xml:space="preserve">Section 34 </w:t>
      </w:r>
      <w:r w:rsidR="00C503AF" w:rsidRPr="008F5298">
        <w:t xml:space="preserve">of the Investment Mandate </w:t>
      </w:r>
      <w:r w:rsidRPr="008F5298">
        <w:t>requires the Board of the NHFIC to seek the approval of the Minister and the Minister for Finance before allowing its liabilities to exceed $2 billion. The Act establishes a standing appropriation to meet guarantee liabilities (within the meaning of the Act as amended).</w:t>
      </w:r>
      <w:r w:rsidR="0096793D" w:rsidRPr="008F5298">
        <w:t xml:space="preserve"> </w:t>
      </w:r>
      <w:r w:rsidR="00365E78" w:rsidRPr="008F5298">
        <w:t>I</w:t>
      </w:r>
      <w:r w:rsidRPr="008F5298">
        <w:t xml:space="preserve">tem </w:t>
      </w:r>
      <w:r w:rsidR="00387C3C" w:rsidRPr="008F5298">
        <w:t>7</w:t>
      </w:r>
      <w:r w:rsidRPr="008F5298">
        <w:t xml:space="preserve"> of </w:t>
      </w:r>
      <w:r w:rsidR="00121553" w:rsidRPr="008F5298">
        <w:t xml:space="preserve">Schedule 1 to </w:t>
      </w:r>
      <w:r w:rsidRPr="008F5298">
        <w:t xml:space="preserve">the Instrument amends </w:t>
      </w:r>
      <w:r w:rsidR="00AE115B" w:rsidRPr="008F5298">
        <w:t>sub</w:t>
      </w:r>
      <w:r w:rsidRPr="008F5298">
        <w:t>section 34</w:t>
      </w:r>
      <w:r w:rsidR="00AE115B" w:rsidRPr="008F5298">
        <w:t>(2)</w:t>
      </w:r>
      <w:r w:rsidRPr="008F5298">
        <w:t xml:space="preserve"> to exclude</w:t>
      </w:r>
      <w:r w:rsidR="00410F10" w:rsidRPr="008F5298">
        <w:t xml:space="preserve"> the</w:t>
      </w:r>
      <w:r w:rsidRPr="008F5298">
        <w:t xml:space="preserve"> </w:t>
      </w:r>
      <w:r w:rsidR="00410F10" w:rsidRPr="008F5298">
        <w:t xml:space="preserve">First Home Loan Deposit Scheme’s </w:t>
      </w:r>
      <w:r w:rsidRPr="008F5298">
        <w:t xml:space="preserve">guarantee liabilities from the </w:t>
      </w:r>
      <w:r w:rsidR="00C503AF" w:rsidRPr="008F5298">
        <w:t>requirement to seek approval</w:t>
      </w:r>
      <w:r w:rsidR="0065455A" w:rsidRPr="008F5298">
        <w:t xml:space="preserve"> </w:t>
      </w:r>
      <w:r w:rsidR="00F16D45" w:rsidRPr="008F5298">
        <w:t>if those liabilities</w:t>
      </w:r>
      <w:r w:rsidR="0065455A" w:rsidRPr="008F5298">
        <w:t xml:space="preserve"> exceed the </w:t>
      </w:r>
      <w:r w:rsidR="00410F10" w:rsidRPr="008F5298">
        <w:t xml:space="preserve">$2 billion </w:t>
      </w:r>
      <w:r w:rsidR="0065455A" w:rsidRPr="008F5298">
        <w:t>threshold</w:t>
      </w:r>
      <w:r w:rsidR="00F16D45" w:rsidRPr="008F5298">
        <w:t>.</w:t>
      </w:r>
      <w:r w:rsidR="00C503AF" w:rsidRPr="008F5298">
        <w:t xml:space="preserve"> </w:t>
      </w:r>
      <w:r w:rsidR="00F16D45" w:rsidRPr="008F5298">
        <w:t>This is because</w:t>
      </w:r>
      <w:r w:rsidR="00410F10" w:rsidRPr="008F5298">
        <w:t xml:space="preserve"> the First Home Loan Deposit Scheme’s</w:t>
      </w:r>
      <w:r w:rsidR="00F16D45" w:rsidRPr="008F5298">
        <w:t xml:space="preserve"> guarantee</w:t>
      </w:r>
      <w:r w:rsidR="008D1687" w:rsidRPr="008F5298">
        <w:t xml:space="preserve"> liabilities are separately funded</w:t>
      </w:r>
      <w:r w:rsidR="0021168A" w:rsidRPr="008F5298">
        <w:t xml:space="preserve"> and are not intended to form part of the liability cap</w:t>
      </w:r>
      <w:r w:rsidRPr="008F5298">
        <w:t>.</w:t>
      </w:r>
    </w:p>
    <w:sectPr w:rsidR="008A07BC" w:rsidRPr="00BA6AAD" w:rsidSect="00392BBA">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22A30" w14:textId="77777777" w:rsidR="00D61489" w:rsidRDefault="00D61489" w:rsidP="00954679">
      <w:pPr>
        <w:spacing w:before="0" w:after="0"/>
      </w:pPr>
      <w:r>
        <w:separator/>
      </w:r>
    </w:p>
  </w:endnote>
  <w:endnote w:type="continuationSeparator" w:id="0">
    <w:p w14:paraId="06288558" w14:textId="77777777" w:rsidR="00D61489" w:rsidRDefault="00D61489" w:rsidP="00954679">
      <w:pPr>
        <w:spacing w:before="0" w:after="0"/>
      </w:pPr>
      <w:r>
        <w:continuationSeparator/>
      </w:r>
    </w:p>
  </w:endnote>
  <w:endnote w:type="continuationNotice" w:id="1">
    <w:p w14:paraId="453BED76" w14:textId="77777777" w:rsidR="00D61489" w:rsidRDefault="00D6148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A2CEE" w14:textId="70714B23" w:rsidR="00116C96" w:rsidRDefault="002B02E3" w:rsidP="00116C96">
    <w:pPr>
      <w:pStyle w:val="SecurityClassificationFooter"/>
    </w:pPr>
    <w:fldSimple w:instr=" DOCPROPERTY SecurityClassification \* MERGEFORMAT ">
      <w:r w:rsidR="00116C96">
        <w:t>Sensitive:  Legal</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CBE70EF" w14:textId="68E4FD10" w:rsidR="00D61489" w:rsidRDefault="00D61489"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6B78E9">
              <w:rPr>
                <w:bCs/>
                <w:noProof/>
              </w:rPr>
              <w:t>14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6B78E9">
              <w:rPr>
                <w:bCs/>
                <w:noProof/>
              </w:rPr>
              <w:t>14</w:t>
            </w:r>
            <w:r w:rsidRPr="00954679">
              <w:rPr>
                <w:bCs/>
                <w:szCs w:val="24"/>
              </w:rPr>
              <w:fldChar w:fldCharType="end"/>
            </w:r>
          </w:p>
        </w:sdtContent>
      </w:sdt>
    </w:sdtContent>
  </w:sdt>
  <w:p w14:paraId="10FF617C" w14:textId="1CEF916B" w:rsidR="00D61489" w:rsidRDefault="009C7C7C" w:rsidP="00116C96">
    <w:pPr>
      <w:pStyle w:val="SecurityClassificationFooter"/>
    </w:pPr>
    <w:r>
      <w:t>EXPOSURE DRAFT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0A4E" w14:textId="75FD9FC6" w:rsidR="00116C96" w:rsidRDefault="002B02E3" w:rsidP="00116C96">
    <w:pPr>
      <w:pStyle w:val="SecurityClassificationFooter"/>
    </w:pPr>
    <w:fldSimple w:instr=" DOCPROPERTY SecurityClassification \* MERGEFORMAT ">
      <w:r w:rsidR="00116C96">
        <w:t>Sensitive:  Legal</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91CC5" w14:textId="77777777" w:rsidR="00D61489" w:rsidRDefault="00D61489" w:rsidP="00954679">
      <w:pPr>
        <w:spacing w:before="0" w:after="0"/>
      </w:pPr>
      <w:r>
        <w:separator/>
      </w:r>
    </w:p>
  </w:footnote>
  <w:footnote w:type="continuationSeparator" w:id="0">
    <w:p w14:paraId="1BC83745" w14:textId="77777777" w:rsidR="00D61489" w:rsidRDefault="00D61489" w:rsidP="00954679">
      <w:pPr>
        <w:spacing w:before="0" w:after="0"/>
      </w:pPr>
      <w:r>
        <w:continuationSeparator/>
      </w:r>
    </w:p>
  </w:footnote>
  <w:footnote w:type="continuationNotice" w:id="1">
    <w:p w14:paraId="07857A47" w14:textId="77777777" w:rsidR="00D61489" w:rsidRDefault="00D6148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E67CF" w14:textId="08260C3E" w:rsidR="00116C96" w:rsidRDefault="002B02E3" w:rsidP="00116C96">
    <w:pPr>
      <w:pStyle w:val="SecurityClassificationHeader"/>
    </w:pPr>
    <w:fldSimple w:instr=" DOCPROPERTY SecurityClassification \* MERGEFORMAT ">
      <w:r w:rsidR="00116C96">
        <w:t>Sensitive:  Legal</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A48CC" w14:textId="739742AB" w:rsidR="00D61489" w:rsidRDefault="009C7C7C" w:rsidP="00116C96">
    <w:pPr>
      <w:pStyle w:val="SecurityClassificationHeader"/>
    </w:pPr>
    <w:r>
      <w:t>EXPOSURE DRAFT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74127" w14:textId="22E37975" w:rsidR="00116C96" w:rsidRDefault="002B02E3" w:rsidP="00116C96">
    <w:pPr>
      <w:pStyle w:val="SecurityClassificationHeader"/>
    </w:pPr>
    <w:fldSimple w:instr=" DOCPROPERTY SecurityClassification \* MERGEFORMAT ">
      <w:r w:rsidR="00116C96">
        <w:t>Sensitive:  Legal</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3EAD3F5F"/>
    <w:multiLevelType w:val="multilevel"/>
    <w:tmpl w:val="D1BC980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FBC7E8D"/>
    <w:multiLevelType w:val="singleLevel"/>
    <w:tmpl w:val="FFFCF7D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4" w15:restartNumberingAfterBreak="0">
    <w:nsid w:val="67A43C0B"/>
    <w:multiLevelType w:val="multilevel"/>
    <w:tmpl w:val="3AB46EF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0"/>
  </w:num>
  <w:num w:numId="4">
    <w:abstractNumId w:val="3"/>
  </w:num>
  <w:num w:numId="5">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1"/>
  </w:num>
  <w:num w:numId="20">
    <w:abstractNumId w:val="1"/>
  </w:num>
  <w:num w:numId="21">
    <w:abstractNumId w:val="1"/>
  </w:num>
  <w:num w:numId="22">
    <w:abstractNumId w:val="1"/>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CF5729"/>
    <w:rsid w:val="00002053"/>
    <w:rsid w:val="000077A1"/>
    <w:rsid w:val="000117A3"/>
    <w:rsid w:val="00014352"/>
    <w:rsid w:val="00015EFB"/>
    <w:rsid w:val="00016C42"/>
    <w:rsid w:val="00016EA2"/>
    <w:rsid w:val="0002592E"/>
    <w:rsid w:val="00025F52"/>
    <w:rsid w:val="00026677"/>
    <w:rsid w:val="00027067"/>
    <w:rsid w:val="00030894"/>
    <w:rsid w:val="000320E7"/>
    <w:rsid w:val="00034808"/>
    <w:rsid w:val="00034A45"/>
    <w:rsid w:val="00035E70"/>
    <w:rsid w:val="00036462"/>
    <w:rsid w:val="000366C9"/>
    <w:rsid w:val="0004166D"/>
    <w:rsid w:val="000416BE"/>
    <w:rsid w:val="000450A5"/>
    <w:rsid w:val="00051F7F"/>
    <w:rsid w:val="0005470A"/>
    <w:rsid w:val="00056FDA"/>
    <w:rsid w:val="000616E3"/>
    <w:rsid w:val="00062242"/>
    <w:rsid w:val="00065C95"/>
    <w:rsid w:val="00065F02"/>
    <w:rsid w:val="00072046"/>
    <w:rsid w:val="000724A5"/>
    <w:rsid w:val="000731D7"/>
    <w:rsid w:val="000738C4"/>
    <w:rsid w:val="00074F35"/>
    <w:rsid w:val="00076283"/>
    <w:rsid w:val="0008168E"/>
    <w:rsid w:val="000840BE"/>
    <w:rsid w:val="00086C07"/>
    <w:rsid w:val="000871B9"/>
    <w:rsid w:val="00087915"/>
    <w:rsid w:val="000900B9"/>
    <w:rsid w:val="000937DE"/>
    <w:rsid w:val="00095211"/>
    <w:rsid w:val="0009567E"/>
    <w:rsid w:val="000A2849"/>
    <w:rsid w:val="000A45E5"/>
    <w:rsid w:val="000A56E7"/>
    <w:rsid w:val="000B3285"/>
    <w:rsid w:val="000B498B"/>
    <w:rsid w:val="000C079D"/>
    <w:rsid w:val="000C10DF"/>
    <w:rsid w:val="000C2DF7"/>
    <w:rsid w:val="000C483E"/>
    <w:rsid w:val="000C5903"/>
    <w:rsid w:val="000C5ADA"/>
    <w:rsid w:val="000D21C1"/>
    <w:rsid w:val="000D2F6B"/>
    <w:rsid w:val="000D317A"/>
    <w:rsid w:val="000D716E"/>
    <w:rsid w:val="000E1364"/>
    <w:rsid w:val="000E555B"/>
    <w:rsid w:val="000E6561"/>
    <w:rsid w:val="000F005A"/>
    <w:rsid w:val="000F114D"/>
    <w:rsid w:val="000F4056"/>
    <w:rsid w:val="000F409F"/>
    <w:rsid w:val="000F55E7"/>
    <w:rsid w:val="00102255"/>
    <w:rsid w:val="001029DE"/>
    <w:rsid w:val="00104104"/>
    <w:rsid w:val="00105633"/>
    <w:rsid w:val="00105D91"/>
    <w:rsid w:val="00106249"/>
    <w:rsid w:val="00107301"/>
    <w:rsid w:val="0011038F"/>
    <w:rsid w:val="00112A6A"/>
    <w:rsid w:val="00113B45"/>
    <w:rsid w:val="00114AE8"/>
    <w:rsid w:val="00116C96"/>
    <w:rsid w:val="00121553"/>
    <w:rsid w:val="0012239D"/>
    <w:rsid w:val="001304DE"/>
    <w:rsid w:val="00132143"/>
    <w:rsid w:val="001324D0"/>
    <w:rsid w:val="00132850"/>
    <w:rsid w:val="001359D1"/>
    <w:rsid w:val="00137822"/>
    <w:rsid w:val="00142AF5"/>
    <w:rsid w:val="001436F7"/>
    <w:rsid w:val="00144DAB"/>
    <w:rsid w:val="00150B10"/>
    <w:rsid w:val="00150E52"/>
    <w:rsid w:val="00152850"/>
    <w:rsid w:val="00153985"/>
    <w:rsid w:val="0015551D"/>
    <w:rsid w:val="0015665B"/>
    <w:rsid w:val="00156B93"/>
    <w:rsid w:val="00157C4E"/>
    <w:rsid w:val="00174A05"/>
    <w:rsid w:val="001771CF"/>
    <w:rsid w:val="00181AF5"/>
    <w:rsid w:val="00183F6D"/>
    <w:rsid w:val="0018607E"/>
    <w:rsid w:val="00186E1F"/>
    <w:rsid w:val="001870ED"/>
    <w:rsid w:val="00187445"/>
    <w:rsid w:val="001902BD"/>
    <w:rsid w:val="00194349"/>
    <w:rsid w:val="00195974"/>
    <w:rsid w:val="001A1D00"/>
    <w:rsid w:val="001A2586"/>
    <w:rsid w:val="001A37E2"/>
    <w:rsid w:val="001A6234"/>
    <w:rsid w:val="001A7303"/>
    <w:rsid w:val="001B1019"/>
    <w:rsid w:val="001B1326"/>
    <w:rsid w:val="001B2F2E"/>
    <w:rsid w:val="001B3B85"/>
    <w:rsid w:val="001C0A3F"/>
    <w:rsid w:val="001C4371"/>
    <w:rsid w:val="001C56E8"/>
    <w:rsid w:val="001C596E"/>
    <w:rsid w:val="001C633A"/>
    <w:rsid w:val="001C65D7"/>
    <w:rsid w:val="001C786A"/>
    <w:rsid w:val="001D0484"/>
    <w:rsid w:val="001D0D61"/>
    <w:rsid w:val="001D1E5B"/>
    <w:rsid w:val="001E0461"/>
    <w:rsid w:val="001E16A0"/>
    <w:rsid w:val="001E183F"/>
    <w:rsid w:val="001E43BB"/>
    <w:rsid w:val="001E50C3"/>
    <w:rsid w:val="001E6519"/>
    <w:rsid w:val="001E6A74"/>
    <w:rsid w:val="001F1840"/>
    <w:rsid w:val="001F41D0"/>
    <w:rsid w:val="001F438C"/>
    <w:rsid w:val="001F5030"/>
    <w:rsid w:val="001F56C9"/>
    <w:rsid w:val="001F5B73"/>
    <w:rsid w:val="001F622A"/>
    <w:rsid w:val="001F68F8"/>
    <w:rsid w:val="001F7BB9"/>
    <w:rsid w:val="00201674"/>
    <w:rsid w:val="00202218"/>
    <w:rsid w:val="002031F2"/>
    <w:rsid w:val="00205BA9"/>
    <w:rsid w:val="00210C7E"/>
    <w:rsid w:val="0021168A"/>
    <w:rsid w:val="00212FEC"/>
    <w:rsid w:val="002131F1"/>
    <w:rsid w:val="00213DB6"/>
    <w:rsid w:val="0021611E"/>
    <w:rsid w:val="0021660C"/>
    <w:rsid w:val="002209CC"/>
    <w:rsid w:val="00220F16"/>
    <w:rsid w:val="0022125F"/>
    <w:rsid w:val="002219D9"/>
    <w:rsid w:val="002221BA"/>
    <w:rsid w:val="00222A9E"/>
    <w:rsid w:val="00223D4F"/>
    <w:rsid w:val="00224F8A"/>
    <w:rsid w:val="002259A1"/>
    <w:rsid w:val="00225EEE"/>
    <w:rsid w:val="00230481"/>
    <w:rsid w:val="00233D56"/>
    <w:rsid w:val="00235C59"/>
    <w:rsid w:val="002365AA"/>
    <w:rsid w:val="00237B59"/>
    <w:rsid w:val="00242428"/>
    <w:rsid w:val="0024418F"/>
    <w:rsid w:val="002448DD"/>
    <w:rsid w:val="00245F1B"/>
    <w:rsid w:val="002500E9"/>
    <w:rsid w:val="00250245"/>
    <w:rsid w:val="00250DDB"/>
    <w:rsid w:val="00251A69"/>
    <w:rsid w:val="00254C5B"/>
    <w:rsid w:val="00254E0E"/>
    <w:rsid w:val="0025520B"/>
    <w:rsid w:val="00255282"/>
    <w:rsid w:val="00257594"/>
    <w:rsid w:val="00262AA1"/>
    <w:rsid w:val="00263A5F"/>
    <w:rsid w:val="00264779"/>
    <w:rsid w:val="00272B46"/>
    <w:rsid w:val="00273DB6"/>
    <w:rsid w:val="002808A6"/>
    <w:rsid w:val="00282FED"/>
    <w:rsid w:val="002840F8"/>
    <w:rsid w:val="00284CAC"/>
    <w:rsid w:val="00285673"/>
    <w:rsid w:val="00287063"/>
    <w:rsid w:val="002874C6"/>
    <w:rsid w:val="00287F90"/>
    <w:rsid w:val="00291A8E"/>
    <w:rsid w:val="00295735"/>
    <w:rsid w:val="00297D2F"/>
    <w:rsid w:val="002A190A"/>
    <w:rsid w:val="002A66BB"/>
    <w:rsid w:val="002A6913"/>
    <w:rsid w:val="002A7E9E"/>
    <w:rsid w:val="002B02E3"/>
    <w:rsid w:val="002B0E91"/>
    <w:rsid w:val="002B4922"/>
    <w:rsid w:val="002B69A3"/>
    <w:rsid w:val="002B6A47"/>
    <w:rsid w:val="002B79F8"/>
    <w:rsid w:val="002C0958"/>
    <w:rsid w:val="002C1403"/>
    <w:rsid w:val="002C24D4"/>
    <w:rsid w:val="002C3CDE"/>
    <w:rsid w:val="002C5DCF"/>
    <w:rsid w:val="002C60C1"/>
    <w:rsid w:val="002D3DED"/>
    <w:rsid w:val="002D4B09"/>
    <w:rsid w:val="002D6A1A"/>
    <w:rsid w:val="002E0DFD"/>
    <w:rsid w:val="002E3006"/>
    <w:rsid w:val="002E3AB1"/>
    <w:rsid w:val="002E4850"/>
    <w:rsid w:val="002E4F42"/>
    <w:rsid w:val="002E7BFD"/>
    <w:rsid w:val="002F030F"/>
    <w:rsid w:val="002F3645"/>
    <w:rsid w:val="002F67A0"/>
    <w:rsid w:val="002F73BD"/>
    <w:rsid w:val="002F7509"/>
    <w:rsid w:val="003016B3"/>
    <w:rsid w:val="00303DDD"/>
    <w:rsid w:val="00306864"/>
    <w:rsid w:val="003074D1"/>
    <w:rsid w:val="00310437"/>
    <w:rsid w:val="003106E0"/>
    <w:rsid w:val="00310B06"/>
    <w:rsid w:val="00312154"/>
    <w:rsid w:val="00313828"/>
    <w:rsid w:val="00313D57"/>
    <w:rsid w:val="00313DB7"/>
    <w:rsid w:val="0031410C"/>
    <w:rsid w:val="00320233"/>
    <w:rsid w:val="0032035E"/>
    <w:rsid w:val="00322474"/>
    <w:rsid w:val="00322715"/>
    <w:rsid w:val="00324131"/>
    <w:rsid w:val="003259C2"/>
    <w:rsid w:val="00325F37"/>
    <w:rsid w:val="00326B6F"/>
    <w:rsid w:val="003329B1"/>
    <w:rsid w:val="003333B9"/>
    <w:rsid w:val="00333D72"/>
    <w:rsid w:val="003342CD"/>
    <w:rsid w:val="00334E94"/>
    <w:rsid w:val="00335042"/>
    <w:rsid w:val="003401D5"/>
    <w:rsid w:val="00345F97"/>
    <w:rsid w:val="00346613"/>
    <w:rsid w:val="00346DEE"/>
    <w:rsid w:val="003477B7"/>
    <w:rsid w:val="00351581"/>
    <w:rsid w:val="0035667A"/>
    <w:rsid w:val="00361A91"/>
    <w:rsid w:val="003622F4"/>
    <w:rsid w:val="00362B70"/>
    <w:rsid w:val="00362EE9"/>
    <w:rsid w:val="003649C2"/>
    <w:rsid w:val="00365E78"/>
    <w:rsid w:val="00371B8F"/>
    <w:rsid w:val="00374DB4"/>
    <w:rsid w:val="003770F2"/>
    <w:rsid w:val="00380656"/>
    <w:rsid w:val="00380A3D"/>
    <w:rsid w:val="00380A9C"/>
    <w:rsid w:val="00380FA8"/>
    <w:rsid w:val="00380FAA"/>
    <w:rsid w:val="00383BCF"/>
    <w:rsid w:val="00383FB2"/>
    <w:rsid w:val="003851F7"/>
    <w:rsid w:val="00386FFB"/>
    <w:rsid w:val="00387C3C"/>
    <w:rsid w:val="00390513"/>
    <w:rsid w:val="003916BB"/>
    <w:rsid w:val="00391B80"/>
    <w:rsid w:val="003924F9"/>
    <w:rsid w:val="003926AB"/>
    <w:rsid w:val="00392BBA"/>
    <w:rsid w:val="00393CCC"/>
    <w:rsid w:val="003954FD"/>
    <w:rsid w:val="003960BD"/>
    <w:rsid w:val="003A59AC"/>
    <w:rsid w:val="003B0EA1"/>
    <w:rsid w:val="003B1516"/>
    <w:rsid w:val="003C17AC"/>
    <w:rsid w:val="003C1A27"/>
    <w:rsid w:val="003C6932"/>
    <w:rsid w:val="003D095B"/>
    <w:rsid w:val="003D1241"/>
    <w:rsid w:val="003D1305"/>
    <w:rsid w:val="003D3A99"/>
    <w:rsid w:val="003D64AC"/>
    <w:rsid w:val="003E1493"/>
    <w:rsid w:val="003E1CE3"/>
    <w:rsid w:val="003E293E"/>
    <w:rsid w:val="003E2FB7"/>
    <w:rsid w:val="003E66E1"/>
    <w:rsid w:val="003E7AD4"/>
    <w:rsid w:val="003F22B6"/>
    <w:rsid w:val="003F2BD7"/>
    <w:rsid w:val="003F2CFA"/>
    <w:rsid w:val="003F6786"/>
    <w:rsid w:val="00405C9C"/>
    <w:rsid w:val="00407EC7"/>
    <w:rsid w:val="00410F10"/>
    <w:rsid w:val="00411960"/>
    <w:rsid w:val="0041577F"/>
    <w:rsid w:val="00415F8E"/>
    <w:rsid w:val="00421447"/>
    <w:rsid w:val="00421ACD"/>
    <w:rsid w:val="004241E8"/>
    <w:rsid w:val="00427065"/>
    <w:rsid w:val="004300A6"/>
    <w:rsid w:val="00430A26"/>
    <w:rsid w:val="004333F8"/>
    <w:rsid w:val="00434949"/>
    <w:rsid w:val="00436FBC"/>
    <w:rsid w:val="00441ABD"/>
    <w:rsid w:val="00443DEE"/>
    <w:rsid w:val="00444C32"/>
    <w:rsid w:val="004453AE"/>
    <w:rsid w:val="00445FE6"/>
    <w:rsid w:val="00447C8E"/>
    <w:rsid w:val="004512D4"/>
    <w:rsid w:val="004525A6"/>
    <w:rsid w:val="00455DD6"/>
    <w:rsid w:val="0045659F"/>
    <w:rsid w:val="00461565"/>
    <w:rsid w:val="00462095"/>
    <w:rsid w:val="00462B67"/>
    <w:rsid w:val="00466242"/>
    <w:rsid w:val="0046745D"/>
    <w:rsid w:val="00467AD5"/>
    <w:rsid w:val="004706E6"/>
    <w:rsid w:val="0047199B"/>
    <w:rsid w:val="0047319B"/>
    <w:rsid w:val="00474345"/>
    <w:rsid w:val="00474F51"/>
    <w:rsid w:val="00477572"/>
    <w:rsid w:val="00483A1A"/>
    <w:rsid w:val="0049065C"/>
    <w:rsid w:val="00491D82"/>
    <w:rsid w:val="00493552"/>
    <w:rsid w:val="004935E4"/>
    <w:rsid w:val="004936FE"/>
    <w:rsid w:val="004940E3"/>
    <w:rsid w:val="0049775D"/>
    <w:rsid w:val="004A0C84"/>
    <w:rsid w:val="004A0FF8"/>
    <w:rsid w:val="004A28A4"/>
    <w:rsid w:val="004A3972"/>
    <w:rsid w:val="004A40B4"/>
    <w:rsid w:val="004A65C9"/>
    <w:rsid w:val="004A7054"/>
    <w:rsid w:val="004B2803"/>
    <w:rsid w:val="004B3C0F"/>
    <w:rsid w:val="004B3F50"/>
    <w:rsid w:val="004B5A8F"/>
    <w:rsid w:val="004C05E4"/>
    <w:rsid w:val="004C32C7"/>
    <w:rsid w:val="004C3DEA"/>
    <w:rsid w:val="004C4E39"/>
    <w:rsid w:val="004C66E1"/>
    <w:rsid w:val="004C6E21"/>
    <w:rsid w:val="004C7FE1"/>
    <w:rsid w:val="004D0494"/>
    <w:rsid w:val="004E0A7F"/>
    <w:rsid w:val="004E39E1"/>
    <w:rsid w:val="004E4B76"/>
    <w:rsid w:val="004E57B0"/>
    <w:rsid w:val="004E78F7"/>
    <w:rsid w:val="004F00E5"/>
    <w:rsid w:val="004F01C8"/>
    <w:rsid w:val="004F07CB"/>
    <w:rsid w:val="004F0E68"/>
    <w:rsid w:val="004F1F03"/>
    <w:rsid w:val="004F5415"/>
    <w:rsid w:val="004F736D"/>
    <w:rsid w:val="00503A44"/>
    <w:rsid w:val="00503E44"/>
    <w:rsid w:val="00504EED"/>
    <w:rsid w:val="0050559A"/>
    <w:rsid w:val="00505A65"/>
    <w:rsid w:val="00505DBA"/>
    <w:rsid w:val="0050713B"/>
    <w:rsid w:val="00513CA4"/>
    <w:rsid w:val="00514EEF"/>
    <w:rsid w:val="00515283"/>
    <w:rsid w:val="005156DF"/>
    <w:rsid w:val="005158F8"/>
    <w:rsid w:val="00516A26"/>
    <w:rsid w:val="00517A53"/>
    <w:rsid w:val="00517D5A"/>
    <w:rsid w:val="0052090B"/>
    <w:rsid w:val="005238FC"/>
    <w:rsid w:val="00524DDC"/>
    <w:rsid w:val="00525874"/>
    <w:rsid w:val="00526464"/>
    <w:rsid w:val="00530B58"/>
    <w:rsid w:val="00531046"/>
    <w:rsid w:val="00531AAB"/>
    <w:rsid w:val="00532573"/>
    <w:rsid w:val="0053374B"/>
    <w:rsid w:val="00533926"/>
    <w:rsid w:val="005351E7"/>
    <w:rsid w:val="005359D6"/>
    <w:rsid w:val="0053763F"/>
    <w:rsid w:val="0053765A"/>
    <w:rsid w:val="00540B4A"/>
    <w:rsid w:val="005424A7"/>
    <w:rsid w:val="00542CA6"/>
    <w:rsid w:val="005455B7"/>
    <w:rsid w:val="005456BD"/>
    <w:rsid w:val="00552762"/>
    <w:rsid w:val="0055675D"/>
    <w:rsid w:val="00556B2E"/>
    <w:rsid w:val="005578B0"/>
    <w:rsid w:val="00557C56"/>
    <w:rsid w:val="00560CF6"/>
    <w:rsid w:val="00563216"/>
    <w:rsid w:val="005649D6"/>
    <w:rsid w:val="00566E8F"/>
    <w:rsid w:val="0057229C"/>
    <w:rsid w:val="0057349A"/>
    <w:rsid w:val="0058098D"/>
    <w:rsid w:val="00580A9C"/>
    <w:rsid w:val="00581B90"/>
    <w:rsid w:val="005833BE"/>
    <w:rsid w:val="0058443D"/>
    <w:rsid w:val="00584AE5"/>
    <w:rsid w:val="00586451"/>
    <w:rsid w:val="00586565"/>
    <w:rsid w:val="00594863"/>
    <w:rsid w:val="00595526"/>
    <w:rsid w:val="00595D6B"/>
    <w:rsid w:val="005977DD"/>
    <w:rsid w:val="005A2CF7"/>
    <w:rsid w:val="005A3A33"/>
    <w:rsid w:val="005A3E8B"/>
    <w:rsid w:val="005A55AC"/>
    <w:rsid w:val="005B267F"/>
    <w:rsid w:val="005B3CBC"/>
    <w:rsid w:val="005B5079"/>
    <w:rsid w:val="005B5DB3"/>
    <w:rsid w:val="005B790C"/>
    <w:rsid w:val="005C49EB"/>
    <w:rsid w:val="005D1CED"/>
    <w:rsid w:val="005D31F1"/>
    <w:rsid w:val="005D4A63"/>
    <w:rsid w:val="005D5C6A"/>
    <w:rsid w:val="005D7D5A"/>
    <w:rsid w:val="005E2C17"/>
    <w:rsid w:val="005E4BAC"/>
    <w:rsid w:val="005E620A"/>
    <w:rsid w:val="005E6830"/>
    <w:rsid w:val="005E68B4"/>
    <w:rsid w:val="005E7020"/>
    <w:rsid w:val="005E7F08"/>
    <w:rsid w:val="005F0A86"/>
    <w:rsid w:val="005F21AF"/>
    <w:rsid w:val="005F3249"/>
    <w:rsid w:val="005F4853"/>
    <w:rsid w:val="005F5F0A"/>
    <w:rsid w:val="0060130D"/>
    <w:rsid w:val="00610CD9"/>
    <w:rsid w:val="006122E2"/>
    <w:rsid w:val="00612F40"/>
    <w:rsid w:val="00613197"/>
    <w:rsid w:val="00613623"/>
    <w:rsid w:val="00615C67"/>
    <w:rsid w:val="00620EDD"/>
    <w:rsid w:val="00622886"/>
    <w:rsid w:val="0062670A"/>
    <w:rsid w:val="0063018F"/>
    <w:rsid w:val="00631797"/>
    <w:rsid w:val="006322FD"/>
    <w:rsid w:val="00632A91"/>
    <w:rsid w:val="0063420A"/>
    <w:rsid w:val="0063552F"/>
    <w:rsid w:val="00637AF9"/>
    <w:rsid w:val="0064024C"/>
    <w:rsid w:val="0064129F"/>
    <w:rsid w:val="00642538"/>
    <w:rsid w:val="00643AAD"/>
    <w:rsid w:val="006449B6"/>
    <w:rsid w:val="00645EA6"/>
    <w:rsid w:val="00645F21"/>
    <w:rsid w:val="00647BB7"/>
    <w:rsid w:val="00650B79"/>
    <w:rsid w:val="006522AA"/>
    <w:rsid w:val="0065455A"/>
    <w:rsid w:val="006545BA"/>
    <w:rsid w:val="00657231"/>
    <w:rsid w:val="006606BF"/>
    <w:rsid w:val="00664137"/>
    <w:rsid w:val="0066526E"/>
    <w:rsid w:val="006658F3"/>
    <w:rsid w:val="006663CC"/>
    <w:rsid w:val="00666403"/>
    <w:rsid w:val="006671F0"/>
    <w:rsid w:val="00667F8F"/>
    <w:rsid w:val="00670B01"/>
    <w:rsid w:val="00674F82"/>
    <w:rsid w:val="006766DD"/>
    <w:rsid w:val="00680297"/>
    <w:rsid w:val="00680C7B"/>
    <w:rsid w:val="00681692"/>
    <w:rsid w:val="006819F9"/>
    <w:rsid w:val="006826BA"/>
    <w:rsid w:val="00682FF8"/>
    <w:rsid w:val="006972A2"/>
    <w:rsid w:val="006A0786"/>
    <w:rsid w:val="006A4FBF"/>
    <w:rsid w:val="006B19AD"/>
    <w:rsid w:val="006B276B"/>
    <w:rsid w:val="006B542E"/>
    <w:rsid w:val="006B7028"/>
    <w:rsid w:val="006B7132"/>
    <w:rsid w:val="006B78E9"/>
    <w:rsid w:val="006C0968"/>
    <w:rsid w:val="006C0DFA"/>
    <w:rsid w:val="006C123E"/>
    <w:rsid w:val="006C1FA8"/>
    <w:rsid w:val="006C378F"/>
    <w:rsid w:val="006C6297"/>
    <w:rsid w:val="006D0964"/>
    <w:rsid w:val="006D13D9"/>
    <w:rsid w:val="006D25D4"/>
    <w:rsid w:val="006D2A63"/>
    <w:rsid w:val="006D2EA9"/>
    <w:rsid w:val="006D3B1E"/>
    <w:rsid w:val="006D5397"/>
    <w:rsid w:val="006D558E"/>
    <w:rsid w:val="006D7C7E"/>
    <w:rsid w:val="006E21F0"/>
    <w:rsid w:val="006E22E8"/>
    <w:rsid w:val="006E38C1"/>
    <w:rsid w:val="006E5741"/>
    <w:rsid w:val="006E6374"/>
    <w:rsid w:val="006E6A6C"/>
    <w:rsid w:val="006F2863"/>
    <w:rsid w:val="006F35FF"/>
    <w:rsid w:val="006F37D7"/>
    <w:rsid w:val="006F6D72"/>
    <w:rsid w:val="006F7ED6"/>
    <w:rsid w:val="006F7F07"/>
    <w:rsid w:val="00701466"/>
    <w:rsid w:val="0070189D"/>
    <w:rsid w:val="007078AC"/>
    <w:rsid w:val="00714D9F"/>
    <w:rsid w:val="007224E8"/>
    <w:rsid w:val="007257D7"/>
    <w:rsid w:val="00726D16"/>
    <w:rsid w:val="00731692"/>
    <w:rsid w:val="0073614C"/>
    <w:rsid w:val="00736F61"/>
    <w:rsid w:val="0073735F"/>
    <w:rsid w:val="007428D1"/>
    <w:rsid w:val="00742FA2"/>
    <w:rsid w:val="00743A33"/>
    <w:rsid w:val="007468A5"/>
    <w:rsid w:val="00747AC1"/>
    <w:rsid w:val="00750577"/>
    <w:rsid w:val="007531D6"/>
    <w:rsid w:val="00755A90"/>
    <w:rsid w:val="007600F6"/>
    <w:rsid w:val="00760EAD"/>
    <w:rsid w:val="00761CF5"/>
    <w:rsid w:val="00761D91"/>
    <w:rsid w:val="007633C0"/>
    <w:rsid w:val="007643E7"/>
    <w:rsid w:val="007661DF"/>
    <w:rsid w:val="007662C7"/>
    <w:rsid w:val="0076752B"/>
    <w:rsid w:val="0076790C"/>
    <w:rsid w:val="007733FB"/>
    <w:rsid w:val="00775968"/>
    <w:rsid w:val="00776306"/>
    <w:rsid w:val="007778E1"/>
    <w:rsid w:val="00780024"/>
    <w:rsid w:val="00781CA8"/>
    <w:rsid w:val="00781F40"/>
    <w:rsid w:val="00784266"/>
    <w:rsid w:val="007901EA"/>
    <w:rsid w:val="007916F2"/>
    <w:rsid w:val="0079187D"/>
    <w:rsid w:val="00792302"/>
    <w:rsid w:val="00795E2E"/>
    <w:rsid w:val="00796DE2"/>
    <w:rsid w:val="007A485D"/>
    <w:rsid w:val="007A5543"/>
    <w:rsid w:val="007A5621"/>
    <w:rsid w:val="007A5B44"/>
    <w:rsid w:val="007A79B5"/>
    <w:rsid w:val="007A7A59"/>
    <w:rsid w:val="007B1F10"/>
    <w:rsid w:val="007B385D"/>
    <w:rsid w:val="007B394A"/>
    <w:rsid w:val="007B6BCC"/>
    <w:rsid w:val="007B7E9F"/>
    <w:rsid w:val="007C7CBF"/>
    <w:rsid w:val="007D4DE4"/>
    <w:rsid w:val="007D646E"/>
    <w:rsid w:val="007D6EC0"/>
    <w:rsid w:val="007D7339"/>
    <w:rsid w:val="007E018D"/>
    <w:rsid w:val="007E0775"/>
    <w:rsid w:val="007E19B4"/>
    <w:rsid w:val="007E1C54"/>
    <w:rsid w:val="007E25F6"/>
    <w:rsid w:val="007E7067"/>
    <w:rsid w:val="007E7AA6"/>
    <w:rsid w:val="007F02ED"/>
    <w:rsid w:val="007F1984"/>
    <w:rsid w:val="007F1B71"/>
    <w:rsid w:val="007F1F27"/>
    <w:rsid w:val="007F32B1"/>
    <w:rsid w:val="007F34FD"/>
    <w:rsid w:val="007F5D31"/>
    <w:rsid w:val="007F6CCF"/>
    <w:rsid w:val="007F7B0E"/>
    <w:rsid w:val="0080086F"/>
    <w:rsid w:val="00802A0D"/>
    <w:rsid w:val="008037F2"/>
    <w:rsid w:val="00803A86"/>
    <w:rsid w:val="0080437D"/>
    <w:rsid w:val="008052E3"/>
    <w:rsid w:val="00806C99"/>
    <w:rsid w:val="00807880"/>
    <w:rsid w:val="00807E7D"/>
    <w:rsid w:val="00811044"/>
    <w:rsid w:val="008127CD"/>
    <w:rsid w:val="00813090"/>
    <w:rsid w:val="00816724"/>
    <w:rsid w:val="00816C92"/>
    <w:rsid w:val="008175BE"/>
    <w:rsid w:val="008231AA"/>
    <w:rsid w:val="00823F41"/>
    <w:rsid w:val="008252F4"/>
    <w:rsid w:val="0082662F"/>
    <w:rsid w:val="00830A35"/>
    <w:rsid w:val="00831675"/>
    <w:rsid w:val="00833D61"/>
    <w:rsid w:val="008357D6"/>
    <w:rsid w:val="008362A1"/>
    <w:rsid w:val="00836830"/>
    <w:rsid w:val="00837708"/>
    <w:rsid w:val="0084066B"/>
    <w:rsid w:val="00840B24"/>
    <w:rsid w:val="008436A5"/>
    <w:rsid w:val="00847403"/>
    <w:rsid w:val="008544C8"/>
    <w:rsid w:val="00856B93"/>
    <w:rsid w:val="00856F26"/>
    <w:rsid w:val="00857638"/>
    <w:rsid w:val="008605F2"/>
    <w:rsid w:val="00862C50"/>
    <w:rsid w:val="008647F0"/>
    <w:rsid w:val="00865554"/>
    <w:rsid w:val="00867D9A"/>
    <w:rsid w:val="00872640"/>
    <w:rsid w:val="008737DB"/>
    <w:rsid w:val="00874395"/>
    <w:rsid w:val="0087766C"/>
    <w:rsid w:val="00877B2F"/>
    <w:rsid w:val="00877F98"/>
    <w:rsid w:val="00882434"/>
    <w:rsid w:val="00883F37"/>
    <w:rsid w:val="00884499"/>
    <w:rsid w:val="0088467C"/>
    <w:rsid w:val="008852FC"/>
    <w:rsid w:val="008875EE"/>
    <w:rsid w:val="00887F98"/>
    <w:rsid w:val="00890F78"/>
    <w:rsid w:val="0089120D"/>
    <w:rsid w:val="0089226A"/>
    <w:rsid w:val="00894579"/>
    <w:rsid w:val="00896D58"/>
    <w:rsid w:val="008A07BC"/>
    <w:rsid w:val="008A274B"/>
    <w:rsid w:val="008A4370"/>
    <w:rsid w:val="008A5B67"/>
    <w:rsid w:val="008A65FA"/>
    <w:rsid w:val="008A7F9E"/>
    <w:rsid w:val="008B1DC1"/>
    <w:rsid w:val="008B4A8D"/>
    <w:rsid w:val="008B6845"/>
    <w:rsid w:val="008C50BD"/>
    <w:rsid w:val="008C7011"/>
    <w:rsid w:val="008D0E1D"/>
    <w:rsid w:val="008D1073"/>
    <w:rsid w:val="008D139E"/>
    <w:rsid w:val="008D1687"/>
    <w:rsid w:val="008D16F7"/>
    <w:rsid w:val="008D2378"/>
    <w:rsid w:val="008D34D7"/>
    <w:rsid w:val="008D3EAD"/>
    <w:rsid w:val="008D7186"/>
    <w:rsid w:val="008D72A2"/>
    <w:rsid w:val="008D74CF"/>
    <w:rsid w:val="008D7A64"/>
    <w:rsid w:val="008D7CEE"/>
    <w:rsid w:val="008D7CFF"/>
    <w:rsid w:val="008E03A8"/>
    <w:rsid w:val="008E1427"/>
    <w:rsid w:val="008E16B6"/>
    <w:rsid w:val="008E1C6B"/>
    <w:rsid w:val="008F174C"/>
    <w:rsid w:val="008F25EB"/>
    <w:rsid w:val="008F439E"/>
    <w:rsid w:val="008F5298"/>
    <w:rsid w:val="008F656F"/>
    <w:rsid w:val="009004F5"/>
    <w:rsid w:val="009016DB"/>
    <w:rsid w:val="00903DE7"/>
    <w:rsid w:val="00905A9B"/>
    <w:rsid w:val="00907904"/>
    <w:rsid w:val="00912BC2"/>
    <w:rsid w:val="00913977"/>
    <w:rsid w:val="009143A0"/>
    <w:rsid w:val="0091611A"/>
    <w:rsid w:val="009171D5"/>
    <w:rsid w:val="00917596"/>
    <w:rsid w:val="009227DC"/>
    <w:rsid w:val="0092345A"/>
    <w:rsid w:val="00926346"/>
    <w:rsid w:val="0092734F"/>
    <w:rsid w:val="00935B44"/>
    <w:rsid w:val="00936B1B"/>
    <w:rsid w:val="009373B1"/>
    <w:rsid w:val="00937D83"/>
    <w:rsid w:val="00941061"/>
    <w:rsid w:val="00943493"/>
    <w:rsid w:val="00944090"/>
    <w:rsid w:val="0094531B"/>
    <w:rsid w:val="00945C0D"/>
    <w:rsid w:val="00947DF2"/>
    <w:rsid w:val="00950C2E"/>
    <w:rsid w:val="00951F63"/>
    <w:rsid w:val="00954679"/>
    <w:rsid w:val="009547F0"/>
    <w:rsid w:val="009607AD"/>
    <w:rsid w:val="0096156F"/>
    <w:rsid w:val="0096358B"/>
    <w:rsid w:val="00963FB8"/>
    <w:rsid w:val="0096793D"/>
    <w:rsid w:val="00967DA7"/>
    <w:rsid w:val="00971187"/>
    <w:rsid w:val="00973CEB"/>
    <w:rsid w:val="00977610"/>
    <w:rsid w:val="00977ED6"/>
    <w:rsid w:val="00980D15"/>
    <w:rsid w:val="00983732"/>
    <w:rsid w:val="009875C6"/>
    <w:rsid w:val="0099009E"/>
    <w:rsid w:val="00990C70"/>
    <w:rsid w:val="009918B8"/>
    <w:rsid w:val="00993C0D"/>
    <w:rsid w:val="0099599E"/>
    <w:rsid w:val="0099677B"/>
    <w:rsid w:val="00996781"/>
    <w:rsid w:val="009A0253"/>
    <w:rsid w:val="009A5A79"/>
    <w:rsid w:val="009A5D66"/>
    <w:rsid w:val="009A793A"/>
    <w:rsid w:val="009B26E5"/>
    <w:rsid w:val="009B3DB3"/>
    <w:rsid w:val="009B446B"/>
    <w:rsid w:val="009C26ED"/>
    <w:rsid w:val="009C2AB5"/>
    <w:rsid w:val="009C30F3"/>
    <w:rsid w:val="009C7C7C"/>
    <w:rsid w:val="009D1E70"/>
    <w:rsid w:val="009D3C92"/>
    <w:rsid w:val="009D4BB3"/>
    <w:rsid w:val="009D7203"/>
    <w:rsid w:val="009D7757"/>
    <w:rsid w:val="009E2F86"/>
    <w:rsid w:val="009E49A0"/>
    <w:rsid w:val="009E4B20"/>
    <w:rsid w:val="009E78CC"/>
    <w:rsid w:val="009F0981"/>
    <w:rsid w:val="009F137F"/>
    <w:rsid w:val="009F30EB"/>
    <w:rsid w:val="009F3EA2"/>
    <w:rsid w:val="009F3FB5"/>
    <w:rsid w:val="00A000BF"/>
    <w:rsid w:val="00A01443"/>
    <w:rsid w:val="00A02E73"/>
    <w:rsid w:val="00A07215"/>
    <w:rsid w:val="00A07A3F"/>
    <w:rsid w:val="00A12209"/>
    <w:rsid w:val="00A163E1"/>
    <w:rsid w:val="00A23302"/>
    <w:rsid w:val="00A257E4"/>
    <w:rsid w:val="00A3065E"/>
    <w:rsid w:val="00A31110"/>
    <w:rsid w:val="00A31E17"/>
    <w:rsid w:val="00A3204E"/>
    <w:rsid w:val="00A321E9"/>
    <w:rsid w:val="00A33E82"/>
    <w:rsid w:val="00A34225"/>
    <w:rsid w:val="00A342D2"/>
    <w:rsid w:val="00A36953"/>
    <w:rsid w:val="00A36DF3"/>
    <w:rsid w:val="00A46C85"/>
    <w:rsid w:val="00A476BB"/>
    <w:rsid w:val="00A5026C"/>
    <w:rsid w:val="00A532DD"/>
    <w:rsid w:val="00A5463C"/>
    <w:rsid w:val="00A57418"/>
    <w:rsid w:val="00A60343"/>
    <w:rsid w:val="00A60959"/>
    <w:rsid w:val="00A634A9"/>
    <w:rsid w:val="00A63E68"/>
    <w:rsid w:val="00A653D2"/>
    <w:rsid w:val="00A66AA5"/>
    <w:rsid w:val="00A676FB"/>
    <w:rsid w:val="00A724A1"/>
    <w:rsid w:val="00A72E88"/>
    <w:rsid w:val="00A735A5"/>
    <w:rsid w:val="00A74047"/>
    <w:rsid w:val="00A74548"/>
    <w:rsid w:val="00A752D4"/>
    <w:rsid w:val="00A76E20"/>
    <w:rsid w:val="00A77F77"/>
    <w:rsid w:val="00A80BCF"/>
    <w:rsid w:val="00A81746"/>
    <w:rsid w:val="00A8369C"/>
    <w:rsid w:val="00A85329"/>
    <w:rsid w:val="00A8734B"/>
    <w:rsid w:val="00A874C1"/>
    <w:rsid w:val="00A90C9E"/>
    <w:rsid w:val="00A924C0"/>
    <w:rsid w:val="00A924C7"/>
    <w:rsid w:val="00A94302"/>
    <w:rsid w:val="00A94ABA"/>
    <w:rsid w:val="00A96271"/>
    <w:rsid w:val="00AA1689"/>
    <w:rsid w:val="00AA257E"/>
    <w:rsid w:val="00AA2B77"/>
    <w:rsid w:val="00AA3139"/>
    <w:rsid w:val="00AA73B9"/>
    <w:rsid w:val="00AB2923"/>
    <w:rsid w:val="00AB5E9B"/>
    <w:rsid w:val="00AC07C8"/>
    <w:rsid w:val="00AC0A58"/>
    <w:rsid w:val="00AC1D15"/>
    <w:rsid w:val="00AC25A9"/>
    <w:rsid w:val="00AC2997"/>
    <w:rsid w:val="00AC50E1"/>
    <w:rsid w:val="00AC70AB"/>
    <w:rsid w:val="00AC73EE"/>
    <w:rsid w:val="00AC7FE4"/>
    <w:rsid w:val="00AD033B"/>
    <w:rsid w:val="00AD0B8E"/>
    <w:rsid w:val="00AD0C03"/>
    <w:rsid w:val="00AD1937"/>
    <w:rsid w:val="00AD1F29"/>
    <w:rsid w:val="00AD33D5"/>
    <w:rsid w:val="00AD3AB6"/>
    <w:rsid w:val="00AE0190"/>
    <w:rsid w:val="00AE0248"/>
    <w:rsid w:val="00AE115B"/>
    <w:rsid w:val="00AE471B"/>
    <w:rsid w:val="00AE5200"/>
    <w:rsid w:val="00AE5402"/>
    <w:rsid w:val="00AE62CE"/>
    <w:rsid w:val="00AF06DF"/>
    <w:rsid w:val="00AF0D4A"/>
    <w:rsid w:val="00AF0F26"/>
    <w:rsid w:val="00AF39F8"/>
    <w:rsid w:val="00AF4929"/>
    <w:rsid w:val="00AF66FB"/>
    <w:rsid w:val="00AF763C"/>
    <w:rsid w:val="00B014A6"/>
    <w:rsid w:val="00B06ACA"/>
    <w:rsid w:val="00B07B0C"/>
    <w:rsid w:val="00B12D84"/>
    <w:rsid w:val="00B139F1"/>
    <w:rsid w:val="00B15F32"/>
    <w:rsid w:val="00B16418"/>
    <w:rsid w:val="00B168DC"/>
    <w:rsid w:val="00B21A20"/>
    <w:rsid w:val="00B25563"/>
    <w:rsid w:val="00B25611"/>
    <w:rsid w:val="00B25D27"/>
    <w:rsid w:val="00B26D48"/>
    <w:rsid w:val="00B369C0"/>
    <w:rsid w:val="00B37ED7"/>
    <w:rsid w:val="00B37FB2"/>
    <w:rsid w:val="00B40556"/>
    <w:rsid w:val="00B41732"/>
    <w:rsid w:val="00B42392"/>
    <w:rsid w:val="00B42BB5"/>
    <w:rsid w:val="00B42EE1"/>
    <w:rsid w:val="00B43413"/>
    <w:rsid w:val="00B45D4B"/>
    <w:rsid w:val="00B46D0A"/>
    <w:rsid w:val="00B4733E"/>
    <w:rsid w:val="00B47888"/>
    <w:rsid w:val="00B506FB"/>
    <w:rsid w:val="00B5123D"/>
    <w:rsid w:val="00B51DFF"/>
    <w:rsid w:val="00B5292A"/>
    <w:rsid w:val="00B53ED6"/>
    <w:rsid w:val="00B56659"/>
    <w:rsid w:val="00B56AB0"/>
    <w:rsid w:val="00B57C08"/>
    <w:rsid w:val="00B60B88"/>
    <w:rsid w:val="00B61461"/>
    <w:rsid w:val="00B62EDB"/>
    <w:rsid w:val="00B64B89"/>
    <w:rsid w:val="00B64F22"/>
    <w:rsid w:val="00B65DF9"/>
    <w:rsid w:val="00B65FEE"/>
    <w:rsid w:val="00B72ED7"/>
    <w:rsid w:val="00B737B1"/>
    <w:rsid w:val="00B73CFF"/>
    <w:rsid w:val="00B751BE"/>
    <w:rsid w:val="00B77457"/>
    <w:rsid w:val="00B82F47"/>
    <w:rsid w:val="00B84102"/>
    <w:rsid w:val="00B846B3"/>
    <w:rsid w:val="00B84DF6"/>
    <w:rsid w:val="00B864F6"/>
    <w:rsid w:val="00B868DB"/>
    <w:rsid w:val="00B87B64"/>
    <w:rsid w:val="00B91828"/>
    <w:rsid w:val="00B92385"/>
    <w:rsid w:val="00B92478"/>
    <w:rsid w:val="00B928B9"/>
    <w:rsid w:val="00B93048"/>
    <w:rsid w:val="00B9373F"/>
    <w:rsid w:val="00B944EC"/>
    <w:rsid w:val="00BA0657"/>
    <w:rsid w:val="00BA115F"/>
    <w:rsid w:val="00BA3A94"/>
    <w:rsid w:val="00BA4255"/>
    <w:rsid w:val="00BA6AAD"/>
    <w:rsid w:val="00BB06D9"/>
    <w:rsid w:val="00BB3784"/>
    <w:rsid w:val="00BB419A"/>
    <w:rsid w:val="00BB4453"/>
    <w:rsid w:val="00BB479E"/>
    <w:rsid w:val="00BB4F03"/>
    <w:rsid w:val="00BB52A2"/>
    <w:rsid w:val="00BC059F"/>
    <w:rsid w:val="00BC14A0"/>
    <w:rsid w:val="00BC3D49"/>
    <w:rsid w:val="00BC4452"/>
    <w:rsid w:val="00BC4EF8"/>
    <w:rsid w:val="00BC7753"/>
    <w:rsid w:val="00BD1CE4"/>
    <w:rsid w:val="00BD5241"/>
    <w:rsid w:val="00BD61A2"/>
    <w:rsid w:val="00BD6233"/>
    <w:rsid w:val="00BE169D"/>
    <w:rsid w:val="00BE1758"/>
    <w:rsid w:val="00BE484D"/>
    <w:rsid w:val="00BE5DCD"/>
    <w:rsid w:val="00BF36D1"/>
    <w:rsid w:val="00BF4B71"/>
    <w:rsid w:val="00BF6728"/>
    <w:rsid w:val="00C03EE5"/>
    <w:rsid w:val="00C0725D"/>
    <w:rsid w:val="00C103F2"/>
    <w:rsid w:val="00C11F99"/>
    <w:rsid w:val="00C12020"/>
    <w:rsid w:val="00C13C19"/>
    <w:rsid w:val="00C14650"/>
    <w:rsid w:val="00C15033"/>
    <w:rsid w:val="00C15493"/>
    <w:rsid w:val="00C164F6"/>
    <w:rsid w:val="00C17E3D"/>
    <w:rsid w:val="00C20A19"/>
    <w:rsid w:val="00C214E8"/>
    <w:rsid w:val="00C22108"/>
    <w:rsid w:val="00C23A81"/>
    <w:rsid w:val="00C251F3"/>
    <w:rsid w:val="00C30187"/>
    <w:rsid w:val="00C35CA4"/>
    <w:rsid w:val="00C37915"/>
    <w:rsid w:val="00C37E05"/>
    <w:rsid w:val="00C40153"/>
    <w:rsid w:val="00C412C7"/>
    <w:rsid w:val="00C41D6D"/>
    <w:rsid w:val="00C44524"/>
    <w:rsid w:val="00C44C1A"/>
    <w:rsid w:val="00C47317"/>
    <w:rsid w:val="00C503AF"/>
    <w:rsid w:val="00C51110"/>
    <w:rsid w:val="00C51A07"/>
    <w:rsid w:val="00C51E7E"/>
    <w:rsid w:val="00C5441B"/>
    <w:rsid w:val="00C54903"/>
    <w:rsid w:val="00C55BCF"/>
    <w:rsid w:val="00C55D29"/>
    <w:rsid w:val="00C6064D"/>
    <w:rsid w:val="00C60DDD"/>
    <w:rsid w:val="00C62545"/>
    <w:rsid w:val="00C631F6"/>
    <w:rsid w:val="00C64280"/>
    <w:rsid w:val="00C7290D"/>
    <w:rsid w:val="00C75463"/>
    <w:rsid w:val="00C81994"/>
    <w:rsid w:val="00C81A55"/>
    <w:rsid w:val="00C825C2"/>
    <w:rsid w:val="00C82FD5"/>
    <w:rsid w:val="00C84539"/>
    <w:rsid w:val="00C9118A"/>
    <w:rsid w:val="00C915EB"/>
    <w:rsid w:val="00C9325B"/>
    <w:rsid w:val="00C94397"/>
    <w:rsid w:val="00C95302"/>
    <w:rsid w:val="00CA0BE9"/>
    <w:rsid w:val="00CA138D"/>
    <w:rsid w:val="00CA63F6"/>
    <w:rsid w:val="00CB06C6"/>
    <w:rsid w:val="00CB1B0D"/>
    <w:rsid w:val="00CB1EB6"/>
    <w:rsid w:val="00CB5863"/>
    <w:rsid w:val="00CC1FB3"/>
    <w:rsid w:val="00CC7641"/>
    <w:rsid w:val="00CC7FFE"/>
    <w:rsid w:val="00CD0C40"/>
    <w:rsid w:val="00CD0FCD"/>
    <w:rsid w:val="00CD1949"/>
    <w:rsid w:val="00CD2C93"/>
    <w:rsid w:val="00CD596C"/>
    <w:rsid w:val="00CD61CD"/>
    <w:rsid w:val="00CD6689"/>
    <w:rsid w:val="00CD74A7"/>
    <w:rsid w:val="00CE14D4"/>
    <w:rsid w:val="00CE4746"/>
    <w:rsid w:val="00CE4AFA"/>
    <w:rsid w:val="00CE6079"/>
    <w:rsid w:val="00CE69E3"/>
    <w:rsid w:val="00CE789A"/>
    <w:rsid w:val="00CE7B7D"/>
    <w:rsid w:val="00CF14A9"/>
    <w:rsid w:val="00CF2217"/>
    <w:rsid w:val="00CF2979"/>
    <w:rsid w:val="00CF4FAD"/>
    <w:rsid w:val="00CF5729"/>
    <w:rsid w:val="00D01515"/>
    <w:rsid w:val="00D018D5"/>
    <w:rsid w:val="00D02891"/>
    <w:rsid w:val="00D028D0"/>
    <w:rsid w:val="00D02984"/>
    <w:rsid w:val="00D03FB5"/>
    <w:rsid w:val="00D05376"/>
    <w:rsid w:val="00D055FE"/>
    <w:rsid w:val="00D05E63"/>
    <w:rsid w:val="00D10B8D"/>
    <w:rsid w:val="00D10D12"/>
    <w:rsid w:val="00D11FA6"/>
    <w:rsid w:val="00D12A6D"/>
    <w:rsid w:val="00D13794"/>
    <w:rsid w:val="00D14C13"/>
    <w:rsid w:val="00D16486"/>
    <w:rsid w:val="00D177CB"/>
    <w:rsid w:val="00D17ABB"/>
    <w:rsid w:val="00D20890"/>
    <w:rsid w:val="00D23D49"/>
    <w:rsid w:val="00D24052"/>
    <w:rsid w:val="00D2425B"/>
    <w:rsid w:val="00D24386"/>
    <w:rsid w:val="00D25024"/>
    <w:rsid w:val="00D279CC"/>
    <w:rsid w:val="00D30A3D"/>
    <w:rsid w:val="00D31575"/>
    <w:rsid w:val="00D33A02"/>
    <w:rsid w:val="00D33E06"/>
    <w:rsid w:val="00D34515"/>
    <w:rsid w:val="00D34626"/>
    <w:rsid w:val="00D40888"/>
    <w:rsid w:val="00D4257A"/>
    <w:rsid w:val="00D42C7B"/>
    <w:rsid w:val="00D4448A"/>
    <w:rsid w:val="00D47D67"/>
    <w:rsid w:val="00D50653"/>
    <w:rsid w:val="00D52E5C"/>
    <w:rsid w:val="00D53FEB"/>
    <w:rsid w:val="00D5431E"/>
    <w:rsid w:val="00D54B89"/>
    <w:rsid w:val="00D54F7C"/>
    <w:rsid w:val="00D551A1"/>
    <w:rsid w:val="00D576EE"/>
    <w:rsid w:val="00D6099B"/>
    <w:rsid w:val="00D61489"/>
    <w:rsid w:val="00D62665"/>
    <w:rsid w:val="00D64613"/>
    <w:rsid w:val="00D64666"/>
    <w:rsid w:val="00D6473A"/>
    <w:rsid w:val="00D64CC8"/>
    <w:rsid w:val="00D70710"/>
    <w:rsid w:val="00D70BE8"/>
    <w:rsid w:val="00D725DF"/>
    <w:rsid w:val="00D73CFD"/>
    <w:rsid w:val="00D758B8"/>
    <w:rsid w:val="00D84C9C"/>
    <w:rsid w:val="00D85E80"/>
    <w:rsid w:val="00D879E5"/>
    <w:rsid w:val="00D9224B"/>
    <w:rsid w:val="00DA0020"/>
    <w:rsid w:val="00DA0701"/>
    <w:rsid w:val="00DA17FE"/>
    <w:rsid w:val="00DA22A9"/>
    <w:rsid w:val="00DA2D8C"/>
    <w:rsid w:val="00DA5010"/>
    <w:rsid w:val="00DB059D"/>
    <w:rsid w:val="00DB27CE"/>
    <w:rsid w:val="00DB2D5D"/>
    <w:rsid w:val="00DB3B3C"/>
    <w:rsid w:val="00DB5956"/>
    <w:rsid w:val="00DC0513"/>
    <w:rsid w:val="00DC05B9"/>
    <w:rsid w:val="00DC0CDE"/>
    <w:rsid w:val="00DC1738"/>
    <w:rsid w:val="00DC31D9"/>
    <w:rsid w:val="00DC4D72"/>
    <w:rsid w:val="00DC4F9F"/>
    <w:rsid w:val="00DC51AE"/>
    <w:rsid w:val="00DC668D"/>
    <w:rsid w:val="00DC73CB"/>
    <w:rsid w:val="00DD0321"/>
    <w:rsid w:val="00DD0D30"/>
    <w:rsid w:val="00DD1690"/>
    <w:rsid w:val="00DD4971"/>
    <w:rsid w:val="00DD6C7C"/>
    <w:rsid w:val="00DE23A7"/>
    <w:rsid w:val="00DE58B0"/>
    <w:rsid w:val="00DE7259"/>
    <w:rsid w:val="00DE74BC"/>
    <w:rsid w:val="00DF6690"/>
    <w:rsid w:val="00DF6851"/>
    <w:rsid w:val="00DF6FEC"/>
    <w:rsid w:val="00DF7254"/>
    <w:rsid w:val="00E02C6D"/>
    <w:rsid w:val="00E03D38"/>
    <w:rsid w:val="00E0624D"/>
    <w:rsid w:val="00E06BE4"/>
    <w:rsid w:val="00E07188"/>
    <w:rsid w:val="00E11C0D"/>
    <w:rsid w:val="00E134A6"/>
    <w:rsid w:val="00E208E5"/>
    <w:rsid w:val="00E20B0D"/>
    <w:rsid w:val="00E215CF"/>
    <w:rsid w:val="00E218E7"/>
    <w:rsid w:val="00E220E4"/>
    <w:rsid w:val="00E22772"/>
    <w:rsid w:val="00E24F2E"/>
    <w:rsid w:val="00E24F9A"/>
    <w:rsid w:val="00E25841"/>
    <w:rsid w:val="00E260DA"/>
    <w:rsid w:val="00E2667D"/>
    <w:rsid w:val="00E26B1D"/>
    <w:rsid w:val="00E27E31"/>
    <w:rsid w:val="00E301D4"/>
    <w:rsid w:val="00E319F0"/>
    <w:rsid w:val="00E32D9C"/>
    <w:rsid w:val="00E34167"/>
    <w:rsid w:val="00E34B83"/>
    <w:rsid w:val="00E34CBC"/>
    <w:rsid w:val="00E3771F"/>
    <w:rsid w:val="00E426B7"/>
    <w:rsid w:val="00E442E5"/>
    <w:rsid w:val="00E4438C"/>
    <w:rsid w:val="00E44D86"/>
    <w:rsid w:val="00E45055"/>
    <w:rsid w:val="00E457F3"/>
    <w:rsid w:val="00E45936"/>
    <w:rsid w:val="00E45969"/>
    <w:rsid w:val="00E53EAD"/>
    <w:rsid w:val="00E5510B"/>
    <w:rsid w:val="00E56D55"/>
    <w:rsid w:val="00E5787E"/>
    <w:rsid w:val="00E57B08"/>
    <w:rsid w:val="00E57C46"/>
    <w:rsid w:val="00E63F27"/>
    <w:rsid w:val="00E65C9C"/>
    <w:rsid w:val="00E66996"/>
    <w:rsid w:val="00E674F9"/>
    <w:rsid w:val="00E74373"/>
    <w:rsid w:val="00E743C3"/>
    <w:rsid w:val="00E74C35"/>
    <w:rsid w:val="00E74F0B"/>
    <w:rsid w:val="00E75B8F"/>
    <w:rsid w:val="00E77ACC"/>
    <w:rsid w:val="00E85A7C"/>
    <w:rsid w:val="00E87DD8"/>
    <w:rsid w:val="00E9355A"/>
    <w:rsid w:val="00E93B18"/>
    <w:rsid w:val="00E942C5"/>
    <w:rsid w:val="00E950A2"/>
    <w:rsid w:val="00E96C1A"/>
    <w:rsid w:val="00EA1B8D"/>
    <w:rsid w:val="00EA3214"/>
    <w:rsid w:val="00EA4719"/>
    <w:rsid w:val="00EA506E"/>
    <w:rsid w:val="00EB49E9"/>
    <w:rsid w:val="00EB621D"/>
    <w:rsid w:val="00EB622D"/>
    <w:rsid w:val="00EB7E71"/>
    <w:rsid w:val="00EC0872"/>
    <w:rsid w:val="00EC09A2"/>
    <w:rsid w:val="00EC1123"/>
    <w:rsid w:val="00EC163B"/>
    <w:rsid w:val="00EC25DF"/>
    <w:rsid w:val="00EC2660"/>
    <w:rsid w:val="00EC38BF"/>
    <w:rsid w:val="00EC3AFB"/>
    <w:rsid w:val="00ED0B23"/>
    <w:rsid w:val="00ED76EA"/>
    <w:rsid w:val="00EE32F4"/>
    <w:rsid w:val="00EE3D92"/>
    <w:rsid w:val="00EE51F3"/>
    <w:rsid w:val="00EE5FB1"/>
    <w:rsid w:val="00EE6761"/>
    <w:rsid w:val="00EE7C86"/>
    <w:rsid w:val="00EF1AC2"/>
    <w:rsid w:val="00EF39AB"/>
    <w:rsid w:val="00EF40B1"/>
    <w:rsid w:val="00EF632D"/>
    <w:rsid w:val="00EF6939"/>
    <w:rsid w:val="00F02C99"/>
    <w:rsid w:val="00F03F8C"/>
    <w:rsid w:val="00F03FCD"/>
    <w:rsid w:val="00F04FB8"/>
    <w:rsid w:val="00F05A3A"/>
    <w:rsid w:val="00F07D58"/>
    <w:rsid w:val="00F109D4"/>
    <w:rsid w:val="00F11FD4"/>
    <w:rsid w:val="00F16D45"/>
    <w:rsid w:val="00F16E14"/>
    <w:rsid w:val="00F21AF3"/>
    <w:rsid w:val="00F23B87"/>
    <w:rsid w:val="00F2490D"/>
    <w:rsid w:val="00F24FDE"/>
    <w:rsid w:val="00F25FFA"/>
    <w:rsid w:val="00F26951"/>
    <w:rsid w:val="00F26C3F"/>
    <w:rsid w:val="00F300FA"/>
    <w:rsid w:val="00F33A1D"/>
    <w:rsid w:val="00F42476"/>
    <w:rsid w:val="00F42A9A"/>
    <w:rsid w:val="00F47033"/>
    <w:rsid w:val="00F47585"/>
    <w:rsid w:val="00F551BF"/>
    <w:rsid w:val="00F56CFE"/>
    <w:rsid w:val="00F625E6"/>
    <w:rsid w:val="00F65163"/>
    <w:rsid w:val="00F66AF3"/>
    <w:rsid w:val="00F67DFE"/>
    <w:rsid w:val="00F71476"/>
    <w:rsid w:val="00F740A9"/>
    <w:rsid w:val="00F74986"/>
    <w:rsid w:val="00F74E2E"/>
    <w:rsid w:val="00F8069E"/>
    <w:rsid w:val="00F81B85"/>
    <w:rsid w:val="00F820A0"/>
    <w:rsid w:val="00F85E6F"/>
    <w:rsid w:val="00F869AF"/>
    <w:rsid w:val="00F8725A"/>
    <w:rsid w:val="00F91357"/>
    <w:rsid w:val="00FA1238"/>
    <w:rsid w:val="00FA2A76"/>
    <w:rsid w:val="00FA69B2"/>
    <w:rsid w:val="00FA73A4"/>
    <w:rsid w:val="00FA747B"/>
    <w:rsid w:val="00FA7517"/>
    <w:rsid w:val="00FB0822"/>
    <w:rsid w:val="00FB0BE8"/>
    <w:rsid w:val="00FB203E"/>
    <w:rsid w:val="00FB2BFC"/>
    <w:rsid w:val="00FB393A"/>
    <w:rsid w:val="00FB70DE"/>
    <w:rsid w:val="00FC08E7"/>
    <w:rsid w:val="00FC116F"/>
    <w:rsid w:val="00FC1412"/>
    <w:rsid w:val="00FC1C5E"/>
    <w:rsid w:val="00FC58FA"/>
    <w:rsid w:val="00FC69E8"/>
    <w:rsid w:val="00FD0211"/>
    <w:rsid w:val="00FD21F7"/>
    <w:rsid w:val="00FD29B6"/>
    <w:rsid w:val="00FD2AC3"/>
    <w:rsid w:val="00FD40AA"/>
    <w:rsid w:val="00FD454B"/>
    <w:rsid w:val="00FD5EE7"/>
    <w:rsid w:val="00FE04E4"/>
    <w:rsid w:val="00FE34EB"/>
    <w:rsid w:val="00FE377B"/>
    <w:rsid w:val="00FE4963"/>
    <w:rsid w:val="00FE62CE"/>
    <w:rsid w:val="00FE67C9"/>
    <w:rsid w:val="00FE73F9"/>
    <w:rsid w:val="00FE7A51"/>
    <w:rsid w:val="00FF1057"/>
    <w:rsid w:val="00FF207C"/>
    <w:rsid w:val="00FF2264"/>
    <w:rsid w:val="00FF22DC"/>
    <w:rsid w:val="00FF3E25"/>
    <w:rsid w:val="00FF6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44811"/>
  <w15:docId w15:val="{CC6CA96E-E0E3-42A5-8357-673606D1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Normal"/>
    <w:next w:val="base-text-paragraph"/>
    <w:qFormat/>
    <w:rsid w:val="00C60DDD"/>
    <w:pPr>
      <w:keepNext/>
      <w:spacing w:before="24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3916BB"/>
    <w:rPr>
      <w:sz w:val="24"/>
    </w:rPr>
  </w:style>
  <w:style w:type="paragraph" w:customStyle="1" w:styleId="Tabletext">
    <w:name w:val="Tabletext"/>
    <w:aliases w:val="tt"/>
    <w:basedOn w:val="Normal"/>
    <w:rsid w:val="00421447"/>
    <w:pPr>
      <w:spacing w:before="60" w:after="0" w:line="240" w:lineRule="atLeast"/>
    </w:pPr>
    <w:rPr>
      <w:sz w:val="20"/>
    </w:rPr>
  </w:style>
  <w:style w:type="paragraph" w:customStyle="1" w:styleId="TableHeading">
    <w:name w:val="TableHeading"/>
    <w:aliases w:val="th"/>
    <w:basedOn w:val="Normal"/>
    <w:next w:val="Tabletext"/>
    <w:rsid w:val="00421447"/>
    <w:pPr>
      <w:keepNext/>
      <w:spacing w:before="60" w:after="0" w:line="240" w:lineRule="atLeast"/>
    </w:pPr>
    <w:rPr>
      <w:b/>
      <w:sz w:val="20"/>
    </w:rPr>
  </w:style>
  <w:style w:type="paragraph" w:customStyle="1" w:styleId="Heading5">
    <w:name w:val="Heading_5"/>
    <w:basedOn w:val="Normal"/>
    <w:qFormat/>
    <w:rsid w:val="00E03D38"/>
    <w:pPr>
      <w:keepNext/>
      <w:keepLines/>
      <w:spacing w:before="240"/>
    </w:pPr>
    <w:rPr>
      <w:i/>
    </w:rPr>
  </w:style>
  <w:style w:type="table" w:styleId="TableGrid">
    <w:name w:val="Table Grid"/>
    <w:basedOn w:val="TableNormal"/>
    <w:uiPriority w:val="59"/>
    <w:rsid w:val="008E03A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7259"/>
    <w:rPr>
      <w:sz w:val="24"/>
    </w:rPr>
  </w:style>
  <w:style w:type="paragraph" w:customStyle="1" w:styleId="SecurityClassificationHeader">
    <w:name w:val="Security Classification Header"/>
    <w:link w:val="SecurityClassificationHeaderChar"/>
    <w:rsid w:val="00116C96"/>
    <w:pPr>
      <w:spacing w:before="240" w:after="60"/>
      <w:jc w:val="center"/>
    </w:pPr>
    <w:rPr>
      <w:rFonts w:ascii="Calibri" w:hAnsi="Calibri"/>
      <w:b/>
      <w:caps/>
      <w:sz w:val="24"/>
    </w:rPr>
  </w:style>
  <w:style w:type="character" w:customStyle="1" w:styleId="SecurityClassificationHeaderChar">
    <w:name w:val="Security Classification Header Char"/>
    <w:basedOn w:val="HeaderChar"/>
    <w:link w:val="SecurityClassificationHeader"/>
    <w:rsid w:val="00116C96"/>
    <w:rPr>
      <w:rFonts w:ascii="Calibri" w:hAnsi="Calibri"/>
      <w:b/>
      <w:caps/>
      <w:sz w:val="24"/>
    </w:rPr>
  </w:style>
  <w:style w:type="paragraph" w:customStyle="1" w:styleId="SecurityClassificationFooter">
    <w:name w:val="Security Classification Footer"/>
    <w:link w:val="SecurityClassificationFooterChar"/>
    <w:rsid w:val="00116C96"/>
    <w:pPr>
      <w:spacing w:before="60" w:after="240"/>
      <w:jc w:val="center"/>
    </w:pPr>
    <w:rPr>
      <w:rFonts w:ascii="Calibri" w:hAnsi="Calibri"/>
      <w:b/>
      <w:caps/>
      <w:sz w:val="24"/>
    </w:rPr>
  </w:style>
  <w:style w:type="character" w:customStyle="1" w:styleId="SecurityClassificationFooterChar">
    <w:name w:val="Security Classification Footer Char"/>
    <w:basedOn w:val="HeaderChar"/>
    <w:link w:val="SecurityClassificationFooter"/>
    <w:rsid w:val="00116C96"/>
    <w:rPr>
      <w:rFonts w:ascii="Calibri" w:hAnsi="Calibri"/>
      <w:b/>
      <w:caps/>
      <w:sz w:val="24"/>
    </w:rPr>
  </w:style>
  <w:style w:type="paragraph" w:customStyle="1" w:styleId="DLMSecurityHeader">
    <w:name w:val="DLM Security Header"/>
    <w:link w:val="DLMSecurityHeaderChar"/>
    <w:rsid w:val="00116C96"/>
    <w:pPr>
      <w:spacing w:before="60" w:after="240"/>
      <w:jc w:val="center"/>
    </w:pPr>
    <w:rPr>
      <w:rFonts w:ascii="Calibri" w:hAnsi="Calibri"/>
      <w:b/>
      <w:caps/>
      <w:sz w:val="24"/>
    </w:rPr>
  </w:style>
  <w:style w:type="character" w:customStyle="1" w:styleId="DLMSecurityHeaderChar">
    <w:name w:val="DLM Security Header Char"/>
    <w:basedOn w:val="HeaderChar"/>
    <w:link w:val="DLMSecurityHeader"/>
    <w:rsid w:val="00116C96"/>
    <w:rPr>
      <w:rFonts w:ascii="Calibri" w:hAnsi="Calibri"/>
      <w:b/>
      <w:caps/>
      <w:sz w:val="24"/>
    </w:rPr>
  </w:style>
  <w:style w:type="paragraph" w:customStyle="1" w:styleId="DLMSecurityFooter">
    <w:name w:val="DLM Security Footer"/>
    <w:link w:val="DLMSecurityFooterChar"/>
    <w:rsid w:val="00116C96"/>
    <w:pPr>
      <w:spacing w:before="240" w:after="60"/>
      <w:jc w:val="center"/>
    </w:pPr>
    <w:rPr>
      <w:rFonts w:ascii="Calibri" w:hAnsi="Calibri"/>
      <w:b/>
      <w:caps/>
      <w:sz w:val="24"/>
    </w:rPr>
  </w:style>
  <w:style w:type="character" w:customStyle="1" w:styleId="DLMSecurityFooterChar">
    <w:name w:val="DLM Security Footer Char"/>
    <w:basedOn w:val="HeaderChar"/>
    <w:link w:val="DLMSecurityFooter"/>
    <w:rsid w:val="00116C96"/>
    <w:rPr>
      <w:rFonts w:ascii="Calibri" w:hAnsi="Calibri"/>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231909">
      <w:bodyDiv w:val="1"/>
      <w:marLeft w:val="0"/>
      <w:marRight w:val="0"/>
      <w:marTop w:val="0"/>
      <w:marBottom w:val="0"/>
      <w:divBdr>
        <w:top w:val="none" w:sz="0" w:space="0" w:color="auto"/>
        <w:left w:val="none" w:sz="0" w:space="0" w:color="auto"/>
        <w:bottom w:val="none" w:sz="0" w:space="0" w:color="auto"/>
        <w:right w:val="none" w:sz="0" w:space="0" w:color="auto"/>
      </w:divBdr>
    </w:div>
    <w:div w:id="1038428227">
      <w:bodyDiv w:val="1"/>
      <w:marLeft w:val="0"/>
      <w:marRight w:val="0"/>
      <w:marTop w:val="0"/>
      <w:marBottom w:val="0"/>
      <w:divBdr>
        <w:top w:val="none" w:sz="0" w:space="0" w:color="auto"/>
        <w:left w:val="none" w:sz="0" w:space="0" w:color="auto"/>
        <w:bottom w:val="none" w:sz="0" w:space="0" w:color="auto"/>
        <w:right w:val="none" w:sz="0" w:space="0" w:color="auto"/>
      </w:divBdr>
    </w:div>
    <w:div w:id="1268587813">
      <w:bodyDiv w:val="1"/>
      <w:marLeft w:val="0"/>
      <w:marRight w:val="0"/>
      <w:marTop w:val="0"/>
      <w:marBottom w:val="0"/>
      <w:divBdr>
        <w:top w:val="none" w:sz="0" w:space="0" w:color="auto"/>
        <w:left w:val="none" w:sz="0" w:space="0" w:color="auto"/>
        <w:bottom w:val="none" w:sz="0" w:space="0" w:color="auto"/>
        <w:right w:val="none" w:sz="0" w:space="0" w:color="auto"/>
      </w:divBdr>
    </w:div>
    <w:div w:id="1518420744">
      <w:bodyDiv w:val="1"/>
      <w:marLeft w:val="0"/>
      <w:marRight w:val="0"/>
      <w:marTop w:val="0"/>
      <w:marBottom w:val="0"/>
      <w:divBdr>
        <w:top w:val="none" w:sz="0" w:space="0" w:color="auto"/>
        <w:left w:val="none" w:sz="0" w:space="0" w:color="auto"/>
        <w:bottom w:val="none" w:sz="0" w:space="0" w:color="auto"/>
        <w:right w:val="none" w:sz="0" w:space="0" w:color="auto"/>
      </w:divBdr>
    </w:div>
    <w:div w:id="154980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bs.gov.au/websitedbs/D3310114.nsf/home/Australian+Statistical+Geography+Standard+(ASG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0EF5A1D2AC493B8F395B1937275623"/>
        <w:category>
          <w:name w:val="General"/>
          <w:gallery w:val="placeholder"/>
        </w:category>
        <w:types>
          <w:type w:val="bbPlcHdr"/>
        </w:types>
        <w:behaviors>
          <w:behavior w:val="content"/>
        </w:behaviors>
        <w:guid w:val="{04888690-E175-43DB-8708-44CC10E2AA8E}"/>
      </w:docPartPr>
      <w:docPartBody>
        <w:p w:rsidR="00000000" w:rsidRDefault="007472F6" w:rsidP="007472F6">
          <w:pPr>
            <w:pStyle w:val="980EF5A1D2AC493B8F395B1937275623"/>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2F6"/>
    <w:rsid w:val="007472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2F6"/>
    <w:rPr>
      <w:color w:val="808080"/>
    </w:rPr>
  </w:style>
  <w:style w:type="paragraph" w:customStyle="1" w:styleId="980EF5A1D2AC493B8F395B1937275623">
    <w:name w:val="980EF5A1D2AC493B8F395B1937275623"/>
    <w:rsid w:val="00747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25</Value>
    </TaxCatchAll>
    <_dlc_DocId xmlns="0f563589-9cf9-4143-b1eb-fb0534803d38">2019FG-1976230308-1063</_dlc_DocId>
    <_dlc_DocIdUrl xmlns="0f563589-9cf9-4143-b1eb-fb0534803d38">
      <Url>http://tweb/sites/fg/spd/_layouts/15/DocIdRedir.aspx?ID=2019FG-1976230308-1063</Url>
      <Description>2019FG-1976230308-1063</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14635FEAAEE3349A6225A0F17C44A6F" ma:contentTypeVersion="23784" ma:contentTypeDescription="" ma:contentTypeScope="" ma:versionID="d203a069018203eb2d547fe9b70b66c2">
  <xsd:schema xmlns:xsd="http://www.w3.org/2001/XMLSchema" xmlns:xs="http://www.w3.org/2001/XMLSchema" xmlns:p="http://schemas.microsoft.com/office/2006/metadata/properties" xmlns:ns1="http://schemas.microsoft.com/sharepoint/v3" xmlns:ns2="0f563589-9cf9-4143-b1eb-fb0534803d38" xmlns:ns3="e544e5cc-ab70-42e1-849e-1a0f8bb1f4ef" targetNamespace="http://schemas.microsoft.com/office/2006/metadata/properties" ma:root="true" ma:fieldsID="b8520b2a9f1c4a61d617612f4d1c0803" ns1:_="" ns2:_="" ns3:_="">
    <xsd:import namespace="http://schemas.microsoft.com/sharepoint/v3"/>
    <xsd:import namespace="0f563589-9cf9-4143-b1eb-fb0534803d38"/>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687b78b0-2ddd-4441-8a8b-c9638c2a1939"/>
    <ds:schemaRef ds:uri="http://purl.org/dc/elements/1.1/"/>
    <ds:schemaRef ds:uri="http://purl.org/dc/terms/"/>
    <ds:schemaRef ds:uri="http://schemas.microsoft.com/office/2006/documentManagement/types"/>
    <ds:schemaRef ds:uri="http://schemas.microsoft.com/sharepoint/v4"/>
    <ds:schemaRef ds:uri="http://www.w3.org/XML/1998/namespace"/>
    <ds:schemaRef ds:uri="http://purl.org/dc/dcmitype/"/>
    <ds:schemaRef ds:uri="0f563589-9cf9-4143-b1eb-fb0534803d38"/>
    <ds:schemaRef ds:uri="9f7bc583-7cbe-45b9-a2bd-8bbb6543b37e"/>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0EBC069B-CAA3-4691-A9E9-E7A08D9D1FF3}"/>
</file>

<file path=customXml/itemProps3.xml><?xml version="1.0" encoding="utf-8"?>
<ds:datastoreItem xmlns:ds="http://schemas.openxmlformats.org/officeDocument/2006/customXml" ds:itemID="{2EC981E0-0B2E-44AE-8A55-BEA8936F9872}"/>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988C8858-70E2-4C9C-B4EE-EADA248876CA}"/>
</file>

<file path=customXml/itemProps6.xml><?xml version="1.0" encoding="utf-8"?>
<ds:datastoreItem xmlns:ds="http://schemas.openxmlformats.org/officeDocument/2006/customXml" ds:itemID="{D3C711C8-7D10-42C2-90AD-65090DD9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14</Pages>
  <Words>5269</Words>
  <Characters>27502</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32706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Murphy, Jesse</dc:creator>
  <cp:lastModifiedBy>Burke, Liam</cp:lastModifiedBy>
  <cp:revision>7</cp:revision>
  <cp:lastPrinted>2019-10-03T05:51:00Z</cp:lastPrinted>
  <dcterms:created xsi:type="dcterms:W3CDTF">2019-10-24T23:18:00Z</dcterms:created>
  <dcterms:modified xsi:type="dcterms:W3CDTF">2019-10-25T05:10:00Z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-1184489990</vt:i4>
  </property>
  <property fmtid="{D5CDD505-2E9C-101B-9397-08002B2CF9AE}" pid="3" name="_NewReviewCycle">
    <vt:lpwstr/>
  </property>
  <property fmtid="{D5CDD505-2E9C-101B-9397-08002B2CF9AE}" pid="4" name="_EmailSubject">
    <vt:lpwstr>Regarding Service Request 23295 [SEC=UNCLASSIFIED]</vt:lpwstr>
  </property>
  <property fmtid="{D5CDD505-2E9C-101B-9397-08002B2CF9AE}" pid="5" name="_AuthorEmail">
    <vt:lpwstr>Emma.Lee@treasury.gov.au</vt:lpwstr>
  </property>
  <property fmtid="{D5CDD505-2E9C-101B-9397-08002B2CF9AE}" pid="6" name="_AuthorEmailDisplayName">
    <vt:lpwstr>Lee, Emma</vt:lpwstr>
  </property>
  <property fmtid="{D5CDD505-2E9C-101B-9397-08002B2CF9AE}" pid="7" name="ContentTypeId">
    <vt:lpwstr>0x010100348D01E61E107C4DA4B97E380EA20D4700A14635FEAAEE3349A6225A0F17C44A6F</vt:lpwstr>
  </property>
  <property fmtid="{D5CDD505-2E9C-101B-9397-08002B2CF9AE}" pid="8" name="TSYRecordClass">
    <vt:lpwstr>25;#TSY RA-9236 - Retain as national archives|c6a225b4-6b93-473e-bcbb-6bc6ab25b623</vt:lpwstr>
  </property>
  <property fmtid="{D5CDD505-2E9C-101B-9397-08002B2CF9AE}" pid="9" name="_dlc_DocIdItemGuid">
    <vt:lpwstr>aa427527-24fb-47d8-864c-e09a98633739</vt:lpwstr>
  </property>
  <property fmtid="{D5CDD505-2E9C-101B-9397-08002B2CF9AE}" pid="10" name="_PreviousAdHocReviewCycleID">
    <vt:i4>-1800041120</vt:i4>
  </property>
  <property fmtid="{D5CDD505-2E9C-101B-9397-08002B2CF9AE}" pid="12" name="RecordPoint_RecordNumberSubmitted">
    <vt:lpwstr/>
  </property>
  <property fmtid="{D5CDD505-2E9C-101B-9397-08002B2CF9AE}" pid="13" name="RecordPoint_SubmissionCompleted">
    <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RecordPoint_WorkflowType">
    <vt:lpwstr>ActiveSubmitStub</vt:lpwstr>
  </property>
  <property fmtid="{D5CDD505-2E9C-101B-9397-08002B2CF9AE}" pid="18" name="RecordPoint_ActiveItemWebId">
    <vt:lpwstr>{09392e0d-4618-463d-b4d2-50a90b9447cf}</vt:lpwstr>
  </property>
  <property fmtid="{D5CDD505-2E9C-101B-9397-08002B2CF9AE}" pid="19" name="RecordPoint_ActiveItemSiteId">
    <vt:lpwstr>{5b52b9a5-e5b2-4521-8814-a1e24ca2869d}</vt:lpwstr>
  </property>
  <property fmtid="{D5CDD505-2E9C-101B-9397-08002B2CF9AE}" pid="20" name="RecordPoint_ActiveItemListId">
    <vt:lpwstr>{687b78b0-2ddd-4441-8a8b-c9638c2a1939}</vt:lpwstr>
  </property>
  <property fmtid="{D5CDD505-2E9C-101B-9397-08002B2CF9AE}" pid="21" name="RecordPoint_ActiveItemUniqueId">
    <vt:lpwstr>{3bb514a4-bc37-4cc5-a06c-804338ad7cb3}</vt:lpwstr>
  </property>
  <property fmtid="{D5CDD505-2E9C-101B-9397-08002B2CF9AE}" pid="22" name="SecurityClassification">
    <vt:lpwstr>Sensitive:  Legal</vt:lpwstr>
  </property>
  <property fmtid="{D5CDD505-2E9C-101B-9397-08002B2CF9AE}" pid="23" name="DLMSecurityClassification">
    <vt:lpwstr/>
  </property>
</Properties>
</file>