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3161A" w14:textId="40B03259" w:rsidR="00B16138" w:rsidRPr="00DD5DF9" w:rsidRDefault="00B16138" w:rsidP="00B16138">
      <w:pPr>
        <w:pStyle w:val="Title"/>
      </w:pPr>
      <w:bookmarkStart w:id="0" w:name="_GoBack"/>
      <w:bookmarkEnd w:id="0"/>
      <w:r>
        <w:t>Recent personal income tax progressivity trends in Australia</w:t>
      </w:r>
    </w:p>
    <w:p w14:paraId="3E9E6291" w14:textId="77777777" w:rsidR="00B86937" w:rsidRDefault="00B86937" w:rsidP="00B86937">
      <w:pPr>
        <w:pStyle w:val="AuthorName"/>
        <w:rPr>
          <w:szCs w:val="24"/>
        </w:rPr>
      </w:pPr>
      <w:r>
        <w:rPr>
          <w:szCs w:val="24"/>
        </w:rPr>
        <w:t>Graeme Davis, Philip Akroyd</w:t>
      </w:r>
      <w:r w:rsidR="001B4E21">
        <w:rPr>
          <w:szCs w:val="24"/>
        </w:rPr>
        <w:t>,</w:t>
      </w:r>
      <w:r>
        <w:rPr>
          <w:szCs w:val="24"/>
        </w:rPr>
        <w:t xml:space="preserve"> </w:t>
      </w:r>
      <w:r w:rsidR="001B4E21">
        <w:rPr>
          <w:szCs w:val="24"/>
        </w:rPr>
        <w:t xml:space="preserve">David Pearl </w:t>
      </w:r>
      <w:r>
        <w:rPr>
          <w:szCs w:val="24"/>
        </w:rPr>
        <w:t>and Tristram Sainsbury</w:t>
      </w:r>
      <w:r w:rsidRPr="00F21A41">
        <w:rPr>
          <w:rStyle w:val="FootnoteReference"/>
          <w:szCs w:val="24"/>
        </w:rPr>
        <w:footnoteReference w:id="2"/>
      </w:r>
    </w:p>
    <w:p w14:paraId="3E9E6292" w14:textId="77777777" w:rsidR="00F012EA" w:rsidRPr="00F8009C" w:rsidRDefault="00F012EA" w:rsidP="00F012EA">
      <w:pPr>
        <w:pStyle w:val="Subtitle"/>
        <w:tabs>
          <w:tab w:val="left" w:pos="1985"/>
        </w:tabs>
        <w:rPr>
          <w:szCs w:val="40"/>
        </w:rPr>
      </w:pPr>
      <w:bookmarkStart w:id="1" w:name="_Toc491164858"/>
      <w:bookmarkStart w:id="2" w:name="_Toc491261143"/>
      <w:bookmarkStart w:id="3" w:name="_Toc492458139"/>
      <w:r>
        <w:rPr>
          <w:szCs w:val="40"/>
        </w:rPr>
        <w:t>Treasury Working Paper</w:t>
      </w:r>
      <w:r>
        <w:rPr>
          <w:rStyle w:val="FootnoteReference"/>
          <w:szCs w:val="40"/>
        </w:rPr>
        <w:footnoteReference w:id="3"/>
      </w:r>
      <w:bookmarkEnd w:id="1"/>
      <w:bookmarkEnd w:id="2"/>
      <w:bookmarkEnd w:id="3"/>
    </w:p>
    <w:p w14:paraId="3E9E6293" w14:textId="7A2C5FA7" w:rsidR="00F012EA" w:rsidRPr="00AF4B8F" w:rsidRDefault="00F012EA" w:rsidP="00F012EA">
      <w:pPr>
        <w:pStyle w:val="Subtitle"/>
        <w:rPr>
          <w:szCs w:val="36"/>
        </w:rPr>
      </w:pPr>
      <w:bookmarkStart w:id="4" w:name="_Toc491164859"/>
      <w:bookmarkStart w:id="5" w:name="_Toc491261144"/>
      <w:bookmarkStart w:id="6" w:name="_Toc492458140"/>
      <w:r w:rsidRPr="00AF4B8F">
        <w:rPr>
          <w:szCs w:val="36"/>
        </w:rPr>
        <w:t>20</w:t>
      </w:r>
      <w:r w:rsidR="00944851" w:rsidRPr="00AF4B8F">
        <w:rPr>
          <w:szCs w:val="36"/>
        </w:rPr>
        <w:t>1</w:t>
      </w:r>
      <w:r w:rsidR="00B31D38">
        <w:rPr>
          <w:szCs w:val="36"/>
        </w:rPr>
        <w:t>9</w:t>
      </w:r>
      <w:r w:rsidRPr="00AF4B8F">
        <w:rPr>
          <w:szCs w:val="36"/>
        </w:rPr>
        <w:noBreakHyphen/>
      </w:r>
      <w:bookmarkEnd w:id="4"/>
      <w:bookmarkEnd w:id="5"/>
      <w:bookmarkEnd w:id="6"/>
      <w:r w:rsidR="00321B4B">
        <w:rPr>
          <w:szCs w:val="36"/>
        </w:rPr>
        <w:t>0</w:t>
      </w:r>
      <w:r w:rsidR="00FB4E5A">
        <w:rPr>
          <w:szCs w:val="36"/>
        </w:rPr>
        <w:t>5</w:t>
      </w:r>
    </w:p>
    <w:p w14:paraId="3E9E6294" w14:textId="03D8EFC1" w:rsidR="008A3745" w:rsidRDefault="008A3745" w:rsidP="008A3745">
      <w:pPr>
        <w:pStyle w:val="SeriesNumber"/>
        <w:spacing w:before="120" w:after="120"/>
        <w:rPr>
          <w:sz w:val="24"/>
          <w:szCs w:val="24"/>
        </w:rPr>
      </w:pPr>
      <w:r w:rsidRPr="00FB4E5A">
        <w:rPr>
          <w:sz w:val="24"/>
          <w:szCs w:val="24"/>
        </w:rPr>
        <w:t xml:space="preserve">Date created: </w:t>
      </w:r>
      <w:r w:rsidR="00FB4E5A">
        <w:rPr>
          <w:sz w:val="24"/>
          <w:szCs w:val="24"/>
        </w:rPr>
        <w:t>September</w:t>
      </w:r>
      <w:r w:rsidRPr="00FB4E5A">
        <w:rPr>
          <w:sz w:val="24"/>
          <w:szCs w:val="24"/>
        </w:rPr>
        <w:t xml:space="preserve"> 2019</w:t>
      </w:r>
    </w:p>
    <w:p w14:paraId="3E9E6296" w14:textId="77777777" w:rsidR="00C77BF1" w:rsidRDefault="00C77BF1" w:rsidP="00F012EA">
      <w:pPr>
        <w:pStyle w:val="AuthorName"/>
        <w:rPr>
          <w:szCs w:val="24"/>
        </w:rPr>
        <w:sectPr w:rsidR="00C77BF1" w:rsidSect="00B16138">
          <w:headerReference w:type="even" r:id="rId12"/>
          <w:headerReference w:type="default" r:id="rId13"/>
          <w:footerReference w:type="even" r:id="rId14"/>
          <w:footerReference w:type="default" r:id="rId15"/>
          <w:headerReference w:type="first" r:id="rId16"/>
          <w:footerReference w:type="first" r:id="rId17"/>
          <w:pgSz w:w="11906" w:h="16838" w:code="9"/>
          <w:pgMar w:top="1418" w:right="1304" w:bottom="1418" w:left="1304" w:header="567" w:footer="567" w:gutter="0"/>
          <w:cols w:space="708"/>
          <w:titlePg/>
          <w:docGrid w:linePitch="360"/>
        </w:sectPr>
      </w:pPr>
    </w:p>
    <w:p w14:paraId="3E9E6297" w14:textId="77777777" w:rsidR="000464B6" w:rsidRDefault="000464B6" w:rsidP="000464B6">
      <w:r w:rsidRPr="00661BF0">
        <w:lastRenderedPageBreak/>
        <w:t xml:space="preserve">© Commonwealth of Australia </w:t>
      </w:r>
      <w:r w:rsidRPr="008E50F4">
        <w:t>20</w:t>
      </w:r>
      <w:r w:rsidR="00554065">
        <w:t>1</w:t>
      </w:r>
      <w:r w:rsidR="00144BEF">
        <w:t>9</w:t>
      </w:r>
    </w:p>
    <w:p w14:paraId="3E9E6299"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8"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9"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3E9E629A"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3E9E63D0" wp14:editId="3E9E63D1">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E9E629B"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1"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3E9E629C" w14:textId="77777777" w:rsidR="000464B6" w:rsidRPr="002F1BC2" w:rsidRDefault="000464B6" w:rsidP="000464B6">
      <w:pPr>
        <w:rPr>
          <w:i/>
        </w:rPr>
      </w:pPr>
      <w:r w:rsidRPr="002F1BC2">
        <w:rPr>
          <w:i/>
        </w:rPr>
        <w:t>Treasury material used 'as supplied'</w:t>
      </w:r>
    </w:p>
    <w:p w14:paraId="3E9E629D"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E9E629E"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3E9E629F" w14:textId="77777777" w:rsidR="000464B6" w:rsidRPr="006627B4" w:rsidRDefault="000464B6" w:rsidP="000464B6">
      <w:r w:rsidRPr="006627B4">
        <w:t>Derivative material</w:t>
      </w:r>
    </w:p>
    <w:p w14:paraId="3E9E62A0"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3E9E62A1" w14:textId="77777777" w:rsidR="000464B6" w:rsidRPr="006627B4" w:rsidRDefault="000464B6" w:rsidP="000464B6">
      <w:pPr>
        <w:ind w:firstLine="720"/>
      </w:pPr>
      <w:r w:rsidRPr="002F1BC2">
        <w:rPr>
          <w:i/>
        </w:rPr>
        <w:t>Based on The Australian Government the Treasury data</w:t>
      </w:r>
    </w:p>
    <w:p w14:paraId="3E9E62A2" w14:textId="77777777" w:rsidR="000464B6" w:rsidRPr="006627B4" w:rsidRDefault="000464B6" w:rsidP="000464B6">
      <w:pPr>
        <w:spacing w:after="40"/>
        <w:rPr>
          <w:b/>
        </w:rPr>
      </w:pPr>
      <w:r w:rsidRPr="006627B4">
        <w:rPr>
          <w:b/>
        </w:rPr>
        <w:t>Use of the Coat of Arms</w:t>
      </w:r>
    </w:p>
    <w:p w14:paraId="3E9E62A3" w14:textId="77777777" w:rsidR="000464B6" w:rsidRPr="006627B4" w:rsidRDefault="000464B6" w:rsidP="000464B6">
      <w:r w:rsidRPr="006627B4">
        <w:t xml:space="preserve">The terms under which the Coat of Arms can be used are set out on the It’s an Honour website (see </w:t>
      </w:r>
      <w:hyperlink r:id="rId22" w:history="1">
        <w:r w:rsidRPr="006627B4">
          <w:t>www.itsanhonour.gov.au</w:t>
        </w:r>
      </w:hyperlink>
      <w:r w:rsidRPr="006627B4">
        <w:t>)</w:t>
      </w:r>
    </w:p>
    <w:p w14:paraId="3E9E62A4" w14:textId="77777777" w:rsidR="000464B6" w:rsidRPr="006627B4" w:rsidRDefault="00A57848" w:rsidP="000464B6">
      <w:pPr>
        <w:spacing w:after="40"/>
        <w:rPr>
          <w:b/>
        </w:rPr>
      </w:pPr>
      <w:r>
        <w:rPr>
          <w:b/>
        </w:rPr>
        <w:t>Other u</w:t>
      </w:r>
      <w:r w:rsidR="000464B6" w:rsidRPr="006627B4">
        <w:rPr>
          <w:b/>
        </w:rPr>
        <w:t>ses</w:t>
      </w:r>
    </w:p>
    <w:p w14:paraId="3E9E62A5" w14:textId="77777777" w:rsidR="000464B6" w:rsidRPr="006627B4" w:rsidRDefault="00A57848" w:rsidP="00A57848">
      <w:pPr>
        <w:spacing w:after="120"/>
      </w:pPr>
      <w:r>
        <w:t>E</w:t>
      </w:r>
      <w:r w:rsidR="000464B6" w:rsidRPr="006627B4">
        <w:t>nquiries regarding this licence and any other use of this document are welcome at:</w:t>
      </w:r>
    </w:p>
    <w:p w14:paraId="3E9E62A6" w14:textId="77777777" w:rsidR="000464B6" w:rsidRPr="006627B4" w:rsidRDefault="000464B6" w:rsidP="000464B6">
      <w:pPr>
        <w:spacing w:after="0"/>
        <w:ind w:left="720"/>
      </w:pPr>
      <w:r w:rsidRPr="006627B4">
        <w:t>Manager</w:t>
      </w:r>
    </w:p>
    <w:p w14:paraId="3E9E62A7" w14:textId="77777777" w:rsidR="000464B6" w:rsidRPr="006627B4" w:rsidRDefault="00A57848" w:rsidP="000464B6">
      <w:pPr>
        <w:spacing w:after="0"/>
        <w:ind w:left="720"/>
      </w:pPr>
      <w:r>
        <w:t>Media Unit</w:t>
      </w:r>
    </w:p>
    <w:p w14:paraId="3E9E62A8" w14:textId="77777777" w:rsidR="000464B6" w:rsidRPr="006627B4" w:rsidRDefault="000464B6" w:rsidP="000464B6">
      <w:pPr>
        <w:spacing w:after="0"/>
        <w:ind w:left="720"/>
      </w:pPr>
      <w:r w:rsidRPr="006627B4">
        <w:t>The Treasury</w:t>
      </w:r>
    </w:p>
    <w:p w14:paraId="3E9E62A9" w14:textId="77777777" w:rsidR="000464B6" w:rsidRPr="006627B4" w:rsidRDefault="000464B6" w:rsidP="000464B6">
      <w:pPr>
        <w:spacing w:after="0"/>
        <w:ind w:left="720"/>
      </w:pPr>
      <w:r w:rsidRPr="006627B4">
        <w:t xml:space="preserve">Langton Crescent </w:t>
      </w:r>
      <w:r w:rsidR="00A57848">
        <w:br/>
      </w:r>
      <w:r w:rsidRPr="006627B4">
        <w:t>Parkes ACT 2600</w:t>
      </w:r>
    </w:p>
    <w:p w14:paraId="3E9E62AA" w14:textId="77777777" w:rsidR="000464B6" w:rsidRDefault="000464B6" w:rsidP="000464B6">
      <w:pPr>
        <w:spacing w:after="0"/>
        <w:ind w:left="720"/>
        <w:rPr>
          <w:rStyle w:val="Hyperlink"/>
        </w:rPr>
      </w:pPr>
      <w:r w:rsidRPr="006627B4">
        <w:t xml:space="preserve">Email: </w:t>
      </w:r>
      <w:hyperlink r:id="rId23" w:history="1">
        <w:r w:rsidRPr="00573329">
          <w:rPr>
            <w:rStyle w:val="Hyperlink"/>
          </w:rPr>
          <w:t>medialiaison@treasury.gov.au</w:t>
        </w:r>
      </w:hyperlink>
      <w:r w:rsidRPr="002F1BC2">
        <w:rPr>
          <w:rStyle w:val="Hyperlink"/>
        </w:rPr>
        <w:t xml:space="preserve"> </w:t>
      </w:r>
    </w:p>
    <w:p w14:paraId="3E9E62AB" w14:textId="77777777" w:rsidR="000464B6" w:rsidRPr="000464B6" w:rsidRDefault="000464B6" w:rsidP="000464B6"/>
    <w:p w14:paraId="3E9E62AC" w14:textId="77777777" w:rsidR="000464B6" w:rsidRDefault="000464B6" w:rsidP="000464B6">
      <w:pPr>
        <w:spacing w:after="0"/>
        <w:ind w:left="720"/>
        <w:rPr>
          <w:rStyle w:val="Hyperlink"/>
        </w:rPr>
        <w:sectPr w:rsidR="000464B6" w:rsidSect="008C0793">
          <w:headerReference w:type="even" r:id="rId24"/>
          <w:headerReference w:type="default" r:id="rId25"/>
          <w:headerReference w:type="first" r:id="rId26"/>
          <w:pgSz w:w="11906" w:h="16838" w:code="9"/>
          <w:pgMar w:top="1418" w:right="1304" w:bottom="1418" w:left="1304" w:header="567" w:footer="567" w:gutter="0"/>
          <w:cols w:space="708"/>
          <w:titlePg/>
          <w:docGrid w:linePitch="360"/>
        </w:sectPr>
      </w:pPr>
    </w:p>
    <w:p w14:paraId="3E9E62AD" w14:textId="77777777" w:rsidR="0018733C" w:rsidRDefault="000F3DA0" w:rsidP="00F012EA">
      <w:pPr>
        <w:pStyle w:val="SingleParagraph"/>
      </w:pPr>
      <w:r>
        <w:lastRenderedPageBreak/>
        <w:t>Recent p</w:t>
      </w:r>
      <w:r w:rsidR="0018733C" w:rsidRPr="0018733C">
        <w:t>ersonal income tax progressivity</w:t>
      </w:r>
      <w:r>
        <w:t xml:space="preserve"> trends</w:t>
      </w:r>
      <w:r w:rsidR="0018733C" w:rsidRPr="0018733C">
        <w:t xml:space="preserve"> </w:t>
      </w:r>
      <w:r>
        <w:t>i</w:t>
      </w:r>
      <w:r w:rsidR="0018733C" w:rsidRPr="0018733C">
        <w:t xml:space="preserve">n Australia </w:t>
      </w:r>
    </w:p>
    <w:p w14:paraId="3E9E62AE" w14:textId="77777777" w:rsidR="00B86937" w:rsidRDefault="00B86937" w:rsidP="00B86937">
      <w:pPr>
        <w:pStyle w:val="SingleParagraph"/>
      </w:pPr>
      <w:r>
        <w:t>Graeme Davis, Philip Akroyd</w:t>
      </w:r>
      <w:r w:rsidR="001B4E21">
        <w:t>, David Pearl</w:t>
      </w:r>
      <w:r>
        <w:t xml:space="preserve"> and Tristram Sainsbury</w:t>
      </w:r>
    </w:p>
    <w:p w14:paraId="3E9E62AF" w14:textId="77777777" w:rsidR="00F012EA" w:rsidRDefault="00F012EA" w:rsidP="00F012EA">
      <w:pPr>
        <w:pStyle w:val="SingleParagraph"/>
      </w:pPr>
      <w:r w:rsidRPr="00DB0333">
        <w:t>20</w:t>
      </w:r>
      <w:r w:rsidR="00D169B9">
        <w:t>1</w:t>
      </w:r>
      <w:r w:rsidR="00B31D38">
        <w:t>9</w:t>
      </w:r>
      <w:r w:rsidRPr="00DB0333">
        <w:noBreakHyphen/>
      </w:r>
      <w:r w:rsidR="00B31D38">
        <w:t>20</w:t>
      </w:r>
    </w:p>
    <w:p w14:paraId="3E9E62B0" w14:textId="6A7D04FA" w:rsidR="00F012EA" w:rsidRDefault="00FB4E5A" w:rsidP="00F012EA">
      <w:pPr>
        <w:pStyle w:val="SingleParagraph"/>
      </w:pPr>
      <w:r>
        <w:t>September 2019</w:t>
      </w:r>
    </w:p>
    <w:p w14:paraId="3E9E62B1" w14:textId="77777777" w:rsidR="00F012EA" w:rsidRDefault="00F012EA" w:rsidP="00F012EA">
      <w:pPr>
        <w:pStyle w:val="Heading1"/>
      </w:pPr>
      <w:bookmarkStart w:id="7" w:name="_Toc492458141"/>
      <w:r>
        <w:t>Abstract</w:t>
      </w:r>
      <w:bookmarkEnd w:id="7"/>
    </w:p>
    <w:p w14:paraId="3E9E62B2" w14:textId="77777777" w:rsidR="00C72533" w:rsidRDefault="005E6B59" w:rsidP="00C72533">
      <w:pPr>
        <w:jc w:val="both"/>
      </w:pPr>
      <w:r>
        <w:t>Tax progressivity is not a precise science. Judgements around the level of tax progressivity need to balance the objective of fairness against other objectives</w:t>
      </w:r>
      <w:r w:rsidR="000A76F6">
        <w:t xml:space="preserve"> – </w:t>
      </w:r>
      <w:r>
        <w:t>such as efficiency, simplicity and sustainability</w:t>
      </w:r>
      <w:r w:rsidR="000A76F6">
        <w:t xml:space="preserve"> – </w:t>
      </w:r>
      <w:r>
        <w:t xml:space="preserve">that underpin the design of tax systems. Further, people’s perceptions of fairness depend on a range of factors, including their position in society and the information available to assess their position relative to others. </w:t>
      </w:r>
      <w:r w:rsidR="00C1377E">
        <w:t>Our a</w:t>
      </w:r>
      <w:r w:rsidR="00C72533">
        <w:t xml:space="preserve">nalysis of average personal income tax </w:t>
      </w:r>
      <w:r w:rsidR="00C1377E">
        <w:t xml:space="preserve">rates, and the distribution of personal income tax incidence, </w:t>
      </w:r>
      <w:r w:rsidR="00DE2D04">
        <w:t xml:space="preserve">over </w:t>
      </w:r>
      <w:r w:rsidR="00220FF5">
        <w:t>recent</w:t>
      </w:r>
      <w:r w:rsidR="00DE2D04">
        <w:t xml:space="preserve"> decades suggests </w:t>
      </w:r>
      <w:r w:rsidR="00C72533">
        <w:t xml:space="preserve">that </w:t>
      </w:r>
      <w:r w:rsidR="00C72533" w:rsidRPr="00534728">
        <w:t xml:space="preserve">Australia’s </w:t>
      </w:r>
      <w:r w:rsidR="00C72533">
        <w:t>personal income tax system bec</w:t>
      </w:r>
      <w:r w:rsidR="00157685">
        <w:t>a</w:t>
      </w:r>
      <w:r w:rsidR="00C72533">
        <w:t>me more progressive</w:t>
      </w:r>
      <w:r w:rsidR="00C1377E">
        <w:t xml:space="preserve"> over the 22 years</w:t>
      </w:r>
      <w:r w:rsidR="00C72533">
        <w:t xml:space="preserve"> </w:t>
      </w:r>
      <w:r w:rsidR="00157685">
        <w:t>b</w:t>
      </w:r>
      <w:r w:rsidR="00C1377E">
        <w:t>etween 1994</w:t>
      </w:r>
      <w:r w:rsidR="00C1377E">
        <w:noBreakHyphen/>
      </w:r>
      <w:r w:rsidR="00C72533">
        <w:t>95 and 2015-16</w:t>
      </w:r>
      <w:r w:rsidR="00157685">
        <w:t>.</w:t>
      </w:r>
      <w:r w:rsidR="00C72533">
        <w:t xml:space="preserve"> </w:t>
      </w:r>
      <w:r w:rsidR="00157685">
        <w:t>Choices by s</w:t>
      </w:r>
      <w:r w:rsidR="00C72533">
        <w:t xml:space="preserve">uccessive </w:t>
      </w:r>
      <w:r w:rsidR="00C72533" w:rsidRPr="00BC0D34">
        <w:t xml:space="preserve">Australian </w:t>
      </w:r>
      <w:r w:rsidR="00C72533">
        <w:t>g</w:t>
      </w:r>
      <w:r w:rsidR="00C72533" w:rsidRPr="00BC0D34">
        <w:t>overnments</w:t>
      </w:r>
      <w:r w:rsidR="00C72533">
        <w:t xml:space="preserve"> have </w:t>
      </w:r>
      <w:r w:rsidR="00157685">
        <w:t xml:space="preserve">altered </w:t>
      </w:r>
      <w:r w:rsidR="00C72533">
        <w:t>marginal personal</w:t>
      </w:r>
      <w:r w:rsidR="00DE2D04">
        <w:t xml:space="preserve"> income</w:t>
      </w:r>
      <w:r w:rsidR="00C72533">
        <w:t xml:space="preserve"> tax rates and extended tax thresholds</w:t>
      </w:r>
      <w:r w:rsidR="00157685">
        <w:t xml:space="preserve"> in ways that </w:t>
      </w:r>
      <w:r w:rsidR="00C72533">
        <w:t xml:space="preserve">have </w:t>
      </w:r>
      <w:r w:rsidR="00DE2D04">
        <w:t>reduced</w:t>
      </w:r>
      <w:r w:rsidR="00DE2D04" w:rsidRPr="00BC0D34">
        <w:t xml:space="preserve"> </w:t>
      </w:r>
      <w:r w:rsidR="00DE2D04">
        <w:t xml:space="preserve">the income </w:t>
      </w:r>
      <w:r w:rsidR="00C72533" w:rsidRPr="00BC0D34">
        <w:t xml:space="preserve">tax </w:t>
      </w:r>
      <w:r w:rsidR="00220FF5">
        <w:t xml:space="preserve">incidence on </w:t>
      </w:r>
      <w:r w:rsidR="00C72533" w:rsidRPr="00BC0D34">
        <w:t>lower</w:t>
      </w:r>
      <w:r w:rsidR="00C72533">
        <w:t xml:space="preserve"> </w:t>
      </w:r>
      <w:r w:rsidR="00C72533" w:rsidRPr="00BC0D34">
        <w:t>income earners</w:t>
      </w:r>
      <w:r w:rsidR="00DE2D04">
        <w:t>,</w:t>
      </w:r>
      <w:r w:rsidR="00C72533" w:rsidRPr="00BC0D34">
        <w:t xml:space="preserve"> and </w:t>
      </w:r>
      <w:r w:rsidR="00DE2D04">
        <w:t>increased</w:t>
      </w:r>
      <w:r w:rsidR="00DE2D04" w:rsidRPr="00BC0D34">
        <w:t xml:space="preserve"> </w:t>
      </w:r>
      <w:r w:rsidR="00DE2D04">
        <w:t xml:space="preserve">the income tax </w:t>
      </w:r>
      <w:r w:rsidR="00220FF5">
        <w:t>incidence</w:t>
      </w:r>
      <w:r w:rsidR="00DE2D04">
        <w:t xml:space="preserve"> </w:t>
      </w:r>
      <w:r w:rsidR="00220FF5">
        <w:t>on</w:t>
      </w:r>
      <w:r w:rsidR="00DE2D04">
        <w:t xml:space="preserve"> </w:t>
      </w:r>
      <w:r w:rsidR="00C72533" w:rsidRPr="00BC0D34">
        <w:t>higher income earners</w:t>
      </w:r>
      <w:r w:rsidR="00C72533">
        <w:t>. This has</w:t>
      </w:r>
      <w:r w:rsidR="00DE2D04">
        <w:t xml:space="preserve"> also</w:t>
      </w:r>
      <w:r w:rsidR="00C72533">
        <w:t xml:space="preserve"> </w:t>
      </w:r>
      <w:r w:rsidR="00157685">
        <w:t>seen</w:t>
      </w:r>
      <w:r w:rsidR="00C72533">
        <w:t xml:space="preserve"> an increase in</w:t>
      </w:r>
      <w:r w:rsidR="00C72533" w:rsidRPr="00534728">
        <w:t xml:space="preserve"> </w:t>
      </w:r>
      <w:r w:rsidR="00DE2D04">
        <w:t xml:space="preserve">income </w:t>
      </w:r>
      <w:r w:rsidR="00C72533" w:rsidRPr="00534728">
        <w:t>tax concentratio</w:t>
      </w:r>
      <w:r w:rsidR="00C72533">
        <w:t xml:space="preserve">n, whereby a narrower proportion of high income earners pay a larger share of total </w:t>
      </w:r>
      <w:r w:rsidR="00DE2D04">
        <w:t xml:space="preserve">Australian </w:t>
      </w:r>
      <w:r w:rsidR="00C1377E">
        <w:t>personal income taxes.</w:t>
      </w:r>
      <w:r w:rsidR="00C72533">
        <w:t xml:space="preserve"> In publishing these findings, we seek to inform the trade-offs arising from </w:t>
      </w:r>
      <w:r w:rsidR="00DE2D04">
        <w:t>the</w:t>
      </w:r>
      <w:r w:rsidR="00C72533">
        <w:t xml:space="preserve"> progressive personal income tax regime and its role </w:t>
      </w:r>
      <w:r w:rsidR="00DE2D04">
        <w:t>with</w:t>
      </w:r>
      <w:r w:rsidR="00C72533">
        <w:t>in the broader Australian tax system. However, care needs to be taken in evaluating these findings</w:t>
      </w:r>
      <w:r w:rsidR="00DE2D04">
        <w:t>. O</w:t>
      </w:r>
      <w:r w:rsidR="00157685">
        <w:t>ur analysis does not seek to evaluate</w:t>
      </w:r>
      <w:r w:rsidR="00C72533">
        <w:t xml:space="preserve"> the fairness (real or perceived) of Australia’s personal income tax.</w:t>
      </w:r>
    </w:p>
    <w:p w14:paraId="3E9E62B6" w14:textId="77777777" w:rsidR="00F012EA" w:rsidRDefault="00F012EA" w:rsidP="00F012EA">
      <w:pPr>
        <w:pStyle w:val="SingleParagraph"/>
      </w:pPr>
    </w:p>
    <w:p w14:paraId="3E9E62B7" w14:textId="77777777" w:rsidR="00B86937" w:rsidRDefault="00B86937" w:rsidP="00B86937">
      <w:pPr>
        <w:pStyle w:val="SingleParagraph"/>
      </w:pPr>
      <w:r>
        <w:t>Graeme Davis</w:t>
      </w:r>
      <w:r w:rsidR="00B31FB7">
        <w:t>, Philip Akroyd</w:t>
      </w:r>
      <w:r w:rsidR="001B4E21">
        <w:t xml:space="preserve"> and David Pearl</w:t>
      </w:r>
    </w:p>
    <w:p w14:paraId="3E9E62B8" w14:textId="77777777" w:rsidR="00F012EA" w:rsidRDefault="006252B8" w:rsidP="00F012EA">
      <w:pPr>
        <w:pStyle w:val="SingleParagraph"/>
      </w:pPr>
      <w:r>
        <w:t>Tax Framework Division</w:t>
      </w:r>
    </w:p>
    <w:p w14:paraId="3E9E62B9" w14:textId="77777777" w:rsidR="00F012EA" w:rsidRDefault="006252B8" w:rsidP="00F012EA">
      <w:pPr>
        <w:pStyle w:val="SingleParagraph"/>
      </w:pPr>
      <w:r>
        <w:t>Revenue Group</w:t>
      </w:r>
    </w:p>
    <w:p w14:paraId="3E9E62BA" w14:textId="77777777" w:rsidR="00F012EA" w:rsidRDefault="00F012EA" w:rsidP="00F012EA">
      <w:pPr>
        <w:pStyle w:val="SingleParagraph"/>
      </w:pPr>
      <w:r>
        <w:t>The Treasury</w:t>
      </w:r>
    </w:p>
    <w:p w14:paraId="3E9E62BB" w14:textId="77777777" w:rsidR="00F012EA" w:rsidRDefault="00F012EA" w:rsidP="00F012EA">
      <w:pPr>
        <w:pStyle w:val="SingleParagraph"/>
      </w:pPr>
      <w:r>
        <w:t>Langton Crescent</w:t>
      </w:r>
    </w:p>
    <w:p w14:paraId="3E9E62BC" w14:textId="77777777" w:rsidR="00F012EA" w:rsidRDefault="00F012EA" w:rsidP="00F012EA">
      <w:pPr>
        <w:pStyle w:val="SingleParagraph"/>
      </w:pPr>
      <w:r>
        <w:t>Parkes</w:t>
      </w:r>
      <w:r w:rsidR="004A45A1">
        <w:t xml:space="preserve"> </w:t>
      </w:r>
      <w:r>
        <w:t>ACT</w:t>
      </w:r>
      <w:r w:rsidR="004A45A1">
        <w:t xml:space="preserve"> </w:t>
      </w:r>
      <w:r>
        <w:t>2600</w:t>
      </w:r>
    </w:p>
    <w:p w14:paraId="3E9E62BD" w14:textId="77777777" w:rsidR="00B86937" w:rsidRDefault="00B86937" w:rsidP="00B86937">
      <w:pPr>
        <w:pStyle w:val="SingleParagraph"/>
      </w:pPr>
    </w:p>
    <w:p w14:paraId="3E9E62BE" w14:textId="77777777" w:rsidR="00F012EA" w:rsidRDefault="00B86937" w:rsidP="00F012EA">
      <w:pPr>
        <w:pStyle w:val="SingleParagraph"/>
      </w:pPr>
      <w:r>
        <w:t>Tristram Sainsbury</w:t>
      </w:r>
      <w:r w:rsidR="00D169B9">
        <w:t xml:space="preserve"> </w:t>
      </w:r>
    </w:p>
    <w:p w14:paraId="3E9E62BF" w14:textId="77777777" w:rsidR="00F012EA" w:rsidRDefault="006252B8" w:rsidP="00F012EA">
      <w:pPr>
        <w:pStyle w:val="SingleParagraph"/>
      </w:pPr>
      <w:r>
        <w:t>Individuals and Indirect Tax Division</w:t>
      </w:r>
    </w:p>
    <w:p w14:paraId="3E9E62C0" w14:textId="77777777" w:rsidR="00F012EA" w:rsidRDefault="006252B8" w:rsidP="00F012EA">
      <w:pPr>
        <w:pStyle w:val="SingleParagraph"/>
      </w:pPr>
      <w:r>
        <w:t>Revenue Group</w:t>
      </w:r>
    </w:p>
    <w:p w14:paraId="3E9E62C1" w14:textId="77777777" w:rsidR="00F012EA" w:rsidRDefault="00F012EA" w:rsidP="00F012EA">
      <w:pPr>
        <w:pStyle w:val="SingleParagraph"/>
      </w:pPr>
      <w:r>
        <w:t>The Treasury</w:t>
      </w:r>
    </w:p>
    <w:p w14:paraId="3E9E62C2" w14:textId="77777777" w:rsidR="00F012EA" w:rsidRDefault="00F012EA" w:rsidP="00F012EA">
      <w:pPr>
        <w:pStyle w:val="SingleParagraph"/>
      </w:pPr>
      <w:r>
        <w:t>Langton Crescent</w:t>
      </w:r>
    </w:p>
    <w:p w14:paraId="3E9E62C3" w14:textId="77777777" w:rsidR="00F012EA" w:rsidRDefault="00F012EA" w:rsidP="00F012EA">
      <w:pPr>
        <w:pStyle w:val="SingleParagraph"/>
      </w:pPr>
      <w:r>
        <w:t>Parkes</w:t>
      </w:r>
      <w:r w:rsidR="004A45A1">
        <w:t xml:space="preserve"> </w:t>
      </w:r>
      <w:r>
        <w:t>ACT</w:t>
      </w:r>
      <w:r w:rsidR="004A45A1">
        <w:t xml:space="preserve"> </w:t>
      </w:r>
      <w:r>
        <w:t>2600</w:t>
      </w:r>
    </w:p>
    <w:p w14:paraId="3E9E62C4" w14:textId="77777777" w:rsidR="00F012EA" w:rsidRDefault="00F012EA" w:rsidP="00F012EA">
      <w:pPr>
        <w:pStyle w:val="SeriesNumber"/>
        <w:jc w:val="left"/>
        <w:rPr>
          <w:sz w:val="24"/>
          <w:szCs w:val="24"/>
        </w:rPr>
      </w:pPr>
    </w:p>
    <w:p w14:paraId="3E9E62C5"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3E9E62C6" w14:textId="77777777" w:rsidR="00F012EA" w:rsidRDefault="00F012EA" w:rsidP="004F3A57">
      <w:pPr>
        <w:pStyle w:val="Heading2"/>
        <w:spacing w:before="120"/>
        <w:ind w:left="0"/>
      </w:pPr>
      <w:bookmarkStart w:id="8" w:name="_Toc491164861"/>
      <w:bookmarkStart w:id="9" w:name="_Toc491184295"/>
      <w:bookmarkStart w:id="10" w:name="_Toc491185635"/>
      <w:bookmarkStart w:id="11" w:name="_Toc491185675"/>
      <w:bookmarkStart w:id="12" w:name="_Toc491185725"/>
      <w:bookmarkStart w:id="13" w:name="_Toc490828062"/>
      <w:bookmarkStart w:id="14" w:name="_Toc491164863"/>
      <w:bookmarkStart w:id="15" w:name="_Toc491184297"/>
      <w:bookmarkStart w:id="16" w:name="_Toc491185637"/>
      <w:bookmarkStart w:id="17" w:name="_Toc491185677"/>
      <w:bookmarkStart w:id="18" w:name="_Toc491185727"/>
      <w:bookmarkStart w:id="19" w:name="_Toc490828063"/>
      <w:bookmarkStart w:id="20" w:name="_Toc491164864"/>
      <w:bookmarkStart w:id="21" w:name="_Toc491184298"/>
      <w:bookmarkStart w:id="22" w:name="_Toc491185638"/>
      <w:bookmarkStart w:id="23" w:name="_Toc491185678"/>
      <w:bookmarkStart w:id="24" w:name="_Toc491185728"/>
      <w:bookmarkStart w:id="25" w:name="_Toc490828064"/>
      <w:bookmarkStart w:id="26" w:name="_Toc491164865"/>
      <w:bookmarkStart w:id="27" w:name="_Toc491184299"/>
      <w:bookmarkStart w:id="28" w:name="_Toc491185639"/>
      <w:bookmarkStart w:id="29" w:name="_Toc491185679"/>
      <w:bookmarkStart w:id="30" w:name="_Toc491185729"/>
      <w:bookmarkStart w:id="31" w:name="_Toc271526783"/>
      <w:bookmarkStart w:id="32" w:name="_Toc320810314"/>
      <w:bookmarkStart w:id="33" w:name="_Toc4924581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A57848">
        <w:lastRenderedPageBreak/>
        <w:t>Introduction</w:t>
      </w:r>
      <w:bookmarkEnd w:id="31"/>
      <w:bookmarkEnd w:id="32"/>
      <w:bookmarkEnd w:id="33"/>
    </w:p>
    <w:p w14:paraId="3E9E62C7" w14:textId="77777777" w:rsidR="001733A3" w:rsidRDefault="00D52EE0" w:rsidP="001369DB">
      <w:bookmarkStart w:id="34" w:name="_Toc492458143"/>
      <w:r>
        <w:t xml:space="preserve">A </w:t>
      </w:r>
      <w:r w:rsidR="001733A3">
        <w:t xml:space="preserve">progressive personal income tax </w:t>
      </w:r>
      <w:r w:rsidR="000F3DA0">
        <w:t>regime</w:t>
      </w:r>
      <w:r w:rsidR="001733A3">
        <w:t xml:space="preserve"> </w:t>
      </w:r>
      <w:r w:rsidR="0062266F">
        <w:t xml:space="preserve">has been </w:t>
      </w:r>
      <w:r w:rsidR="00DE27F7">
        <w:t xml:space="preserve">a longstanding </w:t>
      </w:r>
      <w:r w:rsidR="001733A3">
        <w:t xml:space="preserve">feature of </w:t>
      </w:r>
      <w:r>
        <w:t xml:space="preserve">Australia’s </w:t>
      </w:r>
      <w:r w:rsidR="001733A3">
        <w:t>tax (and transfer) system</w:t>
      </w:r>
      <w:r w:rsidR="00DE27F7">
        <w:t xml:space="preserve">. </w:t>
      </w:r>
      <w:r w:rsidR="00D169B9">
        <w:t>This</w:t>
      </w:r>
      <w:r w:rsidR="001733A3">
        <w:t xml:space="preserve"> paper provides a framework for </w:t>
      </w:r>
      <w:r w:rsidR="00DE27F7">
        <w:t xml:space="preserve">considering </w:t>
      </w:r>
      <w:r w:rsidR="001733A3">
        <w:t xml:space="preserve">the progressivity of </w:t>
      </w:r>
      <w:r w:rsidR="000F3DA0">
        <w:t>our</w:t>
      </w:r>
      <w:r w:rsidR="001733A3">
        <w:t xml:space="preserve"> personal income tax system</w:t>
      </w:r>
      <w:r w:rsidR="00387F2C">
        <w:t xml:space="preserve"> </w:t>
      </w:r>
      <w:r>
        <w:t xml:space="preserve">and the </w:t>
      </w:r>
      <w:r w:rsidR="00387F2C">
        <w:t xml:space="preserve">implicit </w:t>
      </w:r>
      <w:r>
        <w:t xml:space="preserve">policy trade-offs </w:t>
      </w:r>
      <w:r w:rsidR="00387F2C">
        <w:t>arising from such a system</w:t>
      </w:r>
      <w:r w:rsidR="001733A3">
        <w:t xml:space="preserve">.  We also examine recent trends in income tax progressivity and some of the factors that may be influencing </w:t>
      </w:r>
      <w:r w:rsidR="00C1377E">
        <w:t xml:space="preserve">public </w:t>
      </w:r>
      <w:r w:rsidR="00220FF5">
        <w:t>perceptions</w:t>
      </w:r>
      <w:r w:rsidR="001733A3">
        <w:t xml:space="preserve">. </w:t>
      </w:r>
      <w:r w:rsidR="00A14740">
        <w:t>We do</w:t>
      </w:r>
      <w:r w:rsidR="0062266F">
        <w:t xml:space="preserve"> not </w:t>
      </w:r>
      <w:r w:rsidR="00A14740">
        <w:t xml:space="preserve">seek </w:t>
      </w:r>
      <w:r w:rsidR="0062266F">
        <w:t xml:space="preserve">to present a view on whether </w:t>
      </w:r>
      <w:r w:rsidR="00220FF5">
        <w:t xml:space="preserve">these </w:t>
      </w:r>
      <w:r w:rsidR="0062266F">
        <w:t>policy outcome</w:t>
      </w:r>
      <w:r w:rsidR="00A14740">
        <w:t>s are</w:t>
      </w:r>
      <w:r w:rsidR="0062266F">
        <w:t xml:space="preserve"> fair.</w:t>
      </w:r>
    </w:p>
    <w:p w14:paraId="3E9E62C8" w14:textId="44202663" w:rsidR="001733A3" w:rsidRDefault="001733A3" w:rsidP="001369DB">
      <w:r>
        <w:t>The</w:t>
      </w:r>
      <w:r w:rsidRPr="008B608C">
        <w:t xml:space="preserve"> paper is structured </w:t>
      </w:r>
      <w:r>
        <w:t xml:space="preserve">in </w:t>
      </w:r>
      <w:r w:rsidR="002D13BF">
        <w:t>two</w:t>
      </w:r>
      <w:r>
        <w:t xml:space="preserve"> main sections</w:t>
      </w:r>
      <w:r w:rsidRPr="008B608C">
        <w:t>. First</w:t>
      </w:r>
      <w:r>
        <w:t>,</w:t>
      </w:r>
      <w:r w:rsidRPr="008B608C">
        <w:t xml:space="preserve"> </w:t>
      </w:r>
      <w:r w:rsidR="0062266F">
        <w:t>we</w:t>
      </w:r>
      <w:r w:rsidRPr="008B608C">
        <w:t xml:space="preserve"> </w:t>
      </w:r>
      <w:r>
        <w:t>ask what</w:t>
      </w:r>
      <w:r w:rsidR="0062266F">
        <w:t xml:space="preserve"> is meant by tax progressivity. We d</w:t>
      </w:r>
      <w:r>
        <w:t xml:space="preserve">iscuss some of the complexities </w:t>
      </w:r>
      <w:r w:rsidR="00577FF9">
        <w:t>that make progressivity a challenging concept</w:t>
      </w:r>
      <w:r w:rsidR="006870A0">
        <w:t xml:space="preserve"> to pin down</w:t>
      </w:r>
      <w:r w:rsidR="00220FF5">
        <w:t>. W</w:t>
      </w:r>
      <w:r w:rsidR="0062266F">
        <w:t>e</w:t>
      </w:r>
      <w:r w:rsidR="00220FF5">
        <w:t xml:space="preserve"> also</w:t>
      </w:r>
      <w:r w:rsidR="0062266F">
        <w:t xml:space="preserve"> </w:t>
      </w:r>
      <w:r>
        <w:t xml:space="preserve">explore </w:t>
      </w:r>
      <w:r w:rsidR="00220FF5">
        <w:t xml:space="preserve">some of the policy </w:t>
      </w:r>
      <w:r>
        <w:t xml:space="preserve">trade-offs between tax progressivity and </w:t>
      </w:r>
      <w:r w:rsidR="00DE27F7">
        <w:t xml:space="preserve">other </w:t>
      </w:r>
      <w:r>
        <w:t xml:space="preserve">tax system objectives. </w:t>
      </w:r>
      <w:r w:rsidR="00220FF5">
        <w:t xml:space="preserve">Or, to put it another way, we explore what is </w:t>
      </w:r>
      <w:r w:rsidR="005C0AEE">
        <w:t xml:space="preserve">being </w:t>
      </w:r>
      <w:r w:rsidR="00220FF5">
        <w:t>given up by pursuing a</w:t>
      </w:r>
      <w:r w:rsidR="008F37D2">
        <w:t xml:space="preserve"> progressive</w:t>
      </w:r>
      <w:r w:rsidR="00220FF5">
        <w:t xml:space="preserve"> personal income tax system. </w:t>
      </w:r>
      <w:r>
        <w:t xml:space="preserve">Second, </w:t>
      </w:r>
      <w:r w:rsidR="0062266F">
        <w:t>we</w:t>
      </w:r>
      <w:r w:rsidRPr="008B608C">
        <w:t xml:space="preserve"> </w:t>
      </w:r>
      <w:r>
        <w:t>examine</w:t>
      </w:r>
      <w:r w:rsidRPr="008B608C">
        <w:t xml:space="preserve"> </w:t>
      </w:r>
      <w:r>
        <w:t>Australia</w:t>
      </w:r>
      <w:r w:rsidR="0062266F">
        <w:t>’s</w:t>
      </w:r>
      <w:r>
        <w:t xml:space="preserve"> personal income </w:t>
      </w:r>
      <w:r w:rsidR="00DE27F7">
        <w:t xml:space="preserve">tax </w:t>
      </w:r>
      <w:r>
        <w:t xml:space="preserve">progressivity trends </w:t>
      </w:r>
      <w:r w:rsidR="00FA0A3C">
        <w:t xml:space="preserve">for the 22 year period </w:t>
      </w:r>
      <w:r w:rsidR="00804FB5">
        <w:t>from</w:t>
      </w:r>
      <w:r w:rsidR="00FA0A3C">
        <w:t xml:space="preserve"> </w:t>
      </w:r>
      <w:r w:rsidR="005C0AEE">
        <w:t>1994</w:t>
      </w:r>
      <w:r w:rsidR="005C0AEE">
        <w:noBreakHyphen/>
      </w:r>
      <w:r w:rsidR="007C1301">
        <w:t>95 to 201</w:t>
      </w:r>
      <w:r w:rsidR="006959C2">
        <w:t>5</w:t>
      </w:r>
      <w:r w:rsidR="00220FF5">
        <w:noBreakHyphen/>
      </w:r>
      <w:r w:rsidR="007C1301">
        <w:t>1</w:t>
      </w:r>
      <w:r w:rsidR="006959C2">
        <w:t>6</w:t>
      </w:r>
      <w:r w:rsidR="001369DB">
        <w:t>,</w:t>
      </w:r>
      <w:r w:rsidR="009407F3">
        <w:rPr>
          <w:rStyle w:val="FootnoteReference"/>
          <w:bCs/>
        </w:rPr>
        <w:footnoteReference w:id="4"/>
      </w:r>
      <w:r>
        <w:t xml:space="preserve"> in terms of average and marginal tax rates, the changing distribution of personal income tax</w:t>
      </w:r>
      <w:r w:rsidR="00DE27F7">
        <w:t xml:space="preserve"> paid</w:t>
      </w:r>
      <w:r>
        <w:t>, and the concentration of taxes</w:t>
      </w:r>
      <w:r w:rsidRPr="008B608C">
        <w:t>.</w:t>
      </w:r>
      <w:r w:rsidR="00FC7FA3">
        <w:t xml:space="preserve"> </w:t>
      </w:r>
      <w:r w:rsidR="000F3DA0">
        <w:t xml:space="preserve">We then </w:t>
      </w:r>
      <w:r w:rsidR="003A3338">
        <w:t>provid</w:t>
      </w:r>
      <w:r w:rsidR="000F3DA0">
        <w:t>e</w:t>
      </w:r>
      <w:r w:rsidR="003A3338">
        <w:t xml:space="preserve"> </w:t>
      </w:r>
      <w:r>
        <w:t>some concluding observations.</w:t>
      </w:r>
      <w:r w:rsidR="0062266F" w:rsidRPr="0062266F">
        <w:t xml:space="preserve"> </w:t>
      </w:r>
    </w:p>
    <w:bookmarkEnd w:id="34"/>
    <w:p w14:paraId="3E9E62C9" w14:textId="77777777" w:rsidR="00F012EA" w:rsidRDefault="001733A3" w:rsidP="00A106CA">
      <w:pPr>
        <w:pStyle w:val="Heading2"/>
        <w:spacing w:before="240"/>
        <w:ind w:left="0"/>
      </w:pPr>
      <w:r>
        <w:t>What is progressivity?</w:t>
      </w:r>
    </w:p>
    <w:p w14:paraId="3E9E62CA" w14:textId="77777777" w:rsidR="001733A3" w:rsidRDefault="00FB0264" w:rsidP="001733A3">
      <w:pPr>
        <w:jc w:val="both"/>
      </w:pPr>
      <w:bookmarkStart w:id="35" w:name="_Toc492458145"/>
      <w:r>
        <w:t>A tax can apply to a taxpaying population</w:t>
      </w:r>
      <w:r w:rsidR="001733A3">
        <w:t xml:space="preserve"> in one of three ways: </w:t>
      </w:r>
    </w:p>
    <w:p w14:paraId="3E9E62CB" w14:textId="0ADEA2B0" w:rsidR="001733A3" w:rsidRDefault="001733A3" w:rsidP="001733A3">
      <w:pPr>
        <w:pStyle w:val="Bullet"/>
        <w:keepNext w:val="0"/>
        <w:numPr>
          <w:ilvl w:val="0"/>
          <w:numId w:val="39"/>
        </w:numPr>
        <w:spacing w:after="200" w:line="276" w:lineRule="auto"/>
      </w:pPr>
      <w:r>
        <w:t xml:space="preserve">it is progressive if the </w:t>
      </w:r>
      <w:r w:rsidR="003D7A11">
        <w:t xml:space="preserve">average rate </w:t>
      </w:r>
      <w:r w:rsidR="00FB0264">
        <w:t xml:space="preserve">of tax </w:t>
      </w:r>
      <w:r>
        <w:t>increases as the base (for example</w:t>
      </w:r>
      <w:r w:rsidR="001369DB">
        <w:t>,</w:t>
      </w:r>
      <w:r>
        <w:t xml:space="preserve"> income or expenditure) increases;</w:t>
      </w:r>
    </w:p>
    <w:p w14:paraId="3E9E62CC" w14:textId="77777777" w:rsidR="001733A3" w:rsidRDefault="001733A3" w:rsidP="001733A3">
      <w:pPr>
        <w:pStyle w:val="Bullet"/>
        <w:keepNext w:val="0"/>
        <w:numPr>
          <w:ilvl w:val="0"/>
          <w:numId w:val="39"/>
        </w:numPr>
        <w:spacing w:after="200" w:line="276" w:lineRule="auto"/>
      </w:pPr>
      <w:r>
        <w:t xml:space="preserve">it is proportional if the </w:t>
      </w:r>
      <w:r w:rsidR="003D7A11">
        <w:t xml:space="preserve">average </w:t>
      </w:r>
      <w:r>
        <w:t>rate</w:t>
      </w:r>
      <w:r w:rsidR="00FB0264">
        <w:t xml:space="preserve"> of tax</w:t>
      </w:r>
      <w:r>
        <w:t xml:space="preserve"> </w:t>
      </w:r>
      <w:r w:rsidR="00FB0264">
        <w:t>is constant</w:t>
      </w:r>
      <w:r>
        <w:t xml:space="preserve">; and </w:t>
      </w:r>
    </w:p>
    <w:p w14:paraId="3E9E62CD" w14:textId="77777777" w:rsidR="001733A3" w:rsidRDefault="001733A3" w:rsidP="001733A3">
      <w:pPr>
        <w:pStyle w:val="Bullet"/>
        <w:keepNext w:val="0"/>
        <w:numPr>
          <w:ilvl w:val="0"/>
          <w:numId w:val="39"/>
        </w:numPr>
        <w:spacing w:after="200" w:line="276" w:lineRule="auto"/>
      </w:pPr>
      <w:r>
        <w:t xml:space="preserve">it is regressive if the </w:t>
      </w:r>
      <w:r w:rsidR="003D7A11">
        <w:t xml:space="preserve">average </w:t>
      </w:r>
      <w:r>
        <w:t xml:space="preserve">tax </w:t>
      </w:r>
      <w:r w:rsidR="003D7A11">
        <w:t xml:space="preserve">rate </w:t>
      </w:r>
      <w:r>
        <w:t xml:space="preserve">decreases as the base increases. </w:t>
      </w:r>
    </w:p>
    <w:p w14:paraId="3E9E62CE" w14:textId="77777777" w:rsidR="001733A3" w:rsidRPr="00FF7D84" w:rsidRDefault="00FB0264" w:rsidP="001369DB">
      <w:r>
        <w:t>Chart</w:t>
      </w:r>
      <w:r w:rsidR="00984D35">
        <w:t>s</w:t>
      </w:r>
      <w:r>
        <w:t xml:space="preserve"> 1</w:t>
      </w:r>
      <w:r w:rsidR="00984D35">
        <w:t>a and 1b</w:t>
      </w:r>
      <w:r>
        <w:t xml:space="preserve"> depict a progressive tax, a proportional tax and a regressive tax</w:t>
      </w:r>
      <w:r w:rsidR="00984D35">
        <w:t xml:space="preserve"> on an income tax base,</w:t>
      </w:r>
      <w:r>
        <w:t xml:space="preserve"> measured by average tax rate and tax paid. </w:t>
      </w:r>
      <w:r w:rsidR="001733A3">
        <w:t xml:space="preserve">Despite the average tax rate curves (Chart 1a) having a fundamentally different character, </w:t>
      </w:r>
      <w:r w:rsidR="002446ED">
        <w:t xml:space="preserve">with only one being progressive, </w:t>
      </w:r>
      <w:r w:rsidR="001733A3">
        <w:t>all three deliver a</w:t>
      </w:r>
      <w:r w:rsidR="00012EF1">
        <w:t>n outcome</w:t>
      </w:r>
      <w:r w:rsidR="001733A3">
        <w:t xml:space="preserve"> where tax paid increases as</w:t>
      </w:r>
      <w:r w:rsidR="00FF7D84">
        <w:t xml:space="preserve"> the base increases (Chart 1b).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98"/>
      </w:tblGrid>
      <w:tr w:rsidR="001733A3" w14:paraId="3E9E62D1" w14:textId="77777777" w:rsidTr="001733A3">
        <w:tc>
          <w:tcPr>
            <w:tcW w:w="4644" w:type="dxa"/>
          </w:tcPr>
          <w:p w14:paraId="67876F0D" w14:textId="430CF835" w:rsidR="005821AB" w:rsidRDefault="005821AB" w:rsidP="005821AB">
            <w:pPr>
              <w:pStyle w:val="ChartMainHeading"/>
              <w:rPr>
                <w:noProof/>
              </w:rPr>
            </w:pPr>
            <w:r>
              <w:rPr>
                <w:noProof/>
              </w:rPr>
              <w:lastRenderedPageBreak/>
              <w:t>Chart 1A</w:t>
            </w:r>
          </w:p>
          <w:p w14:paraId="3E9E62CF" w14:textId="21D0EFAC" w:rsidR="001733A3" w:rsidRPr="001733A3" w:rsidRDefault="001733A3" w:rsidP="005821AB">
            <w:pPr>
              <w:pStyle w:val="ChartSecondHeading"/>
              <w:rPr>
                <w:noProof/>
              </w:rPr>
            </w:pPr>
            <w:r>
              <w:rPr>
                <w:noProof/>
              </w:rPr>
              <w:t>A</w:t>
            </w:r>
            <w:r w:rsidRPr="003F04E2">
              <w:rPr>
                <w:noProof/>
              </w:rPr>
              <w:t xml:space="preserve"> </w:t>
            </w:r>
            <w:r>
              <w:rPr>
                <w:noProof/>
              </w:rPr>
              <w:t xml:space="preserve">stylised </w:t>
            </w:r>
            <w:r w:rsidRPr="003F04E2">
              <w:rPr>
                <w:noProof/>
              </w:rPr>
              <w:t xml:space="preserve">proportional, progressive and regressive tax, measured by </w:t>
            </w:r>
            <w:r>
              <w:rPr>
                <w:noProof/>
              </w:rPr>
              <w:t>average tax rate</w:t>
            </w:r>
          </w:p>
        </w:tc>
        <w:tc>
          <w:tcPr>
            <w:tcW w:w="4598" w:type="dxa"/>
          </w:tcPr>
          <w:p w14:paraId="044316AD" w14:textId="46F12F23" w:rsidR="005821AB" w:rsidRDefault="001733A3" w:rsidP="005821AB">
            <w:pPr>
              <w:pStyle w:val="ChartMainHeading"/>
              <w:rPr>
                <w:noProof/>
              </w:rPr>
            </w:pPr>
            <w:r w:rsidRPr="003916B6">
              <w:rPr>
                <w:noProof/>
              </w:rPr>
              <w:t>Chart 1</w:t>
            </w:r>
            <w:r w:rsidR="005821AB">
              <w:rPr>
                <w:noProof/>
              </w:rPr>
              <w:t>B</w:t>
            </w:r>
          </w:p>
          <w:p w14:paraId="3E9E62D0" w14:textId="11F1CC9B" w:rsidR="001733A3" w:rsidRPr="003916B6" w:rsidRDefault="001733A3" w:rsidP="005821AB">
            <w:pPr>
              <w:pStyle w:val="ChartSecondHeading"/>
              <w:rPr>
                <w:b/>
                <w:noProof/>
              </w:rPr>
            </w:pPr>
            <w:r>
              <w:rPr>
                <w:noProof/>
              </w:rPr>
              <w:t>A</w:t>
            </w:r>
            <w:r w:rsidRPr="003F04E2">
              <w:rPr>
                <w:noProof/>
              </w:rPr>
              <w:t xml:space="preserve"> </w:t>
            </w:r>
            <w:r>
              <w:rPr>
                <w:noProof/>
              </w:rPr>
              <w:t xml:space="preserve">stylised </w:t>
            </w:r>
            <w:r w:rsidRPr="003F04E2">
              <w:rPr>
                <w:noProof/>
              </w:rPr>
              <w:t xml:space="preserve">proportional, progressive and regressive tax, measured by </w:t>
            </w:r>
            <w:r>
              <w:rPr>
                <w:noProof/>
              </w:rPr>
              <w:t>tax paid</w:t>
            </w:r>
          </w:p>
        </w:tc>
      </w:tr>
      <w:tr w:rsidR="001733A3" w14:paraId="3E9E62D4" w14:textId="77777777" w:rsidTr="009407F3">
        <w:trPr>
          <w:trHeight w:val="3200"/>
        </w:trPr>
        <w:tc>
          <w:tcPr>
            <w:tcW w:w="4644" w:type="dxa"/>
          </w:tcPr>
          <w:p w14:paraId="3E9E62D2" w14:textId="77777777" w:rsidR="001733A3" w:rsidRDefault="00E4123D" w:rsidP="00E62588">
            <w:pPr>
              <w:pStyle w:val="ChartGraphic"/>
              <w:rPr>
                <w:noProof/>
              </w:rPr>
            </w:pPr>
            <w:r w:rsidRPr="00DA53C0">
              <w:rPr>
                <w:noProof/>
              </w:rPr>
              <w:drawing>
                <wp:inline distT="0" distB="0" distL="0" distR="0" wp14:anchorId="3E9E63D2" wp14:editId="3E9E63D3">
                  <wp:extent cx="2409113" cy="195262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14580" cy="1957056"/>
                          </a:xfrm>
                          <a:prstGeom prst="rect">
                            <a:avLst/>
                          </a:prstGeom>
                          <a:noFill/>
                          <a:ln>
                            <a:noFill/>
                          </a:ln>
                        </pic:spPr>
                      </pic:pic>
                    </a:graphicData>
                  </a:graphic>
                </wp:inline>
              </w:drawing>
            </w:r>
          </w:p>
        </w:tc>
        <w:tc>
          <w:tcPr>
            <w:tcW w:w="4598" w:type="dxa"/>
          </w:tcPr>
          <w:p w14:paraId="3E9E62D3" w14:textId="77777777" w:rsidR="001733A3" w:rsidRDefault="00E4123D" w:rsidP="00E62588">
            <w:pPr>
              <w:pStyle w:val="ChartGraphic"/>
              <w:rPr>
                <w:noProof/>
              </w:rPr>
            </w:pPr>
            <w:r w:rsidRPr="00DA53C0">
              <w:rPr>
                <w:noProof/>
              </w:rPr>
              <w:drawing>
                <wp:inline distT="0" distB="0" distL="0" distR="0" wp14:anchorId="3E9E63D4" wp14:editId="3E9E63D5">
                  <wp:extent cx="2560886" cy="194310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b="15928"/>
                          <a:stretch/>
                        </pic:blipFill>
                        <pic:spPr bwMode="auto">
                          <a:xfrm>
                            <a:off x="0" y="0"/>
                            <a:ext cx="2565947" cy="19469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E9E62D5" w14:textId="23EDA227" w:rsidR="001733A3" w:rsidRDefault="001733A3" w:rsidP="005821AB">
      <w:pPr>
        <w:pStyle w:val="ChartorTableNote"/>
      </w:pPr>
      <w:r>
        <w:t>Source: Author.</w:t>
      </w:r>
    </w:p>
    <w:p w14:paraId="6E727BBF" w14:textId="77777777" w:rsidR="005821AB" w:rsidRDefault="005821AB" w:rsidP="005821AB">
      <w:pPr>
        <w:pStyle w:val="SingleParagraph"/>
      </w:pPr>
    </w:p>
    <w:p w14:paraId="3E9E62D6" w14:textId="627D296F" w:rsidR="00984D35" w:rsidRDefault="00984D35" w:rsidP="001369DB">
      <w:pPr>
        <w:rPr>
          <w:lang w:eastAsia="en-AU"/>
        </w:rPr>
      </w:pPr>
      <w:r>
        <w:t xml:space="preserve">When assessing the progressivity of a tax, it is important to understand what is (and is not) in the tax base. </w:t>
      </w:r>
      <w:r w:rsidR="00F84524">
        <w:t>For this paper we will use the</w:t>
      </w:r>
      <w:r>
        <w:t xml:space="preserve"> general </w:t>
      </w:r>
      <w:r>
        <w:rPr>
          <w:lang w:eastAsia="en-AU"/>
        </w:rPr>
        <w:t xml:space="preserve">basis for calculating personal income tax </w:t>
      </w:r>
      <w:r w:rsidR="00F84524">
        <w:rPr>
          <w:lang w:eastAsia="en-AU"/>
        </w:rPr>
        <w:t xml:space="preserve">liabilities – ‘taxable income’ </w:t>
      </w:r>
      <w:r w:rsidR="008F37D2">
        <w:rPr>
          <w:lang w:eastAsia="en-AU"/>
        </w:rPr>
        <w:t xml:space="preserve">– </w:t>
      </w:r>
      <w:r>
        <w:rPr>
          <w:lang w:eastAsia="en-AU"/>
        </w:rPr>
        <w:t xml:space="preserve">on an individual taxpayer’s annual cash flow. This definition includes </w:t>
      </w:r>
      <w:r w:rsidRPr="00A862A4">
        <w:rPr>
          <w:lang w:eastAsia="en-AU"/>
        </w:rPr>
        <w:t xml:space="preserve">the primary forms of labour income, </w:t>
      </w:r>
      <w:r>
        <w:rPr>
          <w:lang w:eastAsia="en-AU"/>
        </w:rPr>
        <w:t>typically salary and wages</w:t>
      </w:r>
      <w:r w:rsidRPr="00A862A4">
        <w:rPr>
          <w:lang w:eastAsia="en-AU"/>
        </w:rPr>
        <w:t>,</w:t>
      </w:r>
      <w:r>
        <w:rPr>
          <w:lang w:eastAsia="en-AU"/>
        </w:rPr>
        <w:t xml:space="preserve"> as well as</w:t>
      </w:r>
      <w:r w:rsidRPr="00A862A4">
        <w:rPr>
          <w:lang w:eastAsia="en-AU"/>
        </w:rPr>
        <w:t xml:space="preserve"> </w:t>
      </w:r>
      <w:r>
        <w:rPr>
          <w:lang w:eastAsia="en-AU"/>
        </w:rPr>
        <w:t xml:space="preserve">net </w:t>
      </w:r>
      <w:r w:rsidRPr="00A862A4">
        <w:rPr>
          <w:lang w:eastAsia="en-AU"/>
        </w:rPr>
        <w:t>capital gains</w:t>
      </w:r>
      <w:r>
        <w:rPr>
          <w:lang w:eastAsia="en-AU"/>
        </w:rPr>
        <w:t xml:space="preserve"> (noting that there are a range of discounts and exemptions for some capital gains)</w:t>
      </w:r>
      <w:r w:rsidRPr="00A862A4">
        <w:rPr>
          <w:lang w:eastAsia="en-AU"/>
        </w:rPr>
        <w:t>, interest, dividends, royalties and rental income</w:t>
      </w:r>
      <w:r>
        <w:rPr>
          <w:lang w:eastAsia="en-AU"/>
        </w:rPr>
        <w:t>.</w:t>
      </w:r>
      <w:r w:rsidRPr="004933B2">
        <w:rPr>
          <w:lang w:eastAsia="en-AU"/>
        </w:rPr>
        <w:t xml:space="preserve"> </w:t>
      </w:r>
      <w:r>
        <w:rPr>
          <w:lang w:eastAsia="en-AU"/>
        </w:rPr>
        <w:t>The definition also excludes the earnings of some individuals. For example, if an individual indirectly earns and retains income through a superannuation fund, corporate entity or trust, this income will not be observed as part of that individual’s taxable income in a particular year.</w:t>
      </w:r>
    </w:p>
    <w:p w14:paraId="3E9E62D7" w14:textId="77777777" w:rsidR="00747F6C" w:rsidRDefault="00984D35" w:rsidP="001369DB">
      <w:pPr>
        <w:rPr>
          <w:lang w:eastAsia="en-AU"/>
        </w:rPr>
      </w:pPr>
      <w:r>
        <w:t>A</w:t>
      </w:r>
      <w:r w:rsidR="003772E1">
        <w:t xml:space="preserve"> </w:t>
      </w:r>
      <w:r w:rsidR="001733A3">
        <w:t xml:space="preserve">tax system constructed entirely of flat marginal </w:t>
      </w:r>
      <w:r w:rsidR="003A3338">
        <w:t xml:space="preserve">rate </w:t>
      </w:r>
      <w:r w:rsidR="001733A3">
        <w:t xml:space="preserve">tiers – </w:t>
      </w:r>
      <w:r w:rsidR="00F008B3">
        <w:t xml:space="preserve">such as </w:t>
      </w:r>
      <w:r w:rsidR="001733A3">
        <w:t xml:space="preserve">Australia’s personal income tax system – will </w:t>
      </w:r>
      <w:r>
        <w:t>still be</w:t>
      </w:r>
      <w:r w:rsidR="001733A3">
        <w:t xml:space="preserve"> progressive provided the</w:t>
      </w:r>
      <w:r>
        <w:t xml:space="preserve"> </w:t>
      </w:r>
      <w:r w:rsidR="001733A3" w:rsidRPr="00427B74">
        <w:t>average</w:t>
      </w:r>
      <w:r w:rsidR="001733A3">
        <w:t xml:space="preserve"> tax rate curve</w:t>
      </w:r>
      <w:r>
        <w:t xml:space="preserve"> is upwards sloping</w:t>
      </w:r>
      <w:r w:rsidR="001733A3">
        <w:t xml:space="preserve">. </w:t>
      </w:r>
      <w:r w:rsidR="00427B74">
        <w:t xml:space="preserve"> This means that two individuals with different levels of taxable income may face the same </w:t>
      </w:r>
      <w:r w:rsidR="00427B74" w:rsidRPr="00427B74">
        <w:rPr>
          <w:i/>
        </w:rPr>
        <w:t>marginal</w:t>
      </w:r>
      <w:r w:rsidR="00427B74">
        <w:t xml:space="preserve"> tax rate, while the individual with a higher income will face a higher </w:t>
      </w:r>
      <w:r w:rsidR="00427B74" w:rsidRPr="00427B74">
        <w:rPr>
          <w:i/>
        </w:rPr>
        <w:t>average</w:t>
      </w:r>
      <w:r w:rsidR="00427B74">
        <w:t xml:space="preserve"> tax rate</w:t>
      </w:r>
      <w:r w:rsidR="00427B74">
        <w:rPr>
          <w:rStyle w:val="FootnoteReference"/>
        </w:rPr>
        <w:footnoteReference w:id="5"/>
      </w:r>
      <w:r w:rsidR="00427B74">
        <w:t xml:space="preserve">. </w:t>
      </w:r>
      <w:r w:rsidR="00F84524">
        <w:t>To illustrate, take the</w:t>
      </w:r>
      <w:r w:rsidR="00427B74">
        <w:t xml:space="preserve"> simplified, stylised progressive personal tax rate scales proposed in the </w:t>
      </w:r>
      <w:r w:rsidR="00427B74" w:rsidRPr="00E74725">
        <w:rPr>
          <w:i/>
        </w:rPr>
        <w:t>Review of Australia’s Future Tax System</w:t>
      </w:r>
      <w:r w:rsidR="00427B74">
        <w:t xml:space="preserve"> (Chart 2). </w:t>
      </w:r>
      <w:r w:rsidR="001733A3">
        <w:t>Person A with</w:t>
      </w:r>
      <w:r w:rsidR="00F008B3">
        <w:t xml:space="preserve"> taxable income of</w:t>
      </w:r>
      <w:r w:rsidR="001733A3">
        <w:t xml:space="preserve"> $150,000 faces a marginal tax rate of 35 per cent and pays $43,750 in tax</w:t>
      </w:r>
      <w:r w:rsidR="00427B74">
        <w:t>,</w:t>
      </w:r>
      <w:r w:rsidR="001733A3">
        <w:t xml:space="preserve"> at an average tax rate of 29.2 </w:t>
      </w:r>
      <w:r w:rsidR="003A3338">
        <w:t>per cent. Person </w:t>
      </w:r>
      <w:r w:rsidR="001733A3">
        <w:t xml:space="preserve">B with </w:t>
      </w:r>
      <w:r w:rsidR="00F008B3">
        <w:t xml:space="preserve">taxable income of </w:t>
      </w:r>
      <w:r w:rsidR="001733A3">
        <w:t xml:space="preserve">$50,000 also faces </w:t>
      </w:r>
      <w:r w:rsidR="00387F2C">
        <w:t xml:space="preserve">the same </w:t>
      </w:r>
      <w:r w:rsidR="001733A3">
        <w:t xml:space="preserve">35 per cent marginal tax rate </w:t>
      </w:r>
      <w:r w:rsidR="00387F2C">
        <w:t xml:space="preserve">but </w:t>
      </w:r>
      <w:r w:rsidR="001733A3">
        <w:t xml:space="preserve">pays $8,750 in tax </w:t>
      </w:r>
      <w:r w:rsidR="00D4545D">
        <w:t xml:space="preserve">at </w:t>
      </w:r>
      <w:r w:rsidR="001733A3">
        <w:t>an average tax rate of 1</w:t>
      </w:r>
      <w:r w:rsidR="00A3394E">
        <w:t>7</w:t>
      </w:r>
      <w:r w:rsidR="001733A3">
        <w:t xml:space="preserve">.5 per cent. Person A earns three times as much as person B, but pays about five times as much tax, and contributes </w:t>
      </w:r>
      <w:r w:rsidR="005229B1">
        <w:t>a much greater</w:t>
      </w:r>
      <w:r w:rsidR="001733A3">
        <w:t xml:space="preserve"> share of their income as tax</w:t>
      </w:r>
      <w:r w:rsidR="009E25D7">
        <w:t xml:space="preserve">. </w:t>
      </w:r>
    </w:p>
    <w:p w14:paraId="3E9E62D8" w14:textId="77777777" w:rsidR="00747F6C" w:rsidRPr="00FE04EA" w:rsidRDefault="00747F6C" w:rsidP="005821AB">
      <w:pPr>
        <w:pStyle w:val="ChartMainHeading"/>
      </w:pPr>
      <w:r w:rsidRPr="00FD13D1">
        <w:lastRenderedPageBreak/>
        <w:t>Chart 2</w:t>
      </w:r>
      <w:r w:rsidRPr="00FE04EA">
        <w:t>. Indicative personal income tax rates scale</w:t>
      </w:r>
    </w:p>
    <w:p w14:paraId="3E9E62D9" w14:textId="77777777" w:rsidR="001733A3" w:rsidRDefault="009E25D7" w:rsidP="00E62588">
      <w:pPr>
        <w:pStyle w:val="ChartGraphic"/>
      </w:pPr>
      <w:r>
        <w:rPr>
          <w:noProof/>
        </w:rPr>
        <w:drawing>
          <wp:inline distT="0" distB="0" distL="0" distR="0" wp14:anchorId="3E9E63D6" wp14:editId="34304F1E">
            <wp:extent cx="5311471" cy="2353586"/>
            <wp:effectExtent l="0" t="0" r="3810"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3FD0BC" w14:textId="77777777" w:rsidR="001369DB" w:rsidRDefault="00E32E89" w:rsidP="005821AB">
      <w:pPr>
        <w:pStyle w:val="ChartorTableNote"/>
      </w:pPr>
      <w:r>
        <w:t>Note: See appendix for tax paid, marginal tax rates and average tax rates by taxable income</w:t>
      </w:r>
    </w:p>
    <w:p w14:paraId="264D0B29" w14:textId="2538847F" w:rsidR="005821AB" w:rsidRDefault="001733A3" w:rsidP="005821AB">
      <w:pPr>
        <w:pStyle w:val="ChartorTableNote"/>
      </w:pPr>
      <w:r w:rsidRPr="00FD13D1">
        <w:t xml:space="preserve">Source: </w:t>
      </w:r>
      <w:r w:rsidR="00DF5CAF">
        <w:t>Author</w:t>
      </w:r>
      <w:r w:rsidR="00E4123D">
        <w:t xml:space="preserve"> calculations</w:t>
      </w:r>
      <w:r w:rsidR="00F26992">
        <w:t>, Review of Australia’s Future Tax System.</w:t>
      </w:r>
    </w:p>
    <w:p w14:paraId="3E9E62DA" w14:textId="021E36D1" w:rsidR="001733A3" w:rsidRDefault="001733A3" w:rsidP="005821AB">
      <w:pPr>
        <w:pStyle w:val="SingleParagraph"/>
      </w:pPr>
    </w:p>
    <w:bookmarkEnd w:id="35"/>
    <w:p w14:paraId="3E9E62DB" w14:textId="77777777" w:rsidR="00804FB5" w:rsidRDefault="00930450" w:rsidP="003772E1">
      <w:pPr>
        <w:jc w:val="both"/>
      </w:pPr>
      <w:r>
        <w:t>T</w:t>
      </w:r>
      <w:r w:rsidR="0029524E">
        <w:t>he</w:t>
      </w:r>
      <w:r w:rsidR="00624CD2">
        <w:t xml:space="preserve">re are two </w:t>
      </w:r>
      <w:r>
        <w:t xml:space="preserve">factors that influence </w:t>
      </w:r>
      <w:r w:rsidR="00624CD2">
        <w:t>the</w:t>
      </w:r>
      <w:r>
        <w:t xml:space="preserve"> way the</w:t>
      </w:r>
      <w:r w:rsidR="00624CD2">
        <w:t xml:space="preserve"> average tax rate curve affects a population. </w:t>
      </w:r>
    </w:p>
    <w:p w14:paraId="3E9E62DC" w14:textId="77777777" w:rsidR="00804FB5" w:rsidRDefault="002740B8" w:rsidP="001369DB">
      <w:r>
        <w:t xml:space="preserve">The first is </w:t>
      </w:r>
      <w:r w:rsidR="0062266F">
        <w:t>policy decisions</w:t>
      </w:r>
      <w:r w:rsidR="00C358BD">
        <w:t xml:space="preserve">, which </w:t>
      </w:r>
      <w:r w:rsidR="00387F2C">
        <w:t xml:space="preserve">directly </w:t>
      </w:r>
      <w:r w:rsidR="0062266F">
        <w:t xml:space="preserve">change the </w:t>
      </w:r>
      <w:r w:rsidR="0062266F" w:rsidRPr="005513F0">
        <w:rPr>
          <w:i/>
        </w:rPr>
        <w:t>shape</w:t>
      </w:r>
      <w:r w:rsidR="0062266F">
        <w:t xml:space="preserve"> of the average tax curve</w:t>
      </w:r>
      <w:r w:rsidR="00211698">
        <w:t xml:space="preserve"> and what is captured as part of the tax base</w:t>
      </w:r>
      <w:r w:rsidR="00354A98">
        <w:t>.</w:t>
      </w:r>
      <w:r w:rsidR="0062266F">
        <w:t xml:space="preserve"> </w:t>
      </w:r>
      <w:r w:rsidR="00C358BD">
        <w:t>Policy decisions include governments altering headline marginal</w:t>
      </w:r>
      <w:r w:rsidR="00C358BD" w:rsidRPr="00BA43EC">
        <w:t xml:space="preserve"> rates and thresholds </w:t>
      </w:r>
      <w:r w:rsidR="0029524E">
        <w:t xml:space="preserve">to increase </w:t>
      </w:r>
      <w:r w:rsidR="00624CD2">
        <w:t xml:space="preserve">the average tax rate </w:t>
      </w:r>
      <w:r w:rsidR="0029524E">
        <w:t>slope (become ‘relatively more progressive’) or flatten its slope (become ‘relatively less progressive’)</w:t>
      </w:r>
      <w:r w:rsidR="005C0AEE">
        <w:t xml:space="preserve">. They also include </w:t>
      </w:r>
      <w:r w:rsidR="00C358BD">
        <w:t xml:space="preserve">decisions to </w:t>
      </w:r>
      <w:r w:rsidR="003772E1" w:rsidRPr="00BA43EC">
        <w:t>broaden or narrow the inco</w:t>
      </w:r>
      <w:r w:rsidR="005C0AEE">
        <w:t xml:space="preserve">me tax base </w:t>
      </w:r>
      <w:r w:rsidR="003772E1">
        <w:t xml:space="preserve">through exemptions, offsets </w:t>
      </w:r>
      <w:r w:rsidR="00211698">
        <w:t>and</w:t>
      </w:r>
      <w:r w:rsidR="003772E1" w:rsidRPr="00BA43EC">
        <w:t xml:space="preserve"> ded</w:t>
      </w:r>
      <w:r w:rsidR="005C0AEE">
        <w:t>uctions</w:t>
      </w:r>
      <w:r w:rsidR="003772E1">
        <w:t xml:space="preserve">. </w:t>
      </w:r>
      <w:r w:rsidR="00C358BD">
        <w:t>Such policy</w:t>
      </w:r>
      <w:r w:rsidR="0029524E">
        <w:t xml:space="preserve"> </w:t>
      </w:r>
      <w:r w:rsidR="00C358BD">
        <w:t xml:space="preserve">decisions may </w:t>
      </w:r>
      <w:r w:rsidR="00354A98">
        <w:t xml:space="preserve">affect taxpayers at the bottom, middle and top of the income distribution </w:t>
      </w:r>
      <w:r w:rsidR="00C358BD">
        <w:t xml:space="preserve">in </w:t>
      </w:r>
      <w:r w:rsidR="00354A98">
        <w:t>different</w:t>
      </w:r>
      <w:r w:rsidR="00C358BD">
        <w:t xml:space="preserve"> ways</w:t>
      </w:r>
      <w:r w:rsidR="00354A98">
        <w:t>.</w:t>
      </w:r>
      <w:r w:rsidR="0018563A">
        <w:t xml:space="preserve"> </w:t>
      </w:r>
    </w:p>
    <w:p w14:paraId="3E9E62DD" w14:textId="77777777" w:rsidR="003772E1" w:rsidRDefault="002740B8" w:rsidP="001369DB">
      <w:r>
        <w:t xml:space="preserve">The second </w:t>
      </w:r>
      <w:r w:rsidR="00930450">
        <w:t>factor</w:t>
      </w:r>
      <w:r w:rsidR="00C358BD">
        <w:t xml:space="preserve"> </w:t>
      </w:r>
      <w:r w:rsidR="0018563A">
        <w:t xml:space="preserve">is </w:t>
      </w:r>
      <w:r w:rsidR="00624CD2">
        <w:t>nominal</w:t>
      </w:r>
      <w:r w:rsidR="0029524E">
        <w:t xml:space="preserve"> </w:t>
      </w:r>
      <w:r w:rsidR="00635760">
        <w:t>income growth</w:t>
      </w:r>
      <w:r w:rsidR="00354A98">
        <w:t xml:space="preserve">, which </w:t>
      </w:r>
      <w:r w:rsidR="0062266F">
        <w:t>push</w:t>
      </w:r>
      <w:r w:rsidR="00354A98">
        <w:t>es</w:t>
      </w:r>
      <w:r w:rsidR="0062266F">
        <w:t xml:space="preserve"> individual taxpayers </w:t>
      </w:r>
      <w:r w:rsidR="0062266F" w:rsidRPr="005513F0">
        <w:rPr>
          <w:i/>
        </w:rPr>
        <w:t>along</w:t>
      </w:r>
      <w:r w:rsidR="0062266F">
        <w:t xml:space="preserve"> the average tax rate curve</w:t>
      </w:r>
      <w:r w:rsidR="000A3D4E">
        <w:t>.</w:t>
      </w:r>
      <w:r>
        <w:t xml:space="preserve"> </w:t>
      </w:r>
      <w:r w:rsidR="0018563A">
        <w:t>People’s</w:t>
      </w:r>
      <w:r w:rsidR="00354A98">
        <w:t xml:space="preserve"> pre-tax income</w:t>
      </w:r>
      <w:r w:rsidR="0018563A">
        <w:t>s</w:t>
      </w:r>
      <w:r w:rsidR="00354A98">
        <w:t xml:space="preserve"> </w:t>
      </w:r>
      <w:r w:rsidR="0018563A">
        <w:t>g</w:t>
      </w:r>
      <w:r w:rsidR="00354A98">
        <w:t xml:space="preserve">row independently of tax policy changes. </w:t>
      </w:r>
      <w:r w:rsidR="0018563A">
        <w:t>B</w:t>
      </w:r>
      <w:r w:rsidR="00354A98">
        <w:t>racket creep</w:t>
      </w:r>
      <w:r w:rsidR="0029524E">
        <w:t>,</w:t>
      </w:r>
      <w:r w:rsidR="0018563A">
        <w:t xml:space="preserve"> which </w:t>
      </w:r>
      <w:r w:rsidR="0018563A" w:rsidRPr="00354A98">
        <w:t xml:space="preserve">occurs when </w:t>
      </w:r>
      <w:r w:rsidR="0029524E">
        <w:t>individuals</w:t>
      </w:r>
      <w:r w:rsidR="0018563A" w:rsidRPr="00354A98">
        <w:t xml:space="preserve"> </w:t>
      </w:r>
      <w:r w:rsidR="0029524E">
        <w:t>pay a higher proportion of their income as tax</w:t>
      </w:r>
      <w:r w:rsidR="0029524E" w:rsidRPr="00354A98">
        <w:t xml:space="preserve"> </w:t>
      </w:r>
      <w:r w:rsidR="0018563A" w:rsidRPr="00354A98">
        <w:t>due to income growth</w:t>
      </w:r>
      <w:r w:rsidR="0029524E">
        <w:t>,</w:t>
      </w:r>
      <w:r w:rsidR="0018563A">
        <w:t xml:space="preserve"> </w:t>
      </w:r>
      <w:r w:rsidR="00624CD2">
        <w:t xml:space="preserve">then </w:t>
      </w:r>
      <w:r w:rsidR="00354A98">
        <w:t xml:space="preserve">becomes an </w:t>
      </w:r>
      <w:r w:rsidR="000C2457">
        <w:t xml:space="preserve">‘automatic’ feature of </w:t>
      </w:r>
      <w:r w:rsidR="0018563A">
        <w:t xml:space="preserve">a system that </w:t>
      </w:r>
      <w:r w:rsidR="00354A98">
        <w:t xml:space="preserve">contains </w:t>
      </w:r>
      <w:r w:rsidR="000C2457">
        <w:t xml:space="preserve">a </w:t>
      </w:r>
      <w:r w:rsidR="00987B23">
        <w:t>fixed</w:t>
      </w:r>
      <w:r w:rsidR="000C2457">
        <w:t xml:space="preserve"> (non-indexed) progressive tax schedule</w:t>
      </w:r>
      <w:r w:rsidR="00354A98">
        <w:t>.</w:t>
      </w:r>
      <w:r w:rsidR="0018563A">
        <w:rPr>
          <w:rStyle w:val="FootnoteReference"/>
        </w:rPr>
        <w:footnoteReference w:id="6"/>
      </w:r>
      <w:r w:rsidR="0018563A">
        <w:t xml:space="preserve"> </w:t>
      </w:r>
      <w:r w:rsidR="00624CD2">
        <w:t xml:space="preserve">The effect of policy decisions and income growth </w:t>
      </w:r>
      <w:r w:rsidR="00930450">
        <w:t>is</w:t>
      </w:r>
      <w:r w:rsidR="00624CD2">
        <w:t xml:space="preserve"> illustrated in Chart 3.</w:t>
      </w:r>
    </w:p>
    <w:p w14:paraId="3E9E62DE" w14:textId="77777777" w:rsidR="0062266F" w:rsidRDefault="0062266F" w:rsidP="005821AB">
      <w:pPr>
        <w:pStyle w:val="ChartMainHeading"/>
      </w:pPr>
      <w:r w:rsidRPr="0004210A">
        <w:t>Chart 3.</w:t>
      </w:r>
      <w:r>
        <w:t xml:space="preserve"> Stylised effect of income growth and policy change on average tax </w:t>
      </w:r>
    </w:p>
    <w:p w14:paraId="3E9E62DF" w14:textId="77777777" w:rsidR="0062266F" w:rsidRDefault="0048090B" w:rsidP="0062266F">
      <w:pPr>
        <w:pStyle w:val="Bullet"/>
        <w:numPr>
          <w:ilvl w:val="0"/>
          <w:numId w:val="0"/>
        </w:numPr>
        <w:jc w:val="center"/>
      </w:pPr>
      <w:r>
        <w:rPr>
          <w:noProof/>
          <w:lang w:eastAsia="en-AU"/>
        </w:rPr>
        <mc:AlternateContent>
          <mc:Choice Requires="wps">
            <w:drawing>
              <wp:anchor distT="0" distB="0" distL="114300" distR="114300" simplePos="0" relativeHeight="251660288" behindDoc="0" locked="0" layoutInCell="1" allowOverlap="1" wp14:anchorId="3E9E63D8" wp14:editId="28793AE4">
                <wp:simplePos x="0" y="0"/>
                <wp:positionH relativeFrom="column">
                  <wp:posOffset>5296535</wp:posOffset>
                </wp:positionH>
                <wp:positionV relativeFrom="paragraph">
                  <wp:posOffset>1848636</wp:posOffset>
                </wp:positionV>
                <wp:extent cx="1077595" cy="381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1077595"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E6428" w14:textId="77777777" w:rsidR="0005796A" w:rsidRPr="0048090B" w:rsidRDefault="0005796A">
                            <w:pPr>
                              <w:rPr>
                                <w:color w:val="445566" w:themeColor="accent4" w:themeShade="80"/>
                                <w:sz w:val="18"/>
                              </w:rPr>
                            </w:pPr>
                            <w:r w:rsidRPr="0048090B">
                              <w:rPr>
                                <w:color w:val="445566" w:themeColor="accent4" w:themeShade="80"/>
                                <w:sz w:val="18"/>
                              </w:rPr>
                              <w:t xml:space="preserve">Change definition of taxable income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E63D8" id="_x0000_t202" coordsize="21600,21600" o:spt="202" path="m,l,21600r21600,l21600,xe">
                <v:stroke joinstyle="miter"/>
                <v:path gradientshapeok="t" o:connecttype="rect"/>
              </v:shapetype>
              <v:shape id="Text Box 7" o:spid="_x0000_s1026" type="#_x0000_t202" style="position:absolute;left:0;text-align:left;margin-left:417.05pt;margin-top:145.55pt;width:84.8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" filled="f" stroked="f" strokeweight=".5pt">
                <v:textbox>
                  <w:txbxContent>
                    <w:p w14:paraId="3E9E6428" w14:textId="77777777" w:rsidR="0005796A" w:rsidRPr="0048090B" w:rsidRDefault="0005796A">
                      <w:pPr>
                        <w:rPr>
                          <w:color w:val="445566" w:themeColor="accent4" w:themeShade="80"/>
                          <w:sz w:val="18"/>
                        </w:rPr>
                      </w:pPr>
                      <w:r w:rsidRPr="0048090B">
                        <w:rPr>
                          <w:color w:val="445566" w:themeColor="accent4" w:themeShade="80"/>
                          <w:sz w:val="18"/>
                        </w:rPr>
                        <w:t xml:space="preserve">Change definition of taxable income  </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3E9E63DA" wp14:editId="3C4A1095">
                <wp:simplePos x="0" y="0"/>
                <wp:positionH relativeFrom="column">
                  <wp:posOffset>4965065</wp:posOffset>
                </wp:positionH>
                <wp:positionV relativeFrom="paragraph">
                  <wp:posOffset>2053590</wp:posOffset>
                </wp:positionV>
                <wp:extent cx="375285" cy="0"/>
                <wp:effectExtent l="0" t="95250" r="0" b="95250"/>
                <wp:wrapNone/>
                <wp:docPr id="2" name="Straight Arrow Connector 2"/>
                <wp:cNvGraphicFramePr/>
                <a:graphic xmlns:a="http://schemas.openxmlformats.org/drawingml/2006/main">
                  <a:graphicData uri="http://schemas.microsoft.com/office/word/2010/wordprocessingShape">
                    <wps:wsp>
                      <wps:cNvCnPr/>
                      <wps:spPr>
                        <a:xfrm flipH="1">
                          <a:off x="0" y="0"/>
                          <a:ext cx="375285" cy="0"/>
                        </a:xfrm>
                        <a:prstGeom prst="straightConnector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1113BF" id="_x0000_t32" coordsize="21600,21600" o:spt="32" o:oned="t" path="m,l21600,21600e" filled="f">
                <v:path arrowok="t" fillok="f" o:connecttype="none"/>
                <o:lock v:ext="edit" shapetype="t"/>
              </v:shapetype>
              <v:shape id="Straight Arrow Connector 2" o:spid="_x0000_s1026" type="#_x0000_t32" style="position:absolute;margin-left:390.95pt;margin-top:161.7pt;width:29.5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" strokecolor="#00284f [3044]" strokeweight="2.25pt">
                <v:stroke endarrow="block"/>
              </v:shape>
            </w:pict>
          </mc:Fallback>
        </mc:AlternateContent>
      </w:r>
      <w:r w:rsidR="00F038FB" w:rsidRPr="00F038FB">
        <w:rPr>
          <w:noProof/>
          <w:lang w:eastAsia="en-AU"/>
        </w:rPr>
        <w:drawing>
          <wp:inline distT="0" distB="0" distL="0" distR="0" wp14:anchorId="3E9E63DC" wp14:editId="3E9E63DD">
            <wp:extent cx="4540250" cy="2187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40288" cy="2187572"/>
                    </a:xfrm>
                    <a:prstGeom prst="rect">
                      <a:avLst/>
                    </a:prstGeom>
                    <a:noFill/>
                    <a:ln>
                      <a:noFill/>
                    </a:ln>
                  </pic:spPr>
                </pic:pic>
              </a:graphicData>
            </a:graphic>
          </wp:inline>
        </w:drawing>
      </w:r>
    </w:p>
    <w:p w14:paraId="3E9E62E0" w14:textId="62CCA574" w:rsidR="00804FB5" w:rsidRDefault="00804FB5" w:rsidP="005821AB">
      <w:pPr>
        <w:pStyle w:val="ChartorTableNote"/>
      </w:pPr>
      <w:r w:rsidRPr="00804FB5">
        <w:t xml:space="preserve">Source: </w:t>
      </w:r>
      <w:r>
        <w:t>A</w:t>
      </w:r>
      <w:r w:rsidRPr="00804FB5">
        <w:t>uthor</w:t>
      </w:r>
      <w:r>
        <w:t xml:space="preserve"> calculations.</w:t>
      </w:r>
    </w:p>
    <w:p w14:paraId="5FF442EF" w14:textId="29F6FB2F" w:rsidR="005821AB" w:rsidRPr="00804FB5" w:rsidRDefault="005821AB" w:rsidP="005821AB">
      <w:pPr>
        <w:pStyle w:val="SingleParagraph"/>
      </w:pPr>
    </w:p>
    <w:p w14:paraId="3E9E62E1" w14:textId="77777777" w:rsidR="00834EA1" w:rsidRPr="00DA564D" w:rsidRDefault="00930450" w:rsidP="001369DB">
      <w:r w:rsidRPr="00DA564D">
        <w:lastRenderedPageBreak/>
        <w:t xml:space="preserve">Evaluations of progressivity hinge on comparisons of </w:t>
      </w:r>
      <w:r w:rsidR="00834EA1" w:rsidRPr="00DA564D">
        <w:t>different points</w:t>
      </w:r>
      <w:r w:rsidRPr="00DA564D">
        <w:t xml:space="preserve"> along the distribution</w:t>
      </w:r>
      <w:r w:rsidR="00834EA1" w:rsidRPr="00DA564D">
        <w:t xml:space="preserve">. </w:t>
      </w:r>
      <w:r w:rsidR="00DA564D" w:rsidRPr="00DA564D">
        <w:t xml:space="preserve">These comparisons are based on </w:t>
      </w:r>
      <w:r w:rsidRPr="00DA564D">
        <w:t xml:space="preserve">perceptions </w:t>
      </w:r>
      <w:r w:rsidR="00DA564D" w:rsidRPr="00DA564D">
        <w:t>of</w:t>
      </w:r>
      <w:r w:rsidRPr="00DA564D">
        <w:t xml:space="preserve"> where </w:t>
      </w:r>
      <w:r w:rsidR="00834EA1" w:rsidRPr="00DA564D">
        <w:t>‘you’</w:t>
      </w:r>
      <w:r w:rsidRPr="00DA564D">
        <w:t xml:space="preserve"> are (</w:t>
      </w:r>
      <w:r w:rsidR="00DA564D" w:rsidRPr="00DA564D">
        <w:t xml:space="preserve">the </w:t>
      </w:r>
      <w:r w:rsidRPr="00DA564D">
        <w:t>tax rate</w:t>
      </w:r>
      <w:r w:rsidR="00DA564D" w:rsidRPr="00DA564D">
        <w:t xml:space="preserve"> that applies to your income</w:t>
      </w:r>
      <w:r w:rsidRPr="00DA564D">
        <w:t>)</w:t>
      </w:r>
      <w:r w:rsidR="00834EA1" w:rsidRPr="00DA564D">
        <w:t xml:space="preserve"> relative to </w:t>
      </w:r>
      <w:r w:rsidRPr="00DA564D">
        <w:t>someone else</w:t>
      </w:r>
      <w:r w:rsidR="00DA564D" w:rsidRPr="00DA564D">
        <w:t xml:space="preserve"> (the tax rate that applies to their income)</w:t>
      </w:r>
      <w:r w:rsidR="00834EA1" w:rsidRPr="00DA564D">
        <w:t xml:space="preserve">. </w:t>
      </w:r>
      <w:r w:rsidR="00DA564D" w:rsidRPr="00DA564D">
        <w:t xml:space="preserve"> </w:t>
      </w:r>
      <w:r w:rsidR="00834EA1" w:rsidRPr="00DA564D">
        <w:t>Additional layer</w:t>
      </w:r>
      <w:r w:rsidR="00DA564D" w:rsidRPr="00DA564D">
        <w:t>s</w:t>
      </w:r>
      <w:r w:rsidR="00834EA1" w:rsidRPr="00DA564D">
        <w:t xml:space="preserve"> of difficult</w:t>
      </w:r>
      <w:r w:rsidR="00DA564D" w:rsidRPr="00DA564D">
        <w:t xml:space="preserve">y are added </w:t>
      </w:r>
      <w:r w:rsidR="00834EA1" w:rsidRPr="00DA564D">
        <w:t xml:space="preserve">when comparing </w:t>
      </w:r>
      <w:r w:rsidR="00DA564D" w:rsidRPr="00DA564D">
        <w:t xml:space="preserve">across </w:t>
      </w:r>
      <w:r w:rsidR="006B182C">
        <w:t>different tax</w:t>
      </w:r>
      <w:r w:rsidR="00DA564D" w:rsidRPr="00DA564D">
        <w:t xml:space="preserve"> bases, for example, both income and superannuation, or </w:t>
      </w:r>
      <w:r w:rsidR="006B182C">
        <w:t>between</w:t>
      </w:r>
      <w:r w:rsidR="00DA564D" w:rsidRPr="00DA564D">
        <w:t xml:space="preserve"> </w:t>
      </w:r>
      <w:r w:rsidR="00834EA1" w:rsidRPr="00DA564D">
        <w:t xml:space="preserve">two different points in time. </w:t>
      </w:r>
      <w:r w:rsidR="00211698">
        <w:t>Drawing meaning from such comparisons moves beyond technical definitions, and into exploring the rationale behind income taxation.</w:t>
      </w:r>
    </w:p>
    <w:p w14:paraId="3E9E62E2" w14:textId="77777777" w:rsidR="001733A3" w:rsidRDefault="0062266F" w:rsidP="005821AB">
      <w:pPr>
        <w:pStyle w:val="Heading3"/>
      </w:pPr>
      <w:r>
        <w:t>Why progressive income taxation?</w:t>
      </w:r>
    </w:p>
    <w:p w14:paraId="3E9E62E3" w14:textId="77777777" w:rsidR="00C96373" w:rsidRDefault="00C33CA6" w:rsidP="001369DB">
      <w:r>
        <w:rPr>
          <w:lang w:val="en"/>
        </w:rPr>
        <w:t>T</w:t>
      </w:r>
      <w:r w:rsidR="000C2457">
        <w:rPr>
          <w:lang w:val="en"/>
        </w:rPr>
        <w:t>ax progressivity is not</w:t>
      </w:r>
      <w:r w:rsidR="000C2457">
        <w:t xml:space="preserve"> a precise science. T</w:t>
      </w:r>
      <w:r w:rsidR="001733A3">
        <w:t>here is no ideal or ‘optimal’ anal</w:t>
      </w:r>
      <w:r w:rsidR="002740B8">
        <w:t xml:space="preserve">ytical level of </w:t>
      </w:r>
      <w:r w:rsidR="00602464">
        <w:t xml:space="preserve">tax </w:t>
      </w:r>
      <w:r w:rsidR="002740B8">
        <w:t>progressivity</w:t>
      </w:r>
      <w:r w:rsidR="0076060F">
        <w:rPr>
          <w:lang w:val="en"/>
        </w:rPr>
        <w:t>.</w:t>
      </w:r>
      <w:r w:rsidR="002740B8">
        <w:t xml:space="preserve"> Instead, t</w:t>
      </w:r>
      <w:r w:rsidR="003A3338">
        <w:t xml:space="preserve">he </w:t>
      </w:r>
      <w:r w:rsidR="00624CD2">
        <w:t xml:space="preserve">‘right’ </w:t>
      </w:r>
      <w:r w:rsidR="003A3338">
        <w:t>degree of tax progressivity</w:t>
      </w:r>
      <w:r w:rsidR="00602464">
        <w:t xml:space="preserve"> </w:t>
      </w:r>
      <w:r w:rsidR="00C96373">
        <w:t xml:space="preserve">is a question </w:t>
      </w:r>
      <w:r w:rsidR="009A76E3">
        <w:t xml:space="preserve">ultimately </w:t>
      </w:r>
      <w:r w:rsidR="00A3394E">
        <w:t xml:space="preserve">determined </w:t>
      </w:r>
      <w:r w:rsidR="00C96373">
        <w:t>through the political process</w:t>
      </w:r>
      <w:r w:rsidR="00602464">
        <w:t xml:space="preserve">. It hinges on </w:t>
      </w:r>
      <w:r w:rsidR="00C96373">
        <w:rPr>
          <w:lang w:val="en"/>
        </w:rPr>
        <w:t xml:space="preserve">judgements that are based on societal </w:t>
      </w:r>
      <w:r w:rsidR="006D33C5">
        <w:rPr>
          <w:lang w:val="en"/>
        </w:rPr>
        <w:t xml:space="preserve">preferences for equity or </w:t>
      </w:r>
      <w:r w:rsidR="00C96373">
        <w:rPr>
          <w:lang w:val="en"/>
        </w:rPr>
        <w:t>fairness</w:t>
      </w:r>
      <w:r w:rsidR="006D33C5">
        <w:rPr>
          <w:lang w:val="en"/>
        </w:rPr>
        <w:t xml:space="preserve"> (which may change over time) relative to other policy objectives</w:t>
      </w:r>
      <w:r w:rsidR="00A21D95">
        <w:rPr>
          <w:lang w:val="en"/>
        </w:rPr>
        <w:t xml:space="preserve">. </w:t>
      </w:r>
    </w:p>
    <w:p w14:paraId="3E9E62E4" w14:textId="287526BF" w:rsidR="00BA43EC" w:rsidRDefault="003772E1" w:rsidP="001369DB">
      <w:r>
        <w:t>N</w:t>
      </w:r>
      <w:r w:rsidR="0077408C">
        <w:t>otions of f</w:t>
      </w:r>
      <w:r w:rsidR="002A1056">
        <w:t xml:space="preserve">airness </w:t>
      </w:r>
      <w:r w:rsidR="0077408C">
        <w:t>are</w:t>
      </w:r>
      <w:r w:rsidR="002A1056">
        <w:t xml:space="preserve"> subjective, nebulous and contested. </w:t>
      </w:r>
      <w:r w:rsidR="0077408C">
        <w:t xml:space="preserve">They are </w:t>
      </w:r>
      <w:r w:rsidR="002A1056">
        <w:t>based on morals and ethics, with arguments drawn from a number of competing theories and philosophies of distributive justice</w:t>
      </w:r>
      <w:r w:rsidR="001369DB">
        <w:t>.</w:t>
      </w:r>
      <w:r w:rsidR="002A1056">
        <w:rPr>
          <w:rStyle w:val="FootnoteReference"/>
        </w:rPr>
        <w:footnoteReference w:id="7"/>
      </w:r>
      <w:r w:rsidR="00CD1B05">
        <w:t xml:space="preserve"> </w:t>
      </w:r>
      <w:r w:rsidR="003A3338">
        <w:t>Given there is no single viewpoint on what is fair, and judging fairness frequently relies upon value judgements, w</w:t>
      </w:r>
      <w:r w:rsidR="00CD1B05">
        <w:t>e do</w:t>
      </w:r>
      <w:r w:rsidR="002A1056">
        <w:t xml:space="preserve"> not intend to place a particular emphasis on</w:t>
      </w:r>
      <w:r w:rsidR="008B51DF">
        <w:t xml:space="preserve"> any</w:t>
      </w:r>
      <w:r w:rsidR="00CD1B05">
        <w:t xml:space="preserve"> </w:t>
      </w:r>
      <w:r w:rsidR="003A3338">
        <w:t>of these philosophies</w:t>
      </w:r>
      <w:r w:rsidR="002A1056">
        <w:t xml:space="preserve">. All three </w:t>
      </w:r>
      <w:r w:rsidR="00CD1B05">
        <w:t>taxes shown</w:t>
      </w:r>
      <w:r w:rsidR="005D2162">
        <w:t xml:space="preserve"> in Chart 1</w:t>
      </w:r>
      <w:r w:rsidR="00C845CD">
        <w:t>a</w:t>
      </w:r>
      <w:r w:rsidR="005D2162">
        <w:t xml:space="preserve">, for example, </w:t>
      </w:r>
      <w:r w:rsidR="002A1056">
        <w:t>could be argued as fair by particular individuals and in certain contexts.</w:t>
      </w:r>
      <w:r w:rsidR="00551527">
        <w:rPr>
          <w:rStyle w:val="FootnoteReference"/>
        </w:rPr>
        <w:footnoteReference w:id="8"/>
      </w:r>
      <w:r w:rsidR="00012EF1">
        <w:t xml:space="preserve"> </w:t>
      </w:r>
    </w:p>
    <w:p w14:paraId="3E9E62E5" w14:textId="6FFDA50E" w:rsidR="000C2457" w:rsidRDefault="000C2457" w:rsidP="001369DB">
      <w:pPr>
        <w:rPr>
          <w:lang w:val="en"/>
        </w:rPr>
      </w:pPr>
      <w:r>
        <w:t>However</w:t>
      </w:r>
      <w:r w:rsidR="002740B8">
        <w:t xml:space="preserve">, </w:t>
      </w:r>
      <w:r w:rsidR="0077408C">
        <w:t>t</w:t>
      </w:r>
      <w:r w:rsidR="00B1706B">
        <w:t xml:space="preserve">wo </w:t>
      </w:r>
      <w:r w:rsidR="00602464">
        <w:t>fairness</w:t>
      </w:r>
      <w:r w:rsidR="00B1706B">
        <w:t xml:space="preserve"> principles are often cited as policy rationales for </w:t>
      </w:r>
      <w:r w:rsidR="001733A3">
        <w:t xml:space="preserve">progressive </w:t>
      </w:r>
      <w:r w:rsidR="00FF7D84">
        <w:t xml:space="preserve">income </w:t>
      </w:r>
      <w:r w:rsidR="001733A3">
        <w:t>tax</w:t>
      </w:r>
      <w:r w:rsidR="00B1706B">
        <w:t>ation</w:t>
      </w:r>
      <w:r w:rsidR="001733A3">
        <w:t xml:space="preserve">: </w:t>
      </w:r>
      <w:r w:rsidR="00987B23">
        <w:t>‘</w:t>
      </w:r>
      <w:r w:rsidR="001733A3">
        <w:t>the benefit principle</w:t>
      </w:r>
      <w:r w:rsidR="00987B23">
        <w:t>’</w:t>
      </w:r>
      <w:r w:rsidR="001733A3">
        <w:t>, which can be generalised as taxation being ‘the price of engaging in civilised society</w:t>
      </w:r>
      <w:r w:rsidR="00F86EE3">
        <w:t>’</w:t>
      </w:r>
      <w:r w:rsidR="001369DB">
        <w:t>;</w:t>
      </w:r>
      <w:r w:rsidR="00F86EE3">
        <w:rPr>
          <w:rStyle w:val="FootnoteReference"/>
        </w:rPr>
        <w:footnoteReference w:id="9"/>
      </w:r>
      <w:r w:rsidR="001733A3">
        <w:t xml:space="preserve"> and </w:t>
      </w:r>
      <w:r w:rsidR="00987B23">
        <w:t>‘</w:t>
      </w:r>
      <w:r w:rsidR="001733A3">
        <w:t>the capacity to pay principle</w:t>
      </w:r>
      <w:r w:rsidR="00987B23">
        <w:t>’</w:t>
      </w:r>
      <w:r w:rsidR="001733A3">
        <w:t xml:space="preserve">, which can be generalised as </w:t>
      </w:r>
      <w:r w:rsidR="001733A3" w:rsidRPr="00127001">
        <w:rPr>
          <w:lang w:val="en"/>
        </w:rPr>
        <w:t xml:space="preserve">an individual’s ability to pay tax increases as his or her income </w:t>
      </w:r>
      <w:r w:rsidR="001733A3">
        <w:rPr>
          <w:lang w:val="en"/>
        </w:rPr>
        <w:t>(or assets)</w:t>
      </w:r>
      <w:r w:rsidR="001733A3" w:rsidRPr="00127001">
        <w:rPr>
          <w:lang w:val="en"/>
        </w:rPr>
        <w:t xml:space="preserve"> increase</w:t>
      </w:r>
      <w:r w:rsidR="001733A3">
        <w:rPr>
          <w:lang w:val="en"/>
        </w:rPr>
        <w:t xml:space="preserve">. </w:t>
      </w:r>
      <w:r w:rsidR="003478A7">
        <w:rPr>
          <w:lang w:val="en"/>
        </w:rPr>
        <w:t>These</w:t>
      </w:r>
      <w:r>
        <w:rPr>
          <w:lang w:val="en"/>
        </w:rPr>
        <w:t xml:space="preserve"> rationale</w:t>
      </w:r>
      <w:r w:rsidR="003478A7">
        <w:rPr>
          <w:lang w:val="en"/>
        </w:rPr>
        <w:t>s</w:t>
      </w:r>
      <w:r>
        <w:rPr>
          <w:lang w:val="en"/>
        </w:rPr>
        <w:t xml:space="preserve"> </w:t>
      </w:r>
      <w:r w:rsidR="00987B23">
        <w:rPr>
          <w:lang w:val="en"/>
        </w:rPr>
        <w:t>behind</w:t>
      </w:r>
      <w:r>
        <w:rPr>
          <w:lang w:val="en"/>
        </w:rPr>
        <w:t xml:space="preserve"> progressive income taxation </w:t>
      </w:r>
      <w:r w:rsidR="003478A7">
        <w:rPr>
          <w:lang w:val="en"/>
        </w:rPr>
        <w:t>have</w:t>
      </w:r>
      <w:r>
        <w:rPr>
          <w:lang w:val="en"/>
        </w:rPr>
        <w:t xml:space="preserve"> attracted </w:t>
      </w:r>
      <w:r>
        <w:t>widespread political and community support within Australia over an extended period of time.</w:t>
      </w:r>
      <w:r>
        <w:rPr>
          <w:rStyle w:val="FootnoteReference"/>
        </w:rPr>
        <w:footnoteReference w:id="10"/>
      </w:r>
    </w:p>
    <w:p w14:paraId="3E9E62E6" w14:textId="77777777" w:rsidR="001733A3" w:rsidRPr="0035716D" w:rsidRDefault="001733A3" w:rsidP="001369DB">
      <w:r>
        <w:rPr>
          <w:lang w:val="en"/>
        </w:rPr>
        <w:t>As part of the capacity to pay p</w:t>
      </w:r>
      <w:r w:rsidR="00602464">
        <w:rPr>
          <w:lang w:val="en"/>
        </w:rPr>
        <w:t>rinciple, the 1975 </w:t>
      </w:r>
      <w:r>
        <w:rPr>
          <w:lang w:val="en"/>
        </w:rPr>
        <w:t xml:space="preserve">Asprey </w:t>
      </w:r>
      <w:r w:rsidR="00987B23">
        <w:rPr>
          <w:lang w:val="en"/>
        </w:rPr>
        <w:t>R</w:t>
      </w:r>
      <w:r>
        <w:rPr>
          <w:lang w:val="en"/>
        </w:rPr>
        <w:t>eview discussed two key concepts of vertical and horizontal equity. Specifically:</w:t>
      </w:r>
    </w:p>
    <w:p w14:paraId="3E9E62E7" w14:textId="77777777" w:rsidR="001733A3" w:rsidRDefault="001733A3" w:rsidP="001369DB">
      <w:pPr>
        <w:spacing w:after="0"/>
        <w:ind w:left="720"/>
        <w:jc w:val="both"/>
        <w:rPr>
          <w:lang w:val="en"/>
        </w:rPr>
      </w:pPr>
      <w:r w:rsidRPr="0035716D">
        <w:rPr>
          <w:i/>
          <w:sz w:val="20"/>
          <w:lang w:val="en"/>
        </w:rPr>
        <w:t xml:space="preserve">As a quality of a tax or a tax system everyone demands fairness, or equity (the terms will be used </w:t>
      </w:r>
      <w:r w:rsidRPr="00E354BA">
        <w:rPr>
          <w:i/>
          <w:sz w:val="20"/>
          <w:szCs w:val="20"/>
          <w:lang w:val="en"/>
        </w:rPr>
        <w:t xml:space="preserve">interchangeably). But, in tax matters as in law and ethics, it is an ideal exceedingly difficult to define and harder still to measure. It is customary to distinguish the two dimensions of ‘horizontal’ and </w:t>
      </w:r>
      <w:r w:rsidRPr="001369DB">
        <w:rPr>
          <w:b/>
          <w:i/>
          <w:sz w:val="20"/>
          <w:szCs w:val="20"/>
          <w:lang w:val="en"/>
        </w:rPr>
        <w:t>‘</w:t>
      </w:r>
      <w:r w:rsidRPr="00E354BA">
        <w:rPr>
          <w:b/>
          <w:i/>
          <w:sz w:val="20"/>
          <w:szCs w:val="20"/>
          <w:lang w:val="en"/>
        </w:rPr>
        <w:t>vertical’ equity: the notions that it is fair that</w:t>
      </w:r>
      <w:r w:rsidRPr="00E354BA">
        <w:rPr>
          <w:i/>
          <w:sz w:val="20"/>
          <w:szCs w:val="20"/>
          <w:lang w:val="en"/>
        </w:rPr>
        <w:t xml:space="preserve"> persons in the same situation should be equally treated, and</w:t>
      </w:r>
      <w:r w:rsidRPr="00E354BA">
        <w:rPr>
          <w:b/>
          <w:i/>
          <w:sz w:val="20"/>
          <w:szCs w:val="20"/>
          <w:lang w:val="en"/>
        </w:rPr>
        <w:t xml:space="preserve"> those in different situations [should be] differently treated, with those more favourably placed being required to pay more.</w:t>
      </w:r>
      <w:r w:rsidR="00291E04">
        <w:rPr>
          <w:rStyle w:val="FootnoteReference"/>
          <w:b/>
          <w:i/>
          <w:sz w:val="20"/>
          <w:szCs w:val="20"/>
          <w:lang w:val="en"/>
        </w:rPr>
        <w:footnoteReference w:id="11"/>
      </w:r>
      <w:r w:rsidR="00F008B3" w:rsidRPr="00E354BA">
        <w:rPr>
          <w:b/>
          <w:i/>
          <w:sz w:val="20"/>
          <w:szCs w:val="20"/>
          <w:lang w:val="en"/>
        </w:rPr>
        <w:t xml:space="preserve"> </w:t>
      </w:r>
      <w:r w:rsidR="00F008B3" w:rsidRPr="00E354BA">
        <w:rPr>
          <w:sz w:val="20"/>
          <w:szCs w:val="20"/>
          <w:lang w:val="en"/>
        </w:rPr>
        <w:t>[emphasis added]</w:t>
      </w:r>
    </w:p>
    <w:p w14:paraId="3E9E62E8" w14:textId="77777777" w:rsidR="00E05C00" w:rsidRDefault="001733A3" w:rsidP="001369DB">
      <w:pPr>
        <w:rPr>
          <w:lang w:val="en"/>
        </w:rPr>
      </w:pPr>
      <w:r>
        <w:rPr>
          <w:lang w:val="en"/>
        </w:rPr>
        <w:lastRenderedPageBreak/>
        <w:t xml:space="preserve">The </w:t>
      </w:r>
      <w:r w:rsidR="000C2457">
        <w:rPr>
          <w:lang w:val="en"/>
        </w:rPr>
        <w:t xml:space="preserve">concept of </w:t>
      </w:r>
      <w:r>
        <w:rPr>
          <w:lang w:val="en"/>
        </w:rPr>
        <w:t xml:space="preserve">vertical equity, in particular, </w:t>
      </w:r>
      <w:r w:rsidR="000C2457">
        <w:rPr>
          <w:lang w:val="en"/>
        </w:rPr>
        <w:t xml:space="preserve">may </w:t>
      </w:r>
      <w:r>
        <w:rPr>
          <w:lang w:val="en"/>
        </w:rPr>
        <w:t xml:space="preserve">help explain the presence of progressive income tax rates in Australia. </w:t>
      </w:r>
      <w:r w:rsidR="00B1706B">
        <w:rPr>
          <w:lang w:val="en"/>
        </w:rPr>
        <w:t>I</w:t>
      </w:r>
      <w:r w:rsidR="00B1706B" w:rsidRPr="00127001">
        <w:rPr>
          <w:lang w:val="en"/>
        </w:rPr>
        <w:t>ncomes</w:t>
      </w:r>
      <w:r w:rsidR="00B1706B">
        <w:rPr>
          <w:lang w:val="en"/>
        </w:rPr>
        <w:t xml:space="preserve"> are not evenly distributed across the Australian population, and these differences </w:t>
      </w:r>
      <w:r w:rsidR="000C2457">
        <w:rPr>
          <w:lang w:val="en"/>
        </w:rPr>
        <w:t>result in</w:t>
      </w:r>
      <w:r w:rsidR="00B1706B">
        <w:rPr>
          <w:lang w:val="en"/>
        </w:rPr>
        <w:t xml:space="preserve"> different capacities to pay </w:t>
      </w:r>
      <w:r w:rsidR="000C2457">
        <w:rPr>
          <w:lang w:val="en"/>
        </w:rPr>
        <w:t xml:space="preserve">income </w:t>
      </w:r>
      <w:r w:rsidR="00B1706B">
        <w:rPr>
          <w:lang w:val="en"/>
        </w:rPr>
        <w:t xml:space="preserve">tax. </w:t>
      </w:r>
      <w:r w:rsidRPr="00127001">
        <w:rPr>
          <w:lang w:val="en"/>
        </w:rPr>
        <w:t>A</w:t>
      </w:r>
      <w:r>
        <w:rPr>
          <w:lang w:val="en"/>
        </w:rPr>
        <w:t xml:space="preserve"> proportional income tax levied at a constan</w:t>
      </w:r>
      <w:r w:rsidRPr="00127001">
        <w:rPr>
          <w:lang w:val="en"/>
        </w:rPr>
        <w:t xml:space="preserve">t percentage rate </w:t>
      </w:r>
      <w:r>
        <w:rPr>
          <w:lang w:val="en"/>
        </w:rPr>
        <w:t xml:space="preserve">(without exemptions or arbitrage opportunities that undermine horizontal equity) </w:t>
      </w:r>
      <w:r w:rsidRPr="00127001">
        <w:rPr>
          <w:lang w:val="en"/>
        </w:rPr>
        <w:t xml:space="preserve">would provide for a proportionate </w:t>
      </w:r>
      <w:r w:rsidR="00627FDC">
        <w:rPr>
          <w:lang w:val="en"/>
        </w:rPr>
        <w:t>obligation</w:t>
      </w:r>
      <w:r w:rsidR="00627FDC" w:rsidRPr="00127001">
        <w:rPr>
          <w:lang w:val="en"/>
        </w:rPr>
        <w:t xml:space="preserve"> </w:t>
      </w:r>
      <w:r w:rsidRPr="00127001">
        <w:rPr>
          <w:lang w:val="en"/>
        </w:rPr>
        <w:t>across all individual taxpayers</w:t>
      </w:r>
      <w:r w:rsidR="00107582">
        <w:rPr>
          <w:lang w:val="en"/>
        </w:rPr>
        <w:t>, with those on higher incomes paying higher</w:t>
      </w:r>
      <w:r w:rsidR="00627FDC">
        <w:rPr>
          <w:lang w:val="en"/>
        </w:rPr>
        <w:t xml:space="preserve"> amounts of</w:t>
      </w:r>
      <w:r w:rsidR="00107582">
        <w:rPr>
          <w:lang w:val="en"/>
        </w:rPr>
        <w:t xml:space="preserve"> tax</w:t>
      </w:r>
      <w:r w:rsidRPr="00127001">
        <w:rPr>
          <w:lang w:val="en"/>
        </w:rPr>
        <w:t>.</w:t>
      </w:r>
      <w:r>
        <w:rPr>
          <w:lang w:val="en"/>
        </w:rPr>
        <w:t xml:space="preserve"> </w:t>
      </w:r>
      <w:r w:rsidR="006B182C">
        <w:rPr>
          <w:lang w:val="en"/>
        </w:rPr>
        <w:t>However, p</w:t>
      </w:r>
      <w:r w:rsidR="00107582">
        <w:rPr>
          <w:lang w:val="en"/>
        </w:rPr>
        <w:t>rogressive</w:t>
      </w:r>
      <w:r w:rsidR="00A21D95">
        <w:rPr>
          <w:lang w:val="en"/>
        </w:rPr>
        <w:t xml:space="preserve"> income</w:t>
      </w:r>
      <w:r w:rsidR="00107582">
        <w:rPr>
          <w:lang w:val="en"/>
        </w:rPr>
        <w:t xml:space="preserve"> taxation, where </w:t>
      </w:r>
      <w:r>
        <w:rPr>
          <w:lang w:val="en"/>
        </w:rPr>
        <w:t>those on higher incomes pay higher</w:t>
      </w:r>
      <w:r w:rsidRPr="00127001">
        <w:rPr>
          <w:lang w:val="en"/>
        </w:rPr>
        <w:t xml:space="preserve"> </w:t>
      </w:r>
      <w:r w:rsidR="00CD1B05">
        <w:rPr>
          <w:lang w:val="en"/>
        </w:rPr>
        <w:t xml:space="preserve">average </w:t>
      </w:r>
      <w:r>
        <w:rPr>
          <w:lang w:val="en"/>
        </w:rPr>
        <w:t>rates</w:t>
      </w:r>
      <w:r w:rsidRPr="00127001">
        <w:rPr>
          <w:lang w:val="en"/>
        </w:rPr>
        <w:t xml:space="preserve"> of</w:t>
      </w:r>
      <w:r>
        <w:rPr>
          <w:lang w:val="en"/>
        </w:rPr>
        <w:t xml:space="preserve"> income</w:t>
      </w:r>
      <w:r w:rsidRPr="00127001">
        <w:rPr>
          <w:lang w:val="en"/>
        </w:rPr>
        <w:t xml:space="preserve"> tax</w:t>
      </w:r>
      <w:r>
        <w:rPr>
          <w:lang w:val="en"/>
        </w:rPr>
        <w:t xml:space="preserve"> than those on low</w:t>
      </w:r>
      <w:r w:rsidR="00107582">
        <w:rPr>
          <w:lang w:val="en"/>
        </w:rPr>
        <w:t>er</w:t>
      </w:r>
      <w:r>
        <w:rPr>
          <w:lang w:val="en"/>
        </w:rPr>
        <w:t xml:space="preserve"> incomes, has come to</w:t>
      </w:r>
      <w:r w:rsidR="007753E9">
        <w:rPr>
          <w:lang w:val="en"/>
        </w:rPr>
        <w:t xml:space="preserve"> be seen as </w:t>
      </w:r>
      <w:r>
        <w:rPr>
          <w:lang w:val="en"/>
        </w:rPr>
        <w:t xml:space="preserve">a key </w:t>
      </w:r>
      <w:r w:rsidR="007753E9">
        <w:rPr>
          <w:lang w:val="en"/>
        </w:rPr>
        <w:t xml:space="preserve">means for </w:t>
      </w:r>
      <w:r>
        <w:rPr>
          <w:lang w:val="en"/>
        </w:rPr>
        <w:t xml:space="preserve">satisfying </w:t>
      </w:r>
      <w:r w:rsidR="00107582">
        <w:rPr>
          <w:lang w:val="en"/>
        </w:rPr>
        <w:t xml:space="preserve">demands for </w:t>
      </w:r>
      <w:r>
        <w:rPr>
          <w:lang w:val="en"/>
        </w:rPr>
        <w:t>vertical</w:t>
      </w:r>
      <w:r w:rsidR="00E05C00">
        <w:rPr>
          <w:lang w:val="en"/>
        </w:rPr>
        <w:t xml:space="preserve"> equity. </w:t>
      </w:r>
    </w:p>
    <w:p w14:paraId="3E9E62E9" w14:textId="77777777" w:rsidR="005D2162" w:rsidRDefault="00C845CD" w:rsidP="005821AB">
      <w:pPr>
        <w:pStyle w:val="Heading3"/>
        <w:rPr>
          <w:lang w:val="en"/>
        </w:rPr>
      </w:pPr>
      <w:r>
        <w:t xml:space="preserve">Progressivity requires </w:t>
      </w:r>
      <w:r w:rsidR="001733A3" w:rsidRPr="001733A3">
        <w:t xml:space="preserve">trade-offs </w:t>
      </w:r>
    </w:p>
    <w:p w14:paraId="3E9E62EA" w14:textId="77777777" w:rsidR="00551C99" w:rsidRDefault="000C2457" w:rsidP="001369DB">
      <w:r>
        <w:t>In considering</w:t>
      </w:r>
      <w:r w:rsidR="00551C99">
        <w:t xml:space="preserve"> ‘how much’ progressivity </w:t>
      </w:r>
      <w:r>
        <w:t>we might want in a tax system, we require</w:t>
      </w:r>
      <w:r w:rsidR="00551C99">
        <w:t xml:space="preserve"> two sets of judgements.  </w:t>
      </w:r>
    </w:p>
    <w:p w14:paraId="3E9E62EB" w14:textId="77777777" w:rsidR="00551C99" w:rsidRDefault="00551C99" w:rsidP="001369DB">
      <w:r>
        <w:t xml:space="preserve">First, progressivity must be balanced against other desirable features of the tax system (with objectives typically categorised into equity, efficiency, simplicity, and sustainability). In particular, progressivity can adversely affect the efficiency of </w:t>
      </w:r>
      <w:r w:rsidR="00F26992">
        <w:t>the</w:t>
      </w:r>
      <w:r>
        <w:t xml:space="preserve"> </w:t>
      </w:r>
      <w:r w:rsidR="006B182C">
        <w:t xml:space="preserve">system. </w:t>
      </w:r>
      <w:r>
        <w:t xml:space="preserve">Escalating marginal effective tax rates can </w:t>
      </w:r>
      <w:r w:rsidR="00F26992">
        <w:t>distort</w:t>
      </w:r>
      <w:r>
        <w:t xml:space="preserve"> individual decisions to work, save and invest</w:t>
      </w:r>
      <w:r w:rsidR="006B182C">
        <w:t xml:space="preserve">. </w:t>
      </w:r>
      <w:r>
        <w:t xml:space="preserve">This </w:t>
      </w:r>
      <w:r w:rsidR="006B182C">
        <w:t>is irrespective of whether one is a lower or higher income earner</w:t>
      </w:r>
      <w:r>
        <w:t xml:space="preserve">. </w:t>
      </w:r>
      <w:r w:rsidRPr="00F52CFB">
        <w:rPr>
          <w:lang w:val="en"/>
        </w:rPr>
        <w:t xml:space="preserve">In general, systems that are more steeply progressive </w:t>
      </w:r>
      <w:r w:rsidRPr="00627FDC">
        <w:rPr>
          <w:lang w:val="en"/>
        </w:rPr>
        <w:t>—</w:t>
      </w:r>
      <w:r w:rsidRPr="00F52CFB">
        <w:rPr>
          <w:lang w:val="en"/>
        </w:rPr>
        <w:t xml:space="preserve"> that is, with higher marginal tax rates and a greater distance between marginal and average tax rate curves </w:t>
      </w:r>
      <w:r w:rsidRPr="00627FDC">
        <w:rPr>
          <w:lang w:val="en"/>
        </w:rPr>
        <w:t>—</w:t>
      </w:r>
      <w:r w:rsidRPr="00F52CFB">
        <w:rPr>
          <w:lang w:val="en"/>
        </w:rPr>
        <w:t xml:space="preserve"> will</w:t>
      </w:r>
      <w:r>
        <w:rPr>
          <w:lang w:val="en"/>
        </w:rPr>
        <w:t xml:space="preserve"> generate greater inefficiencies</w:t>
      </w:r>
      <w:r w:rsidRPr="00F52CFB">
        <w:rPr>
          <w:lang w:val="en"/>
        </w:rPr>
        <w:t>.</w:t>
      </w:r>
      <w:r>
        <w:rPr>
          <w:lang w:val="en"/>
        </w:rPr>
        <w:t xml:space="preserve"> </w:t>
      </w:r>
    </w:p>
    <w:p w14:paraId="3E9E62EC" w14:textId="4FFC5328" w:rsidR="00B0173A" w:rsidRDefault="00551C99" w:rsidP="001369DB">
      <w:pPr>
        <w:rPr>
          <w:lang w:val="en"/>
        </w:rPr>
      </w:pPr>
      <w:r>
        <w:t>Second, and perhaps less widely recognised,</w:t>
      </w:r>
      <w:r w:rsidR="00B0173A">
        <w:t xml:space="preserve"> the</w:t>
      </w:r>
      <w:r>
        <w:t xml:space="preserve"> </w:t>
      </w:r>
      <w:r w:rsidR="00685AFC">
        <w:t xml:space="preserve">vertical equity </w:t>
      </w:r>
      <w:r w:rsidR="00B0173A">
        <w:t xml:space="preserve">objectives of progressivity </w:t>
      </w:r>
      <w:r>
        <w:t>must be balanced against other conceptions of fairness.</w:t>
      </w:r>
      <w:r w:rsidR="001E4A8A">
        <w:t xml:space="preserve"> In particular, t</w:t>
      </w:r>
      <w:r w:rsidR="00C4196F">
        <w:rPr>
          <w:lang w:val="en"/>
        </w:rPr>
        <w:t>here is the potential for tension between vertical equity and horiz</w:t>
      </w:r>
      <w:r w:rsidR="003A3338">
        <w:rPr>
          <w:lang w:val="en"/>
        </w:rPr>
        <w:t>ontal equity</w:t>
      </w:r>
      <w:r w:rsidR="00C4196F">
        <w:rPr>
          <w:lang w:val="en"/>
        </w:rPr>
        <w:t>.</w:t>
      </w:r>
      <w:r w:rsidR="00E05C00">
        <w:rPr>
          <w:rStyle w:val="FootnoteReference"/>
          <w:lang w:val="en"/>
        </w:rPr>
        <w:footnoteReference w:id="12"/>
      </w:r>
      <w:r w:rsidR="00C4196F">
        <w:rPr>
          <w:lang w:val="en"/>
        </w:rPr>
        <w:t xml:space="preserve"> </w:t>
      </w:r>
      <w:r w:rsidR="00C4196F" w:rsidRPr="00A66058">
        <w:rPr>
          <w:lang w:val="en"/>
        </w:rPr>
        <w:t xml:space="preserve">Australia’s tax system is </w:t>
      </w:r>
      <w:r w:rsidR="00C777A7" w:rsidRPr="00A66058">
        <w:rPr>
          <w:lang w:val="en"/>
        </w:rPr>
        <w:t xml:space="preserve">highly </w:t>
      </w:r>
      <w:r w:rsidR="00C4196F" w:rsidRPr="00A66058">
        <w:rPr>
          <w:lang w:val="en"/>
        </w:rPr>
        <w:t xml:space="preserve">complex </w:t>
      </w:r>
      <w:r w:rsidR="000C2457">
        <w:rPr>
          <w:lang w:val="en"/>
        </w:rPr>
        <w:t>with</w:t>
      </w:r>
      <w:r w:rsidR="00C4196F" w:rsidRPr="00A66058">
        <w:rPr>
          <w:lang w:val="en"/>
        </w:rPr>
        <w:t xml:space="preserve"> different </w:t>
      </w:r>
      <w:r w:rsidR="000C2457">
        <w:rPr>
          <w:lang w:val="en"/>
        </w:rPr>
        <w:t xml:space="preserve">income </w:t>
      </w:r>
      <w:r w:rsidR="00C4196F" w:rsidRPr="00A66058">
        <w:rPr>
          <w:lang w:val="en"/>
        </w:rPr>
        <w:t xml:space="preserve">tax rates applying to </w:t>
      </w:r>
      <w:r w:rsidR="000C2457">
        <w:rPr>
          <w:lang w:val="en"/>
        </w:rPr>
        <w:t>companies</w:t>
      </w:r>
      <w:r w:rsidR="00C4196F" w:rsidRPr="00A66058">
        <w:rPr>
          <w:lang w:val="en"/>
        </w:rPr>
        <w:t>, individual</w:t>
      </w:r>
      <w:r w:rsidR="000C2457">
        <w:rPr>
          <w:lang w:val="en"/>
        </w:rPr>
        <w:t>s</w:t>
      </w:r>
      <w:r w:rsidR="00C4196F" w:rsidRPr="00A66058">
        <w:rPr>
          <w:lang w:val="en"/>
        </w:rPr>
        <w:t xml:space="preserve">, </w:t>
      </w:r>
      <w:r w:rsidR="00F86EE3">
        <w:rPr>
          <w:lang w:val="en"/>
        </w:rPr>
        <w:t xml:space="preserve">and </w:t>
      </w:r>
      <w:r w:rsidR="00C4196F" w:rsidRPr="00A66058">
        <w:rPr>
          <w:lang w:val="en"/>
        </w:rPr>
        <w:t xml:space="preserve">superannuation </w:t>
      </w:r>
      <w:r w:rsidR="000C2457">
        <w:rPr>
          <w:lang w:val="en"/>
        </w:rPr>
        <w:t>funds</w:t>
      </w:r>
      <w:r w:rsidR="00C4196F" w:rsidRPr="00A66058">
        <w:rPr>
          <w:lang w:val="en"/>
        </w:rPr>
        <w:t>. T</w:t>
      </w:r>
      <w:r w:rsidR="00692C32" w:rsidRPr="00A66058">
        <w:rPr>
          <w:lang w:val="en"/>
        </w:rPr>
        <w:t xml:space="preserve">his means that two individuals </w:t>
      </w:r>
      <w:r w:rsidR="00AF1E72" w:rsidRPr="00A66058">
        <w:rPr>
          <w:lang w:val="en"/>
        </w:rPr>
        <w:t>in the same economic position</w:t>
      </w:r>
      <w:r w:rsidR="003B0ECB">
        <w:rPr>
          <w:lang w:val="en"/>
        </w:rPr>
        <w:t xml:space="preserve"> </w:t>
      </w:r>
      <w:r w:rsidR="003B0ECB" w:rsidRPr="00A66058">
        <w:rPr>
          <w:lang w:val="en"/>
        </w:rPr>
        <w:t>can achieve markedly different tax outcomes</w:t>
      </w:r>
      <w:r w:rsidR="00666230">
        <w:rPr>
          <w:lang w:val="en"/>
        </w:rPr>
        <w:t>, at particular points in their life course (and across generations),</w:t>
      </w:r>
      <w:r w:rsidR="00AF1E72" w:rsidRPr="00A66058">
        <w:rPr>
          <w:lang w:val="en"/>
        </w:rPr>
        <w:t xml:space="preserve"> </w:t>
      </w:r>
      <w:r w:rsidR="00550982">
        <w:rPr>
          <w:lang w:val="en"/>
        </w:rPr>
        <w:t xml:space="preserve">depending on their respective abilities to </w:t>
      </w:r>
      <w:r w:rsidR="00AF1E72" w:rsidRPr="00A66058">
        <w:rPr>
          <w:lang w:val="en"/>
        </w:rPr>
        <w:t>more flexibly realise</w:t>
      </w:r>
      <w:r w:rsidR="001369DB">
        <w:rPr>
          <w:lang w:val="en"/>
        </w:rPr>
        <w:t> </w:t>
      </w:r>
      <w:r w:rsidR="00AF1E72" w:rsidRPr="00A66058">
        <w:rPr>
          <w:lang w:val="en"/>
        </w:rPr>
        <w:t>income</w:t>
      </w:r>
      <w:r w:rsidR="00692C32" w:rsidRPr="00A66058">
        <w:rPr>
          <w:lang w:val="en"/>
        </w:rPr>
        <w:t xml:space="preserve">.  </w:t>
      </w:r>
    </w:p>
    <w:p w14:paraId="3E9E62ED" w14:textId="77777777" w:rsidR="00CD1B05" w:rsidRPr="00A66058" w:rsidRDefault="00666230" w:rsidP="001369DB">
      <w:pPr>
        <w:rPr>
          <w:lang w:val="en"/>
        </w:rPr>
      </w:pPr>
      <w:r>
        <w:rPr>
          <w:lang w:val="en"/>
        </w:rPr>
        <w:t>T</w:t>
      </w:r>
      <w:r w:rsidR="00AF1E72" w:rsidRPr="00A66058">
        <w:rPr>
          <w:lang w:val="en"/>
        </w:rPr>
        <w:t>he horizontal equity principle</w:t>
      </w:r>
      <w:r w:rsidR="00B0173A">
        <w:rPr>
          <w:lang w:val="en"/>
        </w:rPr>
        <w:t xml:space="preserve"> </w:t>
      </w:r>
      <w:r w:rsidR="00F86EE3">
        <w:rPr>
          <w:lang w:val="en"/>
        </w:rPr>
        <w:t>–</w:t>
      </w:r>
      <w:r w:rsidR="00AF1E72" w:rsidRPr="00A66058">
        <w:rPr>
          <w:lang w:val="en"/>
        </w:rPr>
        <w:t xml:space="preserve"> that those in </w:t>
      </w:r>
      <w:r w:rsidR="00A66058">
        <w:rPr>
          <w:lang w:val="en"/>
        </w:rPr>
        <w:t>the same</w:t>
      </w:r>
      <w:r w:rsidR="00AF1E72" w:rsidRPr="00A66058">
        <w:rPr>
          <w:lang w:val="en"/>
        </w:rPr>
        <w:t xml:space="preserve"> situation should be treated equall</w:t>
      </w:r>
      <w:r w:rsidR="00B0173A">
        <w:rPr>
          <w:lang w:val="en"/>
        </w:rPr>
        <w:t xml:space="preserve">y </w:t>
      </w:r>
      <w:r w:rsidR="00F86EE3">
        <w:rPr>
          <w:lang w:val="en"/>
        </w:rPr>
        <w:t>–</w:t>
      </w:r>
      <w:r w:rsidR="00B0173A">
        <w:rPr>
          <w:lang w:val="en"/>
        </w:rPr>
        <w:t xml:space="preserve"> is relevant </w:t>
      </w:r>
      <w:r w:rsidR="00AF1E72" w:rsidRPr="00A66058">
        <w:rPr>
          <w:lang w:val="en"/>
        </w:rPr>
        <w:t>irrespective of the level of income</w:t>
      </w:r>
      <w:r w:rsidR="00A66058">
        <w:rPr>
          <w:lang w:val="en"/>
        </w:rPr>
        <w:t xml:space="preserve"> earned</w:t>
      </w:r>
      <w:r>
        <w:rPr>
          <w:lang w:val="en"/>
        </w:rPr>
        <w:t xml:space="preserve">. That said, the </w:t>
      </w:r>
      <w:r w:rsidR="00B0173A">
        <w:rPr>
          <w:lang w:val="en"/>
        </w:rPr>
        <w:t>incentives to engage in tax-effective arrangements</w:t>
      </w:r>
      <w:r>
        <w:rPr>
          <w:lang w:val="en"/>
        </w:rPr>
        <w:t xml:space="preserve"> that undermine horizontal equity</w:t>
      </w:r>
      <w:r w:rsidR="00B0173A">
        <w:rPr>
          <w:lang w:val="en"/>
        </w:rPr>
        <w:t xml:space="preserve"> </w:t>
      </w:r>
      <w:r w:rsidR="00604E4C">
        <w:rPr>
          <w:lang w:val="en"/>
        </w:rPr>
        <w:t>increase</w:t>
      </w:r>
      <w:r w:rsidR="003B0ECB">
        <w:rPr>
          <w:lang w:val="en"/>
        </w:rPr>
        <w:t xml:space="preserve"> </w:t>
      </w:r>
      <w:r w:rsidR="00B0173A">
        <w:rPr>
          <w:lang w:val="en"/>
        </w:rPr>
        <w:t xml:space="preserve">as </w:t>
      </w:r>
      <w:r w:rsidR="00117C34">
        <w:rPr>
          <w:lang w:val="en"/>
        </w:rPr>
        <w:t xml:space="preserve">a taxpayer’s </w:t>
      </w:r>
      <w:r w:rsidR="002A1933">
        <w:rPr>
          <w:lang w:val="en"/>
        </w:rPr>
        <w:t xml:space="preserve">marginal personal tax rate </w:t>
      </w:r>
      <w:r w:rsidR="00B0173A">
        <w:rPr>
          <w:lang w:val="en"/>
        </w:rPr>
        <w:t>increases. The reason is t</w:t>
      </w:r>
      <w:r w:rsidR="00AF1E72" w:rsidRPr="00A66058">
        <w:rPr>
          <w:lang w:val="en"/>
        </w:rPr>
        <w:t>h</w:t>
      </w:r>
      <w:r w:rsidR="00B0173A">
        <w:rPr>
          <w:lang w:val="en"/>
        </w:rPr>
        <w:t>at</w:t>
      </w:r>
      <w:r w:rsidR="00AF1E72" w:rsidRPr="00A66058">
        <w:rPr>
          <w:lang w:val="en"/>
        </w:rPr>
        <w:t xml:space="preserve"> differences between </w:t>
      </w:r>
      <w:r w:rsidR="00A66058" w:rsidRPr="00A66058">
        <w:rPr>
          <w:lang w:val="en"/>
        </w:rPr>
        <w:t xml:space="preserve">the </w:t>
      </w:r>
      <w:r w:rsidR="00AF1E72" w:rsidRPr="00A66058">
        <w:rPr>
          <w:lang w:val="en"/>
        </w:rPr>
        <w:t xml:space="preserve">tax rates </w:t>
      </w:r>
      <w:r w:rsidR="00F86EE3">
        <w:rPr>
          <w:lang w:val="en"/>
        </w:rPr>
        <w:t>of the</w:t>
      </w:r>
      <w:r w:rsidR="00A66058" w:rsidRPr="00A66058">
        <w:rPr>
          <w:lang w:val="en"/>
        </w:rPr>
        <w:t xml:space="preserve"> progressive personal income tax schedule </w:t>
      </w:r>
      <w:r w:rsidR="00AF1E72" w:rsidRPr="00A66058">
        <w:rPr>
          <w:lang w:val="en"/>
        </w:rPr>
        <w:t>and other forms of income</w:t>
      </w:r>
      <w:r w:rsidR="00A66058" w:rsidRPr="00A66058">
        <w:rPr>
          <w:lang w:val="en"/>
        </w:rPr>
        <w:t xml:space="preserve"> </w:t>
      </w:r>
      <w:r w:rsidR="00AF1E72" w:rsidRPr="00A66058">
        <w:rPr>
          <w:lang w:val="en"/>
        </w:rPr>
        <w:t xml:space="preserve">become more pronounced for those with higher levels of income. </w:t>
      </w:r>
      <w:r w:rsidR="00B0173A">
        <w:rPr>
          <w:lang w:val="en"/>
        </w:rPr>
        <w:t xml:space="preserve">This </w:t>
      </w:r>
      <w:r w:rsidR="00C470F8">
        <w:rPr>
          <w:lang w:val="en"/>
        </w:rPr>
        <w:t xml:space="preserve">creates </w:t>
      </w:r>
      <w:r w:rsidR="00B0173A">
        <w:rPr>
          <w:lang w:val="en"/>
        </w:rPr>
        <w:t xml:space="preserve">a stronger return from </w:t>
      </w:r>
      <w:r w:rsidR="00A66058" w:rsidRPr="00A66058">
        <w:rPr>
          <w:lang w:val="en"/>
        </w:rPr>
        <w:t>seek</w:t>
      </w:r>
      <w:r w:rsidR="00B0173A">
        <w:rPr>
          <w:lang w:val="en"/>
        </w:rPr>
        <w:t>ing</w:t>
      </w:r>
      <w:r w:rsidR="00A66058" w:rsidRPr="00A66058">
        <w:rPr>
          <w:lang w:val="en"/>
        </w:rPr>
        <w:t xml:space="preserve"> out lower tax rates for </w:t>
      </w:r>
      <w:r w:rsidR="00B0173A">
        <w:rPr>
          <w:lang w:val="en"/>
        </w:rPr>
        <w:t>a</w:t>
      </w:r>
      <w:r w:rsidR="00A66058" w:rsidRPr="00A66058">
        <w:rPr>
          <w:lang w:val="en"/>
        </w:rPr>
        <w:t xml:space="preserve"> marginal dollar. Achieving higher vertical equity, such as through higher tax rates or a more steeply increasing progressive tax rate </w:t>
      </w:r>
      <w:r w:rsidR="00B0173A">
        <w:rPr>
          <w:lang w:val="en"/>
        </w:rPr>
        <w:t>schedule</w:t>
      </w:r>
      <w:r w:rsidR="00A66058" w:rsidRPr="00A66058">
        <w:rPr>
          <w:lang w:val="en"/>
        </w:rPr>
        <w:t xml:space="preserve">, </w:t>
      </w:r>
      <w:r w:rsidR="00B0173A">
        <w:rPr>
          <w:lang w:val="en"/>
        </w:rPr>
        <w:t>therefore</w:t>
      </w:r>
      <w:r w:rsidR="00604E4C">
        <w:rPr>
          <w:lang w:val="en"/>
        </w:rPr>
        <w:t>,</w:t>
      </w:r>
      <w:r w:rsidR="00B0173A">
        <w:rPr>
          <w:lang w:val="en"/>
        </w:rPr>
        <w:t xml:space="preserve"> carries</w:t>
      </w:r>
      <w:r w:rsidR="00A66058" w:rsidRPr="00A66058">
        <w:rPr>
          <w:lang w:val="en"/>
        </w:rPr>
        <w:t xml:space="preserve"> the potential to prompt behavior that both </w:t>
      </w:r>
      <w:r w:rsidR="00AF1E72" w:rsidRPr="00A66058">
        <w:rPr>
          <w:lang w:val="en"/>
        </w:rPr>
        <w:t>undermine</w:t>
      </w:r>
      <w:r w:rsidR="00A66058" w:rsidRPr="00A66058">
        <w:rPr>
          <w:lang w:val="en"/>
        </w:rPr>
        <w:t>s</w:t>
      </w:r>
      <w:r w:rsidR="00AF1E72" w:rsidRPr="00A66058">
        <w:rPr>
          <w:lang w:val="en"/>
        </w:rPr>
        <w:t xml:space="preserve"> vertical equity </w:t>
      </w:r>
      <w:r w:rsidR="00AF1E72" w:rsidRPr="00A66058">
        <w:rPr>
          <w:i/>
          <w:lang w:val="en"/>
        </w:rPr>
        <w:t>and</w:t>
      </w:r>
      <w:r w:rsidR="00A66058" w:rsidRPr="00A66058">
        <w:rPr>
          <w:lang w:val="en"/>
        </w:rPr>
        <w:t xml:space="preserve"> </w:t>
      </w:r>
      <w:r w:rsidR="00AF1E72" w:rsidRPr="00A66058">
        <w:rPr>
          <w:lang w:val="en"/>
        </w:rPr>
        <w:t>compromise</w:t>
      </w:r>
      <w:r w:rsidR="00A66058" w:rsidRPr="00A66058">
        <w:rPr>
          <w:lang w:val="en"/>
        </w:rPr>
        <w:t xml:space="preserve">s </w:t>
      </w:r>
      <w:r w:rsidR="00AF1E72" w:rsidRPr="00A66058">
        <w:rPr>
          <w:lang w:val="en"/>
        </w:rPr>
        <w:t>horizontal equity.</w:t>
      </w:r>
      <w:r w:rsidR="00A66058" w:rsidRPr="00A66058">
        <w:rPr>
          <w:lang w:val="en"/>
        </w:rPr>
        <w:t xml:space="preserve"> </w:t>
      </w:r>
    </w:p>
    <w:p w14:paraId="3E9E62EE" w14:textId="77777777" w:rsidR="009359D4" w:rsidRDefault="00604E4C" w:rsidP="001369DB">
      <w:pPr>
        <w:rPr>
          <w:lang w:val="en"/>
        </w:rPr>
      </w:pPr>
      <w:r>
        <w:t xml:space="preserve">These arguments highlight that there is no single ‘correct’ reform solution in balancing the economic efficiencies of a particular tax with different conceptions of fairness. </w:t>
      </w:r>
      <w:r w:rsidR="006B182C">
        <w:rPr>
          <w:lang w:val="en"/>
        </w:rPr>
        <w:t xml:space="preserve">Conceptions of fairness will also extend to the nature of what should </w:t>
      </w:r>
      <w:r w:rsidR="009359D4">
        <w:rPr>
          <w:lang w:val="en"/>
        </w:rPr>
        <w:t>or</w:t>
      </w:r>
      <w:r w:rsidR="006B182C">
        <w:rPr>
          <w:lang w:val="en"/>
        </w:rPr>
        <w:t xml:space="preserve"> should not be included in the tax base</w:t>
      </w:r>
      <w:r w:rsidR="009359D4">
        <w:rPr>
          <w:lang w:val="en"/>
        </w:rPr>
        <w:t>, and how well base inclusions and exclusions reflect one’s capacity to pay tax</w:t>
      </w:r>
      <w:r w:rsidR="006B182C">
        <w:rPr>
          <w:lang w:val="en"/>
        </w:rPr>
        <w:t xml:space="preserve">.  </w:t>
      </w:r>
      <w:r w:rsidR="00C4196F">
        <w:t>In any diverse community, support will be expressed for a variet</w:t>
      </w:r>
      <w:r w:rsidR="007C1301">
        <w:t>y of possible approaches.</w:t>
      </w:r>
      <w:r w:rsidR="007C1301" w:rsidRPr="00BF507D">
        <w:rPr>
          <w:lang w:val="en"/>
        </w:rPr>
        <w:t xml:space="preserve"> </w:t>
      </w:r>
      <w:r w:rsidR="005D2162" w:rsidRPr="00685AFC">
        <w:rPr>
          <w:lang w:val="en"/>
        </w:rPr>
        <w:t xml:space="preserve">In practice, progressive </w:t>
      </w:r>
      <w:r w:rsidR="009359D4">
        <w:rPr>
          <w:lang w:val="en"/>
        </w:rPr>
        <w:t xml:space="preserve">income </w:t>
      </w:r>
      <w:r w:rsidR="005D2162" w:rsidRPr="00685AFC">
        <w:rPr>
          <w:lang w:val="en"/>
        </w:rPr>
        <w:t xml:space="preserve">tax systems </w:t>
      </w:r>
      <w:r w:rsidR="000C2457">
        <w:rPr>
          <w:lang w:val="en"/>
        </w:rPr>
        <w:t xml:space="preserve">attempt to </w:t>
      </w:r>
      <w:r w:rsidR="009359D4">
        <w:rPr>
          <w:lang w:val="en"/>
        </w:rPr>
        <w:lastRenderedPageBreak/>
        <w:t>balance the</w:t>
      </w:r>
      <w:r w:rsidR="000C2457">
        <w:rPr>
          <w:lang w:val="en"/>
        </w:rPr>
        <w:t xml:space="preserve"> different</w:t>
      </w:r>
      <w:r w:rsidR="005D2162">
        <w:rPr>
          <w:lang w:val="en"/>
        </w:rPr>
        <w:t xml:space="preserve"> tax system objectives </w:t>
      </w:r>
      <w:r w:rsidR="000C2457">
        <w:rPr>
          <w:lang w:val="en"/>
        </w:rPr>
        <w:t xml:space="preserve">and </w:t>
      </w:r>
      <w:r w:rsidR="005D2162">
        <w:rPr>
          <w:lang w:val="en"/>
        </w:rPr>
        <w:t>notions of</w:t>
      </w:r>
      <w:r w:rsidR="005D2162" w:rsidRPr="00685AFC">
        <w:rPr>
          <w:lang w:val="en"/>
        </w:rPr>
        <w:t xml:space="preserve"> fairness</w:t>
      </w:r>
      <w:r w:rsidR="005D2162">
        <w:rPr>
          <w:lang w:val="en"/>
        </w:rPr>
        <w:t xml:space="preserve"> </w:t>
      </w:r>
      <w:r w:rsidR="005863C5">
        <w:rPr>
          <w:lang w:val="en"/>
        </w:rPr>
        <w:t>when</w:t>
      </w:r>
      <w:r w:rsidR="005D2162">
        <w:rPr>
          <w:lang w:val="en"/>
        </w:rPr>
        <w:t xml:space="preserve"> calibrating </w:t>
      </w:r>
      <w:r w:rsidR="007636F2">
        <w:rPr>
          <w:lang w:val="en"/>
        </w:rPr>
        <w:t>a particular mix</w:t>
      </w:r>
      <w:r w:rsidR="005D2162">
        <w:rPr>
          <w:lang w:val="en"/>
        </w:rPr>
        <w:t xml:space="preserve"> of </w:t>
      </w:r>
      <w:r w:rsidR="00825E87">
        <w:rPr>
          <w:lang w:val="en"/>
        </w:rPr>
        <w:t xml:space="preserve">income </w:t>
      </w:r>
      <w:r w:rsidR="005D2162">
        <w:rPr>
          <w:lang w:val="en"/>
        </w:rPr>
        <w:t xml:space="preserve">tax rates and thresholds. </w:t>
      </w:r>
    </w:p>
    <w:p w14:paraId="3E9E62EF" w14:textId="6BDC8122" w:rsidR="00C4196F" w:rsidRDefault="00C4196F" w:rsidP="001369DB">
      <w:r>
        <w:t>It is</w:t>
      </w:r>
      <w:r w:rsidR="00604E4C">
        <w:t xml:space="preserve"> also</w:t>
      </w:r>
      <w:r>
        <w:t xml:space="preserve"> instructive that the question of how</w:t>
      </w:r>
      <w:r w:rsidR="003A3338">
        <w:t xml:space="preserve"> to construct a</w:t>
      </w:r>
      <w:r>
        <w:t xml:space="preserve"> progressive personal (and broader) tax system has been considered </w:t>
      </w:r>
      <w:r w:rsidR="00666230">
        <w:t xml:space="preserve">repeatedly </w:t>
      </w:r>
      <w:r>
        <w:t>by major Australian tax reviews.  The 1975 Asprey Review dealt with this in some detail, devoting an entire chapter to it, in recognition that progressivity was ‘perhaps the most difficult of all basic issue</w:t>
      </w:r>
      <w:r w:rsidR="00C470F8">
        <w:t>s</w:t>
      </w:r>
      <w:r w:rsidR="001369DB">
        <w:t xml:space="preserve"> in taxation policy’. </w:t>
      </w:r>
      <w:r>
        <w:t>When it came to determining the implication of distributional fairness for tax rates, the Asprey Committee concluded:</w:t>
      </w:r>
    </w:p>
    <w:p w14:paraId="3E9E62F0" w14:textId="77777777" w:rsidR="00C4196F" w:rsidRPr="000A6B7E" w:rsidRDefault="00C4196F" w:rsidP="002C05CD">
      <w:pPr>
        <w:ind w:left="720"/>
        <w:jc w:val="both"/>
        <w:rPr>
          <w:i/>
          <w:sz w:val="20"/>
        </w:rPr>
      </w:pPr>
      <w:r w:rsidRPr="000A6B7E">
        <w:rPr>
          <w:i/>
          <w:sz w:val="20"/>
        </w:rPr>
        <w:t>In the Committee's judgment there will be almost universal agreement that, overall, taxation should be progressive at the upper end of the scales of income and wealth, and that at the other extreme poverty and threats of poverty reflecting situations of special need should be relieved of taxation or assisted by social service payments. But it is convinced that there will nevertheless long remain debate and disagreement about the exact extent to which it is economically safe, administratively feasible, and socially justifiable to push taxation at these higher levels and to assist poverty and need. At the same time and quite consistently with this recognition of sharp disagreements about the extremes, the Committee's belief is that over the middle band of income and wealth, the band in which the great majority of them spend their lives, most Australians will accept as fair and convenient an approximately proportional taxation system. When the estimates are made as best they can, that appears to be the quantitative outcome of the present system, and the Committee sees no reason to depart from it.</w:t>
      </w:r>
      <w:r w:rsidRPr="000A6B7E">
        <w:rPr>
          <w:rStyle w:val="FootnoteReference"/>
          <w:i/>
          <w:sz w:val="20"/>
        </w:rPr>
        <w:footnoteReference w:id="13"/>
      </w:r>
    </w:p>
    <w:p w14:paraId="3E9E62F1" w14:textId="77777777" w:rsidR="00C4196F" w:rsidRDefault="00C4196F" w:rsidP="001369DB">
      <w:r>
        <w:t xml:space="preserve">This characterisation of community views influenced the reform blueprint </w:t>
      </w:r>
      <w:r w:rsidR="00F008B3">
        <w:t xml:space="preserve">the </w:t>
      </w:r>
      <w:r>
        <w:t>Asprey</w:t>
      </w:r>
      <w:r w:rsidR="00F008B3">
        <w:t xml:space="preserve"> Committee</w:t>
      </w:r>
      <w:r>
        <w:t xml:space="preserve"> proposed, which included a tax mix switch from personal income to consumption taxation and a significant simplification of the personal income tax rate scale (which </w:t>
      </w:r>
      <w:r w:rsidR="009322A7">
        <w:t>had</w:t>
      </w:r>
      <w:r w:rsidR="00F008B3">
        <w:t>,</w:t>
      </w:r>
      <w:r>
        <w:t xml:space="preserve"> as its starting point</w:t>
      </w:r>
      <w:r w:rsidR="00F008B3">
        <w:t>,</w:t>
      </w:r>
      <w:r>
        <w:t xml:space="preserve"> a system with several more tiers than today’s structure).  </w:t>
      </w:r>
    </w:p>
    <w:p w14:paraId="3E9E62F2" w14:textId="77777777" w:rsidR="00C4196F" w:rsidRDefault="00C4196F" w:rsidP="001369DB">
      <w:r>
        <w:t>More recently, the 20</w:t>
      </w:r>
      <w:r w:rsidR="007636F2">
        <w:t>10</w:t>
      </w:r>
      <w:r>
        <w:t xml:space="preserve"> </w:t>
      </w:r>
      <w:r w:rsidRPr="00E74725">
        <w:rPr>
          <w:i/>
        </w:rPr>
        <w:t>Review of Australia’s Future Tax System</w:t>
      </w:r>
      <w:r>
        <w:t xml:space="preserve"> </w:t>
      </w:r>
      <w:r w:rsidR="00C470F8">
        <w:t xml:space="preserve">(AFTS) </w:t>
      </w:r>
      <w:r>
        <w:t xml:space="preserve">considered the same issues from a more explicitly ‘economic’ perspective.  It </w:t>
      </w:r>
      <w:r w:rsidR="00F008B3">
        <w:t>explained</w:t>
      </w:r>
      <w:r>
        <w:t xml:space="preserve"> that:   </w:t>
      </w:r>
    </w:p>
    <w:p w14:paraId="3E9E62F3" w14:textId="77777777" w:rsidR="00C4196F" w:rsidRPr="00420062" w:rsidRDefault="00C4196F" w:rsidP="005821AB">
      <w:pPr>
        <w:rPr>
          <w:i/>
        </w:rPr>
      </w:pPr>
      <w:r w:rsidRPr="00420062">
        <w:rPr>
          <w:i/>
        </w:rPr>
        <w:t>Progressivity can be achieved either through a flat [proportional] tax rate with a tax-free threshold, a rising personal tax rates scale, or a combination of both.  Progressivity does not necessarily require increasing effective marginal tax rates.</w:t>
      </w:r>
      <w:r w:rsidR="00DE2BF0">
        <w:rPr>
          <w:rStyle w:val="FootnoteReference"/>
          <w:i/>
        </w:rPr>
        <w:footnoteReference w:id="14"/>
      </w:r>
    </w:p>
    <w:p w14:paraId="3E9E62F4" w14:textId="77777777" w:rsidR="009322A7" w:rsidRDefault="009322A7" w:rsidP="001369DB">
      <w:r>
        <w:t xml:space="preserve">It also cautioned that progressive tax rates applying to multiple different tax bases </w:t>
      </w:r>
      <w:r w:rsidR="00117C34">
        <w:t>have</w:t>
      </w:r>
      <w:r>
        <w:t xml:space="preserve"> the potential to lead to complexity</w:t>
      </w:r>
      <w:r w:rsidR="00117C34">
        <w:t>. As such, the AFTS Review suggested that</w:t>
      </w:r>
      <w:r w:rsidR="00117C34" w:rsidRPr="00163709">
        <w:t xml:space="preserve"> </w:t>
      </w:r>
      <w:r w:rsidRPr="00163709">
        <w:t>progressivity should be restricted to the personal</w:t>
      </w:r>
      <w:r w:rsidR="00117C34" w:rsidRPr="00163709">
        <w:t xml:space="preserve"> income tax and transfer system: </w:t>
      </w:r>
    </w:p>
    <w:p w14:paraId="3E9E62F5" w14:textId="77777777" w:rsidR="009322A7" w:rsidRPr="00E54FD7" w:rsidRDefault="009322A7" w:rsidP="00E54FD7">
      <w:pPr>
        <w:ind w:left="720"/>
        <w:jc w:val="both"/>
        <w:rPr>
          <w:i/>
        </w:rPr>
      </w:pPr>
      <w:r w:rsidRPr="00E54FD7">
        <w:rPr>
          <w:i/>
        </w:rPr>
        <w:t>Though progressivity in the system is important, it is necessary that the tax system remains simple and consistent. Having too many policies aimed at increasing progressivity can make the tax system complex and provide o</w:t>
      </w:r>
      <w:r w:rsidRPr="00D13695">
        <w:rPr>
          <w:i/>
        </w:rPr>
        <w:t xml:space="preserve">pportunities for tax planning. </w:t>
      </w:r>
      <w:r w:rsidR="00DE2BF0">
        <w:rPr>
          <w:rStyle w:val="FootnoteReference"/>
          <w:i/>
        </w:rPr>
        <w:footnoteReference w:id="15"/>
      </w:r>
      <w:r w:rsidRPr="00E54FD7">
        <w:rPr>
          <w:i/>
        </w:rPr>
        <w:t xml:space="preserve"> </w:t>
      </w:r>
    </w:p>
    <w:p w14:paraId="3E9E62F6" w14:textId="77777777" w:rsidR="00C4196F" w:rsidRDefault="00C4196F" w:rsidP="001369DB">
      <w:r>
        <w:t xml:space="preserve">After considering the trade-offs between the degree of progressivity and both simplicity and the ‘incentives to invest in education, training and skills and to engage in entrepreneurial activity’, </w:t>
      </w:r>
      <w:r w:rsidR="00F008B3">
        <w:t xml:space="preserve">the Review </w:t>
      </w:r>
      <w:r>
        <w:t xml:space="preserve">concluded: </w:t>
      </w:r>
    </w:p>
    <w:p w14:paraId="3E9E62F7" w14:textId="77777777" w:rsidR="00C4196F" w:rsidRDefault="00C4196F" w:rsidP="00C4196F">
      <w:pPr>
        <w:ind w:left="720"/>
        <w:jc w:val="both"/>
        <w:rPr>
          <w:i/>
        </w:rPr>
      </w:pPr>
      <w:r w:rsidRPr="00420062">
        <w:rPr>
          <w:i/>
        </w:rPr>
        <w:t>The personal income tax system should continue to be progressive, [but] the centrepiece of the system should be a high tax-free threshold with a constant marginal rate for most people.</w:t>
      </w:r>
      <w:r w:rsidR="00DE2BF0" w:rsidRPr="00DE2BF0">
        <w:rPr>
          <w:rStyle w:val="FootnoteReference"/>
          <w:i/>
        </w:rPr>
        <w:t xml:space="preserve"> </w:t>
      </w:r>
      <w:r w:rsidR="00DE2BF0">
        <w:rPr>
          <w:rStyle w:val="FootnoteReference"/>
          <w:i/>
        </w:rPr>
        <w:footnoteReference w:id="16"/>
      </w:r>
    </w:p>
    <w:p w14:paraId="3E9E62F8" w14:textId="77777777" w:rsidR="00C845CD" w:rsidRDefault="00FA0A3C" w:rsidP="00352D1F">
      <w:pPr>
        <w:pStyle w:val="Heading2"/>
        <w:spacing w:before="240"/>
        <w:ind w:left="0"/>
      </w:pPr>
      <w:bookmarkStart w:id="36" w:name="_Toc490828071"/>
      <w:bookmarkStart w:id="37" w:name="_Toc491164873"/>
      <w:bookmarkStart w:id="38" w:name="_Toc491184307"/>
      <w:bookmarkStart w:id="39" w:name="_Toc491185647"/>
      <w:bookmarkStart w:id="40" w:name="_Toc491185687"/>
      <w:bookmarkStart w:id="41" w:name="_Toc491185737"/>
      <w:bookmarkStart w:id="42" w:name="_Toc490828072"/>
      <w:bookmarkStart w:id="43" w:name="_Toc491164874"/>
      <w:bookmarkStart w:id="44" w:name="_Toc491184308"/>
      <w:bookmarkStart w:id="45" w:name="_Toc491185648"/>
      <w:bookmarkStart w:id="46" w:name="_Toc491185688"/>
      <w:bookmarkStart w:id="47" w:name="_Toc491185738"/>
      <w:bookmarkStart w:id="48" w:name="_Toc490828073"/>
      <w:bookmarkStart w:id="49" w:name="_Toc491164875"/>
      <w:bookmarkStart w:id="50" w:name="_Toc491184309"/>
      <w:bookmarkStart w:id="51" w:name="_Toc491185649"/>
      <w:bookmarkStart w:id="52" w:name="_Toc491185689"/>
      <w:bookmarkStart w:id="53" w:name="_Toc491185739"/>
      <w:bookmarkStart w:id="54" w:name="_Toc490828074"/>
      <w:bookmarkStart w:id="55" w:name="_Toc491164876"/>
      <w:bookmarkStart w:id="56" w:name="_Toc491184310"/>
      <w:bookmarkStart w:id="57" w:name="_Toc491185650"/>
      <w:bookmarkStart w:id="58" w:name="_Toc491185690"/>
      <w:bookmarkStart w:id="59" w:name="_Toc491185740"/>
      <w:bookmarkStart w:id="60" w:name="_Toc490828075"/>
      <w:bookmarkStart w:id="61" w:name="_Toc491164877"/>
      <w:bookmarkStart w:id="62" w:name="_Toc491184311"/>
      <w:bookmarkStart w:id="63" w:name="_Toc491185651"/>
      <w:bookmarkStart w:id="64" w:name="_Toc491185691"/>
      <w:bookmarkStart w:id="65" w:name="_Toc491185741"/>
      <w:bookmarkStart w:id="66" w:name="_Toc490828076"/>
      <w:bookmarkStart w:id="67" w:name="_Toc491164878"/>
      <w:bookmarkStart w:id="68" w:name="_Toc491184312"/>
      <w:bookmarkStart w:id="69" w:name="_Toc491185652"/>
      <w:bookmarkStart w:id="70" w:name="_Toc491185692"/>
      <w:bookmarkStart w:id="71" w:name="_Toc491185742"/>
      <w:bookmarkStart w:id="72" w:name="_Toc490828077"/>
      <w:bookmarkStart w:id="73" w:name="_Toc491164879"/>
      <w:bookmarkStart w:id="74" w:name="_Toc491184313"/>
      <w:bookmarkStart w:id="75" w:name="_Toc491185653"/>
      <w:bookmarkStart w:id="76" w:name="_Toc491185693"/>
      <w:bookmarkStart w:id="77" w:name="_Toc491185743"/>
      <w:bookmarkStart w:id="78" w:name="_Toc490828078"/>
      <w:bookmarkStart w:id="79" w:name="_Toc491164880"/>
      <w:bookmarkStart w:id="80" w:name="_Toc491184314"/>
      <w:bookmarkStart w:id="81" w:name="_Toc491185654"/>
      <w:bookmarkStart w:id="82" w:name="_Toc491185694"/>
      <w:bookmarkStart w:id="83" w:name="_Toc491185744"/>
      <w:bookmarkStart w:id="84" w:name="_Toc490828080"/>
      <w:bookmarkStart w:id="85" w:name="_Toc491164882"/>
      <w:bookmarkStart w:id="86" w:name="_Toc491184316"/>
      <w:bookmarkStart w:id="87" w:name="_Toc491185656"/>
      <w:bookmarkStart w:id="88" w:name="_Toc491185696"/>
      <w:bookmarkStart w:id="89" w:name="_Toc491185746"/>
      <w:bookmarkStart w:id="90" w:name="_Toc490828081"/>
      <w:bookmarkStart w:id="91" w:name="_Toc491164883"/>
      <w:bookmarkStart w:id="92" w:name="_Toc491184317"/>
      <w:bookmarkStart w:id="93" w:name="_Toc491185657"/>
      <w:bookmarkStart w:id="94" w:name="_Toc491185697"/>
      <w:bookmarkStart w:id="95" w:name="_Toc491185747"/>
      <w:bookmarkStart w:id="96" w:name="_Toc490828082"/>
      <w:bookmarkStart w:id="97" w:name="_Toc491164884"/>
      <w:bookmarkStart w:id="98" w:name="_Toc491184318"/>
      <w:bookmarkStart w:id="99" w:name="_Toc491185658"/>
      <w:bookmarkStart w:id="100" w:name="_Toc491185698"/>
      <w:bookmarkStart w:id="101" w:name="_Toc491185748"/>
      <w:bookmarkStart w:id="102" w:name="_Toc490828083"/>
      <w:bookmarkStart w:id="103" w:name="_Toc491164885"/>
      <w:bookmarkStart w:id="104" w:name="_Toc491184319"/>
      <w:bookmarkStart w:id="105" w:name="_Toc491185659"/>
      <w:bookmarkStart w:id="106" w:name="_Toc491185699"/>
      <w:bookmarkStart w:id="107" w:name="_Toc491185749"/>
      <w:bookmarkStart w:id="108" w:name="_Toc492458148"/>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lastRenderedPageBreak/>
        <w:t>The</w:t>
      </w:r>
      <w:r w:rsidR="00C845CD">
        <w:t xml:space="preserve"> Australia</w:t>
      </w:r>
      <w:r>
        <w:t>n experience</w:t>
      </w:r>
      <w:r w:rsidR="00211698">
        <w:t xml:space="preserve"> between 1994-95 and 2015-16</w:t>
      </w:r>
    </w:p>
    <w:bookmarkEnd w:id="108"/>
    <w:p w14:paraId="3E9E62F9" w14:textId="77777777" w:rsidR="00FA0A3C" w:rsidRDefault="00FA0A3C" w:rsidP="00FA0A3C">
      <w:pPr>
        <w:pStyle w:val="Heading3"/>
      </w:pPr>
      <w:r>
        <w:t>Implemented tax changes have made the personal income tax system more progressive</w:t>
      </w:r>
    </w:p>
    <w:p w14:paraId="3E9E62FA" w14:textId="77777777" w:rsidR="003A3338" w:rsidRDefault="003A3338" w:rsidP="001369DB">
      <w:r w:rsidRPr="00075B41">
        <w:t xml:space="preserve">Australia’s </w:t>
      </w:r>
      <w:r>
        <w:t xml:space="preserve">personal income tax </w:t>
      </w:r>
      <w:r w:rsidRPr="00075B41">
        <w:t xml:space="preserve">policy framework is based on </w:t>
      </w:r>
      <w:r>
        <w:t xml:space="preserve">nominal marginal </w:t>
      </w:r>
      <w:r w:rsidRPr="00075B41">
        <w:t>tax rates and thresholds that are not indexed</w:t>
      </w:r>
      <w:r>
        <w:t xml:space="preserve"> over time.</w:t>
      </w:r>
      <w:r>
        <w:rPr>
          <w:lang w:eastAsia="en-AU"/>
        </w:rPr>
        <w:t xml:space="preserve"> This means that </w:t>
      </w:r>
      <w:r w:rsidR="009359D4">
        <w:t xml:space="preserve">growth in </w:t>
      </w:r>
      <w:r>
        <w:t xml:space="preserve">taxable income will result in </w:t>
      </w:r>
      <w:r w:rsidR="001645EA">
        <w:t xml:space="preserve">a </w:t>
      </w:r>
      <w:r>
        <w:t xml:space="preserve">higher tax </w:t>
      </w:r>
      <w:r w:rsidR="001645EA">
        <w:t>incidence</w:t>
      </w:r>
      <w:r>
        <w:t xml:space="preserve"> across the entire taxpaying population.</w:t>
      </w:r>
      <w:r w:rsidR="00F038FB">
        <w:t xml:space="preserve"> Over a very long period of time, bracket creep pushes a progressive system closer to a proportional system. </w:t>
      </w:r>
      <w:r>
        <w:t xml:space="preserve">Moreover, people tend to judge changes in their </w:t>
      </w:r>
      <w:r w:rsidR="006633E5">
        <w:t xml:space="preserve">expected </w:t>
      </w:r>
      <w:r>
        <w:t xml:space="preserve">tax outcomes against </w:t>
      </w:r>
      <w:r w:rsidR="006633E5">
        <w:t xml:space="preserve">their </w:t>
      </w:r>
      <w:r>
        <w:t xml:space="preserve">current </w:t>
      </w:r>
      <w:r w:rsidR="006633E5">
        <w:t>outcomes and, a</w:t>
      </w:r>
      <w:r w:rsidR="002F0F1A">
        <w:t>s</w:t>
      </w:r>
      <w:r>
        <w:t xml:space="preserve"> a general rule, </w:t>
      </w:r>
      <w:r w:rsidR="00092CB2">
        <w:t xml:space="preserve">would </w:t>
      </w:r>
      <w:r>
        <w:t>prefer not to face</w:t>
      </w:r>
      <w:r w:rsidR="001645EA">
        <w:t xml:space="preserve"> a</w:t>
      </w:r>
      <w:r>
        <w:t xml:space="preserve"> higher tax </w:t>
      </w:r>
      <w:r w:rsidR="001645EA">
        <w:t>incidence themselves</w:t>
      </w:r>
      <w:r>
        <w:t xml:space="preserve"> or become worse off compared </w:t>
      </w:r>
      <w:r w:rsidR="00C470F8">
        <w:t xml:space="preserve">with </w:t>
      </w:r>
      <w:r>
        <w:t xml:space="preserve">those on higher incomes. Given this, it is not surprising that governments face periodic pressure to relieve rising tax </w:t>
      </w:r>
      <w:r w:rsidR="001645EA">
        <w:t>incidence</w:t>
      </w:r>
      <w:r>
        <w:t xml:space="preserve"> </w:t>
      </w:r>
      <w:r w:rsidR="00666230">
        <w:t xml:space="preserve">created by bracket creep </w:t>
      </w:r>
      <w:r>
        <w:t xml:space="preserve">through tax cuts. </w:t>
      </w:r>
    </w:p>
    <w:p w14:paraId="3E9E62FB" w14:textId="77777777" w:rsidR="00297C70" w:rsidRDefault="001733A3" w:rsidP="001369DB">
      <w:r w:rsidRPr="001733A3">
        <w:t>In recent decades</w:t>
      </w:r>
      <w:r w:rsidR="009359D4">
        <w:t xml:space="preserve"> </w:t>
      </w:r>
      <w:r w:rsidR="00297C70">
        <w:t xml:space="preserve">policy changes by </w:t>
      </w:r>
      <w:r w:rsidR="0004572D">
        <w:t xml:space="preserve">successive </w:t>
      </w:r>
      <w:r w:rsidR="00CD6C3D">
        <w:t xml:space="preserve">Australian </w:t>
      </w:r>
      <w:r w:rsidR="00C470F8">
        <w:t>g</w:t>
      </w:r>
      <w:r w:rsidR="00CD6C3D">
        <w:t>overnments</w:t>
      </w:r>
      <w:r w:rsidR="009359D4">
        <w:t>, taken together,</w:t>
      </w:r>
      <w:r w:rsidRPr="001733A3">
        <w:t xml:space="preserve"> have </w:t>
      </w:r>
      <w:r w:rsidR="00297C70">
        <w:t>had the effect of redistributing</w:t>
      </w:r>
      <w:r w:rsidRPr="001733A3">
        <w:t xml:space="preserve"> personal tax </w:t>
      </w:r>
      <w:r w:rsidR="001645EA">
        <w:t>incidence</w:t>
      </w:r>
      <w:r w:rsidRPr="001733A3">
        <w:t xml:space="preserve"> away from low</w:t>
      </w:r>
      <w:r w:rsidR="002A1056">
        <w:t>er</w:t>
      </w:r>
      <w:r w:rsidR="004F5604">
        <w:t xml:space="preserve"> </w:t>
      </w:r>
      <w:r w:rsidRPr="001733A3">
        <w:t xml:space="preserve">income earners and towards higher income earners. In doing so </w:t>
      </w:r>
      <w:r w:rsidR="00DD4343">
        <w:t>this has</w:t>
      </w:r>
      <w:r w:rsidRPr="001733A3">
        <w:t xml:space="preserve"> increased the progressivity of Australia’s </w:t>
      </w:r>
      <w:r w:rsidR="00C470F8">
        <w:t xml:space="preserve">personal </w:t>
      </w:r>
      <w:r w:rsidRPr="001733A3">
        <w:t>income tax system.</w:t>
      </w:r>
      <w:r w:rsidR="004703CB">
        <w:t xml:space="preserve"> </w:t>
      </w:r>
      <w:r w:rsidR="00BC0522">
        <w:t>Below w</w:t>
      </w:r>
      <w:r w:rsidR="0004572D">
        <w:t>e look at these changes</w:t>
      </w:r>
      <w:r w:rsidR="00390C43">
        <w:t xml:space="preserve"> both</w:t>
      </w:r>
      <w:r w:rsidR="0004572D">
        <w:t xml:space="preserve"> </w:t>
      </w:r>
      <w:r w:rsidR="00390C43">
        <w:t>in terms of changes to personal income tax rates, thresholds and the distribution of tax incidence, and in terms of changes to tax concentration</w:t>
      </w:r>
      <w:r w:rsidR="00DD4343">
        <w:t xml:space="preserve"> based on average tax rates</w:t>
      </w:r>
      <w:r w:rsidR="00390C43">
        <w:t>.</w:t>
      </w:r>
      <w:r w:rsidR="00DE2BF0">
        <w:rPr>
          <w:rStyle w:val="FootnoteReference"/>
        </w:rPr>
        <w:footnoteReference w:id="17"/>
      </w:r>
      <w:r w:rsidR="00BD47CB">
        <w:t xml:space="preserve"> </w:t>
      </w:r>
    </w:p>
    <w:p w14:paraId="3E9E62FC" w14:textId="4E7EF88F" w:rsidR="00F012EA" w:rsidRPr="00E01FAF" w:rsidRDefault="00211698" w:rsidP="00E01FAF">
      <w:pPr>
        <w:pStyle w:val="Heading3"/>
      </w:pPr>
      <w:r>
        <w:t>Changes in</w:t>
      </w:r>
      <w:r w:rsidR="00C845CD">
        <w:t xml:space="preserve"> taxable incomes and average tax rates </w:t>
      </w:r>
      <w:r>
        <w:t>between 1994-95 and</w:t>
      </w:r>
      <w:r w:rsidR="001369DB">
        <w:t> </w:t>
      </w:r>
      <w:r>
        <w:t>201</w:t>
      </w:r>
      <w:r w:rsidR="00220FF5">
        <w:t>5</w:t>
      </w:r>
      <w:r>
        <w:t>-1</w:t>
      </w:r>
      <w:r w:rsidR="00220FF5">
        <w:t>6</w:t>
      </w:r>
    </w:p>
    <w:p w14:paraId="3E9E62FD" w14:textId="77777777" w:rsidR="00D90D70" w:rsidRDefault="009359D4" w:rsidP="001369DB">
      <w:r>
        <w:t>As previously noted, c</w:t>
      </w:r>
      <w:r w:rsidR="00D90D70">
        <w:t>hanges to an individual</w:t>
      </w:r>
      <w:r w:rsidR="00C470F8">
        <w:t>’</w:t>
      </w:r>
      <w:r w:rsidR="00D90D70">
        <w:t xml:space="preserve">s personal income tax </w:t>
      </w:r>
      <w:r w:rsidR="001645EA">
        <w:t>incidence</w:t>
      </w:r>
      <w:r w:rsidR="00D90D70">
        <w:t xml:space="preserve"> reflect </w:t>
      </w:r>
      <w:r>
        <w:t>two</w:t>
      </w:r>
      <w:r w:rsidR="00DF5CAF">
        <w:t xml:space="preserve"> main</w:t>
      </w:r>
      <w:r>
        <w:t xml:space="preserve"> factors. P</w:t>
      </w:r>
      <w:r w:rsidR="00D90D70">
        <w:t>olicy decisio</w:t>
      </w:r>
      <w:r>
        <w:t xml:space="preserve">ns to adjust marginal tax rates and </w:t>
      </w:r>
      <w:r w:rsidR="00D90D70">
        <w:t xml:space="preserve">thresholds change the </w:t>
      </w:r>
      <w:r w:rsidR="00D90D70" w:rsidRPr="00FD13D1">
        <w:rPr>
          <w:i/>
        </w:rPr>
        <w:t>shape</w:t>
      </w:r>
      <w:r w:rsidR="00D90D70">
        <w:t xml:space="preserve"> of the average tax rate schedule</w:t>
      </w:r>
      <w:r>
        <w:t xml:space="preserve">, and </w:t>
      </w:r>
      <w:r w:rsidR="00CD6C3D">
        <w:t xml:space="preserve">policy decisions that affect the income tax </w:t>
      </w:r>
      <w:r w:rsidR="00CD6C3D" w:rsidRPr="00CD6C3D">
        <w:rPr>
          <w:i/>
        </w:rPr>
        <w:t>base</w:t>
      </w:r>
      <w:r>
        <w:rPr>
          <w:i/>
        </w:rPr>
        <w:t xml:space="preserve"> </w:t>
      </w:r>
      <w:r w:rsidR="00825E87">
        <w:t>determine</w:t>
      </w:r>
      <w:r>
        <w:t xml:space="preserve"> which forms of income are subject to personal income tax</w:t>
      </w:r>
      <w:r w:rsidR="00825E87">
        <w:t>es</w:t>
      </w:r>
      <w:r>
        <w:t xml:space="preserve">. </w:t>
      </w:r>
      <w:r w:rsidR="00825E87">
        <w:t>R</w:t>
      </w:r>
      <w:r>
        <w:t xml:space="preserve">ising taxable incomes </w:t>
      </w:r>
      <w:r w:rsidR="00D90D70">
        <w:t xml:space="preserve">move individual taxpayers </w:t>
      </w:r>
      <w:r w:rsidR="00D90D70" w:rsidRPr="00FD13D1">
        <w:rPr>
          <w:i/>
        </w:rPr>
        <w:t>along</w:t>
      </w:r>
      <w:r w:rsidR="00D90D70">
        <w:t xml:space="preserve"> the average tax rate curve</w:t>
      </w:r>
      <w:r w:rsidR="00CD6C3D">
        <w:t>.</w:t>
      </w:r>
    </w:p>
    <w:p w14:paraId="3E9E62FE" w14:textId="77777777" w:rsidR="00390C43" w:rsidRDefault="00390C43" w:rsidP="001369DB">
      <w:r>
        <w:t xml:space="preserve">Charts 4 and 5 illustrate the change in </w:t>
      </w:r>
      <w:r w:rsidR="00D90D70">
        <w:t xml:space="preserve">marginal and average tax rates </w:t>
      </w:r>
      <w:r w:rsidR="00825E87">
        <w:t xml:space="preserve">in Australia </w:t>
      </w:r>
      <w:r>
        <w:t>between 1994-95 and 201</w:t>
      </w:r>
      <w:r w:rsidR="00766F21">
        <w:t>5</w:t>
      </w:r>
      <w:r>
        <w:t>-1</w:t>
      </w:r>
      <w:r w:rsidR="00766F21">
        <w:t>6</w:t>
      </w:r>
      <w:r>
        <w:t xml:space="preserve">. </w:t>
      </w:r>
      <w:r w:rsidR="006633E5">
        <w:t xml:space="preserve">Chart 4 shows that </w:t>
      </w:r>
      <w:r>
        <w:t xml:space="preserve">Australian governments have </w:t>
      </w:r>
      <w:r>
        <w:rPr>
          <w:lang w:eastAsia="en-AU"/>
        </w:rPr>
        <w:t>reduc</w:t>
      </w:r>
      <w:r w:rsidR="00F86F79">
        <w:rPr>
          <w:lang w:eastAsia="en-AU"/>
        </w:rPr>
        <w:t>ed</w:t>
      </w:r>
      <w:r>
        <w:rPr>
          <w:lang w:eastAsia="en-AU"/>
        </w:rPr>
        <w:t xml:space="preserve"> </w:t>
      </w:r>
      <w:r w:rsidR="00F86F79">
        <w:rPr>
          <w:lang w:eastAsia="en-AU"/>
        </w:rPr>
        <w:t xml:space="preserve">marginal </w:t>
      </w:r>
      <w:r w:rsidRPr="00DE4FB1">
        <w:rPr>
          <w:lang w:eastAsia="en-AU"/>
        </w:rPr>
        <w:t>personal tax rates</w:t>
      </w:r>
      <w:r w:rsidR="00F86F79">
        <w:rPr>
          <w:lang w:eastAsia="en-AU"/>
        </w:rPr>
        <w:t xml:space="preserve"> and increased personal tax thresholds</w:t>
      </w:r>
      <w:r w:rsidR="0061444A" w:rsidRPr="0061444A">
        <w:rPr>
          <w:lang w:eastAsia="en-AU"/>
        </w:rPr>
        <w:t xml:space="preserve"> </w:t>
      </w:r>
      <w:r w:rsidR="003A3338">
        <w:rPr>
          <w:lang w:eastAsia="en-AU"/>
        </w:rPr>
        <w:t>during this time</w:t>
      </w:r>
      <w:r w:rsidR="006633E5">
        <w:rPr>
          <w:lang w:eastAsia="en-AU"/>
        </w:rPr>
        <w:t>, leading to lower average tax rate curve applying to all personal income taxpayers</w:t>
      </w:r>
      <w:r>
        <w:rPr>
          <w:lang w:eastAsia="en-AU"/>
        </w:rPr>
        <w:t>.</w:t>
      </w:r>
      <w:r w:rsidRPr="00DE4FB1">
        <w:rPr>
          <w:lang w:eastAsia="en-AU"/>
        </w:rPr>
        <w:t xml:space="preserve"> </w:t>
      </w:r>
      <w:r>
        <w:rPr>
          <w:lang w:eastAsia="en-AU"/>
        </w:rPr>
        <w:t xml:space="preserve">Three sets of policy decisions stand out. The first is the </w:t>
      </w:r>
      <w:r w:rsidR="00C470F8">
        <w:rPr>
          <w:lang w:eastAsia="en-AU"/>
        </w:rPr>
        <w:t xml:space="preserve">assistance delivered through </w:t>
      </w:r>
      <w:r w:rsidR="00666230">
        <w:rPr>
          <w:lang w:eastAsia="en-AU"/>
        </w:rPr>
        <w:t xml:space="preserve">reduced </w:t>
      </w:r>
      <w:r w:rsidR="00C470F8">
        <w:rPr>
          <w:lang w:eastAsia="en-AU"/>
        </w:rPr>
        <w:t>personal income tax</w:t>
      </w:r>
      <w:r w:rsidR="00C470F8" w:rsidRPr="00DE4FB1">
        <w:rPr>
          <w:lang w:eastAsia="en-AU"/>
        </w:rPr>
        <w:t xml:space="preserve"> rates </w:t>
      </w:r>
      <w:r w:rsidR="00C470F8">
        <w:rPr>
          <w:lang w:eastAsia="en-AU"/>
        </w:rPr>
        <w:t xml:space="preserve">as part of the ‘tax mix switch’ </w:t>
      </w:r>
      <w:r w:rsidR="00666230">
        <w:rPr>
          <w:lang w:eastAsia="en-AU"/>
        </w:rPr>
        <w:t xml:space="preserve">associated </w:t>
      </w:r>
      <w:r w:rsidR="00C470F8">
        <w:rPr>
          <w:lang w:eastAsia="en-AU"/>
        </w:rPr>
        <w:t>with the i</w:t>
      </w:r>
      <w:r w:rsidR="00C470F8" w:rsidRPr="00DE4FB1">
        <w:rPr>
          <w:lang w:eastAsia="en-AU"/>
        </w:rPr>
        <w:t>ntroduction of the</w:t>
      </w:r>
      <w:r w:rsidR="007A4100">
        <w:rPr>
          <w:lang w:eastAsia="en-AU"/>
        </w:rPr>
        <w:t xml:space="preserve"> goods and services tax</w:t>
      </w:r>
      <w:r w:rsidR="00C470F8" w:rsidRPr="00DE4FB1">
        <w:rPr>
          <w:lang w:eastAsia="en-AU"/>
        </w:rPr>
        <w:t xml:space="preserve"> </w:t>
      </w:r>
      <w:r w:rsidR="007A4100">
        <w:rPr>
          <w:lang w:eastAsia="en-AU"/>
        </w:rPr>
        <w:t>(</w:t>
      </w:r>
      <w:r w:rsidR="00C470F8" w:rsidRPr="00DE4FB1">
        <w:rPr>
          <w:lang w:eastAsia="en-AU"/>
        </w:rPr>
        <w:t>GST</w:t>
      </w:r>
      <w:r w:rsidR="007A4100">
        <w:rPr>
          <w:lang w:eastAsia="en-AU"/>
        </w:rPr>
        <w:t>)</w:t>
      </w:r>
      <w:r w:rsidR="00C470F8" w:rsidRPr="00DE4FB1">
        <w:rPr>
          <w:lang w:eastAsia="en-AU"/>
        </w:rPr>
        <w:t xml:space="preserve"> </w:t>
      </w:r>
      <w:r w:rsidR="00C470F8">
        <w:rPr>
          <w:lang w:eastAsia="en-AU"/>
        </w:rPr>
        <w:t xml:space="preserve">in 2000. The second is the </w:t>
      </w:r>
      <w:r w:rsidR="00F86F79">
        <w:rPr>
          <w:lang w:eastAsia="en-AU"/>
        </w:rPr>
        <w:t>cut</w:t>
      </w:r>
      <w:r w:rsidR="00666230">
        <w:rPr>
          <w:lang w:eastAsia="en-AU"/>
        </w:rPr>
        <w:t>s to</w:t>
      </w:r>
      <w:r w:rsidR="00F86F79">
        <w:rPr>
          <w:lang w:eastAsia="en-AU"/>
        </w:rPr>
        <w:t xml:space="preserve"> marginal personal</w:t>
      </w:r>
      <w:r w:rsidR="00666230">
        <w:rPr>
          <w:lang w:eastAsia="en-AU"/>
        </w:rPr>
        <w:t xml:space="preserve"> income</w:t>
      </w:r>
      <w:r w:rsidR="00F86F79">
        <w:rPr>
          <w:lang w:eastAsia="en-AU"/>
        </w:rPr>
        <w:t xml:space="preserve"> tax rates and </w:t>
      </w:r>
      <w:r>
        <w:rPr>
          <w:lang w:eastAsia="en-AU"/>
        </w:rPr>
        <w:t>exten</w:t>
      </w:r>
      <w:r w:rsidR="00666230">
        <w:rPr>
          <w:lang w:eastAsia="en-AU"/>
        </w:rPr>
        <w:t>sions to</w:t>
      </w:r>
      <w:r>
        <w:rPr>
          <w:lang w:eastAsia="en-AU"/>
        </w:rPr>
        <w:t xml:space="preserve"> personal income tax thresholds between 2003</w:t>
      </w:r>
      <w:r>
        <w:rPr>
          <w:lang w:eastAsia="en-AU"/>
        </w:rPr>
        <w:noBreakHyphen/>
      </w:r>
      <w:r w:rsidRPr="00DE4FB1">
        <w:rPr>
          <w:lang w:eastAsia="en-AU"/>
        </w:rPr>
        <w:t>04 and 2010-11</w:t>
      </w:r>
      <w:r>
        <w:rPr>
          <w:lang w:eastAsia="en-AU"/>
        </w:rPr>
        <w:t xml:space="preserve">. The third </w:t>
      </w:r>
      <w:r w:rsidR="00D90D70">
        <w:rPr>
          <w:lang w:eastAsia="en-AU"/>
        </w:rPr>
        <w:t>is</w:t>
      </w:r>
      <w:r>
        <w:rPr>
          <w:lang w:eastAsia="en-AU"/>
        </w:rPr>
        <w:t xml:space="preserve"> the</w:t>
      </w:r>
      <w:r w:rsidRPr="00D60B60">
        <w:rPr>
          <w:lang w:eastAsia="en-AU"/>
        </w:rPr>
        <w:t xml:space="preserve"> </w:t>
      </w:r>
      <w:r>
        <w:rPr>
          <w:lang w:eastAsia="en-AU"/>
        </w:rPr>
        <w:t xml:space="preserve">tripling of the tax-free threshold to $18,200 in 2012, </w:t>
      </w:r>
      <w:r w:rsidR="00D90D70">
        <w:rPr>
          <w:lang w:eastAsia="en-AU"/>
        </w:rPr>
        <w:t>combined</w:t>
      </w:r>
      <w:r>
        <w:rPr>
          <w:lang w:eastAsia="en-AU"/>
        </w:rPr>
        <w:t xml:space="preserve"> with a reduction in the low income tax offset.</w:t>
      </w:r>
      <w:r w:rsidRPr="00DE4FB1">
        <w:rPr>
          <w:lang w:eastAsia="en-AU"/>
        </w:rPr>
        <w:t xml:space="preserve"> </w:t>
      </w:r>
    </w:p>
    <w:p w14:paraId="3E9E62FF" w14:textId="78309A28" w:rsidR="001733A3" w:rsidRDefault="001733A3" w:rsidP="0005796A">
      <w:pPr>
        <w:pStyle w:val="ChartMainHeading"/>
        <w:rPr>
          <w:lang w:val="en-US"/>
        </w:rPr>
      </w:pPr>
      <w:r w:rsidRPr="007327C0">
        <w:rPr>
          <w:lang w:val="en-US"/>
        </w:rPr>
        <w:lastRenderedPageBreak/>
        <w:t>Chart</w:t>
      </w:r>
      <w:r>
        <w:rPr>
          <w:lang w:val="en-US"/>
        </w:rPr>
        <w:t xml:space="preserve"> 4</w:t>
      </w:r>
      <w:r w:rsidRPr="007327C0">
        <w:rPr>
          <w:lang w:val="en-US"/>
        </w:rPr>
        <w:t>.</w:t>
      </w:r>
      <w:r>
        <w:rPr>
          <w:lang w:val="en-US"/>
        </w:rPr>
        <w:t xml:space="preserve"> </w:t>
      </w:r>
      <w:r w:rsidR="0016604F">
        <w:rPr>
          <w:rFonts w:eastAsiaTheme="minorHAnsi"/>
        </w:rPr>
        <w:t>M</w:t>
      </w:r>
      <w:r w:rsidRPr="00406792">
        <w:rPr>
          <w:rFonts w:eastAsiaTheme="minorHAnsi"/>
        </w:rPr>
        <w:t>arginal and average personal</w:t>
      </w:r>
      <w:r w:rsidR="0016604F">
        <w:rPr>
          <w:rFonts w:eastAsiaTheme="minorHAnsi"/>
        </w:rPr>
        <w:t xml:space="preserve"> income tax rates in Australia, </w:t>
      </w:r>
      <w:r w:rsidR="0005796A">
        <w:rPr>
          <w:rFonts w:eastAsiaTheme="minorHAnsi"/>
        </w:rPr>
        <w:br/>
      </w:r>
      <w:r w:rsidRPr="00406792">
        <w:rPr>
          <w:rFonts w:eastAsiaTheme="minorHAnsi"/>
        </w:rPr>
        <w:t>1994-95 and 201</w:t>
      </w:r>
      <w:r w:rsidR="006959C2">
        <w:rPr>
          <w:rFonts w:eastAsiaTheme="minorHAnsi"/>
        </w:rPr>
        <w:t>5</w:t>
      </w:r>
      <w:r w:rsidRPr="00406792">
        <w:rPr>
          <w:rFonts w:eastAsiaTheme="minorHAnsi"/>
        </w:rPr>
        <w:t>-1</w:t>
      </w:r>
      <w:r w:rsidR="006959C2">
        <w:rPr>
          <w:rFonts w:eastAsiaTheme="minorHAnsi"/>
        </w:rPr>
        <w:t>6</w:t>
      </w:r>
      <w:r w:rsidR="00406792" w:rsidRPr="00406792">
        <w:rPr>
          <w:rFonts w:eastAsiaTheme="minorHAnsi"/>
        </w:rPr>
        <w:t>.</w:t>
      </w:r>
      <w:r w:rsidR="00406792">
        <w:rPr>
          <w:lang w:val="en-US"/>
        </w:rPr>
        <w:t xml:space="preserve"> </w:t>
      </w:r>
    </w:p>
    <w:p w14:paraId="3E9E6300" w14:textId="77777777" w:rsidR="0070761C" w:rsidRPr="000B0FAE" w:rsidRDefault="00911363" w:rsidP="00E62588">
      <w:pPr>
        <w:pStyle w:val="ChartGraphic"/>
        <w:rPr>
          <w:lang w:val="en-US"/>
        </w:rPr>
      </w:pPr>
      <w:r>
        <w:rPr>
          <w:noProof/>
        </w:rPr>
        <w:drawing>
          <wp:inline distT="0" distB="0" distL="0" distR="0" wp14:anchorId="3E9E63DE" wp14:editId="5BDFC6FD">
            <wp:extent cx="5657850" cy="28575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9E6301" w14:textId="12B52984" w:rsidR="004E0DE0" w:rsidRDefault="001733A3" w:rsidP="005821AB">
      <w:pPr>
        <w:pStyle w:val="ChartorTableNote"/>
      </w:pPr>
      <w:r w:rsidRPr="00E74725">
        <w:t>Note</w:t>
      </w:r>
      <w:r w:rsidR="004703CB" w:rsidRPr="00E74725">
        <w:t>s</w:t>
      </w:r>
      <w:r w:rsidRPr="00E74725">
        <w:t xml:space="preserve">: </w:t>
      </w:r>
      <w:r w:rsidR="000B0FAE">
        <w:t>Marginal and a</w:t>
      </w:r>
      <w:r w:rsidR="0070761C">
        <w:t>verage tax rate estimates</w:t>
      </w:r>
      <w:r w:rsidR="009E25D7" w:rsidRPr="00E74725">
        <w:t xml:space="preserve"> </w:t>
      </w:r>
      <w:r w:rsidRPr="00E74725">
        <w:t xml:space="preserve">include the impact of </w:t>
      </w:r>
      <w:r w:rsidR="007A4100">
        <w:t xml:space="preserve">the </w:t>
      </w:r>
      <w:r w:rsidRPr="00E74725">
        <w:t xml:space="preserve">Medicare </w:t>
      </w:r>
      <w:r w:rsidR="007A4100">
        <w:t>l</w:t>
      </w:r>
      <w:r w:rsidRPr="00E74725">
        <w:t>evy, Low</w:t>
      </w:r>
      <w:r w:rsidR="007A4100">
        <w:t xml:space="preserve"> </w:t>
      </w:r>
      <w:r w:rsidRPr="00E74725">
        <w:t>Income Tax Offset, and Temporary Budget Repair Levy. Source: Australian Taxation Statistics.</w:t>
      </w:r>
    </w:p>
    <w:p w14:paraId="4B067363" w14:textId="77777777" w:rsidR="005821AB" w:rsidRPr="00E74725" w:rsidRDefault="005821AB" w:rsidP="005821AB">
      <w:pPr>
        <w:pStyle w:val="SingleParagraph"/>
      </w:pPr>
    </w:p>
    <w:p w14:paraId="3E9E6302" w14:textId="77777777" w:rsidR="007C1301" w:rsidRDefault="00825E87" w:rsidP="004E0DE0">
      <w:pPr>
        <w:jc w:val="both"/>
      </w:pPr>
      <w:r>
        <w:t>While there is some difficult</w:t>
      </w:r>
      <w:r w:rsidR="00550982">
        <w:t>y</w:t>
      </w:r>
      <w:r>
        <w:t xml:space="preserve"> in interpreting changes in deciles (see Box 1), it appears that</w:t>
      </w:r>
      <w:r w:rsidR="004E0DE0">
        <w:t xml:space="preserve"> there has been significant g</w:t>
      </w:r>
      <w:r w:rsidR="00390C43">
        <w:t>rowth in taxable incomes</w:t>
      </w:r>
      <w:r w:rsidR="006633E5">
        <w:t xml:space="preserve"> (Chart 5)</w:t>
      </w:r>
      <w:r w:rsidR="00390C43">
        <w:t>.</w:t>
      </w:r>
      <w:r w:rsidR="004E0DE0">
        <w:t xml:space="preserve"> </w:t>
      </w:r>
      <w:r w:rsidR="00D90D70">
        <w:t>Specifically, t</w:t>
      </w:r>
      <w:r w:rsidR="004E0DE0">
        <w:t>axable incomes have more than doubled for all deciles, with the greatest gains experienced by the top 10 per cent</w:t>
      </w:r>
      <w:r w:rsidR="002F0F1A">
        <w:t>,</w:t>
      </w:r>
      <w:r w:rsidR="004E0DE0">
        <w:t xml:space="preserve"> </w:t>
      </w:r>
      <w:r w:rsidR="006959C2">
        <w:t xml:space="preserve">where taxable incomes </w:t>
      </w:r>
      <w:r w:rsidR="004E0DE0">
        <w:t>have tripled</w:t>
      </w:r>
      <w:r w:rsidR="00390C43">
        <w:t xml:space="preserve"> (</w:t>
      </w:r>
      <w:r w:rsidR="00254DB7">
        <w:t xml:space="preserve">also </w:t>
      </w:r>
      <w:r w:rsidR="00390C43">
        <w:t>see Table 1)</w:t>
      </w:r>
      <w:r w:rsidR="004E0DE0">
        <w:t>. As an illustration, an individual earning just over $50,000 in 1994</w:t>
      </w:r>
      <w:r w:rsidR="004E0DE0">
        <w:noBreakHyphen/>
        <w:t>95 would be in the top (10</w:t>
      </w:r>
      <w:r w:rsidR="004E0DE0" w:rsidRPr="00B81D66">
        <w:rPr>
          <w:vertAlign w:val="superscript"/>
        </w:rPr>
        <w:t>th</w:t>
      </w:r>
      <w:r w:rsidR="004E0DE0">
        <w:t>) decile</w:t>
      </w:r>
      <w:r w:rsidR="002F0F1A">
        <w:t>,</w:t>
      </w:r>
      <w:r w:rsidR="004E0DE0">
        <w:t xml:space="preserve"> but in 201</w:t>
      </w:r>
      <w:r w:rsidR="006959C2">
        <w:t>5</w:t>
      </w:r>
      <w:r w:rsidR="004E0DE0">
        <w:t>-1</w:t>
      </w:r>
      <w:r w:rsidR="006959C2">
        <w:t>6</w:t>
      </w:r>
      <w:r w:rsidR="004E0DE0">
        <w:t xml:space="preserve"> </w:t>
      </w:r>
      <w:r w:rsidR="00997063">
        <w:t xml:space="preserve">an </w:t>
      </w:r>
      <w:r w:rsidR="004E0DE0">
        <w:t>individual</w:t>
      </w:r>
      <w:r w:rsidR="00997063">
        <w:t xml:space="preserve"> earning $50,000</w:t>
      </w:r>
      <w:r w:rsidR="004E0DE0">
        <w:t xml:space="preserve"> would be in the 5</w:t>
      </w:r>
      <w:r w:rsidR="004E0DE0" w:rsidRPr="00B81D66">
        <w:rPr>
          <w:vertAlign w:val="superscript"/>
        </w:rPr>
        <w:t>th</w:t>
      </w:r>
      <w:r w:rsidR="004E0DE0">
        <w:t xml:space="preserve"> decile. By contrast, the top decile in 201</w:t>
      </w:r>
      <w:r w:rsidR="006959C2">
        <w:t>5</w:t>
      </w:r>
      <w:r w:rsidR="004E0DE0">
        <w:t>-1</w:t>
      </w:r>
      <w:r w:rsidR="006959C2">
        <w:t>6</w:t>
      </w:r>
      <w:r w:rsidR="004E0DE0">
        <w:t xml:space="preserve"> would be filled by individuals earning approximately $12</w:t>
      </w:r>
      <w:r w:rsidR="006959C2">
        <w:t>6</w:t>
      </w:r>
      <w:r w:rsidR="004E0DE0">
        <w:t>,000 and above.</w:t>
      </w:r>
      <w:r w:rsidR="009A0109">
        <w:t xml:space="preserve"> The slowest relative taxable income gains have been experienced by the ‘middle’ 4</w:t>
      </w:r>
      <w:r w:rsidR="009A0109" w:rsidRPr="00F13F01">
        <w:rPr>
          <w:vertAlign w:val="superscript"/>
        </w:rPr>
        <w:t>th</w:t>
      </w:r>
      <w:r w:rsidR="009A0109">
        <w:t xml:space="preserve"> to 7</w:t>
      </w:r>
      <w:r w:rsidR="009A0109" w:rsidRPr="00F13F01">
        <w:rPr>
          <w:vertAlign w:val="superscript"/>
        </w:rPr>
        <w:t>th</w:t>
      </w:r>
      <w:r w:rsidR="009A0109">
        <w:t xml:space="preserve"> deciles, </w:t>
      </w:r>
      <w:r w:rsidR="00D13695">
        <w:t xml:space="preserve">which equates to </w:t>
      </w:r>
      <w:r w:rsidR="009A0109">
        <w:t xml:space="preserve">those with an income range between approximately $42,000 and $77,000 in 2015-16. </w:t>
      </w:r>
      <w:r w:rsidR="00997063">
        <w:t xml:space="preserve"> </w:t>
      </w:r>
    </w:p>
    <w:p w14:paraId="3E9E6303" w14:textId="35EC1546" w:rsidR="008C0874" w:rsidRDefault="006633E5" w:rsidP="0005796A">
      <w:pPr>
        <w:pStyle w:val="ChartMainHeading"/>
        <w:rPr>
          <w:lang w:val="en-US"/>
        </w:rPr>
      </w:pPr>
      <w:r w:rsidRPr="0016604F">
        <w:rPr>
          <w:rFonts w:eastAsiaTheme="minorHAnsi"/>
        </w:rPr>
        <w:t>Chart 5.</w:t>
      </w:r>
      <w:r w:rsidR="008C0874" w:rsidRPr="0016604F">
        <w:rPr>
          <w:rFonts w:eastAsiaTheme="minorHAnsi"/>
        </w:rPr>
        <w:t xml:space="preserve"> </w:t>
      </w:r>
      <w:r w:rsidR="008C0874">
        <w:rPr>
          <w:rFonts w:eastAsiaTheme="minorHAnsi"/>
        </w:rPr>
        <w:t>A</w:t>
      </w:r>
      <w:r w:rsidR="008C0874" w:rsidRPr="00406792">
        <w:rPr>
          <w:rFonts w:eastAsiaTheme="minorHAnsi"/>
        </w:rPr>
        <w:t>verage personal</w:t>
      </w:r>
      <w:r w:rsidR="008C0874">
        <w:rPr>
          <w:rFonts w:eastAsiaTheme="minorHAnsi"/>
        </w:rPr>
        <w:t xml:space="preserve"> income tax rates and decile ranges in Australia, </w:t>
      </w:r>
      <w:r w:rsidR="0005796A">
        <w:rPr>
          <w:rFonts w:eastAsiaTheme="minorHAnsi"/>
        </w:rPr>
        <w:br/>
      </w:r>
      <w:r w:rsidR="008C0874" w:rsidRPr="00406792">
        <w:rPr>
          <w:rFonts w:eastAsiaTheme="minorHAnsi"/>
        </w:rPr>
        <w:t>1994-95 and 201</w:t>
      </w:r>
      <w:r w:rsidR="0066772A">
        <w:rPr>
          <w:rFonts w:eastAsiaTheme="minorHAnsi"/>
        </w:rPr>
        <w:t>5</w:t>
      </w:r>
      <w:r w:rsidR="008C0874" w:rsidRPr="00406792">
        <w:rPr>
          <w:rFonts w:eastAsiaTheme="minorHAnsi"/>
        </w:rPr>
        <w:t>-1</w:t>
      </w:r>
      <w:r w:rsidR="0066772A">
        <w:rPr>
          <w:rFonts w:eastAsiaTheme="minorHAnsi"/>
        </w:rPr>
        <w:t>6</w:t>
      </w:r>
      <w:r w:rsidR="008C0874" w:rsidRPr="00406792">
        <w:rPr>
          <w:rFonts w:eastAsiaTheme="minorHAnsi"/>
        </w:rPr>
        <w:t>.</w:t>
      </w:r>
      <w:r w:rsidR="008C0874">
        <w:rPr>
          <w:lang w:val="en-US"/>
        </w:rPr>
        <w:t xml:space="preserve"> </w:t>
      </w:r>
    </w:p>
    <w:p w14:paraId="3E9E6304" w14:textId="77777777" w:rsidR="006633E5" w:rsidRDefault="006633E5" w:rsidP="00E62588">
      <w:pPr>
        <w:pStyle w:val="ChartGraphic"/>
      </w:pPr>
      <w:r>
        <w:rPr>
          <w:noProof/>
        </w:rPr>
        <w:drawing>
          <wp:inline distT="0" distB="0" distL="0" distR="0" wp14:anchorId="3E9E63E0" wp14:editId="3E51E3A7">
            <wp:extent cx="5539124" cy="2792771"/>
            <wp:effectExtent l="0" t="0" r="4445"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423EF27" w14:textId="77777777" w:rsidR="00AB5CD6" w:rsidRDefault="008C0874" w:rsidP="005821AB">
      <w:pPr>
        <w:pStyle w:val="ChartorTableNote"/>
      </w:pPr>
      <w:r>
        <w:t xml:space="preserve">Note: </w:t>
      </w:r>
      <w:r w:rsidRPr="00442A6C">
        <w:t xml:space="preserve">Deciles are calculated by dividing the personal taxpayer population </w:t>
      </w:r>
      <w:r w:rsidR="000A1B23">
        <w:t>in</w:t>
      </w:r>
      <w:r w:rsidRPr="00442A6C">
        <w:t>to ten groups with the same population size.</w:t>
      </w:r>
      <w:r>
        <w:t xml:space="preserve"> In 1994-95, a decile corresponded to approximately 800,000 individuals and in 201</w:t>
      </w:r>
      <w:r w:rsidR="00B5707F">
        <w:t>5</w:t>
      </w:r>
      <w:r>
        <w:t>-1</w:t>
      </w:r>
      <w:r w:rsidR="00B5707F">
        <w:t>6</w:t>
      </w:r>
      <w:r>
        <w:t xml:space="preserve">, a decile represented </w:t>
      </w:r>
      <w:r w:rsidR="00B5707F">
        <w:t xml:space="preserve">approximately </w:t>
      </w:r>
      <w:r>
        <w:t xml:space="preserve">1,000,000 individual taxpayers. </w:t>
      </w:r>
      <w:r w:rsidR="0070761C">
        <w:t xml:space="preserve">Average tax rate </w:t>
      </w:r>
      <w:r w:rsidR="00CC469B">
        <w:t>estimates</w:t>
      </w:r>
      <w:r w:rsidR="0070761C">
        <w:t xml:space="preserve"> include the Low income tax offset, Medicare levy and Temporary Budget repair levy. </w:t>
      </w:r>
    </w:p>
    <w:p w14:paraId="3E9E6305" w14:textId="2C1386B7" w:rsidR="00D13695" w:rsidRDefault="008C0874" w:rsidP="005821AB">
      <w:pPr>
        <w:pStyle w:val="ChartorTableNote"/>
      </w:pPr>
      <w:r>
        <w:t>Source: Australian Taxation Statistics, author calculations.</w:t>
      </w:r>
    </w:p>
    <w:p w14:paraId="3D017991" w14:textId="77777777" w:rsidR="005821AB" w:rsidRDefault="005821AB" w:rsidP="005821AB">
      <w:pPr>
        <w:pStyle w:val="SingleParagraph"/>
      </w:pPr>
    </w:p>
    <w:tbl>
      <w:tblPr>
        <w:tblStyle w:val="TableGrid"/>
        <w:tblW w:w="5000" w:type="pct"/>
        <w:tblBorders>
          <w:top w:val="none" w:sz="0" w:space="0" w:color="auto"/>
          <w:left w:val="none" w:sz="0" w:space="0" w:color="auto"/>
          <w:bottom w:val="single" w:sz="12" w:space="0" w:color="336E98"/>
          <w:right w:val="none" w:sz="0" w:space="0" w:color="auto"/>
          <w:insideH w:val="none" w:sz="0" w:space="0" w:color="auto"/>
          <w:insideV w:val="none" w:sz="0" w:space="0" w:color="auto"/>
        </w:tblBorders>
        <w:shd w:val="clear" w:color="auto" w:fill="EBEBEB"/>
        <w:tblLook w:val="04A0" w:firstRow="1" w:lastRow="0" w:firstColumn="1" w:lastColumn="0" w:noHBand="0" w:noVBand="1"/>
      </w:tblPr>
      <w:tblGrid>
        <w:gridCol w:w="9298"/>
      </w:tblGrid>
      <w:tr w:rsidR="00B16138" w14:paraId="635A4EC7" w14:textId="77777777" w:rsidTr="00F81ABA">
        <w:tc>
          <w:tcPr>
            <w:tcW w:w="5000" w:type="pct"/>
            <w:shd w:val="clear" w:color="auto" w:fill="EBEBEB"/>
          </w:tcPr>
          <w:p w14:paraId="05B52F0B" w14:textId="53015DDD" w:rsidR="00B16138" w:rsidRPr="000553FE" w:rsidRDefault="00B16138" w:rsidP="00F81ABA">
            <w:pPr>
              <w:pStyle w:val="BoxHeading"/>
              <w:rPr>
                <w:b/>
              </w:rPr>
            </w:pPr>
            <w:r w:rsidRPr="000553FE">
              <w:t xml:space="preserve">Box </w:t>
            </w:r>
            <w:r>
              <w:t>1: Challenges in interpreting changes in deciles over time</w:t>
            </w:r>
          </w:p>
          <w:p w14:paraId="472F061D" w14:textId="77777777" w:rsidR="00B16138" w:rsidRDefault="00B16138" w:rsidP="00B16138">
            <w:pPr>
              <w:jc w:val="both"/>
            </w:pPr>
            <w:r>
              <w:t xml:space="preserve">When interpreting changes in deciles, it is important to note that the </w:t>
            </w:r>
            <w:r w:rsidRPr="00E56C5A">
              <w:rPr>
                <w:i/>
              </w:rPr>
              <w:t>composition</w:t>
            </w:r>
            <w:r>
              <w:t xml:space="preserve"> of each decile varies over time.  As a general observation, Australia’s working population moves across income deciles (both upwards and downwards) throughout their lives as their incomes change. This is true of both the size of deciles and constituent membership of each decile, and means that the membership of each decile is not strictly comparable between disparate time periods. In addition, the population sizes for each decile have become larger due to population growth: in 1994-95, the decile brackets corresponded to approximately 800,000 taxpayers, while in 2015</w:t>
            </w:r>
            <w:r>
              <w:noBreakHyphen/>
              <w:t>16 deciles correspond to approximately 1 million taxpayers.  In light of the shifting decile composition, it is not possible to conclude from ‘snapshot in time’ analysis that, for example, the taxable incomes of the top ten per cent of the population have ‘pulled away’ from everyone else.</w:t>
            </w:r>
          </w:p>
          <w:p w14:paraId="720A6BC3" w14:textId="23E246EB" w:rsidR="00B16138" w:rsidRDefault="00B16138" w:rsidP="00B16138">
            <w:pPr>
              <w:jc w:val="both"/>
            </w:pPr>
            <w:r>
              <w:t>A couple of additional caveats apply to the two extremes of the taxable income distribution. First, the tripling of tax</w:t>
            </w:r>
            <w:r>
              <w:noBreakHyphen/>
              <w:t>free threshold in 2012-13 (to $18,200 for individuals and approximately $32,000 for single recipients of the Seniors and Pensioners Tax Offset) means that a larger number of low-income earners no longer needed to lodge a tax return as they do not pay income tax – that is, they do not form part of the taxpayer population. There is little to no data from 2012-13 onwards available for these taxpayers, and this influences the income range captured within the two bottom income deciles. Second, the composition of the top decile is influenced by the statistical anomalies that come from using an unbounded income range. Increased and more effective (and often high profile) compliance work by the ATO focu</w:t>
            </w:r>
            <w:r w:rsidR="00AB5CD6">
              <w:t>ssed on top income earners (for example,</w:t>
            </w:r>
            <w:r>
              <w:t xml:space="preserve"> Project Wickenby) is likely to have also influenced the composition of the top decile.</w:t>
            </w:r>
          </w:p>
          <w:p w14:paraId="12DA7F82" w14:textId="14D500E4" w:rsidR="00B16138" w:rsidRDefault="00B16138" w:rsidP="00B16138">
            <w:pPr>
              <w:pStyle w:val="BoxText"/>
            </w:pPr>
            <w:r>
              <w:t>Examining personal income tax trends on a lifetime basis, and quantifying the respective influence of the factors identified above, are valuable avenues for future work.</w:t>
            </w:r>
          </w:p>
        </w:tc>
      </w:tr>
    </w:tbl>
    <w:p w14:paraId="32A27578" w14:textId="77777777" w:rsidR="00B16138" w:rsidRDefault="00B16138" w:rsidP="00B16138">
      <w:pPr>
        <w:pStyle w:val="SingleParagraph"/>
      </w:pPr>
    </w:p>
    <w:p w14:paraId="3E9E630F" w14:textId="77777777" w:rsidR="00FA0A3C" w:rsidRDefault="00FA0A3C" w:rsidP="00B16138">
      <w:pPr>
        <w:pStyle w:val="TableMainHeading"/>
      </w:pPr>
      <w:r w:rsidRPr="00DD6DA8">
        <w:t>Table 1.</w:t>
      </w:r>
      <w:r>
        <w:t xml:space="preserve"> Income range, average taxable income and average tax rate of deciles, 1994-95 and 2015-16.</w:t>
      </w:r>
    </w:p>
    <w:tbl>
      <w:tblPr>
        <w:tblW w:w="9513" w:type="dxa"/>
        <w:tblInd w:w="93" w:type="dxa"/>
        <w:tblLook w:val="04A0" w:firstRow="1" w:lastRow="0" w:firstColumn="1" w:lastColumn="0" w:noHBand="0" w:noVBand="1"/>
      </w:tblPr>
      <w:tblGrid>
        <w:gridCol w:w="717"/>
        <w:gridCol w:w="1425"/>
        <w:gridCol w:w="738"/>
        <w:gridCol w:w="738"/>
        <w:gridCol w:w="1613"/>
        <w:gridCol w:w="800"/>
        <w:gridCol w:w="1161"/>
        <w:gridCol w:w="1418"/>
        <w:gridCol w:w="903"/>
      </w:tblGrid>
      <w:tr w:rsidR="00FA0A3C" w:rsidRPr="00DF5CAF" w14:paraId="3E9E6315" w14:textId="77777777" w:rsidTr="000A76F6">
        <w:trPr>
          <w:trHeight w:val="255"/>
        </w:trPr>
        <w:tc>
          <w:tcPr>
            <w:tcW w:w="717" w:type="dxa"/>
            <w:vMerge w:val="restart"/>
            <w:tcBorders>
              <w:top w:val="single" w:sz="4" w:space="0" w:color="auto"/>
              <w:bottom w:val="single" w:sz="4" w:space="0" w:color="000000"/>
              <w:right w:val="single" w:sz="4" w:space="0" w:color="auto"/>
            </w:tcBorders>
            <w:shd w:val="clear" w:color="auto" w:fill="auto"/>
            <w:noWrap/>
            <w:vAlign w:val="bottom"/>
            <w:hideMark/>
          </w:tcPr>
          <w:p w14:paraId="3E9E6310"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Decile</w:t>
            </w:r>
          </w:p>
        </w:tc>
        <w:tc>
          <w:tcPr>
            <w:tcW w:w="2901" w:type="dxa"/>
            <w:gridSpan w:val="3"/>
            <w:tcBorders>
              <w:top w:val="single" w:sz="4" w:space="0" w:color="auto"/>
              <w:left w:val="single" w:sz="4" w:space="0" w:color="auto"/>
              <w:bottom w:val="nil"/>
              <w:right w:val="single" w:sz="4" w:space="0" w:color="auto"/>
            </w:tcBorders>
            <w:shd w:val="clear" w:color="auto" w:fill="auto"/>
            <w:noWrap/>
            <w:vAlign w:val="center"/>
            <w:hideMark/>
          </w:tcPr>
          <w:p w14:paraId="3E9E6311"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1994-95</w:t>
            </w:r>
          </w:p>
        </w:tc>
        <w:tc>
          <w:tcPr>
            <w:tcW w:w="3574" w:type="dxa"/>
            <w:gridSpan w:val="3"/>
            <w:tcBorders>
              <w:top w:val="single" w:sz="4" w:space="0" w:color="auto"/>
              <w:left w:val="single" w:sz="4" w:space="0" w:color="auto"/>
              <w:bottom w:val="nil"/>
              <w:right w:val="single" w:sz="4" w:space="0" w:color="auto"/>
            </w:tcBorders>
            <w:shd w:val="clear" w:color="auto" w:fill="auto"/>
            <w:noWrap/>
            <w:vAlign w:val="center"/>
            <w:hideMark/>
          </w:tcPr>
          <w:p w14:paraId="3E9E6312"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201</w:t>
            </w:r>
            <w:r>
              <w:rPr>
                <w:rFonts w:ascii="Arial" w:eastAsia="Times New Roman" w:hAnsi="Arial" w:cs="Arial"/>
                <w:color w:val="auto"/>
                <w:sz w:val="14"/>
                <w:szCs w:val="18"/>
                <w:lang w:eastAsia="en-AU"/>
              </w:rPr>
              <w:t>5</w:t>
            </w:r>
            <w:r w:rsidRPr="00DF5CAF">
              <w:rPr>
                <w:rFonts w:ascii="Arial" w:eastAsia="Times New Roman" w:hAnsi="Arial" w:cs="Arial"/>
                <w:color w:val="auto"/>
                <w:sz w:val="14"/>
                <w:szCs w:val="18"/>
                <w:lang w:eastAsia="en-AU"/>
              </w:rPr>
              <w:t>-1</w:t>
            </w:r>
            <w:r>
              <w:rPr>
                <w:rFonts w:ascii="Arial" w:eastAsia="Times New Roman" w:hAnsi="Arial" w:cs="Arial"/>
                <w:color w:val="auto"/>
                <w:sz w:val="14"/>
                <w:szCs w:val="18"/>
                <w:lang w:eastAsia="en-AU"/>
              </w:rPr>
              <w:t>6</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3E9E6313" w14:textId="77777777" w:rsidR="00FA0A3C" w:rsidRPr="00DF5CAF" w:rsidRDefault="00FA0A3C" w:rsidP="000A76F6">
            <w:pPr>
              <w:spacing w:after="0"/>
              <w:jc w:val="center"/>
              <w:rPr>
                <w:rFonts w:ascii="Arial" w:eastAsia="Times New Roman" w:hAnsi="Arial" w:cs="Arial"/>
                <w:b/>
                <w:color w:val="auto"/>
                <w:sz w:val="14"/>
                <w:szCs w:val="18"/>
                <w:lang w:eastAsia="en-AU"/>
              </w:rPr>
            </w:pPr>
            <w:r w:rsidRPr="00DF5CAF">
              <w:rPr>
                <w:rFonts w:ascii="Arial" w:eastAsia="Times New Roman" w:hAnsi="Arial" w:cs="Arial"/>
                <w:color w:val="auto"/>
                <w:sz w:val="14"/>
                <w:szCs w:val="18"/>
                <w:lang w:eastAsia="en-AU"/>
              </w:rPr>
              <w:t>Ratio of average taxable income in 201</w:t>
            </w:r>
            <w:r>
              <w:rPr>
                <w:rFonts w:ascii="Arial" w:eastAsia="Times New Roman" w:hAnsi="Arial" w:cs="Arial"/>
                <w:color w:val="auto"/>
                <w:sz w:val="14"/>
                <w:szCs w:val="18"/>
                <w:lang w:eastAsia="en-AU"/>
              </w:rPr>
              <w:t>5</w:t>
            </w:r>
            <w:r w:rsidRPr="00DF5CAF">
              <w:rPr>
                <w:rFonts w:ascii="Arial" w:eastAsia="Times New Roman" w:hAnsi="Arial" w:cs="Arial"/>
                <w:color w:val="auto"/>
                <w:sz w:val="14"/>
                <w:szCs w:val="18"/>
                <w:lang w:eastAsia="en-AU"/>
              </w:rPr>
              <w:t>-1</w:t>
            </w:r>
            <w:r>
              <w:rPr>
                <w:rFonts w:ascii="Arial" w:eastAsia="Times New Roman" w:hAnsi="Arial" w:cs="Arial"/>
                <w:color w:val="auto"/>
                <w:sz w:val="14"/>
                <w:szCs w:val="18"/>
                <w:lang w:eastAsia="en-AU"/>
              </w:rPr>
              <w:t>6</w:t>
            </w:r>
            <w:r w:rsidRPr="00DF5CAF">
              <w:rPr>
                <w:rFonts w:ascii="Arial" w:eastAsia="Times New Roman" w:hAnsi="Arial" w:cs="Arial"/>
                <w:color w:val="auto"/>
                <w:sz w:val="14"/>
                <w:szCs w:val="18"/>
                <w:lang w:eastAsia="en-AU"/>
              </w:rPr>
              <w:t xml:space="preserve"> compared to 1994-</w:t>
            </w:r>
            <w:r>
              <w:rPr>
                <w:rFonts w:ascii="Arial" w:eastAsia="Times New Roman" w:hAnsi="Arial" w:cs="Arial"/>
                <w:color w:val="auto"/>
                <w:sz w:val="14"/>
                <w:szCs w:val="18"/>
                <w:lang w:eastAsia="en-AU"/>
              </w:rPr>
              <w:t>9</w:t>
            </w:r>
            <w:r w:rsidRPr="00DF5CAF">
              <w:rPr>
                <w:rFonts w:ascii="Arial" w:eastAsia="Times New Roman" w:hAnsi="Arial" w:cs="Arial"/>
                <w:color w:val="auto"/>
                <w:sz w:val="14"/>
                <w:szCs w:val="18"/>
                <w:lang w:eastAsia="en-AU"/>
              </w:rPr>
              <w:t>5</w:t>
            </w:r>
          </w:p>
        </w:tc>
        <w:tc>
          <w:tcPr>
            <w:tcW w:w="903" w:type="dxa"/>
            <w:vMerge w:val="restart"/>
            <w:tcBorders>
              <w:top w:val="single" w:sz="4" w:space="0" w:color="auto"/>
              <w:left w:val="single" w:sz="4" w:space="0" w:color="auto"/>
            </w:tcBorders>
            <w:shd w:val="clear" w:color="auto" w:fill="auto"/>
            <w:vAlign w:val="center"/>
          </w:tcPr>
          <w:p w14:paraId="3E9E6314" w14:textId="77777777" w:rsidR="00FA0A3C" w:rsidRPr="00DF5CAF" w:rsidRDefault="00FA0A3C" w:rsidP="000A76F6">
            <w:pPr>
              <w:spacing w:after="0"/>
              <w:jc w:val="center"/>
              <w:rPr>
                <w:rFonts w:ascii="Arial" w:eastAsia="Times New Roman" w:hAnsi="Arial" w:cs="Arial"/>
                <w:color w:val="auto"/>
                <w:sz w:val="14"/>
                <w:szCs w:val="18"/>
                <w:lang w:eastAsia="en-AU"/>
              </w:rPr>
            </w:pPr>
            <w:r>
              <w:rPr>
                <w:rFonts w:ascii="Arial" w:eastAsia="Times New Roman" w:hAnsi="Arial" w:cs="Arial"/>
                <w:color w:val="auto"/>
                <w:sz w:val="14"/>
                <w:szCs w:val="18"/>
                <w:lang w:eastAsia="en-AU"/>
              </w:rPr>
              <w:t>Change in average tax rate, 1994-95 to 2015-16 (ppt)</w:t>
            </w:r>
          </w:p>
        </w:tc>
      </w:tr>
      <w:tr w:rsidR="00FA0A3C" w:rsidRPr="00DF5CAF" w14:paraId="3E9E631F" w14:textId="77777777" w:rsidTr="000A76F6">
        <w:trPr>
          <w:trHeight w:val="428"/>
        </w:trPr>
        <w:tc>
          <w:tcPr>
            <w:tcW w:w="717" w:type="dxa"/>
            <w:vMerge/>
            <w:tcBorders>
              <w:top w:val="single" w:sz="4" w:space="0" w:color="auto"/>
              <w:bottom w:val="single" w:sz="4" w:space="0" w:color="000000"/>
              <w:right w:val="single" w:sz="4" w:space="0" w:color="auto"/>
            </w:tcBorders>
            <w:vAlign w:val="center"/>
            <w:hideMark/>
          </w:tcPr>
          <w:p w14:paraId="3E9E6316" w14:textId="77777777" w:rsidR="00FA0A3C" w:rsidRPr="00DF5CAF" w:rsidRDefault="00FA0A3C" w:rsidP="000A76F6">
            <w:pPr>
              <w:spacing w:after="0"/>
              <w:rPr>
                <w:rFonts w:ascii="Arial" w:eastAsia="Times New Roman" w:hAnsi="Arial" w:cs="Arial"/>
                <w:color w:val="auto"/>
                <w:sz w:val="14"/>
                <w:szCs w:val="18"/>
                <w:lang w:eastAsia="en-AU"/>
              </w:rPr>
            </w:pPr>
          </w:p>
        </w:tc>
        <w:tc>
          <w:tcPr>
            <w:tcW w:w="1425" w:type="dxa"/>
            <w:tcBorders>
              <w:top w:val="nil"/>
              <w:left w:val="single" w:sz="4" w:space="0" w:color="auto"/>
              <w:bottom w:val="single" w:sz="4" w:space="0" w:color="auto"/>
              <w:right w:val="nil"/>
            </w:tcBorders>
            <w:shd w:val="clear" w:color="auto" w:fill="auto"/>
            <w:noWrap/>
            <w:vAlign w:val="center"/>
            <w:hideMark/>
          </w:tcPr>
          <w:p w14:paraId="3E9E6317"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Income Range</w:t>
            </w:r>
          </w:p>
        </w:tc>
        <w:tc>
          <w:tcPr>
            <w:tcW w:w="738" w:type="dxa"/>
            <w:tcBorders>
              <w:top w:val="nil"/>
              <w:left w:val="nil"/>
              <w:bottom w:val="single" w:sz="4" w:space="0" w:color="auto"/>
              <w:right w:val="nil"/>
            </w:tcBorders>
            <w:shd w:val="clear" w:color="auto" w:fill="auto"/>
            <w:vAlign w:val="center"/>
            <w:hideMark/>
          </w:tcPr>
          <w:p w14:paraId="3E9E6318"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Average taxable income</w:t>
            </w:r>
          </w:p>
        </w:tc>
        <w:tc>
          <w:tcPr>
            <w:tcW w:w="738" w:type="dxa"/>
            <w:tcBorders>
              <w:top w:val="nil"/>
              <w:left w:val="nil"/>
              <w:bottom w:val="single" w:sz="4" w:space="0" w:color="auto"/>
              <w:right w:val="single" w:sz="4" w:space="0" w:color="auto"/>
            </w:tcBorders>
            <w:shd w:val="clear" w:color="auto" w:fill="auto"/>
            <w:vAlign w:val="center"/>
            <w:hideMark/>
          </w:tcPr>
          <w:p w14:paraId="3E9E6319"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Average tax rate</w:t>
            </w:r>
          </w:p>
        </w:tc>
        <w:tc>
          <w:tcPr>
            <w:tcW w:w="1613" w:type="dxa"/>
            <w:tcBorders>
              <w:top w:val="nil"/>
              <w:left w:val="single" w:sz="4" w:space="0" w:color="auto"/>
              <w:bottom w:val="single" w:sz="4" w:space="0" w:color="auto"/>
              <w:right w:val="nil"/>
            </w:tcBorders>
            <w:shd w:val="clear" w:color="auto" w:fill="auto"/>
            <w:noWrap/>
            <w:vAlign w:val="center"/>
            <w:hideMark/>
          </w:tcPr>
          <w:p w14:paraId="3E9E631A"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Income range</w:t>
            </w:r>
          </w:p>
        </w:tc>
        <w:tc>
          <w:tcPr>
            <w:tcW w:w="800" w:type="dxa"/>
            <w:tcBorders>
              <w:top w:val="nil"/>
              <w:left w:val="nil"/>
              <w:bottom w:val="single" w:sz="4" w:space="0" w:color="auto"/>
              <w:right w:val="nil"/>
            </w:tcBorders>
            <w:shd w:val="clear" w:color="auto" w:fill="auto"/>
            <w:vAlign w:val="center"/>
            <w:hideMark/>
          </w:tcPr>
          <w:p w14:paraId="3E9E631B"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Average taxable income</w:t>
            </w:r>
          </w:p>
        </w:tc>
        <w:tc>
          <w:tcPr>
            <w:tcW w:w="1161" w:type="dxa"/>
            <w:tcBorders>
              <w:top w:val="nil"/>
              <w:left w:val="nil"/>
              <w:bottom w:val="single" w:sz="4" w:space="0" w:color="auto"/>
              <w:right w:val="single" w:sz="4" w:space="0" w:color="auto"/>
            </w:tcBorders>
            <w:shd w:val="clear" w:color="auto" w:fill="auto"/>
            <w:vAlign w:val="center"/>
            <w:hideMark/>
          </w:tcPr>
          <w:p w14:paraId="3E9E631C"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Average tax rate</w:t>
            </w:r>
          </w:p>
        </w:tc>
        <w:tc>
          <w:tcPr>
            <w:tcW w:w="1418" w:type="dxa"/>
            <w:vMerge/>
            <w:tcBorders>
              <w:left w:val="single" w:sz="4" w:space="0" w:color="auto"/>
              <w:bottom w:val="single" w:sz="4" w:space="0" w:color="auto"/>
              <w:right w:val="single" w:sz="4" w:space="0" w:color="auto"/>
            </w:tcBorders>
            <w:shd w:val="clear" w:color="auto" w:fill="auto"/>
            <w:vAlign w:val="center"/>
            <w:hideMark/>
          </w:tcPr>
          <w:p w14:paraId="3E9E631D" w14:textId="77777777" w:rsidR="00FA0A3C" w:rsidRPr="00DF5CAF" w:rsidRDefault="00FA0A3C" w:rsidP="000A76F6">
            <w:pPr>
              <w:spacing w:after="0"/>
              <w:jc w:val="center"/>
              <w:rPr>
                <w:rFonts w:ascii="Arial" w:eastAsia="Times New Roman" w:hAnsi="Arial" w:cs="Arial"/>
                <w:color w:val="auto"/>
                <w:sz w:val="14"/>
                <w:szCs w:val="18"/>
                <w:lang w:eastAsia="en-AU"/>
              </w:rPr>
            </w:pPr>
          </w:p>
        </w:tc>
        <w:tc>
          <w:tcPr>
            <w:tcW w:w="903" w:type="dxa"/>
            <w:vMerge/>
            <w:tcBorders>
              <w:left w:val="single" w:sz="4" w:space="0" w:color="auto"/>
              <w:bottom w:val="single" w:sz="4" w:space="0" w:color="auto"/>
            </w:tcBorders>
            <w:shd w:val="clear" w:color="auto" w:fill="auto"/>
            <w:vAlign w:val="center"/>
          </w:tcPr>
          <w:p w14:paraId="3E9E631E" w14:textId="77777777" w:rsidR="00FA0A3C" w:rsidRPr="00DF5CAF" w:rsidRDefault="00FA0A3C" w:rsidP="000A76F6">
            <w:pPr>
              <w:spacing w:after="0"/>
              <w:jc w:val="center"/>
              <w:rPr>
                <w:rFonts w:ascii="Arial" w:eastAsia="Times New Roman" w:hAnsi="Arial" w:cs="Arial"/>
                <w:color w:val="auto"/>
                <w:sz w:val="14"/>
                <w:szCs w:val="18"/>
                <w:lang w:eastAsia="en-AU"/>
              </w:rPr>
            </w:pPr>
          </w:p>
        </w:tc>
      </w:tr>
      <w:tr w:rsidR="00FA0A3C" w:rsidRPr="00DF5CAF" w14:paraId="3E9E6329"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20"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w:t>
            </w:r>
          </w:p>
        </w:tc>
        <w:tc>
          <w:tcPr>
            <w:tcW w:w="1425" w:type="dxa"/>
            <w:tcBorders>
              <w:top w:val="nil"/>
              <w:left w:val="single" w:sz="4" w:space="0" w:color="auto"/>
              <w:bottom w:val="nil"/>
              <w:right w:val="nil"/>
            </w:tcBorders>
            <w:shd w:val="clear" w:color="auto" w:fill="auto"/>
            <w:noWrap/>
            <w:vAlign w:val="center"/>
            <w:hideMark/>
          </w:tcPr>
          <w:p w14:paraId="3E9E6321" w14:textId="77777777" w:rsidR="00FA0A3C" w:rsidRPr="00DF5CAF" w:rsidRDefault="00FA0A3C" w:rsidP="002164B2">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$10,731</w:t>
            </w:r>
            <w:r w:rsidR="002164B2">
              <w:rPr>
                <w:rFonts w:ascii="Arial" w:eastAsia="Times New Roman" w:hAnsi="Arial" w:cs="Arial"/>
                <w:color w:val="auto"/>
                <w:sz w:val="14"/>
                <w:szCs w:val="18"/>
                <w:lang w:eastAsia="en-AU"/>
              </w:rPr>
              <w:t xml:space="preserve"> or less</w:t>
            </w:r>
          </w:p>
        </w:tc>
        <w:tc>
          <w:tcPr>
            <w:tcW w:w="738" w:type="dxa"/>
            <w:tcBorders>
              <w:top w:val="nil"/>
              <w:left w:val="nil"/>
              <w:bottom w:val="nil"/>
              <w:right w:val="nil"/>
            </w:tcBorders>
            <w:shd w:val="clear" w:color="auto" w:fill="auto"/>
            <w:noWrap/>
            <w:vAlign w:val="center"/>
            <w:hideMark/>
          </w:tcPr>
          <w:p w14:paraId="3E9E6322"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$8,422</w:t>
            </w:r>
          </w:p>
        </w:tc>
        <w:tc>
          <w:tcPr>
            <w:tcW w:w="738" w:type="dxa"/>
            <w:tcBorders>
              <w:top w:val="nil"/>
              <w:left w:val="nil"/>
              <w:bottom w:val="nil"/>
              <w:right w:val="single" w:sz="4" w:space="0" w:color="auto"/>
            </w:tcBorders>
            <w:shd w:val="clear" w:color="auto" w:fill="auto"/>
            <w:noWrap/>
            <w:vAlign w:val="center"/>
            <w:hideMark/>
          </w:tcPr>
          <w:p w14:paraId="3E9E6323"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5.3%</w:t>
            </w:r>
          </w:p>
        </w:tc>
        <w:tc>
          <w:tcPr>
            <w:tcW w:w="1613" w:type="dxa"/>
            <w:tcBorders>
              <w:top w:val="nil"/>
              <w:left w:val="single" w:sz="4" w:space="0" w:color="auto"/>
              <w:bottom w:val="nil"/>
              <w:right w:val="nil"/>
            </w:tcBorders>
            <w:shd w:val="clear" w:color="auto" w:fill="auto"/>
            <w:noWrap/>
            <w:vAlign w:val="center"/>
            <w:hideMark/>
          </w:tcPr>
          <w:p w14:paraId="3E9E6324" w14:textId="77777777" w:rsidR="00FA0A3C" w:rsidRPr="00C70EC8" w:rsidRDefault="00FA0A3C" w:rsidP="002164B2">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27</w:t>
            </w:r>
            <w:r>
              <w:rPr>
                <w:rFonts w:asciiTheme="majorHAnsi" w:hAnsiTheme="majorHAnsi" w:cstheme="majorHAnsi"/>
                <w:sz w:val="14"/>
              </w:rPr>
              <w:t>,</w:t>
            </w:r>
            <w:r w:rsidRPr="00C70EC8">
              <w:rPr>
                <w:rFonts w:asciiTheme="majorHAnsi" w:hAnsiTheme="majorHAnsi" w:cstheme="majorHAnsi"/>
                <w:sz w:val="14"/>
              </w:rPr>
              <w:t>872</w:t>
            </w:r>
            <w:r w:rsidR="002164B2">
              <w:rPr>
                <w:rFonts w:asciiTheme="majorHAnsi" w:hAnsiTheme="majorHAnsi" w:cstheme="majorHAnsi"/>
                <w:sz w:val="14"/>
              </w:rPr>
              <w:t xml:space="preserve"> or less</w:t>
            </w:r>
          </w:p>
        </w:tc>
        <w:tc>
          <w:tcPr>
            <w:tcW w:w="800" w:type="dxa"/>
            <w:tcBorders>
              <w:top w:val="single" w:sz="4" w:space="0" w:color="auto"/>
              <w:left w:val="nil"/>
              <w:bottom w:val="nil"/>
              <w:right w:val="nil"/>
            </w:tcBorders>
            <w:shd w:val="clear" w:color="auto" w:fill="auto"/>
            <w:noWrap/>
            <w:vAlign w:val="center"/>
            <w:hideMark/>
          </w:tcPr>
          <w:p w14:paraId="3E9E6325"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$23,377 </w:t>
            </w:r>
          </w:p>
        </w:tc>
        <w:tc>
          <w:tcPr>
            <w:tcW w:w="1161" w:type="dxa"/>
            <w:tcBorders>
              <w:top w:val="single" w:sz="4" w:space="0" w:color="auto"/>
              <w:left w:val="nil"/>
              <w:bottom w:val="nil"/>
              <w:right w:val="single" w:sz="4" w:space="0" w:color="auto"/>
            </w:tcBorders>
            <w:shd w:val="clear" w:color="auto" w:fill="auto"/>
            <w:noWrap/>
            <w:vAlign w:val="center"/>
            <w:hideMark/>
          </w:tcPr>
          <w:p w14:paraId="3E9E6326"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4.0%</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3E9E6327"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2.78</w:t>
            </w:r>
          </w:p>
        </w:tc>
        <w:tc>
          <w:tcPr>
            <w:tcW w:w="903" w:type="dxa"/>
            <w:tcBorders>
              <w:top w:val="single" w:sz="4" w:space="0" w:color="auto"/>
              <w:left w:val="single" w:sz="4" w:space="0" w:color="auto"/>
            </w:tcBorders>
            <w:shd w:val="clear" w:color="auto" w:fill="auto"/>
            <w:vAlign w:val="center"/>
          </w:tcPr>
          <w:p w14:paraId="3E9E6328"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-1.3%</w:t>
            </w:r>
          </w:p>
        </w:tc>
      </w:tr>
      <w:tr w:rsidR="00FA0A3C" w:rsidRPr="00DF5CAF" w14:paraId="3E9E6333"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2A"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w:t>
            </w:r>
          </w:p>
        </w:tc>
        <w:tc>
          <w:tcPr>
            <w:tcW w:w="1425" w:type="dxa"/>
            <w:tcBorders>
              <w:top w:val="nil"/>
              <w:left w:val="single" w:sz="4" w:space="0" w:color="auto"/>
              <w:bottom w:val="nil"/>
              <w:right w:val="nil"/>
            </w:tcBorders>
            <w:shd w:val="clear" w:color="auto" w:fill="auto"/>
            <w:noWrap/>
            <w:vAlign w:val="center"/>
            <w:hideMark/>
          </w:tcPr>
          <w:p w14:paraId="3E9E632B"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$10,73</w:t>
            </w:r>
            <w:r>
              <w:rPr>
                <w:rFonts w:ascii="Arial" w:eastAsia="Times New Roman" w:hAnsi="Arial" w:cs="Arial"/>
                <w:color w:val="auto"/>
                <w:sz w:val="14"/>
                <w:szCs w:val="18"/>
                <w:lang w:eastAsia="en-AU"/>
              </w:rPr>
              <w:t>1</w:t>
            </w:r>
            <w:r w:rsidRPr="00DF5CAF">
              <w:rPr>
                <w:rFonts w:ascii="Arial" w:eastAsia="Times New Roman" w:hAnsi="Arial" w:cs="Arial"/>
                <w:color w:val="auto"/>
                <w:sz w:val="14"/>
                <w:szCs w:val="18"/>
                <w:lang w:eastAsia="en-AU"/>
              </w:rPr>
              <w:t>-$14,331</w:t>
            </w:r>
          </w:p>
        </w:tc>
        <w:tc>
          <w:tcPr>
            <w:tcW w:w="738" w:type="dxa"/>
            <w:tcBorders>
              <w:top w:val="nil"/>
              <w:left w:val="nil"/>
              <w:bottom w:val="nil"/>
              <w:right w:val="nil"/>
            </w:tcBorders>
            <w:shd w:val="clear" w:color="auto" w:fill="auto"/>
            <w:noWrap/>
            <w:vAlign w:val="center"/>
            <w:hideMark/>
          </w:tcPr>
          <w:p w14:paraId="3E9E632C"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$12,524</w:t>
            </w:r>
          </w:p>
        </w:tc>
        <w:tc>
          <w:tcPr>
            <w:tcW w:w="738" w:type="dxa"/>
            <w:tcBorders>
              <w:top w:val="nil"/>
              <w:left w:val="nil"/>
              <w:bottom w:val="nil"/>
              <w:right w:val="single" w:sz="4" w:space="0" w:color="auto"/>
            </w:tcBorders>
            <w:shd w:val="clear" w:color="auto" w:fill="auto"/>
            <w:noWrap/>
            <w:vAlign w:val="center"/>
            <w:hideMark/>
          </w:tcPr>
          <w:p w14:paraId="3E9E632D"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8.7%</w:t>
            </w:r>
          </w:p>
        </w:tc>
        <w:tc>
          <w:tcPr>
            <w:tcW w:w="1613" w:type="dxa"/>
            <w:tcBorders>
              <w:top w:val="nil"/>
              <w:left w:val="single" w:sz="4" w:space="0" w:color="auto"/>
              <w:bottom w:val="nil"/>
              <w:right w:val="nil"/>
            </w:tcBorders>
            <w:shd w:val="clear" w:color="auto" w:fill="auto"/>
            <w:noWrap/>
            <w:vAlign w:val="center"/>
            <w:hideMark/>
          </w:tcPr>
          <w:p w14:paraId="3E9E632E"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27</w:t>
            </w:r>
            <w:r>
              <w:rPr>
                <w:rFonts w:asciiTheme="majorHAnsi" w:hAnsiTheme="majorHAnsi" w:cstheme="majorHAnsi"/>
                <w:sz w:val="14"/>
              </w:rPr>
              <w:t>,</w:t>
            </w:r>
            <w:r w:rsidRPr="00C70EC8">
              <w:rPr>
                <w:rFonts w:asciiTheme="majorHAnsi" w:hAnsiTheme="majorHAnsi" w:cstheme="majorHAnsi"/>
                <w:sz w:val="14"/>
              </w:rPr>
              <w:t>873-</w:t>
            </w:r>
            <w:r>
              <w:rPr>
                <w:rFonts w:asciiTheme="majorHAnsi" w:hAnsiTheme="majorHAnsi" w:cstheme="majorHAnsi"/>
                <w:sz w:val="14"/>
              </w:rPr>
              <w:t>$</w:t>
            </w:r>
            <w:r w:rsidRPr="00C70EC8">
              <w:rPr>
                <w:rFonts w:asciiTheme="majorHAnsi" w:hAnsiTheme="majorHAnsi" w:cstheme="majorHAnsi"/>
                <w:sz w:val="14"/>
              </w:rPr>
              <w:t>35</w:t>
            </w:r>
            <w:r>
              <w:rPr>
                <w:rFonts w:asciiTheme="majorHAnsi" w:hAnsiTheme="majorHAnsi" w:cstheme="majorHAnsi"/>
                <w:sz w:val="14"/>
              </w:rPr>
              <w:t>,</w:t>
            </w:r>
            <w:r w:rsidRPr="00C70EC8">
              <w:rPr>
                <w:rFonts w:asciiTheme="majorHAnsi" w:hAnsiTheme="majorHAnsi" w:cstheme="majorHAnsi"/>
                <w:sz w:val="14"/>
              </w:rPr>
              <w:t>182</w:t>
            </w:r>
          </w:p>
        </w:tc>
        <w:tc>
          <w:tcPr>
            <w:tcW w:w="800" w:type="dxa"/>
            <w:tcBorders>
              <w:top w:val="nil"/>
              <w:left w:val="nil"/>
              <w:bottom w:val="nil"/>
              <w:right w:val="nil"/>
            </w:tcBorders>
            <w:shd w:val="clear" w:color="auto" w:fill="auto"/>
            <w:noWrap/>
            <w:vAlign w:val="center"/>
            <w:hideMark/>
          </w:tcPr>
          <w:p w14:paraId="3E9E632F"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$31,629 </w:t>
            </w:r>
          </w:p>
        </w:tc>
        <w:tc>
          <w:tcPr>
            <w:tcW w:w="1161" w:type="dxa"/>
            <w:tcBorders>
              <w:top w:val="nil"/>
              <w:left w:val="nil"/>
              <w:bottom w:val="nil"/>
              <w:right w:val="single" w:sz="4" w:space="0" w:color="auto"/>
            </w:tcBorders>
            <w:shd w:val="clear" w:color="auto" w:fill="auto"/>
            <w:noWrap/>
            <w:vAlign w:val="center"/>
            <w:hideMark/>
          </w:tcPr>
          <w:p w14:paraId="3E9E6330"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7.7%</w:t>
            </w:r>
          </w:p>
        </w:tc>
        <w:tc>
          <w:tcPr>
            <w:tcW w:w="1418" w:type="dxa"/>
            <w:tcBorders>
              <w:left w:val="single" w:sz="4" w:space="0" w:color="auto"/>
              <w:right w:val="single" w:sz="4" w:space="0" w:color="auto"/>
            </w:tcBorders>
            <w:shd w:val="clear" w:color="auto" w:fill="auto"/>
            <w:noWrap/>
            <w:vAlign w:val="center"/>
            <w:hideMark/>
          </w:tcPr>
          <w:p w14:paraId="3E9E6331"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2.53</w:t>
            </w:r>
          </w:p>
        </w:tc>
        <w:tc>
          <w:tcPr>
            <w:tcW w:w="903" w:type="dxa"/>
            <w:tcBorders>
              <w:left w:val="single" w:sz="4" w:space="0" w:color="auto"/>
            </w:tcBorders>
            <w:shd w:val="clear" w:color="auto" w:fill="auto"/>
            <w:vAlign w:val="center"/>
          </w:tcPr>
          <w:p w14:paraId="3E9E6332"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-1.0%</w:t>
            </w:r>
          </w:p>
        </w:tc>
      </w:tr>
      <w:tr w:rsidR="00FA0A3C" w:rsidRPr="00DF5CAF" w14:paraId="3E9E633D"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34"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3</w:t>
            </w:r>
          </w:p>
        </w:tc>
        <w:tc>
          <w:tcPr>
            <w:tcW w:w="1425" w:type="dxa"/>
            <w:tcBorders>
              <w:top w:val="nil"/>
              <w:left w:val="single" w:sz="4" w:space="0" w:color="auto"/>
              <w:bottom w:val="nil"/>
              <w:right w:val="nil"/>
            </w:tcBorders>
            <w:shd w:val="clear" w:color="auto" w:fill="auto"/>
            <w:noWrap/>
            <w:vAlign w:val="center"/>
            <w:hideMark/>
          </w:tcPr>
          <w:p w14:paraId="3E9E6335"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$14,331-$18,144</w:t>
            </w:r>
          </w:p>
        </w:tc>
        <w:tc>
          <w:tcPr>
            <w:tcW w:w="738" w:type="dxa"/>
            <w:tcBorders>
              <w:top w:val="nil"/>
              <w:left w:val="nil"/>
              <w:bottom w:val="nil"/>
              <w:right w:val="nil"/>
            </w:tcBorders>
            <w:shd w:val="clear" w:color="auto" w:fill="auto"/>
            <w:noWrap/>
            <w:vAlign w:val="center"/>
            <w:hideMark/>
          </w:tcPr>
          <w:p w14:paraId="3E9E6336"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$16,228</w:t>
            </w:r>
          </w:p>
        </w:tc>
        <w:tc>
          <w:tcPr>
            <w:tcW w:w="738" w:type="dxa"/>
            <w:tcBorders>
              <w:top w:val="nil"/>
              <w:left w:val="nil"/>
              <w:bottom w:val="nil"/>
              <w:right w:val="single" w:sz="4" w:space="0" w:color="auto"/>
            </w:tcBorders>
            <w:shd w:val="clear" w:color="auto" w:fill="auto"/>
            <w:noWrap/>
            <w:vAlign w:val="center"/>
            <w:hideMark/>
          </w:tcPr>
          <w:p w14:paraId="3E9E6337"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12.0%</w:t>
            </w:r>
          </w:p>
        </w:tc>
        <w:tc>
          <w:tcPr>
            <w:tcW w:w="1613" w:type="dxa"/>
            <w:tcBorders>
              <w:top w:val="nil"/>
              <w:left w:val="single" w:sz="4" w:space="0" w:color="auto"/>
              <w:bottom w:val="nil"/>
              <w:right w:val="nil"/>
            </w:tcBorders>
            <w:shd w:val="clear" w:color="auto" w:fill="auto"/>
            <w:noWrap/>
            <w:vAlign w:val="center"/>
            <w:hideMark/>
          </w:tcPr>
          <w:p w14:paraId="3E9E6338"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35</w:t>
            </w:r>
            <w:r>
              <w:rPr>
                <w:rFonts w:asciiTheme="majorHAnsi" w:hAnsiTheme="majorHAnsi" w:cstheme="majorHAnsi"/>
                <w:sz w:val="14"/>
              </w:rPr>
              <w:t>,</w:t>
            </w:r>
            <w:r w:rsidRPr="00C70EC8">
              <w:rPr>
                <w:rFonts w:asciiTheme="majorHAnsi" w:hAnsiTheme="majorHAnsi" w:cstheme="majorHAnsi"/>
                <w:sz w:val="14"/>
              </w:rPr>
              <w:t>183-</w:t>
            </w:r>
            <w:r>
              <w:rPr>
                <w:rFonts w:asciiTheme="majorHAnsi" w:hAnsiTheme="majorHAnsi" w:cstheme="majorHAnsi"/>
                <w:sz w:val="14"/>
              </w:rPr>
              <w:t>$</w:t>
            </w:r>
            <w:r w:rsidRPr="00C70EC8">
              <w:rPr>
                <w:rFonts w:asciiTheme="majorHAnsi" w:hAnsiTheme="majorHAnsi" w:cstheme="majorHAnsi"/>
                <w:sz w:val="14"/>
              </w:rPr>
              <w:t>41</w:t>
            </w:r>
            <w:r>
              <w:rPr>
                <w:rFonts w:asciiTheme="majorHAnsi" w:hAnsiTheme="majorHAnsi" w:cstheme="majorHAnsi"/>
                <w:sz w:val="14"/>
              </w:rPr>
              <w:t>,</w:t>
            </w:r>
            <w:r w:rsidRPr="00C70EC8">
              <w:rPr>
                <w:rFonts w:asciiTheme="majorHAnsi" w:hAnsiTheme="majorHAnsi" w:cstheme="majorHAnsi"/>
                <w:sz w:val="14"/>
              </w:rPr>
              <w:t>506</w:t>
            </w:r>
          </w:p>
        </w:tc>
        <w:tc>
          <w:tcPr>
            <w:tcW w:w="800" w:type="dxa"/>
            <w:tcBorders>
              <w:top w:val="nil"/>
              <w:left w:val="nil"/>
              <w:bottom w:val="nil"/>
              <w:right w:val="nil"/>
            </w:tcBorders>
            <w:shd w:val="clear" w:color="auto" w:fill="auto"/>
            <w:noWrap/>
            <w:vAlign w:val="center"/>
            <w:hideMark/>
          </w:tcPr>
          <w:p w14:paraId="3E9E6339"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$38,311 </w:t>
            </w:r>
          </w:p>
        </w:tc>
        <w:tc>
          <w:tcPr>
            <w:tcW w:w="1161" w:type="dxa"/>
            <w:tcBorders>
              <w:top w:val="nil"/>
              <w:left w:val="nil"/>
              <w:bottom w:val="nil"/>
              <w:right w:val="single" w:sz="4" w:space="0" w:color="auto"/>
            </w:tcBorders>
            <w:shd w:val="clear" w:color="auto" w:fill="auto"/>
            <w:noWrap/>
            <w:vAlign w:val="center"/>
            <w:hideMark/>
          </w:tcPr>
          <w:p w14:paraId="3E9E633A"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10.6%</w:t>
            </w:r>
          </w:p>
        </w:tc>
        <w:tc>
          <w:tcPr>
            <w:tcW w:w="1418" w:type="dxa"/>
            <w:tcBorders>
              <w:left w:val="single" w:sz="4" w:space="0" w:color="auto"/>
              <w:right w:val="single" w:sz="4" w:space="0" w:color="auto"/>
            </w:tcBorders>
            <w:shd w:val="clear" w:color="auto" w:fill="auto"/>
            <w:noWrap/>
            <w:vAlign w:val="center"/>
            <w:hideMark/>
          </w:tcPr>
          <w:p w14:paraId="3E9E633B"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2.36</w:t>
            </w:r>
          </w:p>
        </w:tc>
        <w:tc>
          <w:tcPr>
            <w:tcW w:w="903" w:type="dxa"/>
            <w:tcBorders>
              <w:left w:val="single" w:sz="4" w:space="0" w:color="auto"/>
            </w:tcBorders>
            <w:shd w:val="clear" w:color="auto" w:fill="auto"/>
            <w:vAlign w:val="center"/>
          </w:tcPr>
          <w:p w14:paraId="3E9E633C"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-1.5%</w:t>
            </w:r>
          </w:p>
        </w:tc>
      </w:tr>
      <w:tr w:rsidR="00FA0A3C" w:rsidRPr="00DF5CAF" w14:paraId="3E9E6347"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3E"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4</w:t>
            </w:r>
          </w:p>
        </w:tc>
        <w:tc>
          <w:tcPr>
            <w:tcW w:w="1425" w:type="dxa"/>
            <w:tcBorders>
              <w:top w:val="nil"/>
              <w:left w:val="single" w:sz="4" w:space="0" w:color="auto"/>
              <w:bottom w:val="nil"/>
              <w:right w:val="nil"/>
            </w:tcBorders>
            <w:shd w:val="clear" w:color="auto" w:fill="auto"/>
            <w:noWrap/>
            <w:vAlign w:val="center"/>
            <w:hideMark/>
          </w:tcPr>
          <w:p w14:paraId="3E9E633F"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$18,144-$21,559</w:t>
            </w:r>
          </w:p>
        </w:tc>
        <w:tc>
          <w:tcPr>
            <w:tcW w:w="738" w:type="dxa"/>
            <w:tcBorders>
              <w:top w:val="nil"/>
              <w:left w:val="nil"/>
              <w:bottom w:val="nil"/>
              <w:right w:val="nil"/>
            </w:tcBorders>
            <w:shd w:val="clear" w:color="auto" w:fill="auto"/>
            <w:noWrap/>
            <w:vAlign w:val="center"/>
            <w:hideMark/>
          </w:tcPr>
          <w:p w14:paraId="3E9E6340"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$19,921</w:t>
            </w:r>
          </w:p>
        </w:tc>
        <w:tc>
          <w:tcPr>
            <w:tcW w:w="738" w:type="dxa"/>
            <w:tcBorders>
              <w:top w:val="nil"/>
              <w:left w:val="nil"/>
              <w:bottom w:val="nil"/>
              <w:right w:val="single" w:sz="4" w:space="0" w:color="auto"/>
            </w:tcBorders>
            <w:shd w:val="clear" w:color="auto" w:fill="auto"/>
            <w:noWrap/>
            <w:vAlign w:val="center"/>
            <w:hideMark/>
          </w:tcPr>
          <w:p w14:paraId="3E9E6341"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14.0%</w:t>
            </w:r>
          </w:p>
        </w:tc>
        <w:tc>
          <w:tcPr>
            <w:tcW w:w="1613" w:type="dxa"/>
            <w:tcBorders>
              <w:top w:val="nil"/>
              <w:left w:val="single" w:sz="4" w:space="0" w:color="auto"/>
              <w:bottom w:val="nil"/>
              <w:right w:val="nil"/>
            </w:tcBorders>
            <w:shd w:val="clear" w:color="auto" w:fill="auto"/>
            <w:noWrap/>
            <w:vAlign w:val="center"/>
            <w:hideMark/>
          </w:tcPr>
          <w:p w14:paraId="3E9E6342"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41</w:t>
            </w:r>
            <w:r>
              <w:rPr>
                <w:rFonts w:asciiTheme="majorHAnsi" w:hAnsiTheme="majorHAnsi" w:cstheme="majorHAnsi"/>
                <w:sz w:val="14"/>
              </w:rPr>
              <w:t>,</w:t>
            </w:r>
            <w:r w:rsidRPr="00C70EC8">
              <w:rPr>
                <w:rFonts w:asciiTheme="majorHAnsi" w:hAnsiTheme="majorHAnsi" w:cstheme="majorHAnsi"/>
                <w:sz w:val="14"/>
              </w:rPr>
              <w:t>507-</w:t>
            </w:r>
            <w:r>
              <w:rPr>
                <w:rFonts w:asciiTheme="majorHAnsi" w:hAnsiTheme="majorHAnsi" w:cstheme="majorHAnsi"/>
                <w:sz w:val="14"/>
              </w:rPr>
              <w:t>$</w:t>
            </w:r>
            <w:r w:rsidRPr="00C70EC8">
              <w:rPr>
                <w:rFonts w:asciiTheme="majorHAnsi" w:hAnsiTheme="majorHAnsi" w:cstheme="majorHAnsi"/>
                <w:sz w:val="14"/>
              </w:rPr>
              <w:t>48</w:t>
            </w:r>
            <w:r>
              <w:rPr>
                <w:rFonts w:asciiTheme="majorHAnsi" w:hAnsiTheme="majorHAnsi" w:cstheme="majorHAnsi"/>
                <w:sz w:val="14"/>
              </w:rPr>
              <w:t>,</w:t>
            </w:r>
            <w:r w:rsidRPr="00C70EC8">
              <w:rPr>
                <w:rFonts w:asciiTheme="majorHAnsi" w:hAnsiTheme="majorHAnsi" w:cstheme="majorHAnsi"/>
                <w:sz w:val="14"/>
              </w:rPr>
              <w:t>329</w:t>
            </w:r>
          </w:p>
        </w:tc>
        <w:tc>
          <w:tcPr>
            <w:tcW w:w="800" w:type="dxa"/>
            <w:tcBorders>
              <w:top w:val="nil"/>
              <w:left w:val="nil"/>
              <w:bottom w:val="nil"/>
              <w:right w:val="nil"/>
            </w:tcBorders>
            <w:shd w:val="clear" w:color="auto" w:fill="auto"/>
            <w:noWrap/>
            <w:vAlign w:val="center"/>
            <w:hideMark/>
          </w:tcPr>
          <w:p w14:paraId="3E9E6343"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$44,878 </w:t>
            </w:r>
          </w:p>
        </w:tc>
        <w:tc>
          <w:tcPr>
            <w:tcW w:w="1161" w:type="dxa"/>
            <w:tcBorders>
              <w:top w:val="nil"/>
              <w:left w:val="nil"/>
              <w:bottom w:val="nil"/>
              <w:right w:val="single" w:sz="4" w:space="0" w:color="auto"/>
            </w:tcBorders>
            <w:shd w:val="clear" w:color="auto" w:fill="auto"/>
            <w:noWrap/>
            <w:vAlign w:val="center"/>
            <w:hideMark/>
          </w:tcPr>
          <w:p w14:paraId="3E9E6344"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14.4%</w:t>
            </w:r>
          </w:p>
        </w:tc>
        <w:tc>
          <w:tcPr>
            <w:tcW w:w="1418" w:type="dxa"/>
            <w:tcBorders>
              <w:left w:val="single" w:sz="4" w:space="0" w:color="auto"/>
              <w:right w:val="single" w:sz="4" w:space="0" w:color="auto"/>
            </w:tcBorders>
            <w:shd w:val="clear" w:color="auto" w:fill="auto"/>
            <w:noWrap/>
            <w:vAlign w:val="center"/>
            <w:hideMark/>
          </w:tcPr>
          <w:p w14:paraId="3E9E6345"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2.25</w:t>
            </w:r>
          </w:p>
        </w:tc>
        <w:tc>
          <w:tcPr>
            <w:tcW w:w="903" w:type="dxa"/>
            <w:tcBorders>
              <w:left w:val="single" w:sz="4" w:space="0" w:color="auto"/>
            </w:tcBorders>
            <w:shd w:val="clear" w:color="auto" w:fill="auto"/>
            <w:vAlign w:val="center"/>
          </w:tcPr>
          <w:p w14:paraId="3E9E6346"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0.3%</w:t>
            </w:r>
          </w:p>
        </w:tc>
      </w:tr>
      <w:tr w:rsidR="00FA0A3C" w:rsidRPr="00DF5CAF" w14:paraId="3E9E6351"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48"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5</w:t>
            </w:r>
          </w:p>
        </w:tc>
        <w:tc>
          <w:tcPr>
            <w:tcW w:w="1425" w:type="dxa"/>
            <w:tcBorders>
              <w:top w:val="nil"/>
              <w:left w:val="single" w:sz="4" w:space="0" w:color="auto"/>
              <w:bottom w:val="nil"/>
              <w:right w:val="nil"/>
            </w:tcBorders>
            <w:shd w:val="clear" w:color="auto" w:fill="auto"/>
            <w:noWrap/>
            <w:vAlign w:val="center"/>
            <w:hideMark/>
          </w:tcPr>
          <w:p w14:paraId="3E9E6349"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$21,559-$24,947</w:t>
            </w:r>
          </w:p>
        </w:tc>
        <w:tc>
          <w:tcPr>
            <w:tcW w:w="738" w:type="dxa"/>
            <w:tcBorders>
              <w:top w:val="nil"/>
              <w:left w:val="nil"/>
              <w:bottom w:val="nil"/>
              <w:right w:val="nil"/>
            </w:tcBorders>
            <w:shd w:val="clear" w:color="auto" w:fill="auto"/>
            <w:noWrap/>
            <w:vAlign w:val="center"/>
            <w:hideMark/>
          </w:tcPr>
          <w:p w14:paraId="3E9E634A"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$23,240</w:t>
            </w:r>
          </w:p>
        </w:tc>
        <w:tc>
          <w:tcPr>
            <w:tcW w:w="738" w:type="dxa"/>
            <w:tcBorders>
              <w:top w:val="nil"/>
              <w:left w:val="nil"/>
              <w:bottom w:val="nil"/>
              <w:right w:val="single" w:sz="4" w:space="0" w:color="auto"/>
            </w:tcBorders>
            <w:shd w:val="clear" w:color="auto" w:fill="auto"/>
            <w:noWrap/>
            <w:vAlign w:val="center"/>
            <w:hideMark/>
          </w:tcPr>
          <w:p w14:paraId="3E9E634B"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16.8%</w:t>
            </w:r>
          </w:p>
        </w:tc>
        <w:tc>
          <w:tcPr>
            <w:tcW w:w="1613" w:type="dxa"/>
            <w:tcBorders>
              <w:top w:val="nil"/>
              <w:left w:val="single" w:sz="4" w:space="0" w:color="auto"/>
              <w:bottom w:val="nil"/>
              <w:right w:val="nil"/>
            </w:tcBorders>
            <w:shd w:val="clear" w:color="auto" w:fill="auto"/>
            <w:noWrap/>
            <w:vAlign w:val="center"/>
            <w:hideMark/>
          </w:tcPr>
          <w:p w14:paraId="3E9E634C"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48</w:t>
            </w:r>
            <w:r>
              <w:rPr>
                <w:rFonts w:asciiTheme="majorHAnsi" w:hAnsiTheme="majorHAnsi" w:cstheme="majorHAnsi"/>
                <w:sz w:val="14"/>
              </w:rPr>
              <w:t>,</w:t>
            </w:r>
            <w:r w:rsidRPr="00C70EC8">
              <w:rPr>
                <w:rFonts w:asciiTheme="majorHAnsi" w:hAnsiTheme="majorHAnsi" w:cstheme="majorHAnsi"/>
                <w:sz w:val="14"/>
              </w:rPr>
              <w:t>330-</w:t>
            </w:r>
            <w:r>
              <w:rPr>
                <w:rFonts w:asciiTheme="majorHAnsi" w:hAnsiTheme="majorHAnsi" w:cstheme="majorHAnsi"/>
                <w:sz w:val="14"/>
              </w:rPr>
              <w:t>$</w:t>
            </w:r>
            <w:r w:rsidRPr="00C70EC8">
              <w:rPr>
                <w:rFonts w:asciiTheme="majorHAnsi" w:hAnsiTheme="majorHAnsi" w:cstheme="majorHAnsi"/>
                <w:sz w:val="14"/>
              </w:rPr>
              <w:t>55</w:t>
            </w:r>
            <w:r>
              <w:rPr>
                <w:rFonts w:asciiTheme="majorHAnsi" w:hAnsiTheme="majorHAnsi" w:cstheme="majorHAnsi"/>
                <w:sz w:val="14"/>
              </w:rPr>
              <w:t>,</w:t>
            </w:r>
            <w:r w:rsidRPr="00C70EC8">
              <w:rPr>
                <w:rFonts w:asciiTheme="majorHAnsi" w:hAnsiTheme="majorHAnsi" w:cstheme="majorHAnsi"/>
                <w:sz w:val="14"/>
              </w:rPr>
              <w:t>965</w:t>
            </w:r>
          </w:p>
        </w:tc>
        <w:tc>
          <w:tcPr>
            <w:tcW w:w="800" w:type="dxa"/>
            <w:tcBorders>
              <w:top w:val="nil"/>
              <w:left w:val="nil"/>
              <w:bottom w:val="nil"/>
              <w:right w:val="nil"/>
            </w:tcBorders>
            <w:shd w:val="clear" w:color="auto" w:fill="auto"/>
            <w:noWrap/>
            <w:vAlign w:val="center"/>
            <w:hideMark/>
          </w:tcPr>
          <w:p w14:paraId="3E9E634D"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$52,039 </w:t>
            </w:r>
          </w:p>
        </w:tc>
        <w:tc>
          <w:tcPr>
            <w:tcW w:w="1161" w:type="dxa"/>
            <w:tcBorders>
              <w:top w:val="nil"/>
              <w:left w:val="nil"/>
              <w:bottom w:val="nil"/>
              <w:right w:val="single" w:sz="4" w:space="0" w:color="auto"/>
            </w:tcBorders>
            <w:shd w:val="clear" w:color="auto" w:fill="auto"/>
            <w:noWrap/>
            <w:vAlign w:val="center"/>
            <w:hideMark/>
          </w:tcPr>
          <w:p w14:paraId="3E9E634E"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17.4%</w:t>
            </w:r>
          </w:p>
        </w:tc>
        <w:tc>
          <w:tcPr>
            <w:tcW w:w="1418" w:type="dxa"/>
            <w:tcBorders>
              <w:left w:val="single" w:sz="4" w:space="0" w:color="auto"/>
              <w:right w:val="single" w:sz="4" w:space="0" w:color="auto"/>
            </w:tcBorders>
            <w:shd w:val="clear" w:color="auto" w:fill="auto"/>
            <w:noWrap/>
            <w:vAlign w:val="center"/>
            <w:hideMark/>
          </w:tcPr>
          <w:p w14:paraId="3E9E634F" w14:textId="77777777" w:rsidR="00FA0A3C" w:rsidRPr="00C70EC8" w:rsidRDefault="00FA0A3C" w:rsidP="000A76F6">
            <w:pPr>
              <w:spacing w:after="0"/>
              <w:jc w:val="center"/>
              <w:rPr>
                <w:rFonts w:asciiTheme="majorHAnsi" w:hAnsiTheme="majorHAnsi" w:cstheme="majorHAnsi"/>
                <w:sz w:val="14"/>
                <w:szCs w:val="14"/>
              </w:rPr>
            </w:pPr>
            <w:r w:rsidRPr="00C70EC8">
              <w:rPr>
                <w:rFonts w:asciiTheme="majorHAnsi" w:hAnsiTheme="majorHAnsi" w:cstheme="majorHAnsi"/>
                <w:sz w:val="14"/>
                <w:szCs w:val="14"/>
              </w:rPr>
              <w:t>2.24</w:t>
            </w:r>
          </w:p>
        </w:tc>
        <w:tc>
          <w:tcPr>
            <w:tcW w:w="903" w:type="dxa"/>
            <w:tcBorders>
              <w:left w:val="single" w:sz="4" w:space="0" w:color="auto"/>
            </w:tcBorders>
            <w:shd w:val="clear" w:color="auto" w:fill="auto"/>
            <w:vAlign w:val="center"/>
          </w:tcPr>
          <w:p w14:paraId="3E9E6350"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0.6%</w:t>
            </w:r>
          </w:p>
        </w:tc>
      </w:tr>
      <w:tr w:rsidR="00FA0A3C" w:rsidRPr="00DF5CAF" w14:paraId="3E9E635B"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52"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6</w:t>
            </w:r>
          </w:p>
        </w:tc>
        <w:tc>
          <w:tcPr>
            <w:tcW w:w="1425" w:type="dxa"/>
            <w:tcBorders>
              <w:top w:val="nil"/>
              <w:left w:val="single" w:sz="4" w:space="0" w:color="auto"/>
              <w:bottom w:val="nil"/>
              <w:right w:val="nil"/>
            </w:tcBorders>
            <w:shd w:val="clear" w:color="auto" w:fill="auto"/>
            <w:noWrap/>
            <w:vAlign w:val="center"/>
            <w:hideMark/>
          </w:tcPr>
          <w:p w14:paraId="3E9E6353"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$24,947-$28,718</w:t>
            </w:r>
          </w:p>
        </w:tc>
        <w:tc>
          <w:tcPr>
            <w:tcW w:w="738" w:type="dxa"/>
            <w:tcBorders>
              <w:top w:val="nil"/>
              <w:left w:val="nil"/>
              <w:bottom w:val="nil"/>
              <w:right w:val="nil"/>
            </w:tcBorders>
            <w:shd w:val="clear" w:color="auto" w:fill="auto"/>
            <w:noWrap/>
            <w:vAlign w:val="center"/>
            <w:hideMark/>
          </w:tcPr>
          <w:p w14:paraId="3E9E6354"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$26,777</w:t>
            </w:r>
          </w:p>
        </w:tc>
        <w:tc>
          <w:tcPr>
            <w:tcW w:w="738" w:type="dxa"/>
            <w:tcBorders>
              <w:top w:val="nil"/>
              <w:left w:val="nil"/>
              <w:bottom w:val="nil"/>
              <w:right w:val="single" w:sz="4" w:space="0" w:color="auto"/>
            </w:tcBorders>
            <w:shd w:val="clear" w:color="auto" w:fill="auto"/>
            <w:noWrap/>
            <w:vAlign w:val="center"/>
            <w:hideMark/>
          </w:tcPr>
          <w:p w14:paraId="3E9E6355"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19.4%</w:t>
            </w:r>
          </w:p>
        </w:tc>
        <w:tc>
          <w:tcPr>
            <w:tcW w:w="1613" w:type="dxa"/>
            <w:tcBorders>
              <w:top w:val="nil"/>
              <w:left w:val="single" w:sz="4" w:space="0" w:color="auto"/>
              <w:bottom w:val="nil"/>
              <w:right w:val="nil"/>
            </w:tcBorders>
            <w:shd w:val="clear" w:color="auto" w:fill="auto"/>
            <w:noWrap/>
            <w:vAlign w:val="center"/>
            <w:hideMark/>
          </w:tcPr>
          <w:p w14:paraId="3E9E6356"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55</w:t>
            </w:r>
            <w:r>
              <w:rPr>
                <w:rFonts w:asciiTheme="majorHAnsi" w:hAnsiTheme="majorHAnsi" w:cstheme="majorHAnsi"/>
                <w:sz w:val="14"/>
              </w:rPr>
              <w:t>,</w:t>
            </w:r>
            <w:r w:rsidRPr="00C70EC8">
              <w:rPr>
                <w:rFonts w:asciiTheme="majorHAnsi" w:hAnsiTheme="majorHAnsi" w:cstheme="majorHAnsi"/>
                <w:sz w:val="14"/>
              </w:rPr>
              <w:t>966-</w:t>
            </w:r>
            <w:r>
              <w:rPr>
                <w:rFonts w:asciiTheme="majorHAnsi" w:hAnsiTheme="majorHAnsi" w:cstheme="majorHAnsi"/>
                <w:sz w:val="14"/>
              </w:rPr>
              <w:t>$</w:t>
            </w:r>
            <w:r w:rsidRPr="00C70EC8">
              <w:rPr>
                <w:rFonts w:asciiTheme="majorHAnsi" w:hAnsiTheme="majorHAnsi" w:cstheme="majorHAnsi"/>
                <w:sz w:val="14"/>
              </w:rPr>
              <w:t>65</w:t>
            </w:r>
            <w:r>
              <w:rPr>
                <w:rFonts w:asciiTheme="majorHAnsi" w:hAnsiTheme="majorHAnsi" w:cstheme="majorHAnsi"/>
                <w:sz w:val="14"/>
              </w:rPr>
              <w:t>,</w:t>
            </w:r>
            <w:r w:rsidRPr="00C70EC8">
              <w:rPr>
                <w:rFonts w:asciiTheme="majorHAnsi" w:hAnsiTheme="majorHAnsi" w:cstheme="majorHAnsi"/>
                <w:sz w:val="14"/>
              </w:rPr>
              <w:t>493</w:t>
            </w:r>
          </w:p>
        </w:tc>
        <w:tc>
          <w:tcPr>
            <w:tcW w:w="800" w:type="dxa"/>
            <w:tcBorders>
              <w:top w:val="nil"/>
              <w:left w:val="nil"/>
              <w:bottom w:val="nil"/>
              <w:right w:val="nil"/>
            </w:tcBorders>
            <w:shd w:val="clear" w:color="auto" w:fill="auto"/>
            <w:noWrap/>
            <w:vAlign w:val="center"/>
            <w:hideMark/>
          </w:tcPr>
          <w:p w14:paraId="3E9E6357"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$60,574 </w:t>
            </w:r>
          </w:p>
        </w:tc>
        <w:tc>
          <w:tcPr>
            <w:tcW w:w="1161" w:type="dxa"/>
            <w:tcBorders>
              <w:top w:val="nil"/>
              <w:left w:val="nil"/>
              <w:bottom w:val="nil"/>
              <w:right w:val="single" w:sz="4" w:space="0" w:color="auto"/>
            </w:tcBorders>
            <w:shd w:val="clear" w:color="auto" w:fill="auto"/>
            <w:noWrap/>
            <w:vAlign w:val="center"/>
            <w:hideMark/>
          </w:tcPr>
          <w:p w14:paraId="3E9E6358"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20.1%</w:t>
            </w:r>
          </w:p>
        </w:tc>
        <w:tc>
          <w:tcPr>
            <w:tcW w:w="1418" w:type="dxa"/>
            <w:tcBorders>
              <w:left w:val="single" w:sz="4" w:space="0" w:color="auto"/>
              <w:right w:val="single" w:sz="4" w:space="0" w:color="auto"/>
            </w:tcBorders>
            <w:shd w:val="clear" w:color="auto" w:fill="auto"/>
            <w:noWrap/>
            <w:vAlign w:val="center"/>
            <w:hideMark/>
          </w:tcPr>
          <w:p w14:paraId="3E9E6359"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2.26</w:t>
            </w:r>
          </w:p>
        </w:tc>
        <w:tc>
          <w:tcPr>
            <w:tcW w:w="903" w:type="dxa"/>
            <w:tcBorders>
              <w:left w:val="single" w:sz="4" w:space="0" w:color="auto"/>
            </w:tcBorders>
            <w:shd w:val="clear" w:color="auto" w:fill="auto"/>
            <w:vAlign w:val="center"/>
          </w:tcPr>
          <w:p w14:paraId="3E9E635A"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0.7%</w:t>
            </w:r>
          </w:p>
        </w:tc>
      </w:tr>
      <w:tr w:rsidR="00FA0A3C" w:rsidRPr="00DF5CAF" w14:paraId="3E9E6365"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5C"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7</w:t>
            </w:r>
          </w:p>
        </w:tc>
        <w:tc>
          <w:tcPr>
            <w:tcW w:w="1425" w:type="dxa"/>
            <w:tcBorders>
              <w:top w:val="nil"/>
              <w:left w:val="single" w:sz="4" w:space="0" w:color="auto"/>
              <w:bottom w:val="nil"/>
              <w:right w:val="nil"/>
            </w:tcBorders>
            <w:shd w:val="clear" w:color="auto" w:fill="auto"/>
            <w:noWrap/>
            <w:vAlign w:val="center"/>
            <w:hideMark/>
          </w:tcPr>
          <w:p w14:paraId="3E9E635D"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$28,718-$33,268</w:t>
            </w:r>
          </w:p>
        </w:tc>
        <w:tc>
          <w:tcPr>
            <w:tcW w:w="738" w:type="dxa"/>
            <w:tcBorders>
              <w:top w:val="nil"/>
              <w:left w:val="nil"/>
              <w:bottom w:val="nil"/>
              <w:right w:val="nil"/>
            </w:tcBorders>
            <w:shd w:val="clear" w:color="auto" w:fill="auto"/>
            <w:noWrap/>
            <w:vAlign w:val="center"/>
            <w:hideMark/>
          </w:tcPr>
          <w:p w14:paraId="3E9E635E"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$30,905</w:t>
            </w:r>
          </w:p>
        </w:tc>
        <w:tc>
          <w:tcPr>
            <w:tcW w:w="738" w:type="dxa"/>
            <w:tcBorders>
              <w:top w:val="nil"/>
              <w:left w:val="nil"/>
              <w:bottom w:val="nil"/>
              <w:right w:val="single" w:sz="4" w:space="0" w:color="auto"/>
            </w:tcBorders>
            <w:shd w:val="clear" w:color="auto" w:fill="auto"/>
            <w:noWrap/>
            <w:vAlign w:val="center"/>
            <w:hideMark/>
          </w:tcPr>
          <w:p w14:paraId="3E9E635F"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21.4%</w:t>
            </w:r>
          </w:p>
        </w:tc>
        <w:tc>
          <w:tcPr>
            <w:tcW w:w="1613" w:type="dxa"/>
            <w:tcBorders>
              <w:top w:val="nil"/>
              <w:left w:val="single" w:sz="4" w:space="0" w:color="auto"/>
              <w:bottom w:val="nil"/>
              <w:right w:val="nil"/>
            </w:tcBorders>
            <w:shd w:val="clear" w:color="auto" w:fill="auto"/>
            <w:noWrap/>
            <w:vAlign w:val="center"/>
            <w:hideMark/>
          </w:tcPr>
          <w:p w14:paraId="3E9E6360"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65</w:t>
            </w:r>
            <w:r>
              <w:rPr>
                <w:rFonts w:asciiTheme="majorHAnsi" w:hAnsiTheme="majorHAnsi" w:cstheme="majorHAnsi"/>
                <w:sz w:val="14"/>
              </w:rPr>
              <w:t>,</w:t>
            </w:r>
            <w:r w:rsidRPr="00C70EC8">
              <w:rPr>
                <w:rFonts w:asciiTheme="majorHAnsi" w:hAnsiTheme="majorHAnsi" w:cstheme="majorHAnsi"/>
                <w:sz w:val="14"/>
              </w:rPr>
              <w:t>494-</w:t>
            </w:r>
            <w:r>
              <w:rPr>
                <w:rFonts w:asciiTheme="majorHAnsi" w:hAnsiTheme="majorHAnsi" w:cstheme="majorHAnsi"/>
                <w:sz w:val="14"/>
              </w:rPr>
              <w:t>$</w:t>
            </w:r>
            <w:r w:rsidRPr="00C70EC8">
              <w:rPr>
                <w:rFonts w:asciiTheme="majorHAnsi" w:hAnsiTheme="majorHAnsi" w:cstheme="majorHAnsi"/>
                <w:sz w:val="14"/>
              </w:rPr>
              <w:t>77</w:t>
            </w:r>
            <w:r>
              <w:rPr>
                <w:rFonts w:asciiTheme="majorHAnsi" w:hAnsiTheme="majorHAnsi" w:cstheme="majorHAnsi"/>
                <w:sz w:val="14"/>
              </w:rPr>
              <w:t>,</w:t>
            </w:r>
            <w:r w:rsidRPr="00C70EC8">
              <w:rPr>
                <w:rFonts w:asciiTheme="majorHAnsi" w:hAnsiTheme="majorHAnsi" w:cstheme="majorHAnsi"/>
                <w:sz w:val="14"/>
              </w:rPr>
              <w:t>435</w:t>
            </w:r>
          </w:p>
        </w:tc>
        <w:tc>
          <w:tcPr>
            <w:tcW w:w="800" w:type="dxa"/>
            <w:tcBorders>
              <w:top w:val="nil"/>
              <w:left w:val="nil"/>
              <w:bottom w:val="nil"/>
              <w:right w:val="nil"/>
            </w:tcBorders>
            <w:shd w:val="clear" w:color="auto" w:fill="auto"/>
            <w:noWrap/>
            <w:vAlign w:val="center"/>
            <w:hideMark/>
          </w:tcPr>
          <w:p w14:paraId="3E9E6361"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$71,230 </w:t>
            </w:r>
          </w:p>
        </w:tc>
        <w:tc>
          <w:tcPr>
            <w:tcW w:w="1161" w:type="dxa"/>
            <w:tcBorders>
              <w:top w:val="nil"/>
              <w:left w:val="nil"/>
              <w:bottom w:val="nil"/>
              <w:right w:val="single" w:sz="4" w:space="0" w:color="auto"/>
            </w:tcBorders>
            <w:shd w:val="clear" w:color="auto" w:fill="auto"/>
            <w:noWrap/>
            <w:vAlign w:val="center"/>
            <w:hideMark/>
          </w:tcPr>
          <w:p w14:paraId="3E9E6362"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22.3%</w:t>
            </w:r>
          </w:p>
        </w:tc>
        <w:tc>
          <w:tcPr>
            <w:tcW w:w="1418" w:type="dxa"/>
            <w:tcBorders>
              <w:left w:val="single" w:sz="4" w:space="0" w:color="auto"/>
              <w:right w:val="single" w:sz="4" w:space="0" w:color="auto"/>
            </w:tcBorders>
            <w:shd w:val="clear" w:color="auto" w:fill="auto"/>
            <w:noWrap/>
            <w:vAlign w:val="center"/>
            <w:hideMark/>
          </w:tcPr>
          <w:p w14:paraId="3E9E6363"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2.30</w:t>
            </w:r>
          </w:p>
        </w:tc>
        <w:tc>
          <w:tcPr>
            <w:tcW w:w="903" w:type="dxa"/>
            <w:tcBorders>
              <w:left w:val="single" w:sz="4" w:space="0" w:color="auto"/>
            </w:tcBorders>
            <w:shd w:val="clear" w:color="auto" w:fill="auto"/>
            <w:vAlign w:val="center"/>
          </w:tcPr>
          <w:p w14:paraId="3E9E6364"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0.9%</w:t>
            </w:r>
          </w:p>
        </w:tc>
      </w:tr>
      <w:tr w:rsidR="00FA0A3C" w:rsidRPr="00DF5CAF" w14:paraId="3E9E636F"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66"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8</w:t>
            </w:r>
          </w:p>
        </w:tc>
        <w:tc>
          <w:tcPr>
            <w:tcW w:w="1425" w:type="dxa"/>
            <w:tcBorders>
              <w:top w:val="nil"/>
              <w:left w:val="single" w:sz="4" w:space="0" w:color="auto"/>
              <w:bottom w:val="nil"/>
              <w:right w:val="nil"/>
            </w:tcBorders>
            <w:shd w:val="clear" w:color="auto" w:fill="auto"/>
            <w:noWrap/>
            <w:vAlign w:val="center"/>
            <w:hideMark/>
          </w:tcPr>
          <w:p w14:paraId="3E9E6367"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$33,268-$38,974</w:t>
            </w:r>
          </w:p>
        </w:tc>
        <w:tc>
          <w:tcPr>
            <w:tcW w:w="738" w:type="dxa"/>
            <w:tcBorders>
              <w:top w:val="nil"/>
              <w:left w:val="nil"/>
              <w:bottom w:val="nil"/>
              <w:right w:val="nil"/>
            </w:tcBorders>
            <w:shd w:val="clear" w:color="auto" w:fill="auto"/>
            <w:noWrap/>
            <w:vAlign w:val="center"/>
            <w:hideMark/>
          </w:tcPr>
          <w:p w14:paraId="3E9E6368"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$36,019</w:t>
            </w:r>
          </w:p>
        </w:tc>
        <w:tc>
          <w:tcPr>
            <w:tcW w:w="738" w:type="dxa"/>
            <w:tcBorders>
              <w:top w:val="nil"/>
              <w:left w:val="nil"/>
              <w:bottom w:val="nil"/>
              <w:right w:val="single" w:sz="4" w:space="0" w:color="auto"/>
            </w:tcBorders>
            <w:shd w:val="clear" w:color="auto" w:fill="auto"/>
            <w:noWrap/>
            <w:vAlign w:val="center"/>
            <w:hideMark/>
          </w:tcPr>
          <w:p w14:paraId="3E9E6369"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23.1%</w:t>
            </w:r>
          </w:p>
        </w:tc>
        <w:tc>
          <w:tcPr>
            <w:tcW w:w="1613" w:type="dxa"/>
            <w:tcBorders>
              <w:top w:val="nil"/>
              <w:left w:val="single" w:sz="4" w:space="0" w:color="auto"/>
              <w:bottom w:val="nil"/>
              <w:right w:val="nil"/>
            </w:tcBorders>
            <w:shd w:val="clear" w:color="auto" w:fill="auto"/>
            <w:noWrap/>
            <w:vAlign w:val="center"/>
            <w:hideMark/>
          </w:tcPr>
          <w:p w14:paraId="3E9E636A"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77</w:t>
            </w:r>
            <w:r>
              <w:rPr>
                <w:rFonts w:asciiTheme="majorHAnsi" w:hAnsiTheme="majorHAnsi" w:cstheme="majorHAnsi"/>
                <w:sz w:val="14"/>
              </w:rPr>
              <w:t>,</w:t>
            </w:r>
            <w:r w:rsidRPr="00C70EC8">
              <w:rPr>
                <w:rFonts w:asciiTheme="majorHAnsi" w:hAnsiTheme="majorHAnsi" w:cstheme="majorHAnsi"/>
                <w:sz w:val="14"/>
              </w:rPr>
              <w:t>436-</w:t>
            </w:r>
            <w:r>
              <w:rPr>
                <w:rFonts w:asciiTheme="majorHAnsi" w:hAnsiTheme="majorHAnsi" w:cstheme="majorHAnsi"/>
                <w:sz w:val="14"/>
              </w:rPr>
              <w:t>$</w:t>
            </w:r>
            <w:r w:rsidRPr="00C70EC8">
              <w:rPr>
                <w:rFonts w:asciiTheme="majorHAnsi" w:hAnsiTheme="majorHAnsi" w:cstheme="majorHAnsi"/>
                <w:sz w:val="14"/>
              </w:rPr>
              <w:t>93</w:t>
            </w:r>
            <w:r>
              <w:rPr>
                <w:rFonts w:asciiTheme="majorHAnsi" w:hAnsiTheme="majorHAnsi" w:cstheme="majorHAnsi"/>
                <w:sz w:val="14"/>
              </w:rPr>
              <w:t>,</w:t>
            </w:r>
            <w:r w:rsidRPr="00C70EC8">
              <w:rPr>
                <w:rFonts w:asciiTheme="majorHAnsi" w:hAnsiTheme="majorHAnsi" w:cstheme="majorHAnsi"/>
                <w:sz w:val="14"/>
              </w:rPr>
              <w:t>321</w:t>
            </w:r>
          </w:p>
        </w:tc>
        <w:tc>
          <w:tcPr>
            <w:tcW w:w="800" w:type="dxa"/>
            <w:tcBorders>
              <w:top w:val="nil"/>
              <w:left w:val="nil"/>
              <w:bottom w:val="nil"/>
              <w:right w:val="nil"/>
            </w:tcBorders>
            <w:shd w:val="clear" w:color="auto" w:fill="auto"/>
            <w:noWrap/>
            <w:vAlign w:val="center"/>
            <w:hideMark/>
          </w:tcPr>
          <w:p w14:paraId="3E9E636B"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$84,629 </w:t>
            </w:r>
          </w:p>
        </w:tc>
        <w:tc>
          <w:tcPr>
            <w:tcW w:w="1161" w:type="dxa"/>
            <w:tcBorders>
              <w:top w:val="nil"/>
              <w:left w:val="nil"/>
              <w:bottom w:val="nil"/>
              <w:right w:val="single" w:sz="4" w:space="0" w:color="auto"/>
            </w:tcBorders>
            <w:shd w:val="clear" w:color="auto" w:fill="auto"/>
            <w:noWrap/>
            <w:vAlign w:val="center"/>
            <w:hideMark/>
          </w:tcPr>
          <w:p w14:paraId="3E9E636C"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24.5%</w:t>
            </w:r>
          </w:p>
        </w:tc>
        <w:tc>
          <w:tcPr>
            <w:tcW w:w="1418" w:type="dxa"/>
            <w:tcBorders>
              <w:left w:val="single" w:sz="4" w:space="0" w:color="auto"/>
              <w:right w:val="single" w:sz="4" w:space="0" w:color="auto"/>
            </w:tcBorders>
            <w:shd w:val="clear" w:color="auto" w:fill="auto"/>
            <w:noWrap/>
            <w:vAlign w:val="center"/>
            <w:hideMark/>
          </w:tcPr>
          <w:p w14:paraId="3E9E636D"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2.35</w:t>
            </w:r>
          </w:p>
        </w:tc>
        <w:tc>
          <w:tcPr>
            <w:tcW w:w="903" w:type="dxa"/>
            <w:tcBorders>
              <w:left w:val="single" w:sz="4" w:space="0" w:color="auto"/>
            </w:tcBorders>
            <w:shd w:val="clear" w:color="auto" w:fill="auto"/>
            <w:vAlign w:val="center"/>
          </w:tcPr>
          <w:p w14:paraId="3E9E636E"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1.4%</w:t>
            </w:r>
          </w:p>
        </w:tc>
      </w:tr>
      <w:tr w:rsidR="00FA0A3C" w:rsidRPr="00DF5CAF" w14:paraId="3E9E6379" w14:textId="77777777" w:rsidTr="000A76F6">
        <w:trPr>
          <w:trHeight w:val="255"/>
        </w:trPr>
        <w:tc>
          <w:tcPr>
            <w:tcW w:w="717" w:type="dxa"/>
            <w:tcBorders>
              <w:top w:val="nil"/>
              <w:bottom w:val="nil"/>
              <w:right w:val="single" w:sz="4" w:space="0" w:color="auto"/>
            </w:tcBorders>
            <w:shd w:val="clear" w:color="auto" w:fill="auto"/>
            <w:noWrap/>
            <w:vAlign w:val="center"/>
            <w:hideMark/>
          </w:tcPr>
          <w:p w14:paraId="3E9E6370"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9</w:t>
            </w:r>
          </w:p>
        </w:tc>
        <w:tc>
          <w:tcPr>
            <w:tcW w:w="1425" w:type="dxa"/>
            <w:tcBorders>
              <w:top w:val="nil"/>
              <w:left w:val="single" w:sz="4" w:space="0" w:color="auto"/>
              <w:bottom w:val="nil"/>
              <w:right w:val="nil"/>
            </w:tcBorders>
            <w:shd w:val="clear" w:color="auto" w:fill="auto"/>
            <w:noWrap/>
            <w:vAlign w:val="center"/>
            <w:hideMark/>
          </w:tcPr>
          <w:p w14:paraId="3E9E6371"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$38,974-$48,754</w:t>
            </w:r>
          </w:p>
        </w:tc>
        <w:tc>
          <w:tcPr>
            <w:tcW w:w="738" w:type="dxa"/>
            <w:tcBorders>
              <w:top w:val="nil"/>
              <w:left w:val="nil"/>
              <w:bottom w:val="nil"/>
              <w:right w:val="nil"/>
            </w:tcBorders>
            <w:shd w:val="clear" w:color="auto" w:fill="auto"/>
            <w:noWrap/>
            <w:vAlign w:val="center"/>
            <w:hideMark/>
          </w:tcPr>
          <w:p w14:paraId="3E9E6372"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$43,169</w:t>
            </w:r>
          </w:p>
        </w:tc>
        <w:tc>
          <w:tcPr>
            <w:tcW w:w="738" w:type="dxa"/>
            <w:tcBorders>
              <w:top w:val="nil"/>
              <w:left w:val="nil"/>
              <w:bottom w:val="nil"/>
              <w:right w:val="single" w:sz="4" w:space="0" w:color="auto"/>
            </w:tcBorders>
            <w:shd w:val="clear" w:color="auto" w:fill="auto"/>
            <w:noWrap/>
            <w:vAlign w:val="center"/>
            <w:hideMark/>
          </w:tcPr>
          <w:p w14:paraId="3E9E6373"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25.8%</w:t>
            </w:r>
          </w:p>
        </w:tc>
        <w:tc>
          <w:tcPr>
            <w:tcW w:w="1613" w:type="dxa"/>
            <w:tcBorders>
              <w:top w:val="nil"/>
              <w:left w:val="single" w:sz="4" w:space="0" w:color="auto"/>
              <w:bottom w:val="nil"/>
              <w:right w:val="nil"/>
            </w:tcBorders>
            <w:shd w:val="clear" w:color="auto" w:fill="auto"/>
            <w:noWrap/>
            <w:vAlign w:val="center"/>
            <w:hideMark/>
          </w:tcPr>
          <w:p w14:paraId="3E9E6374"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93</w:t>
            </w:r>
            <w:r>
              <w:rPr>
                <w:rFonts w:asciiTheme="majorHAnsi" w:hAnsiTheme="majorHAnsi" w:cstheme="majorHAnsi"/>
                <w:sz w:val="14"/>
              </w:rPr>
              <w:t>,</w:t>
            </w:r>
            <w:r w:rsidRPr="00C70EC8">
              <w:rPr>
                <w:rFonts w:asciiTheme="majorHAnsi" w:hAnsiTheme="majorHAnsi" w:cstheme="majorHAnsi"/>
                <w:sz w:val="14"/>
              </w:rPr>
              <w:t>322-</w:t>
            </w:r>
            <w:r>
              <w:rPr>
                <w:rFonts w:asciiTheme="majorHAnsi" w:hAnsiTheme="majorHAnsi" w:cstheme="majorHAnsi"/>
                <w:sz w:val="14"/>
              </w:rPr>
              <w:t>$</w:t>
            </w:r>
            <w:r w:rsidRPr="00C70EC8">
              <w:rPr>
                <w:rFonts w:asciiTheme="majorHAnsi" w:hAnsiTheme="majorHAnsi" w:cstheme="majorHAnsi"/>
                <w:sz w:val="14"/>
              </w:rPr>
              <w:t>126</w:t>
            </w:r>
            <w:r>
              <w:rPr>
                <w:rFonts w:asciiTheme="majorHAnsi" w:hAnsiTheme="majorHAnsi" w:cstheme="majorHAnsi"/>
                <w:sz w:val="14"/>
              </w:rPr>
              <w:t>,</w:t>
            </w:r>
            <w:r w:rsidRPr="00C70EC8">
              <w:rPr>
                <w:rFonts w:asciiTheme="majorHAnsi" w:hAnsiTheme="majorHAnsi" w:cstheme="majorHAnsi"/>
                <w:sz w:val="14"/>
              </w:rPr>
              <w:t>119</w:t>
            </w:r>
          </w:p>
        </w:tc>
        <w:tc>
          <w:tcPr>
            <w:tcW w:w="800" w:type="dxa"/>
            <w:tcBorders>
              <w:top w:val="nil"/>
              <w:left w:val="nil"/>
              <w:bottom w:val="nil"/>
              <w:right w:val="nil"/>
            </w:tcBorders>
            <w:shd w:val="clear" w:color="auto" w:fill="auto"/>
            <w:noWrap/>
            <w:vAlign w:val="center"/>
            <w:hideMark/>
          </w:tcPr>
          <w:p w14:paraId="3E9E6375"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$107,051 </w:t>
            </w:r>
          </w:p>
        </w:tc>
        <w:tc>
          <w:tcPr>
            <w:tcW w:w="1161" w:type="dxa"/>
            <w:tcBorders>
              <w:top w:val="nil"/>
              <w:left w:val="nil"/>
              <w:bottom w:val="nil"/>
              <w:right w:val="single" w:sz="4" w:space="0" w:color="auto"/>
            </w:tcBorders>
            <w:shd w:val="clear" w:color="auto" w:fill="auto"/>
            <w:noWrap/>
            <w:vAlign w:val="center"/>
            <w:hideMark/>
          </w:tcPr>
          <w:p w14:paraId="3E9E6376"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27.5%</w:t>
            </w:r>
          </w:p>
        </w:tc>
        <w:tc>
          <w:tcPr>
            <w:tcW w:w="1418" w:type="dxa"/>
            <w:tcBorders>
              <w:left w:val="single" w:sz="4" w:space="0" w:color="auto"/>
              <w:right w:val="single" w:sz="4" w:space="0" w:color="auto"/>
            </w:tcBorders>
            <w:shd w:val="clear" w:color="auto" w:fill="auto"/>
            <w:noWrap/>
            <w:vAlign w:val="center"/>
            <w:hideMark/>
          </w:tcPr>
          <w:p w14:paraId="3E9E6377" w14:textId="77777777" w:rsidR="00FA0A3C" w:rsidRPr="00C70EC8" w:rsidRDefault="00FA0A3C" w:rsidP="000A76F6">
            <w:pPr>
              <w:spacing w:after="0"/>
              <w:jc w:val="center"/>
              <w:rPr>
                <w:rFonts w:asciiTheme="majorHAnsi" w:eastAsia="Times New Roman" w:hAnsiTheme="majorHAnsi" w:cstheme="majorHAnsi"/>
                <w:sz w:val="14"/>
                <w:szCs w:val="14"/>
              </w:rPr>
            </w:pPr>
            <w:r w:rsidRPr="00C70EC8">
              <w:rPr>
                <w:rFonts w:asciiTheme="majorHAnsi" w:hAnsiTheme="majorHAnsi" w:cstheme="majorHAnsi"/>
                <w:sz w:val="14"/>
                <w:szCs w:val="14"/>
              </w:rPr>
              <w:t>2.48</w:t>
            </w:r>
          </w:p>
        </w:tc>
        <w:tc>
          <w:tcPr>
            <w:tcW w:w="903" w:type="dxa"/>
            <w:tcBorders>
              <w:left w:val="single" w:sz="4" w:space="0" w:color="auto"/>
            </w:tcBorders>
            <w:shd w:val="clear" w:color="auto" w:fill="auto"/>
            <w:vAlign w:val="center"/>
          </w:tcPr>
          <w:p w14:paraId="3E9E6378"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1.7%</w:t>
            </w:r>
          </w:p>
        </w:tc>
      </w:tr>
      <w:tr w:rsidR="00FA0A3C" w:rsidRPr="00DF5CAF" w14:paraId="3E9E6383" w14:textId="77777777" w:rsidTr="000A76F6">
        <w:trPr>
          <w:trHeight w:val="255"/>
        </w:trPr>
        <w:tc>
          <w:tcPr>
            <w:tcW w:w="717" w:type="dxa"/>
            <w:tcBorders>
              <w:top w:val="nil"/>
              <w:bottom w:val="single" w:sz="4" w:space="0" w:color="auto"/>
              <w:right w:val="single" w:sz="4" w:space="0" w:color="auto"/>
            </w:tcBorders>
            <w:shd w:val="clear" w:color="auto" w:fill="auto"/>
            <w:noWrap/>
            <w:vAlign w:val="center"/>
            <w:hideMark/>
          </w:tcPr>
          <w:p w14:paraId="3E9E637A"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10</w:t>
            </w:r>
          </w:p>
        </w:tc>
        <w:tc>
          <w:tcPr>
            <w:tcW w:w="1425" w:type="dxa"/>
            <w:tcBorders>
              <w:top w:val="nil"/>
              <w:left w:val="single" w:sz="4" w:space="0" w:color="auto"/>
              <w:bottom w:val="single" w:sz="4" w:space="0" w:color="auto"/>
              <w:right w:val="nil"/>
            </w:tcBorders>
            <w:shd w:val="clear" w:color="auto" w:fill="auto"/>
            <w:noWrap/>
            <w:vAlign w:val="center"/>
            <w:hideMark/>
          </w:tcPr>
          <w:p w14:paraId="3E9E637B"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$48,754 and above</w:t>
            </w:r>
          </w:p>
        </w:tc>
        <w:tc>
          <w:tcPr>
            <w:tcW w:w="738" w:type="dxa"/>
            <w:tcBorders>
              <w:top w:val="nil"/>
              <w:left w:val="nil"/>
              <w:bottom w:val="single" w:sz="4" w:space="0" w:color="auto"/>
              <w:right w:val="nil"/>
            </w:tcBorders>
            <w:shd w:val="clear" w:color="auto" w:fill="auto"/>
            <w:noWrap/>
            <w:vAlign w:val="center"/>
            <w:hideMark/>
          </w:tcPr>
          <w:p w14:paraId="3E9E637C"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$76,180</w:t>
            </w:r>
          </w:p>
        </w:tc>
        <w:tc>
          <w:tcPr>
            <w:tcW w:w="738" w:type="dxa"/>
            <w:tcBorders>
              <w:top w:val="nil"/>
              <w:left w:val="nil"/>
              <w:bottom w:val="single" w:sz="4" w:space="0" w:color="auto"/>
              <w:right w:val="single" w:sz="4" w:space="0" w:color="auto"/>
            </w:tcBorders>
            <w:shd w:val="clear" w:color="auto" w:fill="auto"/>
            <w:noWrap/>
            <w:vAlign w:val="center"/>
            <w:hideMark/>
          </w:tcPr>
          <w:p w14:paraId="3E9E637D" w14:textId="77777777" w:rsidR="00FA0A3C" w:rsidRPr="00DF5CAF" w:rsidRDefault="00FA0A3C" w:rsidP="000A76F6">
            <w:pPr>
              <w:spacing w:after="0"/>
              <w:jc w:val="center"/>
              <w:rPr>
                <w:rFonts w:ascii="Arial" w:eastAsia="Times New Roman" w:hAnsi="Arial" w:cs="Arial"/>
                <w:color w:val="auto"/>
                <w:sz w:val="14"/>
                <w:szCs w:val="18"/>
                <w:lang w:eastAsia="en-AU"/>
              </w:rPr>
            </w:pPr>
            <w:r w:rsidRPr="00DF5CAF">
              <w:rPr>
                <w:rFonts w:ascii="Arial" w:eastAsia="Times New Roman" w:hAnsi="Arial" w:cs="Arial"/>
                <w:color w:val="auto"/>
                <w:sz w:val="14"/>
                <w:szCs w:val="18"/>
                <w:lang w:eastAsia="en-AU"/>
              </w:rPr>
              <w:t>30.7%</w:t>
            </w:r>
          </w:p>
        </w:tc>
        <w:tc>
          <w:tcPr>
            <w:tcW w:w="1613" w:type="dxa"/>
            <w:tcBorders>
              <w:top w:val="nil"/>
              <w:left w:val="single" w:sz="4" w:space="0" w:color="auto"/>
              <w:bottom w:val="single" w:sz="4" w:space="0" w:color="auto"/>
              <w:right w:val="nil"/>
            </w:tcBorders>
            <w:shd w:val="clear" w:color="auto" w:fill="auto"/>
            <w:noWrap/>
            <w:vAlign w:val="center"/>
            <w:hideMark/>
          </w:tcPr>
          <w:p w14:paraId="3E9E637E" w14:textId="77777777" w:rsidR="00FA0A3C" w:rsidRPr="00C70EC8" w:rsidRDefault="00FA0A3C" w:rsidP="000A76F6">
            <w:pPr>
              <w:spacing w:after="0"/>
              <w:jc w:val="center"/>
              <w:rPr>
                <w:rFonts w:asciiTheme="majorHAnsi" w:eastAsia="Times New Roman" w:hAnsiTheme="majorHAnsi" w:cstheme="majorHAnsi"/>
                <w:color w:val="auto"/>
                <w:sz w:val="14"/>
                <w:szCs w:val="18"/>
                <w:lang w:eastAsia="en-AU"/>
              </w:rPr>
            </w:pPr>
            <w:r>
              <w:rPr>
                <w:rFonts w:asciiTheme="majorHAnsi" w:hAnsiTheme="majorHAnsi" w:cstheme="majorHAnsi"/>
                <w:sz w:val="14"/>
              </w:rPr>
              <w:t>$</w:t>
            </w:r>
            <w:r w:rsidRPr="00C70EC8">
              <w:rPr>
                <w:rFonts w:asciiTheme="majorHAnsi" w:hAnsiTheme="majorHAnsi" w:cstheme="majorHAnsi"/>
                <w:sz w:val="14"/>
              </w:rPr>
              <w:t>126</w:t>
            </w:r>
            <w:r>
              <w:rPr>
                <w:rFonts w:asciiTheme="majorHAnsi" w:hAnsiTheme="majorHAnsi" w:cstheme="majorHAnsi"/>
                <w:sz w:val="14"/>
              </w:rPr>
              <w:t>,</w:t>
            </w:r>
            <w:r w:rsidR="002164B2">
              <w:rPr>
                <w:rFonts w:asciiTheme="majorHAnsi" w:hAnsiTheme="majorHAnsi" w:cstheme="majorHAnsi"/>
                <w:sz w:val="14"/>
              </w:rPr>
              <w:t xml:space="preserve">120 </w:t>
            </w:r>
            <w:r w:rsidRPr="00C70EC8">
              <w:rPr>
                <w:rFonts w:asciiTheme="majorHAnsi" w:hAnsiTheme="majorHAnsi" w:cstheme="majorHAnsi"/>
                <w:sz w:val="14"/>
              </w:rPr>
              <w:t>and above</w:t>
            </w:r>
          </w:p>
        </w:tc>
        <w:tc>
          <w:tcPr>
            <w:tcW w:w="800" w:type="dxa"/>
            <w:tcBorders>
              <w:top w:val="nil"/>
              <w:left w:val="nil"/>
              <w:bottom w:val="single" w:sz="4" w:space="0" w:color="auto"/>
              <w:right w:val="nil"/>
            </w:tcBorders>
            <w:shd w:val="clear" w:color="auto" w:fill="auto"/>
            <w:noWrap/>
            <w:vAlign w:val="center"/>
            <w:hideMark/>
          </w:tcPr>
          <w:p w14:paraId="3E9E637F"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 xml:space="preserve">$229,511 </w:t>
            </w:r>
          </w:p>
        </w:tc>
        <w:tc>
          <w:tcPr>
            <w:tcW w:w="1161" w:type="dxa"/>
            <w:tcBorders>
              <w:top w:val="nil"/>
              <w:left w:val="nil"/>
              <w:bottom w:val="single" w:sz="4" w:space="0" w:color="auto"/>
              <w:right w:val="single" w:sz="4" w:space="0" w:color="auto"/>
            </w:tcBorders>
            <w:shd w:val="clear" w:color="auto" w:fill="auto"/>
            <w:noWrap/>
            <w:vAlign w:val="center"/>
            <w:hideMark/>
          </w:tcPr>
          <w:p w14:paraId="3E9E6380"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35.9%</w:t>
            </w:r>
          </w:p>
        </w:tc>
        <w:tc>
          <w:tcPr>
            <w:tcW w:w="1418" w:type="dxa"/>
            <w:tcBorders>
              <w:left w:val="single" w:sz="4" w:space="0" w:color="auto"/>
              <w:bottom w:val="single" w:sz="4" w:space="0" w:color="auto"/>
              <w:right w:val="single" w:sz="4" w:space="0" w:color="auto"/>
            </w:tcBorders>
            <w:shd w:val="clear" w:color="auto" w:fill="auto"/>
            <w:noWrap/>
            <w:vAlign w:val="center"/>
            <w:hideMark/>
          </w:tcPr>
          <w:p w14:paraId="3E9E6381" w14:textId="77777777" w:rsidR="00FA0A3C" w:rsidRPr="00C70EC8" w:rsidRDefault="00FA0A3C" w:rsidP="000A76F6">
            <w:pPr>
              <w:spacing w:after="0"/>
              <w:jc w:val="center"/>
              <w:rPr>
                <w:rFonts w:asciiTheme="majorHAnsi" w:hAnsiTheme="majorHAnsi" w:cstheme="majorHAnsi"/>
                <w:sz w:val="14"/>
                <w:szCs w:val="14"/>
              </w:rPr>
            </w:pPr>
            <w:r w:rsidRPr="00C70EC8">
              <w:rPr>
                <w:rFonts w:asciiTheme="majorHAnsi" w:hAnsiTheme="majorHAnsi" w:cstheme="majorHAnsi"/>
                <w:sz w:val="14"/>
                <w:szCs w:val="14"/>
              </w:rPr>
              <w:t>3.01</w:t>
            </w:r>
          </w:p>
        </w:tc>
        <w:tc>
          <w:tcPr>
            <w:tcW w:w="903" w:type="dxa"/>
            <w:tcBorders>
              <w:left w:val="single" w:sz="4" w:space="0" w:color="auto"/>
              <w:bottom w:val="single" w:sz="4" w:space="0" w:color="auto"/>
            </w:tcBorders>
            <w:shd w:val="clear" w:color="auto" w:fill="auto"/>
            <w:vAlign w:val="center"/>
          </w:tcPr>
          <w:p w14:paraId="3E9E6382" w14:textId="77777777" w:rsidR="00FA0A3C" w:rsidRPr="00C70EC8" w:rsidRDefault="00FA0A3C" w:rsidP="000A76F6">
            <w:pPr>
              <w:spacing w:after="0"/>
              <w:jc w:val="center"/>
              <w:rPr>
                <w:rFonts w:asciiTheme="majorHAnsi" w:eastAsia="Times New Roman" w:hAnsiTheme="majorHAnsi" w:cstheme="majorHAnsi"/>
                <w:color w:val="auto"/>
                <w:sz w:val="14"/>
                <w:szCs w:val="14"/>
                <w:lang w:eastAsia="en-AU"/>
              </w:rPr>
            </w:pPr>
            <w:r w:rsidRPr="00C70EC8">
              <w:rPr>
                <w:rFonts w:asciiTheme="majorHAnsi" w:hAnsiTheme="majorHAnsi" w:cstheme="majorHAnsi"/>
                <w:sz w:val="14"/>
                <w:szCs w:val="14"/>
              </w:rPr>
              <w:t>5.2%</w:t>
            </w:r>
          </w:p>
        </w:tc>
      </w:tr>
    </w:tbl>
    <w:p w14:paraId="3E9E6384" w14:textId="4F317AC4" w:rsidR="00FA0A3C" w:rsidRDefault="00FA0A3C" w:rsidP="005821AB">
      <w:pPr>
        <w:pStyle w:val="ChartorTableNote"/>
      </w:pPr>
      <w:r w:rsidRPr="00DD6DA8">
        <w:t xml:space="preserve">Source: Australian </w:t>
      </w:r>
      <w:r>
        <w:t>T</w:t>
      </w:r>
      <w:r w:rsidRPr="00DD6DA8">
        <w:t xml:space="preserve">axation </w:t>
      </w:r>
      <w:r>
        <w:t>S</w:t>
      </w:r>
      <w:r w:rsidRPr="00DD6DA8">
        <w:t>tatistics</w:t>
      </w:r>
      <w:r>
        <w:t xml:space="preserve">. </w:t>
      </w:r>
    </w:p>
    <w:p w14:paraId="383F98FB" w14:textId="77777777" w:rsidR="005821AB" w:rsidRDefault="005821AB" w:rsidP="006D5635">
      <w:pPr>
        <w:pStyle w:val="SingleParagraph"/>
      </w:pPr>
    </w:p>
    <w:p w14:paraId="3E9E6385" w14:textId="77777777" w:rsidR="00FA0A3C" w:rsidRDefault="00FA0A3C" w:rsidP="00AB5CD6">
      <w:r>
        <w:t>A general trend revealed by the summary statistics in Table 1 – that growth in taxable incomes between 1994-95 and 2015-16 has been highest at the top of the income distribution (as revealed by a higher ratio of average taxable income in 2015-16 to 1994-95) – is not particularly surprising or new.  The tax distribution serves to reinforce similar findings around the top of the income distribution included in the likes of Whiteford (2013) and the Productivity Commission (2018), based on the ABS Surveys of Income and Housing and Household Expenditure, as well as the Melbourne Institute Household Income and Labour Dynamics in Australia (HILDA) Survey.</w:t>
      </w:r>
      <w:r w:rsidRPr="00D13695">
        <w:t xml:space="preserve"> </w:t>
      </w:r>
      <w:r>
        <w:t>The broad directional trend presented here is also consistent with the quintile analysis of average tax rates</w:t>
      </w:r>
      <w:r w:rsidRPr="00D13695">
        <w:t xml:space="preserve"> </w:t>
      </w:r>
      <w:r>
        <w:t xml:space="preserve">between 2000-01 and 2015-16 presented by </w:t>
      </w:r>
      <w:r>
        <w:lastRenderedPageBreak/>
        <w:t>the Parliamentary Budget Office (2017).</w:t>
      </w:r>
      <w:r w:rsidR="00550982">
        <w:t xml:space="preserve"> </w:t>
      </w:r>
      <w:r w:rsidR="00E9202C">
        <w:t>More n</w:t>
      </w:r>
      <w:r w:rsidR="00550982">
        <w:t>otabl</w:t>
      </w:r>
      <w:r w:rsidR="00E9202C">
        <w:t xml:space="preserve">e is that </w:t>
      </w:r>
      <w:r w:rsidR="00550982">
        <w:t xml:space="preserve">the second highest growth rate for taxable incomes is observed </w:t>
      </w:r>
      <w:r w:rsidR="00E9202C">
        <w:t>at</w:t>
      </w:r>
      <w:r w:rsidR="00550982">
        <w:t xml:space="preserve"> the first decile.</w:t>
      </w:r>
    </w:p>
    <w:p w14:paraId="3E9E6386" w14:textId="77777777" w:rsidR="00510630" w:rsidRDefault="00371305" w:rsidP="00AB5CD6">
      <w:r>
        <w:t>T</w:t>
      </w:r>
      <w:r w:rsidR="0023148E">
        <w:t xml:space="preserve">he </w:t>
      </w:r>
      <w:r>
        <w:t xml:space="preserve">summary </w:t>
      </w:r>
      <w:r w:rsidR="0023148E">
        <w:t>statistics</w:t>
      </w:r>
      <w:r w:rsidR="00510630">
        <w:t xml:space="preserve"> for average taxable incomes</w:t>
      </w:r>
      <w:r>
        <w:t>,</w:t>
      </w:r>
      <w:r w:rsidR="007D5356" w:rsidRPr="007D5356">
        <w:t xml:space="preserve"> </w:t>
      </w:r>
      <w:r>
        <w:t>together with</w:t>
      </w:r>
      <w:r w:rsidR="00510630">
        <w:t xml:space="preserve"> average tax rates</w:t>
      </w:r>
      <w:r>
        <w:t xml:space="preserve">, </w:t>
      </w:r>
      <w:r w:rsidR="0023148E">
        <w:t>suggest</w:t>
      </w:r>
      <w:r w:rsidR="007D5356">
        <w:t>s</w:t>
      </w:r>
      <w:r w:rsidR="004067B4">
        <w:t xml:space="preserve"> </w:t>
      </w:r>
      <w:r w:rsidR="00510630">
        <w:t>three</w:t>
      </w:r>
      <w:r w:rsidR="004067B4">
        <w:t xml:space="preserve"> </w:t>
      </w:r>
      <w:r w:rsidR="00BB0A64">
        <w:t>further</w:t>
      </w:r>
      <w:r w:rsidR="007D5356">
        <w:t xml:space="preserve"> </w:t>
      </w:r>
      <w:r w:rsidR="004067B4">
        <w:t>general trends</w:t>
      </w:r>
      <w:r w:rsidR="00211698" w:rsidRPr="00211698">
        <w:t xml:space="preserve"> </w:t>
      </w:r>
      <w:r w:rsidR="00211698">
        <w:t>between 1994-95 and 2015-16</w:t>
      </w:r>
      <w:r w:rsidR="007D5356">
        <w:t>.</w:t>
      </w:r>
      <w:r w:rsidR="00271E4B">
        <w:t xml:space="preserve"> </w:t>
      </w:r>
      <w:r w:rsidR="004067B4">
        <w:t>The first is that</w:t>
      </w:r>
      <w:r w:rsidR="00DC6F19">
        <w:t xml:space="preserve">, notwithstanding strong growth in incomes for all deciles, </w:t>
      </w:r>
      <w:r w:rsidR="00510630">
        <w:t xml:space="preserve">the middle deciles </w:t>
      </w:r>
      <w:r w:rsidR="00C36E80">
        <w:t>saw</w:t>
      </w:r>
      <w:r w:rsidR="00510630">
        <w:t xml:space="preserve"> the slowest </w:t>
      </w:r>
      <w:r w:rsidR="00DC6F19">
        <w:t xml:space="preserve">relative </w:t>
      </w:r>
      <w:r w:rsidR="00271E4B">
        <w:t>growth in incomes</w:t>
      </w:r>
      <w:r w:rsidR="00C36E80">
        <w:t xml:space="preserve"> and a small increase (between 0 and 1 percentage point) in </w:t>
      </w:r>
      <w:r w:rsidR="00271E4B">
        <w:t>average tax rates</w:t>
      </w:r>
      <w:r w:rsidR="00C36E80">
        <w:t>.</w:t>
      </w:r>
      <w:r w:rsidR="004067B4">
        <w:t xml:space="preserve"> The second is that </w:t>
      </w:r>
      <w:r w:rsidR="00C36E80">
        <w:t xml:space="preserve">the bottom three deciles experienced </w:t>
      </w:r>
      <w:r w:rsidR="00DC6F19">
        <w:rPr>
          <w:i/>
        </w:rPr>
        <w:t>reduced</w:t>
      </w:r>
      <w:r w:rsidR="00C36E80">
        <w:t xml:space="preserve"> average tax rates</w:t>
      </w:r>
      <w:r w:rsidR="00DC6F19">
        <w:t xml:space="preserve"> in 2015-16</w:t>
      </w:r>
      <w:r w:rsidR="00C36E80">
        <w:t xml:space="preserve">, </w:t>
      </w:r>
      <w:r w:rsidR="00DC6F19">
        <w:t>despite stronger</w:t>
      </w:r>
      <w:r w:rsidR="00C36E80">
        <w:t xml:space="preserve"> growth in average incomes</w:t>
      </w:r>
      <w:r w:rsidR="00022D58">
        <w:t xml:space="preserve"> than experienced by the middle deciles</w:t>
      </w:r>
      <w:r w:rsidR="0023148E">
        <w:t xml:space="preserve">. </w:t>
      </w:r>
      <w:r w:rsidR="00510630">
        <w:t xml:space="preserve">The third is that </w:t>
      </w:r>
      <w:r w:rsidR="00C36E80">
        <w:t xml:space="preserve">the top three deciles experienced </w:t>
      </w:r>
      <w:r w:rsidR="00510630">
        <w:t xml:space="preserve">higher </w:t>
      </w:r>
      <w:r w:rsidR="00C36E80">
        <w:t xml:space="preserve">average taxes and </w:t>
      </w:r>
      <w:r w:rsidR="00962FC5">
        <w:t xml:space="preserve">the top decile experienced the </w:t>
      </w:r>
      <w:r w:rsidR="00C36E80">
        <w:t>strong</w:t>
      </w:r>
      <w:r w:rsidR="00962FC5">
        <w:t>est</w:t>
      </w:r>
      <w:r w:rsidR="00C36E80">
        <w:t xml:space="preserve"> growth in average incomes</w:t>
      </w:r>
      <w:r w:rsidR="00510630">
        <w:t xml:space="preserve">. </w:t>
      </w:r>
    </w:p>
    <w:p w14:paraId="3E9E6387" w14:textId="77777777" w:rsidR="009E425A" w:rsidRDefault="0093198A" w:rsidP="00AB5CD6">
      <w:r>
        <w:t xml:space="preserve">These summary statistics </w:t>
      </w:r>
      <w:r w:rsidR="00211698">
        <w:t xml:space="preserve">also </w:t>
      </w:r>
      <w:r>
        <w:t xml:space="preserve">reveal </w:t>
      </w:r>
      <w:r w:rsidR="00C33CA6">
        <w:t>three</w:t>
      </w:r>
      <w:r w:rsidR="00825E87">
        <w:t xml:space="preserve"> complications that</w:t>
      </w:r>
      <w:r>
        <w:t xml:space="preserve"> reinforce the challenges </w:t>
      </w:r>
      <w:r w:rsidR="00825E87">
        <w:t>of objectively assessing progressivity</w:t>
      </w:r>
      <w:r w:rsidR="009E425A">
        <w:t>.</w:t>
      </w:r>
      <w:r w:rsidR="009E425A" w:rsidRPr="009E425A">
        <w:t xml:space="preserve"> </w:t>
      </w:r>
    </w:p>
    <w:p w14:paraId="3E9E6388" w14:textId="77777777" w:rsidR="00022D58" w:rsidRDefault="009E425A" w:rsidP="00AB5CD6">
      <w:r>
        <w:t xml:space="preserve">The first </w:t>
      </w:r>
      <w:r w:rsidR="0093198A">
        <w:t>is that s</w:t>
      </w:r>
      <w:r w:rsidR="00E816B0">
        <w:t>ome</w:t>
      </w:r>
      <w:r w:rsidR="00962FC5">
        <w:t>one’s</w:t>
      </w:r>
      <w:r w:rsidR="00C36E80">
        <w:t xml:space="preserve"> </w:t>
      </w:r>
      <w:r w:rsidR="00BB0A64">
        <w:t>position</w:t>
      </w:r>
      <w:r w:rsidR="00335056">
        <w:t xml:space="preserve"> </w:t>
      </w:r>
      <w:r w:rsidR="00962FC5">
        <w:t>in the taxable income distribution</w:t>
      </w:r>
      <w:r w:rsidR="00211698">
        <w:t>, and who they compare to,</w:t>
      </w:r>
      <w:r w:rsidR="00962FC5">
        <w:t xml:space="preserve"> </w:t>
      </w:r>
      <w:r w:rsidR="00AC3667">
        <w:t>could</w:t>
      </w:r>
      <w:r w:rsidR="00C36E80">
        <w:t xml:space="preserve"> influence </w:t>
      </w:r>
      <w:r w:rsidR="00962FC5">
        <w:t>their view on changing income</w:t>
      </w:r>
      <w:r w:rsidR="00066EA1">
        <w:t>s</w:t>
      </w:r>
      <w:r w:rsidR="00962FC5">
        <w:t xml:space="preserve"> and tax </w:t>
      </w:r>
      <w:r w:rsidR="001645EA">
        <w:t>incidence</w:t>
      </w:r>
      <w:r w:rsidR="00C36E80">
        <w:t>. For example, someone earning the median</w:t>
      </w:r>
      <w:r w:rsidR="007D5356">
        <w:t xml:space="preserve"> </w:t>
      </w:r>
      <w:r w:rsidR="00C36E80">
        <w:t>income</w:t>
      </w:r>
      <w:r w:rsidR="00B05326">
        <w:t xml:space="preserve"> in 2015-16</w:t>
      </w:r>
      <w:r w:rsidR="007D5356">
        <w:t xml:space="preserve"> (50</w:t>
      </w:r>
      <w:r w:rsidR="007D5356" w:rsidRPr="00FE0DCB">
        <w:rPr>
          <w:vertAlign w:val="superscript"/>
        </w:rPr>
        <w:t>th</w:t>
      </w:r>
      <w:r w:rsidR="00066EA1">
        <w:t> </w:t>
      </w:r>
      <w:r w:rsidR="007D5356">
        <w:t xml:space="preserve">percentile) </w:t>
      </w:r>
      <w:r w:rsidR="00C36E80">
        <w:t xml:space="preserve">could view those </w:t>
      </w:r>
      <w:r w:rsidR="00DC6F19">
        <w:t>at both the</w:t>
      </w:r>
      <w:r w:rsidR="001E35CC">
        <w:t xml:space="preserve"> bottom and the top </w:t>
      </w:r>
      <w:r w:rsidR="00DC6F19">
        <w:t>of the income distribution as</w:t>
      </w:r>
      <w:r w:rsidR="007D5356">
        <w:t xml:space="preserve"> both</w:t>
      </w:r>
      <w:r w:rsidR="00DC6F19">
        <w:t xml:space="preserve"> </w:t>
      </w:r>
      <w:r w:rsidR="00335056">
        <w:t xml:space="preserve">having </w:t>
      </w:r>
      <w:r w:rsidR="00C36E80">
        <w:t>experienc</w:t>
      </w:r>
      <w:r w:rsidR="00335056">
        <w:t>ed</w:t>
      </w:r>
      <w:r w:rsidR="00C36E80">
        <w:t xml:space="preserve"> stronger average income growth</w:t>
      </w:r>
      <w:r w:rsidR="00962FC5">
        <w:t xml:space="preserve"> than their decile</w:t>
      </w:r>
      <w:r w:rsidR="00DC6F19">
        <w:t xml:space="preserve">. </w:t>
      </w:r>
      <w:r w:rsidR="00335056">
        <w:t xml:space="preserve">This same individual could </w:t>
      </w:r>
      <w:r w:rsidR="007D5356">
        <w:t xml:space="preserve">further </w:t>
      </w:r>
      <w:r w:rsidR="00E816B0">
        <w:t xml:space="preserve">observe that, while </w:t>
      </w:r>
      <w:r w:rsidR="00DE5670">
        <w:t xml:space="preserve">the </w:t>
      </w:r>
      <w:r w:rsidR="00E816B0">
        <w:t xml:space="preserve">tax </w:t>
      </w:r>
      <w:r w:rsidR="001645EA">
        <w:t>incidence</w:t>
      </w:r>
      <w:r w:rsidR="00E816B0">
        <w:t xml:space="preserve"> </w:t>
      </w:r>
      <w:r w:rsidR="00DE5670">
        <w:t xml:space="preserve">that applies to their decile </w:t>
      </w:r>
      <w:r w:rsidR="00E816B0">
        <w:t>ha</w:t>
      </w:r>
      <w:r w:rsidR="00DE5670">
        <w:t xml:space="preserve">s </w:t>
      </w:r>
      <w:r w:rsidR="00E816B0">
        <w:t xml:space="preserve">not moved greatly, </w:t>
      </w:r>
      <w:r w:rsidR="00DC6F19">
        <w:t xml:space="preserve">those at the bottom end experienced </w:t>
      </w:r>
      <w:r w:rsidR="001E35CC">
        <w:t>lower</w:t>
      </w:r>
      <w:r w:rsidR="00C36E80">
        <w:t xml:space="preserve"> average tax rates, </w:t>
      </w:r>
      <w:r w:rsidR="00DC6F19">
        <w:t>while</w:t>
      </w:r>
      <w:r w:rsidR="00C36E80">
        <w:t xml:space="preserve"> those at the top en</w:t>
      </w:r>
      <w:r w:rsidR="0023148E">
        <w:t>d</w:t>
      </w:r>
      <w:r w:rsidR="00C36E80">
        <w:t xml:space="preserve"> </w:t>
      </w:r>
      <w:r w:rsidR="00962FC5">
        <w:t>experienced</w:t>
      </w:r>
      <w:r w:rsidR="00DC6F19">
        <w:t xml:space="preserve"> </w:t>
      </w:r>
      <w:r w:rsidR="001E35CC">
        <w:t>higher average tax rates.</w:t>
      </w:r>
      <w:r w:rsidR="00EA7530">
        <w:t xml:space="preserve"> </w:t>
      </w:r>
    </w:p>
    <w:p w14:paraId="3E9E6389" w14:textId="77777777" w:rsidR="00C33CA6" w:rsidRDefault="00C33CA6" w:rsidP="00AB5CD6">
      <w:r>
        <w:t xml:space="preserve">The second </w:t>
      </w:r>
      <w:r w:rsidR="00B426B0">
        <w:t xml:space="preserve">is the </w:t>
      </w:r>
      <w:r w:rsidR="0089334A">
        <w:t xml:space="preserve">interpretive </w:t>
      </w:r>
      <w:r w:rsidR="00B426B0">
        <w:t xml:space="preserve">challenges inherent in </w:t>
      </w:r>
      <w:r>
        <w:t>comparing</w:t>
      </w:r>
      <w:r w:rsidR="0089334A">
        <w:t xml:space="preserve"> two</w:t>
      </w:r>
      <w:r w:rsidR="00B426B0">
        <w:t xml:space="preserve"> ‘snapshot’</w:t>
      </w:r>
      <w:r>
        <w:t xml:space="preserve"> </w:t>
      </w:r>
      <w:r w:rsidR="00DE5670">
        <w:t xml:space="preserve">static distributions that are </w:t>
      </w:r>
      <w:r w:rsidR="00220FF5">
        <w:t>22 years</w:t>
      </w:r>
      <w:r w:rsidR="00DE5670">
        <w:t xml:space="preserve"> apart</w:t>
      </w:r>
      <w:r>
        <w:t>.</w:t>
      </w:r>
      <w:r w:rsidR="0089334A">
        <w:t xml:space="preserve"> </w:t>
      </w:r>
      <w:r w:rsidR="00825E87">
        <w:t>A</w:t>
      </w:r>
      <w:r w:rsidR="0089334A">
        <w:t>s t</w:t>
      </w:r>
      <w:r w:rsidR="0089334A" w:rsidRPr="00C33CA6">
        <w:t xml:space="preserve">he Productivity Commission </w:t>
      </w:r>
      <w:r w:rsidR="0089334A">
        <w:t xml:space="preserve">(2018) correctly </w:t>
      </w:r>
      <w:r w:rsidR="0089334A" w:rsidRPr="00C33CA6">
        <w:t>highlight</w:t>
      </w:r>
      <w:r w:rsidR="0089334A">
        <w:t xml:space="preserve">ed, </w:t>
      </w:r>
      <w:r w:rsidR="0089334A" w:rsidRPr="00C33CA6">
        <w:t>Australian</w:t>
      </w:r>
      <w:r w:rsidR="0089334A">
        <w:t>s</w:t>
      </w:r>
      <w:r w:rsidR="0089334A" w:rsidRPr="00C33CA6">
        <w:t xml:space="preserve"> mov</w:t>
      </w:r>
      <w:r w:rsidR="0089334A">
        <w:t>e</w:t>
      </w:r>
      <w:r w:rsidR="0089334A" w:rsidRPr="00C33CA6">
        <w:t xml:space="preserve"> across the income distribution</w:t>
      </w:r>
      <w:r w:rsidR="0089334A">
        <w:t xml:space="preserve"> (and </w:t>
      </w:r>
      <w:r w:rsidR="00211698">
        <w:t xml:space="preserve">therefore </w:t>
      </w:r>
      <w:r w:rsidR="0089334A">
        <w:t>between the different deciles) over the course of their lives</w:t>
      </w:r>
      <w:r w:rsidR="0089334A" w:rsidRPr="00C33CA6">
        <w:t>.</w:t>
      </w:r>
      <w:r w:rsidR="0089334A">
        <w:t xml:space="preserve"> Accordingly, i</w:t>
      </w:r>
      <w:r w:rsidR="00B426B0">
        <w:t xml:space="preserve">t is important when </w:t>
      </w:r>
      <w:r w:rsidR="0089334A">
        <w:t xml:space="preserve">comparing deciles between disparate time periods </w:t>
      </w:r>
      <w:r w:rsidR="00B426B0">
        <w:t xml:space="preserve">to </w:t>
      </w:r>
      <w:r w:rsidR="00211698">
        <w:t xml:space="preserve">not fall into the trap </w:t>
      </w:r>
      <w:r w:rsidR="00825E87">
        <w:t xml:space="preserve">of assuming </w:t>
      </w:r>
      <w:r w:rsidR="00211698">
        <w:t xml:space="preserve">that the </w:t>
      </w:r>
      <w:r w:rsidR="0089334A">
        <w:t>membership of each decile</w:t>
      </w:r>
      <w:r w:rsidR="00211698">
        <w:t xml:space="preserve"> remains the same</w:t>
      </w:r>
      <w:r w:rsidR="0089334A">
        <w:t xml:space="preserve">. </w:t>
      </w:r>
    </w:p>
    <w:p w14:paraId="3E9E638A" w14:textId="77777777" w:rsidR="00CD3CC5" w:rsidRDefault="0093198A" w:rsidP="00AB5CD6">
      <w:r>
        <w:t xml:space="preserve">The </w:t>
      </w:r>
      <w:r w:rsidR="00C33CA6">
        <w:t>third</w:t>
      </w:r>
      <w:r w:rsidR="00CD3CC5">
        <w:t xml:space="preserve"> complication</w:t>
      </w:r>
      <w:r w:rsidR="00944E99">
        <w:t xml:space="preserve"> </w:t>
      </w:r>
      <w:r w:rsidR="00CD3CC5">
        <w:t>is the absence of a meaningful counterfactual</w:t>
      </w:r>
      <w:r w:rsidR="00326E28">
        <w:t xml:space="preserve"> – t</w:t>
      </w:r>
      <w:r w:rsidR="00211698">
        <w:t>hat is</w:t>
      </w:r>
      <w:r w:rsidR="00CD3CC5">
        <w:t xml:space="preserve">, </w:t>
      </w:r>
      <w:r w:rsidR="00211698">
        <w:t xml:space="preserve">comparing the changes in incomes and tax rates against </w:t>
      </w:r>
      <w:r w:rsidR="00CD3CC5">
        <w:t>a baseline prediction</w:t>
      </w:r>
      <w:r w:rsidR="00CD3CC5" w:rsidRPr="00BC666E">
        <w:t xml:space="preserve"> </w:t>
      </w:r>
      <w:r w:rsidR="00CD3CC5">
        <w:t>of</w:t>
      </w:r>
      <w:r w:rsidR="00CD3CC5" w:rsidRPr="00BC666E">
        <w:t xml:space="preserve"> what ‘would have otherwise happened’ to tax rates or incomes</w:t>
      </w:r>
      <w:r w:rsidR="00CD3CC5">
        <w:t xml:space="preserve"> if, for example, tax brackets </w:t>
      </w:r>
      <w:r w:rsidR="0006363E">
        <w:t xml:space="preserve">were to hypothetically </w:t>
      </w:r>
      <w:r w:rsidR="00CD3CC5">
        <w:t>gr</w:t>
      </w:r>
      <w:r w:rsidR="0006363E">
        <w:t>o</w:t>
      </w:r>
      <w:r w:rsidR="00CD3CC5">
        <w:t>w at the same rate as incomes</w:t>
      </w:r>
      <w:r w:rsidR="00944E99">
        <w:t xml:space="preserve"> (or a similar metric)</w:t>
      </w:r>
      <w:r w:rsidR="00CD3CC5">
        <w:t>. Partly this is because</w:t>
      </w:r>
      <w:r w:rsidR="00944E99">
        <w:t xml:space="preserve"> the exercise of constructing </w:t>
      </w:r>
      <w:r w:rsidR="00CD3CC5">
        <w:t>counterfactuals</w:t>
      </w:r>
      <w:r w:rsidR="00944E99">
        <w:t xml:space="preserve"> is d</w:t>
      </w:r>
      <w:r w:rsidR="00CD3CC5">
        <w:t>riven by</w:t>
      </w:r>
      <w:r w:rsidR="00944E99">
        <w:t xml:space="preserve"> underlying</w:t>
      </w:r>
      <w:r w:rsidR="00CD3CC5">
        <w:t xml:space="preserve"> assumptions, and the </w:t>
      </w:r>
      <w:r w:rsidR="00CD3CC5" w:rsidRPr="00BC666E">
        <w:t>assumptions</w:t>
      </w:r>
      <w:r w:rsidR="00CD3CC5">
        <w:t xml:space="preserve"> </w:t>
      </w:r>
      <w:r w:rsidR="00944E99">
        <w:t>themselves (around</w:t>
      </w:r>
      <w:r w:rsidR="0006363E">
        <w:t xml:space="preserve"> </w:t>
      </w:r>
      <w:r w:rsidR="00211698">
        <w:t xml:space="preserve">hypothetical </w:t>
      </w:r>
      <w:r w:rsidR="00944E99">
        <w:t xml:space="preserve">growth in incomes or </w:t>
      </w:r>
      <w:r w:rsidR="0006363E">
        <w:t>average tax rates</w:t>
      </w:r>
      <w:r w:rsidR="00944E99">
        <w:t xml:space="preserve">) </w:t>
      </w:r>
      <w:r w:rsidR="00CD3CC5">
        <w:t>are highly subjective</w:t>
      </w:r>
      <w:r w:rsidR="00CD3CC5" w:rsidRPr="00BC666E">
        <w:t xml:space="preserve">. </w:t>
      </w:r>
      <w:r w:rsidR="00211698">
        <w:t>In</w:t>
      </w:r>
      <w:r w:rsidR="00893F34">
        <w:t xml:space="preserve"> this paper </w:t>
      </w:r>
      <w:r w:rsidR="00944E99">
        <w:t xml:space="preserve">we </w:t>
      </w:r>
      <w:r w:rsidR="00CD3CC5" w:rsidRPr="00BC666E">
        <w:t xml:space="preserve">don’t speculate on </w:t>
      </w:r>
      <w:r w:rsidR="00CD3CC5">
        <w:t xml:space="preserve">the </w:t>
      </w:r>
      <w:r w:rsidR="00CD3CC5" w:rsidRPr="00BC666E">
        <w:t>suitabi</w:t>
      </w:r>
      <w:r w:rsidR="00CD3CC5">
        <w:t>lity of various</w:t>
      </w:r>
      <w:r w:rsidR="00893F34">
        <w:t xml:space="preserve"> potential</w:t>
      </w:r>
      <w:r w:rsidR="00CD3CC5">
        <w:t xml:space="preserve"> </w:t>
      </w:r>
      <w:r w:rsidR="00CD3CC5" w:rsidRPr="00BC666E">
        <w:t>counterfactuals</w:t>
      </w:r>
      <w:r w:rsidR="00893F34">
        <w:t xml:space="preserve">, </w:t>
      </w:r>
      <w:r w:rsidR="00944E99">
        <w:t xml:space="preserve">or </w:t>
      </w:r>
      <w:r w:rsidR="00CD3CC5">
        <w:t xml:space="preserve">attempt to isolate the </w:t>
      </w:r>
      <w:r w:rsidR="00944E99">
        <w:t xml:space="preserve">marginal </w:t>
      </w:r>
      <w:r w:rsidR="00CD3CC5">
        <w:t xml:space="preserve">effects of ‘policy decisions’ and ‘income growth’ </w:t>
      </w:r>
      <w:r w:rsidR="00944E99">
        <w:t>on</w:t>
      </w:r>
      <w:r w:rsidR="00CD3CC5">
        <w:t xml:space="preserve"> the distribution of </w:t>
      </w:r>
      <w:r w:rsidR="0006363E">
        <w:t xml:space="preserve">incomes and </w:t>
      </w:r>
      <w:r w:rsidR="00CD3CC5">
        <w:t xml:space="preserve">tax </w:t>
      </w:r>
      <w:r w:rsidR="001645EA">
        <w:t>incidence</w:t>
      </w:r>
      <w:r w:rsidR="00CD3CC5" w:rsidRPr="00BC666E">
        <w:t xml:space="preserve">. </w:t>
      </w:r>
      <w:r w:rsidR="00825E87">
        <w:t xml:space="preserve">But we do </w:t>
      </w:r>
      <w:r>
        <w:t>note that i</w:t>
      </w:r>
      <w:r w:rsidR="00944E99">
        <w:t xml:space="preserve">n the absence of counterfactuals, </w:t>
      </w:r>
      <w:r w:rsidR="00944E99" w:rsidRPr="00BC666E">
        <w:t xml:space="preserve">the reduction in </w:t>
      </w:r>
      <w:r w:rsidR="00D34D28">
        <w:t>average tax rate</w:t>
      </w:r>
      <w:r w:rsidR="00944E99" w:rsidRPr="00BC666E">
        <w:t xml:space="preserve"> for the bottom three deciles</w:t>
      </w:r>
      <w:r w:rsidR="00E46FFB">
        <w:t>,</w:t>
      </w:r>
      <w:r w:rsidR="00944E99">
        <w:t xml:space="preserve"> </w:t>
      </w:r>
      <w:r w:rsidR="00893F34">
        <w:t xml:space="preserve">despite </w:t>
      </w:r>
      <w:r w:rsidR="00D34D28">
        <w:t xml:space="preserve">strongly </w:t>
      </w:r>
      <w:r w:rsidR="00893F34">
        <w:t>growing incomes</w:t>
      </w:r>
      <w:r w:rsidR="00E46FFB">
        <w:t>,</w:t>
      </w:r>
      <w:r w:rsidR="00893F34">
        <w:t xml:space="preserve"> </w:t>
      </w:r>
      <w:r w:rsidR="00944E99" w:rsidRPr="00BC666E">
        <w:t>provides</w:t>
      </w:r>
      <w:r w:rsidR="00D34D28">
        <w:t xml:space="preserve"> evidence that policy has resulted in reduced tax incidence for low income earners. Interpreting </w:t>
      </w:r>
      <w:r w:rsidR="00944E99" w:rsidRPr="00BC666E">
        <w:t>the</w:t>
      </w:r>
      <w:r w:rsidR="00642DAD">
        <w:t xml:space="preserve"> impact of policy from</w:t>
      </w:r>
      <w:r w:rsidR="00944E99">
        <w:t xml:space="preserve"> summary</w:t>
      </w:r>
      <w:r w:rsidR="00944E99" w:rsidRPr="00BC666E">
        <w:t xml:space="preserve"> statistics for the rest of the </w:t>
      </w:r>
      <w:r w:rsidR="00642DAD">
        <w:t xml:space="preserve">income tax paying </w:t>
      </w:r>
      <w:r w:rsidR="00944E99" w:rsidRPr="00BC666E">
        <w:t xml:space="preserve">population, where incomes and </w:t>
      </w:r>
      <w:r w:rsidR="00642DAD">
        <w:t xml:space="preserve">average </w:t>
      </w:r>
      <w:r w:rsidR="00944E99" w:rsidRPr="00BC666E">
        <w:t>tax rates have both increased</w:t>
      </w:r>
      <w:r w:rsidR="00D34D28">
        <w:t>, is less clear</w:t>
      </w:r>
      <w:r w:rsidR="00944E99">
        <w:t>.</w:t>
      </w:r>
    </w:p>
    <w:p w14:paraId="3E9E638B" w14:textId="71EBC2EF" w:rsidR="00CE6D19" w:rsidRDefault="002506BA" w:rsidP="00AB5CD6">
      <w:r>
        <w:t>To better</w:t>
      </w:r>
      <w:r w:rsidR="00B02068">
        <w:t xml:space="preserve"> understand the drivers </w:t>
      </w:r>
      <w:r w:rsidR="000A1B23">
        <w:t xml:space="preserve">of </w:t>
      </w:r>
      <w:r w:rsidR="008C0874">
        <w:t xml:space="preserve">taxable </w:t>
      </w:r>
      <w:r w:rsidR="00B02068">
        <w:t xml:space="preserve">income growth, </w:t>
      </w:r>
      <w:r w:rsidR="00007F37">
        <w:t xml:space="preserve">we </w:t>
      </w:r>
      <w:r w:rsidR="00510630">
        <w:t xml:space="preserve">further </w:t>
      </w:r>
      <w:r w:rsidR="00007F37">
        <w:t xml:space="preserve">deconstruct </w:t>
      </w:r>
      <w:r w:rsidR="00B02068">
        <w:t xml:space="preserve">the </w:t>
      </w:r>
      <w:r w:rsidR="00220FF5">
        <w:t>22-year</w:t>
      </w:r>
      <w:r w:rsidR="00B02068">
        <w:t xml:space="preserve"> period into three </w:t>
      </w:r>
      <w:r w:rsidR="00335056">
        <w:t xml:space="preserve">different </w:t>
      </w:r>
      <w:r w:rsidR="00E836E7">
        <w:t>periods: 1994-95 to 2002-03; 2002</w:t>
      </w:r>
      <w:r w:rsidR="00B02068">
        <w:t>-0</w:t>
      </w:r>
      <w:r w:rsidR="00E836E7">
        <w:t>3</w:t>
      </w:r>
      <w:r w:rsidR="00B02068">
        <w:t xml:space="preserve"> to 200</w:t>
      </w:r>
      <w:r w:rsidR="00E836E7">
        <w:t>7</w:t>
      </w:r>
      <w:r w:rsidR="00B02068">
        <w:t>-08</w:t>
      </w:r>
      <w:r w:rsidR="00007F37">
        <w:t xml:space="preserve"> (the mining boom period)</w:t>
      </w:r>
      <w:r w:rsidR="00B02068">
        <w:t>; and 200</w:t>
      </w:r>
      <w:r w:rsidR="00E836E7">
        <w:t>7</w:t>
      </w:r>
      <w:r w:rsidR="00B02068">
        <w:noBreakHyphen/>
        <w:t>0</w:t>
      </w:r>
      <w:r w:rsidR="00E836E7">
        <w:t>8</w:t>
      </w:r>
      <w:r w:rsidR="0066772A">
        <w:t xml:space="preserve"> </w:t>
      </w:r>
      <w:r w:rsidR="00B02068">
        <w:t>to 201</w:t>
      </w:r>
      <w:r w:rsidR="0066772A">
        <w:t>5</w:t>
      </w:r>
      <w:r w:rsidR="00B02068">
        <w:t>-1</w:t>
      </w:r>
      <w:r w:rsidR="0066772A">
        <w:t>6</w:t>
      </w:r>
      <w:r w:rsidR="00007F37">
        <w:t xml:space="preserve"> (the</w:t>
      </w:r>
      <w:r w:rsidR="001A1F0B">
        <w:t xml:space="preserve"> global financial crisis and</w:t>
      </w:r>
      <w:r w:rsidR="00007F37">
        <w:t xml:space="preserve"> post-global financial crisis period)</w:t>
      </w:r>
      <w:r w:rsidR="00DD6DA8">
        <w:t xml:space="preserve"> </w:t>
      </w:r>
      <w:r w:rsidR="00B02068">
        <w:t xml:space="preserve">(Chart </w:t>
      </w:r>
      <w:r w:rsidR="000A1B23">
        <w:t>6</w:t>
      </w:r>
      <w:r w:rsidR="00B02068">
        <w:t xml:space="preserve">). </w:t>
      </w:r>
      <w:r w:rsidR="00551097">
        <w:t xml:space="preserve">There has been a stronger average annual taxable income growth in the top decile, relative to most deciles, across </w:t>
      </w:r>
      <w:r w:rsidR="008F37D2">
        <w:t>the</w:t>
      </w:r>
      <w:r w:rsidR="00551097">
        <w:t xml:space="preserve"> three periods</w:t>
      </w:r>
      <w:r w:rsidR="008F37D2">
        <w:t xml:space="preserve"> although this has moderated since 2007-08</w:t>
      </w:r>
      <w:r w:rsidR="008C0874">
        <w:t xml:space="preserve">. </w:t>
      </w:r>
      <w:r w:rsidR="00306DF8">
        <w:t xml:space="preserve">There has also been a </w:t>
      </w:r>
      <w:r w:rsidR="00551097">
        <w:t xml:space="preserve">relatively fast </w:t>
      </w:r>
      <w:r w:rsidR="002F0F1A">
        <w:t xml:space="preserve">taxable income </w:t>
      </w:r>
      <w:r w:rsidR="00551097">
        <w:t xml:space="preserve">growth </w:t>
      </w:r>
      <w:r w:rsidR="002F0F1A">
        <w:t xml:space="preserve">experienced by the lowest decile </w:t>
      </w:r>
      <w:r w:rsidR="00975F36">
        <w:t>in the lead up</w:t>
      </w:r>
      <w:r w:rsidR="000A1B23">
        <w:t xml:space="preserve"> to,</w:t>
      </w:r>
      <w:r w:rsidR="00975F36">
        <w:t xml:space="preserve"> and during</w:t>
      </w:r>
      <w:r w:rsidR="000A1B23">
        <w:t>,</w:t>
      </w:r>
      <w:r w:rsidR="00975F36">
        <w:t xml:space="preserve"> </w:t>
      </w:r>
      <w:r w:rsidR="00551097">
        <w:t>the global financial cris</w:t>
      </w:r>
      <w:r w:rsidR="00DD4343">
        <w:t>i</w:t>
      </w:r>
      <w:r w:rsidR="00551097">
        <w:t>s</w:t>
      </w:r>
      <w:r w:rsidR="001C41B1">
        <w:t>.</w:t>
      </w:r>
      <w:r w:rsidR="00DD4343">
        <w:t xml:space="preserve"> </w:t>
      </w:r>
      <w:r w:rsidR="00326E28">
        <w:t>G</w:t>
      </w:r>
      <w:r w:rsidR="001C41B1">
        <w:t>rowth at the bottom</w:t>
      </w:r>
      <w:r w:rsidR="00335056">
        <w:t xml:space="preserve"> deciles</w:t>
      </w:r>
      <w:r w:rsidR="001C41B1">
        <w:t xml:space="preserve"> </w:t>
      </w:r>
      <w:r w:rsidR="00DD4343">
        <w:t xml:space="preserve">may </w:t>
      </w:r>
      <w:r w:rsidR="00B02068">
        <w:t>partly reflect cumulative increases in the effective tax-free threshold between</w:t>
      </w:r>
      <w:r w:rsidR="00335056">
        <w:t> </w:t>
      </w:r>
      <w:r w:rsidR="00B02068">
        <w:t>2003-04 and 2012-13</w:t>
      </w:r>
      <w:r w:rsidR="00335056">
        <w:t>,</w:t>
      </w:r>
      <w:r w:rsidR="001C41B1">
        <w:t xml:space="preserve"> which may have been </w:t>
      </w:r>
      <w:r w:rsidR="00630B78">
        <w:t>greater</w:t>
      </w:r>
      <w:r w:rsidR="001C41B1">
        <w:t xml:space="preserve"> than taxable income growth would otherwise have </w:t>
      </w:r>
      <w:r w:rsidR="00630B78">
        <w:t xml:space="preserve">been </w:t>
      </w:r>
      <w:r w:rsidR="0066772A">
        <w:t>(</w:t>
      </w:r>
      <w:r w:rsidR="00873BA1">
        <w:t>s</w:t>
      </w:r>
      <w:r w:rsidR="0066772A">
        <w:t>ee Appendix for annual rates and thresholds between 1994-95 and 2015-16)</w:t>
      </w:r>
      <w:r w:rsidR="00070BB3">
        <w:t>.</w:t>
      </w:r>
    </w:p>
    <w:p w14:paraId="3E9E638C" w14:textId="77777777" w:rsidR="00B02068" w:rsidRDefault="00B02068" w:rsidP="0005796A">
      <w:pPr>
        <w:pStyle w:val="ChartMainHeading"/>
      </w:pPr>
      <w:r w:rsidRPr="009B10D5">
        <w:lastRenderedPageBreak/>
        <w:t xml:space="preserve">Chart </w:t>
      </w:r>
      <w:r w:rsidR="004E0DE0">
        <w:t>6</w:t>
      </w:r>
      <w:r w:rsidRPr="009B10D5">
        <w:t>.</w:t>
      </w:r>
      <w:r>
        <w:t xml:space="preserve"> Growth in taxable incomes, by decile, 1994-95 to 201</w:t>
      </w:r>
      <w:r w:rsidR="0066772A">
        <w:t>5</w:t>
      </w:r>
      <w:r>
        <w:t>-1</w:t>
      </w:r>
      <w:r w:rsidR="0066772A">
        <w:t>6</w:t>
      </w:r>
      <w:r>
        <w:t>.</w:t>
      </w:r>
    </w:p>
    <w:p w14:paraId="3E9E638D" w14:textId="77777777" w:rsidR="00975F36" w:rsidRDefault="008A3745" w:rsidP="00F56991">
      <w:pPr>
        <w:pStyle w:val="ChartGraphic"/>
      </w:pPr>
      <w:r>
        <w:rPr>
          <w:noProof/>
        </w:rPr>
        <w:drawing>
          <wp:inline distT="0" distB="0" distL="0" distR="0" wp14:anchorId="3E9E63E2" wp14:editId="3E9E63E3">
            <wp:extent cx="5904230" cy="2850515"/>
            <wp:effectExtent l="0" t="0" r="1270" b="698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E9E638E" w14:textId="171B84D1" w:rsidR="00007F37" w:rsidRDefault="00007F37" w:rsidP="005821AB">
      <w:pPr>
        <w:pStyle w:val="ChartorTableNote"/>
      </w:pPr>
      <w:r>
        <w:t xml:space="preserve">Source: </w:t>
      </w:r>
      <w:r w:rsidR="00F13F01">
        <w:t>Australian Taxation Statistics, author calculations</w:t>
      </w:r>
      <w:r w:rsidR="000A1B23">
        <w:t>.</w:t>
      </w:r>
    </w:p>
    <w:p w14:paraId="15C2F9B4" w14:textId="77777777" w:rsidR="005821AB" w:rsidRDefault="005821AB" w:rsidP="005821AB">
      <w:pPr>
        <w:pStyle w:val="SingleParagraph"/>
      </w:pPr>
    </w:p>
    <w:p w14:paraId="3E9E638F" w14:textId="77777777" w:rsidR="00335056" w:rsidRDefault="00335056" w:rsidP="00AB5CD6">
      <w:r>
        <w:t xml:space="preserve">Overall, </w:t>
      </w:r>
      <w:r w:rsidR="00211698">
        <w:t xml:space="preserve">our analysis </w:t>
      </w:r>
      <w:r>
        <w:t>suggest</w:t>
      </w:r>
      <w:r w:rsidR="00211698">
        <w:t>s</w:t>
      </w:r>
      <w:r>
        <w:t xml:space="preserve"> that the combined effect of changes to marginal income tax rates and rising incomes between 1994</w:t>
      </w:r>
      <w:r>
        <w:noBreakHyphen/>
        <w:t xml:space="preserve">95 and 2015-16 has been: </w:t>
      </w:r>
    </w:p>
    <w:p w14:paraId="3E9E6390" w14:textId="77777777" w:rsidR="00335056" w:rsidRDefault="00335056" w:rsidP="00335056">
      <w:pPr>
        <w:pStyle w:val="Bullet"/>
        <w:keepNext w:val="0"/>
        <w:numPr>
          <w:ilvl w:val="0"/>
          <w:numId w:val="39"/>
        </w:numPr>
        <w:spacing w:after="200" w:line="276" w:lineRule="auto"/>
        <w:rPr>
          <w:lang w:val="en-US" w:eastAsia="en-AU"/>
        </w:rPr>
      </w:pPr>
      <w:r>
        <w:rPr>
          <w:lang w:val="en-US" w:eastAsia="en-AU"/>
        </w:rPr>
        <w:t>lower average tax rates for the bottom three deciles (1</w:t>
      </w:r>
      <w:r w:rsidRPr="00F260E6">
        <w:rPr>
          <w:vertAlign w:val="superscript"/>
          <w:lang w:val="en-US" w:eastAsia="en-AU"/>
        </w:rPr>
        <w:t>st</w:t>
      </w:r>
      <w:r>
        <w:rPr>
          <w:lang w:val="en-US" w:eastAsia="en-AU"/>
        </w:rPr>
        <w:t xml:space="preserve"> to 3</w:t>
      </w:r>
      <w:r w:rsidRPr="00F260E6">
        <w:rPr>
          <w:vertAlign w:val="superscript"/>
          <w:lang w:val="en-US" w:eastAsia="en-AU"/>
        </w:rPr>
        <w:t>rd</w:t>
      </w:r>
      <w:r>
        <w:rPr>
          <w:lang w:val="en-US" w:eastAsia="en-AU"/>
        </w:rPr>
        <w:t>);</w:t>
      </w:r>
    </w:p>
    <w:p w14:paraId="3E9E6391" w14:textId="77777777" w:rsidR="00335056" w:rsidRPr="00E56742" w:rsidRDefault="00335056" w:rsidP="00335056">
      <w:pPr>
        <w:pStyle w:val="Bullet"/>
        <w:keepNext w:val="0"/>
        <w:numPr>
          <w:ilvl w:val="0"/>
          <w:numId w:val="39"/>
        </w:numPr>
        <w:spacing w:after="200" w:line="276" w:lineRule="auto"/>
        <w:rPr>
          <w:lang w:val="en-US" w:eastAsia="en-AU"/>
        </w:rPr>
      </w:pPr>
      <w:r>
        <w:rPr>
          <w:lang w:val="en-US" w:eastAsia="en-AU"/>
        </w:rPr>
        <w:t xml:space="preserve">approximately the same or small increases (between 0 and 1 percentage points) in average tax rates </w:t>
      </w:r>
      <w:r w:rsidRPr="00E56742">
        <w:rPr>
          <w:lang w:val="en-US" w:eastAsia="en-AU"/>
        </w:rPr>
        <w:t>for the middle four deciles (4</w:t>
      </w:r>
      <w:r w:rsidRPr="00E56742">
        <w:rPr>
          <w:vertAlign w:val="superscript"/>
          <w:lang w:val="en-US" w:eastAsia="en-AU"/>
        </w:rPr>
        <w:t>th</w:t>
      </w:r>
      <w:r w:rsidRPr="00E56742">
        <w:rPr>
          <w:lang w:val="en-US" w:eastAsia="en-AU"/>
        </w:rPr>
        <w:t xml:space="preserve"> to 7</w:t>
      </w:r>
      <w:r w:rsidRPr="00E56742">
        <w:rPr>
          <w:vertAlign w:val="superscript"/>
          <w:lang w:val="en-US" w:eastAsia="en-AU"/>
        </w:rPr>
        <w:t>th</w:t>
      </w:r>
      <w:r w:rsidRPr="00E56742">
        <w:rPr>
          <w:lang w:val="en-US" w:eastAsia="en-AU"/>
        </w:rPr>
        <w:t xml:space="preserve">); and </w:t>
      </w:r>
    </w:p>
    <w:p w14:paraId="3E9E6392" w14:textId="77777777" w:rsidR="00335056" w:rsidRDefault="00335056" w:rsidP="00335056">
      <w:pPr>
        <w:pStyle w:val="Bullet"/>
        <w:keepNext w:val="0"/>
        <w:numPr>
          <w:ilvl w:val="0"/>
          <w:numId w:val="39"/>
        </w:numPr>
        <w:spacing w:after="200" w:line="276" w:lineRule="auto"/>
        <w:rPr>
          <w:lang w:val="en-US" w:eastAsia="en-AU"/>
        </w:rPr>
      </w:pPr>
      <w:r>
        <w:rPr>
          <w:lang w:val="en-US" w:eastAsia="en-AU"/>
        </w:rPr>
        <w:t>higher (by more than one percentage point) average tax rates for the top three deciles (8</w:t>
      </w:r>
      <w:r w:rsidRPr="00F260E6">
        <w:rPr>
          <w:vertAlign w:val="superscript"/>
          <w:lang w:val="en-US" w:eastAsia="en-AU"/>
        </w:rPr>
        <w:t>th</w:t>
      </w:r>
      <w:r>
        <w:rPr>
          <w:lang w:val="en-US" w:eastAsia="en-AU"/>
        </w:rPr>
        <w:t xml:space="preserve"> to 10</w:t>
      </w:r>
      <w:r w:rsidRPr="00F260E6">
        <w:rPr>
          <w:vertAlign w:val="superscript"/>
          <w:lang w:val="en-US" w:eastAsia="en-AU"/>
        </w:rPr>
        <w:t>th</w:t>
      </w:r>
      <w:r>
        <w:rPr>
          <w:lang w:val="en-US" w:eastAsia="en-AU"/>
        </w:rPr>
        <w:t>), and a significantly higher (5 percentage point) increase in the average tax rate for the top decile.</w:t>
      </w:r>
    </w:p>
    <w:p w14:paraId="3E9E6393" w14:textId="77777777" w:rsidR="00335056" w:rsidRDefault="00335056" w:rsidP="00AB5CD6">
      <w:r>
        <w:t xml:space="preserve">The higher average tax rates faced by top income earners, approximately the same or small increases in average tax rates faced by middle income earners, and lower average tax rates faced by lower income earners </w:t>
      </w:r>
      <w:r w:rsidR="00E816B0">
        <w:t xml:space="preserve">is </w:t>
      </w:r>
      <w:r>
        <w:t>suggest</w:t>
      </w:r>
      <w:r w:rsidR="00E816B0">
        <w:t>ive</w:t>
      </w:r>
      <w:r w:rsidR="00594959">
        <w:t xml:space="preserve"> of</w:t>
      </w:r>
      <w:r>
        <w:t xml:space="preserve"> </w:t>
      </w:r>
      <w:r w:rsidR="00825E87">
        <w:t>overall personal income tax</w:t>
      </w:r>
      <w:r>
        <w:t xml:space="preserve"> progressivity </w:t>
      </w:r>
      <w:r w:rsidR="00594959">
        <w:t xml:space="preserve">having </w:t>
      </w:r>
      <w:r>
        <w:t xml:space="preserve">increased. </w:t>
      </w:r>
    </w:p>
    <w:p w14:paraId="3E9E6394" w14:textId="77777777" w:rsidR="00B02068" w:rsidRDefault="00F26992" w:rsidP="005821AB">
      <w:pPr>
        <w:pStyle w:val="Heading3"/>
      </w:pPr>
      <w:r>
        <w:t>Tax concentration</w:t>
      </w:r>
    </w:p>
    <w:p w14:paraId="3E9E6395" w14:textId="77777777" w:rsidR="00F13F01" w:rsidRDefault="00825E87" w:rsidP="00AB5CD6">
      <w:r>
        <w:t xml:space="preserve">Some tax concentration metrics reinforce the idea of increased progressivity. </w:t>
      </w:r>
      <w:r w:rsidR="00B02068">
        <w:t>The taxpayer base has narrowed</w:t>
      </w:r>
      <w:r w:rsidR="00551097">
        <w:t xml:space="preserve"> between 1994-95 and 201</w:t>
      </w:r>
      <w:r w:rsidR="00766F21">
        <w:t>5</w:t>
      </w:r>
      <w:r w:rsidR="00551097">
        <w:t>-1</w:t>
      </w:r>
      <w:r w:rsidR="00766F21">
        <w:t>6</w:t>
      </w:r>
      <w:r w:rsidR="00F86F79">
        <w:t>,</w:t>
      </w:r>
      <w:r w:rsidR="00D60B60">
        <w:t xml:space="preserve"> with the share of </w:t>
      </w:r>
      <w:r w:rsidR="00B02068">
        <w:t>personal income taxpayers in the population aged over 18 declin</w:t>
      </w:r>
      <w:r w:rsidR="00D60B60">
        <w:t xml:space="preserve">ing by almost </w:t>
      </w:r>
      <w:r w:rsidR="00BF507D">
        <w:t>5</w:t>
      </w:r>
      <w:r w:rsidR="00A31AF3">
        <w:t xml:space="preserve"> </w:t>
      </w:r>
      <w:r w:rsidR="00766F21">
        <w:t xml:space="preserve">percentage points </w:t>
      </w:r>
      <w:r w:rsidR="00BF507D">
        <w:t>over this period</w:t>
      </w:r>
      <w:r w:rsidR="00B02068">
        <w:t xml:space="preserve"> (Chart </w:t>
      </w:r>
      <w:r w:rsidR="00DD5576">
        <w:t>7</w:t>
      </w:r>
      <w:r w:rsidR="00B02068">
        <w:t xml:space="preserve">). </w:t>
      </w:r>
      <w:r w:rsidR="00F13F01">
        <w:t xml:space="preserve">This most likely </w:t>
      </w:r>
      <w:r w:rsidR="00F13F01">
        <w:rPr>
          <w:lang w:val="en-US" w:eastAsia="en-AU"/>
        </w:rPr>
        <w:t>reflects a number of factors, including</w:t>
      </w:r>
      <w:r w:rsidR="002F0F1A">
        <w:rPr>
          <w:lang w:val="en-US" w:eastAsia="en-AU"/>
        </w:rPr>
        <w:t>,</w:t>
      </w:r>
      <w:r w:rsidR="00F13F01">
        <w:rPr>
          <w:lang w:val="en-US" w:eastAsia="en-AU"/>
        </w:rPr>
        <w:t xml:space="preserve"> for example:</w:t>
      </w:r>
      <w:r w:rsidR="00F13F01" w:rsidRPr="007E5B92">
        <w:t xml:space="preserve"> </w:t>
      </w:r>
    </w:p>
    <w:p w14:paraId="3E9E6396" w14:textId="77777777" w:rsidR="00C308D4" w:rsidRDefault="00C308D4" w:rsidP="00C308D4">
      <w:pPr>
        <w:pStyle w:val="Bullet"/>
        <w:keepNext w:val="0"/>
        <w:numPr>
          <w:ilvl w:val="0"/>
          <w:numId w:val="39"/>
        </w:numPr>
        <w:spacing w:after="200" w:line="276" w:lineRule="auto"/>
        <w:jc w:val="both"/>
      </w:pPr>
      <w:r w:rsidRPr="00C94B85">
        <w:t>decisions to narrow the</w:t>
      </w:r>
      <w:r>
        <w:t xml:space="preserve"> personal income</w:t>
      </w:r>
      <w:r w:rsidRPr="00C94B85">
        <w:t xml:space="preserve"> tax base </w:t>
      </w:r>
      <w:r>
        <w:t xml:space="preserve">by </w:t>
      </w:r>
      <w:r w:rsidRPr="00C94B85">
        <w:t>exclud</w:t>
      </w:r>
      <w:r>
        <w:t>ing</w:t>
      </w:r>
      <w:r w:rsidRPr="00C94B85">
        <w:t xml:space="preserve"> low-income earners from the need to file a tax return</w:t>
      </w:r>
      <w:r>
        <w:t>;</w:t>
      </w:r>
      <w:r>
        <w:rPr>
          <w:rStyle w:val="FootnoteReference"/>
        </w:rPr>
        <w:footnoteReference w:id="18"/>
      </w:r>
      <w:r>
        <w:t xml:space="preserve"> </w:t>
      </w:r>
    </w:p>
    <w:p w14:paraId="3E9E6397" w14:textId="77777777" w:rsidR="00C308D4" w:rsidRDefault="00F13F01" w:rsidP="00F13F01">
      <w:pPr>
        <w:pStyle w:val="Bullet"/>
        <w:keepNext w:val="0"/>
        <w:numPr>
          <w:ilvl w:val="0"/>
          <w:numId w:val="39"/>
        </w:numPr>
        <w:spacing w:after="200" w:line="276" w:lineRule="auto"/>
        <w:jc w:val="both"/>
      </w:pPr>
      <w:r w:rsidRPr="00C94B85">
        <w:t>the global financial crisis</w:t>
      </w:r>
      <w:r w:rsidR="002F0F1A">
        <w:t>,</w:t>
      </w:r>
      <w:r w:rsidRPr="00C94B85">
        <w:t xml:space="preserve"> which saw a significant reduction in personal tax returns </w:t>
      </w:r>
      <w:r w:rsidR="00551097">
        <w:t>for</w:t>
      </w:r>
      <w:r w:rsidRPr="00C94B85">
        <w:t xml:space="preserve"> some low</w:t>
      </w:r>
      <w:r>
        <w:noBreakHyphen/>
      </w:r>
      <w:r w:rsidRPr="00C94B85">
        <w:t xml:space="preserve">income </w:t>
      </w:r>
      <w:r>
        <w:t>categories from 2008-09 onwards;</w:t>
      </w:r>
      <w:r w:rsidR="00CD6C3D">
        <w:t xml:space="preserve"> and</w:t>
      </w:r>
      <w:r w:rsidR="00C308D4" w:rsidRPr="00C308D4">
        <w:t xml:space="preserve"> </w:t>
      </w:r>
    </w:p>
    <w:p w14:paraId="3E9E6398" w14:textId="77777777" w:rsidR="00F13F01" w:rsidRDefault="00C308D4" w:rsidP="00F13F01">
      <w:pPr>
        <w:pStyle w:val="Bullet"/>
        <w:keepNext w:val="0"/>
        <w:numPr>
          <w:ilvl w:val="0"/>
          <w:numId w:val="39"/>
        </w:numPr>
        <w:spacing w:after="200" w:line="276" w:lineRule="auto"/>
        <w:jc w:val="both"/>
      </w:pPr>
      <w:r w:rsidRPr="00C94B85">
        <w:lastRenderedPageBreak/>
        <w:t xml:space="preserve">an ageing population </w:t>
      </w:r>
      <w:r>
        <w:t xml:space="preserve">and </w:t>
      </w:r>
      <w:r w:rsidRPr="00C94B85">
        <w:t>increasing prominence of tax-free retirement incomes</w:t>
      </w:r>
      <w:r>
        <w:t xml:space="preserve"> following the introduction of the superannuation reforms of 2006-07.</w:t>
      </w:r>
    </w:p>
    <w:p w14:paraId="3E9E6399" w14:textId="77777777" w:rsidR="00B02068" w:rsidRDefault="00B02068" w:rsidP="0005796A">
      <w:pPr>
        <w:pStyle w:val="ChartMainHeading"/>
      </w:pPr>
      <w:r w:rsidRPr="00C80886">
        <w:t xml:space="preserve">Chart </w:t>
      </w:r>
      <w:r w:rsidR="0094638E">
        <w:t>7</w:t>
      </w:r>
      <w:r>
        <w:t>.</w:t>
      </w:r>
      <w:r w:rsidRPr="007327C0">
        <w:t xml:space="preserve"> </w:t>
      </w:r>
      <w:r w:rsidRPr="002A2DA3">
        <w:t>Proportion of personal income taxpayers in the over-1</w:t>
      </w:r>
      <w:r>
        <w:t>8</w:t>
      </w:r>
      <w:r w:rsidRPr="002A2DA3">
        <w:t xml:space="preserve"> population, 1994-95 to 201</w:t>
      </w:r>
      <w:r w:rsidR="00C80621">
        <w:t>5</w:t>
      </w:r>
      <w:r w:rsidRPr="002A2DA3">
        <w:t>-1</w:t>
      </w:r>
      <w:r w:rsidR="00C80621">
        <w:t>6</w:t>
      </w:r>
    </w:p>
    <w:p w14:paraId="3E9E639A" w14:textId="77777777" w:rsidR="00B02068" w:rsidRDefault="00BF507D" w:rsidP="00F56991">
      <w:pPr>
        <w:pStyle w:val="ChartGraphic"/>
      </w:pPr>
      <w:r>
        <w:rPr>
          <w:noProof/>
        </w:rPr>
        <w:drawing>
          <wp:inline distT="0" distB="0" distL="0" distR="0" wp14:anchorId="3E9E63E4" wp14:editId="3E9E63E5">
            <wp:extent cx="5580000" cy="2520000"/>
            <wp:effectExtent l="0" t="0" r="19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E9E639B" w14:textId="5D836C2F" w:rsidR="004703CB" w:rsidRDefault="004703CB" w:rsidP="005821AB">
      <w:pPr>
        <w:pStyle w:val="ChartorTableNote"/>
      </w:pPr>
      <w:r w:rsidRPr="004703CB">
        <w:t xml:space="preserve">Source: Australian </w:t>
      </w:r>
      <w:r>
        <w:t>Taxation Statistics</w:t>
      </w:r>
      <w:r w:rsidR="00A31AF3">
        <w:t>, Australian Bureau of Statistics</w:t>
      </w:r>
    </w:p>
    <w:p w14:paraId="15DA3D17" w14:textId="77777777" w:rsidR="005821AB" w:rsidRPr="004703CB" w:rsidRDefault="005821AB" w:rsidP="005821AB">
      <w:pPr>
        <w:pStyle w:val="SingleParagraph"/>
      </w:pPr>
    </w:p>
    <w:p w14:paraId="3E9E639C" w14:textId="39998EA0" w:rsidR="006959C2" w:rsidRDefault="00E02DCD" w:rsidP="00AB5CD6">
      <w:r>
        <w:t>In addition</w:t>
      </w:r>
      <w:r w:rsidR="00CE6D19">
        <w:t xml:space="preserve"> to </w:t>
      </w:r>
      <w:r w:rsidR="00594959">
        <w:t>the overall</w:t>
      </w:r>
      <w:r w:rsidR="00CE6D19">
        <w:t xml:space="preserve"> falling share</w:t>
      </w:r>
      <w:r w:rsidR="00F13F01">
        <w:t xml:space="preserve"> of personal income taxpayers</w:t>
      </w:r>
      <w:r w:rsidR="00CE6D19">
        <w:t xml:space="preserve">, </w:t>
      </w:r>
      <w:r w:rsidR="00FA0921">
        <w:t xml:space="preserve">there </w:t>
      </w:r>
      <w:r w:rsidR="00594959">
        <w:t>appear</w:t>
      </w:r>
      <w:r w:rsidR="00FA0921">
        <w:t>s</w:t>
      </w:r>
      <w:r w:rsidR="00594959">
        <w:t xml:space="preserve"> to be</w:t>
      </w:r>
      <w:r w:rsidR="009E6D70">
        <w:t xml:space="preserve"> an increasing</w:t>
      </w:r>
      <w:r w:rsidR="00B02068">
        <w:t xml:space="preserve"> concentration of </w:t>
      </w:r>
      <w:r w:rsidR="009E6D70">
        <w:t xml:space="preserve">the </w:t>
      </w:r>
      <w:r w:rsidR="00B02068">
        <w:t xml:space="preserve">personal income tax </w:t>
      </w:r>
      <w:r w:rsidR="001645EA">
        <w:t>incidence</w:t>
      </w:r>
      <w:r w:rsidR="00B02068">
        <w:t xml:space="preserve"> </w:t>
      </w:r>
      <w:r w:rsidR="001645EA">
        <w:t>on</w:t>
      </w:r>
      <w:r w:rsidR="00B02068">
        <w:t xml:space="preserve"> those on higher taxable incomes</w:t>
      </w:r>
      <w:r w:rsidR="00FA0A3C">
        <w:t xml:space="preserve">, and reducing tax </w:t>
      </w:r>
      <w:r w:rsidR="001645EA">
        <w:t xml:space="preserve">incidence on </w:t>
      </w:r>
      <w:r w:rsidR="00FA0A3C">
        <w:t>those in the bottom half of the income distribution</w:t>
      </w:r>
      <w:r w:rsidR="009E6D70">
        <w:t xml:space="preserve"> (Chart </w:t>
      </w:r>
      <w:r w:rsidR="001740C1">
        <w:t>8a and 8b</w:t>
      </w:r>
      <w:r w:rsidR="009E6D70">
        <w:t>)</w:t>
      </w:r>
      <w:r w:rsidR="00B02068">
        <w:t xml:space="preserve">. </w:t>
      </w:r>
      <w:r w:rsidR="009E6D70">
        <w:t xml:space="preserve">In particular, the </w:t>
      </w:r>
      <w:r w:rsidR="00B02068">
        <w:t xml:space="preserve">share of taxable income accruing to the top </w:t>
      </w:r>
      <w:r w:rsidR="009E6D70">
        <w:t>decile</w:t>
      </w:r>
      <w:r w:rsidR="00B02068">
        <w:t xml:space="preserve"> of taxpayers increased by 5 perc</w:t>
      </w:r>
      <w:r w:rsidR="005760BD">
        <w:t xml:space="preserve">entage points, while </w:t>
      </w:r>
      <w:r w:rsidR="009E6D70">
        <w:t>the share of revenue collected increas</w:t>
      </w:r>
      <w:r w:rsidR="0082406B">
        <w:t>ed</w:t>
      </w:r>
      <w:r w:rsidR="009E6D70">
        <w:t xml:space="preserve"> by 9 percentage points.</w:t>
      </w:r>
      <w:r w:rsidR="00551097">
        <w:t xml:space="preserve"> </w:t>
      </w:r>
      <w:r w:rsidR="00B02068">
        <w:t xml:space="preserve">The increasing tax concentration, beyond trends in taxable income growth, appears to be particularly influenced by the </w:t>
      </w:r>
      <w:r w:rsidR="00594959">
        <w:t xml:space="preserve">income tax compensation designed as part of the </w:t>
      </w:r>
      <w:r w:rsidR="00B02068">
        <w:t>introduction of the GST</w:t>
      </w:r>
      <w:r w:rsidR="00594959">
        <w:t>,</w:t>
      </w:r>
      <w:r w:rsidR="00B02068">
        <w:t xml:space="preserve"> and the mining boom, with a subsequent share stabilisation since the global financial crisis. </w:t>
      </w:r>
    </w:p>
    <w:p w14:paraId="3E9E639D" w14:textId="3E8D836A" w:rsidR="00B553DE" w:rsidRDefault="00FA717F" w:rsidP="00AB5CD6">
      <w:r>
        <w:t>The increasing concentration means that, in 2015-16, the top 5.4 per cent of the adult population (</w:t>
      </w:r>
      <w:r w:rsidR="00670F86">
        <w:t xml:space="preserve">the 10 per cent of taxpayers </w:t>
      </w:r>
      <w:r>
        <w:t xml:space="preserve">or </w:t>
      </w:r>
      <w:r w:rsidR="000A1B23">
        <w:t>the</w:t>
      </w:r>
      <w:r w:rsidR="00670F86">
        <w:t xml:space="preserve"> approximately</w:t>
      </w:r>
      <w:r w:rsidR="000A1B23">
        <w:t xml:space="preserve"> one</w:t>
      </w:r>
      <w:r>
        <w:t xml:space="preserve"> million taxpayers earning more than approximately $126,000) contributed 45 per cent of personal income tax revenues at an</w:t>
      </w:r>
      <w:r w:rsidR="00AB5CD6">
        <w:rPr>
          <w:bCs/>
        </w:rPr>
        <w:t xml:space="preserve"> average tax rate of 36 </w:t>
      </w:r>
      <w:r>
        <w:rPr>
          <w:bCs/>
        </w:rPr>
        <w:t>per</w:t>
      </w:r>
      <w:r w:rsidR="00AB5CD6">
        <w:rPr>
          <w:bCs/>
        </w:rPr>
        <w:t> </w:t>
      </w:r>
      <w:r>
        <w:rPr>
          <w:bCs/>
        </w:rPr>
        <w:t xml:space="preserve">cent. </w:t>
      </w:r>
      <w:r w:rsidR="00C308D4">
        <w:t xml:space="preserve">By contrast, in </w:t>
      </w:r>
      <w:r>
        <w:t>1994-95 the top 6</w:t>
      </w:r>
      <w:r w:rsidR="00C308D4">
        <w:t> </w:t>
      </w:r>
      <w:r>
        <w:t xml:space="preserve">per cent of the adult population </w:t>
      </w:r>
      <w:r w:rsidR="00670F86">
        <w:t xml:space="preserve">(the 10 per cent of taxpayers or approximately 800,000 taxpayers earning more than $48,750) </w:t>
      </w:r>
      <w:r>
        <w:t>contributed approximately 36 per cent of total personal income tax receipts at an average tax rate closer to 3</w:t>
      </w:r>
      <w:r w:rsidR="00A31AF3">
        <w:t>1</w:t>
      </w:r>
      <w:r>
        <w:t xml:space="preserve"> per cent.</w:t>
      </w:r>
      <w:r w:rsidR="00FA0A3C">
        <w:t xml:space="preserve"> </w:t>
      </w:r>
    </w:p>
    <w:p w14:paraId="3E9E639E" w14:textId="77777777" w:rsidR="00400BCA" w:rsidRDefault="00B553DE" w:rsidP="00AB5CD6">
      <w:r w:rsidRPr="00090E3F">
        <w:t xml:space="preserve">A </w:t>
      </w:r>
      <w:r>
        <w:t>greater</w:t>
      </w:r>
      <w:r w:rsidRPr="00090E3F">
        <w:t xml:space="preserve"> </w:t>
      </w:r>
      <w:r>
        <w:t xml:space="preserve">revenue </w:t>
      </w:r>
      <w:r w:rsidRPr="00090E3F">
        <w:t xml:space="preserve">reliance on a small number of high-income earners, paying high </w:t>
      </w:r>
      <w:r>
        <w:t>average</w:t>
      </w:r>
      <w:r w:rsidRPr="00090E3F">
        <w:t xml:space="preserve"> tax rates</w:t>
      </w:r>
      <w:r>
        <w:t>,</w:t>
      </w:r>
      <w:r w:rsidRPr="00090E3F">
        <w:t xml:space="preserve"> </w:t>
      </w:r>
      <w:r>
        <w:t xml:space="preserve">imposes two pressures on Australia’s personal income tax system. </w:t>
      </w:r>
      <w:r w:rsidR="00BE7521">
        <w:t xml:space="preserve">First, to the extent that those who face </w:t>
      </w:r>
      <w:r w:rsidR="00BE7521">
        <w:rPr>
          <w:bCs/>
        </w:rPr>
        <w:t>higher marginal personal income tax rates</w:t>
      </w:r>
      <w:r w:rsidR="00BE7521" w:rsidRPr="00E55D11">
        <w:rPr>
          <w:bCs/>
        </w:rPr>
        <w:t xml:space="preserve"> </w:t>
      </w:r>
      <w:r w:rsidR="00BE7521">
        <w:rPr>
          <w:bCs/>
        </w:rPr>
        <w:t xml:space="preserve">also face a larger </w:t>
      </w:r>
      <w:r w:rsidR="00BE7521" w:rsidRPr="00E55D11">
        <w:rPr>
          <w:bCs/>
        </w:rPr>
        <w:t>tax rate differen</w:t>
      </w:r>
      <w:r w:rsidR="00BE7521">
        <w:rPr>
          <w:bCs/>
        </w:rPr>
        <w:t xml:space="preserve">tial between their marginal tax rate on personal income and the marginal tax rate on </w:t>
      </w:r>
      <w:r w:rsidR="00BE7521" w:rsidRPr="00E55D11">
        <w:rPr>
          <w:bCs/>
        </w:rPr>
        <w:t>corporate, superannuation</w:t>
      </w:r>
      <w:r w:rsidR="00BE7521">
        <w:rPr>
          <w:bCs/>
        </w:rPr>
        <w:t>,</w:t>
      </w:r>
      <w:r w:rsidR="00BE7521" w:rsidRPr="00E55D11">
        <w:rPr>
          <w:bCs/>
        </w:rPr>
        <w:t xml:space="preserve"> and capital sources of income</w:t>
      </w:r>
      <w:r w:rsidR="00BE7521">
        <w:rPr>
          <w:bCs/>
        </w:rPr>
        <w:t xml:space="preserve">, this creates a greater incentive for taxpayers </w:t>
      </w:r>
      <w:r w:rsidR="00BE7521" w:rsidRPr="00E55D11">
        <w:rPr>
          <w:bCs/>
        </w:rPr>
        <w:t xml:space="preserve">to seek out </w:t>
      </w:r>
      <w:r w:rsidR="00BE7521">
        <w:rPr>
          <w:bCs/>
        </w:rPr>
        <w:t xml:space="preserve">tax planning </w:t>
      </w:r>
      <w:r w:rsidR="00BE7521" w:rsidRPr="00E55D11">
        <w:rPr>
          <w:bCs/>
        </w:rPr>
        <w:t>opportunities</w:t>
      </w:r>
      <w:r w:rsidR="00BE7521">
        <w:rPr>
          <w:bCs/>
        </w:rPr>
        <w:t>. Importantly, if an increase in tax planning is viewed as out of step with broader community perceptions of fairness, then there is a risk of declining community confidence in the tax system and therefore a greater incentive for more people to tax plan. This may raise broader tax morality issues. Second</w:t>
      </w:r>
      <w:r w:rsidR="00BE7521">
        <w:t>,</w:t>
      </w:r>
      <w:r>
        <w:t xml:space="preserve"> the greater tax concentration on high-earning individuals </w:t>
      </w:r>
      <w:r w:rsidR="00C308D4">
        <w:t xml:space="preserve">suggests </w:t>
      </w:r>
      <w:r>
        <w:t xml:space="preserve">that fluctuations in the taxes paid by this group </w:t>
      </w:r>
      <w:r w:rsidR="00C308D4">
        <w:t xml:space="preserve">would </w:t>
      </w:r>
      <w:r>
        <w:t xml:space="preserve">have a greater bearing on aggregate Commonwealth revenue collections.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103"/>
      </w:tblGrid>
      <w:tr w:rsidR="00B02068" w14:paraId="3E9E63A1" w14:textId="77777777" w:rsidTr="00CE6D19">
        <w:tc>
          <w:tcPr>
            <w:tcW w:w="4928" w:type="dxa"/>
          </w:tcPr>
          <w:p w14:paraId="02A6D8B0" w14:textId="77777777" w:rsidR="0005796A" w:rsidRDefault="00B02068" w:rsidP="0005796A">
            <w:pPr>
              <w:pStyle w:val="ChartMainHeading"/>
              <w:rPr>
                <w:noProof/>
              </w:rPr>
            </w:pPr>
            <w:r>
              <w:rPr>
                <w:noProof/>
              </w:rPr>
              <w:lastRenderedPageBreak/>
              <w:t xml:space="preserve">Chart </w:t>
            </w:r>
            <w:r w:rsidR="0094638E">
              <w:rPr>
                <w:noProof/>
              </w:rPr>
              <w:t>8</w:t>
            </w:r>
            <w:r w:rsidR="0005796A">
              <w:rPr>
                <w:noProof/>
              </w:rPr>
              <w:t>a</w:t>
            </w:r>
          </w:p>
          <w:p w14:paraId="3E9E639F" w14:textId="15B6033C" w:rsidR="00B02068" w:rsidRPr="00355F1D" w:rsidRDefault="00B02068" w:rsidP="0005796A">
            <w:pPr>
              <w:pStyle w:val="ChartSecondHeading"/>
              <w:rPr>
                <w:b/>
              </w:rPr>
            </w:pPr>
            <w:r w:rsidRPr="007327C0">
              <w:rPr>
                <w:noProof/>
              </w:rPr>
              <w:t xml:space="preserve">Share of </w:t>
            </w:r>
            <w:r>
              <w:rPr>
                <w:noProof/>
              </w:rPr>
              <w:t xml:space="preserve">taxable income and </w:t>
            </w:r>
            <w:r w:rsidRPr="007327C0">
              <w:rPr>
                <w:noProof/>
              </w:rPr>
              <w:t>personal income tax</w:t>
            </w:r>
            <w:r>
              <w:rPr>
                <w:noProof/>
              </w:rPr>
              <w:t xml:space="preserve"> </w:t>
            </w:r>
            <w:r w:rsidR="00FA717F">
              <w:rPr>
                <w:noProof/>
              </w:rPr>
              <w:t>paid by top 1</w:t>
            </w:r>
            <w:r w:rsidRPr="007327C0">
              <w:rPr>
                <w:noProof/>
              </w:rPr>
              <w:t>0 per cent of personal income taxpayers, 1994-95 – 201</w:t>
            </w:r>
            <w:r w:rsidR="00C80621">
              <w:rPr>
                <w:noProof/>
              </w:rPr>
              <w:t>5</w:t>
            </w:r>
            <w:r w:rsidRPr="007327C0">
              <w:rPr>
                <w:noProof/>
              </w:rPr>
              <w:t>-1</w:t>
            </w:r>
            <w:r w:rsidR="00C80621">
              <w:rPr>
                <w:noProof/>
              </w:rPr>
              <w:t>6</w:t>
            </w:r>
          </w:p>
        </w:tc>
        <w:tc>
          <w:tcPr>
            <w:tcW w:w="5103" w:type="dxa"/>
          </w:tcPr>
          <w:p w14:paraId="11485C95" w14:textId="13055B87" w:rsidR="0005796A" w:rsidRDefault="00B02068" w:rsidP="0005796A">
            <w:pPr>
              <w:pStyle w:val="ChartMainHeading"/>
              <w:rPr>
                <w:noProof/>
              </w:rPr>
            </w:pPr>
            <w:r>
              <w:rPr>
                <w:noProof/>
              </w:rPr>
              <w:t xml:space="preserve">Chart </w:t>
            </w:r>
            <w:r w:rsidR="0094638E">
              <w:rPr>
                <w:noProof/>
              </w:rPr>
              <w:t>8</w:t>
            </w:r>
            <w:r w:rsidR="0005796A">
              <w:rPr>
                <w:noProof/>
              </w:rPr>
              <w:t>B</w:t>
            </w:r>
          </w:p>
          <w:p w14:paraId="3E9E63A0" w14:textId="7678BF1B" w:rsidR="00B02068" w:rsidRPr="00355F1D" w:rsidRDefault="00B02068" w:rsidP="0005796A">
            <w:pPr>
              <w:pStyle w:val="ChartSecondHeading"/>
              <w:rPr>
                <w:b/>
              </w:rPr>
            </w:pPr>
            <w:r w:rsidRPr="007327C0">
              <w:rPr>
                <w:noProof/>
              </w:rPr>
              <w:t>Share of</w:t>
            </w:r>
            <w:r>
              <w:rPr>
                <w:noProof/>
              </w:rPr>
              <w:t xml:space="preserve"> taxable income and personal </w:t>
            </w:r>
            <w:r w:rsidRPr="007327C0">
              <w:rPr>
                <w:noProof/>
              </w:rPr>
              <w:t xml:space="preserve"> income tax paid by bottom </w:t>
            </w:r>
            <w:r w:rsidR="00FA0A3C">
              <w:rPr>
                <w:noProof/>
              </w:rPr>
              <w:t>5</w:t>
            </w:r>
            <w:r w:rsidRPr="007327C0">
              <w:rPr>
                <w:noProof/>
              </w:rPr>
              <w:t>0 per cent of personal income taxpayers, 1994-95 – 201</w:t>
            </w:r>
            <w:r w:rsidR="00C80621">
              <w:rPr>
                <w:noProof/>
              </w:rPr>
              <w:t>5</w:t>
            </w:r>
            <w:r w:rsidRPr="007327C0">
              <w:rPr>
                <w:noProof/>
              </w:rPr>
              <w:noBreakHyphen/>
              <w:t>1</w:t>
            </w:r>
            <w:r w:rsidR="00C80621">
              <w:rPr>
                <w:noProof/>
              </w:rPr>
              <w:t>6</w:t>
            </w:r>
          </w:p>
        </w:tc>
      </w:tr>
      <w:tr w:rsidR="00C80A39" w14:paraId="3E9E63A4" w14:textId="77777777" w:rsidTr="00C70EC8">
        <w:tc>
          <w:tcPr>
            <w:tcW w:w="4928" w:type="dxa"/>
          </w:tcPr>
          <w:p w14:paraId="3E9E63A2" w14:textId="77777777" w:rsidR="00C80A39" w:rsidRDefault="00C80A39" w:rsidP="001740C1">
            <w:pPr>
              <w:jc w:val="center"/>
              <w:rPr>
                <w:noProof/>
              </w:rPr>
            </w:pPr>
            <w:r>
              <w:rPr>
                <w:noProof/>
              </w:rPr>
              <w:drawing>
                <wp:inline distT="0" distB="0" distL="0" distR="0" wp14:anchorId="3E9E63E6" wp14:editId="3E9E63E7">
                  <wp:extent cx="2881656" cy="2947089"/>
                  <wp:effectExtent l="0" t="0" r="0" b="571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3" w:type="dxa"/>
          </w:tcPr>
          <w:p w14:paraId="3E9E63A3" w14:textId="77777777" w:rsidR="00C80A39" w:rsidRDefault="00C80A39" w:rsidP="001740C1">
            <w:pPr>
              <w:jc w:val="center"/>
              <w:rPr>
                <w:noProof/>
              </w:rPr>
            </w:pPr>
            <w:r>
              <w:rPr>
                <w:noProof/>
              </w:rPr>
              <w:drawing>
                <wp:inline distT="0" distB="0" distL="0" distR="0" wp14:anchorId="3E9E63E8" wp14:editId="3E9E63E9">
                  <wp:extent cx="2882485" cy="2947089"/>
                  <wp:effectExtent l="0" t="0" r="0" b="571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3E9E63A5" w14:textId="77777777" w:rsidR="00322559" w:rsidRDefault="00B02068" w:rsidP="005821AB">
      <w:pPr>
        <w:pStyle w:val="ChartorTableNote"/>
      </w:pPr>
      <w:r>
        <w:t>Source: Australian Taxation Statistics</w:t>
      </w:r>
      <w:r w:rsidR="000A1B23">
        <w:t>.</w:t>
      </w:r>
      <w:r w:rsidR="00322559" w:rsidRPr="00322559">
        <w:t xml:space="preserve"> </w:t>
      </w:r>
    </w:p>
    <w:p w14:paraId="3E9E63A7" w14:textId="77777777" w:rsidR="00717DAC" w:rsidRPr="009328C0" w:rsidRDefault="00B02068" w:rsidP="00523DC5">
      <w:pPr>
        <w:pStyle w:val="Heading2"/>
        <w:tabs>
          <w:tab w:val="clear" w:pos="426"/>
          <w:tab w:val="num" w:pos="851"/>
        </w:tabs>
        <w:spacing w:before="240"/>
        <w:ind w:left="0"/>
      </w:pPr>
      <w:r>
        <w:t>Concluding observations</w:t>
      </w:r>
    </w:p>
    <w:p w14:paraId="3E9E63A8" w14:textId="77777777" w:rsidR="00406792" w:rsidRDefault="00B02068" w:rsidP="00AB5CD6">
      <w:r>
        <w:t xml:space="preserve">This paper has </w:t>
      </w:r>
      <w:r w:rsidR="003A3338">
        <w:t>explored</w:t>
      </w:r>
      <w:r w:rsidR="00406792">
        <w:t xml:space="preserve"> what a progressive tax is, described the policy levers for delivering it</w:t>
      </w:r>
      <w:r w:rsidR="002C05CD">
        <w:t>, examined the nature and measurement of progressivity</w:t>
      </w:r>
      <w:r w:rsidR="00406792">
        <w:t xml:space="preserve">, and </w:t>
      </w:r>
      <w:r>
        <w:t xml:space="preserve">illustrated </w:t>
      </w:r>
      <w:r w:rsidR="00A81CE6">
        <w:t xml:space="preserve">some </w:t>
      </w:r>
      <w:r>
        <w:t>trends around progressivity</w:t>
      </w:r>
      <w:r w:rsidR="00406792" w:rsidRPr="00406792">
        <w:t xml:space="preserve"> </w:t>
      </w:r>
      <w:r w:rsidR="00406792">
        <w:t>in the Australian personal income tax system</w:t>
      </w:r>
      <w:r>
        <w:t xml:space="preserve">. </w:t>
      </w:r>
    </w:p>
    <w:p w14:paraId="3E9E63A9" w14:textId="77777777" w:rsidR="00A83CAE" w:rsidRDefault="00454FCB" w:rsidP="00AB5CD6">
      <w:r>
        <w:t>The paper has highlighted a change in taxable incomes</w:t>
      </w:r>
      <w:r w:rsidR="00A7695E">
        <w:t xml:space="preserve"> across </w:t>
      </w:r>
      <w:r w:rsidR="00A83CAE">
        <w:t xml:space="preserve">the </w:t>
      </w:r>
      <w:r w:rsidR="00A7695E">
        <w:t>2</w:t>
      </w:r>
      <w:r w:rsidR="00FA0A3C">
        <w:t>2-</w:t>
      </w:r>
      <w:r w:rsidR="00A7695E">
        <w:t>year period</w:t>
      </w:r>
      <w:r>
        <w:t xml:space="preserve">. </w:t>
      </w:r>
      <w:r w:rsidR="00A83CAE">
        <w:t>In an absolute sense, nominal t</w:t>
      </w:r>
      <w:r>
        <w:t xml:space="preserve">axable income growth has been </w:t>
      </w:r>
      <w:r w:rsidR="00E54FD7">
        <w:t xml:space="preserve">strong </w:t>
      </w:r>
      <w:r>
        <w:t>across the taxpaying population</w:t>
      </w:r>
      <w:r w:rsidR="00A83CAE">
        <w:t xml:space="preserve"> since 1994</w:t>
      </w:r>
      <w:r w:rsidR="00A83CAE">
        <w:noBreakHyphen/>
      </w:r>
      <w:r w:rsidR="003E0877">
        <w:t>95</w:t>
      </w:r>
      <w:r w:rsidR="00A83CAE">
        <w:t xml:space="preserve">. In a relative sense, the </w:t>
      </w:r>
      <w:r w:rsidR="00F775D9">
        <w:t>slowest</w:t>
      </w:r>
      <w:r w:rsidR="00DE2BF0">
        <w:t xml:space="preserve"> growth rates </w:t>
      </w:r>
      <w:r w:rsidR="00A83CAE">
        <w:t xml:space="preserve">have applied </w:t>
      </w:r>
      <w:r w:rsidR="00DE2BF0">
        <w:t xml:space="preserve">to incomes </w:t>
      </w:r>
      <w:r>
        <w:t xml:space="preserve">in the middle </w:t>
      </w:r>
      <w:r w:rsidR="00A83CAE">
        <w:t xml:space="preserve">deciles </w:t>
      </w:r>
      <w:r>
        <w:t xml:space="preserve">of the </w:t>
      </w:r>
      <w:r w:rsidR="00A83CAE">
        <w:t xml:space="preserve">income </w:t>
      </w:r>
      <w:r>
        <w:t>distribution</w:t>
      </w:r>
      <w:r w:rsidR="00A83CAE">
        <w:t>,</w:t>
      </w:r>
      <w:r w:rsidR="003E0877">
        <w:t xml:space="preserve"> </w:t>
      </w:r>
      <w:r>
        <w:t xml:space="preserve">and </w:t>
      </w:r>
      <w:r w:rsidR="00F775D9">
        <w:t>fastest</w:t>
      </w:r>
      <w:r w:rsidR="00A83CAE">
        <w:t xml:space="preserve"> have</w:t>
      </w:r>
      <w:r w:rsidR="00F775D9">
        <w:t xml:space="preserve"> </w:t>
      </w:r>
      <w:r w:rsidR="00A83CAE">
        <w:t xml:space="preserve">applied to </w:t>
      </w:r>
      <w:r w:rsidR="00F775D9">
        <w:t xml:space="preserve">those at the </w:t>
      </w:r>
      <w:r w:rsidR="00A83CAE">
        <w:t xml:space="preserve">bottom and </w:t>
      </w:r>
      <w:r w:rsidR="00F775D9">
        <w:t>top</w:t>
      </w:r>
      <w:r w:rsidR="00A83CAE">
        <w:t xml:space="preserve"> of the distribution</w:t>
      </w:r>
      <w:r>
        <w:t>.</w:t>
      </w:r>
      <w:r w:rsidR="00F775D9">
        <w:t xml:space="preserve">  </w:t>
      </w:r>
    </w:p>
    <w:p w14:paraId="3E9E63AA" w14:textId="77777777" w:rsidR="00454FCB" w:rsidRDefault="001D4821" w:rsidP="00AB5CD6">
      <w:r>
        <w:t>While not an exact science, i</w:t>
      </w:r>
      <w:r w:rsidR="00A81CE6">
        <w:t>t</w:t>
      </w:r>
      <w:r w:rsidR="000A76F6">
        <w:t xml:space="preserve"> also</w:t>
      </w:r>
      <w:r w:rsidR="00A81CE6">
        <w:t xml:space="preserve"> appears </w:t>
      </w:r>
      <w:r w:rsidR="000A76F6">
        <w:t xml:space="preserve">that </w:t>
      </w:r>
      <w:r w:rsidR="00B02068" w:rsidRPr="00534728">
        <w:t xml:space="preserve">Australia’s </w:t>
      </w:r>
      <w:r w:rsidR="00B02068">
        <w:t>personal income tax sys</w:t>
      </w:r>
      <w:r w:rsidR="00A81CE6">
        <w:t>tem has become more progressive</w:t>
      </w:r>
      <w:r w:rsidR="00A83CAE">
        <w:t xml:space="preserve"> since 1994-95</w:t>
      </w:r>
      <w:r w:rsidR="00A81CE6">
        <w:t xml:space="preserve">. </w:t>
      </w:r>
      <w:r w:rsidR="00454FCB">
        <w:t xml:space="preserve">Successive </w:t>
      </w:r>
      <w:r w:rsidR="00454FCB" w:rsidRPr="00BC0D34">
        <w:t xml:space="preserve">Australian </w:t>
      </w:r>
      <w:r w:rsidR="000A1B23">
        <w:t>g</w:t>
      </w:r>
      <w:r w:rsidR="00454FCB" w:rsidRPr="00BC0D34">
        <w:t>overnments</w:t>
      </w:r>
      <w:r w:rsidR="00454FCB">
        <w:t xml:space="preserve"> have </w:t>
      </w:r>
      <w:r w:rsidR="00F775D9">
        <w:t xml:space="preserve">collectively </w:t>
      </w:r>
      <w:r w:rsidR="00454FCB">
        <w:t>reduc</w:t>
      </w:r>
      <w:r w:rsidR="00F775D9">
        <w:t xml:space="preserve">ed </w:t>
      </w:r>
      <w:r w:rsidR="00454FCB">
        <w:t>marginal personal tax rates</w:t>
      </w:r>
      <w:r w:rsidR="00A83CAE">
        <w:t xml:space="preserve"> and increased personal tax thresholds</w:t>
      </w:r>
      <w:r w:rsidR="00454FCB" w:rsidRPr="00BC0D34">
        <w:t xml:space="preserve">, </w:t>
      </w:r>
      <w:r w:rsidR="00454FCB">
        <w:t xml:space="preserve">and, in doing so, have </w:t>
      </w:r>
      <w:r w:rsidR="00454FCB" w:rsidRPr="00BC0D34">
        <w:t>redistributed personal</w:t>
      </w:r>
      <w:r w:rsidR="000A76F6">
        <w:t xml:space="preserve"> income</w:t>
      </w:r>
      <w:r w:rsidR="00454FCB" w:rsidRPr="00BC0D34">
        <w:t xml:space="preserve"> tax</w:t>
      </w:r>
      <w:r w:rsidR="000A76F6">
        <w:t xml:space="preserve"> incidence</w:t>
      </w:r>
      <w:r w:rsidR="00454FCB" w:rsidRPr="00BC0D34">
        <w:t xml:space="preserve"> away from lower</w:t>
      </w:r>
      <w:r w:rsidR="00454FCB">
        <w:t xml:space="preserve"> </w:t>
      </w:r>
      <w:r w:rsidR="00454FCB" w:rsidRPr="00BC0D34">
        <w:t>income earners and towards higher income earners</w:t>
      </w:r>
      <w:r w:rsidR="00454FCB">
        <w:t>. There has been a consequential increase in</w:t>
      </w:r>
      <w:r w:rsidR="00454FCB" w:rsidRPr="00534728">
        <w:t xml:space="preserve"> </w:t>
      </w:r>
      <w:r w:rsidR="00454FCB">
        <w:t xml:space="preserve">personal income </w:t>
      </w:r>
      <w:r w:rsidR="00454FCB" w:rsidRPr="00534728">
        <w:t>tax concentratio</w:t>
      </w:r>
      <w:r w:rsidR="00454FCB">
        <w:t>n onto a narrower proportion of high income earners within the Australian population</w:t>
      </w:r>
      <w:r w:rsidR="000A76F6">
        <w:t>.</w:t>
      </w:r>
    </w:p>
    <w:p w14:paraId="3E9E63AB" w14:textId="77777777" w:rsidR="00A83CAE" w:rsidRDefault="00454FCB" w:rsidP="00AB5CD6">
      <w:r>
        <w:t xml:space="preserve">We have </w:t>
      </w:r>
      <w:r w:rsidR="00A7695E">
        <w:t xml:space="preserve">not </w:t>
      </w:r>
      <w:r>
        <w:t>evaluat</w:t>
      </w:r>
      <w:r w:rsidR="00A7695E">
        <w:t>ed</w:t>
      </w:r>
      <w:r>
        <w:t xml:space="preserve"> the fairness (real or perceived) of </w:t>
      </w:r>
      <w:r w:rsidR="00A7695E">
        <w:t xml:space="preserve">these </w:t>
      </w:r>
      <w:r>
        <w:t xml:space="preserve">changes. Some may argue that the current system is delivering the ‘right’ level of fairness. Others may argue that the current system is ‘unfair’ for different groupings of the population, in particular ways. </w:t>
      </w:r>
    </w:p>
    <w:p w14:paraId="3E9E63AC" w14:textId="77777777" w:rsidR="00CC469B" w:rsidRDefault="000B0FAE" w:rsidP="00AB5CD6">
      <w:r>
        <w:t>Finally</w:t>
      </w:r>
      <w:r w:rsidR="00454FCB">
        <w:t>, i</w:t>
      </w:r>
      <w:r w:rsidR="003A3338">
        <w:t xml:space="preserve">n interpreting these developments, it is important to understand that personal </w:t>
      </w:r>
      <w:r w:rsidR="003A3338" w:rsidRPr="003A3338">
        <w:t xml:space="preserve">income taxation can only tell so much of the </w:t>
      </w:r>
      <w:r w:rsidR="00A7695E">
        <w:t xml:space="preserve">overall </w:t>
      </w:r>
      <w:r w:rsidR="003A3338" w:rsidRPr="003A3338">
        <w:t xml:space="preserve">Australian </w:t>
      </w:r>
      <w:r w:rsidR="003A3338">
        <w:t>tax progressivity</w:t>
      </w:r>
      <w:r w:rsidR="003A3338" w:rsidRPr="003A3338">
        <w:t xml:space="preserve"> story. The interactions between the progressivity of income tax and</w:t>
      </w:r>
      <w:r w:rsidR="003E0877">
        <w:t>:</w:t>
      </w:r>
      <w:r w:rsidR="003A3338" w:rsidRPr="003A3338">
        <w:t xml:space="preserve"> the tax treatment of capital, savings, and consumption; state taxation; and </w:t>
      </w:r>
      <w:r w:rsidR="003A3338">
        <w:t xml:space="preserve">the transfer system </w:t>
      </w:r>
      <w:r w:rsidR="00A83CAE">
        <w:t>have been</w:t>
      </w:r>
      <w:r w:rsidR="00A7695E">
        <w:t xml:space="preserve"> beyond</w:t>
      </w:r>
      <w:r w:rsidR="003A3338" w:rsidRPr="003A3338">
        <w:t xml:space="preserve"> the scope of this analysis. However, these interactions</w:t>
      </w:r>
      <w:r w:rsidR="003A3338">
        <w:t>,</w:t>
      </w:r>
      <w:r w:rsidR="003A3338" w:rsidRPr="003A3338">
        <w:t xml:space="preserve"> and their impact</w:t>
      </w:r>
      <w:r w:rsidR="00A07C2E">
        <w:t xml:space="preserve"> on</w:t>
      </w:r>
      <w:r w:rsidR="003A3338" w:rsidRPr="003A3338">
        <w:t xml:space="preserve"> the tax system,</w:t>
      </w:r>
      <w:r w:rsidR="000A76F6">
        <w:t xml:space="preserve"> are important parts of the overall assessment and </w:t>
      </w:r>
      <w:r w:rsidR="00A7695E">
        <w:t xml:space="preserve">would </w:t>
      </w:r>
      <w:r w:rsidR="000A76F6">
        <w:t xml:space="preserve">therefore </w:t>
      </w:r>
      <w:r w:rsidR="00A7695E">
        <w:t>be</w:t>
      </w:r>
      <w:r w:rsidR="00A7695E" w:rsidRPr="003A3338">
        <w:t xml:space="preserve"> </w:t>
      </w:r>
      <w:r w:rsidR="003A3338" w:rsidRPr="003A3338">
        <w:t>valuable avenues for further work</w:t>
      </w:r>
      <w:r w:rsidR="003A3338">
        <w:t>.</w:t>
      </w:r>
    </w:p>
    <w:p w14:paraId="3E9E63AE" w14:textId="77777777" w:rsidR="003A3338" w:rsidRDefault="00CC469B" w:rsidP="004E0FCE">
      <w:pPr>
        <w:pStyle w:val="AppendixHeadingLevel2NotNumbered"/>
      </w:pPr>
      <w:r>
        <w:lastRenderedPageBreak/>
        <w:t>References</w:t>
      </w:r>
    </w:p>
    <w:p w14:paraId="3E9E63AF" w14:textId="54C607EE" w:rsidR="00BF507D" w:rsidRPr="004E0FCE" w:rsidRDefault="00BF507D" w:rsidP="00BF507D">
      <w:r w:rsidRPr="004E0FCE">
        <w:t>Asprey, K</w:t>
      </w:r>
      <w:r>
        <w:t>,</w:t>
      </w:r>
      <w:r w:rsidRPr="004E0FCE">
        <w:t xml:space="preserve"> and Parsons, R</w:t>
      </w:r>
      <w:r>
        <w:t>,</w:t>
      </w:r>
      <w:r w:rsidRPr="004E0FCE">
        <w:t xml:space="preserve"> </w:t>
      </w:r>
      <w:r>
        <w:t xml:space="preserve">1975, </w:t>
      </w:r>
      <w:r w:rsidRPr="004E0FCE">
        <w:rPr>
          <w:i/>
        </w:rPr>
        <w:t>Commonwealth Taxation Review Committee</w:t>
      </w:r>
      <w:r w:rsidRPr="004E0FCE">
        <w:t xml:space="preserve">, </w:t>
      </w:r>
      <w:r w:rsidRPr="004E0FCE">
        <w:rPr>
          <w:i/>
        </w:rPr>
        <w:t>Full Report January</w:t>
      </w:r>
      <w:r w:rsidR="00AB5CD6">
        <w:rPr>
          <w:i/>
        </w:rPr>
        <w:t> </w:t>
      </w:r>
      <w:r w:rsidRPr="004E0FCE">
        <w:rPr>
          <w:i/>
        </w:rPr>
        <w:t>31</w:t>
      </w:r>
      <w:r w:rsidR="00AB5CD6">
        <w:rPr>
          <w:i/>
        </w:rPr>
        <w:t> </w:t>
      </w:r>
      <w:r w:rsidRPr="004E0FCE">
        <w:rPr>
          <w:i/>
        </w:rPr>
        <w:t>1975</w:t>
      </w:r>
      <w:r w:rsidRPr="004E0FCE">
        <w:t xml:space="preserve">. Available at </w:t>
      </w:r>
      <w:hyperlink r:id="rId37" w:history="1">
        <w:r w:rsidRPr="004E0FCE">
          <w:rPr>
            <w:rStyle w:val="Hyperlink"/>
          </w:rPr>
          <w:t>http://adc.library.usyd.edu.au/data-2/p00087.pdf</w:t>
        </w:r>
      </w:hyperlink>
      <w:r>
        <w:t xml:space="preserve">, </w:t>
      </w:r>
      <w:r w:rsidRPr="004E0FCE">
        <w:t>accessed October</w:t>
      </w:r>
      <w:r w:rsidR="00AB5CD6">
        <w:t> </w:t>
      </w:r>
      <w:r w:rsidRPr="004E0FCE">
        <w:t>201</w:t>
      </w:r>
      <w:r>
        <w:t>8</w:t>
      </w:r>
    </w:p>
    <w:p w14:paraId="3E9E63B0" w14:textId="397B1666" w:rsidR="00BF507D" w:rsidRDefault="00BF507D" w:rsidP="00BF507D">
      <w:pPr>
        <w:spacing w:after="200" w:line="276" w:lineRule="auto"/>
      </w:pPr>
      <w:r w:rsidRPr="002A6AAF">
        <w:t>Commonwealth of Australia</w:t>
      </w:r>
      <w:r>
        <w:t>,</w:t>
      </w:r>
      <w:r w:rsidRPr="002A6AAF">
        <w:t xml:space="preserve"> 20</w:t>
      </w:r>
      <w:r>
        <w:t xml:space="preserve">09, </w:t>
      </w:r>
      <w:r w:rsidRPr="004E0FCE">
        <w:rPr>
          <w:i/>
          <w:color w:val="auto"/>
        </w:rPr>
        <w:t>Review of</w:t>
      </w:r>
      <w:r>
        <w:rPr>
          <w:color w:val="auto"/>
        </w:rPr>
        <w:t xml:space="preserve"> </w:t>
      </w:r>
      <w:r w:rsidRPr="004E0FCE">
        <w:rPr>
          <w:i/>
        </w:rPr>
        <w:t>Australia’s Future Tax System</w:t>
      </w:r>
      <w:r>
        <w:rPr>
          <w:i/>
        </w:rPr>
        <w:t>, Final Report</w:t>
      </w:r>
      <w:r w:rsidRPr="004E0FCE">
        <w:rPr>
          <w:i/>
        </w:rPr>
        <w:t xml:space="preserve">. </w:t>
      </w:r>
      <w:r w:rsidRPr="004E0FCE">
        <w:t xml:space="preserve">Available at </w:t>
      </w:r>
      <w:hyperlink r:id="rId38" w:history="1">
        <w:r w:rsidRPr="00BC6902">
          <w:rPr>
            <w:rStyle w:val="Hyperlink"/>
          </w:rPr>
          <w:t>https://taxreview.treasury.gov.au/Content/Content.aspx?doc=html/home.htm</w:t>
        </w:r>
      </w:hyperlink>
      <w:r>
        <w:t>, accessed October</w:t>
      </w:r>
      <w:r w:rsidR="00AB5CD6">
        <w:t> </w:t>
      </w:r>
      <w:r>
        <w:t>2018.</w:t>
      </w:r>
    </w:p>
    <w:p w14:paraId="3E9E63B1" w14:textId="77777777" w:rsidR="00BF507D" w:rsidRDefault="00BF507D" w:rsidP="00BF507D">
      <w:pPr>
        <w:spacing w:after="200" w:line="276" w:lineRule="auto"/>
        <w:rPr>
          <w:color w:val="auto"/>
        </w:rPr>
      </w:pPr>
      <w:r>
        <w:rPr>
          <w:color w:val="auto"/>
        </w:rPr>
        <w:t xml:space="preserve">Commonwealth of Australia 2015, </w:t>
      </w:r>
      <w:r w:rsidRPr="007558DA">
        <w:rPr>
          <w:i/>
          <w:color w:val="auto"/>
        </w:rPr>
        <w:t>Re:think Tax discussion paper</w:t>
      </w:r>
      <w:r>
        <w:rPr>
          <w:color w:val="auto"/>
        </w:rPr>
        <w:t xml:space="preserve">. Available at </w:t>
      </w:r>
      <w:hyperlink r:id="rId39" w:history="1">
        <w:r w:rsidRPr="00DF0D9C">
          <w:rPr>
            <w:rStyle w:val="Hyperlink"/>
          </w:rPr>
          <w:t>http://bettertax.gov.au/publications/discussion-paper/</w:t>
        </w:r>
      </w:hyperlink>
      <w:r>
        <w:rPr>
          <w:color w:val="auto"/>
        </w:rPr>
        <w:t>, accessed October 2018.</w:t>
      </w:r>
    </w:p>
    <w:p w14:paraId="3E9E63B2" w14:textId="77777777" w:rsidR="00BF507D" w:rsidRDefault="00BF507D" w:rsidP="00BF507D">
      <w:pPr>
        <w:spacing w:after="200" w:line="276" w:lineRule="auto"/>
      </w:pPr>
      <w:r>
        <w:t xml:space="preserve">Commonwealth of Australia, 2017, </w:t>
      </w:r>
      <w:r w:rsidRPr="006B4681">
        <w:rPr>
          <w:i/>
        </w:rPr>
        <w:t>Changes in average personal income tax rates: distributional impacts</w:t>
      </w:r>
      <w:r>
        <w:t>, Report no. 03/2017, Parliamentary Budget Office</w:t>
      </w:r>
      <w:r w:rsidR="005E639B">
        <w:t xml:space="preserve">. Available at </w:t>
      </w:r>
      <w:hyperlink r:id="rId40" w:history="1">
        <w:r w:rsidR="005E639B" w:rsidRPr="00D831B4">
          <w:rPr>
            <w:rStyle w:val="Hyperlink"/>
          </w:rPr>
          <w:t>https://www.aph.gov.au/About_Parliament/Parliamentary_Departments/Parliamentary_Budget_Office/Publications/Research_reports/Report_03_2017</w:t>
        </w:r>
      </w:hyperlink>
      <w:r w:rsidR="005E639B">
        <w:t>,</w:t>
      </w:r>
      <w:r>
        <w:t xml:space="preserve"> </w:t>
      </w:r>
      <w:r w:rsidR="005E639B">
        <w:t>accessed October 2018.</w:t>
      </w:r>
    </w:p>
    <w:p w14:paraId="3E9E63B3" w14:textId="77777777" w:rsidR="00BF507D" w:rsidRDefault="00BF507D" w:rsidP="00BF507D">
      <w:pPr>
        <w:spacing w:after="200" w:line="276" w:lineRule="auto"/>
      </w:pPr>
      <w:r>
        <w:t>International Monetary Fund</w:t>
      </w:r>
      <w:r w:rsidR="00CB7159">
        <w:t xml:space="preserve"> (IMF)</w:t>
      </w:r>
      <w:r w:rsidR="00EF7E3A">
        <w:t>,</w:t>
      </w:r>
      <w:r>
        <w:t xml:space="preserve"> 2017, </w:t>
      </w:r>
      <w:r w:rsidRPr="00BB6FCE">
        <w:rPr>
          <w:i/>
        </w:rPr>
        <w:t xml:space="preserve">Tackling </w:t>
      </w:r>
      <w:r>
        <w:rPr>
          <w:i/>
        </w:rPr>
        <w:t>I</w:t>
      </w:r>
      <w:r w:rsidRPr="00BB6FCE">
        <w:rPr>
          <w:i/>
        </w:rPr>
        <w:t>nequality: Fiscal Monitor</w:t>
      </w:r>
      <w:r>
        <w:t>, World Economic Outlook, October</w:t>
      </w:r>
      <w:r w:rsidR="00CB7159">
        <w:t>.</w:t>
      </w:r>
      <w:r w:rsidR="004E2D9B">
        <w:t xml:space="preserve"> </w:t>
      </w:r>
    </w:p>
    <w:p w14:paraId="3E9E63B4" w14:textId="122583D8" w:rsidR="00EF7E3A" w:rsidRPr="00EF7E3A" w:rsidRDefault="00EF7E3A" w:rsidP="00BF507D">
      <w:pPr>
        <w:spacing w:after="200" w:line="276" w:lineRule="auto"/>
      </w:pPr>
      <w:r>
        <w:t xml:space="preserve">Janda, M, 2018, </w:t>
      </w:r>
      <w:r w:rsidRPr="00EF7E3A">
        <w:rPr>
          <w:i/>
        </w:rPr>
        <w:t>Budget 2018: Income tax brackets and how the Government’s plan really works</w:t>
      </w:r>
      <w:r>
        <w:t xml:space="preserve">, </w:t>
      </w:r>
      <w:r w:rsidRPr="00EF7E3A">
        <w:t>ABC</w:t>
      </w:r>
      <w:r w:rsidR="00AB5CD6">
        <w:t> </w:t>
      </w:r>
      <w:r w:rsidRPr="00EF7E3A">
        <w:t>News</w:t>
      </w:r>
      <w:r>
        <w:rPr>
          <w:i/>
        </w:rPr>
        <w:t xml:space="preserve">, </w:t>
      </w:r>
      <w:r>
        <w:t>11 May.</w:t>
      </w:r>
    </w:p>
    <w:p w14:paraId="3E9E63B5" w14:textId="2BB0C7B3" w:rsidR="00BF507D" w:rsidRDefault="00BF507D" w:rsidP="00BF507D">
      <w:pPr>
        <w:spacing w:after="200" w:line="276" w:lineRule="auto"/>
      </w:pPr>
      <w:r>
        <w:t xml:space="preserve">Kakwani, N, 1977, Measurement of Tax Progressivity: An International Comparison, </w:t>
      </w:r>
      <w:r w:rsidRPr="00BB6FCE">
        <w:rPr>
          <w:i/>
        </w:rPr>
        <w:t>Economic Journal</w:t>
      </w:r>
      <w:r w:rsidR="00AB5CD6">
        <w:rPr>
          <w:i/>
        </w:rPr>
        <w:t> </w:t>
      </w:r>
      <w:r>
        <w:t>87 (345): 71–80.</w:t>
      </w:r>
    </w:p>
    <w:p w14:paraId="3E9E63B6" w14:textId="77777777" w:rsidR="00EF7E3A" w:rsidRDefault="00EF7E3A" w:rsidP="00BF507D">
      <w:pPr>
        <w:spacing w:after="200" w:line="276" w:lineRule="auto"/>
      </w:pPr>
      <w:r>
        <w:t>Organisation for Economic Cooperation and Development</w:t>
      </w:r>
      <w:r w:rsidR="00CB7159">
        <w:t xml:space="preserve"> (OECD)</w:t>
      </w:r>
      <w:r>
        <w:t xml:space="preserve">, 2018, </w:t>
      </w:r>
      <w:r w:rsidRPr="00EF7E3A">
        <w:rPr>
          <w:i/>
        </w:rPr>
        <w:t>Taxing Wages 2018</w:t>
      </w:r>
      <w:r>
        <w:t xml:space="preserve">, </w:t>
      </w:r>
      <w:r w:rsidR="00CB7159">
        <w:t>April.</w:t>
      </w:r>
      <w:r>
        <w:t xml:space="preserve"> </w:t>
      </w:r>
    </w:p>
    <w:p w14:paraId="3E9E63B7" w14:textId="77777777" w:rsidR="00BF507D" w:rsidRDefault="00BF507D" w:rsidP="00BF507D">
      <w:pPr>
        <w:spacing w:after="200" w:line="276" w:lineRule="auto"/>
      </w:pPr>
      <w:r>
        <w:t xml:space="preserve">Peter, K, Buttrick, S, and Duncan, D, 2010, Global Reform of Personal Income Taxation, 1981−2005: Evidence from 189 Countries, </w:t>
      </w:r>
      <w:r w:rsidRPr="00BB6FCE">
        <w:rPr>
          <w:i/>
        </w:rPr>
        <w:t>National Tax Journal</w:t>
      </w:r>
      <w:r>
        <w:t xml:space="preserve"> 63 (3): 447−78.</w:t>
      </w:r>
    </w:p>
    <w:p w14:paraId="3E9E63B8" w14:textId="77777777" w:rsidR="00BF507D" w:rsidRDefault="00BF507D" w:rsidP="00BF507D">
      <w:pPr>
        <w:spacing w:after="200" w:line="276" w:lineRule="auto"/>
      </w:pPr>
      <w:r>
        <w:t xml:space="preserve">Pigou, A, 1928, </w:t>
      </w:r>
      <w:r w:rsidRPr="00BB6FCE">
        <w:rPr>
          <w:i/>
        </w:rPr>
        <w:t>A Study in Public Finance</w:t>
      </w:r>
      <w:r>
        <w:rPr>
          <w:i/>
        </w:rPr>
        <w:t>,</w:t>
      </w:r>
      <w:r>
        <w:t xml:space="preserve"> London: Macmillan.</w:t>
      </w:r>
    </w:p>
    <w:p w14:paraId="3E9E63B9" w14:textId="77777777" w:rsidR="00BF507D" w:rsidRDefault="00BF507D" w:rsidP="00BF507D">
      <w:pPr>
        <w:spacing w:after="200" w:line="276" w:lineRule="auto"/>
      </w:pPr>
      <w:r w:rsidRPr="006B4681">
        <w:t>Productivity Commission</w:t>
      </w:r>
      <w:r w:rsidR="00EF7E3A">
        <w:t>,</w:t>
      </w:r>
      <w:r w:rsidRPr="006B4681">
        <w:t xml:space="preserve"> 2018, </w:t>
      </w:r>
      <w:r w:rsidRPr="007558DA">
        <w:rPr>
          <w:i/>
        </w:rPr>
        <w:t>Rising inequality? A stocktake of the evidence</w:t>
      </w:r>
      <w:r w:rsidRPr="006B4681">
        <w:t xml:space="preserve">, Commission Research Paper, Canberra. </w:t>
      </w:r>
      <w:r w:rsidR="00EF7E3A">
        <w:t xml:space="preserve"> </w:t>
      </w:r>
      <w:r>
        <w:t>Available at</w:t>
      </w:r>
      <w:r w:rsidRPr="007558DA">
        <w:t xml:space="preserve"> </w:t>
      </w:r>
      <w:hyperlink r:id="rId41" w:history="1">
        <w:r w:rsidRPr="00DF0D9C">
          <w:rPr>
            <w:rStyle w:val="Hyperlink"/>
          </w:rPr>
          <w:t>https://www.pc.gov.au/research/completed/rising-inequality</w:t>
        </w:r>
      </w:hyperlink>
      <w:r w:rsidR="00EF7E3A">
        <w:rPr>
          <w:rStyle w:val="Hyperlink"/>
        </w:rPr>
        <w:t xml:space="preserve">, </w:t>
      </w:r>
      <w:r w:rsidR="00EF7E3A" w:rsidRPr="00EF7E3A">
        <w:t>accessed O</w:t>
      </w:r>
      <w:r w:rsidR="00EF7E3A">
        <w:t>ctober 2018.</w:t>
      </w:r>
    </w:p>
    <w:p w14:paraId="3E9E63BA" w14:textId="31A71604" w:rsidR="00BF507D" w:rsidRDefault="00BF507D" w:rsidP="00BF507D">
      <w:pPr>
        <w:spacing w:after="200" w:line="276" w:lineRule="auto"/>
      </w:pPr>
      <w:r>
        <w:t xml:space="preserve">Whiteford, P, 2013, </w:t>
      </w:r>
      <w:r w:rsidRPr="00B12F12">
        <w:rPr>
          <w:i/>
        </w:rPr>
        <w:t>Australia: Inequality and Prosperity and their impacts in a radical welfare state,</w:t>
      </w:r>
      <w:r>
        <w:rPr>
          <w:i/>
        </w:rPr>
        <w:t xml:space="preserve"> </w:t>
      </w:r>
      <w:r w:rsidRPr="00B12F12">
        <w:t>HC</w:t>
      </w:r>
      <w:r w:rsidR="00AB5CD6">
        <w:t> </w:t>
      </w:r>
      <w:r w:rsidRPr="00B12F12">
        <w:t>Coombs Policy Forum</w:t>
      </w:r>
      <w:r>
        <w:rPr>
          <w:i/>
        </w:rPr>
        <w:t xml:space="preserve">, </w:t>
      </w:r>
      <w:r>
        <w:t xml:space="preserve">Australian National University, March. Available at </w:t>
      </w:r>
      <w:r w:rsidRPr="00B12F12">
        <w:rPr>
          <w:rStyle w:val="Hyperlink"/>
        </w:rPr>
        <w:t>https://crawford.anu.edu.au/pdf/events/2013/8801/Whiteford-Australia-Inequality-and-Prosperity-final.pdf,</w:t>
      </w:r>
      <w:r>
        <w:t xml:space="preserve"> accessed October 2018.</w:t>
      </w:r>
    </w:p>
    <w:p w14:paraId="3E9E63BB" w14:textId="77777777" w:rsidR="002A6AAF" w:rsidRDefault="002A6AAF">
      <w:pPr>
        <w:spacing w:after="200" w:line="276" w:lineRule="auto"/>
        <w:rPr>
          <w:rFonts w:ascii="Arial Bold" w:hAnsi="Arial Bold" w:cs="Arial"/>
          <w:b/>
          <w:smallCaps/>
          <w:color w:val="003157"/>
          <w:sz w:val="32"/>
          <w:szCs w:val="32"/>
        </w:rPr>
      </w:pPr>
      <w:r>
        <w:br w:type="page"/>
      </w:r>
    </w:p>
    <w:p w14:paraId="3E9E63BC" w14:textId="77777777" w:rsidR="00CC469B" w:rsidRDefault="00FF4809" w:rsidP="00B02068">
      <w:pPr>
        <w:pStyle w:val="AppendixHeadingLevel2NotNumbered"/>
      </w:pPr>
      <w:r>
        <w:lastRenderedPageBreak/>
        <w:t>Appendix</w:t>
      </w:r>
    </w:p>
    <w:p w14:paraId="3E9E63BD" w14:textId="77777777" w:rsidR="00FF4809" w:rsidRDefault="00B02068" w:rsidP="00B02068">
      <w:pPr>
        <w:pStyle w:val="AppendixHeadingLevel2NotNumbered"/>
      </w:pPr>
      <w:r>
        <w:t xml:space="preserve">Key progressivity </w:t>
      </w:r>
      <w:r w:rsidR="00FF4809">
        <w:t>excerpts from major tax reviews</w:t>
      </w:r>
    </w:p>
    <w:p w14:paraId="3E9E63BE" w14:textId="77777777" w:rsidR="00B02068" w:rsidRPr="009C4FF8" w:rsidRDefault="00B02068" w:rsidP="0040689B">
      <w:r>
        <w:t>The goal</w:t>
      </w:r>
      <w:r w:rsidRPr="009C4FF8">
        <w:t xml:space="preserve"> of progressivity and the potential role for</w:t>
      </w:r>
      <w:r w:rsidR="00A07C2E">
        <w:t xml:space="preserve"> personal</w:t>
      </w:r>
      <w:r w:rsidRPr="009C4FF8">
        <w:t xml:space="preserve"> </w:t>
      </w:r>
      <w:r>
        <w:t>i</w:t>
      </w:r>
      <w:r w:rsidRPr="009C4FF8">
        <w:t xml:space="preserve">ncome </w:t>
      </w:r>
      <w:r>
        <w:t>tax in achieving it</w:t>
      </w:r>
      <w:r w:rsidRPr="009C4FF8">
        <w:t xml:space="preserve"> has been long featured in Australian tax research. </w:t>
      </w:r>
      <w:r>
        <w:t>The Asprey R</w:t>
      </w:r>
      <w:r w:rsidRPr="009C4FF8">
        <w:t>eview in 1975 highlighted the signific</w:t>
      </w:r>
      <w:r>
        <w:t>ant role that an income tax can</w:t>
      </w:r>
      <w:r w:rsidRPr="009C4FF8">
        <w:t xml:space="preserve"> play in creating a </w:t>
      </w:r>
      <w:r>
        <w:t>horizontally equitable system.</w:t>
      </w:r>
    </w:p>
    <w:p w14:paraId="3E9E63BF" w14:textId="77777777" w:rsidR="00B02068" w:rsidRPr="0040689B" w:rsidRDefault="00B02068" w:rsidP="00B02068">
      <w:pPr>
        <w:ind w:left="720"/>
        <w:rPr>
          <w:rFonts w:cs="Arial"/>
          <w:i/>
          <w:sz w:val="20"/>
          <w:shd w:val="clear" w:color="auto" w:fill="FFFFFF"/>
        </w:rPr>
      </w:pPr>
      <w:r w:rsidRPr="0040689B">
        <w:rPr>
          <w:rFonts w:cs="Arial"/>
          <w:i/>
          <w:sz w:val="20"/>
          <w:shd w:val="clear" w:color="auto" w:fill="FFFFFF"/>
        </w:rPr>
        <w:t>An almost limitless range of provisions for horizontal equity can be introduced into it [income tax]. Any degree of progressivity can be enacted. It is indeed the only tax currently in the tax system that is capable of raising large revenues and into the structure of which a refined set of progressive provisions can be incorporated.</w:t>
      </w:r>
      <w:r w:rsidRPr="0040689B">
        <w:rPr>
          <w:rStyle w:val="FootnoteReference"/>
          <w:rFonts w:cs="Arial"/>
          <w:i/>
          <w:sz w:val="20"/>
          <w:shd w:val="clear" w:color="auto" w:fill="FFFFFF"/>
        </w:rPr>
        <w:footnoteReference w:id="19"/>
      </w:r>
    </w:p>
    <w:p w14:paraId="3E9E63C0" w14:textId="77777777" w:rsidR="00B02068" w:rsidRPr="00DB4664" w:rsidRDefault="00B02068" w:rsidP="00B02068">
      <w:pPr>
        <w:rPr>
          <w:rFonts w:cs="Arial"/>
          <w:color w:val="auto"/>
          <w:shd w:val="clear" w:color="auto" w:fill="FFFFFF"/>
        </w:rPr>
      </w:pPr>
      <w:r w:rsidRPr="009C4FF8">
        <w:rPr>
          <w:rFonts w:cs="Arial"/>
          <w:shd w:val="clear" w:color="auto" w:fill="FFFFFF"/>
        </w:rPr>
        <w:t>This review was</w:t>
      </w:r>
      <w:r>
        <w:rPr>
          <w:rFonts w:cs="Arial"/>
          <w:shd w:val="clear" w:color="auto" w:fill="FFFFFF"/>
        </w:rPr>
        <w:t>,</w:t>
      </w:r>
      <w:r w:rsidRPr="009C4FF8">
        <w:rPr>
          <w:rFonts w:cs="Arial"/>
          <w:shd w:val="clear" w:color="auto" w:fill="FFFFFF"/>
        </w:rPr>
        <w:t xml:space="preserve"> </w:t>
      </w:r>
      <w:r>
        <w:rPr>
          <w:rFonts w:cs="Arial"/>
          <w:shd w:val="clear" w:color="auto" w:fill="FFFFFF"/>
        </w:rPr>
        <w:t xml:space="preserve">however, </w:t>
      </w:r>
      <w:r w:rsidRPr="009C4FF8">
        <w:rPr>
          <w:rFonts w:cs="Arial"/>
          <w:shd w:val="clear" w:color="auto" w:fill="FFFFFF"/>
        </w:rPr>
        <w:t xml:space="preserve">still wary of the possible negative implications that excessive doctoring of </w:t>
      </w:r>
      <w:r w:rsidRPr="00DB4664">
        <w:rPr>
          <w:rFonts w:cs="Arial"/>
          <w:color w:val="auto"/>
          <w:shd w:val="clear" w:color="auto" w:fill="FFFFFF"/>
        </w:rPr>
        <w:t>the</w:t>
      </w:r>
      <w:r w:rsidR="00A07C2E">
        <w:rPr>
          <w:rFonts w:cs="Arial"/>
          <w:color w:val="auto"/>
          <w:shd w:val="clear" w:color="auto" w:fill="FFFFFF"/>
        </w:rPr>
        <w:t xml:space="preserve"> personal</w:t>
      </w:r>
      <w:r w:rsidRPr="00DB4664">
        <w:rPr>
          <w:rFonts w:cs="Arial"/>
          <w:color w:val="auto"/>
          <w:shd w:val="clear" w:color="auto" w:fill="FFFFFF"/>
        </w:rPr>
        <w:t xml:space="preserve"> income tax system in search of progressivity could have for the system’s ability to achieve vertical and horizontal equity.</w:t>
      </w:r>
      <w:r w:rsidR="00DB4664" w:rsidRPr="00DB4664">
        <w:rPr>
          <w:rFonts w:cs="Arial"/>
          <w:color w:val="auto"/>
          <w:shd w:val="clear" w:color="auto" w:fill="FFFFFF"/>
        </w:rPr>
        <w:t xml:space="preserve"> The more features that are incorporated into an income tax system to instigate progressivity, the more susceptible that system becomes to tax minimisation strategies, increasing the general costs of tax administration and reducing the system’s ability to provide horizontal and vertical equity.</w:t>
      </w:r>
    </w:p>
    <w:p w14:paraId="3E9E63C1" w14:textId="77777777" w:rsidR="00B02068" w:rsidRPr="00DB4664" w:rsidRDefault="00B02068" w:rsidP="00B02068">
      <w:pPr>
        <w:ind w:left="720"/>
        <w:rPr>
          <w:rFonts w:cs="Arial"/>
          <w:i/>
          <w:color w:val="auto"/>
          <w:sz w:val="20"/>
          <w:shd w:val="clear" w:color="auto" w:fill="FFFFFF"/>
        </w:rPr>
      </w:pPr>
      <w:r w:rsidRPr="00DB4664">
        <w:rPr>
          <w:rFonts w:cs="Arial"/>
          <w:i/>
          <w:color w:val="auto"/>
          <w:sz w:val="20"/>
          <w:shd w:val="clear" w:color="auto" w:fill="FFFFFF"/>
        </w:rPr>
        <w:t>Complexity is introduced when many allowances are believed to be called for by horizontal equity; and more when, with a highly progressive scale, measures have to be taken to prevent or control the transfer of incomes from persons in high tax ranges to those lower down.</w:t>
      </w:r>
      <w:r w:rsidRPr="00DB4664">
        <w:rPr>
          <w:rStyle w:val="FootnoteReference"/>
          <w:rFonts w:cs="Arial"/>
          <w:i/>
          <w:color w:val="auto"/>
          <w:sz w:val="20"/>
          <w:shd w:val="clear" w:color="auto" w:fill="FFFFFF"/>
        </w:rPr>
        <w:footnoteReference w:id="20"/>
      </w:r>
    </w:p>
    <w:p w14:paraId="3E9E63C2" w14:textId="77777777" w:rsidR="00B02068" w:rsidRPr="00DB4664" w:rsidRDefault="00B02068" w:rsidP="00B02068">
      <w:pPr>
        <w:rPr>
          <w:rFonts w:cs="Arial"/>
          <w:color w:val="auto"/>
          <w:shd w:val="clear" w:color="auto" w:fill="FFFFFF"/>
        </w:rPr>
      </w:pPr>
      <w:r w:rsidRPr="00DB4664">
        <w:rPr>
          <w:rFonts w:cs="Arial"/>
          <w:color w:val="auto"/>
          <w:shd w:val="clear" w:color="auto" w:fill="FFFFFF"/>
        </w:rPr>
        <w:t xml:space="preserve">Debate about the best way to reform tax continued in the 1985 Draft White Paper on Reform of the Australian Tax System. It was noted here that a </w:t>
      </w:r>
      <w:r w:rsidR="00A07C2E">
        <w:rPr>
          <w:rFonts w:cs="Arial"/>
          <w:color w:val="auto"/>
          <w:shd w:val="clear" w:color="auto" w:fill="FFFFFF"/>
        </w:rPr>
        <w:t>‘</w:t>
      </w:r>
      <w:r w:rsidRPr="00DB4664">
        <w:rPr>
          <w:rFonts w:cs="Arial"/>
          <w:color w:val="auto"/>
          <w:shd w:val="clear" w:color="auto" w:fill="FFFFFF"/>
        </w:rPr>
        <w:t>major problem with the existing scale is that of high marginal tax rates at relatively modest income levels, creating incentives to avoidance and evasion and disincentives to producing income</w:t>
      </w:r>
      <w:r w:rsidR="00A07C2E">
        <w:rPr>
          <w:rFonts w:cs="Arial"/>
          <w:color w:val="auto"/>
          <w:shd w:val="clear" w:color="auto" w:fill="FFFFFF"/>
        </w:rPr>
        <w:t>’</w:t>
      </w:r>
      <w:r w:rsidRPr="00DB4664">
        <w:rPr>
          <w:rFonts w:cs="Arial"/>
          <w:color w:val="auto"/>
          <w:shd w:val="clear" w:color="auto" w:fill="FFFFFF"/>
        </w:rPr>
        <w:t>.</w:t>
      </w:r>
      <w:r w:rsidRPr="00DB4664">
        <w:rPr>
          <w:rStyle w:val="FootnoteReference"/>
          <w:rFonts w:cs="Arial"/>
          <w:color w:val="auto"/>
          <w:shd w:val="clear" w:color="auto" w:fill="FFFFFF"/>
        </w:rPr>
        <w:footnoteReference w:id="21"/>
      </w:r>
      <w:r w:rsidRPr="00DB4664">
        <w:rPr>
          <w:rFonts w:cs="Arial"/>
          <w:color w:val="auto"/>
          <w:shd w:val="clear" w:color="auto" w:fill="FFFFFF"/>
        </w:rPr>
        <w:t xml:space="preserve"> The progressive rates were again noted as influencing behaviour in such a way as to encourage tax avoidance and through this reduce the capacity of providing horizontal and vertical equity. The benefits of having a large tax</w:t>
      </w:r>
      <w:r w:rsidR="00A07C2E">
        <w:rPr>
          <w:rFonts w:cs="Arial"/>
          <w:color w:val="auto"/>
          <w:shd w:val="clear" w:color="auto" w:fill="FFFFFF"/>
        </w:rPr>
        <w:noBreakHyphen/>
      </w:r>
      <w:r w:rsidRPr="00DB4664">
        <w:rPr>
          <w:rFonts w:cs="Arial"/>
          <w:color w:val="auto"/>
          <w:shd w:val="clear" w:color="auto" w:fill="FFFFFF"/>
        </w:rPr>
        <w:t>free threshold were also discussed, with it being generally viewed as an expensive way of assisting low income earners, due to the flow through effect extending to the entire population.</w:t>
      </w:r>
    </w:p>
    <w:p w14:paraId="3E9E63C3" w14:textId="77777777" w:rsidR="00B02068" w:rsidRPr="00DB4664" w:rsidRDefault="00B02068" w:rsidP="00B02068">
      <w:pPr>
        <w:ind w:left="720"/>
        <w:rPr>
          <w:rFonts w:cs="Arial"/>
          <w:i/>
          <w:color w:val="auto"/>
          <w:sz w:val="20"/>
          <w:szCs w:val="20"/>
          <w:shd w:val="clear" w:color="auto" w:fill="FFFFFF"/>
        </w:rPr>
      </w:pPr>
      <w:r w:rsidRPr="00DB4664">
        <w:rPr>
          <w:rFonts w:cs="Arial"/>
          <w:i/>
          <w:color w:val="auto"/>
          <w:sz w:val="20"/>
          <w:szCs w:val="20"/>
          <w:shd w:val="clear" w:color="auto" w:fill="FFFFFF"/>
        </w:rPr>
        <w:t>As a means of providing that low income earners do not bear tax, the tax-free threshold is a very expensive concession in terms of taxation revenue forgone since all taxpayers enjoy the threshold regardless of size of income.</w:t>
      </w:r>
      <w:r w:rsidRPr="00DB4664">
        <w:rPr>
          <w:rStyle w:val="FootnoteReference"/>
          <w:rFonts w:cs="Arial"/>
          <w:i/>
          <w:color w:val="auto"/>
          <w:sz w:val="20"/>
          <w:szCs w:val="20"/>
          <w:shd w:val="clear" w:color="auto" w:fill="FFFFFF"/>
        </w:rPr>
        <w:footnoteReference w:id="22"/>
      </w:r>
    </w:p>
    <w:p w14:paraId="3E9E63C4" w14:textId="77777777" w:rsidR="00B02068" w:rsidRPr="00DB4664" w:rsidRDefault="00B02068" w:rsidP="00B02068">
      <w:pPr>
        <w:rPr>
          <w:rFonts w:cs="Arial"/>
          <w:color w:val="auto"/>
          <w:shd w:val="clear" w:color="auto" w:fill="FFFFFF"/>
        </w:rPr>
      </w:pPr>
      <w:r w:rsidRPr="00DB4664">
        <w:rPr>
          <w:rFonts w:cs="Arial"/>
          <w:color w:val="auto"/>
          <w:shd w:val="clear" w:color="auto" w:fill="FFFFFF"/>
        </w:rPr>
        <w:t>The Review of Australia’s Future Tax System in 2008 furthered discussion on the possibility of making progressivity less distortionary for people’s behaviours. This review acknowledged that a system of rising marginal rates is not the only way of achieving progressivity.</w:t>
      </w:r>
    </w:p>
    <w:p w14:paraId="3E9E63C5" w14:textId="77777777" w:rsidR="00B02068" w:rsidRPr="0040689B" w:rsidRDefault="00B02068" w:rsidP="00B02068">
      <w:pPr>
        <w:ind w:left="720"/>
        <w:rPr>
          <w:i/>
          <w:color w:val="000000"/>
          <w:sz w:val="20"/>
          <w:szCs w:val="20"/>
          <w:shd w:val="clear" w:color="auto" w:fill="FFFFFF"/>
        </w:rPr>
      </w:pPr>
      <w:r w:rsidRPr="00DB4664">
        <w:rPr>
          <w:i/>
          <w:color w:val="auto"/>
          <w:sz w:val="20"/>
          <w:szCs w:val="20"/>
          <w:shd w:val="clear" w:color="auto" w:fill="FFFFFF"/>
        </w:rPr>
        <w:lastRenderedPageBreak/>
        <w:t xml:space="preserve">Progressivity can be achieved either through a flat tax rate with a tax-free threshold, a rising personal income tax rates scale, or a combination </w:t>
      </w:r>
      <w:r w:rsidRPr="0040689B">
        <w:rPr>
          <w:i/>
          <w:color w:val="000000"/>
          <w:sz w:val="20"/>
          <w:szCs w:val="20"/>
          <w:shd w:val="clear" w:color="auto" w:fill="FFFFFF"/>
        </w:rPr>
        <w:t>of both. Progressivity does not necessarily require increasing effective marginal tax rates.</w:t>
      </w:r>
      <w:r w:rsidRPr="0040689B">
        <w:rPr>
          <w:rStyle w:val="FootnoteReference"/>
          <w:i/>
          <w:color w:val="000000"/>
          <w:sz w:val="20"/>
          <w:szCs w:val="20"/>
          <w:shd w:val="clear" w:color="auto" w:fill="FFFFFF"/>
        </w:rPr>
        <w:footnoteReference w:id="23"/>
      </w:r>
    </w:p>
    <w:p w14:paraId="3E9E63C6" w14:textId="77777777" w:rsidR="00B02068" w:rsidRDefault="00B02068" w:rsidP="00B02068">
      <w:pPr>
        <w:rPr>
          <w:color w:val="000000"/>
          <w:shd w:val="clear" w:color="auto" w:fill="FFFFFF"/>
        </w:rPr>
      </w:pPr>
      <w:r w:rsidRPr="006F6252">
        <w:rPr>
          <w:color w:val="000000"/>
          <w:shd w:val="clear" w:color="auto" w:fill="FFFFFF"/>
        </w:rPr>
        <w:t xml:space="preserve">The </w:t>
      </w:r>
      <w:r>
        <w:rPr>
          <w:color w:val="000000"/>
          <w:shd w:val="clear" w:color="auto" w:fill="FFFFFF"/>
        </w:rPr>
        <w:t xml:space="preserve">AFTS Review </w:t>
      </w:r>
      <w:r w:rsidRPr="006F6252">
        <w:rPr>
          <w:color w:val="000000"/>
          <w:shd w:val="clear" w:color="auto" w:fill="FFFFFF"/>
        </w:rPr>
        <w:t>argued that a flat rate would be more effective, due to being more tran</w:t>
      </w:r>
      <w:r>
        <w:rPr>
          <w:color w:val="000000"/>
          <w:shd w:val="clear" w:color="auto" w:fill="FFFFFF"/>
        </w:rPr>
        <w:t>sparent.</w:t>
      </w:r>
    </w:p>
    <w:p w14:paraId="3E9E63C7" w14:textId="77777777" w:rsidR="00B02068" w:rsidRPr="0040689B" w:rsidRDefault="00B02068" w:rsidP="00B02068">
      <w:pPr>
        <w:ind w:left="720"/>
        <w:rPr>
          <w:i/>
          <w:color w:val="000000"/>
          <w:sz w:val="20"/>
          <w:shd w:val="clear" w:color="auto" w:fill="FFFFFF"/>
        </w:rPr>
      </w:pPr>
      <w:r w:rsidRPr="0040689B">
        <w:rPr>
          <w:i/>
          <w:color w:val="000000"/>
          <w:sz w:val="20"/>
          <w:shd w:val="clear" w:color="auto" w:fill="FFFFFF"/>
        </w:rPr>
        <w:t>The personal income tax system should continue to be progressive, but it should operate in a simpler and more transparent way. The centrepiece of the system should be a high tax-free threshold with a constant marginal rate for most people.</w:t>
      </w:r>
      <w:r w:rsidRPr="0040689B">
        <w:rPr>
          <w:rStyle w:val="FootnoteReference"/>
          <w:i/>
          <w:color w:val="000000"/>
          <w:sz w:val="20"/>
          <w:shd w:val="clear" w:color="auto" w:fill="FFFFFF"/>
        </w:rPr>
        <w:footnoteReference w:id="24"/>
      </w:r>
    </w:p>
    <w:p w14:paraId="3E9E63C8" w14:textId="77777777" w:rsidR="00B02068" w:rsidRDefault="00B02068" w:rsidP="00B02068">
      <w:pPr>
        <w:rPr>
          <w:color w:val="000000"/>
          <w:shd w:val="clear" w:color="auto" w:fill="FFFFFF"/>
        </w:rPr>
      </w:pPr>
      <w:r>
        <w:rPr>
          <w:color w:val="000000"/>
          <w:shd w:val="clear" w:color="auto" w:fill="FFFFFF"/>
        </w:rPr>
        <w:t>It also argues against excessively high taxes being levied against those in the top brackets.</w:t>
      </w:r>
    </w:p>
    <w:p w14:paraId="3E9E63C9" w14:textId="77777777" w:rsidR="00B02068" w:rsidRPr="0040689B" w:rsidRDefault="00B02068" w:rsidP="00B02068">
      <w:pPr>
        <w:ind w:left="720"/>
        <w:rPr>
          <w:i/>
          <w:color w:val="000000"/>
          <w:sz w:val="20"/>
          <w:shd w:val="clear" w:color="auto" w:fill="FFFFFF"/>
        </w:rPr>
      </w:pPr>
      <w:r w:rsidRPr="0040689B">
        <w:rPr>
          <w:i/>
          <w:color w:val="000000"/>
          <w:sz w:val="20"/>
          <w:shd w:val="clear" w:color="auto" w:fill="FFFFFF"/>
        </w:rPr>
        <w:t>The redistributive goals of progressive taxation need to be weighed against the effects that progressive taxes have on incentives to invest in education, training and skills and to engage in entrepreneurial activity. Even with strong preferences for redistribution, steeply rising marginal rates at the top of the income distribution will be counter-productive — it only makes sense to tax people to the extent that they are still willing to work or engage in entrepreneurial activity.</w:t>
      </w:r>
      <w:r w:rsidRPr="0040689B">
        <w:rPr>
          <w:rStyle w:val="FootnoteReference"/>
          <w:i/>
          <w:color w:val="000000"/>
          <w:sz w:val="20"/>
          <w:shd w:val="clear" w:color="auto" w:fill="FFFFFF"/>
        </w:rPr>
        <w:footnoteReference w:id="25"/>
      </w:r>
    </w:p>
    <w:p w14:paraId="3E9E63CA" w14:textId="77777777" w:rsidR="00B02068" w:rsidRDefault="00B02068" w:rsidP="00B02068">
      <w:pPr>
        <w:rPr>
          <w:shd w:val="clear" w:color="auto" w:fill="FFFFFF"/>
        </w:rPr>
      </w:pPr>
      <w:r>
        <w:rPr>
          <w:color w:val="000000"/>
          <w:shd w:val="clear" w:color="auto" w:fill="FFFFFF"/>
        </w:rPr>
        <w:t xml:space="preserve">Although the review advocated against the excessive use of structural offsets, arguing that it would be more transparent to incorporate such changes into marginal rates, it did acknowledge that </w:t>
      </w:r>
      <w:r w:rsidRPr="00741FCC">
        <w:rPr>
          <w:shd w:val="clear" w:color="auto" w:fill="FFFFFF"/>
        </w:rPr>
        <w:t xml:space="preserve">such offsets have </w:t>
      </w:r>
      <w:r w:rsidR="00A07C2E">
        <w:rPr>
          <w:shd w:val="clear" w:color="auto" w:fill="FFFFFF"/>
        </w:rPr>
        <w:t>‘</w:t>
      </w:r>
      <w:r w:rsidRPr="00741FCC">
        <w:rPr>
          <w:shd w:val="clear" w:color="auto" w:fill="FFFFFF"/>
        </w:rPr>
        <w:t>the advantage of allowing governments to target taxes and transfers with much greater precision than would be possible if it simply reduced tax liabilities</w:t>
      </w:r>
      <w:r w:rsidR="00A07C2E">
        <w:rPr>
          <w:shd w:val="clear" w:color="auto" w:fill="FFFFFF"/>
        </w:rPr>
        <w:t>’</w:t>
      </w:r>
      <w:r>
        <w:rPr>
          <w:shd w:val="clear" w:color="auto" w:fill="FFFFFF"/>
        </w:rPr>
        <w:t>.</w:t>
      </w:r>
      <w:r>
        <w:rPr>
          <w:rStyle w:val="FootnoteReference"/>
          <w:shd w:val="clear" w:color="auto" w:fill="FFFFFF"/>
        </w:rPr>
        <w:footnoteReference w:id="26"/>
      </w:r>
      <w:r>
        <w:rPr>
          <w:shd w:val="clear" w:color="auto" w:fill="FFFFFF"/>
        </w:rPr>
        <w:t xml:space="preserve"> </w:t>
      </w:r>
    </w:p>
    <w:p w14:paraId="3E9E63CB" w14:textId="77777777" w:rsidR="00B02068" w:rsidRPr="00741FCC" w:rsidRDefault="00B02068" w:rsidP="00B02068">
      <w:pPr>
        <w:rPr>
          <w:color w:val="000000"/>
          <w:shd w:val="clear" w:color="auto" w:fill="FFFFFF"/>
        </w:rPr>
      </w:pPr>
      <w:r>
        <w:rPr>
          <w:shd w:val="clear" w:color="auto" w:fill="FFFFFF"/>
        </w:rPr>
        <w:t xml:space="preserve">The recent 2015 Re:Think Tax White Paper emphasised the necessity of having a progressive tax system in ensuring continued faith in the fairness of the Australian tax system. Although it did not outline a specific marginal tax rate structure, it did state that the </w:t>
      </w:r>
      <w:r w:rsidR="00A07C2E">
        <w:rPr>
          <w:shd w:val="clear" w:color="auto" w:fill="FFFFFF"/>
        </w:rPr>
        <w:t>‘</w:t>
      </w:r>
      <w:r>
        <w:t>potential benefits from income splitting arise from the progressivity and effective tax-free thresholds in the individuals income tax system</w:t>
      </w:r>
      <w:r w:rsidR="00A07C2E">
        <w:t>’</w:t>
      </w:r>
      <w:r>
        <w:t>.</w:t>
      </w:r>
      <w:r>
        <w:rPr>
          <w:rStyle w:val="FootnoteReference"/>
        </w:rPr>
        <w:footnoteReference w:id="27"/>
      </w:r>
    </w:p>
    <w:p w14:paraId="3E9E63CC" w14:textId="77777777" w:rsidR="00E32E89" w:rsidRDefault="00E32E89" w:rsidP="00B02068">
      <w:pPr>
        <w:sectPr w:rsidR="00E32E89" w:rsidSect="009B6227">
          <w:headerReference w:type="even" r:id="rId42"/>
          <w:headerReference w:type="default" r:id="rId43"/>
          <w:headerReference w:type="first" r:id="rId44"/>
          <w:footerReference w:type="first" r:id="rId45"/>
          <w:pgSz w:w="11906" w:h="16838" w:code="9"/>
          <w:pgMar w:top="1418" w:right="1304" w:bottom="1418" w:left="1304" w:header="567" w:footer="567" w:gutter="0"/>
          <w:cols w:space="720"/>
          <w:titlePg/>
          <w:docGrid w:linePitch="360"/>
        </w:sectPr>
      </w:pPr>
    </w:p>
    <w:p w14:paraId="3E9E63CD" w14:textId="77777777" w:rsidR="002C6C00" w:rsidRDefault="00FA0921" w:rsidP="0008752B">
      <w:pPr>
        <w:pStyle w:val="AppendixHeadingLevel2NotNumbered"/>
      </w:pPr>
      <w:r>
        <w:lastRenderedPageBreak/>
        <w:t>Australian i</w:t>
      </w:r>
      <w:r w:rsidR="002C6C00">
        <w:t>ncome tax rates and th</w:t>
      </w:r>
      <w:r w:rsidR="00CC469B">
        <w:t>r</w:t>
      </w:r>
      <w:r w:rsidR="002C6C00">
        <w:t>esholds over time</w:t>
      </w:r>
    </w:p>
    <w:p w14:paraId="3E9E63CE" w14:textId="77777777" w:rsidR="006B24BC" w:rsidRDefault="000B0FAE" w:rsidP="002C6C00">
      <w:pPr>
        <w:spacing w:after="200" w:line="276" w:lineRule="auto"/>
        <w:jc w:val="center"/>
        <w:rPr>
          <w:rFonts w:eastAsia="Calibri" w:cs="Times New Roman"/>
          <w:b/>
          <w:color w:val="auto"/>
        </w:rPr>
      </w:pPr>
      <w:r w:rsidRPr="000B0FAE">
        <w:rPr>
          <w:noProof/>
          <w:lang w:eastAsia="en-AU"/>
        </w:rPr>
        <w:drawing>
          <wp:inline distT="0" distB="0" distL="0" distR="0" wp14:anchorId="3E9E63EA" wp14:editId="3E9E63EB">
            <wp:extent cx="5905500" cy="7258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6">
                      <a:extLst>
                        <a:ext uri="{28A0092B-C50C-407E-A947-70E740481C1C}">
                          <a14:useLocalDpi xmlns:a14="http://schemas.microsoft.com/office/drawing/2010/main" val="0"/>
                        </a:ext>
                      </a:extLst>
                    </a:blip>
                    <a:srcRect b="1374"/>
                    <a:stretch/>
                  </pic:blipFill>
                  <pic:spPr bwMode="auto">
                    <a:xfrm>
                      <a:off x="0" y="0"/>
                      <a:ext cx="5904230" cy="7256489"/>
                    </a:xfrm>
                    <a:prstGeom prst="rect">
                      <a:avLst/>
                    </a:prstGeom>
                    <a:noFill/>
                    <a:ln>
                      <a:noFill/>
                    </a:ln>
                    <a:extLst>
                      <a:ext uri="{53640926-AAD7-44D8-BBD7-CCE9431645EC}">
                        <a14:shadowObscured xmlns:a14="http://schemas.microsoft.com/office/drawing/2010/main"/>
                      </a:ext>
                    </a:extLst>
                  </pic:spPr>
                </pic:pic>
              </a:graphicData>
            </a:graphic>
          </wp:inline>
        </w:drawing>
      </w:r>
    </w:p>
    <w:p w14:paraId="3E9E63CF" w14:textId="7CBE4511" w:rsidR="002C6C00" w:rsidRPr="0040689B" w:rsidRDefault="00BF507D" w:rsidP="002C6C00">
      <w:pPr>
        <w:spacing w:after="200" w:line="276" w:lineRule="auto"/>
        <w:jc w:val="center"/>
        <w:rPr>
          <w:rFonts w:eastAsia="Calibri" w:cs="Times New Roman"/>
          <w:b/>
          <w:color w:val="auto"/>
        </w:rPr>
      </w:pPr>
      <w:r w:rsidRPr="00BF507D">
        <w:rPr>
          <w:noProof/>
          <w:lang w:eastAsia="en-AU"/>
        </w:rPr>
        <w:lastRenderedPageBreak/>
        <w:drawing>
          <wp:inline distT="0" distB="0" distL="0" distR="0" wp14:anchorId="3E9E63EC" wp14:editId="3E9E63ED">
            <wp:extent cx="5905500" cy="4221725"/>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7">
                      <a:extLst>
                        <a:ext uri="{28A0092B-C50C-407E-A947-70E740481C1C}">
                          <a14:useLocalDpi xmlns:a14="http://schemas.microsoft.com/office/drawing/2010/main" val="0"/>
                        </a:ext>
                      </a:extLst>
                    </a:blip>
                    <a:srcRect t="1628" b="1"/>
                    <a:stretch/>
                  </pic:blipFill>
                  <pic:spPr bwMode="auto">
                    <a:xfrm>
                      <a:off x="0" y="0"/>
                      <a:ext cx="5904230" cy="4220817"/>
                    </a:xfrm>
                    <a:prstGeom prst="rect">
                      <a:avLst/>
                    </a:prstGeom>
                    <a:noFill/>
                    <a:ln>
                      <a:noFill/>
                    </a:ln>
                    <a:extLst>
                      <a:ext uri="{53640926-AAD7-44D8-BBD7-CCE9431645EC}">
                        <a14:shadowObscured xmlns:a14="http://schemas.microsoft.com/office/drawing/2010/main"/>
                      </a:ext>
                    </a:extLst>
                  </pic:spPr>
                </pic:pic>
              </a:graphicData>
            </a:graphic>
          </wp:inline>
        </w:drawing>
      </w:r>
    </w:p>
    <w:sectPr w:rsidR="002C6C00" w:rsidRPr="0040689B" w:rsidSect="009B6227">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9D88C" w14:textId="77777777" w:rsidR="007F3C25" w:rsidRDefault="007F3C25" w:rsidP="005F100C">
      <w:pPr>
        <w:spacing w:after="0"/>
      </w:pPr>
      <w:r>
        <w:separator/>
      </w:r>
    </w:p>
  </w:endnote>
  <w:endnote w:type="continuationSeparator" w:id="0">
    <w:p w14:paraId="658D40B4" w14:textId="77777777" w:rsidR="007F3C25" w:rsidRDefault="007F3C25" w:rsidP="005F100C">
      <w:pPr>
        <w:spacing w:after="0"/>
      </w:pPr>
      <w:r>
        <w:continuationSeparator/>
      </w:r>
    </w:p>
  </w:endnote>
  <w:endnote w:type="continuationNotice" w:id="1">
    <w:p w14:paraId="2BAC6F0E" w14:textId="77777777" w:rsidR="007F3C25" w:rsidRDefault="007F3C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3F8" w14:textId="77777777" w:rsidR="0005796A" w:rsidRDefault="0005796A"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p w14:paraId="3E9E63F9" w14:textId="461D9C15" w:rsidR="0005796A" w:rsidRPr="00365C6D" w:rsidRDefault="003F6849" w:rsidP="00F60530">
    <w:pPr>
      <w:pStyle w:val="SecurityClassificationFooter"/>
    </w:pPr>
    <w:fldSimple w:instr=" DOCPROPERTY WorkingDocStatus \* MERGEFORMAT ">
      <w:r w:rsidR="00F56991">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3FA" w14:textId="573D3994" w:rsidR="0005796A" w:rsidRDefault="0005796A"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0B1718">
      <w:rPr>
        <w:rStyle w:val="PageNumber"/>
        <w:noProof/>
      </w:rPr>
      <w:t>21</w:t>
    </w:r>
    <w:r w:rsidRPr="00365C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AE35" w14:textId="77777777" w:rsidR="003F6849" w:rsidRDefault="003F68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406" w14:textId="0F21B09A" w:rsidR="0005796A" w:rsidRDefault="0005796A"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0B1718">
      <w:rPr>
        <w:rStyle w:val="PageNumber"/>
        <w:noProof/>
      </w:rPr>
      <w:t>20</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B2EA0" w14:textId="77777777" w:rsidR="007F3C25" w:rsidRDefault="007F3C25" w:rsidP="005F100C">
      <w:pPr>
        <w:spacing w:after="0"/>
      </w:pPr>
      <w:r>
        <w:separator/>
      </w:r>
    </w:p>
  </w:footnote>
  <w:footnote w:type="continuationSeparator" w:id="0">
    <w:p w14:paraId="17F81CFE" w14:textId="77777777" w:rsidR="007F3C25" w:rsidRDefault="007F3C25" w:rsidP="005F100C">
      <w:pPr>
        <w:spacing w:after="0"/>
      </w:pPr>
      <w:r>
        <w:continuationSeparator/>
      </w:r>
    </w:p>
  </w:footnote>
  <w:footnote w:type="continuationNotice" w:id="1">
    <w:p w14:paraId="68CFA15E" w14:textId="77777777" w:rsidR="007F3C25" w:rsidRDefault="007F3C25">
      <w:pPr>
        <w:spacing w:after="0"/>
      </w:pPr>
    </w:p>
  </w:footnote>
  <w:footnote w:id="2">
    <w:p w14:paraId="3E9E640A" w14:textId="3ECDF412" w:rsidR="0005796A" w:rsidRPr="00340329" w:rsidRDefault="0005796A" w:rsidP="005821AB">
      <w:pPr>
        <w:pStyle w:val="FootnoteText"/>
      </w:pPr>
      <w:r w:rsidRPr="00340329">
        <w:rPr>
          <w:rStyle w:val="FootnoteReference"/>
          <w:sz w:val="16"/>
          <w:szCs w:val="16"/>
          <w:vertAlign w:val="baseline"/>
        </w:rPr>
        <w:footnoteRef/>
      </w:r>
      <w:r w:rsidRPr="00340329">
        <w:t xml:space="preserve"> </w:t>
      </w:r>
      <w:r w:rsidRPr="00340329">
        <w:tab/>
        <w:t>Graeme Davis</w:t>
      </w:r>
      <w:r>
        <w:t>, David Pearl</w:t>
      </w:r>
      <w:r w:rsidRPr="00340329">
        <w:t xml:space="preserve"> and Philip Akroyd are from the Tax Framework Division and Tristram Sainsbury is from the Individuals and Indirect Tax Division, The Treasury, Langton Crescent, Parkes ACT 2600, Australia. </w:t>
      </w:r>
      <w:r w:rsidRPr="008A3745">
        <w:t xml:space="preserve">We thank </w:t>
      </w:r>
      <w:r>
        <w:t>Maryanne</w:t>
      </w:r>
      <w:r w:rsidR="001369DB">
        <w:t> </w:t>
      </w:r>
      <w:r>
        <w:t>Mrakovcic</w:t>
      </w:r>
      <w:r w:rsidRPr="008A3745">
        <w:t>,</w:t>
      </w:r>
      <w:r>
        <w:t xml:space="preserve"> Marisa Purvis</w:t>
      </w:r>
      <w:r>
        <w:noBreakHyphen/>
        <w:t xml:space="preserve">Smith and Robert Raether for their valuable feedback on an early draft of this paper, and James Stevens and Alexander Sibelle for research assistance. </w:t>
      </w:r>
    </w:p>
  </w:footnote>
  <w:footnote w:id="3">
    <w:p w14:paraId="3E9E640B" w14:textId="77777777" w:rsidR="0005796A" w:rsidRPr="00340329" w:rsidRDefault="0005796A" w:rsidP="005821AB">
      <w:pPr>
        <w:pStyle w:val="FootnoteText"/>
      </w:pPr>
      <w:r w:rsidRPr="00340329">
        <w:rPr>
          <w:rStyle w:val="FootnoteReference"/>
          <w:sz w:val="16"/>
          <w:szCs w:val="16"/>
          <w:vertAlign w:val="baseline"/>
        </w:rPr>
        <w:footnoteRef/>
      </w:r>
      <w:r w:rsidRPr="00340329">
        <w:t xml:space="preserve"> </w:t>
      </w:r>
      <w:r w:rsidRPr="00340329">
        <w:tab/>
        <w:t>The views expressed in this paper are those of the authors and do not necessarily reflect those of The Australian Treasury or the Australian Government.</w:t>
      </w:r>
    </w:p>
    <w:p w14:paraId="3E9E640C" w14:textId="1A2C65AA" w:rsidR="0005796A" w:rsidRPr="00340329" w:rsidRDefault="0005796A" w:rsidP="00B16138">
      <w:pPr>
        <w:pStyle w:val="FootnoteText"/>
        <w:ind w:left="0" w:firstLine="0"/>
      </w:pPr>
    </w:p>
  </w:footnote>
  <w:footnote w:id="4">
    <w:p w14:paraId="3E9E640D" w14:textId="6449DE04" w:rsidR="0005796A" w:rsidRDefault="0005796A" w:rsidP="005821AB">
      <w:pPr>
        <w:pStyle w:val="FootnoteText"/>
      </w:pPr>
      <w:r w:rsidRPr="005821AB">
        <w:rPr>
          <w:rStyle w:val="FootnoteReference"/>
          <w:sz w:val="16"/>
          <w:vertAlign w:val="baseline"/>
        </w:rPr>
        <w:footnoteRef/>
      </w:r>
      <w:r w:rsidRPr="005821AB">
        <w:t xml:space="preserve"> </w:t>
      </w:r>
      <w:r>
        <w:tab/>
      </w:r>
      <w:r w:rsidRPr="009407F3">
        <w:t xml:space="preserve">Why the period from 1994-95 to 2015-16? Inevitably the selection of two points of time </w:t>
      </w:r>
      <w:r>
        <w:t>requires a degree of judgement. A</w:t>
      </w:r>
      <w:r w:rsidRPr="009407F3">
        <w:t>t the time we started this research, these dates provided the broadest, relatively accessible data set for analysis. We note that the Australian Taxation Office has since released a more recent set of taxation statistics for the 2016-17 income year</w:t>
      </w:r>
      <w:r>
        <w:t xml:space="preserve">; </w:t>
      </w:r>
      <w:r w:rsidRPr="009407F3">
        <w:t>our preliminary analysis of the additional data suggests it is not inconsistent with our broader findings.</w:t>
      </w:r>
    </w:p>
  </w:footnote>
  <w:footnote w:id="5">
    <w:p w14:paraId="3E9E640E" w14:textId="5807BFCC" w:rsidR="0005796A" w:rsidRDefault="0005796A" w:rsidP="005821AB">
      <w:pPr>
        <w:pStyle w:val="FootnoteText"/>
      </w:pPr>
      <w:r w:rsidRPr="005821AB">
        <w:rPr>
          <w:rStyle w:val="FootnoteReference"/>
          <w:vertAlign w:val="baseline"/>
        </w:rPr>
        <w:footnoteRef/>
      </w:r>
      <w:r w:rsidRPr="005821AB">
        <w:rPr>
          <w:sz w:val="20"/>
        </w:rPr>
        <w:t xml:space="preserve"> </w:t>
      </w:r>
      <w:r>
        <w:tab/>
      </w:r>
      <w:r w:rsidRPr="005821AB">
        <w:t>The average tax rate determines an individual’s total return from earning income, while the marginal tax rate determines the return from earning additional income.</w:t>
      </w:r>
    </w:p>
  </w:footnote>
  <w:footnote w:id="6">
    <w:p w14:paraId="3E9E640F" w14:textId="560CD638" w:rsidR="0005796A" w:rsidRDefault="0005796A" w:rsidP="00E43622">
      <w:pPr>
        <w:pStyle w:val="FootnoteText"/>
      </w:pPr>
      <w:r w:rsidRPr="00E43622">
        <w:footnoteRef/>
      </w:r>
      <w:r w:rsidRPr="00E43622">
        <w:t xml:space="preserve"> </w:t>
      </w:r>
      <w:r>
        <w:tab/>
        <w:t xml:space="preserve">Bracket creep </w:t>
      </w:r>
      <w:r w:rsidRPr="0018563A">
        <w:t xml:space="preserve">is not simply due to some taxpayers ‘moving’ into higher tax brackets.  Those in the same tax bracket are affected as well, as a higher proportion of their incomes are taxed at their highest marginal </w:t>
      </w:r>
      <w:r>
        <w:t>rate.</w:t>
      </w:r>
      <w:r w:rsidRPr="0018563A">
        <w:t xml:space="preserve"> </w:t>
      </w:r>
    </w:p>
  </w:footnote>
  <w:footnote w:id="7">
    <w:p w14:paraId="3E9E6410" w14:textId="5D3DD412" w:rsidR="0005796A" w:rsidRPr="005760BD" w:rsidRDefault="0005796A" w:rsidP="00E43622">
      <w:pPr>
        <w:pStyle w:val="FootnoteText"/>
        <w:rPr>
          <w:lang w:val="en-US"/>
        </w:rPr>
      </w:pPr>
      <w:r w:rsidRPr="004255C6">
        <w:rPr>
          <w:rStyle w:val="FootnoteReference"/>
          <w:sz w:val="16"/>
          <w:szCs w:val="16"/>
          <w:vertAlign w:val="baseline"/>
        </w:rPr>
        <w:footnoteRef/>
      </w:r>
      <w:r w:rsidRPr="005760BD">
        <w:t xml:space="preserve"> </w:t>
      </w:r>
      <w:r>
        <w:tab/>
      </w:r>
      <w:r w:rsidRPr="00E05C00">
        <w:t>For example</w:t>
      </w:r>
      <w:r>
        <w:t xml:space="preserve"> </w:t>
      </w:r>
      <w:r w:rsidRPr="00804FB5">
        <w:t>equality of opportunity</w:t>
      </w:r>
      <w:r>
        <w:t xml:space="preserve">, </w:t>
      </w:r>
      <w:r w:rsidRPr="00E05C00">
        <w:t xml:space="preserve">libertarianism, utilitarianism, Rawlsianism, and </w:t>
      </w:r>
      <w:r>
        <w:t xml:space="preserve">the </w:t>
      </w:r>
      <w:r w:rsidRPr="00E05C00">
        <w:t>capabilities approach would all produce different definitions of fairness.</w:t>
      </w:r>
    </w:p>
  </w:footnote>
  <w:footnote w:id="8">
    <w:p w14:paraId="3E9E6411" w14:textId="38FA9EEF" w:rsidR="0005796A" w:rsidRPr="00E354BA" w:rsidRDefault="0005796A" w:rsidP="00E43622">
      <w:pPr>
        <w:pStyle w:val="FootnoteText"/>
      </w:pPr>
      <w:r w:rsidRPr="004255C6">
        <w:rPr>
          <w:rStyle w:val="FootnoteReference"/>
          <w:sz w:val="16"/>
          <w:szCs w:val="16"/>
          <w:vertAlign w:val="baseline"/>
        </w:rPr>
        <w:footnoteRef/>
      </w:r>
      <w:r w:rsidRPr="004255C6">
        <w:t xml:space="preserve"> </w:t>
      </w:r>
      <w:r>
        <w:tab/>
      </w:r>
      <w:r w:rsidRPr="00E354BA">
        <w:t>For example, it could be argued that regressive taxes, such as tobacco taxes, are fair in terms of their broader social impact and the higher absolute dollar tax incidence on those able to spend more on these forms of consumption.</w:t>
      </w:r>
    </w:p>
  </w:footnote>
  <w:footnote w:id="9">
    <w:p w14:paraId="3E9E6412" w14:textId="35A29353" w:rsidR="0005796A" w:rsidRPr="00E354BA" w:rsidRDefault="0005796A" w:rsidP="00E43622">
      <w:pPr>
        <w:pStyle w:val="FootnoteText"/>
      </w:pPr>
      <w:r w:rsidRPr="004255C6">
        <w:rPr>
          <w:rStyle w:val="FootnoteReference"/>
          <w:sz w:val="16"/>
          <w:szCs w:val="16"/>
          <w:vertAlign w:val="baseline"/>
        </w:rPr>
        <w:footnoteRef/>
      </w:r>
      <w:r w:rsidRPr="00E354BA">
        <w:t xml:space="preserve"> </w:t>
      </w:r>
      <w:r>
        <w:tab/>
      </w:r>
      <w:r w:rsidRPr="00E354BA">
        <w:t>The benefit principle is not a new concept. See, for example, Adam Smith in The Wealth of Nations, Volume V, paragraph 2.25: ‘The subjects of every state ought to contribute towards the support of the government, as nearly as possible, in proportion to their respective abilities; that is, in proportion to the revenue which they respectively enjoy under the protection of the state. The expense of government to the individuals of a great nation is like the expense of management to the joint tenants of a great estate, who are all obliged to contribute in proportion to their respective interests in the estate. In the observation or neglect of this maxim consists what is called the equality or inequality of taxation.’</w:t>
      </w:r>
    </w:p>
  </w:footnote>
  <w:footnote w:id="10">
    <w:p w14:paraId="3E9E6413" w14:textId="301DB729" w:rsidR="0005796A" w:rsidRDefault="0005796A" w:rsidP="00E43622">
      <w:pPr>
        <w:pStyle w:val="FootnoteText"/>
      </w:pPr>
      <w:r w:rsidRPr="004255C6">
        <w:rPr>
          <w:rStyle w:val="FootnoteReference"/>
          <w:sz w:val="16"/>
          <w:szCs w:val="16"/>
          <w:vertAlign w:val="baseline"/>
        </w:rPr>
        <w:footnoteRef/>
      </w:r>
      <w:r w:rsidRPr="00E354BA">
        <w:t xml:space="preserve"> </w:t>
      </w:r>
      <w:r>
        <w:tab/>
      </w:r>
      <w:r w:rsidRPr="00E354BA">
        <w:t>A curious aside is that while personal income taxes raise more than 50 per cent of Commonwealth revenue, there is nothing inherent to the annual personal income taxation system that requires it to be the primary vehicle to raise revenue and to approximate capacity to pay.  In fact, income taxation only became a dominant feature of Australia’s</w:t>
      </w:r>
      <w:r w:rsidRPr="00E05C00">
        <w:t xml:space="preserve"> tax mix in the aftermath of the two World Wars. </w:t>
      </w:r>
      <w:r w:rsidRPr="00A03236">
        <w:t xml:space="preserve"> Prior to this, attempts to achieve progressivity included taxing land and inheritance. </w:t>
      </w:r>
    </w:p>
  </w:footnote>
  <w:footnote w:id="11">
    <w:p w14:paraId="3E9E6414" w14:textId="7D43D069" w:rsidR="0005796A" w:rsidRDefault="0005796A" w:rsidP="005821AB">
      <w:pPr>
        <w:pStyle w:val="FootnoteText"/>
      </w:pPr>
      <w:r w:rsidRPr="004255C6">
        <w:rPr>
          <w:rStyle w:val="FootnoteReference"/>
          <w:vertAlign w:val="baseline"/>
        </w:rPr>
        <w:footnoteRef/>
      </w:r>
      <w:r w:rsidRPr="004255C6">
        <w:t xml:space="preserve"> </w:t>
      </w:r>
      <w:r>
        <w:tab/>
      </w:r>
      <w:r w:rsidRPr="00E354BA">
        <w:rPr>
          <w:szCs w:val="16"/>
        </w:rPr>
        <w:t>Asprey</w:t>
      </w:r>
      <w:r w:rsidRPr="00BB6FCE">
        <w:t xml:space="preserve">, K, and Parsons, R, 1975, Commonwealth Taxation Review Committee, Full Report January 31 1975. </w:t>
      </w:r>
      <w:r>
        <w:t>Chapter 3, para 7.</w:t>
      </w:r>
    </w:p>
  </w:footnote>
  <w:footnote w:id="12">
    <w:p w14:paraId="3E9E6415" w14:textId="3891728F" w:rsidR="0005796A" w:rsidRPr="00E354BA" w:rsidRDefault="0005796A" w:rsidP="00E43622">
      <w:pPr>
        <w:pStyle w:val="FootnoteText"/>
      </w:pPr>
      <w:r w:rsidRPr="004255C6">
        <w:rPr>
          <w:rStyle w:val="FootnoteReference"/>
          <w:sz w:val="16"/>
          <w:szCs w:val="16"/>
          <w:vertAlign w:val="baseline"/>
        </w:rPr>
        <w:footnoteRef/>
      </w:r>
      <w:r w:rsidRPr="004255C6">
        <w:t xml:space="preserve"> </w:t>
      </w:r>
      <w:r>
        <w:tab/>
      </w:r>
      <w:r w:rsidRPr="00E354BA">
        <w:t>There is also a dynamic interpretation of horizontal equity</w:t>
      </w:r>
      <w:r w:rsidRPr="00E354BA">
        <w:rPr>
          <w:lang w:val="en"/>
        </w:rPr>
        <w:t xml:space="preserve">, </w:t>
      </w:r>
      <w:r w:rsidRPr="00E354BA">
        <w:t>expressed in the idea that people should not be penalised by the tax system for seeking to better their lives.  This implies that people should not face higher marginal tax rates when their incomes increase.  If two people were to start with the same chances in life, the idea is that neither person should be penalised, in the form of a higher marginal tax rate, if they decide to raise their income (such as by working harder or investing in their education and skills).</w:t>
      </w:r>
    </w:p>
  </w:footnote>
  <w:footnote w:id="13">
    <w:p w14:paraId="3E9E6416" w14:textId="3101BC87" w:rsidR="0005796A" w:rsidRDefault="0005796A" w:rsidP="005821AB">
      <w:pPr>
        <w:pStyle w:val="FootnoteText"/>
      </w:pPr>
      <w:r w:rsidRPr="004255C6">
        <w:rPr>
          <w:rStyle w:val="FootnoteReference"/>
          <w:sz w:val="16"/>
          <w:szCs w:val="16"/>
          <w:vertAlign w:val="baseline"/>
        </w:rPr>
        <w:footnoteRef/>
      </w:r>
      <w:r w:rsidRPr="004255C6">
        <w:rPr>
          <w:szCs w:val="16"/>
        </w:rPr>
        <w:t xml:space="preserve"> </w:t>
      </w:r>
      <w:r>
        <w:rPr>
          <w:szCs w:val="16"/>
        </w:rPr>
        <w:tab/>
      </w:r>
      <w:r w:rsidRPr="00E354BA">
        <w:rPr>
          <w:szCs w:val="16"/>
        </w:rPr>
        <w:t>Asprey</w:t>
      </w:r>
      <w:r w:rsidRPr="00BB6FCE">
        <w:t xml:space="preserve">, K, and Parsons, R, 1975, Commonwealth Taxation Review Committee, Full Report January 31 1975. </w:t>
      </w:r>
      <w:r>
        <w:t>Chapter 4, paras 37 and 38</w:t>
      </w:r>
      <w:r w:rsidR="00AB5CD6">
        <w:t>.</w:t>
      </w:r>
    </w:p>
  </w:footnote>
  <w:footnote w:id="14">
    <w:p w14:paraId="3E9E6417" w14:textId="2AAA6754" w:rsidR="0005796A" w:rsidRPr="00E54FD7" w:rsidRDefault="0005796A" w:rsidP="005821AB">
      <w:pPr>
        <w:pStyle w:val="FootnoteText"/>
      </w:pPr>
      <w:r w:rsidRPr="004255C6">
        <w:rPr>
          <w:rStyle w:val="FootnoteReference"/>
          <w:sz w:val="16"/>
          <w:vertAlign w:val="baseline"/>
        </w:rPr>
        <w:footnoteRef/>
      </w:r>
      <w:r w:rsidRPr="00E54FD7">
        <w:t xml:space="preserve"> </w:t>
      </w:r>
      <w:r>
        <w:tab/>
      </w:r>
      <w:r w:rsidRPr="00BB6FCE">
        <w:t>Commonwealth of Australia, 2009, Review of Australia’s Future Tax System, Final Report</w:t>
      </w:r>
      <w:r w:rsidR="00AB5CD6">
        <w:t>.</w:t>
      </w:r>
    </w:p>
  </w:footnote>
  <w:footnote w:id="15">
    <w:p w14:paraId="3E9E6418" w14:textId="67F81717" w:rsidR="0005796A" w:rsidRPr="009A2DB1" w:rsidRDefault="0005796A" w:rsidP="005821AB">
      <w:pPr>
        <w:pStyle w:val="FootnoteText"/>
      </w:pPr>
      <w:r w:rsidRPr="004255C6">
        <w:rPr>
          <w:rStyle w:val="FootnoteReference"/>
          <w:sz w:val="16"/>
          <w:vertAlign w:val="baseline"/>
        </w:rPr>
        <w:footnoteRef/>
      </w:r>
      <w:r w:rsidRPr="004255C6">
        <w:t xml:space="preserve"> </w:t>
      </w:r>
      <w:r>
        <w:tab/>
        <w:t>Ibid.</w:t>
      </w:r>
    </w:p>
  </w:footnote>
  <w:footnote w:id="16">
    <w:p w14:paraId="3E9E6419" w14:textId="2DC69160" w:rsidR="0005796A" w:rsidRPr="009A2DB1" w:rsidRDefault="0005796A" w:rsidP="005821AB">
      <w:pPr>
        <w:pStyle w:val="FootnoteText"/>
      </w:pPr>
      <w:r w:rsidRPr="004255C6">
        <w:rPr>
          <w:rStyle w:val="FootnoteReference"/>
          <w:sz w:val="16"/>
          <w:vertAlign w:val="baseline"/>
        </w:rPr>
        <w:footnoteRef/>
      </w:r>
      <w:r w:rsidRPr="004255C6">
        <w:t xml:space="preserve"> </w:t>
      </w:r>
      <w:r>
        <w:tab/>
        <w:t>Ibid.</w:t>
      </w:r>
    </w:p>
  </w:footnote>
  <w:footnote w:id="17">
    <w:p w14:paraId="3E9E641A" w14:textId="1477E0F9" w:rsidR="0005796A" w:rsidRPr="000B331E" w:rsidRDefault="0005796A" w:rsidP="00E43622">
      <w:pPr>
        <w:pStyle w:val="FootnoteText"/>
        <w:rPr>
          <w:szCs w:val="16"/>
        </w:rPr>
      </w:pPr>
      <w:r w:rsidRPr="004255C6">
        <w:rPr>
          <w:rStyle w:val="FootnoteReference"/>
          <w:sz w:val="16"/>
          <w:vertAlign w:val="baseline"/>
        </w:rPr>
        <w:footnoteRef/>
      </w:r>
      <w:r w:rsidRPr="004255C6">
        <w:t xml:space="preserve"> </w:t>
      </w:r>
      <w:r>
        <w:tab/>
        <w:t xml:space="preserve">As previously </w:t>
      </w:r>
      <w:r w:rsidRPr="000B331E">
        <w:t>note</w:t>
      </w:r>
      <w:r>
        <w:t>d</w:t>
      </w:r>
      <w:r w:rsidRPr="000B331E">
        <w:t>, tax progressivity is not an exact science</w:t>
      </w:r>
      <w:r>
        <w:t>. It is important to recognise that t</w:t>
      </w:r>
      <w:r w:rsidRPr="000B331E">
        <w:t>here are other ways of trying to provide a sense of progressivity</w:t>
      </w:r>
      <w:r>
        <w:t xml:space="preserve"> than those presented here.</w:t>
      </w:r>
      <w:r w:rsidRPr="000B331E">
        <w:t xml:space="preserve"> </w:t>
      </w:r>
      <w:r>
        <w:rPr>
          <w:szCs w:val="16"/>
        </w:rPr>
        <w:t xml:space="preserve">Among </w:t>
      </w:r>
      <w:r w:rsidRPr="000B331E">
        <w:rPr>
          <w:szCs w:val="16"/>
        </w:rPr>
        <w:t xml:space="preserve">the </w:t>
      </w:r>
      <w:r>
        <w:rPr>
          <w:szCs w:val="16"/>
        </w:rPr>
        <w:t xml:space="preserve">range of approaches used in academic and public discourse are: simply </w:t>
      </w:r>
      <w:r w:rsidRPr="000B331E">
        <w:rPr>
          <w:szCs w:val="16"/>
        </w:rPr>
        <w:t>observing changes in marginal and average tax rates</w:t>
      </w:r>
      <w:r w:rsidR="001369DB">
        <w:rPr>
          <w:szCs w:val="16"/>
        </w:rPr>
        <w:t xml:space="preserve"> (for example,</w:t>
      </w:r>
      <w:r>
        <w:rPr>
          <w:szCs w:val="16"/>
        </w:rPr>
        <w:t xml:space="preserve"> Janda 2018)</w:t>
      </w:r>
      <w:r w:rsidRPr="000B331E">
        <w:rPr>
          <w:szCs w:val="16"/>
        </w:rPr>
        <w:t>;</w:t>
      </w:r>
      <w:r>
        <w:rPr>
          <w:szCs w:val="16"/>
        </w:rPr>
        <w:t xml:space="preserve"> calculating</w:t>
      </w:r>
      <w:r w:rsidRPr="000B331E">
        <w:rPr>
          <w:szCs w:val="16"/>
        </w:rPr>
        <w:t xml:space="preserve"> tax wedges</w:t>
      </w:r>
      <w:r>
        <w:rPr>
          <w:szCs w:val="16"/>
        </w:rPr>
        <w:t xml:space="preserve"> (</w:t>
      </w:r>
      <w:r w:rsidRPr="000B331E">
        <w:rPr>
          <w:szCs w:val="16"/>
        </w:rPr>
        <w:t>OECD</w:t>
      </w:r>
      <w:r>
        <w:rPr>
          <w:szCs w:val="16"/>
        </w:rPr>
        <w:t> 2018</w:t>
      </w:r>
      <w:r w:rsidRPr="000B331E">
        <w:rPr>
          <w:szCs w:val="16"/>
        </w:rPr>
        <w:t>); measuring the ratio of change in average tax rate to change in income (Pigou</w:t>
      </w:r>
      <w:r w:rsidR="001369DB">
        <w:rPr>
          <w:szCs w:val="16"/>
        </w:rPr>
        <w:t> </w:t>
      </w:r>
      <w:r w:rsidRPr="000B331E">
        <w:rPr>
          <w:szCs w:val="16"/>
        </w:rPr>
        <w:t xml:space="preserve">1928); analysing the progression of tax </w:t>
      </w:r>
      <w:r w:rsidR="001369DB">
        <w:rPr>
          <w:szCs w:val="16"/>
        </w:rPr>
        <w:t>rates across a distribution (for example,</w:t>
      </w:r>
      <w:r w:rsidRPr="000B331E">
        <w:rPr>
          <w:szCs w:val="16"/>
        </w:rPr>
        <w:t xml:space="preserve"> Peter, Buttrick and Duncan</w:t>
      </w:r>
      <w:r w:rsidR="001369DB">
        <w:rPr>
          <w:szCs w:val="16"/>
        </w:rPr>
        <w:t> </w:t>
      </w:r>
      <w:r w:rsidRPr="000B331E">
        <w:rPr>
          <w:szCs w:val="16"/>
        </w:rPr>
        <w:t>2010); generating a single</w:t>
      </w:r>
      <w:r w:rsidR="001369DB">
        <w:rPr>
          <w:szCs w:val="16"/>
        </w:rPr>
        <w:t xml:space="preserve"> population-wide estimate (for example, </w:t>
      </w:r>
      <w:r w:rsidRPr="000B331E">
        <w:rPr>
          <w:szCs w:val="16"/>
        </w:rPr>
        <w:t>Kakwani 1977); and measuring shares of tax paid by groups o</w:t>
      </w:r>
      <w:r w:rsidR="001369DB">
        <w:rPr>
          <w:szCs w:val="16"/>
        </w:rPr>
        <w:t>f the taxpaying population (for example,</w:t>
      </w:r>
      <w:r w:rsidRPr="000B331E">
        <w:rPr>
          <w:szCs w:val="16"/>
        </w:rPr>
        <w:t xml:space="preserve"> OECD, as cited in Greg Mankiw’s blog (2011). </w:t>
      </w:r>
    </w:p>
  </w:footnote>
  <w:footnote w:id="18">
    <w:p w14:paraId="3E9E641B" w14:textId="40A549C3" w:rsidR="0005796A" w:rsidRDefault="0005796A" w:rsidP="005821AB">
      <w:pPr>
        <w:pStyle w:val="FootnoteText"/>
      </w:pPr>
      <w:r w:rsidRPr="004255C6">
        <w:rPr>
          <w:rStyle w:val="FootnoteReference"/>
          <w:vertAlign w:val="baseline"/>
        </w:rPr>
        <w:footnoteRef/>
      </w:r>
      <w:r w:rsidRPr="004255C6">
        <w:t xml:space="preserve"> </w:t>
      </w:r>
      <w:r>
        <w:tab/>
      </w:r>
      <w:r w:rsidRPr="005760BD">
        <w:t xml:space="preserve">Of note, 320,000 fewer tax returns </w:t>
      </w:r>
      <w:r>
        <w:t xml:space="preserve">were </w:t>
      </w:r>
      <w:r w:rsidRPr="005760BD">
        <w:t>lodged in the year after the tax free threshold was tripled on 1 July 2012.</w:t>
      </w:r>
    </w:p>
  </w:footnote>
  <w:footnote w:id="19">
    <w:p w14:paraId="3E9E641C" w14:textId="07CE2394" w:rsidR="0005796A" w:rsidRPr="00B02068" w:rsidRDefault="0005796A" w:rsidP="005821AB">
      <w:pPr>
        <w:pStyle w:val="FootnoteText"/>
      </w:pPr>
      <w:r w:rsidRPr="004255C6">
        <w:rPr>
          <w:rStyle w:val="FootnoteReference"/>
          <w:vertAlign w:val="baseline"/>
        </w:rPr>
        <w:footnoteRef/>
      </w:r>
      <w:r w:rsidRPr="004255C6">
        <w:t xml:space="preserve"> </w:t>
      </w:r>
      <w:r>
        <w:tab/>
      </w:r>
      <w:r w:rsidRPr="00B02068">
        <w:t xml:space="preserve">Asprey Taxation Review Committee, ‘Full report’, 31 January 175, page 17 </w:t>
      </w:r>
      <w:hyperlink r:id="rId1" w:history="1">
        <w:r w:rsidRPr="00B02068">
          <w:rPr>
            <w:rStyle w:val="Hyperlink"/>
          </w:rPr>
          <w:t>http://adc.library.usyd.edu.au/view?docId=law/xml-main-texts/p00087.xml;database=;collection=;brand=ozfed</w:t>
        </w:r>
      </w:hyperlink>
      <w:r w:rsidRPr="00B02068">
        <w:t xml:space="preserve">; </w:t>
      </w:r>
    </w:p>
  </w:footnote>
  <w:footnote w:id="20">
    <w:p w14:paraId="3E9E641D" w14:textId="664AD027" w:rsidR="0005796A" w:rsidRPr="00B02068" w:rsidRDefault="0005796A" w:rsidP="005821AB">
      <w:pPr>
        <w:pStyle w:val="FootnoteText"/>
      </w:pPr>
      <w:r w:rsidRPr="004255C6">
        <w:rPr>
          <w:rStyle w:val="FootnoteReference"/>
          <w:vertAlign w:val="baseline"/>
        </w:rPr>
        <w:footnoteRef/>
      </w:r>
      <w:r w:rsidRPr="004255C6">
        <w:t xml:space="preserve"> </w:t>
      </w:r>
      <w:r>
        <w:tab/>
      </w:r>
      <w:r w:rsidRPr="00B02068">
        <w:t>Ibid</w:t>
      </w:r>
      <w:r w:rsidR="00AB5CD6">
        <w:t>.</w:t>
      </w:r>
    </w:p>
  </w:footnote>
  <w:footnote w:id="21">
    <w:p w14:paraId="3E9E641E" w14:textId="5F204710" w:rsidR="0005796A" w:rsidRPr="00B02068" w:rsidRDefault="0005796A" w:rsidP="005821AB">
      <w:pPr>
        <w:pStyle w:val="FootnoteText"/>
      </w:pPr>
      <w:r w:rsidRPr="004255C6">
        <w:rPr>
          <w:rStyle w:val="FootnoteReference"/>
          <w:vertAlign w:val="baseline"/>
        </w:rPr>
        <w:footnoteRef/>
      </w:r>
      <w:r w:rsidRPr="004255C6">
        <w:t xml:space="preserve"> </w:t>
      </w:r>
      <w:r>
        <w:tab/>
      </w:r>
      <w:r w:rsidRPr="00B02068">
        <w:t>‘Cabinet Memorandum 2875 – Draft White Paper on reform of the Australian tax system –Decision 5629’ May 1985, page 166</w:t>
      </w:r>
      <w:r w:rsidR="00AB5CD6">
        <w:t>.</w:t>
      </w:r>
      <w:r w:rsidRPr="00B02068">
        <w:t xml:space="preserve"> </w:t>
      </w:r>
      <w:hyperlink r:id="rId2" w:history="1">
        <w:r w:rsidRPr="00B02068">
          <w:rPr>
            <w:rStyle w:val="Hyperlink"/>
          </w:rPr>
          <w:t>https://recordsearch.naa.gov.au/SearchNRetrieve/Interface/DetailsReports/ItemDetail.aspx?Barcode=31427390&amp;isAv=N</w:t>
        </w:r>
      </w:hyperlink>
      <w:r w:rsidRPr="00B02068">
        <w:t xml:space="preserve"> </w:t>
      </w:r>
    </w:p>
  </w:footnote>
  <w:footnote w:id="22">
    <w:p w14:paraId="3E9E641F" w14:textId="74531FB4" w:rsidR="0005796A" w:rsidRPr="00B02068" w:rsidRDefault="0005796A" w:rsidP="005821AB">
      <w:pPr>
        <w:pStyle w:val="FootnoteText"/>
      </w:pPr>
      <w:r w:rsidRPr="004255C6">
        <w:rPr>
          <w:rStyle w:val="FootnoteReference"/>
          <w:vertAlign w:val="baseline"/>
        </w:rPr>
        <w:footnoteRef/>
      </w:r>
      <w:r w:rsidRPr="004255C6">
        <w:t xml:space="preserve"> </w:t>
      </w:r>
      <w:r>
        <w:tab/>
      </w:r>
      <w:r w:rsidRPr="00B02068">
        <w:t>Ibid, page 167</w:t>
      </w:r>
      <w:r w:rsidR="00AB5CD6">
        <w:t>.</w:t>
      </w:r>
    </w:p>
  </w:footnote>
  <w:footnote w:id="23">
    <w:p w14:paraId="3E9E6420" w14:textId="475FC54F" w:rsidR="0005796A" w:rsidRPr="00B02068" w:rsidRDefault="0005796A" w:rsidP="005821AB">
      <w:pPr>
        <w:pStyle w:val="FootnoteText"/>
      </w:pPr>
      <w:r w:rsidRPr="004255C6">
        <w:rPr>
          <w:rStyle w:val="FootnoteReference"/>
          <w:vertAlign w:val="baseline"/>
        </w:rPr>
        <w:footnoteRef/>
      </w:r>
      <w:r w:rsidRPr="00B02068">
        <w:t xml:space="preserve">  </w:t>
      </w:r>
      <w:r>
        <w:tab/>
      </w:r>
      <w:r w:rsidRPr="00B02068">
        <w:t xml:space="preserve">Henry Review Panel, ‘Australia’s future tax system’,  </w:t>
      </w:r>
      <w:hyperlink r:id="rId3" w:history="1">
        <w:r w:rsidRPr="00B02068">
          <w:rPr>
            <w:rStyle w:val="Hyperlink"/>
          </w:rPr>
          <w:t>http://taxreview.treasury.gov.au/content/FinalReport.aspx?doc=html/Publications/Papers/Final_Report_Part_2/chapter_a1.htm</w:t>
        </w:r>
      </w:hyperlink>
      <w:r w:rsidRPr="00B02068">
        <w:t xml:space="preserve"> </w:t>
      </w:r>
    </w:p>
  </w:footnote>
  <w:footnote w:id="24">
    <w:p w14:paraId="3E9E6421" w14:textId="4B26A123" w:rsidR="0005796A" w:rsidRPr="00B02068" w:rsidRDefault="0005796A" w:rsidP="00E43622">
      <w:pPr>
        <w:pStyle w:val="FootnoteText"/>
      </w:pPr>
      <w:r w:rsidRPr="00AB5CD6">
        <w:rPr>
          <w:rStyle w:val="FootnoteReference"/>
          <w:szCs w:val="18"/>
          <w:vertAlign w:val="baseline"/>
        </w:rPr>
        <w:footnoteRef/>
      </w:r>
      <w:r w:rsidRPr="004255C6">
        <w:rPr>
          <w:sz w:val="16"/>
          <w:szCs w:val="20"/>
        </w:rPr>
        <w:t xml:space="preserve"> </w:t>
      </w:r>
      <w:r>
        <w:rPr>
          <w:sz w:val="16"/>
          <w:szCs w:val="20"/>
        </w:rPr>
        <w:tab/>
      </w:r>
      <w:r w:rsidRPr="00AB5CD6">
        <w:rPr>
          <w:szCs w:val="18"/>
        </w:rPr>
        <w:t xml:space="preserve">Henry Review Panel, ‘Australia’s future tax system’ </w:t>
      </w:r>
      <w:hyperlink r:id="rId4" w:history="1">
        <w:r w:rsidRPr="00AB5CD6">
          <w:rPr>
            <w:rStyle w:val="Hyperlink"/>
            <w:szCs w:val="18"/>
          </w:rPr>
          <w:t>http://taxreview.treasury.gov.au/content/FinalReport.aspx?doc=html/Publications/Papers/Final_Report_Part_2/Chapter_a1-1.htm</w:t>
        </w:r>
      </w:hyperlink>
    </w:p>
  </w:footnote>
  <w:footnote w:id="25">
    <w:p w14:paraId="3E9E6422" w14:textId="368AD1B6" w:rsidR="0005796A" w:rsidRPr="00B02068" w:rsidRDefault="0005796A" w:rsidP="005821AB">
      <w:pPr>
        <w:pStyle w:val="FootnoteText"/>
      </w:pPr>
      <w:r w:rsidRPr="004255C6">
        <w:rPr>
          <w:rStyle w:val="FootnoteReference"/>
          <w:vertAlign w:val="baseline"/>
        </w:rPr>
        <w:footnoteRef/>
      </w:r>
      <w:r w:rsidRPr="004255C6">
        <w:t xml:space="preserve"> </w:t>
      </w:r>
      <w:r>
        <w:tab/>
      </w:r>
      <w:r w:rsidRPr="00B02068">
        <w:t>Ibid</w:t>
      </w:r>
      <w:r w:rsidR="00AB5CD6">
        <w:t>.</w:t>
      </w:r>
      <w:r w:rsidRPr="00B02068">
        <w:t xml:space="preserve"> </w:t>
      </w:r>
    </w:p>
  </w:footnote>
  <w:footnote w:id="26">
    <w:p w14:paraId="3E9E6423" w14:textId="4D5D5CCC" w:rsidR="0005796A" w:rsidRPr="00B02068" w:rsidRDefault="0005796A" w:rsidP="005821AB">
      <w:pPr>
        <w:pStyle w:val="FootnoteText"/>
      </w:pPr>
      <w:r w:rsidRPr="004255C6">
        <w:rPr>
          <w:rStyle w:val="FootnoteReference"/>
          <w:vertAlign w:val="baseline"/>
        </w:rPr>
        <w:footnoteRef/>
      </w:r>
      <w:r w:rsidRPr="004255C6">
        <w:t xml:space="preserve"> </w:t>
      </w:r>
      <w:r>
        <w:tab/>
      </w:r>
      <w:r w:rsidR="00AB5CD6">
        <w:t>Ibid.</w:t>
      </w:r>
    </w:p>
  </w:footnote>
  <w:footnote w:id="27">
    <w:p w14:paraId="3E9E6424" w14:textId="438655D2" w:rsidR="0005796A" w:rsidRPr="00B02068" w:rsidRDefault="0005796A" w:rsidP="00E43622">
      <w:pPr>
        <w:pStyle w:val="FootnoteText"/>
      </w:pPr>
      <w:r w:rsidRPr="004255C6">
        <w:rPr>
          <w:rStyle w:val="FootnoteReference"/>
          <w:vertAlign w:val="baseline"/>
        </w:rPr>
        <w:footnoteRef/>
      </w:r>
      <w:r w:rsidRPr="004255C6">
        <w:t xml:space="preserve"> </w:t>
      </w:r>
      <w:r>
        <w:tab/>
      </w:r>
      <w:r w:rsidRPr="00B02068">
        <w:t>‘Re:Think, Tax discussion paper’ page 51</w:t>
      </w:r>
    </w:p>
    <w:p w14:paraId="3E9E6425" w14:textId="4C4A8DFD" w:rsidR="0005796A" w:rsidRDefault="0005796A" w:rsidP="00E43622">
      <w:pPr>
        <w:pStyle w:val="FootnoteText"/>
      </w:pPr>
      <w:r>
        <w:tab/>
      </w:r>
      <w:hyperlink r:id="rId5" w:history="1">
        <w:r w:rsidRPr="00B02068">
          <w:rPr>
            <w:rStyle w:val="Hyperlink"/>
          </w:rPr>
          <w:t>http://bettertax.gov.au/files/2015/03/TWP_combined-online.pdf</w:t>
        </w:r>
      </w:hyperlink>
      <w:r w:rsidRPr="00B0206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3F4" w14:textId="2EBA4F85" w:rsidR="0005796A" w:rsidRDefault="003F6849" w:rsidP="00F60530">
    <w:pPr>
      <w:pStyle w:val="SecurityClassificationHeader"/>
    </w:pPr>
    <w:fldSimple w:instr=" DOCPROPERTY WorkingDocStatus \* MERGEFORMAT ">
      <w:r w:rsidR="00F56991">
        <w:t>DRAFT WORKING DOCUMENT</w:t>
      </w:r>
    </w:fldSimple>
  </w:p>
  <w:p w14:paraId="3E9E63F5" w14:textId="77777777" w:rsidR="0005796A" w:rsidRDefault="00057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3F6" w14:textId="7D52ACB9" w:rsidR="0005796A" w:rsidRDefault="003F6849" w:rsidP="00F60530">
    <w:pPr>
      <w:pStyle w:val="SecurityClassificationHeader"/>
    </w:pPr>
    <w:fldSimple w:instr=" DOCPROPERTY WorkingDocStatus \* MERGEFORMAT ">
      <w:r w:rsidR="00F56991">
        <w:t>DRAFT WORKING DOCUMENT</w:t>
      </w:r>
    </w:fldSimple>
  </w:p>
  <w:p w14:paraId="3E9E63F7" w14:textId="77777777" w:rsidR="0005796A" w:rsidRDefault="00057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3FD" w14:textId="7BA6BF7B" w:rsidR="0005796A" w:rsidRPr="00F012EA" w:rsidRDefault="00B16138" w:rsidP="003F6849">
    <w:pPr>
      <w:pStyle w:val="SecurityClassificationHeader"/>
    </w:pPr>
    <w:r>
      <w:rPr>
        <w:noProof/>
      </w:rPr>
      <w:drawing>
        <wp:anchor distT="0" distB="0" distL="114300" distR="114300" simplePos="0" relativeHeight="251659264" behindDoc="1" locked="0" layoutInCell="1" allowOverlap="1" wp14:anchorId="16C513C7" wp14:editId="391C3A9C">
          <wp:simplePos x="0" y="0"/>
          <wp:positionH relativeFrom="page">
            <wp:align>center</wp:align>
          </wp:positionH>
          <wp:positionV relativeFrom="page">
            <wp:posOffset>180340</wp:posOffset>
          </wp:positionV>
          <wp:extent cx="7200000" cy="1000800"/>
          <wp:effectExtent l="0" t="0" r="127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00800"/>
                  </a:xfrm>
                  <a:prstGeom prst="rect">
                    <a:avLst/>
                  </a:prstGeom>
                </pic:spPr>
              </pic:pic>
            </a:graphicData>
          </a:graphic>
          <wp14:sizeRelH relativeFrom="margin">
            <wp14:pctWidth>0</wp14:pctWidth>
          </wp14:sizeRelH>
          <wp14:sizeRelV relativeFrom="margin">
            <wp14:pctHeight>0</wp14:pctHeight>
          </wp14:sizeRelV>
        </wp:anchor>
      </w:drawing>
    </w:r>
    <w:r w:rsidR="003F6849" w:rsidRPr="00F012E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3FF" w14:textId="77777777" w:rsidR="0005796A" w:rsidRDefault="000579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400" w14:textId="77777777" w:rsidR="0005796A" w:rsidRDefault="000579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402" w14:textId="68D2876A" w:rsidR="0005796A" w:rsidRPr="003F6849" w:rsidRDefault="0005796A" w:rsidP="003F68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403" w14:textId="77777777" w:rsidR="0005796A" w:rsidRDefault="000579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404" w14:textId="77777777" w:rsidR="0005796A" w:rsidRDefault="000579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405" w14:textId="378073BB" w:rsidR="0005796A" w:rsidRPr="00F60530" w:rsidRDefault="0005796A" w:rsidP="00A57848">
    <w:pPr>
      <w:pStyle w:val="SecurityClassification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08"/>
    <w:multiLevelType w:val="multilevel"/>
    <w:tmpl w:val="9880E92E"/>
    <w:name w:val="ChartTableFootnoteAlph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0B0579"/>
    <w:multiLevelType w:val="multilevel"/>
    <w:tmpl w:val="67FCC7A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9F4012"/>
    <w:multiLevelType w:val="multilevel"/>
    <w:tmpl w:val="A176934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6"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30F5DC0"/>
    <w:multiLevelType w:val="hybridMultilevel"/>
    <w:tmpl w:val="90741B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45B0A7E"/>
    <w:multiLevelType w:val="multilevel"/>
    <w:tmpl w:val="EDEE4FB6"/>
    <w:numStyleLink w:val="RecommendationBulletList"/>
  </w:abstractNum>
  <w:abstractNum w:abstractNumId="19"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3A19C7"/>
    <w:multiLevelType w:val="multilevel"/>
    <w:tmpl w:val="0F00E38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0D2021"/>
    <w:multiLevelType w:val="multilevel"/>
    <w:tmpl w:val="72F8140E"/>
    <w:numStyleLink w:val="OutlineList"/>
  </w:abstractNum>
  <w:abstractNum w:abstractNumId="22" w15:restartNumberingAfterBreak="0">
    <w:nsid w:val="55916C04"/>
    <w:multiLevelType w:val="multilevel"/>
    <w:tmpl w:val="D790664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F73129"/>
    <w:multiLevelType w:val="multilevel"/>
    <w:tmpl w:val="D9A8A212"/>
    <w:numStyleLink w:val="RomanNumeralList"/>
  </w:abstractNum>
  <w:abstractNum w:abstractNumId="25"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6" w15:restartNumberingAfterBreak="0">
    <w:nsid w:val="6A5F7B24"/>
    <w:multiLevelType w:val="multilevel"/>
    <w:tmpl w:val="2090AC60"/>
    <w:lvl w:ilvl="0">
      <w:start w:val="1"/>
      <w:numFmt w:val="decimal"/>
      <w:lvlRestart w:val="0"/>
      <w:pStyle w:val="Heading2"/>
      <w:lvlText w:val="%1."/>
      <w:lvlJc w:val="left"/>
      <w:pPr>
        <w:tabs>
          <w:tab w:val="num" w:pos="1276"/>
        </w:tabs>
        <w:ind w:left="426" w:firstLine="0"/>
      </w:pPr>
      <w:rPr>
        <w:rFonts w:ascii="Arial Bold" w:hAnsi="Arial Bold" w:cs="Arial" w:hint="default"/>
        <w:b/>
        <w:i w:val="0"/>
        <w:color w:val="003157"/>
      </w:rPr>
    </w:lvl>
    <w:lvl w:ilvl="1">
      <w:start w:val="1"/>
      <w:numFmt w:val="decimal"/>
      <w:lvlText w:val="%1.%2"/>
      <w:lvlJc w:val="left"/>
      <w:pPr>
        <w:tabs>
          <w:tab w:val="num" w:pos="-1276"/>
        </w:tabs>
        <w:ind w:left="-2126" w:firstLine="0"/>
      </w:pPr>
      <w:rPr>
        <w:rFonts w:ascii="Arial Bold" w:hAnsi="Arial Bold" w:cs="Arial" w:hint="default"/>
        <w:b/>
        <w:i w:val="0"/>
        <w:color w:val="003157"/>
      </w:rPr>
    </w:lvl>
    <w:lvl w:ilvl="2">
      <w:start w:val="1"/>
      <w:numFmt w:val="none"/>
      <w:pStyle w:val="Heading4"/>
      <w:lvlText w:val=""/>
      <w:lvlJc w:val="left"/>
      <w:pPr>
        <w:tabs>
          <w:tab w:val="num" w:pos="-2126"/>
        </w:tabs>
        <w:ind w:left="-2126" w:firstLine="0"/>
      </w:pPr>
      <w:rPr>
        <w:rFonts w:ascii="Arial" w:hAnsi="Arial" w:cs="Arial" w:hint="default"/>
        <w:b w:val="0"/>
        <w:i w:val="0"/>
        <w:color w:val="003157"/>
      </w:rPr>
    </w:lvl>
    <w:lvl w:ilvl="3">
      <w:start w:val="1"/>
      <w:numFmt w:val="decimal"/>
      <w:lvlText w:val="%4"/>
      <w:lvlJc w:val="left"/>
      <w:pPr>
        <w:tabs>
          <w:tab w:val="num" w:pos="142"/>
        </w:tabs>
        <w:ind w:left="142" w:hanging="567"/>
      </w:pPr>
      <w:rPr>
        <w:rFonts w:hint="default"/>
        <w:b w:val="0"/>
        <w:i w:val="0"/>
        <w:color w:val="000000"/>
      </w:rPr>
    </w:lvl>
    <w:lvl w:ilvl="4">
      <w:start w:val="1"/>
      <w:numFmt w:val="decimal"/>
      <w:lvlText w:val="%5"/>
      <w:lvlJc w:val="left"/>
      <w:pPr>
        <w:tabs>
          <w:tab w:val="num" w:pos="709"/>
        </w:tabs>
        <w:ind w:left="709" w:hanging="567"/>
      </w:pPr>
      <w:rPr>
        <w:rFonts w:hint="default"/>
        <w:b w:val="0"/>
        <w:i w:val="0"/>
        <w:color w:val="000000"/>
      </w:rPr>
    </w:lvl>
    <w:lvl w:ilvl="5">
      <w:start w:val="1"/>
      <w:numFmt w:val="decimal"/>
      <w:lvlText w:val="%6"/>
      <w:lvlJc w:val="left"/>
      <w:pPr>
        <w:tabs>
          <w:tab w:val="num" w:pos="1276"/>
        </w:tabs>
        <w:ind w:left="1276" w:hanging="567"/>
      </w:pPr>
      <w:rPr>
        <w:rFonts w:hint="default"/>
        <w:b w:val="0"/>
        <w:i w:val="0"/>
        <w:color w:val="000000"/>
      </w:rPr>
    </w:lvl>
    <w:lvl w:ilvl="6">
      <w:start w:val="1"/>
      <w:numFmt w:val="decimal"/>
      <w:lvlText w:val="%7"/>
      <w:lvlJc w:val="left"/>
      <w:pPr>
        <w:tabs>
          <w:tab w:val="num" w:pos="1843"/>
        </w:tabs>
        <w:ind w:left="1843" w:hanging="567"/>
      </w:pPr>
      <w:rPr>
        <w:rFonts w:hint="default"/>
        <w:b w:val="0"/>
        <w:i w:val="0"/>
        <w:color w:val="000000"/>
      </w:rPr>
    </w:lvl>
    <w:lvl w:ilvl="7">
      <w:start w:val="1"/>
      <w:numFmt w:val="decimal"/>
      <w:lvlText w:val="%8"/>
      <w:lvlJc w:val="left"/>
      <w:pPr>
        <w:tabs>
          <w:tab w:val="num" w:pos="2410"/>
        </w:tabs>
        <w:ind w:left="2410" w:hanging="567"/>
      </w:pPr>
      <w:rPr>
        <w:rFonts w:hint="default"/>
        <w:b w:val="0"/>
        <w:i w:val="0"/>
        <w:color w:val="000000"/>
      </w:rPr>
    </w:lvl>
    <w:lvl w:ilvl="8">
      <w:start w:val="1"/>
      <w:numFmt w:val="decimal"/>
      <w:lvlText w:val="%9"/>
      <w:lvlJc w:val="left"/>
      <w:pPr>
        <w:tabs>
          <w:tab w:val="num" w:pos="2977"/>
        </w:tabs>
        <w:ind w:left="2977" w:hanging="567"/>
      </w:pPr>
      <w:rPr>
        <w:rFonts w:hint="default"/>
        <w:b w:val="0"/>
        <w:i w:val="0"/>
        <w:color w:val="000000"/>
      </w:rPr>
    </w:lvl>
  </w:abstractNum>
  <w:abstractNum w:abstractNumId="27" w15:restartNumberingAfterBreak="0">
    <w:nsid w:val="6B2A0655"/>
    <w:multiLevelType w:val="multilevel"/>
    <w:tmpl w:val="314485D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BA76D2"/>
    <w:multiLevelType w:val="multilevel"/>
    <w:tmpl w:val="4E14D1E0"/>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
  </w:num>
  <w:num w:numId="3">
    <w:abstractNumId w:val="19"/>
  </w:num>
  <w:num w:numId="4">
    <w:abstractNumId w:val="14"/>
  </w:num>
  <w:num w:numId="5">
    <w:abstractNumId w:val="4"/>
  </w:num>
  <w:num w:numId="6">
    <w:abstractNumId w:val="6"/>
  </w:num>
  <w:num w:numId="7">
    <w:abstractNumId w:val="3"/>
  </w:num>
  <w:num w:numId="8">
    <w:abstractNumId w:val="5"/>
  </w:num>
  <w:num w:numId="9">
    <w:abstractNumId w:val="21"/>
  </w:num>
  <w:num w:numId="10">
    <w:abstractNumId w:val="18"/>
  </w:num>
  <w:num w:numId="11">
    <w:abstractNumId w:val="24"/>
  </w:num>
  <w:num w:numId="12">
    <w:abstractNumId w:val="12"/>
  </w:num>
  <w:num w:numId="13">
    <w:abstractNumId w:val="23"/>
  </w:num>
  <w:num w:numId="14">
    <w:abstractNumId w:val="8"/>
  </w:num>
  <w:num w:numId="15">
    <w:abstractNumId w:val="8"/>
  </w:num>
  <w:num w:numId="16">
    <w:abstractNumId w:val="16"/>
  </w:num>
  <w:num w:numId="17">
    <w:abstractNumId w:val="1"/>
  </w:num>
  <w:num w:numId="18">
    <w:abstractNumId w:val="25"/>
  </w:num>
  <w:num w:numId="19">
    <w:abstractNumId w:val="10"/>
  </w:num>
  <w:num w:numId="20">
    <w:abstractNumId w:val="15"/>
  </w:num>
  <w:num w:numId="21">
    <w:abstractNumId w:val="26"/>
  </w:num>
  <w:num w:numId="22">
    <w:abstractNumId w:val="28"/>
  </w:num>
  <w:num w:numId="23">
    <w:abstractNumId w:val="22"/>
  </w:num>
  <w:num w:numId="2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6"/>
  </w:num>
  <w:num w:numId="27">
    <w:abstractNumId w:val="26"/>
  </w:num>
  <w:num w:numId="28">
    <w:abstractNumId w:val="26"/>
  </w:num>
  <w:num w:numId="29">
    <w:abstractNumId w:val="26"/>
  </w:num>
  <w:num w:numId="30">
    <w:abstractNumId w:val="26"/>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26"/>
  </w:num>
  <w:num w:numId="38">
    <w:abstractNumId w:val="26"/>
  </w:num>
  <w:num w:numId="39">
    <w:abstractNumId w:val="7"/>
  </w:num>
  <w:num w:numId="40">
    <w:abstractNumId w:val="13"/>
  </w:num>
  <w:num w:numId="41">
    <w:abstractNumId w:val="29"/>
  </w:num>
  <w:num w:numId="42">
    <w:abstractNumId w:val="17"/>
  </w:num>
  <w:num w:numId="4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269"/>
  <w:drawingGridVerticalSpacing w:val="1397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B8669F-94F3-4040-9253-A2B0D730A8BD}"/>
    <w:docVar w:name="dgnword-eventsink" w:val="75759496"/>
    <w:docVar w:name="dgnword-lastRevisionsView" w:val="0"/>
    <w:docVar w:name="FOIClassificationInHeader" w:val="True"/>
    <w:docVar w:name="SecurityClassificationInHeader" w:val="False"/>
    <w:docVar w:name="SecurityDLMInHeader" w:val="False"/>
  </w:docVars>
  <w:rsids>
    <w:rsidRoot w:val="00944851"/>
    <w:rsid w:val="00000423"/>
    <w:rsid w:val="00000EBC"/>
    <w:rsid w:val="00001F13"/>
    <w:rsid w:val="0000290C"/>
    <w:rsid w:val="00003ACD"/>
    <w:rsid w:val="0000589C"/>
    <w:rsid w:val="00005CB5"/>
    <w:rsid w:val="000061FB"/>
    <w:rsid w:val="00006A5E"/>
    <w:rsid w:val="00007CDE"/>
    <w:rsid w:val="00007E13"/>
    <w:rsid w:val="00007F37"/>
    <w:rsid w:val="00012EF1"/>
    <w:rsid w:val="00014C90"/>
    <w:rsid w:val="0001594D"/>
    <w:rsid w:val="00015ECA"/>
    <w:rsid w:val="000167A9"/>
    <w:rsid w:val="00017D71"/>
    <w:rsid w:val="0002091D"/>
    <w:rsid w:val="00021C81"/>
    <w:rsid w:val="00022D58"/>
    <w:rsid w:val="00023180"/>
    <w:rsid w:val="00023F7B"/>
    <w:rsid w:val="00024E9E"/>
    <w:rsid w:val="000251B8"/>
    <w:rsid w:val="0002707A"/>
    <w:rsid w:val="00032B5B"/>
    <w:rsid w:val="00033A67"/>
    <w:rsid w:val="0003423C"/>
    <w:rsid w:val="00037224"/>
    <w:rsid w:val="00037836"/>
    <w:rsid w:val="00042D13"/>
    <w:rsid w:val="0004520E"/>
    <w:rsid w:val="0004572D"/>
    <w:rsid w:val="000464B6"/>
    <w:rsid w:val="00046DE1"/>
    <w:rsid w:val="00051C46"/>
    <w:rsid w:val="00052001"/>
    <w:rsid w:val="00052DA2"/>
    <w:rsid w:val="0005501B"/>
    <w:rsid w:val="0005600E"/>
    <w:rsid w:val="0005796A"/>
    <w:rsid w:val="000622B2"/>
    <w:rsid w:val="00062449"/>
    <w:rsid w:val="0006363E"/>
    <w:rsid w:val="00063CEA"/>
    <w:rsid w:val="000643EF"/>
    <w:rsid w:val="00066EA1"/>
    <w:rsid w:val="00070BB3"/>
    <w:rsid w:val="0007262D"/>
    <w:rsid w:val="00072D2C"/>
    <w:rsid w:val="00076C14"/>
    <w:rsid w:val="00077D52"/>
    <w:rsid w:val="00081D7F"/>
    <w:rsid w:val="00082D1F"/>
    <w:rsid w:val="0008752B"/>
    <w:rsid w:val="000875E3"/>
    <w:rsid w:val="00090D52"/>
    <w:rsid w:val="00090E3F"/>
    <w:rsid w:val="00091054"/>
    <w:rsid w:val="000919A1"/>
    <w:rsid w:val="00092CB2"/>
    <w:rsid w:val="00095C3F"/>
    <w:rsid w:val="00096CC2"/>
    <w:rsid w:val="000A1B23"/>
    <w:rsid w:val="000A1D8A"/>
    <w:rsid w:val="000A3D4E"/>
    <w:rsid w:val="000A6B7E"/>
    <w:rsid w:val="000A76F6"/>
    <w:rsid w:val="000A7801"/>
    <w:rsid w:val="000A7E09"/>
    <w:rsid w:val="000B07AA"/>
    <w:rsid w:val="000B0FAE"/>
    <w:rsid w:val="000B1718"/>
    <w:rsid w:val="000B331E"/>
    <w:rsid w:val="000B3D7C"/>
    <w:rsid w:val="000B4003"/>
    <w:rsid w:val="000B449D"/>
    <w:rsid w:val="000B5B15"/>
    <w:rsid w:val="000B609A"/>
    <w:rsid w:val="000B60C4"/>
    <w:rsid w:val="000B70C1"/>
    <w:rsid w:val="000C1B67"/>
    <w:rsid w:val="000C2457"/>
    <w:rsid w:val="000C2466"/>
    <w:rsid w:val="000C25FE"/>
    <w:rsid w:val="000C38CE"/>
    <w:rsid w:val="000C4411"/>
    <w:rsid w:val="000C6B01"/>
    <w:rsid w:val="000D0A4A"/>
    <w:rsid w:val="000D26B3"/>
    <w:rsid w:val="000D2786"/>
    <w:rsid w:val="000D2F1F"/>
    <w:rsid w:val="000D4591"/>
    <w:rsid w:val="000D51DD"/>
    <w:rsid w:val="000D6277"/>
    <w:rsid w:val="000D77CD"/>
    <w:rsid w:val="000E02A2"/>
    <w:rsid w:val="000E2BB7"/>
    <w:rsid w:val="000E47DA"/>
    <w:rsid w:val="000E5C4D"/>
    <w:rsid w:val="000F15AF"/>
    <w:rsid w:val="000F2745"/>
    <w:rsid w:val="000F3DA0"/>
    <w:rsid w:val="000F688D"/>
    <w:rsid w:val="000F6AAA"/>
    <w:rsid w:val="000F6E47"/>
    <w:rsid w:val="001000CD"/>
    <w:rsid w:val="0010021B"/>
    <w:rsid w:val="00100BBF"/>
    <w:rsid w:val="00101E4D"/>
    <w:rsid w:val="00102FDC"/>
    <w:rsid w:val="001054C7"/>
    <w:rsid w:val="00106DDB"/>
    <w:rsid w:val="00107582"/>
    <w:rsid w:val="001118FA"/>
    <w:rsid w:val="00117B90"/>
    <w:rsid w:val="00117C34"/>
    <w:rsid w:val="00124A5D"/>
    <w:rsid w:val="00126130"/>
    <w:rsid w:val="001329CD"/>
    <w:rsid w:val="001347EA"/>
    <w:rsid w:val="00134D80"/>
    <w:rsid w:val="00135138"/>
    <w:rsid w:val="001369DB"/>
    <w:rsid w:val="001426D2"/>
    <w:rsid w:val="00142810"/>
    <w:rsid w:val="00144BEF"/>
    <w:rsid w:val="00147046"/>
    <w:rsid w:val="001500C1"/>
    <w:rsid w:val="00150D42"/>
    <w:rsid w:val="00150DF4"/>
    <w:rsid w:val="0015247E"/>
    <w:rsid w:val="00152794"/>
    <w:rsid w:val="001536B1"/>
    <w:rsid w:val="00153A50"/>
    <w:rsid w:val="00154E32"/>
    <w:rsid w:val="00157685"/>
    <w:rsid w:val="001622D4"/>
    <w:rsid w:val="001624B6"/>
    <w:rsid w:val="00163709"/>
    <w:rsid w:val="00163777"/>
    <w:rsid w:val="00163865"/>
    <w:rsid w:val="001645EA"/>
    <w:rsid w:val="00165E1C"/>
    <w:rsid w:val="0016604F"/>
    <w:rsid w:val="00170181"/>
    <w:rsid w:val="00170C37"/>
    <w:rsid w:val="001733A3"/>
    <w:rsid w:val="001740C1"/>
    <w:rsid w:val="001759E9"/>
    <w:rsid w:val="00175EEF"/>
    <w:rsid w:val="001776F9"/>
    <w:rsid w:val="0018139E"/>
    <w:rsid w:val="0018563A"/>
    <w:rsid w:val="0018733C"/>
    <w:rsid w:val="00192475"/>
    <w:rsid w:val="00194ADB"/>
    <w:rsid w:val="00195AEB"/>
    <w:rsid w:val="0019778F"/>
    <w:rsid w:val="001A1F0B"/>
    <w:rsid w:val="001A420D"/>
    <w:rsid w:val="001A58D1"/>
    <w:rsid w:val="001A6431"/>
    <w:rsid w:val="001A727F"/>
    <w:rsid w:val="001B07D4"/>
    <w:rsid w:val="001B1D4A"/>
    <w:rsid w:val="001B2BFB"/>
    <w:rsid w:val="001B4E21"/>
    <w:rsid w:val="001C132A"/>
    <w:rsid w:val="001C1626"/>
    <w:rsid w:val="001C41B1"/>
    <w:rsid w:val="001C4B57"/>
    <w:rsid w:val="001C6D93"/>
    <w:rsid w:val="001C713F"/>
    <w:rsid w:val="001D181D"/>
    <w:rsid w:val="001D1E2B"/>
    <w:rsid w:val="001D2958"/>
    <w:rsid w:val="001D4002"/>
    <w:rsid w:val="001D4821"/>
    <w:rsid w:val="001D6873"/>
    <w:rsid w:val="001D6A23"/>
    <w:rsid w:val="001D6F0D"/>
    <w:rsid w:val="001D7C6B"/>
    <w:rsid w:val="001E0271"/>
    <w:rsid w:val="001E1D66"/>
    <w:rsid w:val="001E2645"/>
    <w:rsid w:val="001E35CC"/>
    <w:rsid w:val="001E3883"/>
    <w:rsid w:val="001E4783"/>
    <w:rsid w:val="001E4A8A"/>
    <w:rsid w:val="001E5399"/>
    <w:rsid w:val="001E664D"/>
    <w:rsid w:val="001F1A7B"/>
    <w:rsid w:val="001F331A"/>
    <w:rsid w:val="001F50E6"/>
    <w:rsid w:val="001F585A"/>
    <w:rsid w:val="0020119B"/>
    <w:rsid w:val="00201425"/>
    <w:rsid w:val="002015AB"/>
    <w:rsid w:val="00202721"/>
    <w:rsid w:val="00204015"/>
    <w:rsid w:val="002047FA"/>
    <w:rsid w:val="0020672D"/>
    <w:rsid w:val="00210526"/>
    <w:rsid w:val="00211545"/>
    <w:rsid w:val="00211698"/>
    <w:rsid w:val="00215DE0"/>
    <w:rsid w:val="002164B2"/>
    <w:rsid w:val="00216AA1"/>
    <w:rsid w:val="0021791D"/>
    <w:rsid w:val="00220FF5"/>
    <w:rsid w:val="00221F25"/>
    <w:rsid w:val="002249D2"/>
    <w:rsid w:val="00225F80"/>
    <w:rsid w:val="002271BB"/>
    <w:rsid w:val="0022723A"/>
    <w:rsid w:val="00227A41"/>
    <w:rsid w:val="0023148E"/>
    <w:rsid w:val="002330AC"/>
    <w:rsid w:val="00234166"/>
    <w:rsid w:val="00236176"/>
    <w:rsid w:val="002419D6"/>
    <w:rsid w:val="00243EDD"/>
    <w:rsid w:val="002446ED"/>
    <w:rsid w:val="00244C3C"/>
    <w:rsid w:val="00244C63"/>
    <w:rsid w:val="00247595"/>
    <w:rsid w:val="002504D8"/>
    <w:rsid w:val="002506BA"/>
    <w:rsid w:val="00251A4D"/>
    <w:rsid w:val="00251B74"/>
    <w:rsid w:val="00251FBB"/>
    <w:rsid w:val="00254DB7"/>
    <w:rsid w:val="00257A2D"/>
    <w:rsid w:val="00260B78"/>
    <w:rsid w:val="00261C13"/>
    <w:rsid w:val="00262FBE"/>
    <w:rsid w:val="00263105"/>
    <w:rsid w:val="00264D22"/>
    <w:rsid w:val="00271E4B"/>
    <w:rsid w:val="002740B8"/>
    <w:rsid w:val="002768B3"/>
    <w:rsid w:val="00276AAB"/>
    <w:rsid w:val="002777F9"/>
    <w:rsid w:val="00280D28"/>
    <w:rsid w:val="00281343"/>
    <w:rsid w:val="002814D2"/>
    <w:rsid w:val="00283438"/>
    <w:rsid w:val="00283666"/>
    <w:rsid w:val="00283E7F"/>
    <w:rsid w:val="00291937"/>
    <w:rsid w:val="00291E04"/>
    <w:rsid w:val="00291F41"/>
    <w:rsid w:val="00292D1B"/>
    <w:rsid w:val="00293100"/>
    <w:rsid w:val="0029524E"/>
    <w:rsid w:val="0029573F"/>
    <w:rsid w:val="00295E54"/>
    <w:rsid w:val="002971BB"/>
    <w:rsid w:val="00297C46"/>
    <w:rsid w:val="00297C70"/>
    <w:rsid w:val="002A0060"/>
    <w:rsid w:val="002A1056"/>
    <w:rsid w:val="002A1933"/>
    <w:rsid w:val="002A3BEE"/>
    <w:rsid w:val="002A6456"/>
    <w:rsid w:val="002A6AAF"/>
    <w:rsid w:val="002B2D4B"/>
    <w:rsid w:val="002B53E2"/>
    <w:rsid w:val="002B600F"/>
    <w:rsid w:val="002B64D5"/>
    <w:rsid w:val="002B65AB"/>
    <w:rsid w:val="002C05CD"/>
    <w:rsid w:val="002C2072"/>
    <w:rsid w:val="002C3075"/>
    <w:rsid w:val="002C3379"/>
    <w:rsid w:val="002C41CF"/>
    <w:rsid w:val="002C45B8"/>
    <w:rsid w:val="002C4A73"/>
    <w:rsid w:val="002C4F23"/>
    <w:rsid w:val="002C5398"/>
    <w:rsid w:val="002C6C00"/>
    <w:rsid w:val="002C6E72"/>
    <w:rsid w:val="002D1225"/>
    <w:rsid w:val="002D13BF"/>
    <w:rsid w:val="002D2914"/>
    <w:rsid w:val="002D316D"/>
    <w:rsid w:val="002D44C3"/>
    <w:rsid w:val="002D48A6"/>
    <w:rsid w:val="002E116A"/>
    <w:rsid w:val="002E5475"/>
    <w:rsid w:val="002E5F5C"/>
    <w:rsid w:val="002E7527"/>
    <w:rsid w:val="002E7BDD"/>
    <w:rsid w:val="002F0F1A"/>
    <w:rsid w:val="002F1E1D"/>
    <w:rsid w:val="002F3738"/>
    <w:rsid w:val="002F3DFC"/>
    <w:rsid w:val="002F4E09"/>
    <w:rsid w:val="002F656B"/>
    <w:rsid w:val="002F6578"/>
    <w:rsid w:val="002F6A7B"/>
    <w:rsid w:val="002F72CF"/>
    <w:rsid w:val="002F73DF"/>
    <w:rsid w:val="002F7D7E"/>
    <w:rsid w:val="003000D0"/>
    <w:rsid w:val="0030123E"/>
    <w:rsid w:val="00301A52"/>
    <w:rsid w:val="003041D1"/>
    <w:rsid w:val="00306DF8"/>
    <w:rsid w:val="00307C28"/>
    <w:rsid w:val="00307F1F"/>
    <w:rsid w:val="00312AF0"/>
    <w:rsid w:val="003131CB"/>
    <w:rsid w:val="00314146"/>
    <w:rsid w:val="0031444A"/>
    <w:rsid w:val="00321B4B"/>
    <w:rsid w:val="00322559"/>
    <w:rsid w:val="00323EA1"/>
    <w:rsid w:val="00326E28"/>
    <w:rsid w:val="003304B9"/>
    <w:rsid w:val="003326C6"/>
    <w:rsid w:val="00333E06"/>
    <w:rsid w:val="00334335"/>
    <w:rsid w:val="00335056"/>
    <w:rsid w:val="00336C13"/>
    <w:rsid w:val="00340329"/>
    <w:rsid w:val="003406DF"/>
    <w:rsid w:val="003478A7"/>
    <w:rsid w:val="00350788"/>
    <w:rsid w:val="0035143E"/>
    <w:rsid w:val="00351897"/>
    <w:rsid w:val="00351F3C"/>
    <w:rsid w:val="00352D1F"/>
    <w:rsid w:val="00354A98"/>
    <w:rsid w:val="0035596E"/>
    <w:rsid w:val="0036031B"/>
    <w:rsid w:val="00360C1D"/>
    <w:rsid w:val="0036148F"/>
    <w:rsid w:val="003641BA"/>
    <w:rsid w:val="003645E0"/>
    <w:rsid w:val="00365C6D"/>
    <w:rsid w:val="003660AD"/>
    <w:rsid w:val="00366507"/>
    <w:rsid w:val="00371305"/>
    <w:rsid w:val="00372C5C"/>
    <w:rsid w:val="00373301"/>
    <w:rsid w:val="00375741"/>
    <w:rsid w:val="0037721B"/>
    <w:rsid w:val="003772E1"/>
    <w:rsid w:val="003802D1"/>
    <w:rsid w:val="003809EA"/>
    <w:rsid w:val="003818D3"/>
    <w:rsid w:val="00382D55"/>
    <w:rsid w:val="003842BD"/>
    <w:rsid w:val="003853F0"/>
    <w:rsid w:val="00385FF6"/>
    <w:rsid w:val="003863B2"/>
    <w:rsid w:val="0038778A"/>
    <w:rsid w:val="00387D37"/>
    <w:rsid w:val="00387F2C"/>
    <w:rsid w:val="00390529"/>
    <w:rsid w:val="00390C43"/>
    <w:rsid w:val="003910D9"/>
    <w:rsid w:val="00391164"/>
    <w:rsid w:val="00392B93"/>
    <w:rsid w:val="003932E1"/>
    <w:rsid w:val="00394442"/>
    <w:rsid w:val="0039641B"/>
    <w:rsid w:val="00397870"/>
    <w:rsid w:val="003A1A88"/>
    <w:rsid w:val="003A2648"/>
    <w:rsid w:val="003A3338"/>
    <w:rsid w:val="003A3483"/>
    <w:rsid w:val="003A49E8"/>
    <w:rsid w:val="003A63A3"/>
    <w:rsid w:val="003A74F8"/>
    <w:rsid w:val="003A766E"/>
    <w:rsid w:val="003B0501"/>
    <w:rsid w:val="003B0D02"/>
    <w:rsid w:val="003B0ECB"/>
    <w:rsid w:val="003B160C"/>
    <w:rsid w:val="003B1CF6"/>
    <w:rsid w:val="003B2D15"/>
    <w:rsid w:val="003B597A"/>
    <w:rsid w:val="003B689D"/>
    <w:rsid w:val="003B7F2A"/>
    <w:rsid w:val="003C00FA"/>
    <w:rsid w:val="003C0125"/>
    <w:rsid w:val="003C01B1"/>
    <w:rsid w:val="003C36A2"/>
    <w:rsid w:val="003C5B68"/>
    <w:rsid w:val="003C6528"/>
    <w:rsid w:val="003C720F"/>
    <w:rsid w:val="003D132F"/>
    <w:rsid w:val="003D27B3"/>
    <w:rsid w:val="003D296C"/>
    <w:rsid w:val="003D30BF"/>
    <w:rsid w:val="003D3B71"/>
    <w:rsid w:val="003D3DC9"/>
    <w:rsid w:val="003D5725"/>
    <w:rsid w:val="003D65EA"/>
    <w:rsid w:val="003D7A11"/>
    <w:rsid w:val="003E0877"/>
    <w:rsid w:val="003E0E7B"/>
    <w:rsid w:val="003E3374"/>
    <w:rsid w:val="003E6975"/>
    <w:rsid w:val="003E6B90"/>
    <w:rsid w:val="003E7210"/>
    <w:rsid w:val="003E74F9"/>
    <w:rsid w:val="003F54ED"/>
    <w:rsid w:val="003F6849"/>
    <w:rsid w:val="00400BCA"/>
    <w:rsid w:val="00405A6B"/>
    <w:rsid w:val="00406016"/>
    <w:rsid w:val="00406792"/>
    <w:rsid w:val="004067B4"/>
    <w:rsid w:val="0040689B"/>
    <w:rsid w:val="00406CB5"/>
    <w:rsid w:val="004101CB"/>
    <w:rsid w:val="00410F5E"/>
    <w:rsid w:val="004126C6"/>
    <w:rsid w:val="00415DE1"/>
    <w:rsid w:val="00416E7C"/>
    <w:rsid w:val="004171CF"/>
    <w:rsid w:val="00420627"/>
    <w:rsid w:val="004219BE"/>
    <w:rsid w:val="00423D25"/>
    <w:rsid w:val="004255C6"/>
    <w:rsid w:val="004261A6"/>
    <w:rsid w:val="00426CC1"/>
    <w:rsid w:val="0042713F"/>
    <w:rsid w:val="00427B74"/>
    <w:rsid w:val="0043005E"/>
    <w:rsid w:val="0043044C"/>
    <w:rsid w:val="00430B45"/>
    <w:rsid w:val="004358A6"/>
    <w:rsid w:val="004370F4"/>
    <w:rsid w:val="004377E1"/>
    <w:rsid w:val="00445F3E"/>
    <w:rsid w:val="00450FC4"/>
    <w:rsid w:val="00454FCB"/>
    <w:rsid w:val="0045621D"/>
    <w:rsid w:val="00460338"/>
    <w:rsid w:val="00460A29"/>
    <w:rsid w:val="00460C65"/>
    <w:rsid w:val="004635A1"/>
    <w:rsid w:val="0046411B"/>
    <w:rsid w:val="004644F0"/>
    <w:rsid w:val="0046522A"/>
    <w:rsid w:val="00465E31"/>
    <w:rsid w:val="00467266"/>
    <w:rsid w:val="004703CB"/>
    <w:rsid w:val="0047065C"/>
    <w:rsid w:val="00471664"/>
    <w:rsid w:val="0047271A"/>
    <w:rsid w:val="00472CC9"/>
    <w:rsid w:val="004736B2"/>
    <w:rsid w:val="004744CB"/>
    <w:rsid w:val="00475D00"/>
    <w:rsid w:val="00477147"/>
    <w:rsid w:val="0048090B"/>
    <w:rsid w:val="004813D2"/>
    <w:rsid w:val="00481A74"/>
    <w:rsid w:val="004855BE"/>
    <w:rsid w:val="00490619"/>
    <w:rsid w:val="00490E16"/>
    <w:rsid w:val="004917DF"/>
    <w:rsid w:val="004920BA"/>
    <w:rsid w:val="00492863"/>
    <w:rsid w:val="00494DE6"/>
    <w:rsid w:val="004A08AF"/>
    <w:rsid w:val="004A3A5A"/>
    <w:rsid w:val="004A45A1"/>
    <w:rsid w:val="004A4D66"/>
    <w:rsid w:val="004A584D"/>
    <w:rsid w:val="004A762A"/>
    <w:rsid w:val="004A778B"/>
    <w:rsid w:val="004A7F53"/>
    <w:rsid w:val="004B0338"/>
    <w:rsid w:val="004B07A5"/>
    <w:rsid w:val="004B0C6B"/>
    <w:rsid w:val="004B15B2"/>
    <w:rsid w:val="004B3E5D"/>
    <w:rsid w:val="004B5360"/>
    <w:rsid w:val="004B64D8"/>
    <w:rsid w:val="004B6F11"/>
    <w:rsid w:val="004B7CF8"/>
    <w:rsid w:val="004C167F"/>
    <w:rsid w:val="004D0361"/>
    <w:rsid w:val="004D16E4"/>
    <w:rsid w:val="004D595D"/>
    <w:rsid w:val="004E0DE0"/>
    <w:rsid w:val="004E0FCE"/>
    <w:rsid w:val="004E1D40"/>
    <w:rsid w:val="004E264F"/>
    <w:rsid w:val="004E2D9B"/>
    <w:rsid w:val="004E55BF"/>
    <w:rsid w:val="004E7418"/>
    <w:rsid w:val="004F3A57"/>
    <w:rsid w:val="004F4EE7"/>
    <w:rsid w:val="004F5604"/>
    <w:rsid w:val="004F6C23"/>
    <w:rsid w:val="00500704"/>
    <w:rsid w:val="00501AF8"/>
    <w:rsid w:val="00501B6F"/>
    <w:rsid w:val="005048FF"/>
    <w:rsid w:val="00505CE5"/>
    <w:rsid w:val="005071F7"/>
    <w:rsid w:val="00510630"/>
    <w:rsid w:val="0051251F"/>
    <w:rsid w:val="005159B1"/>
    <w:rsid w:val="005159BC"/>
    <w:rsid w:val="00516DBC"/>
    <w:rsid w:val="00521854"/>
    <w:rsid w:val="0052219A"/>
    <w:rsid w:val="0052242B"/>
    <w:rsid w:val="005229B1"/>
    <w:rsid w:val="00523DC5"/>
    <w:rsid w:val="0052422D"/>
    <w:rsid w:val="00525D2D"/>
    <w:rsid w:val="0052667B"/>
    <w:rsid w:val="00527059"/>
    <w:rsid w:val="00527CA1"/>
    <w:rsid w:val="0053376C"/>
    <w:rsid w:val="005349F5"/>
    <w:rsid w:val="00536393"/>
    <w:rsid w:val="00536A7D"/>
    <w:rsid w:val="00540706"/>
    <w:rsid w:val="005436E0"/>
    <w:rsid w:val="00543889"/>
    <w:rsid w:val="00543D44"/>
    <w:rsid w:val="00546A5F"/>
    <w:rsid w:val="00546D53"/>
    <w:rsid w:val="00550982"/>
    <w:rsid w:val="00551097"/>
    <w:rsid w:val="00551527"/>
    <w:rsid w:val="00551C99"/>
    <w:rsid w:val="005535EE"/>
    <w:rsid w:val="00554065"/>
    <w:rsid w:val="00555B0A"/>
    <w:rsid w:val="00562D73"/>
    <w:rsid w:val="00562EFB"/>
    <w:rsid w:val="005637F3"/>
    <w:rsid w:val="00563D81"/>
    <w:rsid w:val="00564608"/>
    <w:rsid w:val="00570662"/>
    <w:rsid w:val="0057074A"/>
    <w:rsid w:val="00570B6C"/>
    <w:rsid w:val="00570FF8"/>
    <w:rsid w:val="0057246E"/>
    <w:rsid w:val="00573495"/>
    <w:rsid w:val="00575708"/>
    <w:rsid w:val="005760BD"/>
    <w:rsid w:val="00577FF9"/>
    <w:rsid w:val="005813DB"/>
    <w:rsid w:val="005821AB"/>
    <w:rsid w:val="00583BF1"/>
    <w:rsid w:val="00584B37"/>
    <w:rsid w:val="0058546D"/>
    <w:rsid w:val="005863C5"/>
    <w:rsid w:val="005904CD"/>
    <w:rsid w:val="00590FF5"/>
    <w:rsid w:val="00593384"/>
    <w:rsid w:val="0059467F"/>
    <w:rsid w:val="00594959"/>
    <w:rsid w:val="0059720E"/>
    <w:rsid w:val="005A156D"/>
    <w:rsid w:val="005A18D6"/>
    <w:rsid w:val="005A3727"/>
    <w:rsid w:val="005A6B31"/>
    <w:rsid w:val="005B0CDA"/>
    <w:rsid w:val="005B1CCB"/>
    <w:rsid w:val="005B3A33"/>
    <w:rsid w:val="005B52C6"/>
    <w:rsid w:val="005B5572"/>
    <w:rsid w:val="005C0AEE"/>
    <w:rsid w:val="005C1E16"/>
    <w:rsid w:val="005C4F7C"/>
    <w:rsid w:val="005C55F4"/>
    <w:rsid w:val="005C7A3D"/>
    <w:rsid w:val="005C7CED"/>
    <w:rsid w:val="005D2162"/>
    <w:rsid w:val="005D376E"/>
    <w:rsid w:val="005D3A4B"/>
    <w:rsid w:val="005D7A6F"/>
    <w:rsid w:val="005E0C45"/>
    <w:rsid w:val="005E121F"/>
    <w:rsid w:val="005E524E"/>
    <w:rsid w:val="005E6128"/>
    <w:rsid w:val="005E639B"/>
    <w:rsid w:val="005E6B59"/>
    <w:rsid w:val="005F0E96"/>
    <w:rsid w:val="005F100C"/>
    <w:rsid w:val="005F3390"/>
    <w:rsid w:val="005F5653"/>
    <w:rsid w:val="005F66EC"/>
    <w:rsid w:val="005F6EA2"/>
    <w:rsid w:val="00602464"/>
    <w:rsid w:val="00602730"/>
    <w:rsid w:val="006047C3"/>
    <w:rsid w:val="00604E4C"/>
    <w:rsid w:val="00606214"/>
    <w:rsid w:val="00607867"/>
    <w:rsid w:val="0061185B"/>
    <w:rsid w:val="00612719"/>
    <w:rsid w:val="0061444A"/>
    <w:rsid w:val="00614BAC"/>
    <w:rsid w:val="00620290"/>
    <w:rsid w:val="0062124D"/>
    <w:rsid w:val="0062266F"/>
    <w:rsid w:val="00623989"/>
    <w:rsid w:val="00624CD2"/>
    <w:rsid w:val="006252B8"/>
    <w:rsid w:val="0062646B"/>
    <w:rsid w:val="006266DF"/>
    <w:rsid w:val="00627FDC"/>
    <w:rsid w:val="0063030B"/>
    <w:rsid w:val="00630B78"/>
    <w:rsid w:val="006318D0"/>
    <w:rsid w:val="00633DB3"/>
    <w:rsid w:val="006346E9"/>
    <w:rsid w:val="00635760"/>
    <w:rsid w:val="00635C99"/>
    <w:rsid w:val="006374C0"/>
    <w:rsid w:val="006413F3"/>
    <w:rsid w:val="0064211F"/>
    <w:rsid w:val="0064286E"/>
    <w:rsid w:val="00642DAD"/>
    <w:rsid w:val="00644A89"/>
    <w:rsid w:val="006457CC"/>
    <w:rsid w:val="00647EF8"/>
    <w:rsid w:val="006510BB"/>
    <w:rsid w:val="006578FD"/>
    <w:rsid w:val="006614F3"/>
    <w:rsid w:val="006633E5"/>
    <w:rsid w:val="006645F5"/>
    <w:rsid w:val="00666230"/>
    <w:rsid w:val="0066772A"/>
    <w:rsid w:val="00667A06"/>
    <w:rsid w:val="00667BE9"/>
    <w:rsid w:val="006700AE"/>
    <w:rsid w:val="00670686"/>
    <w:rsid w:val="00670F86"/>
    <w:rsid w:val="0067113F"/>
    <w:rsid w:val="00672387"/>
    <w:rsid w:val="00673574"/>
    <w:rsid w:val="00673FDB"/>
    <w:rsid w:val="00676B7F"/>
    <w:rsid w:val="00677C03"/>
    <w:rsid w:val="00680E0C"/>
    <w:rsid w:val="00680E4B"/>
    <w:rsid w:val="00683B0A"/>
    <w:rsid w:val="00685AFC"/>
    <w:rsid w:val="006870A0"/>
    <w:rsid w:val="006913F0"/>
    <w:rsid w:val="00691EB8"/>
    <w:rsid w:val="00692C32"/>
    <w:rsid w:val="00692E53"/>
    <w:rsid w:val="006955D2"/>
    <w:rsid w:val="006959C2"/>
    <w:rsid w:val="00695CFA"/>
    <w:rsid w:val="00696297"/>
    <w:rsid w:val="00696325"/>
    <w:rsid w:val="006965D2"/>
    <w:rsid w:val="006A2BB3"/>
    <w:rsid w:val="006A30A5"/>
    <w:rsid w:val="006A70D0"/>
    <w:rsid w:val="006B0B2B"/>
    <w:rsid w:val="006B0C24"/>
    <w:rsid w:val="006B182C"/>
    <w:rsid w:val="006B24BC"/>
    <w:rsid w:val="006B59D4"/>
    <w:rsid w:val="006C1DAD"/>
    <w:rsid w:val="006C46C3"/>
    <w:rsid w:val="006C6A4A"/>
    <w:rsid w:val="006C6D8F"/>
    <w:rsid w:val="006C7355"/>
    <w:rsid w:val="006D15DE"/>
    <w:rsid w:val="006D33C5"/>
    <w:rsid w:val="006D482E"/>
    <w:rsid w:val="006D5635"/>
    <w:rsid w:val="006D6023"/>
    <w:rsid w:val="006D70F9"/>
    <w:rsid w:val="006E1BF9"/>
    <w:rsid w:val="006E42E7"/>
    <w:rsid w:val="006E4318"/>
    <w:rsid w:val="006E463A"/>
    <w:rsid w:val="006E6EAF"/>
    <w:rsid w:val="006F11B3"/>
    <w:rsid w:val="006F21C0"/>
    <w:rsid w:val="006F31D9"/>
    <w:rsid w:val="006F3E0E"/>
    <w:rsid w:val="006F4296"/>
    <w:rsid w:val="006F5EA5"/>
    <w:rsid w:val="006F610C"/>
    <w:rsid w:val="006F764E"/>
    <w:rsid w:val="006F7F4F"/>
    <w:rsid w:val="00701433"/>
    <w:rsid w:val="007022D9"/>
    <w:rsid w:val="007022E3"/>
    <w:rsid w:val="00704548"/>
    <w:rsid w:val="0070761C"/>
    <w:rsid w:val="0070763A"/>
    <w:rsid w:val="00710161"/>
    <w:rsid w:val="00711F9B"/>
    <w:rsid w:val="00712471"/>
    <w:rsid w:val="00712785"/>
    <w:rsid w:val="00713059"/>
    <w:rsid w:val="00713235"/>
    <w:rsid w:val="00714153"/>
    <w:rsid w:val="007146D3"/>
    <w:rsid w:val="007158E9"/>
    <w:rsid w:val="00717DAC"/>
    <w:rsid w:val="00721C1E"/>
    <w:rsid w:val="0072240C"/>
    <w:rsid w:val="00722AE2"/>
    <w:rsid w:val="0072434D"/>
    <w:rsid w:val="007244D2"/>
    <w:rsid w:val="0072491F"/>
    <w:rsid w:val="0072728F"/>
    <w:rsid w:val="00727841"/>
    <w:rsid w:val="00732E3D"/>
    <w:rsid w:val="00732EFF"/>
    <w:rsid w:val="00733930"/>
    <w:rsid w:val="00741014"/>
    <w:rsid w:val="007418E3"/>
    <w:rsid w:val="00741A77"/>
    <w:rsid w:val="00741CCE"/>
    <w:rsid w:val="00742176"/>
    <w:rsid w:val="007447DD"/>
    <w:rsid w:val="00744A8A"/>
    <w:rsid w:val="00747F6C"/>
    <w:rsid w:val="0075321E"/>
    <w:rsid w:val="007565FC"/>
    <w:rsid w:val="00756680"/>
    <w:rsid w:val="0075702A"/>
    <w:rsid w:val="007601DD"/>
    <w:rsid w:val="00760602"/>
    <w:rsid w:val="0076060F"/>
    <w:rsid w:val="00761BC1"/>
    <w:rsid w:val="007636F2"/>
    <w:rsid w:val="00763AF0"/>
    <w:rsid w:val="00763B25"/>
    <w:rsid w:val="00764250"/>
    <w:rsid w:val="007655F4"/>
    <w:rsid w:val="00766F21"/>
    <w:rsid w:val="00767F36"/>
    <w:rsid w:val="00771248"/>
    <w:rsid w:val="00772529"/>
    <w:rsid w:val="0077282E"/>
    <w:rsid w:val="0077408C"/>
    <w:rsid w:val="007743A1"/>
    <w:rsid w:val="007751DF"/>
    <w:rsid w:val="007753E9"/>
    <w:rsid w:val="0078304B"/>
    <w:rsid w:val="00783E98"/>
    <w:rsid w:val="00786681"/>
    <w:rsid w:val="00792EA5"/>
    <w:rsid w:val="00794796"/>
    <w:rsid w:val="00796B14"/>
    <w:rsid w:val="00796EDD"/>
    <w:rsid w:val="0079760D"/>
    <w:rsid w:val="007A20DE"/>
    <w:rsid w:val="007A2ACB"/>
    <w:rsid w:val="007A3AA3"/>
    <w:rsid w:val="007A4100"/>
    <w:rsid w:val="007B052C"/>
    <w:rsid w:val="007B0C23"/>
    <w:rsid w:val="007B0FBF"/>
    <w:rsid w:val="007B6381"/>
    <w:rsid w:val="007C01F5"/>
    <w:rsid w:val="007C0CD8"/>
    <w:rsid w:val="007C0F75"/>
    <w:rsid w:val="007C1301"/>
    <w:rsid w:val="007C1B47"/>
    <w:rsid w:val="007C3310"/>
    <w:rsid w:val="007C3E7C"/>
    <w:rsid w:val="007C3F8F"/>
    <w:rsid w:val="007C48F0"/>
    <w:rsid w:val="007C4AC7"/>
    <w:rsid w:val="007C57F4"/>
    <w:rsid w:val="007D2552"/>
    <w:rsid w:val="007D3CDB"/>
    <w:rsid w:val="007D5356"/>
    <w:rsid w:val="007D70AB"/>
    <w:rsid w:val="007E381E"/>
    <w:rsid w:val="007E4FDC"/>
    <w:rsid w:val="007F21C7"/>
    <w:rsid w:val="007F22F1"/>
    <w:rsid w:val="007F241A"/>
    <w:rsid w:val="007F3B01"/>
    <w:rsid w:val="007F3C25"/>
    <w:rsid w:val="007F432C"/>
    <w:rsid w:val="007F4335"/>
    <w:rsid w:val="007F5293"/>
    <w:rsid w:val="007F78C2"/>
    <w:rsid w:val="008009FF"/>
    <w:rsid w:val="0080350E"/>
    <w:rsid w:val="00803796"/>
    <w:rsid w:val="00803B2A"/>
    <w:rsid w:val="00804B9D"/>
    <w:rsid w:val="00804FB5"/>
    <w:rsid w:val="00804FC4"/>
    <w:rsid w:val="00805208"/>
    <w:rsid w:val="008104CF"/>
    <w:rsid w:val="00810735"/>
    <w:rsid w:val="00811178"/>
    <w:rsid w:val="00811A8E"/>
    <w:rsid w:val="00811F41"/>
    <w:rsid w:val="00812433"/>
    <w:rsid w:val="008134B9"/>
    <w:rsid w:val="008150CD"/>
    <w:rsid w:val="008168B9"/>
    <w:rsid w:val="00816B07"/>
    <w:rsid w:val="00816E33"/>
    <w:rsid w:val="00817BE4"/>
    <w:rsid w:val="00817FE2"/>
    <w:rsid w:val="008201E7"/>
    <w:rsid w:val="0082097D"/>
    <w:rsid w:val="0082406B"/>
    <w:rsid w:val="008240E7"/>
    <w:rsid w:val="00825E87"/>
    <w:rsid w:val="00825F52"/>
    <w:rsid w:val="008260EB"/>
    <w:rsid w:val="00826554"/>
    <w:rsid w:val="008305BD"/>
    <w:rsid w:val="00830651"/>
    <w:rsid w:val="00831AE9"/>
    <w:rsid w:val="00832506"/>
    <w:rsid w:val="00832C29"/>
    <w:rsid w:val="00833945"/>
    <w:rsid w:val="0083448D"/>
    <w:rsid w:val="00834EA1"/>
    <w:rsid w:val="00837569"/>
    <w:rsid w:val="00840567"/>
    <w:rsid w:val="00842886"/>
    <w:rsid w:val="008473EE"/>
    <w:rsid w:val="008526A7"/>
    <w:rsid w:val="00852CF0"/>
    <w:rsid w:val="0085360D"/>
    <w:rsid w:val="00854C45"/>
    <w:rsid w:val="00855BA9"/>
    <w:rsid w:val="00857D35"/>
    <w:rsid w:val="00857DD8"/>
    <w:rsid w:val="008616E1"/>
    <w:rsid w:val="008627B1"/>
    <w:rsid w:val="008631F8"/>
    <w:rsid w:val="00864D1D"/>
    <w:rsid w:val="008668AA"/>
    <w:rsid w:val="00872187"/>
    <w:rsid w:val="00872DF0"/>
    <w:rsid w:val="00873BA1"/>
    <w:rsid w:val="00875FC4"/>
    <w:rsid w:val="0087759D"/>
    <w:rsid w:val="00877848"/>
    <w:rsid w:val="008800A8"/>
    <w:rsid w:val="0088072C"/>
    <w:rsid w:val="00880ADB"/>
    <w:rsid w:val="00880B1B"/>
    <w:rsid w:val="00881BE2"/>
    <w:rsid w:val="0088200C"/>
    <w:rsid w:val="008847CC"/>
    <w:rsid w:val="00886AAF"/>
    <w:rsid w:val="0089085F"/>
    <w:rsid w:val="00890974"/>
    <w:rsid w:val="008921B5"/>
    <w:rsid w:val="00892297"/>
    <w:rsid w:val="00893161"/>
    <w:rsid w:val="0089334A"/>
    <w:rsid w:val="00893F34"/>
    <w:rsid w:val="008A0B5D"/>
    <w:rsid w:val="008A3745"/>
    <w:rsid w:val="008A4FC4"/>
    <w:rsid w:val="008A5E02"/>
    <w:rsid w:val="008A7EDB"/>
    <w:rsid w:val="008B0FF2"/>
    <w:rsid w:val="008B103C"/>
    <w:rsid w:val="008B301D"/>
    <w:rsid w:val="008B335F"/>
    <w:rsid w:val="008B3905"/>
    <w:rsid w:val="008B487C"/>
    <w:rsid w:val="008B51DF"/>
    <w:rsid w:val="008C0793"/>
    <w:rsid w:val="008C0874"/>
    <w:rsid w:val="008C1101"/>
    <w:rsid w:val="008C32F1"/>
    <w:rsid w:val="008C7D23"/>
    <w:rsid w:val="008D08BE"/>
    <w:rsid w:val="008D1103"/>
    <w:rsid w:val="008D170B"/>
    <w:rsid w:val="008D2C65"/>
    <w:rsid w:val="008D7E75"/>
    <w:rsid w:val="008E0D14"/>
    <w:rsid w:val="008E22AF"/>
    <w:rsid w:val="008E32FF"/>
    <w:rsid w:val="008E3FDD"/>
    <w:rsid w:val="008E4966"/>
    <w:rsid w:val="008E50F4"/>
    <w:rsid w:val="008E730F"/>
    <w:rsid w:val="008F11D5"/>
    <w:rsid w:val="008F1ACC"/>
    <w:rsid w:val="008F2611"/>
    <w:rsid w:val="008F373B"/>
    <w:rsid w:val="008F37D2"/>
    <w:rsid w:val="008F61B9"/>
    <w:rsid w:val="008F63A6"/>
    <w:rsid w:val="009003AA"/>
    <w:rsid w:val="0090339D"/>
    <w:rsid w:val="00904C6B"/>
    <w:rsid w:val="00905F7A"/>
    <w:rsid w:val="0090793C"/>
    <w:rsid w:val="00910B19"/>
    <w:rsid w:val="00911363"/>
    <w:rsid w:val="00911404"/>
    <w:rsid w:val="00913AC0"/>
    <w:rsid w:val="009149E2"/>
    <w:rsid w:val="00916E4D"/>
    <w:rsid w:val="00917500"/>
    <w:rsid w:val="00920BFF"/>
    <w:rsid w:val="0092354D"/>
    <w:rsid w:val="009238A2"/>
    <w:rsid w:val="009261D8"/>
    <w:rsid w:val="00930450"/>
    <w:rsid w:val="0093198A"/>
    <w:rsid w:val="009322A7"/>
    <w:rsid w:val="009328C0"/>
    <w:rsid w:val="009329A7"/>
    <w:rsid w:val="00932DCC"/>
    <w:rsid w:val="009342FE"/>
    <w:rsid w:val="00934E2B"/>
    <w:rsid w:val="0093543E"/>
    <w:rsid w:val="009359D4"/>
    <w:rsid w:val="00935ED9"/>
    <w:rsid w:val="00936238"/>
    <w:rsid w:val="00936D86"/>
    <w:rsid w:val="009407F3"/>
    <w:rsid w:val="00944851"/>
    <w:rsid w:val="00944E99"/>
    <w:rsid w:val="00945E16"/>
    <w:rsid w:val="0094638E"/>
    <w:rsid w:val="00946A36"/>
    <w:rsid w:val="009477E0"/>
    <w:rsid w:val="0095562B"/>
    <w:rsid w:val="00955F84"/>
    <w:rsid w:val="00960696"/>
    <w:rsid w:val="00960F73"/>
    <w:rsid w:val="009620D1"/>
    <w:rsid w:val="0096249F"/>
    <w:rsid w:val="00962EFF"/>
    <w:rsid w:val="00962FC5"/>
    <w:rsid w:val="00964AB4"/>
    <w:rsid w:val="00965620"/>
    <w:rsid w:val="00966427"/>
    <w:rsid w:val="00970A7A"/>
    <w:rsid w:val="0097280B"/>
    <w:rsid w:val="00972CEF"/>
    <w:rsid w:val="00975F36"/>
    <w:rsid w:val="009825A1"/>
    <w:rsid w:val="00983CBB"/>
    <w:rsid w:val="00984546"/>
    <w:rsid w:val="00984D35"/>
    <w:rsid w:val="009862A9"/>
    <w:rsid w:val="009862D1"/>
    <w:rsid w:val="00986C3E"/>
    <w:rsid w:val="00987560"/>
    <w:rsid w:val="00987B23"/>
    <w:rsid w:val="00990A21"/>
    <w:rsid w:val="009923B6"/>
    <w:rsid w:val="00992F16"/>
    <w:rsid w:val="009930C6"/>
    <w:rsid w:val="009933B9"/>
    <w:rsid w:val="00996D27"/>
    <w:rsid w:val="00997063"/>
    <w:rsid w:val="009A0109"/>
    <w:rsid w:val="009A01AB"/>
    <w:rsid w:val="009A239C"/>
    <w:rsid w:val="009A3717"/>
    <w:rsid w:val="009A5504"/>
    <w:rsid w:val="009A551E"/>
    <w:rsid w:val="009A67E6"/>
    <w:rsid w:val="009A685D"/>
    <w:rsid w:val="009A76E3"/>
    <w:rsid w:val="009A789E"/>
    <w:rsid w:val="009A7AF0"/>
    <w:rsid w:val="009B1177"/>
    <w:rsid w:val="009B2936"/>
    <w:rsid w:val="009B31DA"/>
    <w:rsid w:val="009B3FF6"/>
    <w:rsid w:val="009B47A1"/>
    <w:rsid w:val="009B6227"/>
    <w:rsid w:val="009B7368"/>
    <w:rsid w:val="009C008B"/>
    <w:rsid w:val="009C1116"/>
    <w:rsid w:val="009C1B9D"/>
    <w:rsid w:val="009C2CEC"/>
    <w:rsid w:val="009C485E"/>
    <w:rsid w:val="009C57C2"/>
    <w:rsid w:val="009C5819"/>
    <w:rsid w:val="009C5C73"/>
    <w:rsid w:val="009C7E17"/>
    <w:rsid w:val="009D01C6"/>
    <w:rsid w:val="009D0790"/>
    <w:rsid w:val="009D0D93"/>
    <w:rsid w:val="009D1063"/>
    <w:rsid w:val="009D121A"/>
    <w:rsid w:val="009D1FC5"/>
    <w:rsid w:val="009D24EB"/>
    <w:rsid w:val="009D674F"/>
    <w:rsid w:val="009D78A7"/>
    <w:rsid w:val="009D7B90"/>
    <w:rsid w:val="009E00A7"/>
    <w:rsid w:val="009E0468"/>
    <w:rsid w:val="009E074C"/>
    <w:rsid w:val="009E25D7"/>
    <w:rsid w:val="009E3B3F"/>
    <w:rsid w:val="009E425A"/>
    <w:rsid w:val="009E6966"/>
    <w:rsid w:val="009E6D70"/>
    <w:rsid w:val="009E77F5"/>
    <w:rsid w:val="009F1771"/>
    <w:rsid w:val="009F1CF7"/>
    <w:rsid w:val="009F254D"/>
    <w:rsid w:val="009F32B5"/>
    <w:rsid w:val="009F44EA"/>
    <w:rsid w:val="009F6C50"/>
    <w:rsid w:val="009F6D1E"/>
    <w:rsid w:val="009F6D1F"/>
    <w:rsid w:val="009F739C"/>
    <w:rsid w:val="00A01B08"/>
    <w:rsid w:val="00A01DD0"/>
    <w:rsid w:val="00A023C4"/>
    <w:rsid w:val="00A02830"/>
    <w:rsid w:val="00A03236"/>
    <w:rsid w:val="00A07C2E"/>
    <w:rsid w:val="00A106CA"/>
    <w:rsid w:val="00A12967"/>
    <w:rsid w:val="00A14740"/>
    <w:rsid w:val="00A14C5C"/>
    <w:rsid w:val="00A14CD9"/>
    <w:rsid w:val="00A1658C"/>
    <w:rsid w:val="00A17F6D"/>
    <w:rsid w:val="00A20DD2"/>
    <w:rsid w:val="00A21D95"/>
    <w:rsid w:val="00A25164"/>
    <w:rsid w:val="00A2599E"/>
    <w:rsid w:val="00A26C4B"/>
    <w:rsid w:val="00A3087E"/>
    <w:rsid w:val="00A31AF3"/>
    <w:rsid w:val="00A3394E"/>
    <w:rsid w:val="00A3513E"/>
    <w:rsid w:val="00A365C7"/>
    <w:rsid w:val="00A40F13"/>
    <w:rsid w:val="00A41A1C"/>
    <w:rsid w:val="00A42F49"/>
    <w:rsid w:val="00A43E0B"/>
    <w:rsid w:val="00A44201"/>
    <w:rsid w:val="00A44541"/>
    <w:rsid w:val="00A5114D"/>
    <w:rsid w:val="00A537E0"/>
    <w:rsid w:val="00A54956"/>
    <w:rsid w:val="00A56111"/>
    <w:rsid w:val="00A57848"/>
    <w:rsid w:val="00A626D6"/>
    <w:rsid w:val="00A642B6"/>
    <w:rsid w:val="00A64893"/>
    <w:rsid w:val="00A66058"/>
    <w:rsid w:val="00A70443"/>
    <w:rsid w:val="00A71BBB"/>
    <w:rsid w:val="00A74FC0"/>
    <w:rsid w:val="00A75F04"/>
    <w:rsid w:val="00A7695E"/>
    <w:rsid w:val="00A773D1"/>
    <w:rsid w:val="00A81CE6"/>
    <w:rsid w:val="00A83CAE"/>
    <w:rsid w:val="00A841EE"/>
    <w:rsid w:val="00A87969"/>
    <w:rsid w:val="00A904CB"/>
    <w:rsid w:val="00A92680"/>
    <w:rsid w:val="00A93346"/>
    <w:rsid w:val="00A93CFC"/>
    <w:rsid w:val="00A944DC"/>
    <w:rsid w:val="00A9572D"/>
    <w:rsid w:val="00AA4041"/>
    <w:rsid w:val="00AA4528"/>
    <w:rsid w:val="00AA66C7"/>
    <w:rsid w:val="00AB0C33"/>
    <w:rsid w:val="00AB0FA1"/>
    <w:rsid w:val="00AB3190"/>
    <w:rsid w:val="00AB435C"/>
    <w:rsid w:val="00AB525B"/>
    <w:rsid w:val="00AB5CD6"/>
    <w:rsid w:val="00AC2975"/>
    <w:rsid w:val="00AC3667"/>
    <w:rsid w:val="00AC3B0B"/>
    <w:rsid w:val="00AC64B0"/>
    <w:rsid w:val="00AD0C22"/>
    <w:rsid w:val="00AD1AFF"/>
    <w:rsid w:val="00AD27DF"/>
    <w:rsid w:val="00AD28DB"/>
    <w:rsid w:val="00AD33BC"/>
    <w:rsid w:val="00AD4F3A"/>
    <w:rsid w:val="00AD542E"/>
    <w:rsid w:val="00AD5694"/>
    <w:rsid w:val="00AD5753"/>
    <w:rsid w:val="00AE054B"/>
    <w:rsid w:val="00AE0FF5"/>
    <w:rsid w:val="00AE7405"/>
    <w:rsid w:val="00AE76DA"/>
    <w:rsid w:val="00AF06B1"/>
    <w:rsid w:val="00AF1E72"/>
    <w:rsid w:val="00AF2D7D"/>
    <w:rsid w:val="00AF305A"/>
    <w:rsid w:val="00AF3563"/>
    <w:rsid w:val="00AF3B54"/>
    <w:rsid w:val="00AF4B8F"/>
    <w:rsid w:val="00B0173A"/>
    <w:rsid w:val="00B02068"/>
    <w:rsid w:val="00B03202"/>
    <w:rsid w:val="00B03D39"/>
    <w:rsid w:val="00B05326"/>
    <w:rsid w:val="00B06BB4"/>
    <w:rsid w:val="00B0710C"/>
    <w:rsid w:val="00B109B5"/>
    <w:rsid w:val="00B10FBB"/>
    <w:rsid w:val="00B117A3"/>
    <w:rsid w:val="00B13217"/>
    <w:rsid w:val="00B13908"/>
    <w:rsid w:val="00B14A3C"/>
    <w:rsid w:val="00B16138"/>
    <w:rsid w:val="00B1706B"/>
    <w:rsid w:val="00B17167"/>
    <w:rsid w:val="00B172FB"/>
    <w:rsid w:val="00B17495"/>
    <w:rsid w:val="00B20500"/>
    <w:rsid w:val="00B206BB"/>
    <w:rsid w:val="00B222AD"/>
    <w:rsid w:val="00B2617F"/>
    <w:rsid w:val="00B26F90"/>
    <w:rsid w:val="00B31D38"/>
    <w:rsid w:val="00B31FB7"/>
    <w:rsid w:val="00B32AFB"/>
    <w:rsid w:val="00B330A7"/>
    <w:rsid w:val="00B33171"/>
    <w:rsid w:val="00B349A0"/>
    <w:rsid w:val="00B373A0"/>
    <w:rsid w:val="00B37EE0"/>
    <w:rsid w:val="00B40D40"/>
    <w:rsid w:val="00B41EBD"/>
    <w:rsid w:val="00B426B0"/>
    <w:rsid w:val="00B440A8"/>
    <w:rsid w:val="00B4474F"/>
    <w:rsid w:val="00B454F8"/>
    <w:rsid w:val="00B47D5A"/>
    <w:rsid w:val="00B50261"/>
    <w:rsid w:val="00B52609"/>
    <w:rsid w:val="00B52FE8"/>
    <w:rsid w:val="00B541B3"/>
    <w:rsid w:val="00B54770"/>
    <w:rsid w:val="00B55137"/>
    <w:rsid w:val="00B553DE"/>
    <w:rsid w:val="00B565F6"/>
    <w:rsid w:val="00B56952"/>
    <w:rsid w:val="00B5707F"/>
    <w:rsid w:val="00B57187"/>
    <w:rsid w:val="00B6368C"/>
    <w:rsid w:val="00B63ADA"/>
    <w:rsid w:val="00B63AE5"/>
    <w:rsid w:val="00B64011"/>
    <w:rsid w:val="00B64872"/>
    <w:rsid w:val="00B66036"/>
    <w:rsid w:val="00B70831"/>
    <w:rsid w:val="00B71120"/>
    <w:rsid w:val="00B71B3C"/>
    <w:rsid w:val="00B751F5"/>
    <w:rsid w:val="00B768B1"/>
    <w:rsid w:val="00B80413"/>
    <w:rsid w:val="00B804EF"/>
    <w:rsid w:val="00B81DDA"/>
    <w:rsid w:val="00B8404A"/>
    <w:rsid w:val="00B86937"/>
    <w:rsid w:val="00B8774B"/>
    <w:rsid w:val="00B87E95"/>
    <w:rsid w:val="00B90438"/>
    <w:rsid w:val="00B90DB5"/>
    <w:rsid w:val="00B9173C"/>
    <w:rsid w:val="00B91E0F"/>
    <w:rsid w:val="00B939F5"/>
    <w:rsid w:val="00B942BC"/>
    <w:rsid w:val="00B95AD3"/>
    <w:rsid w:val="00B9668F"/>
    <w:rsid w:val="00B9687A"/>
    <w:rsid w:val="00B97333"/>
    <w:rsid w:val="00B97ED6"/>
    <w:rsid w:val="00BA0185"/>
    <w:rsid w:val="00BA02D1"/>
    <w:rsid w:val="00BA160F"/>
    <w:rsid w:val="00BA1BED"/>
    <w:rsid w:val="00BA412B"/>
    <w:rsid w:val="00BA43EC"/>
    <w:rsid w:val="00BA58AD"/>
    <w:rsid w:val="00BA602D"/>
    <w:rsid w:val="00BA6953"/>
    <w:rsid w:val="00BA6BF3"/>
    <w:rsid w:val="00BB0A64"/>
    <w:rsid w:val="00BB0FA2"/>
    <w:rsid w:val="00BB3278"/>
    <w:rsid w:val="00BB3D13"/>
    <w:rsid w:val="00BB5B2F"/>
    <w:rsid w:val="00BC0522"/>
    <w:rsid w:val="00BC0D34"/>
    <w:rsid w:val="00BC1F9D"/>
    <w:rsid w:val="00BC245D"/>
    <w:rsid w:val="00BC2BC1"/>
    <w:rsid w:val="00BC469A"/>
    <w:rsid w:val="00BC46BA"/>
    <w:rsid w:val="00BC4ADF"/>
    <w:rsid w:val="00BC4D01"/>
    <w:rsid w:val="00BC5A10"/>
    <w:rsid w:val="00BC6527"/>
    <w:rsid w:val="00BC666E"/>
    <w:rsid w:val="00BC7DD4"/>
    <w:rsid w:val="00BD3845"/>
    <w:rsid w:val="00BD3F70"/>
    <w:rsid w:val="00BD47CB"/>
    <w:rsid w:val="00BD491D"/>
    <w:rsid w:val="00BD7668"/>
    <w:rsid w:val="00BE0EFB"/>
    <w:rsid w:val="00BE31C8"/>
    <w:rsid w:val="00BE59DB"/>
    <w:rsid w:val="00BE5D3D"/>
    <w:rsid w:val="00BE7521"/>
    <w:rsid w:val="00BF0D2A"/>
    <w:rsid w:val="00BF3953"/>
    <w:rsid w:val="00BF507D"/>
    <w:rsid w:val="00BF70D7"/>
    <w:rsid w:val="00BF7E08"/>
    <w:rsid w:val="00C002B8"/>
    <w:rsid w:val="00C036F4"/>
    <w:rsid w:val="00C03FC8"/>
    <w:rsid w:val="00C04A89"/>
    <w:rsid w:val="00C059E8"/>
    <w:rsid w:val="00C05D8F"/>
    <w:rsid w:val="00C0639A"/>
    <w:rsid w:val="00C07F94"/>
    <w:rsid w:val="00C102C9"/>
    <w:rsid w:val="00C10532"/>
    <w:rsid w:val="00C1305E"/>
    <w:rsid w:val="00C13522"/>
    <w:rsid w:val="00C1377E"/>
    <w:rsid w:val="00C14E8E"/>
    <w:rsid w:val="00C15727"/>
    <w:rsid w:val="00C234F4"/>
    <w:rsid w:val="00C239E0"/>
    <w:rsid w:val="00C26351"/>
    <w:rsid w:val="00C279F7"/>
    <w:rsid w:val="00C308D4"/>
    <w:rsid w:val="00C32BD1"/>
    <w:rsid w:val="00C33CA6"/>
    <w:rsid w:val="00C3410C"/>
    <w:rsid w:val="00C358BD"/>
    <w:rsid w:val="00C36E80"/>
    <w:rsid w:val="00C407B7"/>
    <w:rsid w:val="00C4196F"/>
    <w:rsid w:val="00C41C5F"/>
    <w:rsid w:val="00C4430F"/>
    <w:rsid w:val="00C456CC"/>
    <w:rsid w:val="00C470F8"/>
    <w:rsid w:val="00C47478"/>
    <w:rsid w:val="00C47726"/>
    <w:rsid w:val="00C47A91"/>
    <w:rsid w:val="00C53C9A"/>
    <w:rsid w:val="00C53DA6"/>
    <w:rsid w:val="00C555EC"/>
    <w:rsid w:val="00C57277"/>
    <w:rsid w:val="00C5759A"/>
    <w:rsid w:val="00C575DC"/>
    <w:rsid w:val="00C62BD1"/>
    <w:rsid w:val="00C63763"/>
    <w:rsid w:val="00C671C5"/>
    <w:rsid w:val="00C671F1"/>
    <w:rsid w:val="00C674E2"/>
    <w:rsid w:val="00C70EC8"/>
    <w:rsid w:val="00C72533"/>
    <w:rsid w:val="00C73180"/>
    <w:rsid w:val="00C73731"/>
    <w:rsid w:val="00C752B0"/>
    <w:rsid w:val="00C777A7"/>
    <w:rsid w:val="00C77BF1"/>
    <w:rsid w:val="00C80621"/>
    <w:rsid w:val="00C80A39"/>
    <w:rsid w:val="00C81120"/>
    <w:rsid w:val="00C828D3"/>
    <w:rsid w:val="00C82D06"/>
    <w:rsid w:val="00C8352E"/>
    <w:rsid w:val="00C8401E"/>
    <w:rsid w:val="00C845BD"/>
    <w:rsid w:val="00C845CD"/>
    <w:rsid w:val="00C86465"/>
    <w:rsid w:val="00C8767F"/>
    <w:rsid w:val="00C9081C"/>
    <w:rsid w:val="00C910D8"/>
    <w:rsid w:val="00C911C1"/>
    <w:rsid w:val="00C92D9E"/>
    <w:rsid w:val="00C94C2A"/>
    <w:rsid w:val="00C96373"/>
    <w:rsid w:val="00CA246F"/>
    <w:rsid w:val="00CA49E0"/>
    <w:rsid w:val="00CA54FD"/>
    <w:rsid w:val="00CA5A71"/>
    <w:rsid w:val="00CA6B2C"/>
    <w:rsid w:val="00CB0F2E"/>
    <w:rsid w:val="00CB1E5D"/>
    <w:rsid w:val="00CB2127"/>
    <w:rsid w:val="00CB224A"/>
    <w:rsid w:val="00CB31F2"/>
    <w:rsid w:val="00CB4486"/>
    <w:rsid w:val="00CB474F"/>
    <w:rsid w:val="00CB69AB"/>
    <w:rsid w:val="00CB6AA7"/>
    <w:rsid w:val="00CB7159"/>
    <w:rsid w:val="00CC05DC"/>
    <w:rsid w:val="00CC086B"/>
    <w:rsid w:val="00CC1A8A"/>
    <w:rsid w:val="00CC1D84"/>
    <w:rsid w:val="00CC2C33"/>
    <w:rsid w:val="00CC319B"/>
    <w:rsid w:val="00CC3738"/>
    <w:rsid w:val="00CC469B"/>
    <w:rsid w:val="00CC4F62"/>
    <w:rsid w:val="00CC67EF"/>
    <w:rsid w:val="00CC755F"/>
    <w:rsid w:val="00CC7AD5"/>
    <w:rsid w:val="00CD0AEC"/>
    <w:rsid w:val="00CD1B05"/>
    <w:rsid w:val="00CD1D85"/>
    <w:rsid w:val="00CD2ABA"/>
    <w:rsid w:val="00CD3384"/>
    <w:rsid w:val="00CD36AF"/>
    <w:rsid w:val="00CD3CC5"/>
    <w:rsid w:val="00CD5AEA"/>
    <w:rsid w:val="00CD660B"/>
    <w:rsid w:val="00CD6C3D"/>
    <w:rsid w:val="00CE0AC7"/>
    <w:rsid w:val="00CE1037"/>
    <w:rsid w:val="00CE36B6"/>
    <w:rsid w:val="00CE3AFD"/>
    <w:rsid w:val="00CE4BAB"/>
    <w:rsid w:val="00CE5ABF"/>
    <w:rsid w:val="00CE6D19"/>
    <w:rsid w:val="00CF0202"/>
    <w:rsid w:val="00CF0660"/>
    <w:rsid w:val="00CF0BE2"/>
    <w:rsid w:val="00CF0EB7"/>
    <w:rsid w:val="00CF167A"/>
    <w:rsid w:val="00CF18EB"/>
    <w:rsid w:val="00D000D0"/>
    <w:rsid w:val="00D0514F"/>
    <w:rsid w:val="00D05C4E"/>
    <w:rsid w:val="00D06511"/>
    <w:rsid w:val="00D07FE5"/>
    <w:rsid w:val="00D11517"/>
    <w:rsid w:val="00D1206F"/>
    <w:rsid w:val="00D128F0"/>
    <w:rsid w:val="00D12A0B"/>
    <w:rsid w:val="00D13695"/>
    <w:rsid w:val="00D14241"/>
    <w:rsid w:val="00D169B9"/>
    <w:rsid w:val="00D171A4"/>
    <w:rsid w:val="00D20115"/>
    <w:rsid w:val="00D208BA"/>
    <w:rsid w:val="00D20BD9"/>
    <w:rsid w:val="00D232F6"/>
    <w:rsid w:val="00D24076"/>
    <w:rsid w:val="00D25216"/>
    <w:rsid w:val="00D255EB"/>
    <w:rsid w:val="00D26EF1"/>
    <w:rsid w:val="00D277F4"/>
    <w:rsid w:val="00D27F9C"/>
    <w:rsid w:val="00D31519"/>
    <w:rsid w:val="00D3354F"/>
    <w:rsid w:val="00D33C32"/>
    <w:rsid w:val="00D34D28"/>
    <w:rsid w:val="00D362DF"/>
    <w:rsid w:val="00D37AD8"/>
    <w:rsid w:val="00D4005D"/>
    <w:rsid w:val="00D40299"/>
    <w:rsid w:val="00D408E5"/>
    <w:rsid w:val="00D4545D"/>
    <w:rsid w:val="00D455F3"/>
    <w:rsid w:val="00D45A18"/>
    <w:rsid w:val="00D45E18"/>
    <w:rsid w:val="00D461E3"/>
    <w:rsid w:val="00D46334"/>
    <w:rsid w:val="00D52EE0"/>
    <w:rsid w:val="00D531A1"/>
    <w:rsid w:val="00D5448C"/>
    <w:rsid w:val="00D544C5"/>
    <w:rsid w:val="00D60B60"/>
    <w:rsid w:val="00D616CB"/>
    <w:rsid w:val="00D61EC1"/>
    <w:rsid w:val="00D6242F"/>
    <w:rsid w:val="00D6257B"/>
    <w:rsid w:val="00D634F9"/>
    <w:rsid w:val="00D644EA"/>
    <w:rsid w:val="00D64885"/>
    <w:rsid w:val="00D6614F"/>
    <w:rsid w:val="00D668E4"/>
    <w:rsid w:val="00D66ECC"/>
    <w:rsid w:val="00D6707C"/>
    <w:rsid w:val="00D670A9"/>
    <w:rsid w:val="00D67E57"/>
    <w:rsid w:val="00D70526"/>
    <w:rsid w:val="00D760AB"/>
    <w:rsid w:val="00D76BB1"/>
    <w:rsid w:val="00D774D5"/>
    <w:rsid w:val="00D81DC7"/>
    <w:rsid w:val="00D83627"/>
    <w:rsid w:val="00D83EAA"/>
    <w:rsid w:val="00D846B0"/>
    <w:rsid w:val="00D85B83"/>
    <w:rsid w:val="00D877F3"/>
    <w:rsid w:val="00D90D70"/>
    <w:rsid w:val="00D9140A"/>
    <w:rsid w:val="00D923F4"/>
    <w:rsid w:val="00D96E68"/>
    <w:rsid w:val="00DA2ED4"/>
    <w:rsid w:val="00DA4A16"/>
    <w:rsid w:val="00DA564D"/>
    <w:rsid w:val="00DA5EF6"/>
    <w:rsid w:val="00DB0333"/>
    <w:rsid w:val="00DB08F1"/>
    <w:rsid w:val="00DB1D84"/>
    <w:rsid w:val="00DB4664"/>
    <w:rsid w:val="00DB5631"/>
    <w:rsid w:val="00DB652A"/>
    <w:rsid w:val="00DC3ED1"/>
    <w:rsid w:val="00DC5071"/>
    <w:rsid w:val="00DC567B"/>
    <w:rsid w:val="00DC5A12"/>
    <w:rsid w:val="00DC5BBA"/>
    <w:rsid w:val="00DC5E8F"/>
    <w:rsid w:val="00DC6201"/>
    <w:rsid w:val="00DC6561"/>
    <w:rsid w:val="00DC6F19"/>
    <w:rsid w:val="00DD4343"/>
    <w:rsid w:val="00DD5576"/>
    <w:rsid w:val="00DD6D02"/>
    <w:rsid w:val="00DD6DA8"/>
    <w:rsid w:val="00DE27F7"/>
    <w:rsid w:val="00DE2B14"/>
    <w:rsid w:val="00DE2BF0"/>
    <w:rsid w:val="00DE2D04"/>
    <w:rsid w:val="00DE3BAF"/>
    <w:rsid w:val="00DE52E0"/>
    <w:rsid w:val="00DE5670"/>
    <w:rsid w:val="00DE5D74"/>
    <w:rsid w:val="00DE609E"/>
    <w:rsid w:val="00DF0A2B"/>
    <w:rsid w:val="00DF2C77"/>
    <w:rsid w:val="00DF4F94"/>
    <w:rsid w:val="00DF55C2"/>
    <w:rsid w:val="00DF5CAF"/>
    <w:rsid w:val="00DF660F"/>
    <w:rsid w:val="00DF6C78"/>
    <w:rsid w:val="00E004F8"/>
    <w:rsid w:val="00E005EE"/>
    <w:rsid w:val="00E008FF"/>
    <w:rsid w:val="00E01FAF"/>
    <w:rsid w:val="00E02DCD"/>
    <w:rsid w:val="00E032FA"/>
    <w:rsid w:val="00E04F62"/>
    <w:rsid w:val="00E05C00"/>
    <w:rsid w:val="00E11508"/>
    <w:rsid w:val="00E11802"/>
    <w:rsid w:val="00E11977"/>
    <w:rsid w:val="00E13B71"/>
    <w:rsid w:val="00E177C9"/>
    <w:rsid w:val="00E22549"/>
    <w:rsid w:val="00E226BE"/>
    <w:rsid w:val="00E23D94"/>
    <w:rsid w:val="00E23FFA"/>
    <w:rsid w:val="00E2425F"/>
    <w:rsid w:val="00E254CB"/>
    <w:rsid w:val="00E27BDA"/>
    <w:rsid w:val="00E32E89"/>
    <w:rsid w:val="00E347BD"/>
    <w:rsid w:val="00E354BA"/>
    <w:rsid w:val="00E357CE"/>
    <w:rsid w:val="00E361C9"/>
    <w:rsid w:val="00E36339"/>
    <w:rsid w:val="00E3686E"/>
    <w:rsid w:val="00E37368"/>
    <w:rsid w:val="00E40DDA"/>
    <w:rsid w:val="00E4123D"/>
    <w:rsid w:val="00E43622"/>
    <w:rsid w:val="00E44260"/>
    <w:rsid w:val="00E455FA"/>
    <w:rsid w:val="00E467F7"/>
    <w:rsid w:val="00E46FFB"/>
    <w:rsid w:val="00E52C04"/>
    <w:rsid w:val="00E54BA2"/>
    <w:rsid w:val="00E54DB4"/>
    <w:rsid w:val="00E54DCB"/>
    <w:rsid w:val="00E54FD7"/>
    <w:rsid w:val="00E56039"/>
    <w:rsid w:val="00E56C5A"/>
    <w:rsid w:val="00E5788B"/>
    <w:rsid w:val="00E61625"/>
    <w:rsid w:val="00E61F81"/>
    <w:rsid w:val="00E62588"/>
    <w:rsid w:val="00E633CB"/>
    <w:rsid w:val="00E63B98"/>
    <w:rsid w:val="00E649CB"/>
    <w:rsid w:val="00E65F4B"/>
    <w:rsid w:val="00E66648"/>
    <w:rsid w:val="00E667B3"/>
    <w:rsid w:val="00E669AA"/>
    <w:rsid w:val="00E70348"/>
    <w:rsid w:val="00E72E34"/>
    <w:rsid w:val="00E738A5"/>
    <w:rsid w:val="00E74725"/>
    <w:rsid w:val="00E7623E"/>
    <w:rsid w:val="00E771BF"/>
    <w:rsid w:val="00E77B8A"/>
    <w:rsid w:val="00E816B0"/>
    <w:rsid w:val="00E8335E"/>
    <w:rsid w:val="00E836E7"/>
    <w:rsid w:val="00E855E3"/>
    <w:rsid w:val="00E861AE"/>
    <w:rsid w:val="00E9202C"/>
    <w:rsid w:val="00E929B0"/>
    <w:rsid w:val="00E96C21"/>
    <w:rsid w:val="00E97758"/>
    <w:rsid w:val="00EA20FB"/>
    <w:rsid w:val="00EA3E3A"/>
    <w:rsid w:val="00EA6553"/>
    <w:rsid w:val="00EA666C"/>
    <w:rsid w:val="00EA7530"/>
    <w:rsid w:val="00EB169C"/>
    <w:rsid w:val="00EB25A7"/>
    <w:rsid w:val="00EB3B56"/>
    <w:rsid w:val="00EB6439"/>
    <w:rsid w:val="00EC1B1F"/>
    <w:rsid w:val="00EC28E6"/>
    <w:rsid w:val="00EC2B37"/>
    <w:rsid w:val="00EC3675"/>
    <w:rsid w:val="00EC4105"/>
    <w:rsid w:val="00ED0849"/>
    <w:rsid w:val="00ED61FC"/>
    <w:rsid w:val="00ED7A87"/>
    <w:rsid w:val="00EE19E4"/>
    <w:rsid w:val="00EE1F9B"/>
    <w:rsid w:val="00EE69EB"/>
    <w:rsid w:val="00EE6F94"/>
    <w:rsid w:val="00EF2852"/>
    <w:rsid w:val="00EF3E90"/>
    <w:rsid w:val="00EF5D56"/>
    <w:rsid w:val="00EF70E3"/>
    <w:rsid w:val="00EF7E3A"/>
    <w:rsid w:val="00EF7FCD"/>
    <w:rsid w:val="00F008B3"/>
    <w:rsid w:val="00F00FCA"/>
    <w:rsid w:val="00F012EA"/>
    <w:rsid w:val="00F01DDD"/>
    <w:rsid w:val="00F026D5"/>
    <w:rsid w:val="00F036EF"/>
    <w:rsid w:val="00F038FB"/>
    <w:rsid w:val="00F04D52"/>
    <w:rsid w:val="00F0563A"/>
    <w:rsid w:val="00F065A5"/>
    <w:rsid w:val="00F0783F"/>
    <w:rsid w:val="00F10822"/>
    <w:rsid w:val="00F11CE2"/>
    <w:rsid w:val="00F1222A"/>
    <w:rsid w:val="00F13F01"/>
    <w:rsid w:val="00F155B6"/>
    <w:rsid w:val="00F1624C"/>
    <w:rsid w:val="00F24795"/>
    <w:rsid w:val="00F25309"/>
    <w:rsid w:val="00F264DD"/>
    <w:rsid w:val="00F26509"/>
    <w:rsid w:val="00F26992"/>
    <w:rsid w:val="00F27730"/>
    <w:rsid w:val="00F33415"/>
    <w:rsid w:val="00F33A6A"/>
    <w:rsid w:val="00F35D73"/>
    <w:rsid w:val="00F35F57"/>
    <w:rsid w:val="00F36E0C"/>
    <w:rsid w:val="00F41E30"/>
    <w:rsid w:val="00F426D1"/>
    <w:rsid w:val="00F42E47"/>
    <w:rsid w:val="00F45D54"/>
    <w:rsid w:val="00F473CB"/>
    <w:rsid w:val="00F50E6A"/>
    <w:rsid w:val="00F561F4"/>
    <w:rsid w:val="00F56991"/>
    <w:rsid w:val="00F60530"/>
    <w:rsid w:val="00F703DE"/>
    <w:rsid w:val="00F715F1"/>
    <w:rsid w:val="00F71B85"/>
    <w:rsid w:val="00F71EE3"/>
    <w:rsid w:val="00F73064"/>
    <w:rsid w:val="00F7307F"/>
    <w:rsid w:val="00F73478"/>
    <w:rsid w:val="00F73717"/>
    <w:rsid w:val="00F74714"/>
    <w:rsid w:val="00F7703A"/>
    <w:rsid w:val="00F775D9"/>
    <w:rsid w:val="00F805AB"/>
    <w:rsid w:val="00F8080A"/>
    <w:rsid w:val="00F808CA"/>
    <w:rsid w:val="00F81046"/>
    <w:rsid w:val="00F84524"/>
    <w:rsid w:val="00F85A63"/>
    <w:rsid w:val="00F8675B"/>
    <w:rsid w:val="00F86E92"/>
    <w:rsid w:val="00F86EE3"/>
    <w:rsid w:val="00F86F79"/>
    <w:rsid w:val="00F87048"/>
    <w:rsid w:val="00F90417"/>
    <w:rsid w:val="00F911A0"/>
    <w:rsid w:val="00F913A3"/>
    <w:rsid w:val="00F91FEB"/>
    <w:rsid w:val="00F9211A"/>
    <w:rsid w:val="00F92517"/>
    <w:rsid w:val="00F92D06"/>
    <w:rsid w:val="00F93387"/>
    <w:rsid w:val="00F940B8"/>
    <w:rsid w:val="00F94A2E"/>
    <w:rsid w:val="00F96B98"/>
    <w:rsid w:val="00F96DEC"/>
    <w:rsid w:val="00F97104"/>
    <w:rsid w:val="00FA0921"/>
    <w:rsid w:val="00FA0A3C"/>
    <w:rsid w:val="00FA0D2B"/>
    <w:rsid w:val="00FA6742"/>
    <w:rsid w:val="00FA717F"/>
    <w:rsid w:val="00FB0264"/>
    <w:rsid w:val="00FB28FC"/>
    <w:rsid w:val="00FB3FED"/>
    <w:rsid w:val="00FB4E5A"/>
    <w:rsid w:val="00FB59AE"/>
    <w:rsid w:val="00FB7522"/>
    <w:rsid w:val="00FC42D3"/>
    <w:rsid w:val="00FC4EFC"/>
    <w:rsid w:val="00FC7606"/>
    <w:rsid w:val="00FC7FA3"/>
    <w:rsid w:val="00FD237D"/>
    <w:rsid w:val="00FD68CA"/>
    <w:rsid w:val="00FD6914"/>
    <w:rsid w:val="00FE13FB"/>
    <w:rsid w:val="00FE265E"/>
    <w:rsid w:val="00FE6E2A"/>
    <w:rsid w:val="00FF242C"/>
    <w:rsid w:val="00FF2C06"/>
    <w:rsid w:val="00FF3515"/>
    <w:rsid w:val="00FF4809"/>
    <w:rsid w:val="00FF4FD6"/>
    <w:rsid w:val="00FF6258"/>
    <w:rsid w:val="00FF7769"/>
    <w:rsid w:val="00FF79FF"/>
    <w:rsid w:val="00FF7D84"/>
    <w:rsid w:val="00FF7DE9"/>
    <w:rsid w:val="00FF7ED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9E628F"/>
  <w15:docId w15:val="{87C33DA1-F329-41EB-967E-BEF7151C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21"/>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A02830"/>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A02830"/>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aliases w:val="b,b1,b + line,Body,level 1,Bullet + line"/>
    <w:basedOn w:val="Normal"/>
    <w:link w:val="BulletChar"/>
    <w:qFormat/>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qFormat/>
    <w:rsid w:val="00F73064"/>
    <w:pPr>
      <w:numPr>
        <w:ilvl w:val="1"/>
        <w:numId w:val="19"/>
      </w:numPr>
    </w:pPr>
  </w:style>
  <w:style w:type="paragraph" w:customStyle="1" w:styleId="DoubleDot">
    <w:name w:val="Double Dot"/>
    <w:basedOn w:val="Dash"/>
    <w:qFormat/>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5821AB"/>
    <w:pPr>
      <w:tabs>
        <w:tab w:val="left" w:pos="567"/>
      </w:tabs>
      <w:spacing w:after="0"/>
      <w:ind w:left="567" w:hanging="567"/>
    </w:pPr>
    <w:rPr>
      <w:sz w:val="18"/>
    </w:rPr>
  </w:style>
  <w:style w:type="character" w:customStyle="1" w:styleId="FootnoteTextChar">
    <w:name w:val="Footnote Text Char"/>
    <w:basedOn w:val="DefaultParagraphFont"/>
    <w:link w:val="FootnoteText"/>
    <w:uiPriority w:val="99"/>
    <w:rsid w:val="005821AB"/>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link w:val="OutlineNumbered1Char"/>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link w:val="SingleParagraphChar"/>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qFormat/>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uiPriority w:val="39"/>
    <w:qFormat/>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uiPriority w:val="39"/>
    <w:qFormat/>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uiPriority w:val="99"/>
    <w:rsid w:val="00F73064"/>
    <w:rPr>
      <w:sz w:val="16"/>
      <w:szCs w:val="16"/>
    </w:rPr>
  </w:style>
  <w:style w:type="paragraph" w:styleId="CommentText">
    <w:name w:val="annotation text"/>
    <w:basedOn w:val="Normal"/>
    <w:link w:val="CommentTextChar"/>
    <w:uiPriority w:val="99"/>
    <w:rsid w:val="00F73064"/>
    <w:rPr>
      <w:sz w:val="20"/>
    </w:rPr>
  </w:style>
  <w:style w:type="character" w:customStyle="1" w:styleId="CommentTextChar">
    <w:name w:val="Comment Text Char"/>
    <w:basedOn w:val="DefaultParagraphFont"/>
    <w:link w:val="CommentText"/>
    <w:uiPriority w:val="99"/>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B16138"/>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B16138"/>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qFormat/>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aliases w:val="b Char,b + line Char Char,b Char Char,b1 Char,b + line Char,Body Char,level 1 Char,L Char,List Paragraph Char,List Paragraph1 Char,List Paragraph11 Char,Number Char,Recommendation Char,List Paragraph2 Char,Bullets Char,Bulleted Para Char"/>
    <w:basedOn w:val="DefaultParagraphFont"/>
    <w:link w:val="Bullet"/>
    <w:qFormat/>
    <w:rsid w:val="00944851"/>
    <w:rPr>
      <w:rFonts w:ascii="Calibri" w:hAnsi="Calibri"/>
      <w:color w:val="000000" w:themeColor="text1"/>
    </w:rPr>
  </w:style>
  <w:style w:type="character" w:customStyle="1" w:styleId="DashChar">
    <w:name w:val="Dash Char"/>
    <w:basedOn w:val="DefaultParagraphFont"/>
    <w:link w:val="Dash"/>
    <w:rsid w:val="0096249F"/>
    <w:rPr>
      <w:rFonts w:ascii="Calibri" w:hAnsi="Calibri"/>
      <w:color w:val="000000" w:themeColor="text1"/>
    </w:rPr>
  </w:style>
  <w:style w:type="paragraph" w:customStyle="1" w:styleId="Chartnote">
    <w:name w:val="Chart note"/>
    <w:basedOn w:val="Normal"/>
    <w:qFormat/>
    <w:rsid w:val="0020672D"/>
    <w:pPr>
      <w:spacing w:after="200" w:line="276" w:lineRule="auto"/>
    </w:pPr>
    <w:rPr>
      <w:rFonts w:asciiTheme="minorHAnsi" w:hAnsiTheme="minorHAnsi"/>
      <w:color w:val="auto"/>
      <w:sz w:val="18"/>
      <w:szCs w:val="18"/>
    </w:rPr>
  </w:style>
  <w:style w:type="paragraph" w:customStyle="1" w:styleId="Charttitle">
    <w:name w:val="Chart title"/>
    <w:basedOn w:val="Normal"/>
    <w:qFormat/>
    <w:rsid w:val="0020672D"/>
    <w:pPr>
      <w:keepNext/>
      <w:spacing w:after="200" w:line="276" w:lineRule="auto"/>
    </w:pPr>
    <w:rPr>
      <w:rFonts w:asciiTheme="minorHAnsi" w:hAnsiTheme="minorHAnsi"/>
      <w:b/>
      <w:bCs/>
      <w:color w:val="auto"/>
    </w:rPr>
  </w:style>
  <w:style w:type="paragraph" w:styleId="Revision">
    <w:name w:val="Revision"/>
    <w:hidden/>
    <w:uiPriority w:val="99"/>
    <w:semiHidden/>
    <w:rsid w:val="008B103C"/>
    <w:pPr>
      <w:spacing w:after="0" w:line="240" w:lineRule="auto"/>
    </w:pPr>
    <w:rPr>
      <w:rFonts w:ascii="Calibri" w:hAnsi="Calibri"/>
      <w:color w:val="000000" w:themeColor="text1"/>
    </w:rPr>
  </w:style>
  <w:style w:type="paragraph" w:styleId="ListParagraph">
    <w:name w:val="List Paragraph"/>
    <w:basedOn w:val="Normal"/>
    <w:uiPriority w:val="34"/>
    <w:qFormat/>
    <w:rsid w:val="002D48A6"/>
    <w:pPr>
      <w:ind w:left="720"/>
      <w:contextualSpacing/>
    </w:pPr>
  </w:style>
  <w:style w:type="paragraph" w:customStyle="1" w:styleId="Singleparagraph0">
    <w:name w:val="Single paragraph"/>
    <w:basedOn w:val="Normal"/>
    <w:qFormat/>
    <w:rsid w:val="003D30BF"/>
    <w:pPr>
      <w:spacing w:after="0"/>
    </w:pPr>
    <w:rPr>
      <w:rFonts w:ascii="Arial" w:eastAsia="Times New Roman" w:hAnsi="Arial" w:cs="Times New Roman"/>
      <w:color w:val="auto"/>
      <w:szCs w:val="20"/>
      <w:lang w:eastAsia="en-AU"/>
    </w:rPr>
  </w:style>
  <w:style w:type="paragraph" w:styleId="Quote">
    <w:name w:val="Quote"/>
    <w:basedOn w:val="Normal"/>
    <w:next w:val="Normal"/>
    <w:link w:val="QuoteChar"/>
    <w:uiPriority w:val="29"/>
    <w:qFormat/>
    <w:rsid w:val="00FF4809"/>
    <w:rPr>
      <w:i/>
      <w:iCs/>
    </w:rPr>
  </w:style>
  <w:style w:type="character" w:customStyle="1" w:styleId="QuoteChar">
    <w:name w:val="Quote Char"/>
    <w:basedOn w:val="DefaultParagraphFont"/>
    <w:link w:val="Quote"/>
    <w:uiPriority w:val="29"/>
    <w:rsid w:val="00FF4809"/>
    <w:rPr>
      <w:rFonts w:ascii="Calibri" w:hAnsi="Calibri"/>
      <w:i/>
      <w:iCs/>
      <w:color w:val="000000" w:themeColor="text1"/>
    </w:rPr>
  </w:style>
  <w:style w:type="paragraph" w:styleId="TOCHeading">
    <w:name w:val="TOC Heading"/>
    <w:basedOn w:val="Heading1"/>
    <w:next w:val="Normal"/>
    <w:uiPriority w:val="39"/>
    <w:semiHidden/>
    <w:unhideWhenUsed/>
    <w:qFormat/>
    <w:rsid w:val="00D33C32"/>
    <w:pPr>
      <w:keepLines/>
      <w:spacing w:after="0" w:line="276" w:lineRule="auto"/>
      <w:jc w:val="left"/>
      <w:outlineLvl w:val="9"/>
    </w:pPr>
    <w:rPr>
      <w:rFonts w:asciiTheme="majorHAnsi" w:eastAsiaTheme="majorEastAsia" w:hAnsiTheme="majorHAnsi" w:cstheme="majorBidi"/>
      <w:bCs/>
      <w:smallCaps w:val="0"/>
      <w:color w:val="001F3E" w:themeColor="accent1" w:themeShade="BF"/>
      <w:sz w:val="28"/>
      <w:szCs w:val="28"/>
      <w:lang w:val="en-US" w:eastAsia="ja-JP"/>
    </w:rPr>
  </w:style>
  <w:style w:type="paragraph" w:styleId="BodyText">
    <w:name w:val="Body Text"/>
    <w:basedOn w:val="Normal"/>
    <w:link w:val="BodyTextChar"/>
    <w:uiPriority w:val="99"/>
    <w:semiHidden/>
    <w:unhideWhenUsed/>
    <w:rsid w:val="00B02068"/>
    <w:pPr>
      <w:spacing w:after="120"/>
    </w:pPr>
  </w:style>
  <w:style w:type="character" w:customStyle="1" w:styleId="BodyTextChar">
    <w:name w:val="Body Text Char"/>
    <w:basedOn w:val="DefaultParagraphFont"/>
    <w:link w:val="BodyText"/>
    <w:uiPriority w:val="99"/>
    <w:semiHidden/>
    <w:rsid w:val="00B02068"/>
    <w:rPr>
      <w:rFonts w:ascii="Calibri" w:hAnsi="Calibri"/>
      <w:color w:val="000000" w:themeColor="text1"/>
    </w:rPr>
  </w:style>
  <w:style w:type="character" w:customStyle="1" w:styleId="OutlineNumbered1Char">
    <w:name w:val="Outline Numbered 1 Char"/>
    <w:basedOn w:val="DefaultParagraphFont"/>
    <w:link w:val="OutlineNumbered1"/>
    <w:rsid w:val="004703CB"/>
    <w:rPr>
      <w:rFonts w:ascii="Calibri" w:hAnsi="Calibri"/>
      <w:color w:val="000000" w:themeColor="text1"/>
    </w:rPr>
  </w:style>
  <w:style w:type="character" w:customStyle="1" w:styleId="SingleParagraphChar">
    <w:name w:val="Single Paragraph Char"/>
    <w:basedOn w:val="DefaultParagraphFont"/>
    <w:link w:val="SingleParagraph"/>
    <w:rsid w:val="00B16138"/>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66">
      <w:bodyDiv w:val="1"/>
      <w:marLeft w:val="30"/>
      <w:marRight w:val="30"/>
      <w:marTop w:val="0"/>
      <w:marBottom w:val="0"/>
      <w:divBdr>
        <w:top w:val="none" w:sz="0" w:space="0" w:color="auto"/>
        <w:left w:val="none" w:sz="0" w:space="0" w:color="auto"/>
        <w:bottom w:val="none" w:sz="0" w:space="0" w:color="auto"/>
        <w:right w:val="none" w:sz="0" w:space="0" w:color="auto"/>
      </w:divBdr>
      <w:divsChild>
        <w:div w:id="996881288">
          <w:marLeft w:val="0"/>
          <w:marRight w:val="0"/>
          <w:marTop w:val="0"/>
          <w:marBottom w:val="0"/>
          <w:divBdr>
            <w:top w:val="none" w:sz="0" w:space="0" w:color="auto"/>
            <w:left w:val="none" w:sz="0" w:space="0" w:color="auto"/>
            <w:bottom w:val="none" w:sz="0" w:space="0" w:color="auto"/>
            <w:right w:val="none" w:sz="0" w:space="0" w:color="auto"/>
          </w:divBdr>
          <w:divsChild>
            <w:div w:id="2051687744">
              <w:marLeft w:val="0"/>
              <w:marRight w:val="0"/>
              <w:marTop w:val="0"/>
              <w:marBottom w:val="0"/>
              <w:divBdr>
                <w:top w:val="none" w:sz="0" w:space="0" w:color="auto"/>
                <w:left w:val="none" w:sz="0" w:space="0" w:color="auto"/>
                <w:bottom w:val="none" w:sz="0" w:space="0" w:color="auto"/>
                <w:right w:val="none" w:sz="0" w:space="0" w:color="auto"/>
              </w:divBdr>
              <w:divsChild>
                <w:div w:id="1021783156">
                  <w:marLeft w:val="180"/>
                  <w:marRight w:val="0"/>
                  <w:marTop w:val="0"/>
                  <w:marBottom w:val="0"/>
                  <w:divBdr>
                    <w:top w:val="none" w:sz="0" w:space="0" w:color="auto"/>
                    <w:left w:val="none" w:sz="0" w:space="0" w:color="auto"/>
                    <w:bottom w:val="none" w:sz="0" w:space="0" w:color="auto"/>
                    <w:right w:val="none" w:sz="0" w:space="0" w:color="auto"/>
                  </w:divBdr>
                  <w:divsChild>
                    <w:div w:id="13313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38567">
      <w:bodyDiv w:val="1"/>
      <w:marLeft w:val="0"/>
      <w:marRight w:val="0"/>
      <w:marTop w:val="0"/>
      <w:marBottom w:val="0"/>
      <w:divBdr>
        <w:top w:val="none" w:sz="0" w:space="0" w:color="auto"/>
        <w:left w:val="none" w:sz="0" w:space="0" w:color="auto"/>
        <w:bottom w:val="none" w:sz="0" w:space="0" w:color="auto"/>
        <w:right w:val="none" w:sz="0" w:space="0" w:color="auto"/>
      </w:divBdr>
    </w:div>
    <w:div w:id="81804681">
      <w:bodyDiv w:val="1"/>
      <w:marLeft w:val="0"/>
      <w:marRight w:val="0"/>
      <w:marTop w:val="0"/>
      <w:marBottom w:val="0"/>
      <w:divBdr>
        <w:top w:val="none" w:sz="0" w:space="0" w:color="auto"/>
        <w:left w:val="none" w:sz="0" w:space="0" w:color="auto"/>
        <w:bottom w:val="none" w:sz="0" w:space="0" w:color="auto"/>
        <w:right w:val="none" w:sz="0" w:space="0" w:color="auto"/>
      </w:divBdr>
    </w:div>
    <w:div w:id="109906521">
      <w:bodyDiv w:val="1"/>
      <w:marLeft w:val="30"/>
      <w:marRight w:val="30"/>
      <w:marTop w:val="0"/>
      <w:marBottom w:val="0"/>
      <w:divBdr>
        <w:top w:val="none" w:sz="0" w:space="0" w:color="auto"/>
        <w:left w:val="none" w:sz="0" w:space="0" w:color="auto"/>
        <w:bottom w:val="none" w:sz="0" w:space="0" w:color="auto"/>
        <w:right w:val="none" w:sz="0" w:space="0" w:color="auto"/>
      </w:divBdr>
      <w:divsChild>
        <w:div w:id="1609434292">
          <w:marLeft w:val="0"/>
          <w:marRight w:val="0"/>
          <w:marTop w:val="0"/>
          <w:marBottom w:val="0"/>
          <w:divBdr>
            <w:top w:val="none" w:sz="0" w:space="0" w:color="auto"/>
            <w:left w:val="none" w:sz="0" w:space="0" w:color="auto"/>
            <w:bottom w:val="none" w:sz="0" w:space="0" w:color="auto"/>
            <w:right w:val="none" w:sz="0" w:space="0" w:color="auto"/>
          </w:divBdr>
          <w:divsChild>
            <w:div w:id="831023908">
              <w:marLeft w:val="0"/>
              <w:marRight w:val="0"/>
              <w:marTop w:val="0"/>
              <w:marBottom w:val="0"/>
              <w:divBdr>
                <w:top w:val="none" w:sz="0" w:space="0" w:color="auto"/>
                <w:left w:val="none" w:sz="0" w:space="0" w:color="auto"/>
                <w:bottom w:val="none" w:sz="0" w:space="0" w:color="auto"/>
                <w:right w:val="none" w:sz="0" w:space="0" w:color="auto"/>
              </w:divBdr>
              <w:divsChild>
                <w:div w:id="1156413586">
                  <w:marLeft w:val="180"/>
                  <w:marRight w:val="0"/>
                  <w:marTop w:val="0"/>
                  <w:marBottom w:val="0"/>
                  <w:divBdr>
                    <w:top w:val="none" w:sz="0" w:space="0" w:color="auto"/>
                    <w:left w:val="none" w:sz="0" w:space="0" w:color="auto"/>
                    <w:bottom w:val="none" w:sz="0" w:space="0" w:color="auto"/>
                    <w:right w:val="none" w:sz="0" w:space="0" w:color="auto"/>
                  </w:divBdr>
                  <w:divsChild>
                    <w:div w:id="2466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3495">
      <w:bodyDiv w:val="1"/>
      <w:marLeft w:val="0"/>
      <w:marRight w:val="0"/>
      <w:marTop w:val="0"/>
      <w:marBottom w:val="0"/>
      <w:divBdr>
        <w:top w:val="none" w:sz="0" w:space="0" w:color="auto"/>
        <w:left w:val="none" w:sz="0" w:space="0" w:color="auto"/>
        <w:bottom w:val="none" w:sz="0" w:space="0" w:color="auto"/>
        <w:right w:val="none" w:sz="0" w:space="0" w:color="auto"/>
      </w:divBdr>
    </w:div>
    <w:div w:id="232862741">
      <w:bodyDiv w:val="1"/>
      <w:marLeft w:val="0"/>
      <w:marRight w:val="0"/>
      <w:marTop w:val="0"/>
      <w:marBottom w:val="0"/>
      <w:divBdr>
        <w:top w:val="none" w:sz="0" w:space="0" w:color="auto"/>
        <w:left w:val="none" w:sz="0" w:space="0" w:color="auto"/>
        <w:bottom w:val="none" w:sz="0" w:space="0" w:color="auto"/>
        <w:right w:val="none" w:sz="0" w:space="0" w:color="auto"/>
      </w:divBdr>
    </w:div>
    <w:div w:id="250050695">
      <w:bodyDiv w:val="1"/>
      <w:marLeft w:val="0"/>
      <w:marRight w:val="0"/>
      <w:marTop w:val="0"/>
      <w:marBottom w:val="0"/>
      <w:divBdr>
        <w:top w:val="none" w:sz="0" w:space="0" w:color="auto"/>
        <w:left w:val="none" w:sz="0" w:space="0" w:color="auto"/>
        <w:bottom w:val="none" w:sz="0" w:space="0" w:color="auto"/>
        <w:right w:val="none" w:sz="0" w:space="0" w:color="auto"/>
      </w:divBdr>
    </w:div>
    <w:div w:id="357631659">
      <w:bodyDiv w:val="1"/>
      <w:marLeft w:val="0"/>
      <w:marRight w:val="0"/>
      <w:marTop w:val="0"/>
      <w:marBottom w:val="0"/>
      <w:divBdr>
        <w:top w:val="none" w:sz="0" w:space="0" w:color="auto"/>
        <w:left w:val="none" w:sz="0" w:space="0" w:color="auto"/>
        <w:bottom w:val="none" w:sz="0" w:space="0" w:color="auto"/>
        <w:right w:val="none" w:sz="0" w:space="0" w:color="auto"/>
      </w:divBdr>
    </w:div>
    <w:div w:id="412942557">
      <w:bodyDiv w:val="1"/>
      <w:marLeft w:val="0"/>
      <w:marRight w:val="0"/>
      <w:marTop w:val="0"/>
      <w:marBottom w:val="0"/>
      <w:divBdr>
        <w:top w:val="none" w:sz="0" w:space="0" w:color="auto"/>
        <w:left w:val="none" w:sz="0" w:space="0" w:color="auto"/>
        <w:bottom w:val="none" w:sz="0" w:space="0" w:color="auto"/>
        <w:right w:val="none" w:sz="0" w:space="0" w:color="auto"/>
      </w:divBdr>
    </w:div>
    <w:div w:id="418332986">
      <w:bodyDiv w:val="1"/>
      <w:marLeft w:val="0"/>
      <w:marRight w:val="0"/>
      <w:marTop w:val="0"/>
      <w:marBottom w:val="0"/>
      <w:divBdr>
        <w:top w:val="none" w:sz="0" w:space="0" w:color="auto"/>
        <w:left w:val="none" w:sz="0" w:space="0" w:color="auto"/>
        <w:bottom w:val="none" w:sz="0" w:space="0" w:color="auto"/>
        <w:right w:val="none" w:sz="0" w:space="0" w:color="auto"/>
      </w:divBdr>
    </w:div>
    <w:div w:id="431702715">
      <w:bodyDiv w:val="1"/>
      <w:marLeft w:val="0"/>
      <w:marRight w:val="0"/>
      <w:marTop w:val="0"/>
      <w:marBottom w:val="0"/>
      <w:divBdr>
        <w:top w:val="none" w:sz="0" w:space="0" w:color="auto"/>
        <w:left w:val="none" w:sz="0" w:space="0" w:color="auto"/>
        <w:bottom w:val="none" w:sz="0" w:space="0" w:color="auto"/>
        <w:right w:val="none" w:sz="0" w:space="0" w:color="auto"/>
      </w:divBdr>
    </w:div>
    <w:div w:id="535505496">
      <w:bodyDiv w:val="1"/>
      <w:marLeft w:val="0"/>
      <w:marRight w:val="0"/>
      <w:marTop w:val="0"/>
      <w:marBottom w:val="0"/>
      <w:divBdr>
        <w:top w:val="none" w:sz="0" w:space="0" w:color="auto"/>
        <w:left w:val="none" w:sz="0" w:space="0" w:color="auto"/>
        <w:bottom w:val="none" w:sz="0" w:space="0" w:color="auto"/>
        <w:right w:val="none" w:sz="0" w:space="0" w:color="auto"/>
      </w:divBdr>
    </w:div>
    <w:div w:id="556211907">
      <w:bodyDiv w:val="1"/>
      <w:marLeft w:val="0"/>
      <w:marRight w:val="0"/>
      <w:marTop w:val="0"/>
      <w:marBottom w:val="0"/>
      <w:divBdr>
        <w:top w:val="none" w:sz="0" w:space="0" w:color="auto"/>
        <w:left w:val="none" w:sz="0" w:space="0" w:color="auto"/>
        <w:bottom w:val="none" w:sz="0" w:space="0" w:color="auto"/>
        <w:right w:val="none" w:sz="0" w:space="0" w:color="auto"/>
      </w:divBdr>
    </w:div>
    <w:div w:id="585503757">
      <w:bodyDiv w:val="1"/>
      <w:marLeft w:val="0"/>
      <w:marRight w:val="0"/>
      <w:marTop w:val="0"/>
      <w:marBottom w:val="0"/>
      <w:divBdr>
        <w:top w:val="none" w:sz="0" w:space="0" w:color="auto"/>
        <w:left w:val="none" w:sz="0" w:space="0" w:color="auto"/>
        <w:bottom w:val="none" w:sz="0" w:space="0" w:color="auto"/>
        <w:right w:val="none" w:sz="0" w:space="0" w:color="auto"/>
      </w:divBdr>
    </w:div>
    <w:div w:id="604650131">
      <w:bodyDiv w:val="1"/>
      <w:marLeft w:val="0"/>
      <w:marRight w:val="0"/>
      <w:marTop w:val="0"/>
      <w:marBottom w:val="0"/>
      <w:divBdr>
        <w:top w:val="none" w:sz="0" w:space="0" w:color="auto"/>
        <w:left w:val="none" w:sz="0" w:space="0" w:color="auto"/>
        <w:bottom w:val="none" w:sz="0" w:space="0" w:color="auto"/>
        <w:right w:val="none" w:sz="0" w:space="0" w:color="auto"/>
      </w:divBdr>
    </w:div>
    <w:div w:id="642738203">
      <w:bodyDiv w:val="1"/>
      <w:marLeft w:val="0"/>
      <w:marRight w:val="0"/>
      <w:marTop w:val="0"/>
      <w:marBottom w:val="0"/>
      <w:divBdr>
        <w:top w:val="none" w:sz="0" w:space="0" w:color="auto"/>
        <w:left w:val="none" w:sz="0" w:space="0" w:color="auto"/>
        <w:bottom w:val="none" w:sz="0" w:space="0" w:color="auto"/>
        <w:right w:val="none" w:sz="0" w:space="0" w:color="auto"/>
      </w:divBdr>
    </w:div>
    <w:div w:id="689454540">
      <w:bodyDiv w:val="1"/>
      <w:marLeft w:val="0"/>
      <w:marRight w:val="0"/>
      <w:marTop w:val="0"/>
      <w:marBottom w:val="0"/>
      <w:divBdr>
        <w:top w:val="none" w:sz="0" w:space="0" w:color="auto"/>
        <w:left w:val="none" w:sz="0" w:space="0" w:color="auto"/>
        <w:bottom w:val="none" w:sz="0" w:space="0" w:color="auto"/>
        <w:right w:val="none" w:sz="0" w:space="0" w:color="auto"/>
      </w:divBdr>
    </w:div>
    <w:div w:id="743182074">
      <w:bodyDiv w:val="1"/>
      <w:marLeft w:val="30"/>
      <w:marRight w:val="30"/>
      <w:marTop w:val="0"/>
      <w:marBottom w:val="0"/>
      <w:divBdr>
        <w:top w:val="none" w:sz="0" w:space="0" w:color="auto"/>
        <w:left w:val="none" w:sz="0" w:space="0" w:color="auto"/>
        <w:bottom w:val="none" w:sz="0" w:space="0" w:color="auto"/>
        <w:right w:val="none" w:sz="0" w:space="0" w:color="auto"/>
      </w:divBdr>
      <w:divsChild>
        <w:div w:id="1292517343">
          <w:marLeft w:val="0"/>
          <w:marRight w:val="0"/>
          <w:marTop w:val="0"/>
          <w:marBottom w:val="0"/>
          <w:divBdr>
            <w:top w:val="none" w:sz="0" w:space="0" w:color="auto"/>
            <w:left w:val="none" w:sz="0" w:space="0" w:color="auto"/>
            <w:bottom w:val="none" w:sz="0" w:space="0" w:color="auto"/>
            <w:right w:val="none" w:sz="0" w:space="0" w:color="auto"/>
          </w:divBdr>
          <w:divsChild>
            <w:div w:id="1340617720">
              <w:marLeft w:val="0"/>
              <w:marRight w:val="0"/>
              <w:marTop w:val="0"/>
              <w:marBottom w:val="0"/>
              <w:divBdr>
                <w:top w:val="none" w:sz="0" w:space="0" w:color="auto"/>
                <w:left w:val="none" w:sz="0" w:space="0" w:color="auto"/>
                <w:bottom w:val="none" w:sz="0" w:space="0" w:color="auto"/>
                <w:right w:val="none" w:sz="0" w:space="0" w:color="auto"/>
              </w:divBdr>
              <w:divsChild>
                <w:div w:id="205067508">
                  <w:marLeft w:val="180"/>
                  <w:marRight w:val="0"/>
                  <w:marTop w:val="0"/>
                  <w:marBottom w:val="0"/>
                  <w:divBdr>
                    <w:top w:val="none" w:sz="0" w:space="0" w:color="auto"/>
                    <w:left w:val="none" w:sz="0" w:space="0" w:color="auto"/>
                    <w:bottom w:val="none" w:sz="0" w:space="0" w:color="auto"/>
                    <w:right w:val="none" w:sz="0" w:space="0" w:color="auto"/>
                  </w:divBdr>
                  <w:divsChild>
                    <w:div w:id="9223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68410">
          <w:marLeft w:val="0"/>
          <w:marRight w:val="0"/>
          <w:marTop w:val="0"/>
          <w:marBottom w:val="0"/>
          <w:divBdr>
            <w:top w:val="none" w:sz="0" w:space="0" w:color="auto"/>
            <w:left w:val="none" w:sz="0" w:space="0" w:color="auto"/>
            <w:bottom w:val="none" w:sz="0" w:space="0" w:color="auto"/>
            <w:right w:val="none" w:sz="0" w:space="0" w:color="auto"/>
          </w:divBdr>
          <w:divsChild>
            <w:div w:id="445075741">
              <w:marLeft w:val="0"/>
              <w:marRight w:val="0"/>
              <w:marTop w:val="0"/>
              <w:marBottom w:val="0"/>
              <w:divBdr>
                <w:top w:val="none" w:sz="0" w:space="0" w:color="auto"/>
                <w:left w:val="none" w:sz="0" w:space="0" w:color="auto"/>
                <w:bottom w:val="none" w:sz="0" w:space="0" w:color="auto"/>
                <w:right w:val="none" w:sz="0" w:space="0" w:color="auto"/>
              </w:divBdr>
              <w:divsChild>
                <w:div w:id="1022970582">
                  <w:marLeft w:val="180"/>
                  <w:marRight w:val="0"/>
                  <w:marTop w:val="0"/>
                  <w:marBottom w:val="0"/>
                  <w:divBdr>
                    <w:top w:val="none" w:sz="0" w:space="0" w:color="auto"/>
                    <w:left w:val="none" w:sz="0" w:space="0" w:color="auto"/>
                    <w:bottom w:val="none" w:sz="0" w:space="0" w:color="auto"/>
                    <w:right w:val="none" w:sz="0" w:space="0" w:color="auto"/>
                  </w:divBdr>
                  <w:divsChild>
                    <w:div w:id="15192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7779">
          <w:marLeft w:val="0"/>
          <w:marRight w:val="0"/>
          <w:marTop w:val="0"/>
          <w:marBottom w:val="0"/>
          <w:divBdr>
            <w:top w:val="none" w:sz="0" w:space="0" w:color="auto"/>
            <w:left w:val="none" w:sz="0" w:space="0" w:color="auto"/>
            <w:bottom w:val="none" w:sz="0" w:space="0" w:color="auto"/>
            <w:right w:val="none" w:sz="0" w:space="0" w:color="auto"/>
          </w:divBdr>
          <w:divsChild>
            <w:div w:id="235357519">
              <w:marLeft w:val="0"/>
              <w:marRight w:val="0"/>
              <w:marTop w:val="0"/>
              <w:marBottom w:val="0"/>
              <w:divBdr>
                <w:top w:val="none" w:sz="0" w:space="0" w:color="auto"/>
                <w:left w:val="none" w:sz="0" w:space="0" w:color="auto"/>
                <w:bottom w:val="none" w:sz="0" w:space="0" w:color="auto"/>
                <w:right w:val="none" w:sz="0" w:space="0" w:color="auto"/>
              </w:divBdr>
              <w:divsChild>
                <w:div w:id="878858152">
                  <w:marLeft w:val="180"/>
                  <w:marRight w:val="0"/>
                  <w:marTop w:val="0"/>
                  <w:marBottom w:val="0"/>
                  <w:divBdr>
                    <w:top w:val="none" w:sz="0" w:space="0" w:color="auto"/>
                    <w:left w:val="none" w:sz="0" w:space="0" w:color="auto"/>
                    <w:bottom w:val="none" w:sz="0" w:space="0" w:color="auto"/>
                    <w:right w:val="none" w:sz="0" w:space="0" w:color="auto"/>
                  </w:divBdr>
                  <w:divsChild>
                    <w:div w:id="9984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442">
      <w:bodyDiv w:val="1"/>
      <w:marLeft w:val="0"/>
      <w:marRight w:val="0"/>
      <w:marTop w:val="0"/>
      <w:marBottom w:val="0"/>
      <w:divBdr>
        <w:top w:val="none" w:sz="0" w:space="0" w:color="auto"/>
        <w:left w:val="none" w:sz="0" w:space="0" w:color="auto"/>
        <w:bottom w:val="none" w:sz="0" w:space="0" w:color="auto"/>
        <w:right w:val="none" w:sz="0" w:space="0" w:color="auto"/>
      </w:divBdr>
    </w:div>
    <w:div w:id="811294252">
      <w:bodyDiv w:val="1"/>
      <w:marLeft w:val="0"/>
      <w:marRight w:val="0"/>
      <w:marTop w:val="0"/>
      <w:marBottom w:val="0"/>
      <w:divBdr>
        <w:top w:val="none" w:sz="0" w:space="0" w:color="auto"/>
        <w:left w:val="none" w:sz="0" w:space="0" w:color="auto"/>
        <w:bottom w:val="none" w:sz="0" w:space="0" w:color="auto"/>
        <w:right w:val="none" w:sz="0" w:space="0" w:color="auto"/>
      </w:divBdr>
    </w:div>
    <w:div w:id="893390400">
      <w:bodyDiv w:val="1"/>
      <w:marLeft w:val="0"/>
      <w:marRight w:val="0"/>
      <w:marTop w:val="0"/>
      <w:marBottom w:val="0"/>
      <w:divBdr>
        <w:top w:val="none" w:sz="0" w:space="0" w:color="auto"/>
        <w:left w:val="none" w:sz="0" w:space="0" w:color="auto"/>
        <w:bottom w:val="none" w:sz="0" w:space="0" w:color="auto"/>
        <w:right w:val="none" w:sz="0" w:space="0" w:color="auto"/>
      </w:divBdr>
    </w:div>
    <w:div w:id="984554440">
      <w:bodyDiv w:val="1"/>
      <w:marLeft w:val="0"/>
      <w:marRight w:val="0"/>
      <w:marTop w:val="0"/>
      <w:marBottom w:val="0"/>
      <w:divBdr>
        <w:top w:val="none" w:sz="0" w:space="0" w:color="auto"/>
        <w:left w:val="none" w:sz="0" w:space="0" w:color="auto"/>
        <w:bottom w:val="none" w:sz="0" w:space="0" w:color="auto"/>
        <w:right w:val="none" w:sz="0" w:space="0" w:color="auto"/>
      </w:divBdr>
    </w:div>
    <w:div w:id="1023095790">
      <w:bodyDiv w:val="1"/>
      <w:marLeft w:val="0"/>
      <w:marRight w:val="0"/>
      <w:marTop w:val="0"/>
      <w:marBottom w:val="0"/>
      <w:divBdr>
        <w:top w:val="none" w:sz="0" w:space="0" w:color="auto"/>
        <w:left w:val="none" w:sz="0" w:space="0" w:color="auto"/>
        <w:bottom w:val="none" w:sz="0" w:space="0" w:color="auto"/>
        <w:right w:val="none" w:sz="0" w:space="0" w:color="auto"/>
      </w:divBdr>
    </w:div>
    <w:div w:id="1034380556">
      <w:bodyDiv w:val="1"/>
      <w:marLeft w:val="0"/>
      <w:marRight w:val="0"/>
      <w:marTop w:val="0"/>
      <w:marBottom w:val="0"/>
      <w:divBdr>
        <w:top w:val="none" w:sz="0" w:space="0" w:color="auto"/>
        <w:left w:val="none" w:sz="0" w:space="0" w:color="auto"/>
        <w:bottom w:val="none" w:sz="0" w:space="0" w:color="auto"/>
        <w:right w:val="none" w:sz="0" w:space="0" w:color="auto"/>
      </w:divBdr>
    </w:div>
    <w:div w:id="1068193005">
      <w:bodyDiv w:val="1"/>
      <w:marLeft w:val="0"/>
      <w:marRight w:val="0"/>
      <w:marTop w:val="0"/>
      <w:marBottom w:val="0"/>
      <w:divBdr>
        <w:top w:val="none" w:sz="0" w:space="0" w:color="auto"/>
        <w:left w:val="none" w:sz="0" w:space="0" w:color="auto"/>
        <w:bottom w:val="none" w:sz="0" w:space="0" w:color="auto"/>
        <w:right w:val="none" w:sz="0" w:space="0" w:color="auto"/>
      </w:divBdr>
    </w:div>
    <w:div w:id="1071853613">
      <w:bodyDiv w:val="1"/>
      <w:marLeft w:val="0"/>
      <w:marRight w:val="0"/>
      <w:marTop w:val="0"/>
      <w:marBottom w:val="0"/>
      <w:divBdr>
        <w:top w:val="none" w:sz="0" w:space="0" w:color="auto"/>
        <w:left w:val="none" w:sz="0" w:space="0" w:color="auto"/>
        <w:bottom w:val="none" w:sz="0" w:space="0" w:color="auto"/>
        <w:right w:val="none" w:sz="0" w:space="0" w:color="auto"/>
      </w:divBdr>
    </w:div>
    <w:div w:id="1101295260">
      <w:bodyDiv w:val="1"/>
      <w:marLeft w:val="30"/>
      <w:marRight w:val="30"/>
      <w:marTop w:val="0"/>
      <w:marBottom w:val="0"/>
      <w:divBdr>
        <w:top w:val="none" w:sz="0" w:space="0" w:color="auto"/>
        <w:left w:val="none" w:sz="0" w:space="0" w:color="auto"/>
        <w:bottom w:val="none" w:sz="0" w:space="0" w:color="auto"/>
        <w:right w:val="none" w:sz="0" w:space="0" w:color="auto"/>
      </w:divBdr>
      <w:divsChild>
        <w:div w:id="885528786">
          <w:marLeft w:val="0"/>
          <w:marRight w:val="0"/>
          <w:marTop w:val="0"/>
          <w:marBottom w:val="0"/>
          <w:divBdr>
            <w:top w:val="none" w:sz="0" w:space="0" w:color="auto"/>
            <w:left w:val="none" w:sz="0" w:space="0" w:color="auto"/>
            <w:bottom w:val="none" w:sz="0" w:space="0" w:color="auto"/>
            <w:right w:val="none" w:sz="0" w:space="0" w:color="auto"/>
          </w:divBdr>
          <w:divsChild>
            <w:div w:id="1436825131">
              <w:marLeft w:val="0"/>
              <w:marRight w:val="0"/>
              <w:marTop w:val="0"/>
              <w:marBottom w:val="0"/>
              <w:divBdr>
                <w:top w:val="none" w:sz="0" w:space="0" w:color="auto"/>
                <w:left w:val="none" w:sz="0" w:space="0" w:color="auto"/>
                <w:bottom w:val="none" w:sz="0" w:space="0" w:color="auto"/>
                <w:right w:val="none" w:sz="0" w:space="0" w:color="auto"/>
              </w:divBdr>
              <w:divsChild>
                <w:div w:id="305554745">
                  <w:marLeft w:val="180"/>
                  <w:marRight w:val="0"/>
                  <w:marTop w:val="0"/>
                  <w:marBottom w:val="0"/>
                  <w:divBdr>
                    <w:top w:val="none" w:sz="0" w:space="0" w:color="auto"/>
                    <w:left w:val="none" w:sz="0" w:space="0" w:color="auto"/>
                    <w:bottom w:val="none" w:sz="0" w:space="0" w:color="auto"/>
                    <w:right w:val="none" w:sz="0" w:space="0" w:color="auto"/>
                  </w:divBdr>
                  <w:divsChild>
                    <w:div w:id="5331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47086">
      <w:bodyDiv w:val="1"/>
      <w:marLeft w:val="0"/>
      <w:marRight w:val="0"/>
      <w:marTop w:val="0"/>
      <w:marBottom w:val="0"/>
      <w:divBdr>
        <w:top w:val="none" w:sz="0" w:space="0" w:color="auto"/>
        <w:left w:val="none" w:sz="0" w:space="0" w:color="auto"/>
        <w:bottom w:val="none" w:sz="0" w:space="0" w:color="auto"/>
        <w:right w:val="none" w:sz="0" w:space="0" w:color="auto"/>
      </w:divBdr>
    </w:div>
    <w:div w:id="1188179363">
      <w:bodyDiv w:val="1"/>
      <w:marLeft w:val="0"/>
      <w:marRight w:val="0"/>
      <w:marTop w:val="0"/>
      <w:marBottom w:val="0"/>
      <w:divBdr>
        <w:top w:val="none" w:sz="0" w:space="0" w:color="auto"/>
        <w:left w:val="none" w:sz="0" w:space="0" w:color="auto"/>
        <w:bottom w:val="none" w:sz="0" w:space="0" w:color="auto"/>
        <w:right w:val="none" w:sz="0" w:space="0" w:color="auto"/>
      </w:divBdr>
    </w:div>
    <w:div w:id="1190412254">
      <w:bodyDiv w:val="1"/>
      <w:marLeft w:val="0"/>
      <w:marRight w:val="0"/>
      <w:marTop w:val="0"/>
      <w:marBottom w:val="0"/>
      <w:divBdr>
        <w:top w:val="none" w:sz="0" w:space="0" w:color="auto"/>
        <w:left w:val="none" w:sz="0" w:space="0" w:color="auto"/>
        <w:bottom w:val="none" w:sz="0" w:space="0" w:color="auto"/>
        <w:right w:val="none" w:sz="0" w:space="0" w:color="auto"/>
      </w:divBdr>
    </w:div>
    <w:div w:id="1231042620">
      <w:bodyDiv w:val="1"/>
      <w:marLeft w:val="0"/>
      <w:marRight w:val="0"/>
      <w:marTop w:val="0"/>
      <w:marBottom w:val="0"/>
      <w:divBdr>
        <w:top w:val="none" w:sz="0" w:space="0" w:color="auto"/>
        <w:left w:val="none" w:sz="0" w:space="0" w:color="auto"/>
        <w:bottom w:val="none" w:sz="0" w:space="0" w:color="auto"/>
        <w:right w:val="none" w:sz="0" w:space="0" w:color="auto"/>
      </w:divBdr>
    </w:div>
    <w:div w:id="1253003138">
      <w:bodyDiv w:val="1"/>
      <w:marLeft w:val="30"/>
      <w:marRight w:val="30"/>
      <w:marTop w:val="0"/>
      <w:marBottom w:val="0"/>
      <w:divBdr>
        <w:top w:val="none" w:sz="0" w:space="0" w:color="auto"/>
        <w:left w:val="none" w:sz="0" w:space="0" w:color="auto"/>
        <w:bottom w:val="none" w:sz="0" w:space="0" w:color="auto"/>
        <w:right w:val="none" w:sz="0" w:space="0" w:color="auto"/>
      </w:divBdr>
      <w:divsChild>
        <w:div w:id="918057283">
          <w:marLeft w:val="0"/>
          <w:marRight w:val="0"/>
          <w:marTop w:val="0"/>
          <w:marBottom w:val="0"/>
          <w:divBdr>
            <w:top w:val="none" w:sz="0" w:space="0" w:color="auto"/>
            <w:left w:val="none" w:sz="0" w:space="0" w:color="auto"/>
            <w:bottom w:val="none" w:sz="0" w:space="0" w:color="auto"/>
            <w:right w:val="none" w:sz="0" w:space="0" w:color="auto"/>
          </w:divBdr>
          <w:divsChild>
            <w:div w:id="1073510650">
              <w:marLeft w:val="0"/>
              <w:marRight w:val="0"/>
              <w:marTop w:val="0"/>
              <w:marBottom w:val="0"/>
              <w:divBdr>
                <w:top w:val="none" w:sz="0" w:space="0" w:color="auto"/>
                <w:left w:val="none" w:sz="0" w:space="0" w:color="auto"/>
                <w:bottom w:val="none" w:sz="0" w:space="0" w:color="auto"/>
                <w:right w:val="none" w:sz="0" w:space="0" w:color="auto"/>
              </w:divBdr>
              <w:divsChild>
                <w:div w:id="608129008">
                  <w:marLeft w:val="180"/>
                  <w:marRight w:val="0"/>
                  <w:marTop w:val="0"/>
                  <w:marBottom w:val="0"/>
                  <w:divBdr>
                    <w:top w:val="none" w:sz="0" w:space="0" w:color="auto"/>
                    <w:left w:val="none" w:sz="0" w:space="0" w:color="auto"/>
                    <w:bottom w:val="none" w:sz="0" w:space="0" w:color="auto"/>
                    <w:right w:val="none" w:sz="0" w:space="0" w:color="auto"/>
                  </w:divBdr>
                  <w:divsChild>
                    <w:div w:id="11303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83576">
      <w:bodyDiv w:val="1"/>
      <w:marLeft w:val="0"/>
      <w:marRight w:val="0"/>
      <w:marTop w:val="0"/>
      <w:marBottom w:val="0"/>
      <w:divBdr>
        <w:top w:val="none" w:sz="0" w:space="0" w:color="auto"/>
        <w:left w:val="none" w:sz="0" w:space="0" w:color="auto"/>
        <w:bottom w:val="none" w:sz="0" w:space="0" w:color="auto"/>
        <w:right w:val="none" w:sz="0" w:space="0" w:color="auto"/>
      </w:divBdr>
    </w:div>
    <w:div w:id="1307247523">
      <w:bodyDiv w:val="1"/>
      <w:marLeft w:val="30"/>
      <w:marRight w:val="30"/>
      <w:marTop w:val="0"/>
      <w:marBottom w:val="0"/>
      <w:divBdr>
        <w:top w:val="none" w:sz="0" w:space="0" w:color="auto"/>
        <w:left w:val="none" w:sz="0" w:space="0" w:color="auto"/>
        <w:bottom w:val="none" w:sz="0" w:space="0" w:color="auto"/>
        <w:right w:val="none" w:sz="0" w:space="0" w:color="auto"/>
      </w:divBdr>
      <w:divsChild>
        <w:div w:id="1650472706">
          <w:marLeft w:val="0"/>
          <w:marRight w:val="0"/>
          <w:marTop w:val="0"/>
          <w:marBottom w:val="0"/>
          <w:divBdr>
            <w:top w:val="none" w:sz="0" w:space="0" w:color="auto"/>
            <w:left w:val="none" w:sz="0" w:space="0" w:color="auto"/>
            <w:bottom w:val="none" w:sz="0" w:space="0" w:color="auto"/>
            <w:right w:val="none" w:sz="0" w:space="0" w:color="auto"/>
          </w:divBdr>
          <w:divsChild>
            <w:div w:id="112332033">
              <w:marLeft w:val="0"/>
              <w:marRight w:val="0"/>
              <w:marTop w:val="0"/>
              <w:marBottom w:val="0"/>
              <w:divBdr>
                <w:top w:val="none" w:sz="0" w:space="0" w:color="auto"/>
                <w:left w:val="none" w:sz="0" w:space="0" w:color="auto"/>
                <w:bottom w:val="none" w:sz="0" w:space="0" w:color="auto"/>
                <w:right w:val="none" w:sz="0" w:space="0" w:color="auto"/>
              </w:divBdr>
              <w:divsChild>
                <w:div w:id="1593010977">
                  <w:marLeft w:val="180"/>
                  <w:marRight w:val="0"/>
                  <w:marTop w:val="0"/>
                  <w:marBottom w:val="0"/>
                  <w:divBdr>
                    <w:top w:val="none" w:sz="0" w:space="0" w:color="auto"/>
                    <w:left w:val="none" w:sz="0" w:space="0" w:color="auto"/>
                    <w:bottom w:val="none" w:sz="0" w:space="0" w:color="auto"/>
                    <w:right w:val="none" w:sz="0" w:space="0" w:color="auto"/>
                  </w:divBdr>
                  <w:divsChild>
                    <w:div w:id="4243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9190">
          <w:marLeft w:val="0"/>
          <w:marRight w:val="0"/>
          <w:marTop w:val="0"/>
          <w:marBottom w:val="0"/>
          <w:divBdr>
            <w:top w:val="none" w:sz="0" w:space="0" w:color="auto"/>
            <w:left w:val="none" w:sz="0" w:space="0" w:color="auto"/>
            <w:bottom w:val="none" w:sz="0" w:space="0" w:color="auto"/>
            <w:right w:val="none" w:sz="0" w:space="0" w:color="auto"/>
          </w:divBdr>
          <w:divsChild>
            <w:div w:id="581834366">
              <w:marLeft w:val="0"/>
              <w:marRight w:val="0"/>
              <w:marTop w:val="0"/>
              <w:marBottom w:val="0"/>
              <w:divBdr>
                <w:top w:val="none" w:sz="0" w:space="0" w:color="auto"/>
                <w:left w:val="none" w:sz="0" w:space="0" w:color="auto"/>
                <w:bottom w:val="none" w:sz="0" w:space="0" w:color="auto"/>
                <w:right w:val="none" w:sz="0" w:space="0" w:color="auto"/>
              </w:divBdr>
              <w:divsChild>
                <w:div w:id="1201087898">
                  <w:marLeft w:val="180"/>
                  <w:marRight w:val="0"/>
                  <w:marTop w:val="0"/>
                  <w:marBottom w:val="0"/>
                  <w:divBdr>
                    <w:top w:val="none" w:sz="0" w:space="0" w:color="auto"/>
                    <w:left w:val="none" w:sz="0" w:space="0" w:color="auto"/>
                    <w:bottom w:val="none" w:sz="0" w:space="0" w:color="auto"/>
                    <w:right w:val="none" w:sz="0" w:space="0" w:color="auto"/>
                  </w:divBdr>
                  <w:divsChild>
                    <w:div w:id="17309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23185">
      <w:bodyDiv w:val="1"/>
      <w:marLeft w:val="0"/>
      <w:marRight w:val="0"/>
      <w:marTop w:val="0"/>
      <w:marBottom w:val="0"/>
      <w:divBdr>
        <w:top w:val="none" w:sz="0" w:space="0" w:color="auto"/>
        <w:left w:val="none" w:sz="0" w:space="0" w:color="auto"/>
        <w:bottom w:val="none" w:sz="0" w:space="0" w:color="auto"/>
        <w:right w:val="none" w:sz="0" w:space="0" w:color="auto"/>
      </w:divBdr>
    </w:div>
    <w:div w:id="1381782587">
      <w:bodyDiv w:val="1"/>
      <w:marLeft w:val="0"/>
      <w:marRight w:val="0"/>
      <w:marTop w:val="0"/>
      <w:marBottom w:val="0"/>
      <w:divBdr>
        <w:top w:val="none" w:sz="0" w:space="0" w:color="auto"/>
        <w:left w:val="none" w:sz="0" w:space="0" w:color="auto"/>
        <w:bottom w:val="none" w:sz="0" w:space="0" w:color="auto"/>
        <w:right w:val="none" w:sz="0" w:space="0" w:color="auto"/>
      </w:divBdr>
    </w:div>
    <w:div w:id="1407999293">
      <w:bodyDiv w:val="1"/>
      <w:marLeft w:val="0"/>
      <w:marRight w:val="0"/>
      <w:marTop w:val="0"/>
      <w:marBottom w:val="0"/>
      <w:divBdr>
        <w:top w:val="none" w:sz="0" w:space="0" w:color="auto"/>
        <w:left w:val="none" w:sz="0" w:space="0" w:color="auto"/>
        <w:bottom w:val="none" w:sz="0" w:space="0" w:color="auto"/>
        <w:right w:val="none" w:sz="0" w:space="0" w:color="auto"/>
      </w:divBdr>
    </w:div>
    <w:div w:id="1462650625">
      <w:bodyDiv w:val="1"/>
      <w:marLeft w:val="30"/>
      <w:marRight w:val="30"/>
      <w:marTop w:val="0"/>
      <w:marBottom w:val="0"/>
      <w:divBdr>
        <w:top w:val="none" w:sz="0" w:space="0" w:color="auto"/>
        <w:left w:val="none" w:sz="0" w:space="0" w:color="auto"/>
        <w:bottom w:val="none" w:sz="0" w:space="0" w:color="auto"/>
        <w:right w:val="none" w:sz="0" w:space="0" w:color="auto"/>
      </w:divBdr>
      <w:divsChild>
        <w:div w:id="1952778536">
          <w:marLeft w:val="0"/>
          <w:marRight w:val="0"/>
          <w:marTop w:val="0"/>
          <w:marBottom w:val="0"/>
          <w:divBdr>
            <w:top w:val="none" w:sz="0" w:space="0" w:color="auto"/>
            <w:left w:val="none" w:sz="0" w:space="0" w:color="auto"/>
            <w:bottom w:val="none" w:sz="0" w:space="0" w:color="auto"/>
            <w:right w:val="none" w:sz="0" w:space="0" w:color="auto"/>
          </w:divBdr>
          <w:divsChild>
            <w:div w:id="536241806">
              <w:marLeft w:val="0"/>
              <w:marRight w:val="0"/>
              <w:marTop w:val="0"/>
              <w:marBottom w:val="0"/>
              <w:divBdr>
                <w:top w:val="none" w:sz="0" w:space="0" w:color="auto"/>
                <w:left w:val="none" w:sz="0" w:space="0" w:color="auto"/>
                <w:bottom w:val="none" w:sz="0" w:space="0" w:color="auto"/>
                <w:right w:val="none" w:sz="0" w:space="0" w:color="auto"/>
              </w:divBdr>
              <w:divsChild>
                <w:div w:id="105122921">
                  <w:marLeft w:val="180"/>
                  <w:marRight w:val="0"/>
                  <w:marTop w:val="0"/>
                  <w:marBottom w:val="0"/>
                  <w:divBdr>
                    <w:top w:val="none" w:sz="0" w:space="0" w:color="auto"/>
                    <w:left w:val="none" w:sz="0" w:space="0" w:color="auto"/>
                    <w:bottom w:val="none" w:sz="0" w:space="0" w:color="auto"/>
                    <w:right w:val="none" w:sz="0" w:space="0" w:color="auto"/>
                  </w:divBdr>
                  <w:divsChild>
                    <w:div w:id="214784260">
                      <w:marLeft w:val="0"/>
                      <w:marRight w:val="0"/>
                      <w:marTop w:val="0"/>
                      <w:marBottom w:val="0"/>
                      <w:divBdr>
                        <w:top w:val="none" w:sz="0" w:space="0" w:color="auto"/>
                        <w:left w:val="none" w:sz="0" w:space="0" w:color="auto"/>
                        <w:bottom w:val="none" w:sz="0" w:space="0" w:color="auto"/>
                        <w:right w:val="none" w:sz="0" w:space="0" w:color="auto"/>
                      </w:divBdr>
                      <w:divsChild>
                        <w:div w:id="15569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736398">
      <w:bodyDiv w:val="1"/>
      <w:marLeft w:val="0"/>
      <w:marRight w:val="0"/>
      <w:marTop w:val="0"/>
      <w:marBottom w:val="0"/>
      <w:divBdr>
        <w:top w:val="none" w:sz="0" w:space="0" w:color="auto"/>
        <w:left w:val="none" w:sz="0" w:space="0" w:color="auto"/>
        <w:bottom w:val="none" w:sz="0" w:space="0" w:color="auto"/>
        <w:right w:val="none" w:sz="0" w:space="0" w:color="auto"/>
      </w:divBdr>
    </w:div>
    <w:div w:id="1545866782">
      <w:bodyDiv w:val="1"/>
      <w:marLeft w:val="0"/>
      <w:marRight w:val="0"/>
      <w:marTop w:val="0"/>
      <w:marBottom w:val="0"/>
      <w:divBdr>
        <w:top w:val="none" w:sz="0" w:space="0" w:color="auto"/>
        <w:left w:val="none" w:sz="0" w:space="0" w:color="auto"/>
        <w:bottom w:val="none" w:sz="0" w:space="0" w:color="auto"/>
        <w:right w:val="none" w:sz="0" w:space="0" w:color="auto"/>
      </w:divBdr>
    </w:div>
    <w:div w:id="1597179052">
      <w:bodyDiv w:val="1"/>
      <w:marLeft w:val="0"/>
      <w:marRight w:val="0"/>
      <w:marTop w:val="0"/>
      <w:marBottom w:val="0"/>
      <w:divBdr>
        <w:top w:val="none" w:sz="0" w:space="0" w:color="auto"/>
        <w:left w:val="none" w:sz="0" w:space="0" w:color="auto"/>
        <w:bottom w:val="none" w:sz="0" w:space="0" w:color="auto"/>
        <w:right w:val="none" w:sz="0" w:space="0" w:color="auto"/>
      </w:divBdr>
    </w:div>
    <w:div w:id="1613980087">
      <w:bodyDiv w:val="1"/>
      <w:marLeft w:val="0"/>
      <w:marRight w:val="0"/>
      <w:marTop w:val="0"/>
      <w:marBottom w:val="0"/>
      <w:divBdr>
        <w:top w:val="none" w:sz="0" w:space="0" w:color="auto"/>
        <w:left w:val="none" w:sz="0" w:space="0" w:color="auto"/>
        <w:bottom w:val="none" w:sz="0" w:space="0" w:color="auto"/>
        <w:right w:val="none" w:sz="0" w:space="0" w:color="auto"/>
      </w:divBdr>
    </w:div>
    <w:div w:id="1626888087">
      <w:bodyDiv w:val="1"/>
      <w:marLeft w:val="0"/>
      <w:marRight w:val="0"/>
      <w:marTop w:val="0"/>
      <w:marBottom w:val="0"/>
      <w:divBdr>
        <w:top w:val="none" w:sz="0" w:space="0" w:color="auto"/>
        <w:left w:val="none" w:sz="0" w:space="0" w:color="auto"/>
        <w:bottom w:val="none" w:sz="0" w:space="0" w:color="auto"/>
        <w:right w:val="none" w:sz="0" w:space="0" w:color="auto"/>
      </w:divBdr>
    </w:div>
    <w:div w:id="1638875139">
      <w:bodyDiv w:val="1"/>
      <w:marLeft w:val="30"/>
      <w:marRight w:val="30"/>
      <w:marTop w:val="0"/>
      <w:marBottom w:val="0"/>
      <w:divBdr>
        <w:top w:val="none" w:sz="0" w:space="0" w:color="auto"/>
        <w:left w:val="none" w:sz="0" w:space="0" w:color="auto"/>
        <w:bottom w:val="none" w:sz="0" w:space="0" w:color="auto"/>
        <w:right w:val="none" w:sz="0" w:space="0" w:color="auto"/>
      </w:divBdr>
      <w:divsChild>
        <w:div w:id="1461264846">
          <w:marLeft w:val="0"/>
          <w:marRight w:val="0"/>
          <w:marTop w:val="0"/>
          <w:marBottom w:val="0"/>
          <w:divBdr>
            <w:top w:val="none" w:sz="0" w:space="0" w:color="auto"/>
            <w:left w:val="none" w:sz="0" w:space="0" w:color="auto"/>
            <w:bottom w:val="none" w:sz="0" w:space="0" w:color="auto"/>
            <w:right w:val="none" w:sz="0" w:space="0" w:color="auto"/>
          </w:divBdr>
          <w:divsChild>
            <w:div w:id="473106605">
              <w:marLeft w:val="0"/>
              <w:marRight w:val="0"/>
              <w:marTop w:val="0"/>
              <w:marBottom w:val="0"/>
              <w:divBdr>
                <w:top w:val="none" w:sz="0" w:space="0" w:color="auto"/>
                <w:left w:val="none" w:sz="0" w:space="0" w:color="auto"/>
                <w:bottom w:val="none" w:sz="0" w:space="0" w:color="auto"/>
                <w:right w:val="none" w:sz="0" w:space="0" w:color="auto"/>
              </w:divBdr>
              <w:divsChild>
                <w:div w:id="270013619">
                  <w:marLeft w:val="180"/>
                  <w:marRight w:val="0"/>
                  <w:marTop w:val="0"/>
                  <w:marBottom w:val="0"/>
                  <w:divBdr>
                    <w:top w:val="none" w:sz="0" w:space="0" w:color="auto"/>
                    <w:left w:val="none" w:sz="0" w:space="0" w:color="auto"/>
                    <w:bottom w:val="none" w:sz="0" w:space="0" w:color="auto"/>
                    <w:right w:val="none" w:sz="0" w:space="0" w:color="auto"/>
                  </w:divBdr>
                  <w:divsChild>
                    <w:div w:id="14135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07742">
      <w:bodyDiv w:val="1"/>
      <w:marLeft w:val="30"/>
      <w:marRight w:val="30"/>
      <w:marTop w:val="0"/>
      <w:marBottom w:val="0"/>
      <w:divBdr>
        <w:top w:val="none" w:sz="0" w:space="0" w:color="auto"/>
        <w:left w:val="none" w:sz="0" w:space="0" w:color="auto"/>
        <w:bottom w:val="none" w:sz="0" w:space="0" w:color="auto"/>
        <w:right w:val="none" w:sz="0" w:space="0" w:color="auto"/>
      </w:divBdr>
      <w:divsChild>
        <w:div w:id="164783050">
          <w:marLeft w:val="0"/>
          <w:marRight w:val="0"/>
          <w:marTop w:val="0"/>
          <w:marBottom w:val="0"/>
          <w:divBdr>
            <w:top w:val="none" w:sz="0" w:space="0" w:color="auto"/>
            <w:left w:val="none" w:sz="0" w:space="0" w:color="auto"/>
            <w:bottom w:val="none" w:sz="0" w:space="0" w:color="auto"/>
            <w:right w:val="none" w:sz="0" w:space="0" w:color="auto"/>
          </w:divBdr>
          <w:divsChild>
            <w:div w:id="806553657">
              <w:marLeft w:val="0"/>
              <w:marRight w:val="0"/>
              <w:marTop w:val="0"/>
              <w:marBottom w:val="0"/>
              <w:divBdr>
                <w:top w:val="none" w:sz="0" w:space="0" w:color="auto"/>
                <w:left w:val="none" w:sz="0" w:space="0" w:color="auto"/>
                <w:bottom w:val="none" w:sz="0" w:space="0" w:color="auto"/>
                <w:right w:val="none" w:sz="0" w:space="0" w:color="auto"/>
              </w:divBdr>
              <w:divsChild>
                <w:div w:id="2015178857">
                  <w:marLeft w:val="180"/>
                  <w:marRight w:val="0"/>
                  <w:marTop w:val="0"/>
                  <w:marBottom w:val="0"/>
                  <w:divBdr>
                    <w:top w:val="none" w:sz="0" w:space="0" w:color="auto"/>
                    <w:left w:val="none" w:sz="0" w:space="0" w:color="auto"/>
                    <w:bottom w:val="none" w:sz="0" w:space="0" w:color="auto"/>
                    <w:right w:val="none" w:sz="0" w:space="0" w:color="auto"/>
                  </w:divBdr>
                  <w:divsChild>
                    <w:div w:id="4419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95766">
      <w:bodyDiv w:val="1"/>
      <w:marLeft w:val="0"/>
      <w:marRight w:val="0"/>
      <w:marTop w:val="0"/>
      <w:marBottom w:val="0"/>
      <w:divBdr>
        <w:top w:val="none" w:sz="0" w:space="0" w:color="auto"/>
        <w:left w:val="none" w:sz="0" w:space="0" w:color="auto"/>
        <w:bottom w:val="none" w:sz="0" w:space="0" w:color="auto"/>
        <w:right w:val="none" w:sz="0" w:space="0" w:color="auto"/>
      </w:divBdr>
    </w:div>
    <w:div w:id="1741127616">
      <w:bodyDiv w:val="1"/>
      <w:marLeft w:val="0"/>
      <w:marRight w:val="0"/>
      <w:marTop w:val="0"/>
      <w:marBottom w:val="0"/>
      <w:divBdr>
        <w:top w:val="none" w:sz="0" w:space="0" w:color="auto"/>
        <w:left w:val="none" w:sz="0" w:space="0" w:color="auto"/>
        <w:bottom w:val="none" w:sz="0" w:space="0" w:color="auto"/>
        <w:right w:val="none" w:sz="0" w:space="0" w:color="auto"/>
      </w:divBdr>
    </w:div>
    <w:div w:id="1758363105">
      <w:bodyDiv w:val="1"/>
      <w:marLeft w:val="30"/>
      <w:marRight w:val="30"/>
      <w:marTop w:val="0"/>
      <w:marBottom w:val="0"/>
      <w:divBdr>
        <w:top w:val="none" w:sz="0" w:space="0" w:color="auto"/>
        <w:left w:val="none" w:sz="0" w:space="0" w:color="auto"/>
        <w:bottom w:val="none" w:sz="0" w:space="0" w:color="auto"/>
        <w:right w:val="none" w:sz="0" w:space="0" w:color="auto"/>
      </w:divBdr>
      <w:divsChild>
        <w:div w:id="557667063">
          <w:marLeft w:val="0"/>
          <w:marRight w:val="0"/>
          <w:marTop w:val="0"/>
          <w:marBottom w:val="0"/>
          <w:divBdr>
            <w:top w:val="none" w:sz="0" w:space="0" w:color="auto"/>
            <w:left w:val="none" w:sz="0" w:space="0" w:color="auto"/>
            <w:bottom w:val="none" w:sz="0" w:space="0" w:color="auto"/>
            <w:right w:val="none" w:sz="0" w:space="0" w:color="auto"/>
          </w:divBdr>
          <w:divsChild>
            <w:div w:id="1494107298">
              <w:marLeft w:val="0"/>
              <w:marRight w:val="0"/>
              <w:marTop w:val="0"/>
              <w:marBottom w:val="0"/>
              <w:divBdr>
                <w:top w:val="none" w:sz="0" w:space="0" w:color="auto"/>
                <w:left w:val="none" w:sz="0" w:space="0" w:color="auto"/>
                <w:bottom w:val="none" w:sz="0" w:space="0" w:color="auto"/>
                <w:right w:val="none" w:sz="0" w:space="0" w:color="auto"/>
              </w:divBdr>
              <w:divsChild>
                <w:div w:id="1377198372">
                  <w:marLeft w:val="180"/>
                  <w:marRight w:val="0"/>
                  <w:marTop w:val="0"/>
                  <w:marBottom w:val="0"/>
                  <w:divBdr>
                    <w:top w:val="none" w:sz="0" w:space="0" w:color="auto"/>
                    <w:left w:val="none" w:sz="0" w:space="0" w:color="auto"/>
                    <w:bottom w:val="none" w:sz="0" w:space="0" w:color="auto"/>
                    <w:right w:val="none" w:sz="0" w:space="0" w:color="auto"/>
                  </w:divBdr>
                  <w:divsChild>
                    <w:div w:id="18104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88694">
      <w:bodyDiv w:val="1"/>
      <w:marLeft w:val="0"/>
      <w:marRight w:val="0"/>
      <w:marTop w:val="0"/>
      <w:marBottom w:val="0"/>
      <w:divBdr>
        <w:top w:val="none" w:sz="0" w:space="0" w:color="auto"/>
        <w:left w:val="none" w:sz="0" w:space="0" w:color="auto"/>
        <w:bottom w:val="none" w:sz="0" w:space="0" w:color="auto"/>
        <w:right w:val="none" w:sz="0" w:space="0" w:color="auto"/>
      </w:divBdr>
    </w:div>
    <w:div w:id="1907835293">
      <w:bodyDiv w:val="1"/>
      <w:marLeft w:val="0"/>
      <w:marRight w:val="0"/>
      <w:marTop w:val="0"/>
      <w:marBottom w:val="0"/>
      <w:divBdr>
        <w:top w:val="none" w:sz="0" w:space="0" w:color="auto"/>
        <w:left w:val="none" w:sz="0" w:space="0" w:color="auto"/>
        <w:bottom w:val="none" w:sz="0" w:space="0" w:color="auto"/>
        <w:right w:val="none" w:sz="0" w:space="0" w:color="auto"/>
      </w:divBdr>
    </w:div>
    <w:div w:id="2025745567">
      <w:bodyDiv w:val="1"/>
      <w:marLeft w:val="0"/>
      <w:marRight w:val="0"/>
      <w:marTop w:val="0"/>
      <w:marBottom w:val="0"/>
      <w:divBdr>
        <w:top w:val="none" w:sz="0" w:space="0" w:color="auto"/>
        <w:left w:val="none" w:sz="0" w:space="0" w:color="auto"/>
        <w:bottom w:val="none" w:sz="0" w:space="0" w:color="auto"/>
        <w:right w:val="none" w:sz="0" w:space="0" w:color="auto"/>
      </w:divBdr>
    </w:div>
    <w:div w:id="2028562504">
      <w:bodyDiv w:val="1"/>
      <w:marLeft w:val="0"/>
      <w:marRight w:val="0"/>
      <w:marTop w:val="0"/>
      <w:marBottom w:val="0"/>
      <w:divBdr>
        <w:top w:val="none" w:sz="0" w:space="0" w:color="auto"/>
        <w:left w:val="none" w:sz="0" w:space="0" w:color="auto"/>
        <w:bottom w:val="none" w:sz="0" w:space="0" w:color="auto"/>
        <w:right w:val="none" w:sz="0" w:space="0" w:color="auto"/>
      </w:divBdr>
    </w:div>
    <w:div w:id="2030448420">
      <w:bodyDiv w:val="1"/>
      <w:marLeft w:val="0"/>
      <w:marRight w:val="0"/>
      <w:marTop w:val="0"/>
      <w:marBottom w:val="0"/>
      <w:divBdr>
        <w:top w:val="none" w:sz="0" w:space="0" w:color="auto"/>
        <w:left w:val="none" w:sz="0" w:space="0" w:color="auto"/>
        <w:bottom w:val="none" w:sz="0" w:space="0" w:color="auto"/>
        <w:right w:val="none" w:sz="0" w:space="0" w:color="auto"/>
      </w:divBdr>
    </w:div>
    <w:div w:id="2050185562">
      <w:bodyDiv w:val="1"/>
      <w:marLeft w:val="0"/>
      <w:marRight w:val="0"/>
      <w:marTop w:val="0"/>
      <w:marBottom w:val="0"/>
      <w:divBdr>
        <w:top w:val="none" w:sz="0" w:space="0" w:color="auto"/>
        <w:left w:val="none" w:sz="0" w:space="0" w:color="auto"/>
        <w:bottom w:val="none" w:sz="0" w:space="0" w:color="auto"/>
        <w:right w:val="none" w:sz="0" w:space="0" w:color="auto"/>
      </w:divBdr>
    </w:div>
    <w:div w:id="2088115226">
      <w:bodyDiv w:val="1"/>
      <w:marLeft w:val="0"/>
      <w:marRight w:val="0"/>
      <w:marTop w:val="0"/>
      <w:marBottom w:val="0"/>
      <w:divBdr>
        <w:top w:val="none" w:sz="0" w:space="0" w:color="auto"/>
        <w:left w:val="none" w:sz="0" w:space="0" w:color="auto"/>
        <w:bottom w:val="none" w:sz="0" w:space="0" w:color="auto"/>
        <w:right w:val="none" w:sz="0" w:space="0" w:color="auto"/>
      </w:divBdr>
    </w:div>
    <w:div w:id="2113085686">
      <w:bodyDiv w:val="1"/>
      <w:marLeft w:val="30"/>
      <w:marRight w:val="30"/>
      <w:marTop w:val="0"/>
      <w:marBottom w:val="0"/>
      <w:divBdr>
        <w:top w:val="none" w:sz="0" w:space="0" w:color="auto"/>
        <w:left w:val="none" w:sz="0" w:space="0" w:color="auto"/>
        <w:bottom w:val="none" w:sz="0" w:space="0" w:color="auto"/>
        <w:right w:val="none" w:sz="0" w:space="0" w:color="auto"/>
      </w:divBdr>
      <w:divsChild>
        <w:div w:id="382098965">
          <w:marLeft w:val="0"/>
          <w:marRight w:val="0"/>
          <w:marTop w:val="0"/>
          <w:marBottom w:val="0"/>
          <w:divBdr>
            <w:top w:val="none" w:sz="0" w:space="0" w:color="auto"/>
            <w:left w:val="none" w:sz="0" w:space="0" w:color="auto"/>
            <w:bottom w:val="none" w:sz="0" w:space="0" w:color="auto"/>
            <w:right w:val="none" w:sz="0" w:space="0" w:color="auto"/>
          </w:divBdr>
          <w:divsChild>
            <w:div w:id="796334075">
              <w:marLeft w:val="0"/>
              <w:marRight w:val="0"/>
              <w:marTop w:val="0"/>
              <w:marBottom w:val="0"/>
              <w:divBdr>
                <w:top w:val="none" w:sz="0" w:space="0" w:color="auto"/>
                <w:left w:val="none" w:sz="0" w:space="0" w:color="auto"/>
                <w:bottom w:val="none" w:sz="0" w:space="0" w:color="auto"/>
                <w:right w:val="none" w:sz="0" w:space="0" w:color="auto"/>
              </w:divBdr>
              <w:divsChild>
                <w:div w:id="1281372571">
                  <w:marLeft w:val="180"/>
                  <w:marRight w:val="0"/>
                  <w:marTop w:val="0"/>
                  <w:marBottom w:val="0"/>
                  <w:divBdr>
                    <w:top w:val="none" w:sz="0" w:space="0" w:color="auto"/>
                    <w:left w:val="none" w:sz="0" w:space="0" w:color="auto"/>
                    <w:bottom w:val="none" w:sz="0" w:space="0" w:color="auto"/>
                    <w:right w:val="none" w:sz="0" w:space="0" w:color="auto"/>
                  </w:divBdr>
                  <w:divsChild>
                    <w:div w:id="21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9" Type="http://schemas.openxmlformats.org/officeDocument/2006/relationships/hyperlink" Target="http://bettertax.gov.au/publications/discussion-paper/" TargetMode="Externa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34" Type="http://schemas.openxmlformats.org/officeDocument/2006/relationships/chart" Target="charts/chart5.xml"/><Relationship Id="rId42" Type="http://schemas.openxmlformats.org/officeDocument/2006/relationships/header" Target="header7.xml"/><Relationship Id="rId47" Type="http://schemas.openxmlformats.org/officeDocument/2006/relationships/image" Target="media/image7.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chart" Target="charts/chart4.xml"/><Relationship Id="rId38" Type="http://schemas.openxmlformats.org/officeDocument/2006/relationships/hyperlink" Target="https://taxreview.treasury.gov.au/Content/Content.aspx?doc=html/home.htm" TargetMode="External"/><Relationship Id="rId46"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chart" Target="charts/chart1.xml"/><Relationship Id="rId41" Type="http://schemas.openxmlformats.org/officeDocument/2006/relationships/hyperlink" Target="https://www.pc.gov.au/research/completed/rising-inequa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chart" Target="charts/chart3.xml"/><Relationship Id="rId37" Type="http://schemas.openxmlformats.org/officeDocument/2006/relationships/hyperlink" Target="http://adc.library.usyd.edu.au/data-2/p00087.pdf" TargetMode="External"/><Relationship Id="rId40" Type="http://schemas.openxmlformats.org/officeDocument/2006/relationships/hyperlink" Target="https://www.aph.gov.au/About_Parliament/Parliamentary_Departments/Parliamentary_Budget_Office/Publications/Research_reports/Report_03_2017"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edialiaison@treasury.gov.au" TargetMode="External"/><Relationship Id="rId28" Type="http://schemas.openxmlformats.org/officeDocument/2006/relationships/image" Target="media/image4.emf"/><Relationship Id="rId36" Type="http://schemas.openxmlformats.org/officeDocument/2006/relationships/chart" Target="charts/chart7.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creativecommons.org/licenses/by/3.0/au/legalcode" TargetMode="External"/><Relationship Id="rId31" Type="http://schemas.openxmlformats.org/officeDocument/2006/relationships/chart" Target="charts/chart2.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itsanhonour.gov.au" TargetMode="External"/><Relationship Id="rId27" Type="http://schemas.openxmlformats.org/officeDocument/2006/relationships/image" Target="media/image3.emf"/><Relationship Id="rId30" Type="http://schemas.openxmlformats.org/officeDocument/2006/relationships/image" Target="media/image5.emf"/><Relationship Id="rId35" Type="http://schemas.openxmlformats.org/officeDocument/2006/relationships/chart" Target="charts/chart6.xm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taxreview.treasury.gov.au/content/FinalReport.aspx?doc=html/Publications/Papers/Final_Report_Part_2/chapter_a1.htm" TargetMode="External"/><Relationship Id="rId2" Type="http://schemas.openxmlformats.org/officeDocument/2006/relationships/hyperlink" Target="https://recordsearch.naa.gov.au/SearchNRetrieve/Interface/DetailsReports/ItemDetail.aspx?Barcode=31427390&amp;isAv=N" TargetMode="External"/><Relationship Id="rId1" Type="http://schemas.openxmlformats.org/officeDocument/2006/relationships/hyperlink" Target="http://adc.library.usyd.edu.au/view?docId=law/xml-main-texts/p00087.xml;database=;collection=;brand=ozfed" TargetMode="External"/><Relationship Id="rId5" Type="http://schemas.openxmlformats.org/officeDocument/2006/relationships/hyperlink" Target="http://bettertax.gov.au/files/2015/03/TWP_combined-online.pdf" TargetMode="External"/><Relationship Id="rId4" Type="http://schemas.openxmlformats.org/officeDocument/2006/relationships/hyperlink" Target="http://taxreview.treasury.gov.au/content/FinalReport.aspx?doc=html/Publications/Papers/Final_Report_Part_2/Chapter_a1-1.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emus\RG_H$\TFD%20DATA\Income%20Tax\Personal%20income%20tax\180516%20-%20TFD%20-%20Progressive%20tax%20systems%20ATR%20MTR%20Tax%20pai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SA\AppData\Local\Microsoft\Windows\Temporary%20Internet%20Files\Content.Outlook\V4N01T28\Progressivity%20charts%20for%20publication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S2\Indiv$\TSA\20161107%20Change%20in%20average%20tax%20rate%20-%20Impact%20of%20policy%20and%20bracket%20creep%20-%201415%20distn%20(Autosav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TSA\AppData\Local\Microsoft\Windows\Temporary%20Internet%20Files\Content.Outlook\U3H46UW3\180530%20Distributional%20fun%20-%20progressivit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sa\AppData\Local\Microsoft\Windows\Temporary%20Internet%20Files\Content.Outlook\V5ZIJEVE\Progressivity%20Check.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S2\Indiv$\TSA\180530%20Distributional%20fun%20-%20progressivity.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FS2\Indiv$\TSA\180530%20Distributional%20fun%20-%20progressiv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288873772531257E-2"/>
          <c:y val="3.259404761904762E-2"/>
          <c:w val="0.8832136591977956"/>
          <c:h val="0.82792352023612703"/>
        </c:manualLayout>
      </c:layout>
      <c:lineChart>
        <c:grouping val="standard"/>
        <c:varyColors val="0"/>
        <c:ser>
          <c:idx val="0"/>
          <c:order val="1"/>
          <c:tx>
            <c:v>MTR</c:v>
          </c:tx>
          <c:spPr>
            <a:ln>
              <a:solidFill>
                <a:schemeClr val="accent2"/>
              </a:solidFill>
            </a:ln>
          </c:spPr>
          <c:marker>
            <c:symbol val="none"/>
          </c:marker>
          <c:dPt>
            <c:idx val="50"/>
            <c:marker>
              <c:symbol val="circle"/>
              <c:size val="6"/>
              <c:spPr>
                <a:solidFill>
                  <a:schemeClr val="tx1"/>
                </a:solidFill>
                <a:ln>
                  <a:noFill/>
                </a:ln>
              </c:spPr>
            </c:marker>
            <c:bubble3D val="0"/>
            <c:spPr>
              <a:ln>
                <a:noFill/>
              </a:ln>
            </c:spPr>
            <c:extLst>
              <c:ext xmlns:c16="http://schemas.microsoft.com/office/drawing/2014/chart" uri="{C3380CC4-5D6E-409C-BE32-E72D297353CC}">
                <c16:uniqueId val="{00000001-92F0-4FDE-91F5-CCCE6A9BE1BC}"/>
              </c:ext>
            </c:extLst>
          </c:dPt>
          <c:dPt>
            <c:idx val="150"/>
            <c:marker>
              <c:symbol val="circle"/>
              <c:size val="6"/>
              <c:spPr>
                <a:solidFill>
                  <a:schemeClr val="tx1"/>
                </a:solidFill>
                <a:ln>
                  <a:noFill/>
                </a:ln>
              </c:spPr>
            </c:marker>
            <c:bubble3D val="0"/>
            <c:extLst>
              <c:ext xmlns:c16="http://schemas.microsoft.com/office/drawing/2014/chart" uri="{C3380CC4-5D6E-409C-BE32-E72D297353CC}">
                <c16:uniqueId val="{00000002-92F0-4FDE-91F5-CCCE6A9BE1BC}"/>
              </c:ext>
            </c:extLst>
          </c:dPt>
          <c:cat>
            <c:numRef>
              <c:f>'Personal Income Tax Data'!$B$4:$B$254</c:f>
              <c:numCache>
                <c:formatCode>General</c:formatCode>
                <c:ptCount val="25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pt idx="201">
                  <c:v>201000</c:v>
                </c:pt>
                <c:pt idx="202">
                  <c:v>202000</c:v>
                </c:pt>
                <c:pt idx="203">
                  <c:v>203000</c:v>
                </c:pt>
                <c:pt idx="204">
                  <c:v>204000</c:v>
                </c:pt>
                <c:pt idx="205">
                  <c:v>205000</c:v>
                </c:pt>
                <c:pt idx="206">
                  <c:v>206000</c:v>
                </c:pt>
                <c:pt idx="207">
                  <c:v>207000</c:v>
                </c:pt>
                <c:pt idx="208">
                  <c:v>208000</c:v>
                </c:pt>
                <c:pt idx="209">
                  <c:v>209000</c:v>
                </c:pt>
                <c:pt idx="210">
                  <c:v>210000</c:v>
                </c:pt>
                <c:pt idx="211">
                  <c:v>211000</c:v>
                </c:pt>
                <c:pt idx="212">
                  <c:v>212000</c:v>
                </c:pt>
                <c:pt idx="213">
                  <c:v>213000</c:v>
                </c:pt>
                <c:pt idx="214">
                  <c:v>214000</c:v>
                </c:pt>
                <c:pt idx="215">
                  <c:v>215000</c:v>
                </c:pt>
                <c:pt idx="216">
                  <c:v>216000</c:v>
                </c:pt>
                <c:pt idx="217">
                  <c:v>217000</c:v>
                </c:pt>
                <c:pt idx="218">
                  <c:v>218000</c:v>
                </c:pt>
                <c:pt idx="219">
                  <c:v>219000</c:v>
                </c:pt>
                <c:pt idx="220">
                  <c:v>220000</c:v>
                </c:pt>
                <c:pt idx="221">
                  <c:v>221000</c:v>
                </c:pt>
                <c:pt idx="222">
                  <c:v>222000</c:v>
                </c:pt>
                <c:pt idx="223">
                  <c:v>223000</c:v>
                </c:pt>
                <c:pt idx="224">
                  <c:v>224000</c:v>
                </c:pt>
                <c:pt idx="225">
                  <c:v>225000</c:v>
                </c:pt>
                <c:pt idx="226">
                  <c:v>226000</c:v>
                </c:pt>
                <c:pt idx="227">
                  <c:v>227000</c:v>
                </c:pt>
                <c:pt idx="228">
                  <c:v>228000</c:v>
                </c:pt>
                <c:pt idx="229">
                  <c:v>229000</c:v>
                </c:pt>
                <c:pt idx="230">
                  <c:v>230000</c:v>
                </c:pt>
                <c:pt idx="231">
                  <c:v>231000</c:v>
                </c:pt>
                <c:pt idx="232">
                  <c:v>232000</c:v>
                </c:pt>
                <c:pt idx="233">
                  <c:v>233000</c:v>
                </c:pt>
                <c:pt idx="234">
                  <c:v>234000</c:v>
                </c:pt>
                <c:pt idx="235">
                  <c:v>235000</c:v>
                </c:pt>
                <c:pt idx="236">
                  <c:v>236000</c:v>
                </c:pt>
                <c:pt idx="237">
                  <c:v>237000</c:v>
                </c:pt>
                <c:pt idx="238">
                  <c:v>238000</c:v>
                </c:pt>
                <c:pt idx="239">
                  <c:v>239000</c:v>
                </c:pt>
                <c:pt idx="240">
                  <c:v>240000</c:v>
                </c:pt>
                <c:pt idx="241">
                  <c:v>241000</c:v>
                </c:pt>
                <c:pt idx="242">
                  <c:v>242000</c:v>
                </c:pt>
                <c:pt idx="243">
                  <c:v>243000</c:v>
                </c:pt>
                <c:pt idx="244">
                  <c:v>244000</c:v>
                </c:pt>
                <c:pt idx="245">
                  <c:v>245000</c:v>
                </c:pt>
                <c:pt idx="246">
                  <c:v>246000</c:v>
                </c:pt>
                <c:pt idx="247">
                  <c:v>247000</c:v>
                </c:pt>
                <c:pt idx="248">
                  <c:v>248000</c:v>
                </c:pt>
                <c:pt idx="249">
                  <c:v>249000</c:v>
                </c:pt>
                <c:pt idx="250">
                  <c:v>250000</c:v>
                </c:pt>
              </c:numCache>
            </c:numRef>
          </c:cat>
          <c:val>
            <c:numRef>
              <c:f>'Personal Income Tax Data'!$J$4:$J$254</c:f>
              <c:numCache>
                <c:formatCode>0.00</c:formatCode>
                <c:ptCount val="2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35</c:v>
                </c:pt>
                <c:pt idx="27">
                  <c:v>35</c:v>
                </c:pt>
                <c:pt idx="28">
                  <c:v>35</c:v>
                </c:pt>
                <c:pt idx="29">
                  <c:v>35</c:v>
                </c:pt>
                <c:pt idx="30">
                  <c:v>35</c:v>
                </c:pt>
                <c:pt idx="31">
                  <c:v>35</c:v>
                </c:pt>
                <c:pt idx="32">
                  <c:v>35</c:v>
                </c:pt>
                <c:pt idx="33">
                  <c:v>35</c:v>
                </c:pt>
                <c:pt idx="34">
                  <c:v>35</c:v>
                </c:pt>
                <c:pt idx="35">
                  <c:v>35</c:v>
                </c:pt>
                <c:pt idx="36">
                  <c:v>35</c:v>
                </c:pt>
                <c:pt idx="37">
                  <c:v>35</c:v>
                </c:pt>
                <c:pt idx="38">
                  <c:v>35</c:v>
                </c:pt>
                <c:pt idx="39">
                  <c:v>35</c:v>
                </c:pt>
                <c:pt idx="40">
                  <c:v>35</c:v>
                </c:pt>
                <c:pt idx="41">
                  <c:v>35</c:v>
                </c:pt>
                <c:pt idx="42">
                  <c:v>35</c:v>
                </c:pt>
                <c:pt idx="43">
                  <c:v>35</c:v>
                </c:pt>
                <c:pt idx="44">
                  <c:v>35</c:v>
                </c:pt>
                <c:pt idx="45">
                  <c:v>35</c:v>
                </c:pt>
                <c:pt idx="46">
                  <c:v>35</c:v>
                </c:pt>
                <c:pt idx="47">
                  <c:v>35</c:v>
                </c:pt>
                <c:pt idx="48">
                  <c:v>35</c:v>
                </c:pt>
                <c:pt idx="49">
                  <c:v>35</c:v>
                </c:pt>
                <c:pt idx="50">
                  <c:v>35</c:v>
                </c:pt>
                <c:pt idx="51">
                  <c:v>35</c:v>
                </c:pt>
                <c:pt idx="52">
                  <c:v>35</c:v>
                </c:pt>
                <c:pt idx="53">
                  <c:v>35</c:v>
                </c:pt>
                <c:pt idx="54">
                  <c:v>35</c:v>
                </c:pt>
                <c:pt idx="55">
                  <c:v>35</c:v>
                </c:pt>
                <c:pt idx="56">
                  <c:v>35</c:v>
                </c:pt>
                <c:pt idx="57">
                  <c:v>35</c:v>
                </c:pt>
                <c:pt idx="58">
                  <c:v>35</c:v>
                </c:pt>
                <c:pt idx="59">
                  <c:v>35</c:v>
                </c:pt>
                <c:pt idx="60">
                  <c:v>35</c:v>
                </c:pt>
                <c:pt idx="61">
                  <c:v>35</c:v>
                </c:pt>
                <c:pt idx="62">
                  <c:v>35</c:v>
                </c:pt>
                <c:pt idx="63">
                  <c:v>35</c:v>
                </c:pt>
                <c:pt idx="64">
                  <c:v>35</c:v>
                </c:pt>
                <c:pt idx="65">
                  <c:v>35</c:v>
                </c:pt>
                <c:pt idx="66">
                  <c:v>35</c:v>
                </c:pt>
                <c:pt idx="67">
                  <c:v>35</c:v>
                </c:pt>
                <c:pt idx="68">
                  <c:v>35</c:v>
                </c:pt>
                <c:pt idx="69">
                  <c:v>35</c:v>
                </c:pt>
                <c:pt idx="70">
                  <c:v>35</c:v>
                </c:pt>
                <c:pt idx="71">
                  <c:v>35</c:v>
                </c:pt>
                <c:pt idx="72">
                  <c:v>35</c:v>
                </c:pt>
                <c:pt idx="73">
                  <c:v>35</c:v>
                </c:pt>
                <c:pt idx="74">
                  <c:v>35</c:v>
                </c:pt>
                <c:pt idx="75">
                  <c:v>35</c:v>
                </c:pt>
                <c:pt idx="76">
                  <c:v>35</c:v>
                </c:pt>
                <c:pt idx="77">
                  <c:v>35</c:v>
                </c:pt>
                <c:pt idx="78">
                  <c:v>35</c:v>
                </c:pt>
                <c:pt idx="79">
                  <c:v>35</c:v>
                </c:pt>
                <c:pt idx="80">
                  <c:v>35</c:v>
                </c:pt>
                <c:pt idx="81">
                  <c:v>35</c:v>
                </c:pt>
                <c:pt idx="82">
                  <c:v>35</c:v>
                </c:pt>
                <c:pt idx="83">
                  <c:v>35</c:v>
                </c:pt>
                <c:pt idx="84">
                  <c:v>35</c:v>
                </c:pt>
                <c:pt idx="85">
                  <c:v>35</c:v>
                </c:pt>
                <c:pt idx="86">
                  <c:v>35</c:v>
                </c:pt>
                <c:pt idx="87">
                  <c:v>35</c:v>
                </c:pt>
                <c:pt idx="88">
                  <c:v>35</c:v>
                </c:pt>
                <c:pt idx="89">
                  <c:v>35</c:v>
                </c:pt>
                <c:pt idx="90">
                  <c:v>35</c:v>
                </c:pt>
                <c:pt idx="91">
                  <c:v>35</c:v>
                </c:pt>
                <c:pt idx="92">
                  <c:v>35</c:v>
                </c:pt>
                <c:pt idx="93">
                  <c:v>35</c:v>
                </c:pt>
                <c:pt idx="94">
                  <c:v>35</c:v>
                </c:pt>
                <c:pt idx="95">
                  <c:v>35</c:v>
                </c:pt>
                <c:pt idx="96">
                  <c:v>35</c:v>
                </c:pt>
                <c:pt idx="97">
                  <c:v>35</c:v>
                </c:pt>
                <c:pt idx="98">
                  <c:v>35</c:v>
                </c:pt>
                <c:pt idx="99">
                  <c:v>35</c:v>
                </c:pt>
                <c:pt idx="100">
                  <c:v>35</c:v>
                </c:pt>
                <c:pt idx="101">
                  <c:v>35</c:v>
                </c:pt>
                <c:pt idx="102">
                  <c:v>35</c:v>
                </c:pt>
                <c:pt idx="103">
                  <c:v>35</c:v>
                </c:pt>
                <c:pt idx="104">
                  <c:v>35</c:v>
                </c:pt>
                <c:pt idx="105">
                  <c:v>35</c:v>
                </c:pt>
                <c:pt idx="106">
                  <c:v>35</c:v>
                </c:pt>
                <c:pt idx="107">
                  <c:v>35</c:v>
                </c:pt>
                <c:pt idx="108">
                  <c:v>35</c:v>
                </c:pt>
                <c:pt idx="109">
                  <c:v>35</c:v>
                </c:pt>
                <c:pt idx="110">
                  <c:v>35</c:v>
                </c:pt>
                <c:pt idx="111">
                  <c:v>35</c:v>
                </c:pt>
                <c:pt idx="112">
                  <c:v>35</c:v>
                </c:pt>
                <c:pt idx="113">
                  <c:v>35</c:v>
                </c:pt>
                <c:pt idx="114">
                  <c:v>35</c:v>
                </c:pt>
                <c:pt idx="115">
                  <c:v>35</c:v>
                </c:pt>
                <c:pt idx="116">
                  <c:v>35</c:v>
                </c:pt>
                <c:pt idx="117">
                  <c:v>35</c:v>
                </c:pt>
                <c:pt idx="118">
                  <c:v>35</c:v>
                </c:pt>
                <c:pt idx="119">
                  <c:v>35</c:v>
                </c:pt>
                <c:pt idx="120">
                  <c:v>35</c:v>
                </c:pt>
                <c:pt idx="121">
                  <c:v>35</c:v>
                </c:pt>
                <c:pt idx="122">
                  <c:v>35</c:v>
                </c:pt>
                <c:pt idx="123">
                  <c:v>35</c:v>
                </c:pt>
                <c:pt idx="124">
                  <c:v>35</c:v>
                </c:pt>
                <c:pt idx="125">
                  <c:v>35</c:v>
                </c:pt>
                <c:pt idx="126">
                  <c:v>35</c:v>
                </c:pt>
                <c:pt idx="127">
                  <c:v>35</c:v>
                </c:pt>
                <c:pt idx="128">
                  <c:v>35</c:v>
                </c:pt>
                <c:pt idx="129">
                  <c:v>35</c:v>
                </c:pt>
                <c:pt idx="130">
                  <c:v>35</c:v>
                </c:pt>
                <c:pt idx="131">
                  <c:v>35</c:v>
                </c:pt>
                <c:pt idx="132">
                  <c:v>35</c:v>
                </c:pt>
                <c:pt idx="133">
                  <c:v>35</c:v>
                </c:pt>
                <c:pt idx="134">
                  <c:v>35</c:v>
                </c:pt>
                <c:pt idx="135">
                  <c:v>35</c:v>
                </c:pt>
                <c:pt idx="136">
                  <c:v>35</c:v>
                </c:pt>
                <c:pt idx="137">
                  <c:v>35</c:v>
                </c:pt>
                <c:pt idx="138">
                  <c:v>35</c:v>
                </c:pt>
                <c:pt idx="139">
                  <c:v>35</c:v>
                </c:pt>
                <c:pt idx="140">
                  <c:v>35</c:v>
                </c:pt>
                <c:pt idx="141">
                  <c:v>35</c:v>
                </c:pt>
                <c:pt idx="142">
                  <c:v>35</c:v>
                </c:pt>
                <c:pt idx="143">
                  <c:v>35</c:v>
                </c:pt>
                <c:pt idx="144">
                  <c:v>35</c:v>
                </c:pt>
                <c:pt idx="145">
                  <c:v>35</c:v>
                </c:pt>
                <c:pt idx="146">
                  <c:v>35</c:v>
                </c:pt>
                <c:pt idx="147">
                  <c:v>35</c:v>
                </c:pt>
                <c:pt idx="148">
                  <c:v>35</c:v>
                </c:pt>
                <c:pt idx="149">
                  <c:v>35</c:v>
                </c:pt>
                <c:pt idx="150">
                  <c:v>35</c:v>
                </c:pt>
                <c:pt idx="151">
                  <c:v>35</c:v>
                </c:pt>
                <c:pt idx="152">
                  <c:v>35</c:v>
                </c:pt>
                <c:pt idx="153">
                  <c:v>35</c:v>
                </c:pt>
                <c:pt idx="154">
                  <c:v>35</c:v>
                </c:pt>
                <c:pt idx="155">
                  <c:v>35</c:v>
                </c:pt>
                <c:pt idx="156">
                  <c:v>35</c:v>
                </c:pt>
                <c:pt idx="157">
                  <c:v>35</c:v>
                </c:pt>
                <c:pt idx="158">
                  <c:v>35</c:v>
                </c:pt>
                <c:pt idx="159">
                  <c:v>35</c:v>
                </c:pt>
                <c:pt idx="160">
                  <c:v>35</c:v>
                </c:pt>
                <c:pt idx="161">
                  <c:v>35</c:v>
                </c:pt>
                <c:pt idx="162">
                  <c:v>35</c:v>
                </c:pt>
                <c:pt idx="163">
                  <c:v>35</c:v>
                </c:pt>
                <c:pt idx="164">
                  <c:v>35</c:v>
                </c:pt>
                <c:pt idx="165">
                  <c:v>35</c:v>
                </c:pt>
                <c:pt idx="166">
                  <c:v>35</c:v>
                </c:pt>
                <c:pt idx="167">
                  <c:v>35</c:v>
                </c:pt>
                <c:pt idx="168">
                  <c:v>35</c:v>
                </c:pt>
                <c:pt idx="169">
                  <c:v>35</c:v>
                </c:pt>
                <c:pt idx="170">
                  <c:v>35</c:v>
                </c:pt>
                <c:pt idx="171">
                  <c:v>35</c:v>
                </c:pt>
                <c:pt idx="172">
                  <c:v>35</c:v>
                </c:pt>
                <c:pt idx="173">
                  <c:v>35</c:v>
                </c:pt>
                <c:pt idx="174">
                  <c:v>35</c:v>
                </c:pt>
                <c:pt idx="175">
                  <c:v>35</c:v>
                </c:pt>
                <c:pt idx="176">
                  <c:v>35</c:v>
                </c:pt>
                <c:pt idx="177">
                  <c:v>35</c:v>
                </c:pt>
                <c:pt idx="178">
                  <c:v>35</c:v>
                </c:pt>
                <c:pt idx="179">
                  <c:v>35</c:v>
                </c:pt>
                <c:pt idx="180">
                  <c:v>35</c:v>
                </c:pt>
                <c:pt idx="181">
                  <c:v>45</c:v>
                </c:pt>
                <c:pt idx="182">
                  <c:v>45</c:v>
                </c:pt>
                <c:pt idx="183">
                  <c:v>45</c:v>
                </c:pt>
                <c:pt idx="184">
                  <c:v>45</c:v>
                </c:pt>
                <c:pt idx="185">
                  <c:v>45</c:v>
                </c:pt>
                <c:pt idx="186">
                  <c:v>45</c:v>
                </c:pt>
                <c:pt idx="187">
                  <c:v>45</c:v>
                </c:pt>
                <c:pt idx="188">
                  <c:v>45</c:v>
                </c:pt>
                <c:pt idx="189">
                  <c:v>45</c:v>
                </c:pt>
                <c:pt idx="190">
                  <c:v>45</c:v>
                </c:pt>
                <c:pt idx="191">
                  <c:v>45</c:v>
                </c:pt>
                <c:pt idx="192">
                  <c:v>45</c:v>
                </c:pt>
                <c:pt idx="193">
                  <c:v>45</c:v>
                </c:pt>
                <c:pt idx="194">
                  <c:v>45</c:v>
                </c:pt>
                <c:pt idx="195">
                  <c:v>45</c:v>
                </c:pt>
                <c:pt idx="196">
                  <c:v>45</c:v>
                </c:pt>
                <c:pt idx="197">
                  <c:v>45</c:v>
                </c:pt>
                <c:pt idx="198">
                  <c:v>45</c:v>
                </c:pt>
                <c:pt idx="199">
                  <c:v>45</c:v>
                </c:pt>
                <c:pt idx="200">
                  <c:v>45</c:v>
                </c:pt>
                <c:pt idx="201">
                  <c:v>45</c:v>
                </c:pt>
                <c:pt idx="202">
                  <c:v>45</c:v>
                </c:pt>
                <c:pt idx="203">
                  <c:v>45</c:v>
                </c:pt>
                <c:pt idx="204">
                  <c:v>45</c:v>
                </c:pt>
                <c:pt idx="205">
                  <c:v>45</c:v>
                </c:pt>
                <c:pt idx="206">
                  <c:v>45</c:v>
                </c:pt>
                <c:pt idx="207">
                  <c:v>45</c:v>
                </c:pt>
                <c:pt idx="208">
                  <c:v>45</c:v>
                </c:pt>
                <c:pt idx="209">
                  <c:v>45</c:v>
                </c:pt>
                <c:pt idx="210">
                  <c:v>45</c:v>
                </c:pt>
                <c:pt idx="211">
                  <c:v>45</c:v>
                </c:pt>
                <c:pt idx="212">
                  <c:v>45</c:v>
                </c:pt>
                <c:pt idx="213">
                  <c:v>45</c:v>
                </c:pt>
                <c:pt idx="214">
                  <c:v>45</c:v>
                </c:pt>
                <c:pt idx="215">
                  <c:v>45</c:v>
                </c:pt>
                <c:pt idx="216">
                  <c:v>45</c:v>
                </c:pt>
                <c:pt idx="217">
                  <c:v>45</c:v>
                </c:pt>
                <c:pt idx="218">
                  <c:v>45</c:v>
                </c:pt>
                <c:pt idx="219">
                  <c:v>45</c:v>
                </c:pt>
                <c:pt idx="220">
                  <c:v>45</c:v>
                </c:pt>
                <c:pt idx="221">
                  <c:v>45</c:v>
                </c:pt>
                <c:pt idx="222">
                  <c:v>45</c:v>
                </c:pt>
                <c:pt idx="223">
                  <c:v>45</c:v>
                </c:pt>
                <c:pt idx="224">
                  <c:v>45</c:v>
                </c:pt>
                <c:pt idx="225">
                  <c:v>45</c:v>
                </c:pt>
                <c:pt idx="226">
                  <c:v>45</c:v>
                </c:pt>
                <c:pt idx="227">
                  <c:v>45</c:v>
                </c:pt>
                <c:pt idx="228">
                  <c:v>45</c:v>
                </c:pt>
                <c:pt idx="229">
                  <c:v>45</c:v>
                </c:pt>
                <c:pt idx="230">
                  <c:v>45</c:v>
                </c:pt>
                <c:pt idx="231">
                  <c:v>45</c:v>
                </c:pt>
                <c:pt idx="232">
                  <c:v>45</c:v>
                </c:pt>
                <c:pt idx="233">
                  <c:v>45</c:v>
                </c:pt>
                <c:pt idx="234">
                  <c:v>45</c:v>
                </c:pt>
                <c:pt idx="235">
                  <c:v>45</c:v>
                </c:pt>
                <c:pt idx="236">
                  <c:v>45</c:v>
                </c:pt>
                <c:pt idx="237">
                  <c:v>45</c:v>
                </c:pt>
                <c:pt idx="238">
                  <c:v>45</c:v>
                </c:pt>
                <c:pt idx="239">
                  <c:v>45</c:v>
                </c:pt>
                <c:pt idx="240">
                  <c:v>45</c:v>
                </c:pt>
                <c:pt idx="241">
                  <c:v>45</c:v>
                </c:pt>
                <c:pt idx="242">
                  <c:v>45</c:v>
                </c:pt>
                <c:pt idx="243">
                  <c:v>45</c:v>
                </c:pt>
                <c:pt idx="244">
                  <c:v>45</c:v>
                </c:pt>
                <c:pt idx="245">
                  <c:v>45</c:v>
                </c:pt>
                <c:pt idx="246">
                  <c:v>45</c:v>
                </c:pt>
                <c:pt idx="247">
                  <c:v>45</c:v>
                </c:pt>
                <c:pt idx="248">
                  <c:v>45</c:v>
                </c:pt>
                <c:pt idx="249">
                  <c:v>45</c:v>
                </c:pt>
                <c:pt idx="250">
                  <c:v>45</c:v>
                </c:pt>
              </c:numCache>
            </c:numRef>
          </c:val>
          <c:smooth val="0"/>
          <c:extLst>
            <c:ext xmlns:c16="http://schemas.microsoft.com/office/drawing/2014/chart" uri="{C3380CC4-5D6E-409C-BE32-E72D297353CC}">
              <c16:uniqueId val="{00000003-92F0-4FDE-91F5-CCCE6A9BE1BC}"/>
            </c:ext>
          </c:extLst>
        </c:ser>
        <c:ser>
          <c:idx val="1"/>
          <c:order val="2"/>
          <c:tx>
            <c:v>ATR</c:v>
          </c:tx>
          <c:spPr>
            <a:ln>
              <a:solidFill>
                <a:schemeClr val="accent1"/>
              </a:solidFill>
            </a:ln>
          </c:spPr>
          <c:marker>
            <c:symbol val="none"/>
          </c:marker>
          <c:dPt>
            <c:idx val="50"/>
            <c:marker>
              <c:symbol val="circle"/>
              <c:size val="6"/>
              <c:spPr>
                <a:solidFill>
                  <a:schemeClr val="tx1"/>
                </a:solidFill>
                <a:ln>
                  <a:noFill/>
                </a:ln>
              </c:spPr>
            </c:marker>
            <c:bubble3D val="0"/>
            <c:extLst>
              <c:ext xmlns:c16="http://schemas.microsoft.com/office/drawing/2014/chart" uri="{C3380CC4-5D6E-409C-BE32-E72D297353CC}">
                <c16:uniqueId val="{00000004-92F0-4FDE-91F5-CCCE6A9BE1BC}"/>
              </c:ext>
            </c:extLst>
          </c:dPt>
          <c:dPt>
            <c:idx val="150"/>
            <c:marker>
              <c:symbol val="circle"/>
              <c:size val="6"/>
              <c:spPr>
                <a:solidFill>
                  <a:schemeClr val="tx1"/>
                </a:solidFill>
                <a:ln>
                  <a:noFill/>
                </a:ln>
              </c:spPr>
            </c:marker>
            <c:bubble3D val="0"/>
            <c:extLst>
              <c:ext xmlns:c16="http://schemas.microsoft.com/office/drawing/2014/chart" uri="{C3380CC4-5D6E-409C-BE32-E72D297353CC}">
                <c16:uniqueId val="{00000005-92F0-4FDE-91F5-CCCE6A9BE1BC}"/>
              </c:ext>
            </c:extLst>
          </c:dPt>
          <c:cat>
            <c:numRef>
              <c:f>'Personal Income Tax Data'!$B$4:$B$254</c:f>
              <c:numCache>
                <c:formatCode>General</c:formatCode>
                <c:ptCount val="25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pt idx="201">
                  <c:v>201000</c:v>
                </c:pt>
                <c:pt idx="202">
                  <c:v>202000</c:v>
                </c:pt>
                <c:pt idx="203">
                  <c:v>203000</c:v>
                </c:pt>
                <c:pt idx="204">
                  <c:v>204000</c:v>
                </c:pt>
                <c:pt idx="205">
                  <c:v>205000</c:v>
                </c:pt>
                <c:pt idx="206">
                  <c:v>206000</c:v>
                </c:pt>
                <c:pt idx="207">
                  <c:v>207000</c:v>
                </c:pt>
                <c:pt idx="208">
                  <c:v>208000</c:v>
                </c:pt>
                <c:pt idx="209">
                  <c:v>209000</c:v>
                </c:pt>
                <c:pt idx="210">
                  <c:v>210000</c:v>
                </c:pt>
                <c:pt idx="211">
                  <c:v>211000</c:v>
                </c:pt>
                <c:pt idx="212">
                  <c:v>212000</c:v>
                </c:pt>
                <c:pt idx="213">
                  <c:v>213000</c:v>
                </c:pt>
                <c:pt idx="214">
                  <c:v>214000</c:v>
                </c:pt>
                <c:pt idx="215">
                  <c:v>215000</c:v>
                </c:pt>
                <c:pt idx="216">
                  <c:v>216000</c:v>
                </c:pt>
                <c:pt idx="217">
                  <c:v>217000</c:v>
                </c:pt>
                <c:pt idx="218">
                  <c:v>218000</c:v>
                </c:pt>
                <c:pt idx="219">
                  <c:v>219000</c:v>
                </c:pt>
                <c:pt idx="220">
                  <c:v>220000</c:v>
                </c:pt>
                <c:pt idx="221">
                  <c:v>221000</c:v>
                </c:pt>
                <c:pt idx="222">
                  <c:v>222000</c:v>
                </c:pt>
                <c:pt idx="223">
                  <c:v>223000</c:v>
                </c:pt>
                <c:pt idx="224">
                  <c:v>224000</c:v>
                </c:pt>
                <c:pt idx="225">
                  <c:v>225000</c:v>
                </c:pt>
                <c:pt idx="226">
                  <c:v>226000</c:v>
                </c:pt>
                <c:pt idx="227">
                  <c:v>227000</c:v>
                </c:pt>
                <c:pt idx="228">
                  <c:v>228000</c:v>
                </c:pt>
                <c:pt idx="229">
                  <c:v>229000</c:v>
                </c:pt>
                <c:pt idx="230">
                  <c:v>230000</c:v>
                </c:pt>
                <c:pt idx="231">
                  <c:v>231000</c:v>
                </c:pt>
                <c:pt idx="232">
                  <c:v>232000</c:v>
                </c:pt>
                <c:pt idx="233">
                  <c:v>233000</c:v>
                </c:pt>
                <c:pt idx="234">
                  <c:v>234000</c:v>
                </c:pt>
                <c:pt idx="235">
                  <c:v>235000</c:v>
                </c:pt>
                <c:pt idx="236">
                  <c:v>236000</c:v>
                </c:pt>
                <c:pt idx="237">
                  <c:v>237000</c:v>
                </c:pt>
                <c:pt idx="238">
                  <c:v>238000</c:v>
                </c:pt>
                <c:pt idx="239">
                  <c:v>239000</c:v>
                </c:pt>
                <c:pt idx="240">
                  <c:v>240000</c:v>
                </c:pt>
                <c:pt idx="241">
                  <c:v>241000</c:v>
                </c:pt>
                <c:pt idx="242">
                  <c:v>242000</c:v>
                </c:pt>
                <c:pt idx="243">
                  <c:v>243000</c:v>
                </c:pt>
                <c:pt idx="244">
                  <c:v>244000</c:v>
                </c:pt>
                <c:pt idx="245">
                  <c:v>245000</c:v>
                </c:pt>
                <c:pt idx="246">
                  <c:v>246000</c:v>
                </c:pt>
                <c:pt idx="247">
                  <c:v>247000</c:v>
                </c:pt>
                <c:pt idx="248">
                  <c:v>248000</c:v>
                </c:pt>
                <c:pt idx="249">
                  <c:v>249000</c:v>
                </c:pt>
                <c:pt idx="250">
                  <c:v>250000</c:v>
                </c:pt>
              </c:numCache>
            </c:numRef>
          </c:cat>
          <c:val>
            <c:numRef>
              <c:f>'Personal Income Tax Data'!$I$4:$I$254</c:f>
              <c:numCache>
                <c:formatCode>0.00</c:formatCode>
                <c:ptCount val="2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1.34615384615385</c:v>
                </c:pt>
                <c:pt idx="27">
                  <c:v>2.5925925925925899</c:v>
                </c:pt>
                <c:pt idx="28">
                  <c:v>3.75</c:v>
                </c:pt>
                <c:pt idx="29">
                  <c:v>4.8275862068965498</c:v>
                </c:pt>
                <c:pt idx="30">
                  <c:v>5.8333333333333304</c:v>
                </c:pt>
                <c:pt idx="31">
                  <c:v>6.7741935483871005</c:v>
                </c:pt>
                <c:pt idx="32">
                  <c:v>7.6562500000000009</c:v>
                </c:pt>
                <c:pt idx="33">
                  <c:v>8.4848484848484897</c:v>
                </c:pt>
                <c:pt idx="34">
                  <c:v>9.2647058823529402</c:v>
                </c:pt>
                <c:pt idx="35">
                  <c:v>10</c:v>
                </c:pt>
                <c:pt idx="36">
                  <c:v>10.6944444444444</c:v>
                </c:pt>
                <c:pt idx="37">
                  <c:v>11.351351351351401</c:v>
                </c:pt>
                <c:pt idx="38">
                  <c:v>11.973684210526301</c:v>
                </c:pt>
                <c:pt idx="39">
                  <c:v>12.564102564102599</c:v>
                </c:pt>
                <c:pt idx="40">
                  <c:v>13.125</c:v>
                </c:pt>
                <c:pt idx="41">
                  <c:v>13.6585365853659</c:v>
                </c:pt>
                <c:pt idx="42">
                  <c:v>14.1666666666667</c:v>
                </c:pt>
                <c:pt idx="43">
                  <c:v>14.6511627906977</c:v>
                </c:pt>
                <c:pt idx="44">
                  <c:v>15.113636363636401</c:v>
                </c:pt>
                <c:pt idx="45">
                  <c:v>15.5555555555556</c:v>
                </c:pt>
                <c:pt idx="46">
                  <c:v>15.978260869565201</c:v>
                </c:pt>
                <c:pt idx="47">
                  <c:v>16.3829787234043</c:v>
                </c:pt>
                <c:pt idx="48">
                  <c:v>16.7708333333333</c:v>
                </c:pt>
                <c:pt idx="49">
                  <c:v>17.1428571428571</c:v>
                </c:pt>
                <c:pt idx="50">
                  <c:v>17.5</c:v>
                </c:pt>
                <c:pt idx="51">
                  <c:v>17.843137254902</c:v>
                </c:pt>
                <c:pt idx="52">
                  <c:v>18.173076923076898</c:v>
                </c:pt>
                <c:pt idx="53">
                  <c:v>18.4905660377358</c:v>
                </c:pt>
                <c:pt idx="54">
                  <c:v>18.796296296296301</c:v>
                </c:pt>
                <c:pt idx="55">
                  <c:v>19.090909090909101</c:v>
                </c:pt>
                <c:pt idx="56">
                  <c:v>19.375</c:v>
                </c:pt>
                <c:pt idx="57">
                  <c:v>19.649122807017498</c:v>
                </c:pt>
                <c:pt idx="58">
                  <c:v>19.913793103448299</c:v>
                </c:pt>
                <c:pt idx="59">
                  <c:v>20.169491525423698</c:v>
                </c:pt>
                <c:pt idx="60">
                  <c:v>20.4166666666667</c:v>
                </c:pt>
                <c:pt idx="61">
                  <c:v>20.655737704918</c:v>
                </c:pt>
                <c:pt idx="62">
                  <c:v>20.887096774193502</c:v>
                </c:pt>
                <c:pt idx="63">
                  <c:v>21.1111111111111</c:v>
                </c:pt>
                <c:pt idx="64">
                  <c:v>21.328125</c:v>
                </c:pt>
                <c:pt idx="65">
                  <c:v>21.538461538461501</c:v>
                </c:pt>
                <c:pt idx="66">
                  <c:v>21.7424242424242</c:v>
                </c:pt>
                <c:pt idx="67">
                  <c:v>21.9402985074627</c:v>
                </c:pt>
                <c:pt idx="68">
                  <c:v>22.132352941176499</c:v>
                </c:pt>
                <c:pt idx="69">
                  <c:v>22.318840579710102</c:v>
                </c:pt>
                <c:pt idx="70">
                  <c:v>22.5</c:v>
                </c:pt>
                <c:pt idx="71">
                  <c:v>22.6760563380282</c:v>
                </c:pt>
                <c:pt idx="72">
                  <c:v>22.8472222222222</c:v>
                </c:pt>
                <c:pt idx="73">
                  <c:v>23.013698630137</c:v>
                </c:pt>
                <c:pt idx="74">
                  <c:v>23.175675675675699</c:v>
                </c:pt>
                <c:pt idx="75">
                  <c:v>23.3333333333333</c:v>
                </c:pt>
                <c:pt idx="76">
                  <c:v>23.4868421052632</c:v>
                </c:pt>
                <c:pt idx="77">
                  <c:v>23.636363636363601</c:v>
                </c:pt>
                <c:pt idx="78">
                  <c:v>23.782051282051299</c:v>
                </c:pt>
                <c:pt idx="79">
                  <c:v>23.924050632911399</c:v>
                </c:pt>
                <c:pt idx="80">
                  <c:v>24.0625</c:v>
                </c:pt>
                <c:pt idx="81">
                  <c:v>24.1975308641975</c:v>
                </c:pt>
                <c:pt idx="82">
                  <c:v>24.329268292682901</c:v>
                </c:pt>
                <c:pt idx="83">
                  <c:v>24.4578313253012</c:v>
                </c:pt>
                <c:pt idx="84">
                  <c:v>24.5833333333333</c:v>
                </c:pt>
                <c:pt idx="85">
                  <c:v>24.705882352941199</c:v>
                </c:pt>
                <c:pt idx="86">
                  <c:v>24.825581395348799</c:v>
                </c:pt>
                <c:pt idx="87">
                  <c:v>24.942528735632198</c:v>
                </c:pt>
                <c:pt idx="88">
                  <c:v>25.056818181818201</c:v>
                </c:pt>
                <c:pt idx="89">
                  <c:v>25.168539325842698</c:v>
                </c:pt>
                <c:pt idx="90">
                  <c:v>25.2777777777778</c:v>
                </c:pt>
                <c:pt idx="91">
                  <c:v>25.384615384615401</c:v>
                </c:pt>
                <c:pt idx="92">
                  <c:v>25.489130434782599</c:v>
                </c:pt>
                <c:pt idx="93">
                  <c:v>25.5913978494624</c:v>
                </c:pt>
                <c:pt idx="94">
                  <c:v>25.691489361702104</c:v>
                </c:pt>
                <c:pt idx="95">
                  <c:v>25.789473684210503</c:v>
                </c:pt>
                <c:pt idx="96">
                  <c:v>25.8854166666667</c:v>
                </c:pt>
                <c:pt idx="97">
                  <c:v>25.979381443298998</c:v>
                </c:pt>
                <c:pt idx="98">
                  <c:v>26.071428571428601</c:v>
                </c:pt>
                <c:pt idx="99">
                  <c:v>26.161616161616202</c:v>
                </c:pt>
                <c:pt idx="100">
                  <c:v>26.25</c:v>
                </c:pt>
                <c:pt idx="101">
                  <c:v>26.3366336633663</c:v>
                </c:pt>
                <c:pt idx="102">
                  <c:v>26.421568627450998</c:v>
                </c:pt>
                <c:pt idx="103">
                  <c:v>26.504854368932001</c:v>
                </c:pt>
                <c:pt idx="104">
                  <c:v>26.586538461538499</c:v>
                </c:pt>
                <c:pt idx="105">
                  <c:v>26.6666666666667</c:v>
                </c:pt>
                <c:pt idx="106">
                  <c:v>26.745283018867898</c:v>
                </c:pt>
                <c:pt idx="107">
                  <c:v>26.822429906542101</c:v>
                </c:pt>
                <c:pt idx="108">
                  <c:v>26.898148148148099</c:v>
                </c:pt>
                <c:pt idx="109">
                  <c:v>26.9724770642202</c:v>
                </c:pt>
                <c:pt idx="110">
                  <c:v>27.045454545454501</c:v>
                </c:pt>
                <c:pt idx="111">
                  <c:v>27.1171171171171</c:v>
                </c:pt>
                <c:pt idx="112">
                  <c:v>27.187499999999996</c:v>
                </c:pt>
                <c:pt idx="113">
                  <c:v>27.256637168141602</c:v>
                </c:pt>
                <c:pt idx="114">
                  <c:v>27.324561403508802</c:v>
                </c:pt>
                <c:pt idx="115">
                  <c:v>27.3913043478261</c:v>
                </c:pt>
                <c:pt idx="116">
                  <c:v>27.456896551724103</c:v>
                </c:pt>
                <c:pt idx="117">
                  <c:v>27.521367521367502</c:v>
                </c:pt>
                <c:pt idx="118">
                  <c:v>27.584745762711897</c:v>
                </c:pt>
                <c:pt idx="119">
                  <c:v>27.647058823529402</c:v>
                </c:pt>
                <c:pt idx="120">
                  <c:v>27.7083333333333</c:v>
                </c:pt>
                <c:pt idx="121">
                  <c:v>27.768595041322303</c:v>
                </c:pt>
                <c:pt idx="122">
                  <c:v>27.827868852458998</c:v>
                </c:pt>
                <c:pt idx="123">
                  <c:v>27.886178861788601</c:v>
                </c:pt>
                <c:pt idx="124">
                  <c:v>27.943548387096801</c:v>
                </c:pt>
                <c:pt idx="125">
                  <c:v>28.000000000000004</c:v>
                </c:pt>
                <c:pt idx="126">
                  <c:v>28.0555555555556</c:v>
                </c:pt>
                <c:pt idx="127">
                  <c:v>28.110236220472402</c:v>
                </c:pt>
                <c:pt idx="128">
                  <c:v>28.164062499999996</c:v>
                </c:pt>
                <c:pt idx="129">
                  <c:v>28.217054263565899</c:v>
                </c:pt>
                <c:pt idx="130">
                  <c:v>28.269230769230802</c:v>
                </c:pt>
                <c:pt idx="131">
                  <c:v>28.320610687022903</c:v>
                </c:pt>
                <c:pt idx="132">
                  <c:v>28.371212121212103</c:v>
                </c:pt>
                <c:pt idx="133">
                  <c:v>28.421052631578902</c:v>
                </c:pt>
                <c:pt idx="134">
                  <c:v>28.470149253731297</c:v>
                </c:pt>
                <c:pt idx="135">
                  <c:v>28.518518518518498</c:v>
                </c:pt>
                <c:pt idx="136">
                  <c:v>28.5661764705882</c:v>
                </c:pt>
                <c:pt idx="137">
                  <c:v>28.6131386861314</c:v>
                </c:pt>
                <c:pt idx="138">
                  <c:v>28.659420289855099</c:v>
                </c:pt>
                <c:pt idx="139">
                  <c:v>28.705035971222998</c:v>
                </c:pt>
                <c:pt idx="140">
                  <c:v>28.749999999999996</c:v>
                </c:pt>
                <c:pt idx="141">
                  <c:v>28.794326241134797</c:v>
                </c:pt>
                <c:pt idx="142">
                  <c:v>28.838028169014102</c:v>
                </c:pt>
                <c:pt idx="143">
                  <c:v>28.881118881118901</c:v>
                </c:pt>
                <c:pt idx="144">
                  <c:v>28.923611111111104</c:v>
                </c:pt>
                <c:pt idx="145">
                  <c:v>28.965517241379303</c:v>
                </c:pt>
                <c:pt idx="146">
                  <c:v>29.0068493150685</c:v>
                </c:pt>
                <c:pt idx="147">
                  <c:v>29.047619047619001</c:v>
                </c:pt>
                <c:pt idx="148">
                  <c:v>29.0878378378378</c:v>
                </c:pt>
                <c:pt idx="149">
                  <c:v>29.1275167785235</c:v>
                </c:pt>
                <c:pt idx="150">
                  <c:v>29.166666666666703</c:v>
                </c:pt>
                <c:pt idx="151">
                  <c:v>29.205298013245002</c:v>
                </c:pt>
                <c:pt idx="152">
                  <c:v>29.243421052631604</c:v>
                </c:pt>
                <c:pt idx="153">
                  <c:v>29.281045751634</c:v>
                </c:pt>
                <c:pt idx="154">
                  <c:v>29.318181818181799</c:v>
                </c:pt>
                <c:pt idx="155">
                  <c:v>29.354838709677399</c:v>
                </c:pt>
                <c:pt idx="156">
                  <c:v>29.391025641025596</c:v>
                </c:pt>
                <c:pt idx="157">
                  <c:v>29.426751592356698</c:v>
                </c:pt>
                <c:pt idx="158">
                  <c:v>29.462025316455698</c:v>
                </c:pt>
                <c:pt idx="159">
                  <c:v>29.4968553459119</c:v>
                </c:pt>
                <c:pt idx="160">
                  <c:v>29.531249999999996</c:v>
                </c:pt>
                <c:pt idx="161">
                  <c:v>29.565217391304298</c:v>
                </c:pt>
                <c:pt idx="162">
                  <c:v>29.598765432098801</c:v>
                </c:pt>
                <c:pt idx="163">
                  <c:v>29.631901840490798</c:v>
                </c:pt>
                <c:pt idx="164">
                  <c:v>29.664634146341502</c:v>
                </c:pt>
                <c:pt idx="165">
                  <c:v>29.696969696969699</c:v>
                </c:pt>
                <c:pt idx="166">
                  <c:v>29.7289156626506</c:v>
                </c:pt>
                <c:pt idx="167">
                  <c:v>29.760479041916199</c:v>
                </c:pt>
                <c:pt idx="168">
                  <c:v>29.7916666666667</c:v>
                </c:pt>
                <c:pt idx="169">
                  <c:v>29.822485207100602</c:v>
                </c:pt>
                <c:pt idx="170">
                  <c:v>29.852941176470598</c:v>
                </c:pt>
                <c:pt idx="171">
                  <c:v>29.883040935672501</c:v>
                </c:pt>
                <c:pt idx="172">
                  <c:v>29.912790697674403</c:v>
                </c:pt>
                <c:pt idx="173">
                  <c:v>29.942196531791897</c:v>
                </c:pt>
                <c:pt idx="174">
                  <c:v>29.971264367816097</c:v>
                </c:pt>
                <c:pt idx="175">
                  <c:v>30</c:v>
                </c:pt>
                <c:pt idx="176">
                  <c:v>30.028409090909097</c:v>
                </c:pt>
                <c:pt idx="177">
                  <c:v>30.0564971751412</c:v>
                </c:pt>
                <c:pt idx="178">
                  <c:v>30.084269662921297</c:v>
                </c:pt>
                <c:pt idx="179">
                  <c:v>30.111731843575402</c:v>
                </c:pt>
                <c:pt idx="180">
                  <c:v>30.1388888888889</c:v>
                </c:pt>
                <c:pt idx="181">
                  <c:v>30.220994475138102</c:v>
                </c:pt>
                <c:pt idx="182">
                  <c:v>30.302197802197799</c:v>
                </c:pt>
                <c:pt idx="183">
                  <c:v>30.3825136612022</c:v>
                </c:pt>
                <c:pt idx="184">
                  <c:v>30.461956521739097</c:v>
                </c:pt>
                <c:pt idx="185">
                  <c:v>30.540540540540501</c:v>
                </c:pt>
                <c:pt idx="186">
                  <c:v>30.618279569892497</c:v>
                </c:pt>
                <c:pt idx="187">
                  <c:v>30.695187165775401</c:v>
                </c:pt>
                <c:pt idx="188">
                  <c:v>30.771276595744702</c:v>
                </c:pt>
                <c:pt idx="189">
                  <c:v>30.846560846560799</c:v>
                </c:pt>
                <c:pt idx="190">
                  <c:v>30.921052631578899</c:v>
                </c:pt>
                <c:pt idx="191">
                  <c:v>30.994764397905801</c:v>
                </c:pt>
                <c:pt idx="192">
                  <c:v>31.0677083333333</c:v>
                </c:pt>
                <c:pt idx="193">
                  <c:v>31.139896373057002</c:v>
                </c:pt>
                <c:pt idx="194">
                  <c:v>31.2113402061856</c:v>
                </c:pt>
                <c:pt idx="195">
                  <c:v>31.282051282051299</c:v>
                </c:pt>
                <c:pt idx="196">
                  <c:v>31.3520408163265</c:v>
                </c:pt>
                <c:pt idx="197">
                  <c:v>31.4213197969543</c:v>
                </c:pt>
                <c:pt idx="198">
                  <c:v>31.489898989899</c:v>
                </c:pt>
                <c:pt idx="199">
                  <c:v>31.557788944723601</c:v>
                </c:pt>
                <c:pt idx="200">
                  <c:v>31.624999999999996</c:v>
                </c:pt>
                <c:pt idx="201">
                  <c:v>31.691542288557201</c:v>
                </c:pt>
                <c:pt idx="202">
                  <c:v>31.757425742574302</c:v>
                </c:pt>
                <c:pt idx="203">
                  <c:v>31.822660098522199</c:v>
                </c:pt>
                <c:pt idx="204">
                  <c:v>31.887254901960798</c:v>
                </c:pt>
                <c:pt idx="205">
                  <c:v>31.951219512195099</c:v>
                </c:pt>
                <c:pt idx="206">
                  <c:v>32.014563106796103</c:v>
                </c:pt>
                <c:pt idx="207">
                  <c:v>32.077294685990296</c:v>
                </c:pt>
                <c:pt idx="208">
                  <c:v>32.139423076923102</c:v>
                </c:pt>
                <c:pt idx="209">
                  <c:v>32.200956937798999</c:v>
                </c:pt>
                <c:pt idx="210">
                  <c:v>32.261904761904802</c:v>
                </c:pt>
                <c:pt idx="211">
                  <c:v>32.322274881516599</c:v>
                </c:pt>
                <c:pt idx="212">
                  <c:v>32.382075471698101</c:v>
                </c:pt>
                <c:pt idx="213">
                  <c:v>32.441314553990601</c:v>
                </c:pt>
                <c:pt idx="214">
                  <c:v>32.5</c:v>
                </c:pt>
                <c:pt idx="215">
                  <c:v>32.558139534883701</c:v>
                </c:pt>
                <c:pt idx="216">
                  <c:v>32.615740740740698</c:v>
                </c:pt>
                <c:pt idx="217">
                  <c:v>32.672811059907801</c:v>
                </c:pt>
                <c:pt idx="218">
                  <c:v>32.729357798165097</c:v>
                </c:pt>
                <c:pt idx="219">
                  <c:v>32.785388127853899</c:v>
                </c:pt>
                <c:pt idx="220">
                  <c:v>32.840909090909101</c:v>
                </c:pt>
                <c:pt idx="221">
                  <c:v>32.895927601810001</c:v>
                </c:pt>
                <c:pt idx="222">
                  <c:v>32.950450450450504</c:v>
                </c:pt>
                <c:pt idx="223">
                  <c:v>33.004484304932703</c:v>
                </c:pt>
                <c:pt idx="224">
                  <c:v>33.058035714285701</c:v>
                </c:pt>
                <c:pt idx="225">
                  <c:v>33.1111111111111</c:v>
                </c:pt>
                <c:pt idx="226">
                  <c:v>33.163716814159301</c:v>
                </c:pt>
                <c:pt idx="227">
                  <c:v>33.215859030837002</c:v>
                </c:pt>
                <c:pt idx="228">
                  <c:v>33.267543859649102</c:v>
                </c:pt>
                <c:pt idx="229">
                  <c:v>33.318777292576399</c:v>
                </c:pt>
                <c:pt idx="230">
                  <c:v>33.369565217391298</c:v>
                </c:pt>
                <c:pt idx="231">
                  <c:v>33.419913419913399</c:v>
                </c:pt>
                <c:pt idx="232">
                  <c:v>33.469827586206904</c:v>
                </c:pt>
                <c:pt idx="233">
                  <c:v>33.519313304720995</c:v>
                </c:pt>
                <c:pt idx="234">
                  <c:v>33.568376068376097</c:v>
                </c:pt>
                <c:pt idx="235">
                  <c:v>33.6170212765957</c:v>
                </c:pt>
                <c:pt idx="236">
                  <c:v>33.665254237288103</c:v>
                </c:pt>
                <c:pt idx="237">
                  <c:v>33.713080168776401</c:v>
                </c:pt>
                <c:pt idx="238">
                  <c:v>33.760504201680703</c:v>
                </c:pt>
                <c:pt idx="239">
                  <c:v>33.807531380753097</c:v>
                </c:pt>
                <c:pt idx="240">
                  <c:v>33.8541666666667</c:v>
                </c:pt>
                <c:pt idx="241">
                  <c:v>33.900414937759301</c:v>
                </c:pt>
                <c:pt idx="242">
                  <c:v>33.946280991735499</c:v>
                </c:pt>
                <c:pt idx="243">
                  <c:v>33.991769547325099</c:v>
                </c:pt>
                <c:pt idx="244">
                  <c:v>34.036885245901601</c:v>
                </c:pt>
                <c:pt idx="245">
                  <c:v>34.081632653061199</c:v>
                </c:pt>
                <c:pt idx="246">
                  <c:v>34.126016260162601</c:v>
                </c:pt>
                <c:pt idx="247">
                  <c:v>34.17004048583</c:v>
                </c:pt>
                <c:pt idx="248">
                  <c:v>34.213709677419402</c:v>
                </c:pt>
                <c:pt idx="249">
                  <c:v>34.257028112449802</c:v>
                </c:pt>
                <c:pt idx="250">
                  <c:v>34.300000000000004</c:v>
                </c:pt>
              </c:numCache>
            </c:numRef>
          </c:val>
          <c:smooth val="0"/>
          <c:extLst>
            <c:ext xmlns:c16="http://schemas.microsoft.com/office/drawing/2014/chart" uri="{C3380CC4-5D6E-409C-BE32-E72D297353CC}">
              <c16:uniqueId val="{00000006-92F0-4FDE-91F5-CCCE6A9BE1BC}"/>
            </c:ext>
          </c:extLst>
        </c:ser>
        <c:dLbls>
          <c:showLegendKey val="0"/>
          <c:showVal val="0"/>
          <c:showCatName val="0"/>
          <c:showSerName val="0"/>
          <c:showPercent val="0"/>
          <c:showBubbleSize val="0"/>
        </c:dLbls>
        <c:marker val="1"/>
        <c:smooth val="0"/>
        <c:axId val="469394560"/>
        <c:axId val="469396480"/>
      </c:lineChart>
      <c:lineChart>
        <c:grouping val="standard"/>
        <c:varyColors val="0"/>
        <c:ser>
          <c:idx val="2"/>
          <c:order val="0"/>
          <c:tx>
            <c:v>tax paid</c:v>
          </c:tx>
          <c:spPr>
            <a:ln>
              <a:solidFill>
                <a:schemeClr val="bg1">
                  <a:lumMod val="65000"/>
                </a:schemeClr>
              </a:solidFill>
              <a:prstDash val="sysDash"/>
            </a:ln>
          </c:spPr>
          <c:marker>
            <c:symbol val="none"/>
          </c:marker>
          <c:cat>
            <c:numRef>
              <c:f>'Personal Income Tax Data'!$B$4:$B$254</c:f>
              <c:numCache>
                <c:formatCode>General</c:formatCode>
                <c:ptCount val="25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pt idx="201">
                  <c:v>201000</c:v>
                </c:pt>
                <c:pt idx="202">
                  <c:v>202000</c:v>
                </c:pt>
                <c:pt idx="203">
                  <c:v>203000</c:v>
                </c:pt>
                <c:pt idx="204">
                  <c:v>204000</c:v>
                </c:pt>
                <c:pt idx="205">
                  <c:v>205000</c:v>
                </c:pt>
                <c:pt idx="206">
                  <c:v>206000</c:v>
                </c:pt>
                <c:pt idx="207">
                  <c:v>207000</c:v>
                </c:pt>
                <c:pt idx="208">
                  <c:v>208000</c:v>
                </c:pt>
                <c:pt idx="209">
                  <c:v>209000</c:v>
                </c:pt>
                <c:pt idx="210">
                  <c:v>210000</c:v>
                </c:pt>
                <c:pt idx="211">
                  <c:v>211000</c:v>
                </c:pt>
                <c:pt idx="212">
                  <c:v>212000</c:v>
                </c:pt>
                <c:pt idx="213">
                  <c:v>213000</c:v>
                </c:pt>
                <c:pt idx="214">
                  <c:v>214000</c:v>
                </c:pt>
                <c:pt idx="215">
                  <c:v>215000</c:v>
                </c:pt>
                <c:pt idx="216">
                  <c:v>216000</c:v>
                </c:pt>
                <c:pt idx="217">
                  <c:v>217000</c:v>
                </c:pt>
                <c:pt idx="218">
                  <c:v>218000</c:v>
                </c:pt>
                <c:pt idx="219">
                  <c:v>219000</c:v>
                </c:pt>
                <c:pt idx="220">
                  <c:v>220000</c:v>
                </c:pt>
                <c:pt idx="221">
                  <c:v>221000</c:v>
                </c:pt>
                <c:pt idx="222">
                  <c:v>222000</c:v>
                </c:pt>
                <c:pt idx="223">
                  <c:v>223000</c:v>
                </c:pt>
                <c:pt idx="224">
                  <c:v>224000</c:v>
                </c:pt>
                <c:pt idx="225">
                  <c:v>225000</c:v>
                </c:pt>
                <c:pt idx="226">
                  <c:v>226000</c:v>
                </c:pt>
                <c:pt idx="227">
                  <c:v>227000</c:v>
                </c:pt>
                <c:pt idx="228">
                  <c:v>228000</c:v>
                </c:pt>
                <c:pt idx="229">
                  <c:v>229000</c:v>
                </c:pt>
                <c:pt idx="230">
                  <c:v>230000</c:v>
                </c:pt>
                <c:pt idx="231">
                  <c:v>231000</c:v>
                </c:pt>
                <c:pt idx="232">
                  <c:v>232000</c:v>
                </c:pt>
                <c:pt idx="233">
                  <c:v>233000</c:v>
                </c:pt>
                <c:pt idx="234">
                  <c:v>234000</c:v>
                </c:pt>
                <c:pt idx="235">
                  <c:v>235000</c:v>
                </c:pt>
                <c:pt idx="236">
                  <c:v>236000</c:v>
                </c:pt>
                <c:pt idx="237">
                  <c:v>237000</c:v>
                </c:pt>
                <c:pt idx="238">
                  <c:v>238000</c:v>
                </c:pt>
                <c:pt idx="239">
                  <c:v>239000</c:v>
                </c:pt>
                <c:pt idx="240">
                  <c:v>240000</c:v>
                </c:pt>
                <c:pt idx="241">
                  <c:v>241000</c:v>
                </c:pt>
                <c:pt idx="242">
                  <c:v>242000</c:v>
                </c:pt>
                <c:pt idx="243">
                  <c:v>243000</c:v>
                </c:pt>
                <c:pt idx="244">
                  <c:v>244000</c:v>
                </c:pt>
                <c:pt idx="245">
                  <c:v>245000</c:v>
                </c:pt>
                <c:pt idx="246">
                  <c:v>246000</c:v>
                </c:pt>
                <c:pt idx="247">
                  <c:v>247000</c:v>
                </c:pt>
                <c:pt idx="248">
                  <c:v>248000</c:v>
                </c:pt>
                <c:pt idx="249">
                  <c:v>249000</c:v>
                </c:pt>
                <c:pt idx="250">
                  <c:v>250000</c:v>
                </c:pt>
              </c:numCache>
            </c:numRef>
          </c:cat>
          <c:val>
            <c:numRef>
              <c:f>'Personal Income Tax Data'!$K$4:$K$254</c:f>
              <c:numCache>
                <c:formatCode>0.00</c:formatCode>
                <c:ptCount val="2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350</c:v>
                </c:pt>
                <c:pt idx="27">
                  <c:v>700</c:v>
                </c:pt>
                <c:pt idx="28">
                  <c:v>1050</c:v>
                </c:pt>
                <c:pt idx="29">
                  <c:v>1400</c:v>
                </c:pt>
                <c:pt idx="30">
                  <c:v>1750</c:v>
                </c:pt>
                <c:pt idx="31">
                  <c:v>2100</c:v>
                </c:pt>
                <c:pt idx="32">
                  <c:v>2450</c:v>
                </c:pt>
                <c:pt idx="33">
                  <c:v>2800</c:v>
                </c:pt>
                <c:pt idx="34">
                  <c:v>3150</c:v>
                </c:pt>
                <c:pt idx="35">
                  <c:v>3500</c:v>
                </c:pt>
                <c:pt idx="36">
                  <c:v>3850</c:v>
                </c:pt>
                <c:pt idx="37">
                  <c:v>4200</c:v>
                </c:pt>
                <c:pt idx="38">
                  <c:v>4550</c:v>
                </c:pt>
                <c:pt idx="39">
                  <c:v>4900</c:v>
                </c:pt>
                <c:pt idx="40">
                  <c:v>5250</c:v>
                </c:pt>
                <c:pt idx="41">
                  <c:v>5600</c:v>
                </c:pt>
                <c:pt idx="42">
                  <c:v>5950</c:v>
                </c:pt>
                <c:pt idx="43">
                  <c:v>6300</c:v>
                </c:pt>
                <c:pt idx="44">
                  <c:v>6650</c:v>
                </c:pt>
                <c:pt idx="45">
                  <c:v>7000</c:v>
                </c:pt>
                <c:pt idx="46">
                  <c:v>7350</c:v>
                </c:pt>
                <c:pt idx="47">
                  <c:v>7700</c:v>
                </c:pt>
                <c:pt idx="48">
                  <c:v>8050</c:v>
                </c:pt>
                <c:pt idx="49">
                  <c:v>8400</c:v>
                </c:pt>
                <c:pt idx="50">
                  <c:v>8750</c:v>
                </c:pt>
                <c:pt idx="51">
                  <c:v>9100</c:v>
                </c:pt>
                <c:pt idx="52">
                  <c:v>9450</c:v>
                </c:pt>
                <c:pt idx="53">
                  <c:v>9800</c:v>
                </c:pt>
                <c:pt idx="54">
                  <c:v>10150</c:v>
                </c:pt>
                <c:pt idx="55">
                  <c:v>10500</c:v>
                </c:pt>
                <c:pt idx="56">
                  <c:v>10850</c:v>
                </c:pt>
                <c:pt idx="57">
                  <c:v>11200</c:v>
                </c:pt>
                <c:pt idx="58">
                  <c:v>11550</c:v>
                </c:pt>
                <c:pt idx="59">
                  <c:v>11900</c:v>
                </c:pt>
                <c:pt idx="60">
                  <c:v>12250</c:v>
                </c:pt>
                <c:pt idx="61">
                  <c:v>12600</c:v>
                </c:pt>
                <c:pt idx="62">
                  <c:v>12950</c:v>
                </c:pt>
                <c:pt idx="63">
                  <c:v>13300</c:v>
                </c:pt>
                <c:pt idx="64">
                  <c:v>13650</c:v>
                </c:pt>
                <c:pt idx="65">
                  <c:v>14000</c:v>
                </c:pt>
                <c:pt idx="66">
                  <c:v>14350</c:v>
                </c:pt>
                <c:pt idx="67">
                  <c:v>14700</c:v>
                </c:pt>
                <c:pt idx="68">
                  <c:v>15050</c:v>
                </c:pt>
                <c:pt idx="69">
                  <c:v>15400</c:v>
                </c:pt>
                <c:pt idx="70">
                  <c:v>15750</c:v>
                </c:pt>
                <c:pt idx="71">
                  <c:v>16100</c:v>
                </c:pt>
                <c:pt idx="72">
                  <c:v>16450</c:v>
                </c:pt>
                <c:pt idx="73">
                  <c:v>16800</c:v>
                </c:pt>
                <c:pt idx="74">
                  <c:v>17150</c:v>
                </c:pt>
                <c:pt idx="75">
                  <c:v>17500</c:v>
                </c:pt>
                <c:pt idx="76">
                  <c:v>17850</c:v>
                </c:pt>
                <c:pt idx="77">
                  <c:v>18200</c:v>
                </c:pt>
                <c:pt idx="78">
                  <c:v>18550</c:v>
                </c:pt>
                <c:pt idx="79">
                  <c:v>18900</c:v>
                </c:pt>
                <c:pt idx="80">
                  <c:v>19250</c:v>
                </c:pt>
                <c:pt idx="81">
                  <c:v>19600</c:v>
                </c:pt>
                <c:pt idx="82">
                  <c:v>19950</c:v>
                </c:pt>
                <c:pt idx="83">
                  <c:v>20300</c:v>
                </c:pt>
                <c:pt idx="84">
                  <c:v>20650</c:v>
                </c:pt>
                <c:pt idx="85">
                  <c:v>21000</c:v>
                </c:pt>
                <c:pt idx="86">
                  <c:v>21350</c:v>
                </c:pt>
                <c:pt idx="87">
                  <c:v>21700</c:v>
                </c:pt>
                <c:pt idx="88">
                  <c:v>22050</c:v>
                </c:pt>
                <c:pt idx="89">
                  <c:v>22400</c:v>
                </c:pt>
                <c:pt idx="90">
                  <c:v>22750</c:v>
                </c:pt>
                <c:pt idx="91">
                  <c:v>23100</c:v>
                </c:pt>
                <c:pt idx="92">
                  <c:v>23450</c:v>
                </c:pt>
                <c:pt idx="93">
                  <c:v>23800</c:v>
                </c:pt>
                <c:pt idx="94">
                  <c:v>24150</c:v>
                </c:pt>
                <c:pt idx="95">
                  <c:v>24500</c:v>
                </c:pt>
                <c:pt idx="96">
                  <c:v>24850</c:v>
                </c:pt>
                <c:pt idx="97">
                  <c:v>25200</c:v>
                </c:pt>
                <c:pt idx="98">
                  <c:v>25550</c:v>
                </c:pt>
                <c:pt idx="99">
                  <c:v>25900</c:v>
                </c:pt>
                <c:pt idx="100">
                  <c:v>26250</c:v>
                </c:pt>
                <c:pt idx="101">
                  <c:v>26600</c:v>
                </c:pt>
                <c:pt idx="102">
                  <c:v>26950</c:v>
                </c:pt>
                <c:pt idx="103">
                  <c:v>27300</c:v>
                </c:pt>
                <c:pt idx="104">
                  <c:v>27650</c:v>
                </c:pt>
                <c:pt idx="105">
                  <c:v>28000</c:v>
                </c:pt>
                <c:pt idx="106">
                  <c:v>28350</c:v>
                </c:pt>
                <c:pt idx="107">
                  <c:v>28700</c:v>
                </c:pt>
                <c:pt idx="108">
                  <c:v>29050</c:v>
                </c:pt>
                <c:pt idx="109">
                  <c:v>29400</c:v>
                </c:pt>
                <c:pt idx="110">
                  <c:v>29750</c:v>
                </c:pt>
                <c:pt idx="111">
                  <c:v>30100</c:v>
                </c:pt>
                <c:pt idx="112">
                  <c:v>30450</c:v>
                </c:pt>
                <c:pt idx="113">
                  <c:v>30800</c:v>
                </c:pt>
                <c:pt idx="114">
                  <c:v>31150</c:v>
                </c:pt>
                <c:pt idx="115">
                  <c:v>31500</c:v>
                </c:pt>
                <c:pt idx="116">
                  <c:v>31850</c:v>
                </c:pt>
                <c:pt idx="117">
                  <c:v>32200</c:v>
                </c:pt>
                <c:pt idx="118">
                  <c:v>32550</c:v>
                </c:pt>
                <c:pt idx="119">
                  <c:v>32900</c:v>
                </c:pt>
                <c:pt idx="120">
                  <c:v>33250</c:v>
                </c:pt>
                <c:pt idx="121">
                  <c:v>33600</c:v>
                </c:pt>
                <c:pt idx="122">
                  <c:v>33950</c:v>
                </c:pt>
                <c:pt idx="123">
                  <c:v>34300</c:v>
                </c:pt>
                <c:pt idx="124">
                  <c:v>34650</c:v>
                </c:pt>
                <c:pt idx="125">
                  <c:v>35000</c:v>
                </c:pt>
                <c:pt idx="126">
                  <c:v>35350</c:v>
                </c:pt>
                <c:pt idx="127">
                  <c:v>35700</c:v>
                </c:pt>
                <c:pt idx="128">
                  <c:v>36050</c:v>
                </c:pt>
                <c:pt idx="129">
                  <c:v>36400</c:v>
                </c:pt>
                <c:pt idx="130">
                  <c:v>36750</c:v>
                </c:pt>
                <c:pt idx="131">
                  <c:v>37100</c:v>
                </c:pt>
                <c:pt idx="132">
                  <c:v>37450</c:v>
                </c:pt>
                <c:pt idx="133">
                  <c:v>37800</c:v>
                </c:pt>
                <c:pt idx="134">
                  <c:v>38150</c:v>
                </c:pt>
                <c:pt idx="135">
                  <c:v>38500</c:v>
                </c:pt>
                <c:pt idx="136">
                  <c:v>38850</c:v>
                </c:pt>
                <c:pt idx="137">
                  <c:v>39200</c:v>
                </c:pt>
                <c:pt idx="138">
                  <c:v>39550</c:v>
                </c:pt>
                <c:pt idx="139">
                  <c:v>39900</c:v>
                </c:pt>
                <c:pt idx="140">
                  <c:v>40250</c:v>
                </c:pt>
                <c:pt idx="141">
                  <c:v>40600</c:v>
                </c:pt>
                <c:pt idx="142">
                  <c:v>40950</c:v>
                </c:pt>
                <c:pt idx="143">
                  <c:v>41300</c:v>
                </c:pt>
                <c:pt idx="144">
                  <c:v>41650</c:v>
                </c:pt>
                <c:pt idx="145">
                  <c:v>42000</c:v>
                </c:pt>
                <c:pt idx="146">
                  <c:v>42350</c:v>
                </c:pt>
                <c:pt idx="147">
                  <c:v>42700</c:v>
                </c:pt>
                <c:pt idx="148">
                  <c:v>43050</c:v>
                </c:pt>
                <c:pt idx="149">
                  <c:v>43400</c:v>
                </c:pt>
                <c:pt idx="150">
                  <c:v>43750</c:v>
                </c:pt>
                <c:pt idx="151">
                  <c:v>44100</c:v>
                </c:pt>
                <c:pt idx="152">
                  <c:v>44450</c:v>
                </c:pt>
                <c:pt idx="153">
                  <c:v>44800</c:v>
                </c:pt>
                <c:pt idx="154">
                  <c:v>45150</c:v>
                </c:pt>
                <c:pt idx="155">
                  <c:v>45500</c:v>
                </c:pt>
                <c:pt idx="156">
                  <c:v>45850</c:v>
                </c:pt>
                <c:pt idx="157">
                  <c:v>46200</c:v>
                </c:pt>
                <c:pt idx="158">
                  <c:v>46550</c:v>
                </c:pt>
                <c:pt idx="159">
                  <c:v>46900</c:v>
                </c:pt>
                <c:pt idx="160">
                  <c:v>47250</c:v>
                </c:pt>
                <c:pt idx="161">
                  <c:v>47600</c:v>
                </c:pt>
                <c:pt idx="162">
                  <c:v>47950</c:v>
                </c:pt>
                <c:pt idx="163">
                  <c:v>48300</c:v>
                </c:pt>
                <c:pt idx="164">
                  <c:v>48650</c:v>
                </c:pt>
                <c:pt idx="165">
                  <c:v>49000</c:v>
                </c:pt>
                <c:pt idx="166">
                  <c:v>49350</c:v>
                </c:pt>
                <c:pt idx="167">
                  <c:v>49700</c:v>
                </c:pt>
                <c:pt idx="168">
                  <c:v>50050</c:v>
                </c:pt>
                <c:pt idx="169">
                  <c:v>50400</c:v>
                </c:pt>
                <c:pt idx="170">
                  <c:v>50750</c:v>
                </c:pt>
                <c:pt idx="171">
                  <c:v>51100</c:v>
                </c:pt>
                <c:pt idx="172">
                  <c:v>51450</c:v>
                </c:pt>
                <c:pt idx="173">
                  <c:v>51800</c:v>
                </c:pt>
                <c:pt idx="174">
                  <c:v>52150</c:v>
                </c:pt>
                <c:pt idx="175">
                  <c:v>52500</c:v>
                </c:pt>
                <c:pt idx="176">
                  <c:v>52850</c:v>
                </c:pt>
                <c:pt idx="177">
                  <c:v>53200</c:v>
                </c:pt>
                <c:pt idx="178">
                  <c:v>53550</c:v>
                </c:pt>
                <c:pt idx="179">
                  <c:v>53900</c:v>
                </c:pt>
                <c:pt idx="180">
                  <c:v>54250</c:v>
                </c:pt>
                <c:pt idx="181">
                  <c:v>54700</c:v>
                </c:pt>
                <c:pt idx="182">
                  <c:v>55150</c:v>
                </c:pt>
                <c:pt idx="183">
                  <c:v>55600</c:v>
                </c:pt>
                <c:pt idx="184">
                  <c:v>56050</c:v>
                </c:pt>
                <c:pt idx="185">
                  <c:v>56500</c:v>
                </c:pt>
                <c:pt idx="186">
                  <c:v>56950</c:v>
                </c:pt>
                <c:pt idx="187">
                  <c:v>57400</c:v>
                </c:pt>
                <c:pt idx="188">
                  <c:v>57850</c:v>
                </c:pt>
                <c:pt idx="189">
                  <c:v>58300</c:v>
                </c:pt>
                <c:pt idx="190">
                  <c:v>58750</c:v>
                </c:pt>
                <c:pt idx="191">
                  <c:v>59200</c:v>
                </c:pt>
                <c:pt idx="192">
                  <c:v>59650</c:v>
                </c:pt>
                <c:pt idx="193">
                  <c:v>60100</c:v>
                </c:pt>
                <c:pt idx="194">
                  <c:v>60550</c:v>
                </c:pt>
                <c:pt idx="195">
                  <c:v>61000</c:v>
                </c:pt>
                <c:pt idx="196">
                  <c:v>61450</c:v>
                </c:pt>
                <c:pt idx="197">
                  <c:v>61900</c:v>
                </c:pt>
                <c:pt idx="198">
                  <c:v>62350</c:v>
                </c:pt>
                <c:pt idx="199">
                  <c:v>62800</c:v>
                </c:pt>
                <c:pt idx="200">
                  <c:v>63250</c:v>
                </c:pt>
                <c:pt idx="201">
                  <c:v>63700</c:v>
                </c:pt>
                <c:pt idx="202">
                  <c:v>64150</c:v>
                </c:pt>
                <c:pt idx="203">
                  <c:v>64600</c:v>
                </c:pt>
                <c:pt idx="204">
                  <c:v>65050</c:v>
                </c:pt>
                <c:pt idx="205">
                  <c:v>65500</c:v>
                </c:pt>
                <c:pt idx="206">
                  <c:v>65950</c:v>
                </c:pt>
                <c:pt idx="207">
                  <c:v>66400</c:v>
                </c:pt>
                <c:pt idx="208">
                  <c:v>66850</c:v>
                </c:pt>
                <c:pt idx="209">
                  <c:v>67300</c:v>
                </c:pt>
                <c:pt idx="210">
                  <c:v>67750</c:v>
                </c:pt>
                <c:pt idx="211">
                  <c:v>68200</c:v>
                </c:pt>
                <c:pt idx="212">
                  <c:v>68650</c:v>
                </c:pt>
                <c:pt idx="213">
                  <c:v>69100</c:v>
                </c:pt>
                <c:pt idx="214">
                  <c:v>69550</c:v>
                </c:pt>
                <c:pt idx="215">
                  <c:v>70000</c:v>
                </c:pt>
                <c:pt idx="216">
                  <c:v>70450</c:v>
                </c:pt>
                <c:pt idx="217">
                  <c:v>70900</c:v>
                </c:pt>
                <c:pt idx="218">
                  <c:v>71350</c:v>
                </c:pt>
                <c:pt idx="219">
                  <c:v>71800</c:v>
                </c:pt>
                <c:pt idx="220">
                  <c:v>72250</c:v>
                </c:pt>
                <c:pt idx="221">
                  <c:v>72700</c:v>
                </c:pt>
                <c:pt idx="222">
                  <c:v>73150</c:v>
                </c:pt>
                <c:pt idx="223">
                  <c:v>73600</c:v>
                </c:pt>
                <c:pt idx="224">
                  <c:v>74050</c:v>
                </c:pt>
                <c:pt idx="225">
                  <c:v>74500</c:v>
                </c:pt>
                <c:pt idx="226">
                  <c:v>74950</c:v>
                </c:pt>
                <c:pt idx="227">
                  <c:v>75400</c:v>
                </c:pt>
                <c:pt idx="228">
                  <c:v>75850</c:v>
                </c:pt>
                <c:pt idx="229">
                  <c:v>76300</c:v>
                </c:pt>
                <c:pt idx="230">
                  <c:v>76750</c:v>
                </c:pt>
                <c:pt idx="231">
                  <c:v>77200</c:v>
                </c:pt>
                <c:pt idx="232">
                  <c:v>77650</c:v>
                </c:pt>
                <c:pt idx="233">
                  <c:v>78100</c:v>
                </c:pt>
                <c:pt idx="234">
                  <c:v>78550</c:v>
                </c:pt>
                <c:pt idx="235">
                  <c:v>79000</c:v>
                </c:pt>
                <c:pt idx="236">
                  <c:v>79450</c:v>
                </c:pt>
                <c:pt idx="237">
                  <c:v>79900</c:v>
                </c:pt>
                <c:pt idx="238">
                  <c:v>80350</c:v>
                </c:pt>
                <c:pt idx="239">
                  <c:v>80800</c:v>
                </c:pt>
                <c:pt idx="240">
                  <c:v>81250</c:v>
                </c:pt>
                <c:pt idx="241">
                  <c:v>81700</c:v>
                </c:pt>
                <c:pt idx="242">
                  <c:v>82150</c:v>
                </c:pt>
                <c:pt idx="243">
                  <c:v>82600</c:v>
                </c:pt>
                <c:pt idx="244">
                  <c:v>83050</c:v>
                </c:pt>
                <c:pt idx="245">
                  <c:v>83500</c:v>
                </c:pt>
                <c:pt idx="246">
                  <c:v>83950</c:v>
                </c:pt>
                <c:pt idx="247">
                  <c:v>84400</c:v>
                </c:pt>
                <c:pt idx="248">
                  <c:v>84850</c:v>
                </c:pt>
                <c:pt idx="249">
                  <c:v>85300</c:v>
                </c:pt>
                <c:pt idx="250">
                  <c:v>85750</c:v>
                </c:pt>
              </c:numCache>
            </c:numRef>
          </c:val>
          <c:smooth val="0"/>
          <c:extLst>
            <c:ext xmlns:c16="http://schemas.microsoft.com/office/drawing/2014/chart" uri="{C3380CC4-5D6E-409C-BE32-E72D297353CC}">
              <c16:uniqueId val="{00000007-92F0-4FDE-91F5-CCCE6A9BE1BC}"/>
            </c:ext>
          </c:extLst>
        </c:ser>
        <c:dLbls>
          <c:showLegendKey val="0"/>
          <c:showVal val="0"/>
          <c:showCatName val="0"/>
          <c:showSerName val="0"/>
          <c:showPercent val="0"/>
          <c:showBubbleSize val="0"/>
        </c:dLbls>
        <c:marker val="1"/>
        <c:smooth val="0"/>
        <c:axId val="469409152"/>
        <c:axId val="469406848"/>
      </c:lineChart>
      <c:catAx>
        <c:axId val="469394560"/>
        <c:scaling>
          <c:orientation val="minMax"/>
        </c:scaling>
        <c:delete val="0"/>
        <c:axPos val="b"/>
        <c:title>
          <c:tx>
            <c:rich>
              <a:bodyPr/>
              <a:lstStyle/>
              <a:p>
                <a:pPr>
                  <a:defRPr/>
                </a:pPr>
                <a:r>
                  <a:rPr lang="en-AU" sz="800" b="0"/>
                  <a:t>Taxable Income ($pa)</a:t>
                </a:r>
              </a:p>
            </c:rich>
          </c:tx>
          <c:layout/>
          <c:overlay val="0"/>
        </c:title>
        <c:numFmt formatCode="&quot;$&quot;#,##0" sourceLinked="0"/>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69396480"/>
        <c:crosses val="autoZero"/>
        <c:auto val="1"/>
        <c:lblAlgn val="ctr"/>
        <c:lblOffset val="100"/>
        <c:tickLblSkip val="25"/>
        <c:tickMarkSkip val="25"/>
        <c:noMultiLvlLbl val="0"/>
      </c:catAx>
      <c:valAx>
        <c:axId val="469396480"/>
        <c:scaling>
          <c:orientation val="minMax"/>
          <c:max val="50"/>
        </c:scaling>
        <c:delete val="0"/>
        <c:axPos val="l"/>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7.0180542431241513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69394560"/>
        <c:crosses val="autoZero"/>
        <c:crossBetween val="midCat"/>
      </c:valAx>
      <c:valAx>
        <c:axId val="469406848"/>
        <c:scaling>
          <c:orientation val="minMax"/>
        </c:scaling>
        <c:delete val="0"/>
        <c:axPos val="r"/>
        <c:title>
          <c:tx>
            <c:rich>
              <a:bodyPr rot="0" vert="horz"/>
              <a:lstStyle/>
              <a:p>
                <a:pPr>
                  <a:defRPr sz="800" b="0" i="0">
                    <a:solidFill>
                      <a:srgbClr val="000000"/>
                    </a:solidFill>
                    <a:latin typeface="Arial"/>
                    <a:ea typeface="Arial"/>
                    <a:cs typeface="Arial"/>
                  </a:defRPr>
                </a:pPr>
                <a:r>
                  <a:rPr lang="en-AU"/>
                  <a:t>$'000</a:t>
                </a:r>
              </a:p>
            </c:rich>
          </c:tx>
          <c:layout>
            <c:manualLayout>
              <c:xMode val="edge"/>
              <c:yMode val="edge"/>
              <c:x val="0.87544026867492508"/>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69409152"/>
        <c:crosses val="max"/>
        <c:crossBetween val="midCat"/>
        <c:dispUnits>
          <c:builtInUnit val="thousands"/>
        </c:dispUnits>
      </c:valAx>
      <c:catAx>
        <c:axId val="469409152"/>
        <c:scaling>
          <c:orientation val="minMax"/>
        </c:scaling>
        <c:delete val="1"/>
        <c:axPos val="t"/>
        <c:numFmt formatCode="General" sourceLinked="1"/>
        <c:majorTickMark val="out"/>
        <c:minorTickMark val="none"/>
        <c:tickLblPos val="nextTo"/>
        <c:crossAx val="469406848"/>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692388329066991E-2"/>
          <c:y val="5.7280952490221387E-2"/>
          <c:w val="0.87454706742895849"/>
          <c:h val="0.84184193340928415"/>
        </c:manualLayout>
      </c:layout>
      <c:lineChart>
        <c:grouping val="standard"/>
        <c:varyColors val="0"/>
        <c:ser>
          <c:idx val="0"/>
          <c:order val="0"/>
          <c:tx>
            <c:strRef>
              <c:f>'Charts 4+5'!$G$10</c:f>
              <c:strCache>
                <c:ptCount val="1"/>
                <c:pt idx="0">
                  <c:v>Total MTR on net tax (incl LITO and ML)</c:v>
                </c:pt>
              </c:strCache>
            </c:strRef>
          </c:tx>
          <c:spPr>
            <a:ln w="19050"/>
          </c:spPr>
          <c:marker>
            <c:symbol val="none"/>
          </c:marker>
          <c:cat>
            <c:numRef>
              <c:f>'Charts 4+5'!$A$11:$A$211</c:f>
              <c:numCache>
                <c:formatCode>#,##0</c:formatCode>
                <c:ptCount val="20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numCache>
            </c:numRef>
          </c:cat>
          <c:val>
            <c:numRef>
              <c:f>'Charts 4+5'!$G$11:$G$211</c:f>
              <c:numCache>
                <c:formatCode>0.0%</c:formatCode>
                <c:ptCount val="201"/>
                <c:pt idx="0">
                  <c:v>0</c:v>
                </c:pt>
                <c:pt idx="1">
                  <c:v>0</c:v>
                </c:pt>
                <c:pt idx="2">
                  <c:v>0</c:v>
                </c:pt>
                <c:pt idx="3">
                  <c:v>0</c:v>
                </c:pt>
                <c:pt idx="4">
                  <c:v>0</c:v>
                </c:pt>
                <c:pt idx="5">
                  <c:v>0</c:v>
                </c:pt>
                <c:pt idx="6">
                  <c:v>0</c:v>
                </c:pt>
                <c:pt idx="7">
                  <c:v>0.17</c:v>
                </c:pt>
                <c:pt idx="8">
                  <c:v>0.2</c:v>
                </c:pt>
                <c:pt idx="9">
                  <c:v>0.2</c:v>
                </c:pt>
                <c:pt idx="10">
                  <c:v>0.2</c:v>
                </c:pt>
                <c:pt idx="11">
                  <c:v>0.2</c:v>
                </c:pt>
                <c:pt idx="12">
                  <c:v>0.2</c:v>
                </c:pt>
                <c:pt idx="13">
                  <c:v>0.26220000000000004</c:v>
                </c:pt>
                <c:pt idx="14">
                  <c:v>0.33379999999999993</c:v>
                </c:pt>
                <c:pt idx="15">
                  <c:v>0.214</c:v>
                </c:pt>
                <c:pt idx="16">
                  <c:v>0.214</c:v>
                </c:pt>
                <c:pt idx="17">
                  <c:v>0.214</c:v>
                </c:pt>
                <c:pt idx="18">
                  <c:v>0.214</c:v>
                </c:pt>
                <c:pt idx="19">
                  <c:v>0.214</c:v>
                </c:pt>
                <c:pt idx="20">
                  <c:v>0.214</c:v>
                </c:pt>
                <c:pt idx="21">
                  <c:v>0.26800000000000002</c:v>
                </c:pt>
                <c:pt idx="22">
                  <c:v>0.39400000000000002</c:v>
                </c:pt>
                <c:pt idx="23">
                  <c:v>0.39400000000000002</c:v>
                </c:pt>
                <c:pt idx="24">
                  <c:v>0.39400000000000002</c:v>
                </c:pt>
                <c:pt idx="25">
                  <c:v>0.372</c:v>
                </c:pt>
                <c:pt idx="26">
                  <c:v>0.35399999999999998</c:v>
                </c:pt>
                <c:pt idx="27">
                  <c:v>0.35399999999999998</c:v>
                </c:pt>
                <c:pt idx="28">
                  <c:v>0.35399999999999998</c:v>
                </c:pt>
                <c:pt idx="29">
                  <c:v>0.35399999999999998</c:v>
                </c:pt>
                <c:pt idx="30">
                  <c:v>0.35399999999999998</c:v>
                </c:pt>
                <c:pt idx="31">
                  <c:v>0.35399999999999998</c:v>
                </c:pt>
                <c:pt idx="32">
                  <c:v>0.35399999999999998</c:v>
                </c:pt>
                <c:pt idx="33">
                  <c:v>0.35399999999999998</c:v>
                </c:pt>
                <c:pt idx="34">
                  <c:v>0.35399999999999998</c:v>
                </c:pt>
                <c:pt idx="35">
                  <c:v>0.35399999999999998</c:v>
                </c:pt>
                <c:pt idx="36">
                  <c:v>0.35399999999999998</c:v>
                </c:pt>
                <c:pt idx="37">
                  <c:v>0.35399999999999998</c:v>
                </c:pt>
                <c:pt idx="38">
                  <c:v>0.35399999999999998</c:v>
                </c:pt>
                <c:pt idx="39">
                  <c:v>0.44400000000000001</c:v>
                </c:pt>
                <c:pt idx="40">
                  <c:v>0.44400000000000001</c:v>
                </c:pt>
                <c:pt idx="41">
                  <c:v>0.44400000000000001</c:v>
                </c:pt>
                <c:pt idx="42">
                  <c:v>0.44400000000000001</c:v>
                </c:pt>
                <c:pt idx="43">
                  <c:v>0.44400000000000001</c:v>
                </c:pt>
                <c:pt idx="44">
                  <c:v>0.44400000000000001</c:v>
                </c:pt>
                <c:pt idx="45">
                  <c:v>0.44400000000000001</c:v>
                </c:pt>
                <c:pt idx="46">
                  <c:v>0.44400000000000001</c:v>
                </c:pt>
                <c:pt idx="47">
                  <c:v>0.44400000000000001</c:v>
                </c:pt>
                <c:pt idx="48">
                  <c:v>0.44400000000000001</c:v>
                </c:pt>
                <c:pt idx="49">
                  <c:v>0.44400000000000001</c:v>
                </c:pt>
                <c:pt idx="50">
                  <c:v>0.44400000000000001</c:v>
                </c:pt>
                <c:pt idx="51">
                  <c:v>0.48399999999999999</c:v>
                </c:pt>
                <c:pt idx="52">
                  <c:v>0.48399999999999999</c:v>
                </c:pt>
                <c:pt idx="53">
                  <c:v>0.48399999999999999</c:v>
                </c:pt>
                <c:pt idx="54">
                  <c:v>0.48399999999999999</c:v>
                </c:pt>
                <c:pt idx="55">
                  <c:v>0.48399999999999999</c:v>
                </c:pt>
                <c:pt idx="56">
                  <c:v>0.48399999999999999</c:v>
                </c:pt>
                <c:pt idx="57">
                  <c:v>0.48399999999999999</c:v>
                </c:pt>
                <c:pt idx="58">
                  <c:v>0.48399999999999999</c:v>
                </c:pt>
                <c:pt idx="59">
                  <c:v>0.48399999999999999</c:v>
                </c:pt>
                <c:pt idx="60">
                  <c:v>0.48399999999999999</c:v>
                </c:pt>
                <c:pt idx="61">
                  <c:v>0.48399999999999999</c:v>
                </c:pt>
                <c:pt idx="62">
                  <c:v>0.48399999999999999</c:v>
                </c:pt>
                <c:pt idx="63">
                  <c:v>0.48399999999999999</c:v>
                </c:pt>
                <c:pt idx="64">
                  <c:v>0.48399999999999999</c:v>
                </c:pt>
                <c:pt idx="65">
                  <c:v>0.48399999999999999</c:v>
                </c:pt>
                <c:pt idx="66">
                  <c:v>0.48399999999999999</c:v>
                </c:pt>
                <c:pt idx="67">
                  <c:v>0.48399999999999999</c:v>
                </c:pt>
                <c:pt idx="68">
                  <c:v>0.48399999999999999</c:v>
                </c:pt>
                <c:pt idx="69">
                  <c:v>0.48399999999999999</c:v>
                </c:pt>
                <c:pt idx="70">
                  <c:v>0.48399999999999999</c:v>
                </c:pt>
                <c:pt idx="71">
                  <c:v>0.48399999999999999</c:v>
                </c:pt>
                <c:pt idx="72">
                  <c:v>0.48399999999999999</c:v>
                </c:pt>
                <c:pt idx="73">
                  <c:v>0.48399999999999999</c:v>
                </c:pt>
                <c:pt idx="74">
                  <c:v>0.48399999999999999</c:v>
                </c:pt>
                <c:pt idx="75">
                  <c:v>0.48399999999999999</c:v>
                </c:pt>
                <c:pt idx="76">
                  <c:v>0.48399999999999999</c:v>
                </c:pt>
                <c:pt idx="77">
                  <c:v>0.48399999999999999</c:v>
                </c:pt>
                <c:pt idx="78">
                  <c:v>0.48399999999999999</c:v>
                </c:pt>
                <c:pt idx="79">
                  <c:v>0.48399999999999999</c:v>
                </c:pt>
                <c:pt idx="80">
                  <c:v>0.48399999999999999</c:v>
                </c:pt>
                <c:pt idx="81">
                  <c:v>0.48399999999999999</c:v>
                </c:pt>
                <c:pt idx="82">
                  <c:v>0.48399999999999999</c:v>
                </c:pt>
                <c:pt idx="83">
                  <c:v>0.48399999999999999</c:v>
                </c:pt>
                <c:pt idx="84">
                  <c:v>0.48399999999999999</c:v>
                </c:pt>
                <c:pt idx="85">
                  <c:v>0.48399999999999999</c:v>
                </c:pt>
                <c:pt idx="86">
                  <c:v>0.48399999999999999</c:v>
                </c:pt>
                <c:pt idx="87">
                  <c:v>0.48399999999999999</c:v>
                </c:pt>
                <c:pt idx="88">
                  <c:v>0.48399999999999999</c:v>
                </c:pt>
                <c:pt idx="89">
                  <c:v>0.48399999999999999</c:v>
                </c:pt>
                <c:pt idx="90">
                  <c:v>0.48399999999999999</c:v>
                </c:pt>
                <c:pt idx="91">
                  <c:v>0.48399999999999999</c:v>
                </c:pt>
                <c:pt idx="92">
                  <c:v>0.48399999999999999</c:v>
                </c:pt>
                <c:pt idx="93">
                  <c:v>0.48399999999999999</c:v>
                </c:pt>
                <c:pt idx="94">
                  <c:v>0.48399999999999999</c:v>
                </c:pt>
                <c:pt idx="95">
                  <c:v>0.48399999999999999</c:v>
                </c:pt>
                <c:pt idx="96">
                  <c:v>0.48399999999999999</c:v>
                </c:pt>
                <c:pt idx="97">
                  <c:v>0.48399999999999999</c:v>
                </c:pt>
                <c:pt idx="98">
                  <c:v>0.48399999999999999</c:v>
                </c:pt>
                <c:pt idx="99">
                  <c:v>0.48399999999999999</c:v>
                </c:pt>
                <c:pt idx="100">
                  <c:v>0.48399999999999999</c:v>
                </c:pt>
                <c:pt idx="101">
                  <c:v>0.48399999999999999</c:v>
                </c:pt>
                <c:pt idx="102">
                  <c:v>0.48399999999999999</c:v>
                </c:pt>
                <c:pt idx="103">
                  <c:v>0.48399999999999999</c:v>
                </c:pt>
                <c:pt idx="104">
                  <c:v>0.48399999999999999</c:v>
                </c:pt>
                <c:pt idx="105">
                  <c:v>0.48399999999999999</c:v>
                </c:pt>
                <c:pt idx="106">
                  <c:v>0.48399999999999999</c:v>
                </c:pt>
                <c:pt idx="107">
                  <c:v>0.48399999999999999</c:v>
                </c:pt>
                <c:pt idx="108">
                  <c:v>0.48399999999999999</c:v>
                </c:pt>
                <c:pt idx="109">
                  <c:v>0.48399999999999999</c:v>
                </c:pt>
                <c:pt idx="110">
                  <c:v>0.48399999999999999</c:v>
                </c:pt>
                <c:pt idx="111">
                  <c:v>0.48399999999999999</c:v>
                </c:pt>
                <c:pt idx="112">
                  <c:v>0.48399999999999999</c:v>
                </c:pt>
                <c:pt idx="113">
                  <c:v>0.48399999999999999</c:v>
                </c:pt>
                <c:pt idx="114">
                  <c:v>0.48399999999999999</c:v>
                </c:pt>
                <c:pt idx="115">
                  <c:v>0.48399999999999999</c:v>
                </c:pt>
                <c:pt idx="116">
                  <c:v>0.48399999999999999</c:v>
                </c:pt>
                <c:pt idx="117">
                  <c:v>0.48399999999999999</c:v>
                </c:pt>
                <c:pt idx="118">
                  <c:v>0.48399999999999999</c:v>
                </c:pt>
                <c:pt idx="119">
                  <c:v>0.48399999999999999</c:v>
                </c:pt>
                <c:pt idx="120">
                  <c:v>0.48399999999999999</c:v>
                </c:pt>
                <c:pt idx="121">
                  <c:v>0.48399999999999999</c:v>
                </c:pt>
                <c:pt idx="122">
                  <c:v>0.48399999999999999</c:v>
                </c:pt>
                <c:pt idx="123">
                  <c:v>0.48399999999999999</c:v>
                </c:pt>
                <c:pt idx="124">
                  <c:v>0.48399999999999999</c:v>
                </c:pt>
                <c:pt idx="125">
                  <c:v>0.48399999999999999</c:v>
                </c:pt>
                <c:pt idx="126">
                  <c:v>0.48399999999999999</c:v>
                </c:pt>
                <c:pt idx="127">
                  <c:v>0.48399999999999999</c:v>
                </c:pt>
                <c:pt idx="128">
                  <c:v>0.48399999999999999</c:v>
                </c:pt>
                <c:pt idx="129">
                  <c:v>0.48399999999999999</c:v>
                </c:pt>
                <c:pt idx="130">
                  <c:v>0.48399999999999999</c:v>
                </c:pt>
                <c:pt idx="131">
                  <c:v>0.48399999999999999</c:v>
                </c:pt>
                <c:pt idx="132">
                  <c:v>0.48399999999999999</c:v>
                </c:pt>
                <c:pt idx="133">
                  <c:v>0.48399999999999999</c:v>
                </c:pt>
                <c:pt idx="134">
                  <c:v>0.48399999999999999</c:v>
                </c:pt>
                <c:pt idx="135">
                  <c:v>0.48399999999999999</c:v>
                </c:pt>
                <c:pt idx="136">
                  <c:v>0.48399999999999999</c:v>
                </c:pt>
                <c:pt idx="137">
                  <c:v>0.48399999999999999</c:v>
                </c:pt>
                <c:pt idx="138">
                  <c:v>0.48399999999999999</c:v>
                </c:pt>
                <c:pt idx="139">
                  <c:v>0.48399999999999999</c:v>
                </c:pt>
                <c:pt idx="140">
                  <c:v>0.48399999999999999</c:v>
                </c:pt>
                <c:pt idx="141">
                  <c:v>0.48399999999999999</c:v>
                </c:pt>
                <c:pt idx="142">
                  <c:v>0.48399999999999999</c:v>
                </c:pt>
                <c:pt idx="143">
                  <c:v>0.48399999999999999</c:v>
                </c:pt>
                <c:pt idx="144">
                  <c:v>0.48399999999999999</c:v>
                </c:pt>
                <c:pt idx="145">
                  <c:v>0.48399999999999999</c:v>
                </c:pt>
                <c:pt idx="146">
                  <c:v>0.48399999999999999</c:v>
                </c:pt>
                <c:pt idx="147">
                  <c:v>0.48399999999999999</c:v>
                </c:pt>
                <c:pt idx="148">
                  <c:v>0.48399999999999999</c:v>
                </c:pt>
                <c:pt idx="149">
                  <c:v>0.48399999999999999</c:v>
                </c:pt>
                <c:pt idx="150">
                  <c:v>0.48399999999999999</c:v>
                </c:pt>
                <c:pt idx="151">
                  <c:v>0.48399999999999999</c:v>
                </c:pt>
                <c:pt idx="152">
                  <c:v>0.48399999999999999</c:v>
                </c:pt>
                <c:pt idx="153">
                  <c:v>0.48399999999999999</c:v>
                </c:pt>
                <c:pt idx="154">
                  <c:v>0.48399999999999999</c:v>
                </c:pt>
                <c:pt idx="155">
                  <c:v>0.48399999999999999</c:v>
                </c:pt>
                <c:pt idx="156">
                  <c:v>0.48399999999999999</c:v>
                </c:pt>
                <c:pt idx="157">
                  <c:v>0.48399999999999999</c:v>
                </c:pt>
                <c:pt idx="158">
                  <c:v>0.48399999999999999</c:v>
                </c:pt>
                <c:pt idx="159">
                  <c:v>0.48399999999999999</c:v>
                </c:pt>
                <c:pt idx="160">
                  <c:v>0.48399999999999999</c:v>
                </c:pt>
                <c:pt idx="161">
                  <c:v>0.48399999999999999</c:v>
                </c:pt>
                <c:pt idx="162">
                  <c:v>0.48399999999999999</c:v>
                </c:pt>
                <c:pt idx="163">
                  <c:v>0.48399999999999999</c:v>
                </c:pt>
                <c:pt idx="164">
                  <c:v>0.48399999999999999</c:v>
                </c:pt>
                <c:pt idx="165">
                  <c:v>0.48399999999999999</c:v>
                </c:pt>
                <c:pt idx="166">
                  <c:v>0.48399999999999999</c:v>
                </c:pt>
                <c:pt idx="167">
                  <c:v>0.48399999999999999</c:v>
                </c:pt>
                <c:pt idx="168">
                  <c:v>0.48399999999999999</c:v>
                </c:pt>
                <c:pt idx="169">
                  <c:v>0.48399999999999999</c:v>
                </c:pt>
                <c:pt idx="170">
                  <c:v>0.48399999999999999</c:v>
                </c:pt>
                <c:pt idx="171">
                  <c:v>0.48399999999999999</c:v>
                </c:pt>
                <c:pt idx="172">
                  <c:v>0.48399999999999999</c:v>
                </c:pt>
                <c:pt idx="173">
                  <c:v>0.48399999999999999</c:v>
                </c:pt>
                <c:pt idx="174">
                  <c:v>0.48399999999999999</c:v>
                </c:pt>
                <c:pt idx="175">
                  <c:v>0.48399999999999999</c:v>
                </c:pt>
                <c:pt idx="176">
                  <c:v>0.48399999999999999</c:v>
                </c:pt>
                <c:pt idx="177">
                  <c:v>0.48399999999999999</c:v>
                </c:pt>
                <c:pt idx="178">
                  <c:v>0.48399999999999999</c:v>
                </c:pt>
                <c:pt idx="179">
                  <c:v>0.48399999999999999</c:v>
                </c:pt>
                <c:pt idx="180">
                  <c:v>0.48399999999999999</c:v>
                </c:pt>
                <c:pt idx="181">
                  <c:v>0.48399999999999999</c:v>
                </c:pt>
                <c:pt idx="182">
                  <c:v>0.48399999999999999</c:v>
                </c:pt>
                <c:pt idx="183">
                  <c:v>0.48399999999999999</c:v>
                </c:pt>
                <c:pt idx="184">
                  <c:v>0.48399999999999999</c:v>
                </c:pt>
                <c:pt idx="185">
                  <c:v>0.48399999999999999</c:v>
                </c:pt>
                <c:pt idx="186">
                  <c:v>0.48399999999999999</c:v>
                </c:pt>
                <c:pt idx="187">
                  <c:v>0.48399999999999999</c:v>
                </c:pt>
                <c:pt idx="188">
                  <c:v>0.48399999999999999</c:v>
                </c:pt>
                <c:pt idx="189">
                  <c:v>0.48399999999999999</c:v>
                </c:pt>
                <c:pt idx="190">
                  <c:v>0.48399999999999999</c:v>
                </c:pt>
                <c:pt idx="191">
                  <c:v>0.48399999999999999</c:v>
                </c:pt>
                <c:pt idx="192">
                  <c:v>0.48399999999999999</c:v>
                </c:pt>
                <c:pt idx="193">
                  <c:v>0.48399999999999999</c:v>
                </c:pt>
                <c:pt idx="194">
                  <c:v>0.48399999999999999</c:v>
                </c:pt>
                <c:pt idx="195">
                  <c:v>0.48399999999999999</c:v>
                </c:pt>
                <c:pt idx="196">
                  <c:v>0.48399999999999999</c:v>
                </c:pt>
                <c:pt idx="197">
                  <c:v>0.48399999999999999</c:v>
                </c:pt>
                <c:pt idx="198">
                  <c:v>0.48399999999999999</c:v>
                </c:pt>
                <c:pt idx="199">
                  <c:v>0.48399999999999999</c:v>
                </c:pt>
                <c:pt idx="200">
                  <c:v>0.48399999999999999</c:v>
                </c:pt>
              </c:numCache>
            </c:numRef>
          </c:val>
          <c:smooth val="0"/>
          <c:extLst>
            <c:ext xmlns:c16="http://schemas.microsoft.com/office/drawing/2014/chart" uri="{C3380CC4-5D6E-409C-BE32-E72D297353CC}">
              <c16:uniqueId val="{00000000-6E78-4B29-BC32-0683D9E4DAA0}"/>
            </c:ext>
          </c:extLst>
        </c:ser>
        <c:ser>
          <c:idx val="3"/>
          <c:order val="1"/>
          <c:tx>
            <c:strRef>
              <c:f>'Charts 4+5'!$F$10</c:f>
              <c:strCache>
                <c:ptCount val="1"/>
                <c:pt idx="0">
                  <c:v>ATR on net tax (incl LITO and ML)</c:v>
                </c:pt>
              </c:strCache>
            </c:strRef>
          </c:tx>
          <c:spPr>
            <a:ln w="22225">
              <a:solidFill>
                <a:schemeClr val="accent1"/>
              </a:solidFill>
            </a:ln>
          </c:spPr>
          <c:marker>
            <c:symbol val="none"/>
          </c:marker>
          <c:cat>
            <c:numRef>
              <c:f>'Charts 4+5'!$A$11:$A$211</c:f>
              <c:numCache>
                <c:formatCode>#,##0</c:formatCode>
                <c:ptCount val="20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numCache>
            </c:numRef>
          </c:cat>
          <c:val>
            <c:numRef>
              <c:f>'Charts 4+5'!$F$11:$F$211</c:f>
              <c:numCache>
                <c:formatCode>0.0%</c:formatCode>
                <c:ptCount val="201"/>
                <c:pt idx="0">
                  <c:v>0</c:v>
                </c:pt>
                <c:pt idx="1">
                  <c:v>0</c:v>
                </c:pt>
                <c:pt idx="2">
                  <c:v>0</c:v>
                </c:pt>
                <c:pt idx="3">
                  <c:v>0</c:v>
                </c:pt>
                <c:pt idx="4">
                  <c:v>0</c:v>
                </c:pt>
                <c:pt idx="5">
                  <c:v>0</c:v>
                </c:pt>
                <c:pt idx="6">
                  <c:v>0</c:v>
                </c:pt>
                <c:pt idx="7">
                  <c:v>2.4285714285714285E-2</c:v>
                </c:pt>
                <c:pt idx="8">
                  <c:v>4.6249999999999999E-2</c:v>
                </c:pt>
                <c:pt idx="9">
                  <c:v>6.3333333333333339E-2</c:v>
                </c:pt>
                <c:pt idx="10">
                  <c:v>7.6999999999999999E-2</c:v>
                </c:pt>
                <c:pt idx="11">
                  <c:v>8.8181818181818181E-2</c:v>
                </c:pt>
                <c:pt idx="12">
                  <c:v>9.7500000000000003E-2</c:v>
                </c:pt>
                <c:pt idx="13">
                  <c:v>0.11016923076923077</c:v>
                </c:pt>
                <c:pt idx="14">
                  <c:v>0.12614285714285714</c:v>
                </c:pt>
                <c:pt idx="15">
                  <c:v>0.13200000000000001</c:v>
                </c:pt>
                <c:pt idx="16">
                  <c:v>0.137125</c:v>
                </c:pt>
                <c:pt idx="17">
                  <c:v>0.1416470588235294</c:v>
                </c:pt>
                <c:pt idx="18">
                  <c:v>0.14566666666666667</c:v>
                </c:pt>
                <c:pt idx="19">
                  <c:v>0.14926315789473685</c:v>
                </c:pt>
                <c:pt idx="20">
                  <c:v>0.1525</c:v>
                </c:pt>
                <c:pt idx="21">
                  <c:v>0.158</c:v>
                </c:pt>
                <c:pt idx="22">
                  <c:v>0.16872727272727273</c:v>
                </c:pt>
                <c:pt idx="23">
                  <c:v>0.17852173913043479</c:v>
                </c:pt>
                <c:pt idx="24">
                  <c:v>0.1875</c:v>
                </c:pt>
                <c:pt idx="25">
                  <c:v>0.19488</c:v>
                </c:pt>
                <c:pt idx="26">
                  <c:v>0.20100000000000001</c:v>
                </c:pt>
                <c:pt idx="27">
                  <c:v>0.20666666666666667</c:v>
                </c:pt>
                <c:pt idx="28">
                  <c:v>0.21192857142857144</c:v>
                </c:pt>
                <c:pt idx="29">
                  <c:v>0.21682758620689654</c:v>
                </c:pt>
                <c:pt idx="30">
                  <c:v>0.22140000000000001</c:v>
                </c:pt>
                <c:pt idx="31">
                  <c:v>0.2256774193548387</c:v>
                </c:pt>
                <c:pt idx="32">
                  <c:v>0.22968749999999999</c:v>
                </c:pt>
                <c:pt idx="33">
                  <c:v>0.23345454545454544</c:v>
                </c:pt>
                <c:pt idx="34">
                  <c:v>0.23699999999999999</c:v>
                </c:pt>
                <c:pt idx="35">
                  <c:v>0.24034285714285714</c:v>
                </c:pt>
                <c:pt idx="36">
                  <c:v>0.24349999999999999</c:v>
                </c:pt>
                <c:pt idx="37">
                  <c:v>0.24648648648648649</c:v>
                </c:pt>
                <c:pt idx="38">
                  <c:v>0.24931578947368421</c:v>
                </c:pt>
                <c:pt idx="39">
                  <c:v>0.25430769230769229</c:v>
                </c:pt>
                <c:pt idx="40">
                  <c:v>0.25905</c:v>
                </c:pt>
                <c:pt idx="41">
                  <c:v>0.26356097560975611</c:v>
                </c:pt>
                <c:pt idx="42">
                  <c:v>0.26785714285714285</c:v>
                </c:pt>
                <c:pt idx="43">
                  <c:v>0.27195348837209304</c:v>
                </c:pt>
                <c:pt idx="44">
                  <c:v>0.27586363636363637</c:v>
                </c:pt>
                <c:pt idx="45">
                  <c:v>0.27960000000000002</c:v>
                </c:pt>
                <c:pt idx="46">
                  <c:v>0.28317391304347828</c:v>
                </c:pt>
                <c:pt idx="47">
                  <c:v>0.28659574468085108</c:v>
                </c:pt>
                <c:pt idx="48">
                  <c:v>0.28987499999999999</c:v>
                </c:pt>
                <c:pt idx="49">
                  <c:v>0.2930204081632653</c:v>
                </c:pt>
                <c:pt idx="50">
                  <c:v>0.29604000000000003</c:v>
                </c:pt>
                <c:pt idx="51">
                  <c:v>0.29972549019607841</c:v>
                </c:pt>
                <c:pt idx="52">
                  <c:v>0.30326923076923079</c:v>
                </c:pt>
                <c:pt idx="53">
                  <c:v>0.30667924528301888</c:v>
                </c:pt>
                <c:pt idx="54">
                  <c:v>0.30996296296296294</c:v>
                </c:pt>
                <c:pt idx="55">
                  <c:v>0.31312727272727275</c:v>
                </c:pt>
                <c:pt idx="56">
                  <c:v>0.31617857142857142</c:v>
                </c:pt>
                <c:pt idx="57">
                  <c:v>0.31912280701754386</c:v>
                </c:pt>
                <c:pt idx="58">
                  <c:v>0.32196551724137928</c:v>
                </c:pt>
                <c:pt idx="59">
                  <c:v>0.32471186440677968</c:v>
                </c:pt>
                <c:pt idx="60">
                  <c:v>0.32736666666666664</c:v>
                </c:pt>
                <c:pt idx="61">
                  <c:v>0.32993442622950819</c:v>
                </c:pt>
                <c:pt idx="62">
                  <c:v>0.33241935483870966</c:v>
                </c:pt>
                <c:pt idx="63">
                  <c:v>0.3348253968253968</c:v>
                </c:pt>
                <c:pt idx="64">
                  <c:v>0.33715624999999999</c:v>
                </c:pt>
                <c:pt idx="65">
                  <c:v>0.33941538461538462</c:v>
                </c:pt>
                <c:pt idx="66">
                  <c:v>0.34160606060606058</c:v>
                </c:pt>
                <c:pt idx="67">
                  <c:v>0.34373134328358207</c:v>
                </c:pt>
                <c:pt idx="68">
                  <c:v>0.34579411764705881</c:v>
                </c:pt>
                <c:pt idx="69">
                  <c:v>0.34779710144927534</c:v>
                </c:pt>
                <c:pt idx="70">
                  <c:v>0.34974285714285713</c:v>
                </c:pt>
                <c:pt idx="71">
                  <c:v>0.35163380281690143</c:v>
                </c:pt>
                <c:pt idx="72">
                  <c:v>0.35347222222222224</c:v>
                </c:pt>
                <c:pt idx="73">
                  <c:v>0.35526027397260274</c:v>
                </c:pt>
                <c:pt idx="74">
                  <c:v>0.35699999999999998</c:v>
                </c:pt>
                <c:pt idx="75">
                  <c:v>0.35869333333333331</c:v>
                </c:pt>
                <c:pt idx="76">
                  <c:v>0.36034210526315791</c:v>
                </c:pt>
                <c:pt idx="77">
                  <c:v>0.36194805194805196</c:v>
                </c:pt>
                <c:pt idx="78">
                  <c:v>0.36351282051282052</c:v>
                </c:pt>
                <c:pt idx="79">
                  <c:v>0.36503797468354432</c:v>
                </c:pt>
                <c:pt idx="80">
                  <c:v>0.36652499999999999</c:v>
                </c:pt>
                <c:pt idx="81">
                  <c:v>0.36797530864197531</c:v>
                </c:pt>
                <c:pt idx="82">
                  <c:v>0.36939024390243902</c:v>
                </c:pt>
                <c:pt idx="83">
                  <c:v>0.3707710843373494</c:v>
                </c:pt>
                <c:pt idx="84">
                  <c:v>0.37211904761904763</c:v>
                </c:pt>
                <c:pt idx="85">
                  <c:v>0.37343529411764703</c:v>
                </c:pt>
                <c:pt idx="86">
                  <c:v>0.37472093023255815</c:v>
                </c:pt>
                <c:pt idx="87">
                  <c:v>0.37597701149425289</c:v>
                </c:pt>
                <c:pt idx="88">
                  <c:v>0.37720454545454546</c:v>
                </c:pt>
                <c:pt idx="89">
                  <c:v>0.37840449438202245</c:v>
                </c:pt>
                <c:pt idx="90">
                  <c:v>0.37957777777777779</c:v>
                </c:pt>
                <c:pt idx="91">
                  <c:v>0.38072527472527473</c:v>
                </c:pt>
                <c:pt idx="92">
                  <c:v>0.3818478260869565</c:v>
                </c:pt>
                <c:pt idx="93">
                  <c:v>0.38294623655913979</c:v>
                </c:pt>
                <c:pt idx="94">
                  <c:v>0.3840212765957447</c:v>
                </c:pt>
                <c:pt idx="95">
                  <c:v>0.38507368421052629</c:v>
                </c:pt>
                <c:pt idx="96">
                  <c:v>0.38610416666666669</c:v>
                </c:pt>
                <c:pt idx="97">
                  <c:v>0.38711340206185568</c:v>
                </c:pt>
                <c:pt idx="98">
                  <c:v>0.38810204081632654</c:v>
                </c:pt>
                <c:pt idx="99">
                  <c:v>0.38907070707070707</c:v>
                </c:pt>
                <c:pt idx="100">
                  <c:v>0.39001999999999998</c:v>
                </c:pt>
                <c:pt idx="101">
                  <c:v>0.39095049504950496</c:v>
                </c:pt>
                <c:pt idx="102">
                  <c:v>0.3918627450980392</c:v>
                </c:pt>
                <c:pt idx="103">
                  <c:v>0.39275728155339806</c:v>
                </c:pt>
                <c:pt idx="104">
                  <c:v>0.39363461538461536</c:v>
                </c:pt>
                <c:pt idx="105">
                  <c:v>0.39449523809523812</c:v>
                </c:pt>
                <c:pt idx="106">
                  <c:v>0.39533962264150946</c:v>
                </c:pt>
                <c:pt idx="107">
                  <c:v>0.3961682242990654</c:v>
                </c:pt>
                <c:pt idx="108">
                  <c:v>0.39698148148148149</c:v>
                </c:pt>
                <c:pt idx="109">
                  <c:v>0.39777981651376149</c:v>
                </c:pt>
                <c:pt idx="110">
                  <c:v>0.39856363636363634</c:v>
                </c:pt>
                <c:pt idx="111">
                  <c:v>0.39933333333333332</c:v>
                </c:pt>
                <c:pt idx="112">
                  <c:v>0.4000892857142857</c:v>
                </c:pt>
                <c:pt idx="113">
                  <c:v>0.40083185840707963</c:v>
                </c:pt>
                <c:pt idx="114">
                  <c:v>0.40156140350877195</c:v>
                </c:pt>
                <c:pt idx="115">
                  <c:v>0.4022782608695652</c:v>
                </c:pt>
                <c:pt idx="116">
                  <c:v>0.40298275862068966</c:v>
                </c:pt>
                <c:pt idx="117">
                  <c:v>0.4036752136752137</c:v>
                </c:pt>
                <c:pt idx="118">
                  <c:v>0.40435593220338983</c:v>
                </c:pt>
                <c:pt idx="119">
                  <c:v>0.40502521008403364</c:v>
                </c:pt>
                <c:pt idx="120">
                  <c:v>0.40568333333333334</c:v>
                </c:pt>
                <c:pt idx="121">
                  <c:v>0.40633057851239668</c:v>
                </c:pt>
                <c:pt idx="122">
                  <c:v>0.40696721311475409</c:v>
                </c:pt>
                <c:pt idx="123">
                  <c:v>0.40759349593495936</c:v>
                </c:pt>
                <c:pt idx="124">
                  <c:v>0.40820967741935482</c:v>
                </c:pt>
                <c:pt idx="125">
                  <c:v>0.40881600000000001</c:v>
                </c:pt>
                <c:pt idx="126">
                  <c:v>0.40941269841269839</c:v>
                </c:pt>
                <c:pt idx="127">
                  <c:v>0.41</c:v>
                </c:pt>
                <c:pt idx="128">
                  <c:v>0.41057812500000002</c:v>
                </c:pt>
                <c:pt idx="129">
                  <c:v>0.41114728682170543</c:v>
                </c:pt>
                <c:pt idx="130">
                  <c:v>0.41170769230769233</c:v>
                </c:pt>
                <c:pt idx="131">
                  <c:v>0.4122595419847328</c:v>
                </c:pt>
                <c:pt idx="132">
                  <c:v>0.41280303030303028</c:v>
                </c:pt>
                <c:pt idx="133">
                  <c:v>0.41333834586466167</c:v>
                </c:pt>
                <c:pt idx="134">
                  <c:v>0.41386567164179106</c:v>
                </c:pt>
                <c:pt idx="135">
                  <c:v>0.41438518518518519</c:v>
                </c:pt>
                <c:pt idx="136">
                  <c:v>0.4148970588235294</c:v>
                </c:pt>
                <c:pt idx="137">
                  <c:v>0.41540145985401461</c:v>
                </c:pt>
                <c:pt idx="138">
                  <c:v>0.41589855072463766</c:v>
                </c:pt>
                <c:pt idx="139">
                  <c:v>0.41638848920863308</c:v>
                </c:pt>
                <c:pt idx="140">
                  <c:v>0.41687142857142856</c:v>
                </c:pt>
                <c:pt idx="141">
                  <c:v>0.41734751773049644</c:v>
                </c:pt>
                <c:pt idx="142">
                  <c:v>0.41781690140845068</c:v>
                </c:pt>
                <c:pt idx="143">
                  <c:v>0.41827972027972027</c:v>
                </c:pt>
                <c:pt idx="144">
                  <c:v>0.41873611111111109</c:v>
                </c:pt>
                <c:pt idx="145">
                  <c:v>0.41918620689655173</c:v>
                </c:pt>
                <c:pt idx="146">
                  <c:v>0.41963013698630136</c:v>
                </c:pt>
                <c:pt idx="147">
                  <c:v>0.42006802721088438</c:v>
                </c:pt>
                <c:pt idx="148">
                  <c:v>0.42049999999999998</c:v>
                </c:pt>
                <c:pt idx="149">
                  <c:v>0.42092617449664432</c:v>
                </c:pt>
                <c:pt idx="150">
                  <c:v>0.42134666666666665</c:v>
                </c:pt>
                <c:pt idx="151">
                  <c:v>0.42176158940397351</c:v>
                </c:pt>
                <c:pt idx="152">
                  <c:v>0.42217105263157895</c:v>
                </c:pt>
                <c:pt idx="153">
                  <c:v>0.42257516339869283</c:v>
                </c:pt>
                <c:pt idx="154">
                  <c:v>0.42297402597402595</c:v>
                </c:pt>
                <c:pt idx="155">
                  <c:v>0.42336774193548388</c:v>
                </c:pt>
                <c:pt idx="156">
                  <c:v>0.42375641025641025</c:v>
                </c:pt>
                <c:pt idx="157">
                  <c:v>0.42414012738853502</c:v>
                </c:pt>
                <c:pt idx="158">
                  <c:v>0.42451898734177212</c:v>
                </c:pt>
                <c:pt idx="159">
                  <c:v>0.42489308176100626</c:v>
                </c:pt>
                <c:pt idx="160">
                  <c:v>0.42526249999999999</c:v>
                </c:pt>
                <c:pt idx="161">
                  <c:v>0.42562732919254659</c:v>
                </c:pt>
                <c:pt idx="162">
                  <c:v>0.42598765432098767</c:v>
                </c:pt>
                <c:pt idx="163">
                  <c:v>0.4263435582822086</c:v>
                </c:pt>
                <c:pt idx="164">
                  <c:v>0.4266951219512195</c:v>
                </c:pt>
                <c:pt idx="165">
                  <c:v>0.42704242424242422</c:v>
                </c:pt>
                <c:pt idx="166">
                  <c:v>0.42738554216867469</c:v>
                </c:pt>
                <c:pt idx="167">
                  <c:v>0.4277245508982036</c:v>
                </c:pt>
                <c:pt idx="168">
                  <c:v>0.42805952380952383</c:v>
                </c:pt>
                <c:pt idx="169">
                  <c:v>0.4283905325443787</c:v>
                </c:pt>
                <c:pt idx="170">
                  <c:v>0.42871764705882354</c:v>
                </c:pt>
                <c:pt idx="171">
                  <c:v>0.42904093567251461</c:v>
                </c:pt>
                <c:pt idx="172">
                  <c:v>0.42936046511627907</c:v>
                </c:pt>
                <c:pt idx="173">
                  <c:v>0.42967630057803469</c:v>
                </c:pt>
                <c:pt idx="174">
                  <c:v>0.42998850574712644</c:v>
                </c:pt>
                <c:pt idx="175">
                  <c:v>0.43029714285714288</c:v>
                </c:pt>
                <c:pt idx="176">
                  <c:v>0.43060227272727275</c:v>
                </c:pt>
                <c:pt idx="177">
                  <c:v>0.4309039548022599</c:v>
                </c:pt>
                <c:pt idx="178">
                  <c:v>0.43120224719101125</c:v>
                </c:pt>
                <c:pt idx="179">
                  <c:v>0.43149720670391062</c:v>
                </c:pt>
                <c:pt idx="180">
                  <c:v>0.43178888888888889</c:v>
                </c:pt>
                <c:pt idx="181">
                  <c:v>0.43207734806629833</c:v>
                </c:pt>
                <c:pt idx="182">
                  <c:v>0.43236263736263736</c:v>
                </c:pt>
                <c:pt idx="183">
                  <c:v>0.43264480874316941</c:v>
                </c:pt>
                <c:pt idx="184">
                  <c:v>0.43292391304347827</c:v>
                </c:pt>
                <c:pt idx="185">
                  <c:v>0.43319999999999997</c:v>
                </c:pt>
                <c:pt idx="186">
                  <c:v>0.43347311827956991</c:v>
                </c:pt>
                <c:pt idx="187">
                  <c:v>0.43374331550802137</c:v>
                </c:pt>
                <c:pt idx="188">
                  <c:v>0.43401063829787234</c:v>
                </c:pt>
                <c:pt idx="189">
                  <c:v>0.43427513227513226</c:v>
                </c:pt>
                <c:pt idx="190">
                  <c:v>0.43453684210526317</c:v>
                </c:pt>
                <c:pt idx="191">
                  <c:v>0.43479581151832458</c:v>
                </c:pt>
                <c:pt idx="192">
                  <c:v>0.43505208333333334</c:v>
                </c:pt>
                <c:pt idx="193">
                  <c:v>0.43530569948186526</c:v>
                </c:pt>
                <c:pt idx="194">
                  <c:v>0.43555670103092786</c:v>
                </c:pt>
                <c:pt idx="195">
                  <c:v>0.43580512820512818</c:v>
                </c:pt>
                <c:pt idx="196">
                  <c:v>0.43605102040816329</c:v>
                </c:pt>
                <c:pt idx="197">
                  <c:v>0.43629441624365484</c:v>
                </c:pt>
                <c:pt idx="198">
                  <c:v>0.43653535353535355</c:v>
                </c:pt>
                <c:pt idx="199">
                  <c:v>0.43677386934673368</c:v>
                </c:pt>
                <c:pt idx="200">
                  <c:v>0.43701000000000001</c:v>
                </c:pt>
              </c:numCache>
            </c:numRef>
          </c:val>
          <c:smooth val="0"/>
          <c:extLst>
            <c:ext xmlns:c16="http://schemas.microsoft.com/office/drawing/2014/chart" uri="{C3380CC4-5D6E-409C-BE32-E72D297353CC}">
              <c16:uniqueId val="{00000001-6E78-4B29-BC32-0683D9E4DAA0}"/>
            </c:ext>
          </c:extLst>
        </c:ser>
        <c:dLbls>
          <c:showLegendKey val="0"/>
          <c:showVal val="0"/>
          <c:showCatName val="0"/>
          <c:showSerName val="0"/>
          <c:showPercent val="0"/>
          <c:showBubbleSize val="0"/>
        </c:dLbls>
        <c:marker val="1"/>
        <c:smooth val="0"/>
        <c:axId val="372419200"/>
        <c:axId val="372433280"/>
      </c:lineChart>
      <c:lineChart>
        <c:grouping val="standard"/>
        <c:varyColors val="0"/>
        <c:ser>
          <c:idx val="5"/>
          <c:order val="2"/>
          <c:tx>
            <c:strRef>
              <c:f>'Charts 4+5'!$O$10</c:f>
              <c:strCache>
                <c:ptCount val="1"/>
                <c:pt idx="0">
                  <c:v>Total MTR on net tax (incl LITO ML and TBRL)</c:v>
                </c:pt>
              </c:strCache>
            </c:strRef>
          </c:tx>
          <c:spPr>
            <a:ln w="15875">
              <a:solidFill>
                <a:schemeClr val="accent6"/>
              </a:solidFill>
            </a:ln>
          </c:spPr>
          <c:marker>
            <c:symbol val="none"/>
          </c:marker>
          <c:cat>
            <c:numRef>
              <c:f>'Charts 4+5'!$A$11:$A$211</c:f>
              <c:numCache>
                <c:formatCode>#,##0</c:formatCode>
                <c:ptCount val="20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numCache>
            </c:numRef>
          </c:cat>
          <c:val>
            <c:numRef>
              <c:f>'Charts 4+5'!$O$11:$O$211</c:f>
              <c:numCache>
                <c:formatCode>0.0%</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8.6999999999999994E-2</c:v>
                </c:pt>
                <c:pt idx="22">
                  <c:v>0.192</c:v>
                </c:pt>
                <c:pt idx="23">
                  <c:v>0.28999999999999998</c:v>
                </c:pt>
                <c:pt idx="24">
                  <c:v>0.28999999999999998</c:v>
                </c:pt>
                <c:pt idx="25">
                  <c:v>0.28999999999999998</c:v>
                </c:pt>
                <c:pt idx="26">
                  <c:v>0.28999999999999998</c:v>
                </c:pt>
                <c:pt idx="27">
                  <c:v>0.28999999999999998</c:v>
                </c:pt>
                <c:pt idx="28">
                  <c:v>0.248</c:v>
                </c:pt>
                <c:pt idx="29">
                  <c:v>0.21</c:v>
                </c:pt>
                <c:pt idx="30">
                  <c:v>0.21</c:v>
                </c:pt>
                <c:pt idx="31">
                  <c:v>0.21</c:v>
                </c:pt>
                <c:pt idx="32">
                  <c:v>0.21</c:v>
                </c:pt>
                <c:pt idx="33">
                  <c:v>0.21</c:v>
                </c:pt>
                <c:pt idx="34">
                  <c:v>0.21</c:v>
                </c:pt>
                <c:pt idx="35">
                  <c:v>0.21</c:v>
                </c:pt>
                <c:pt idx="36">
                  <c:v>0.21</c:v>
                </c:pt>
                <c:pt idx="37">
                  <c:v>0.21</c:v>
                </c:pt>
                <c:pt idx="38">
                  <c:v>0.36</c:v>
                </c:pt>
                <c:pt idx="39">
                  <c:v>0.36</c:v>
                </c:pt>
                <c:pt idx="40">
                  <c:v>0.36</c:v>
                </c:pt>
                <c:pt idx="41">
                  <c:v>0.36</c:v>
                </c:pt>
                <c:pt idx="42">
                  <c:v>0.36</c:v>
                </c:pt>
                <c:pt idx="43">
                  <c:v>0.36</c:v>
                </c:pt>
                <c:pt idx="44">
                  <c:v>0.36</c:v>
                </c:pt>
                <c:pt idx="45">
                  <c:v>0.36</c:v>
                </c:pt>
                <c:pt idx="46">
                  <c:v>0.36</c:v>
                </c:pt>
                <c:pt idx="47">
                  <c:v>0.36</c:v>
                </c:pt>
                <c:pt idx="48">
                  <c:v>0.36</c:v>
                </c:pt>
                <c:pt idx="49">
                  <c:v>0.36</c:v>
                </c:pt>
                <c:pt idx="50">
                  <c:v>0.36</c:v>
                </c:pt>
                <c:pt idx="51">
                  <c:v>0.36</c:v>
                </c:pt>
                <c:pt idx="52">
                  <c:v>0.36</c:v>
                </c:pt>
                <c:pt idx="53">
                  <c:v>0.36</c:v>
                </c:pt>
                <c:pt idx="54">
                  <c:v>0.36</c:v>
                </c:pt>
                <c:pt idx="55">
                  <c:v>0.36</c:v>
                </c:pt>
                <c:pt idx="56">
                  <c:v>0.36</c:v>
                </c:pt>
                <c:pt idx="57">
                  <c:v>0.36</c:v>
                </c:pt>
                <c:pt idx="58">
                  <c:v>0.36</c:v>
                </c:pt>
                <c:pt idx="59">
                  <c:v>0.36</c:v>
                </c:pt>
                <c:pt idx="60">
                  <c:v>0.36</c:v>
                </c:pt>
                <c:pt idx="61">
                  <c:v>0.36</c:v>
                </c:pt>
                <c:pt idx="62">
                  <c:v>0.36</c:v>
                </c:pt>
                <c:pt idx="63">
                  <c:v>0.36</c:v>
                </c:pt>
                <c:pt idx="64">
                  <c:v>0.36</c:v>
                </c:pt>
                <c:pt idx="65">
                  <c:v>0.36</c:v>
                </c:pt>
                <c:pt idx="66">
                  <c:v>0.36</c:v>
                </c:pt>
                <c:pt idx="67">
                  <c:v>0.35499999999999998</c:v>
                </c:pt>
                <c:pt idx="68">
                  <c:v>0.34499999999999997</c:v>
                </c:pt>
                <c:pt idx="69">
                  <c:v>0.34499999999999997</c:v>
                </c:pt>
                <c:pt idx="70">
                  <c:v>0.34499999999999997</c:v>
                </c:pt>
                <c:pt idx="71">
                  <c:v>0.34499999999999997</c:v>
                </c:pt>
                <c:pt idx="72">
                  <c:v>0.34499999999999997</c:v>
                </c:pt>
                <c:pt idx="73">
                  <c:v>0.34499999999999997</c:v>
                </c:pt>
                <c:pt idx="74">
                  <c:v>0.34499999999999997</c:v>
                </c:pt>
                <c:pt idx="75">
                  <c:v>0.34499999999999997</c:v>
                </c:pt>
                <c:pt idx="76">
                  <c:v>0.34499999999999997</c:v>
                </c:pt>
                <c:pt idx="77">
                  <c:v>0.34499999999999997</c:v>
                </c:pt>
                <c:pt idx="78">
                  <c:v>0.34499999999999997</c:v>
                </c:pt>
                <c:pt idx="79">
                  <c:v>0.34499999999999997</c:v>
                </c:pt>
                <c:pt idx="80">
                  <c:v>0.34499999999999997</c:v>
                </c:pt>
                <c:pt idx="81">
                  <c:v>0.39</c:v>
                </c:pt>
                <c:pt idx="82">
                  <c:v>0.39</c:v>
                </c:pt>
                <c:pt idx="83">
                  <c:v>0.39</c:v>
                </c:pt>
                <c:pt idx="84">
                  <c:v>0.39</c:v>
                </c:pt>
                <c:pt idx="85">
                  <c:v>0.39</c:v>
                </c:pt>
                <c:pt idx="86">
                  <c:v>0.39</c:v>
                </c:pt>
                <c:pt idx="87">
                  <c:v>0.39</c:v>
                </c:pt>
                <c:pt idx="88">
                  <c:v>0.39</c:v>
                </c:pt>
                <c:pt idx="89">
                  <c:v>0.39</c:v>
                </c:pt>
                <c:pt idx="90">
                  <c:v>0.39</c:v>
                </c:pt>
                <c:pt idx="91">
                  <c:v>0.39</c:v>
                </c:pt>
                <c:pt idx="92">
                  <c:v>0.39</c:v>
                </c:pt>
                <c:pt idx="93">
                  <c:v>0.39</c:v>
                </c:pt>
                <c:pt idx="94">
                  <c:v>0.39</c:v>
                </c:pt>
                <c:pt idx="95">
                  <c:v>0.39</c:v>
                </c:pt>
                <c:pt idx="96">
                  <c:v>0.39</c:v>
                </c:pt>
                <c:pt idx="97">
                  <c:v>0.39</c:v>
                </c:pt>
                <c:pt idx="98">
                  <c:v>0.39</c:v>
                </c:pt>
                <c:pt idx="99">
                  <c:v>0.39</c:v>
                </c:pt>
                <c:pt idx="100">
                  <c:v>0.39</c:v>
                </c:pt>
                <c:pt idx="101">
                  <c:v>0.39</c:v>
                </c:pt>
                <c:pt idx="102">
                  <c:v>0.39</c:v>
                </c:pt>
                <c:pt idx="103">
                  <c:v>0.39</c:v>
                </c:pt>
                <c:pt idx="104">
                  <c:v>0.39</c:v>
                </c:pt>
                <c:pt idx="105">
                  <c:v>0.39</c:v>
                </c:pt>
                <c:pt idx="106">
                  <c:v>0.39</c:v>
                </c:pt>
                <c:pt idx="107">
                  <c:v>0.39</c:v>
                </c:pt>
                <c:pt idx="108">
                  <c:v>0.39</c:v>
                </c:pt>
                <c:pt idx="109">
                  <c:v>0.39</c:v>
                </c:pt>
                <c:pt idx="110">
                  <c:v>0.39</c:v>
                </c:pt>
                <c:pt idx="111">
                  <c:v>0.39</c:v>
                </c:pt>
                <c:pt idx="112">
                  <c:v>0.39</c:v>
                </c:pt>
                <c:pt idx="113">
                  <c:v>0.39</c:v>
                </c:pt>
                <c:pt idx="114">
                  <c:v>0.39</c:v>
                </c:pt>
                <c:pt idx="115">
                  <c:v>0.39</c:v>
                </c:pt>
                <c:pt idx="116">
                  <c:v>0.39</c:v>
                </c:pt>
                <c:pt idx="117">
                  <c:v>0.39</c:v>
                </c:pt>
                <c:pt idx="118">
                  <c:v>0.39</c:v>
                </c:pt>
                <c:pt idx="119">
                  <c:v>0.39</c:v>
                </c:pt>
                <c:pt idx="120">
                  <c:v>0.39</c:v>
                </c:pt>
                <c:pt idx="121">
                  <c:v>0.39</c:v>
                </c:pt>
                <c:pt idx="122">
                  <c:v>0.39</c:v>
                </c:pt>
                <c:pt idx="123">
                  <c:v>0.39</c:v>
                </c:pt>
                <c:pt idx="124">
                  <c:v>0.39</c:v>
                </c:pt>
                <c:pt idx="125">
                  <c:v>0.39</c:v>
                </c:pt>
                <c:pt idx="126">
                  <c:v>0.39</c:v>
                </c:pt>
                <c:pt idx="127">
                  <c:v>0.39</c:v>
                </c:pt>
                <c:pt idx="128">
                  <c:v>0.39</c:v>
                </c:pt>
                <c:pt idx="129">
                  <c:v>0.39</c:v>
                </c:pt>
                <c:pt idx="130">
                  <c:v>0.39</c:v>
                </c:pt>
                <c:pt idx="131">
                  <c:v>0.39</c:v>
                </c:pt>
                <c:pt idx="132">
                  <c:v>0.39</c:v>
                </c:pt>
                <c:pt idx="133">
                  <c:v>0.39</c:v>
                </c:pt>
                <c:pt idx="134">
                  <c:v>0.39</c:v>
                </c:pt>
                <c:pt idx="135">
                  <c:v>0.39</c:v>
                </c:pt>
                <c:pt idx="136">
                  <c:v>0.39</c:v>
                </c:pt>
                <c:pt idx="137">
                  <c:v>0.39</c:v>
                </c:pt>
                <c:pt idx="138">
                  <c:v>0.39</c:v>
                </c:pt>
                <c:pt idx="139">
                  <c:v>0.39</c:v>
                </c:pt>
                <c:pt idx="140">
                  <c:v>0.39</c:v>
                </c:pt>
                <c:pt idx="141">
                  <c:v>0.39</c:v>
                </c:pt>
                <c:pt idx="142">
                  <c:v>0.39</c:v>
                </c:pt>
                <c:pt idx="143">
                  <c:v>0.39</c:v>
                </c:pt>
                <c:pt idx="144">
                  <c:v>0.39</c:v>
                </c:pt>
                <c:pt idx="145">
                  <c:v>0.39</c:v>
                </c:pt>
                <c:pt idx="146">
                  <c:v>0.39</c:v>
                </c:pt>
                <c:pt idx="147">
                  <c:v>0.39</c:v>
                </c:pt>
                <c:pt idx="148">
                  <c:v>0.39</c:v>
                </c:pt>
                <c:pt idx="149">
                  <c:v>0.39</c:v>
                </c:pt>
                <c:pt idx="150">
                  <c:v>0.39</c:v>
                </c:pt>
                <c:pt idx="151">
                  <c:v>0.39</c:v>
                </c:pt>
                <c:pt idx="152">
                  <c:v>0.39</c:v>
                </c:pt>
                <c:pt idx="153">
                  <c:v>0.39</c:v>
                </c:pt>
                <c:pt idx="154">
                  <c:v>0.39</c:v>
                </c:pt>
                <c:pt idx="155">
                  <c:v>0.39</c:v>
                </c:pt>
                <c:pt idx="156">
                  <c:v>0.39</c:v>
                </c:pt>
                <c:pt idx="157">
                  <c:v>0.39</c:v>
                </c:pt>
                <c:pt idx="158">
                  <c:v>0.39</c:v>
                </c:pt>
                <c:pt idx="159">
                  <c:v>0.39</c:v>
                </c:pt>
                <c:pt idx="160">
                  <c:v>0.39</c:v>
                </c:pt>
                <c:pt idx="161">
                  <c:v>0.39</c:v>
                </c:pt>
                <c:pt idx="162">
                  <c:v>0.39</c:v>
                </c:pt>
                <c:pt idx="163">
                  <c:v>0.39</c:v>
                </c:pt>
                <c:pt idx="164">
                  <c:v>0.39</c:v>
                </c:pt>
                <c:pt idx="165">
                  <c:v>0.39</c:v>
                </c:pt>
                <c:pt idx="166">
                  <c:v>0.39</c:v>
                </c:pt>
                <c:pt idx="167">
                  <c:v>0.39</c:v>
                </c:pt>
                <c:pt idx="168">
                  <c:v>0.39</c:v>
                </c:pt>
                <c:pt idx="169">
                  <c:v>0.39</c:v>
                </c:pt>
                <c:pt idx="170">
                  <c:v>0.39</c:v>
                </c:pt>
                <c:pt idx="171">
                  <c:v>0.39</c:v>
                </c:pt>
                <c:pt idx="172">
                  <c:v>0.39</c:v>
                </c:pt>
                <c:pt idx="173">
                  <c:v>0.39</c:v>
                </c:pt>
                <c:pt idx="174">
                  <c:v>0.39</c:v>
                </c:pt>
                <c:pt idx="175">
                  <c:v>0.39</c:v>
                </c:pt>
                <c:pt idx="176">
                  <c:v>0.39</c:v>
                </c:pt>
                <c:pt idx="177">
                  <c:v>0.39</c:v>
                </c:pt>
                <c:pt idx="178">
                  <c:v>0.39</c:v>
                </c:pt>
                <c:pt idx="179">
                  <c:v>0.39</c:v>
                </c:pt>
                <c:pt idx="180">
                  <c:v>0.39</c:v>
                </c:pt>
                <c:pt idx="181">
                  <c:v>0.49</c:v>
                </c:pt>
                <c:pt idx="182">
                  <c:v>0.49</c:v>
                </c:pt>
                <c:pt idx="183">
                  <c:v>0.49</c:v>
                </c:pt>
                <c:pt idx="184">
                  <c:v>0.49</c:v>
                </c:pt>
                <c:pt idx="185">
                  <c:v>0.49</c:v>
                </c:pt>
                <c:pt idx="186">
                  <c:v>0.49</c:v>
                </c:pt>
                <c:pt idx="187">
                  <c:v>0.49</c:v>
                </c:pt>
                <c:pt idx="188">
                  <c:v>0.49</c:v>
                </c:pt>
                <c:pt idx="189">
                  <c:v>0.49</c:v>
                </c:pt>
                <c:pt idx="190">
                  <c:v>0.49</c:v>
                </c:pt>
                <c:pt idx="191">
                  <c:v>0.49</c:v>
                </c:pt>
                <c:pt idx="192">
                  <c:v>0.49</c:v>
                </c:pt>
                <c:pt idx="193">
                  <c:v>0.49</c:v>
                </c:pt>
                <c:pt idx="194">
                  <c:v>0.49</c:v>
                </c:pt>
                <c:pt idx="195">
                  <c:v>0.49</c:v>
                </c:pt>
                <c:pt idx="196">
                  <c:v>0.49</c:v>
                </c:pt>
                <c:pt idx="197">
                  <c:v>0.49</c:v>
                </c:pt>
                <c:pt idx="198">
                  <c:v>0.49</c:v>
                </c:pt>
                <c:pt idx="199">
                  <c:v>0.49</c:v>
                </c:pt>
                <c:pt idx="200">
                  <c:v>0.49</c:v>
                </c:pt>
              </c:numCache>
            </c:numRef>
          </c:val>
          <c:smooth val="0"/>
          <c:extLst>
            <c:ext xmlns:c16="http://schemas.microsoft.com/office/drawing/2014/chart" uri="{C3380CC4-5D6E-409C-BE32-E72D297353CC}">
              <c16:uniqueId val="{00000002-6E78-4B29-BC32-0683D9E4DAA0}"/>
            </c:ext>
          </c:extLst>
        </c:ser>
        <c:ser>
          <c:idx val="6"/>
          <c:order val="3"/>
          <c:tx>
            <c:strRef>
              <c:f>'Charts 4+5'!$N$10</c:f>
              <c:strCache>
                <c:ptCount val="1"/>
                <c:pt idx="0">
                  <c:v>ATR on net tax (incl LITO ML and TBRL)</c:v>
                </c:pt>
              </c:strCache>
            </c:strRef>
          </c:tx>
          <c:spPr>
            <a:ln w="15875">
              <a:solidFill>
                <a:schemeClr val="accent6"/>
              </a:solidFill>
            </a:ln>
          </c:spPr>
          <c:marker>
            <c:symbol val="none"/>
          </c:marker>
          <c:cat>
            <c:numRef>
              <c:f>'Charts 4+5'!$A$11:$A$211</c:f>
              <c:numCache>
                <c:formatCode>#,##0</c:formatCode>
                <c:ptCount val="20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numCache>
            </c:numRef>
          </c:cat>
          <c:val>
            <c:numRef>
              <c:f>'Charts 4+5'!$N$11:$N$211</c:f>
              <c:numCache>
                <c:formatCode>0.0%</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4.1428571428571426E-3</c:v>
                </c:pt>
                <c:pt idx="22">
                  <c:v>1.2681818181818181E-2</c:v>
                </c:pt>
                <c:pt idx="23">
                  <c:v>2.4739130434782607E-2</c:v>
                </c:pt>
                <c:pt idx="24">
                  <c:v>3.5791666666666666E-2</c:v>
                </c:pt>
                <c:pt idx="25">
                  <c:v>4.5960000000000001E-2</c:v>
                </c:pt>
                <c:pt idx="26">
                  <c:v>5.5346153846153844E-2</c:v>
                </c:pt>
                <c:pt idx="27">
                  <c:v>6.4037037037037031E-2</c:v>
                </c:pt>
                <c:pt idx="28">
                  <c:v>7.0607142857142854E-2</c:v>
                </c:pt>
                <c:pt idx="29">
                  <c:v>7.5413793103448271E-2</c:v>
                </c:pt>
                <c:pt idx="30">
                  <c:v>7.9899999999999999E-2</c:v>
                </c:pt>
                <c:pt idx="31">
                  <c:v>8.4096774193548385E-2</c:v>
                </c:pt>
                <c:pt idx="32">
                  <c:v>8.8031250000000005E-2</c:v>
                </c:pt>
                <c:pt idx="33">
                  <c:v>9.1727272727272727E-2</c:v>
                </c:pt>
                <c:pt idx="34">
                  <c:v>9.5205882352941182E-2</c:v>
                </c:pt>
                <c:pt idx="35">
                  <c:v>9.8485714285714288E-2</c:v>
                </c:pt>
                <c:pt idx="36">
                  <c:v>0.10158333333333333</c:v>
                </c:pt>
                <c:pt idx="37">
                  <c:v>0.10451351351351351</c:v>
                </c:pt>
                <c:pt idx="38">
                  <c:v>0.11123684210526316</c:v>
                </c:pt>
                <c:pt idx="39">
                  <c:v>0.11761538461538462</c:v>
                </c:pt>
                <c:pt idx="40">
                  <c:v>0.12367499999999999</c:v>
                </c:pt>
                <c:pt idx="41">
                  <c:v>0.12943902439024391</c:v>
                </c:pt>
                <c:pt idx="42">
                  <c:v>0.13492857142857143</c:v>
                </c:pt>
                <c:pt idx="43">
                  <c:v>0.14016279069767443</c:v>
                </c:pt>
                <c:pt idx="44">
                  <c:v>0.1451590909090909</c:v>
                </c:pt>
                <c:pt idx="45">
                  <c:v>0.14993333333333334</c:v>
                </c:pt>
                <c:pt idx="46">
                  <c:v>0.1545</c:v>
                </c:pt>
                <c:pt idx="47">
                  <c:v>0.15887234042553192</c:v>
                </c:pt>
                <c:pt idx="48">
                  <c:v>0.1630625</c:v>
                </c:pt>
                <c:pt idx="49">
                  <c:v>0.16708163265306122</c:v>
                </c:pt>
                <c:pt idx="50">
                  <c:v>0.17094000000000001</c:v>
                </c:pt>
                <c:pt idx="51">
                  <c:v>0.17464705882352941</c:v>
                </c:pt>
                <c:pt idx="52">
                  <c:v>0.17821153846153845</c:v>
                </c:pt>
                <c:pt idx="53">
                  <c:v>0.18164150943396226</c:v>
                </c:pt>
                <c:pt idx="54">
                  <c:v>0.18494444444444444</c:v>
                </c:pt>
                <c:pt idx="55">
                  <c:v>0.18812727272727273</c:v>
                </c:pt>
                <c:pt idx="56">
                  <c:v>0.19119642857142857</c:v>
                </c:pt>
                <c:pt idx="57">
                  <c:v>0.19415789473684211</c:v>
                </c:pt>
                <c:pt idx="58">
                  <c:v>0.19701724137931034</c:v>
                </c:pt>
                <c:pt idx="59">
                  <c:v>0.19977966101694916</c:v>
                </c:pt>
                <c:pt idx="60">
                  <c:v>0.20244999999999999</c:v>
                </c:pt>
                <c:pt idx="61">
                  <c:v>0.2050327868852459</c:v>
                </c:pt>
                <c:pt idx="62">
                  <c:v>0.20753225806451614</c:v>
                </c:pt>
                <c:pt idx="63">
                  <c:v>0.20995238095238095</c:v>
                </c:pt>
                <c:pt idx="64">
                  <c:v>0.212296875</c:v>
                </c:pt>
                <c:pt idx="65">
                  <c:v>0.21456923076923076</c:v>
                </c:pt>
                <c:pt idx="66">
                  <c:v>0.21677272727272728</c:v>
                </c:pt>
                <c:pt idx="67">
                  <c:v>0.21883582089552239</c:v>
                </c:pt>
                <c:pt idx="68">
                  <c:v>0.22069117647058822</c:v>
                </c:pt>
                <c:pt idx="69">
                  <c:v>0.22249275362318841</c:v>
                </c:pt>
                <c:pt idx="70">
                  <c:v>0.22424285714285713</c:v>
                </c:pt>
                <c:pt idx="71">
                  <c:v>0.22594366197183099</c:v>
                </c:pt>
                <c:pt idx="72">
                  <c:v>0.22759722222222223</c:v>
                </c:pt>
                <c:pt idx="73">
                  <c:v>0.2292054794520548</c:v>
                </c:pt>
                <c:pt idx="74">
                  <c:v>0.23077027027027028</c:v>
                </c:pt>
                <c:pt idx="75">
                  <c:v>0.23229333333333332</c:v>
                </c:pt>
                <c:pt idx="76">
                  <c:v>0.23377631578947369</c:v>
                </c:pt>
                <c:pt idx="77">
                  <c:v>0.23522077922077922</c:v>
                </c:pt>
                <c:pt idx="78">
                  <c:v>0.23662820512820512</c:v>
                </c:pt>
                <c:pt idx="79">
                  <c:v>0.23799999999999999</c:v>
                </c:pt>
                <c:pt idx="80">
                  <c:v>0.23933750000000001</c:v>
                </c:pt>
                <c:pt idx="81">
                  <c:v>0.24119753086419754</c:v>
                </c:pt>
                <c:pt idx="82">
                  <c:v>0.24301219512195121</c:v>
                </c:pt>
                <c:pt idx="83">
                  <c:v>0.24478313253012049</c:v>
                </c:pt>
                <c:pt idx="84">
                  <c:v>0.24651190476190477</c:v>
                </c:pt>
                <c:pt idx="85">
                  <c:v>0.2482</c:v>
                </c:pt>
                <c:pt idx="86">
                  <c:v>0.24984883720930232</c:v>
                </c:pt>
                <c:pt idx="87">
                  <c:v>0.25145977011494253</c:v>
                </c:pt>
                <c:pt idx="88">
                  <c:v>0.2530340909090909</c:v>
                </c:pt>
                <c:pt idx="89">
                  <c:v>0.25457303370786516</c:v>
                </c:pt>
                <c:pt idx="90">
                  <c:v>0.25607777777777779</c:v>
                </c:pt>
                <c:pt idx="91">
                  <c:v>0.25754945054945055</c:v>
                </c:pt>
                <c:pt idx="92">
                  <c:v>0.25898913043478261</c:v>
                </c:pt>
                <c:pt idx="93">
                  <c:v>0.2603978494623656</c:v>
                </c:pt>
                <c:pt idx="94">
                  <c:v>0.26177659574468087</c:v>
                </c:pt>
                <c:pt idx="95">
                  <c:v>0.26312631578947371</c:v>
                </c:pt>
                <c:pt idx="96">
                  <c:v>0.26444791666666667</c:v>
                </c:pt>
                <c:pt idx="97">
                  <c:v>0.26574226804123713</c:v>
                </c:pt>
                <c:pt idx="98">
                  <c:v>0.26701020408163267</c:v>
                </c:pt>
                <c:pt idx="99">
                  <c:v>0.26825252525252524</c:v>
                </c:pt>
                <c:pt idx="100">
                  <c:v>0.26946999999999999</c:v>
                </c:pt>
                <c:pt idx="101">
                  <c:v>0.27066336633663368</c:v>
                </c:pt>
                <c:pt idx="102">
                  <c:v>0.27183333333333332</c:v>
                </c:pt>
                <c:pt idx="103">
                  <c:v>0.27298058252427182</c:v>
                </c:pt>
                <c:pt idx="104">
                  <c:v>0.27410576923076924</c:v>
                </c:pt>
                <c:pt idx="105">
                  <c:v>0.27520952380952379</c:v>
                </c:pt>
                <c:pt idx="106">
                  <c:v>0.27629245283018866</c:v>
                </c:pt>
                <c:pt idx="107">
                  <c:v>0.27735514018691587</c:v>
                </c:pt>
                <c:pt idx="108">
                  <c:v>0.27839814814814817</c:v>
                </c:pt>
                <c:pt idx="109">
                  <c:v>0.27942201834862385</c:v>
                </c:pt>
                <c:pt idx="110">
                  <c:v>0.28042727272727275</c:v>
                </c:pt>
                <c:pt idx="111">
                  <c:v>0.28141441441441439</c:v>
                </c:pt>
                <c:pt idx="112">
                  <c:v>0.28238392857142858</c:v>
                </c:pt>
                <c:pt idx="113">
                  <c:v>0.2833362831858407</c:v>
                </c:pt>
                <c:pt idx="114">
                  <c:v>0.2842719298245614</c:v>
                </c:pt>
                <c:pt idx="115">
                  <c:v>0.28519130434782608</c:v>
                </c:pt>
                <c:pt idx="116">
                  <c:v>0.28609482758620691</c:v>
                </c:pt>
                <c:pt idx="117">
                  <c:v>0.28698290598290599</c:v>
                </c:pt>
                <c:pt idx="118">
                  <c:v>0.28785593220338984</c:v>
                </c:pt>
                <c:pt idx="119">
                  <c:v>0.2887142857142857</c:v>
                </c:pt>
                <c:pt idx="120">
                  <c:v>0.28955833333333331</c:v>
                </c:pt>
                <c:pt idx="121">
                  <c:v>0.29038842975206614</c:v>
                </c:pt>
                <c:pt idx="122">
                  <c:v>0.29120491803278686</c:v>
                </c:pt>
                <c:pt idx="123">
                  <c:v>0.29200813008130083</c:v>
                </c:pt>
                <c:pt idx="124">
                  <c:v>0.29279838709677419</c:v>
                </c:pt>
                <c:pt idx="125">
                  <c:v>0.293576</c:v>
                </c:pt>
                <c:pt idx="126">
                  <c:v>0.29434126984126985</c:v>
                </c:pt>
                <c:pt idx="127">
                  <c:v>0.29509448818897638</c:v>
                </c:pt>
                <c:pt idx="128">
                  <c:v>0.29583593749999998</c:v>
                </c:pt>
                <c:pt idx="129">
                  <c:v>0.29656589147286821</c:v>
                </c:pt>
                <c:pt idx="130">
                  <c:v>0.29728461538461537</c:v>
                </c:pt>
                <c:pt idx="131">
                  <c:v>0.29799236641221372</c:v>
                </c:pt>
                <c:pt idx="132">
                  <c:v>0.29868939393939392</c:v>
                </c:pt>
                <c:pt idx="133">
                  <c:v>0.29937593984962407</c:v>
                </c:pt>
                <c:pt idx="134">
                  <c:v>0.30005223880597015</c:v>
                </c:pt>
                <c:pt idx="135">
                  <c:v>0.3007185185185185</c:v>
                </c:pt>
                <c:pt idx="136">
                  <c:v>0.301375</c:v>
                </c:pt>
                <c:pt idx="137">
                  <c:v>0.30202189781021899</c:v>
                </c:pt>
                <c:pt idx="138">
                  <c:v>0.3026594202898551</c:v>
                </c:pt>
                <c:pt idx="139">
                  <c:v>0.30328776978417266</c:v>
                </c:pt>
                <c:pt idx="140">
                  <c:v>0.30390714285714288</c:v>
                </c:pt>
                <c:pt idx="141">
                  <c:v>0.30451773049645392</c:v>
                </c:pt>
                <c:pt idx="142">
                  <c:v>0.30511971830985918</c:v>
                </c:pt>
                <c:pt idx="143">
                  <c:v>0.30571328671328674</c:v>
                </c:pt>
                <c:pt idx="144">
                  <c:v>0.30629861111111112</c:v>
                </c:pt>
                <c:pt idx="145">
                  <c:v>0.3068758620689655</c:v>
                </c:pt>
                <c:pt idx="146">
                  <c:v>0.30744520547945203</c:v>
                </c:pt>
                <c:pt idx="147">
                  <c:v>0.30800680272108844</c:v>
                </c:pt>
                <c:pt idx="148">
                  <c:v>0.30856081081081083</c:v>
                </c:pt>
                <c:pt idx="149">
                  <c:v>0.3091073825503356</c:v>
                </c:pt>
                <c:pt idx="150">
                  <c:v>0.30964666666666668</c:v>
                </c:pt>
                <c:pt idx="151">
                  <c:v>0.31017880794701985</c:v>
                </c:pt>
                <c:pt idx="152">
                  <c:v>0.31070394736842105</c:v>
                </c:pt>
                <c:pt idx="153">
                  <c:v>0.31122222222222223</c:v>
                </c:pt>
                <c:pt idx="154">
                  <c:v>0.31173376623376625</c:v>
                </c:pt>
                <c:pt idx="155">
                  <c:v>0.31223870967741935</c:v>
                </c:pt>
                <c:pt idx="156">
                  <c:v>0.3127371794871795</c:v>
                </c:pt>
                <c:pt idx="157">
                  <c:v>0.31322929936305732</c:v>
                </c:pt>
                <c:pt idx="158">
                  <c:v>0.31371518987341773</c:v>
                </c:pt>
                <c:pt idx="159">
                  <c:v>0.31419496855345913</c:v>
                </c:pt>
                <c:pt idx="160">
                  <c:v>0.31466875</c:v>
                </c:pt>
                <c:pt idx="161">
                  <c:v>0.31513664596273294</c:v>
                </c:pt>
                <c:pt idx="162">
                  <c:v>0.31559876543209875</c:v>
                </c:pt>
                <c:pt idx="163">
                  <c:v>0.31605521472392639</c:v>
                </c:pt>
                <c:pt idx="164">
                  <c:v>0.31650609756097559</c:v>
                </c:pt>
                <c:pt idx="165">
                  <c:v>0.31695151515151515</c:v>
                </c:pt>
                <c:pt idx="166">
                  <c:v>0.31739156626506027</c:v>
                </c:pt>
                <c:pt idx="167">
                  <c:v>0.31782634730538922</c:v>
                </c:pt>
                <c:pt idx="168">
                  <c:v>0.31825595238095239</c:v>
                </c:pt>
                <c:pt idx="169">
                  <c:v>0.31868047337278105</c:v>
                </c:pt>
                <c:pt idx="170">
                  <c:v>0.31909999999999999</c:v>
                </c:pt>
                <c:pt idx="171">
                  <c:v>0.31951461988304092</c:v>
                </c:pt>
                <c:pt idx="172">
                  <c:v>0.31992441860465115</c:v>
                </c:pt>
                <c:pt idx="173">
                  <c:v>0.32032947976878612</c:v>
                </c:pt>
                <c:pt idx="174">
                  <c:v>0.32072988505747124</c:v>
                </c:pt>
                <c:pt idx="175">
                  <c:v>0.32112571428571429</c:v>
                </c:pt>
                <c:pt idx="176">
                  <c:v>0.32151704545454546</c:v>
                </c:pt>
                <c:pt idx="177">
                  <c:v>0.32190395480225986</c:v>
                </c:pt>
                <c:pt idx="178">
                  <c:v>0.32228651685393256</c:v>
                </c:pt>
                <c:pt idx="179">
                  <c:v>0.32266480446927376</c:v>
                </c:pt>
                <c:pt idx="180">
                  <c:v>0.32303888888888888</c:v>
                </c:pt>
                <c:pt idx="181">
                  <c:v>0.32396132596685084</c:v>
                </c:pt>
                <c:pt idx="182">
                  <c:v>0.32487362637362638</c:v>
                </c:pt>
                <c:pt idx="183">
                  <c:v>0.32577595628415301</c:v>
                </c:pt>
                <c:pt idx="184">
                  <c:v>0.32666847826086959</c:v>
                </c:pt>
                <c:pt idx="185">
                  <c:v>0.32755135135135133</c:v>
                </c:pt>
                <c:pt idx="186">
                  <c:v>0.32842473118279569</c:v>
                </c:pt>
                <c:pt idx="187">
                  <c:v>0.32928877005347595</c:v>
                </c:pt>
                <c:pt idx="188">
                  <c:v>0.33014361702127659</c:v>
                </c:pt>
                <c:pt idx="189">
                  <c:v>0.330989417989418</c:v>
                </c:pt>
                <c:pt idx="190">
                  <c:v>0.33182631578947369</c:v>
                </c:pt>
                <c:pt idx="191">
                  <c:v>0.33265445026178009</c:v>
                </c:pt>
                <c:pt idx="192">
                  <c:v>0.33347395833333332</c:v>
                </c:pt>
                <c:pt idx="193">
                  <c:v>0.33428497409326424</c:v>
                </c:pt>
                <c:pt idx="194">
                  <c:v>0.33508762886597937</c:v>
                </c:pt>
                <c:pt idx="195">
                  <c:v>0.33588205128205129</c:v>
                </c:pt>
                <c:pt idx="196">
                  <c:v>0.33666836734693878</c:v>
                </c:pt>
                <c:pt idx="197">
                  <c:v>0.33744670050761422</c:v>
                </c:pt>
                <c:pt idx="198">
                  <c:v>0.33821717171717169</c:v>
                </c:pt>
                <c:pt idx="199">
                  <c:v>0.33897989949748741</c:v>
                </c:pt>
                <c:pt idx="200">
                  <c:v>0.33973500000000001</c:v>
                </c:pt>
              </c:numCache>
            </c:numRef>
          </c:val>
          <c:smooth val="0"/>
          <c:extLst>
            <c:ext xmlns:c16="http://schemas.microsoft.com/office/drawing/2014/chart" uri="{C3380CC4-5D6E-409C-BE32-E72D297353CC}">
              <c16:uniqueId val="{00000003-6E78-4B29-BC32-0683D9E4DAA0}"/>
            </c:ext>
          </c:extLst>
        </c:ser>
        <c:dLbls>
          <c:showLegendKey val="0"/>
          <c:showVal val="0"/>
          <c:showCatName val="0"/>
          <c:showSerName val="0"/>
          <c:showPercent val="0"/>
          <c:showBubbleSize val="0"/>
        </c:dLbls>
        <c:marker val="1"/>
        <c:smooth val="0"/>
        <c:axId val="372437376"/>
        <c:axId val="372435200"/>
      </c:lineChart>
      <c:catAx>
        <c:axId val="372419200"/>
        <c:scaling>
          <c:orientation val="minMax"/>
        </c:scaling>
        <c:delete val="0"/>
        <c:axPos val="b"/>
        <c:numFmt formatCode="#,##0" sourceLinked="0"/>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72433280"/>
        <c:crosses val="autoZero"/>
        <c:auto val="1"/>
        <c:lblAlgn val="ctr"/>
        <c:lblOffset val="100"/>
        <c:tickLblSkip val="20"/>
        <c:tickMarkSkip val="20"/>
        <c:noMultiLvlLbl val="0"/>
      </c:catAx>
      <c:valAx>
        <c:axId val="372433280"/>
        <c:scaling>
          <c:orientation val="minMax"/>
          <c:max val="0.5"/>
        </c:scaling>
        <c:delete val="0"/>
        <c:axPos val="l"/>
        <c:title>
          <c:tx>
            <c:rich>
              <a:bodyPr rot="0" vert="horz"/>
              <a:lstStyle/>
              <a:p>
                <a:pPr>
                  <a:defRPr sz="800" b="0" i="0">
                    <a:solidFill>
                      <a:srgbClr val="000000"/>
                    </a:solidFill>
                    <a:latin typeface="Arial"/>
                    <a:ea typeface="Arial"/>
                    <a:cs typeface="Arial"/>
                  </a:defRPr>
                </a:pPr>
                <a:r>
                  <a:rPr lang="en-AU"/>
                  <a:t>Tax rate</a:t>
                </a:r>
              </a:p>
            </c:rich>
          </c:tx>
          <c:layout>
            <c:manualLayout>
              <c:xMode val="edge"/>
              <c:yMode val="edge"/>
              <c:x val="6.6003584229390677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72419200"/>
        <c:crosses val="autoZero"/>
        <c:crossBetween val="midCat"/>
      </c:valAx>
      <c:valAx>
        <c:axId val="372435200"/>
        <c:scaling>
          <c:orientation val="minMax"/>
          <c:max val="0.5"/>
          <c:min val="0"/>
        </c:scaling>
        <c:delete val="0"/>
        <c:axPos val="r"/>
        <c:title>
          <c:tx>
            <c:rich>
              <a:bodyPr rot="0" vert="horz"/>
              <a:lstStyle/>
              <a:p>
                <a:pPr>
                  <a:defRPr sz="800" b="0" i="0">
                    <a:solidFill>
                      <a:srgbClr val="000000"/>
                    </a:solidFill>
                    <a:latin typeface="Arial"/>
                    <a:ea typeface="Arial"/>
                    <a:cs typeface="Arial"/>
                  </a:defRPr>
                </a:pPr>
                <a:r>
                  <a:rPr lang="en-AU"/>
                  <a:t>Tax rate</a:t>
                </a:r>
              </a:p>
            </c:rich>
          </c:tx>
          <c:layout>
            <c:manualLayout>
              <c:xMode val="edge"/>
              <c:yMode val="edge"/>
              <c:x val="0.8717482078853046"/>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72437376"/>
        <c:crosses val="max"/>
        <c:crossBetween val="midCat"/>
        <c:majorUnit val="5.000000000000001E-2"/>
      </c:valAx>
      <c:catAx>
        <c:axId val="372437376"/>
        <c:scaling>
          <c:orientation val="minMax"/>
        </c:scaling>
        <c:delete val="1"/>
        <c:axPos val="t"/>
        <c:numFmt formatCode="#,##0" sourceLinked="1"/>
        <c:majorTickMark val="none"/>
        <c:minorTickMark val="none"/>
        <c:tickLblPos val="none"/>
        <c:crossAx val="372435200"/>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5931899641577062E-2"/>
          <c:y val="3.9687500000000001E-2"/>
          <c:w val="0.98406810035842296"/>
          <c:h val="0.88015624999999997"/>
        </c:manualLayout>
      </c:layout>
      <c:lineChart>
        <c:grouping val="standard"/>
        <c:varyColors val="0"/>
        <c:ser>
          <c:idx val="0"/>
          <c:order val="0"/>
          <c:marker>
            <c:symbol val="none"/>
          </c:marker>
          <c:cat>
            <c:numRef>
              <c:f>'[4]MAD 95 to 15'!$K$4:$K$204</c:f>
              <c:numCache>
                <c:formatCode>General</c:formatCode>
                <c:ptCount val="20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numCache>
            </c:numRef>
          </c:cat>
          <c:val>
            <c:numRef>
              <c:f>'ATR+brackets'!$G$21:$G$221</c:f>
              <c:numCache>
                <c:formatCode>0.0%</c:formatCode>
                <c:ptCount val="201"/>
                <c:pt idx="0">
                  <c:v>0</c:v>
                </c:pt>
                <c:pt idx="1">
                  <c:v>0</c:v>
                </c:pt>
                <c:pt idx="2">
                  <c:v>0</c:v>
                </c:pt>
                <c:pt idx="3">
                  <c:v>0</c:v>
                </c:pt>
                <c:pt idx="4">
                  <c:v>0</c:v>
                </c:pt>
                <c:pt idx="5">
                  <c:v>0</c:v>
                </c:pt>
                <c:pt idx="6">
                  <c:v>0</c:v>
                </c:pt>
                <c:pt idx="7">
                  <c:v>2.4285714285714285E-2</c:v>
                </c:pt>
                <c:pt idx="8">
                  <c:v>4.6249999999999999E-2</c:v>
                </c:pt>
                <c:pt idx="9">
                  <c:v>6.3333333333333339E-2</c:v>
                </c:pt>
                <c:pt idx="10">
                  <c:v>7.6999999999999999E-2</c:v>
                </c:pt>
                <c:pt idx="11">
                  <c:v>8.8181818181818181E-2</c:v>
                </c:pt>
                <c:pt idx="12">
                  <c:v>9.7500000000000003E-2</c:v>
                </c:pt>
                <c:pt idx="13">
                  <c:v>0.11016923076923077</c:v>
                </c:pt>
                <c:pt idx="14">
                  <c:v>0.12614285714285714</c:v>
                </c:pt>
                <c:pt idx="15">
                  <c:v>0.13200000000000001</c:v>
                </c:pt>
                <c:pt idx="16">
                  <c:v>0.137125</c:v>
                </c:pt>
                <c:pt idx="17">
                  <c:v>0.1416470588235294</c:v>
                </c:pt>
                <c:pt idx="18">
                  <c:v>0.14566666666666667</c:v>
                </c:pt>
                <c:pt idx="19">
                  <c:v>0.14926315789473685</c:v>
                </c:pt>
                <c:pt idx="20">
                  <c:v>0.1525</c:v>
                </c:pt>
                <c:pt idx="21">
                  <c:v>0.158</c:v>
                </c:pt>
                <c:pt idx="22">
                  <c:v>0.16872727272727273</c:v>
                </c:pt>
                <c:pt idx="23">
                  <c:v>0.17852173913043479</c:v>
                </c:pt>
                <c:pt idx="24">
                  <c:v>0.1875</c:v>
                </c:pt>
                <c:pt idx="25">
                  <c:v>0.19488</c:v>
                </c:pt>
                <c:pt idx="26">
                  <c:v>0.20100000000000001</c:v>
                </c:pt>
                <c:pt idx="27">
                  <c:v>0.20666666666666667</c:v>
                </c:pt>
                <c:pt idx="28">
                  <c:v>0.21192857142857144</c:v>
                </c:pt>
                <c:pt idx="29">
                  <c:v>0.21682758620689654</c:v>
                </c:pt>
                <c:pt idx="30">
                  <c:v>0.22140000000000001</c:v>
                </c:pt>
                <c:pt idx="31">
                  <c:v>0.2256774193548387</c:v>
                </c:pt>
                <c:pt idx="32">
                  <c:v>0.22968749999999999</c:v>
                </c:pt>
                <c:pt idx="33">
                  <c:v>0.23345454545454544</c:v>
                </c:pt>
                <c:pt idx="34">
                  <c:v>0.23699999999999999</c:v>
                </c:pt>
                <c:pt idx="35">
                  <c:v>0.24034285714285714</c:v>
                </c:pt>
                <c:pt idx="36">
                  <c:v>0.24349999999999999</c:v>
                </c:pt>
                <c:pt idx="37">
                  <c:v>0.24648648648648649</c:v>
                </c:pt>
                <c:pt idx="38">
                  <c:v>0.24931578947368421</c:v>
                </c:pt>
                <c:pt idx="39">
                  <c:v>0.25430769230769229</c:v>
                </c:pt>
                <c:pt idx="40">
                  <c:v>0.25905</c:v>
                </c:pt>
                <c:pt idx="41">
                  <c:v>0.26356097560975611</c:v>
                </c:pt>
                <c:pt idx="42">
                  <c:v>0.26785714285714285</c:v>
                </c:pt>
                <c:pt idx="43">
                  <c:v>0.27195348837209304</c:v>
                </c:pt>
                <c:pt idx="44">
                  <c:v>0.27586363636363637</c:v>
                </c:pt>
                <c:pt idx="45">
                  <c:v>0.27960000000000002</c:v>
                </c:pt>
                <c:pt idx="46">
                  <c:v>0.28317391304347828</c:v>
                </c:pt>
                <c:pt idx="47">
                  <c:v>0.28659574468085108</c:v>
                </c:pt>
                <c:pt idx="48">
                  <c:v>0.28987499999999999</c:v>
                </c:pt>
                <c:pt idx="49">
                  <c:v>0.2930204081632653</c:v>
                </c:pt>
                <c:pt idx="50">
                  <c:v>0.29604000000000003</c:v>
                </c:pt>
                <c:pt idx="51">
                  <c:v>0.29972549019607841</c:v>
                </c:pt>
                <c:pt idx="52">
                  <c:v>0.30326923076923079</c:v>
                </c:pt>
                <c:pt idx="53">
                  <c:v>0.30667924528301888</c:v>
                </c:pt>
                <c:pt idx="54">
                  <c:v>0.30996296296296294</c:v>
                </c:pt>
                <c:pt idx="55">
                  <c:v>0.31312727272727275</c:v>
                </c:pt>
                <c:pt idx="56">
                  <c:v>0.31617857142857142</c:v>
                </c:pt>
                <c:pt idx="57">
                  <c:v>0.31912280701754386</c:v>
                </c:pt>
                <c:pt idx="58">
                  <c:v>0.32196551724137928</c:v>
                </c:pt>
                <c:pt idx="59">
                  <c:v>0.32471186440677968</c:v>
                </c:pt>
                <c:pt idx="60">
                  <c:v>0.32736666666666664</c:v>
                </c:pt>
                <c:pt idx="61">
                  <c:v>0.32993442622950819</c:v>
                </c:pt>
                <c:pt idx="62">
                  <c:v>0.33241935483870966</c:v>
                </c:pt>
                <c:pt idx="63">
                  <c:v>0.3348253968253968</c:v>
                </c:pt>
                <c:pt idx="64">
                  <c:v>0.33715624999999999</c:v>
                </c:pt>
                <c:pt idx="65">
                  <c:v>0.33941538461538462</c:v>
                </c:pt>
                <c:pt idx="66">
                  <c:v>0.34160606060606058</c:v>
                </c:pt>
                <c:pt idx="67">
                  <c:v>0.34373134328358207</c:v>
                </c:pt>
                <c:pt idx="68">
                  <c:v>0.34579411764705881</c:v>
                </c:pt>
                <c:pt idx="69">
                  <c:v>0.34779710144927534</c:v>
                </c:pt>
                <c:pt idx="70">
                  <c:v>0.34974285714285713</c:v>
                </c:pt>
                <c:pt idx="71">
                  <c:v>0.35163380281690143</c:v>
                </c:pt>
                <c:pt idx="72">
                  <c:v>0.35347222222222224</c:v>
                </c:pt>
                <c:pt idx="73">
                  <c:v>0.35526027397260274</c:v>
                </c:pt>
                <c:pt idx="74">
                  <c:v>0.35699999999999998</c:v>
                </c:pt>
                <c:pt idx="75">
                  <c:v>0.35869333333333331</c:v>
                </c:pt>
                <c:pt idx="76">
                  <c:v>0.36034210526315791</c:v>
                </c:pt>
                <c:pt idx="77">
                  <c:v>0.36194805194805196</c:v>
                </c:pt>
                <c:pt idx="78">
                  <c:v>0.36351282051282052</c:v>
                </c:pt>
                <c:pt idx="79">
                  <c:v>0.36503797468354432</c:v>
                </c:pt>
                <c:pt idx="80">
                  <c:v>0.36652499999999999</c:v>
                </c:pt>
                <c:pt idx="81">
                  <c:v>0.36797530864197531</c:v>
                </c:pt>
                <c:pt idx="82">
                  <c:v>0.36939024390243902</c:v>
                </c:pt>
                <c:pt idx="83">
                  <c:v>0.3707710843373494</c:v>
                </c:pt>
                <c:pt idx="84">
                  <c:v>0.37211904761904763</c:v>
                </c:pt>
                <c:pt idx="85">
                  <c:v>0.37343529411764703</c:v>
                </c:pt>
                <c:pt idx="86">
                  <c:v>0.37472093023255815</c:v>
                </c:pt>
                <c:pt idx="87">
                  <c:v>0.37597701149425289</c:v>
                </c:pt>
                <c:pt idx="88">
                  <c:v>0.37720454545454546</c:v>
                </c:pt>
                <c:pt idx="89">
                  <c:v>0.37840449438202245</c:v>
                </c:pt>
                <c:pt idx="90">
                  <c:v>0.37957777777777779</c:v>
                </c:pt>
                <c:pt idx="91">
                  <c:v>0.38072527472527473</c:v>
                </c:pt>
                <c:pt idx="92">
                  <c:v>0.3818478260869565</c:v>
                </c:pt>
                <c:pt idx="93">
                  <c:v>0.38294623655913979</c:v>
                </c:pt>
                <c:pt idx="94">
                  <c:v>0.3840212765957447</c:v>
                </c:pt>
                <c:pt idx="95">
                  <c:v>0.38507368421052629</c:v>
                </c:pt>
                <c:pt idx="96">
                  <c:v>0.38610416666666669</c:v>
                </c:pt>
                <c:pt idx="97">
                  <c:v>0.38711340206185568</c:v>
                </c:pt>
                <c:pt idx="98">
                  <c:v>0.38810204081632654</c:v>
                </c:pt>
                <c:pt idx="99">
                  <c:v>0.38907070707070707</c:v>
                </c:pt>
                <c:pt idx="100">
                  <c:v>0.39001999999999998</c:v>
                </c:pt>
                <c:pt idx="101">
                  <c:v>0.39095049504950496</c:v>
                </c:pt>
                <c:pt idx="102">
                  <c:v>0.3918627450980392</c:v>
                </c:pt>
                <c:pt idx="103">
                  <c:v>0.39275728155339806</c:v>
                </c:pt>
                <c:pt idx="104">
                  <c:v>0.39363461538461536</c:v>
                </c:pt>
                <c:pt idx="105">
                  <c:v>0.39449523809523812</c:v>
                </c:pt>
                <c:pt idx="106">
                  <c:v>0.39533962264150946</c:v>
                </c:pt>
                <c:pt idx="107">
                  <c:v>0.3961682242990654</c:v>
                </c:pt>
                <c:pt idx="108">
                  <c:v>0.39698148148148149</c:v>
                </c:pt>
                <c:pt idx="109">
                  <c:v>0.39777981651376149</c:v>
                </c:pt>
                <c:pt idx="110">
                  <c:v>0.39856363636363634</c:v>
                </c:pt>
                <c:pt idx="111">
                  <c:v>0.39933333333333332</c:v>
                </c:pt>
                <c:pt idx="112">
                  <c:v>0.4000892857142857</c:v>
                </c:pt>
                <c:pt idx="113">
                  <c:v>0.40083185840707963</c:v>
                </c:pt>
                <c:pt idx="114">
                  <c:v>0.40156140350877195</c:v>
                </c:pt>
                <c:pt idx="115">
                  <c:v>0.4022782608695652</c:v>
                </c:pt>
                <c:pt idx="116">
                  <c:v>0.40298275862068966</c:v>
                </c:pt>
                <c:pt idx="117">
                  <c:v>0.4036752136752137</c:v>
                </c:pt>
                <c:pt idx="118">
                  <c:v>0.40435593220338983</c:v>
                </c:pt>
                <c:pt idx="119">
                  <c:v>0.40502521008403364</c:v>
                </c:pt>
                <c:pt idx="120">
                  <c:v>0.40568333333333334</c:v>
                </c:pt>
                <c:pt idx="121">
                  <c:v>0.40633057851239668</c:v>
                </c:pt>
                <c:pt idx="122">
                  <c:v>0.40696721311475409</c:v>
                </c:pt>
                <c:pt idx="123">
                  <c:v>0.40759349593495936</c:v>
                </c:pt>
                <c:pt idx="124">
                  <c:v>0.40820967741935482</c:v>
                </c:pt>
                <c:pt idx="125">
                  <c:v>0.40881600000000001</c:v>
                </c:pt>
                <c:pt idx="126">
                  <c:v>0.40941269841269839</c:v>
                </c:pt>
                <c:pt idx="127">
                  <c:v>0.41</c:v>
                </c:pt>
                <c:pt idx="128">
                  <c:v>0.41057812500000002</c:v>
                </c:pt>
                <c:pt idx="129">
                  <c:v>0.41114728682170543</c:v>
                </c:pt>
                <c:pt idx="130">
                  <c:v>0.41170769230769233</c:v>
                </c:pt>
                <c:pt idx="131">
                  <c:v>0.4122595419847328</c:v>
                </c:pt>
                <c:pt idx="132">
                  <c:v>0.41280303030303028</c:v>
                </c:pt>
                <c:pt idx="133">
                  <c:v>0.41333834586466167</c:v>
                </c:pt>
                <c:pt idx="134">
                  <c:v>0.41386567164179106</c:v>
                </c:pt>
                <c:pt idx="135">
                  <c:v>0.41438518518518519</c:v>
                </c:pt>
                <c:pt idx="136">
                  <c:v>0.4148970588235294</c:v>
                </c:pt>
                <c:pt idx="137">
                  <c:v>0.41540145985401461</c:v>
                </c:pt>
                <c:pt idx="138">
                  <c:v>0.41589855072463766</c:v>
                </c:pt>
                <c:pt idx="139">
                  <c:v>0.41638848920863308</c:v>
                </c:pt>
                <c:pt idx="140">
                  <c:v>0.41687142857142856</c:v>
                </c:pt>
                <c:pt idx="141">
                  <c:v>0.41734751773049644</c:v>
                </c:pt>
                <c:pt idx="142">
                  <c:v>0.41781690140845068</c:v>
                </c:pt>
                <c:pt idx="143">
                  <c:v>0.41827972027972027</c:v>
                </c:pt>
                <c:pt idx="144">
                  <c:v>0.41873611111111109</c:v>
                </c:pt>
                <c:pt idx="145">
                  <c:v>0.41918620689655173</c:v>
                </c:pt>
                <c:pt idx="146">
                  <c:v>0.41963013698630136</c:v>
                </c:pt>
                <c:pt idx="147">
                  <c:v>0.42006802721088438</c:v>
                </c:pt>
                <c:pt idx="148">
                  <c:v>0.42049999999999998</c:v>
                </c:pt>
                <c:pt idx="149">
                  <c:v>0.42092617449664427</c:v>
                </c:pt>
                <c:pt idx="150">
                  <c:v>0.42134666666666665</c:v>
                </c:pt>
                <c:pt idx="151">
                  <c:v>0.42176158940397351</c:v>
                </c:pt>
                <c:pt idx="152">
                  <c:v>0.42217105263157895</c:v>
                </c:pt>
                <c:pt idx="153">
                  <c:v>0.42257516339869283</c:v>
                </c:pt>
                <c:pt idx="154">
                  <c:v>0.42297402597402595</c:v>
                </c:pt>
                <c:pt idx="155">
                  <c:v>0.42336774193548388</c:v>
                </c:pt>
                <c:pt idx="156">
                  <c:v>0.42375641025641025</c:v>
                </c:pt>
                <c:pt idx="157">
                  <c:v>0.42414012738853502</c:v>
                </c:pt>
                <c:pt idx="158">
                  <c:v>0.42451898734177212</c:v>
                </c:pt>
                <c:pt idx="159">
                  <c:v>0.42489308176100626</c:v>
                </c:pt>
                <c:pt idx="160">
                  <c:v>0.42526249999999999</c:v>
                </c:pt>
                <c:pt idx="161">
                  <c:v>0.42562732919254659</c:v>
                </c:pt>
                <c:pt idx="162">
                  <c:v>0.42598765432098767</c:v>
                </c:pt>
                <c:pt idx="163">
                  <c:v>0.4263435582822086</c:v>
                </c:pt>
                <c:pt idx="164">
                  <c:v>0.4266951219512195</c:v>
                </c:pt>
                <c:pt idx="165">
                  <c:v>0.42704242424242422</c:v>
                </c:pt>
                <c:pt idx="166">
                  <c:v>0.42738554216867469</c:v>
                </c:pt>
                <c:pt idx="167">
                  <c:v>0.4277245508982036</c:v>
                </c:pt>
                <c:pt idx="168">
                  <c:v>0.42805952380952383</c:v>
                </c:pt>
                <c:pt idx="169">
                  <c:v>0.4283905325443787</c:v>
                </c:pt>
                <c:pt idx="170">
                  <c:v>0.42871764705882354</c:v>
                </c:pt>
                <c:pt idx="171">
                  <c:v>0.42904093567251461</c:v>
                </c:pt>
                <c:pt idx="172">
                  <c:v>0.42936046511627907</c:v>
                </c:pt>
                <c:pt idx="173">
                  <c:v>0.42967630057803469</c:v>
                </c:pt>
                <c:pt idx="174">
                  <c:v>0.42998850574712644</c:v>
                </c:pt>
                <c:pt idx="175">
                  <c:v>0.43029714285714288</c:v>
                </c:pt>
                <c:pt idx="176">
                  <c:v>0.43060227272727275</c:v>
                </c:pt>
                <c:pt idx="177">
                  <c:v>0.4309039548022599</c:v>
                </c:pt>
                <c:pt idx="178">
                  <c:v>0.43120224719101125</c:v>
                </c:pt>
                <c:pt idx="179">
                  <c:v>0.43149720670391062</c:v>
                </c:pt>
                <c:pt idx="180">
                  <c:v>0.43178888888888889</c:v>
                </c:pt>
                <c:pt idx="181">
                  <c:v>0.43207734806629833</c:v>
                </c:pt>
                <c:pt idx="182">
                  <c:v>0.43236263736263736</c:v>
                </c:pt>
                <c:pt idx="183">
                  <c:v>0.43264480874316941</c:v>
                </c:pt>
                <c:pt idx="184">
                  <c:v>0.43292391304347827</c:v>
                </c:pt>
                <c:pt idx="185">
                  <c:v>0.43319999999999997</c:v>
                </c:pt>
                <c:pt idx="186">
                  <c:v>0.43347311827956991</c:v>
                </c:pt>
                <c:pt idx="187">
                  <c:v>0.43374331550802137</c:v>
                </c:pt>
                <c:pt idx="188">
                  <c:v>0.43401063829787234</c:v>
                </c:pt>
                <c:pt idx="189">
                  <c:v>0.43427513227513226</c:v>
                </c:pt>
                <c:pt idx="190">
                  <c:v>0.43453684210526317</c:v>
                </c:pt>
                <c:pt idx="191">
                  <c:v>0.43479581151832458</c:v>
                </c:pt>
                <c:pt idx="192">
                  <c:v>0.43505208333333334</c:v>
                </c:pt>
                <c:pt idx="193">
                  <c:v>0.43530569948186526</c:v>
                </c:pt>
                <c:pt idx="194">
                  <c:v>0.43555670103092786</c:v>
                </c:pt>
                <c:pt idx="195">
                  <c:v>0.43580512820512818</c:v>
                </c:pt>
                <c:pt idx="196">
                  <c:v>0.43605102040816329</c:v>
                </c:pt>
                <c:pt idx="197">
                  <c:v>0.43629441624365484</c:v>
                </c:pt>
                <c:pt idx="198">
                  <c:v>0.43653535353535355</c:v>
                </c:pt>
                <c:pt idx="199">
                  <c:v>0.43677386934673368</c:v>
                </c:pt>
                <c:pt idx="200">
                  <c:v>0.43701000000000001</c:v>
                </c:pt>
              </c:numCache>
            </c:numRef>
          </c:val>
          <c:smooth val="0"/>
          <c:extLst>
            <c:ext xmlns:c16="http://schemas.microsoft.com/office/drawing/2014/chart" uri="{C3380CC4-5D6E-409C-BE32-E72D297353CC}">
              <c16:uniqueId val="{00000000-AB71-4934-9CB4-997CB3673857}"/>
            </c:ext>
          </c:extLst>
        </c:ser>
        <c:dLbls>
          <c:showLegendKey val="0"/>
          <c:showVal val="0"/>
          <c:showCatName val="0"/>
          <c:showSerName val="0"/>
          <c:showPercent val="0"/>
          <c:showBubbleSize val="0"/>
        </c:dLbls>
        <c:marker val="1"/>
        <c:smooth val="0"/>
        <c:axId val="477371008"/>
        <c:axId val="477376896"/>
      </c:lineChart>
      <c:lineChart>
        <c:grouping val="standard"/>
        <c:varyColors val="0"/>
        <c:ser>
          <c:idx val="3"/>
          <c:order val="1"/>
          <c:spPr>
            <a:ln>
              <a:solidFill>
                <a:schemeClr val="accent6"/>
              </a:solidFill>
            </a:ln>
          </c:spPr>
          <c:marker>
            <c:symbol val="none"/>
          </c:marker>
          <c:cat>
            <c:numRef>
              <c:f>'[4]MAD 95 to 15'!$K$4:$K$204</c:f>
              <c:numCache>
                <c:formatCode>General</c:formatCode>
                <c:ptCount val="201"/>
                <c:pt idx="0">
                  <c:v>0</c:v>
                </c:pt>
                <c:pt idx="1">
                  <c:v>1000</c:v>
                </c:pt>
                <c:pt idx="2">
                  <c:v>2000</c:v>
                </c:pt>
                <c:pt idx="3">
                  <c:v>3000</c:v>
                </c:pt>
                <c:pt idx="4">
                  <c:v>4000</c:v>
                </c:pt>
                <c:pt idx="5">
                  <c:v>5000</c:v>
                </c:pt>
                <c:pt idx="6">
                  <c:v>6000</c:v>
                </c:pt>
                <c:pt idx="7">
                  <c:v>7000</c:v>
                </c:pt>
                <c:pt idx="8">
                  <c:v>8000</c:v>
                </c:pt>
                <c:pt idx="9">
                  <c:v>9000</c:v>
                </c:pt>
                <c:pt idx="10">
                  <c:v>10000</c:v>
                </c:pt>
                <c:pt idx="11">
                  <c:v>11000</c:v>
                </c:pt>
                <c:pt idx="12">
                  <c:v>12000</c:v>
                </c:pt>
                <c:pt idx="13">
                  <c:v>13000</c:v>
                </c:pt>
                <c:pt idx="14">
                  <c:v>14000</c:v>
                </c:pt>
                <c:pt idx="15">
                  <c:v>15000</c:v>
                </c:pt>
                <c:pt idx="16">
                  <c:v>16000</c:v>
                </c:pt>
                <c:pt idx="17">
                  <c:v>17000</c:v>
                </c:pt>
                <c:pt idx="18">
                  <c:v>18000</c:v>
                </c:pt>
                <c:pt idx="19">
                  <c:v>19000</c:v>
                </c:pt>
                <c:pt idx="20">
                  <c:v>20000</c:v>
                </c:pt>
                <c:pt idx="21">
                  <c:v>21000</c:v>
                </c:pt>
                <c:pt idx="22">
                  <c:v>22000</c:v>
                </c:pt>
                <c:pt idx="23">
                  <c:v>23000</c:v>
                </c:pt>
                <c:pt idx="24">
                  <c:v>24000</c:v>
                </c:pt>
                <c:pt idx="25">
                  <c:v>25000</c:v>
                </c:pt>
                <c:pt idx="26">
                  <c:v>26000</c:v>
                </c:pt>
                <c:pt idx="27">
                  <c:v>27000</c:v>
                </c:pt>
                <c:pt idx="28">
                  <c:v>28000</c:v>
                </c:pt>
                <c:pt idx="29">
                  <c:v>29000</c:v>
                </c:pt>
                <c:pt idx="30">
                  <c:v>30000</c:v>
                </c:pt>
                <c:pt idx="31">
                  <c:v>31000</c:v>
                </c:pt>
                <c:pt idx="32">
                  <c:v>32000</c:v>
                </c:pt>
                <c:pt idx="33">
                  <c:v>33000</c:v>
                </c:pt>
                <c:pt idx="34">
                  <c:v>34000</c:v>
                </c:pt>
                <c:pt idx="35">
                  <c:v>35000</c:v>
                </c:pt>
                <c:pt idx="36">
                  <c:v>36000</c:v>
                </c:pt>
                <c:pt idx="37">
                  <c:v>37000</c:v>
                </c:pt>
                <c:pt idx="38">
                  <c:v>38000</c:v>
                </c:pt>
                <c:pt idx="39">
                  <c:v>39000</c:v>
                </c:pt>
                <c:pt idx="40">
                  <c:v>40000</c:v>
                </c:pt>
                <c:pt idx="41">
                  <c:v>41000</c:v>
                </c:pt>
                <c:pt idx="42">
                  <c:v>42000</c:v>
                </c:pt>
                <c:pt idx="43">
                  <c:v>43000</c:v>
                </c:pt>
                <c:pt idx="44">
                  <c:v>44000</c:v>
                </c:pt>
                <c:pt idx="45">
                  <c:v>45000</c:v>
                </c:pt>
                <c:pt idx="46">
                  <c:v>46000</c:v>
                </c:pt>
                <c:pt idx="47">
                  <c:v>47000</c:v>
                </c:pt>
                <c:pt idx="48">
                  <c:v>48000</c:v>
                </c:pt>
                <c:pt idx="49">
                  <c:v>49000</c:v>
                </c:pt>
                <c:pt idx="50">
                  <c:v>50000</c:v>
                </c:pt>
                <c:pt idx="51">
                  <c:v>51000</c:v>
                </c:pt>
                <c:pt idx="52">
                  <c:v>52000</c:v>
                </c:pt>
                <c:pt idx="53">
                  <c:v>53000</c:v>
                </c:pt>
                <c:pt idx="54">
                  <c:v>54000</c:v>
                </c:pt>
                <c:pt idx="55">
                  <c:v>55000</c:v>
                </c:pt>
                <c:pt idx="56">
                  <c:v>56000</c:v>
                </c:pt>
                <c:pt idx="57">
                  <c:v>57000</c:v>
                </c:pt>
                <c:pt idx="58">
                  <c:v>58000</c:v>
                </c:pt>
                <c:pt idx="59">
                  <c:v>59000</c:v>
                </c:pt>
                <c:pt idx="60">
                  <c:v>60000</c:v>
                </c:pt>
                <c:pt idx="61">
                  <c:v>61000</c:v>
                </c:pt>
                <c:pt idx="62">
                  <c:v>62000</c:v>
                </c:pt>
                <c:pt idx="63">
                  <c:v>63000</c:v>
                </c:pt>
                <c:pt idx="64">
                  <c:v>64000</c:v>
                </c:pt>
                <c:pt idx="65">
                  <c:v>65000</c:v>
                </c:pt>
                <c:pt idx="66">
                  <c:v>66000</c:v>
                </c:pt>
                <c:pt idx="67">
                  <c:v>67000</c:v>
                </c:pt>
                <c:pt idx="68">
                  <c:v>68000</c:v>
                </c:pt>
                <c:pt idx="69">
                  <c:v>69000</c:v>
                </c:pt>
                <c:pt idx="70">
                  <c:v>70000</c:v>
                </c:pt>
                <c:pt idx="71">
                  <c:v>71000</c:v>
                </c:pt>
                <c:pt idx="72">
                  <c:v>72000</c:v>
                </c:pt>
                <c:pt idx="73">
                  <c:v>73000</c:v>
                </c:pt>
                <c:pt idx="74">
                  <c:v>74000</c:v>
                </c:pt>
                <c:pt idx="75">
                  <c:v>75000</c:v>
                </c:pt>
                <c:pt idx="76">
                  <c:v>76000</c:v>
                </c:pt>
                <c:pt idx="77">
                  <c:v>77000</c:v>
                </c:pt>
                <c:pt idx="78">
                  <c:v>78000</c:v>
                </c:pt>
                <c:pt idx="79">
                  <c:v>79000</c:v>
                </c:pt>
                <c:pt idx="80">
                  <c:v>80000</c:v>
                </c:pt>
                <c:pt idx="81">
                  <c:v>81000</c:v>
                </c:pt>
                <c:pt idx="82">
                  <c:v>82000</c:v>
                </c:pt>
                <c:pt idx="83">
                  <c:v>83000</c:v>
                </c:pt>
                <c:pt idx="84">
                  <c:v>84000</c:v>
                </c:pt>
                <c:pt idx="85">
                  <c:v>85000</c:v>
                </c:pt>
                <c:pt idx="86">
                  <c:v>86000</c:v>
                </c:pt>
                <c:pt idx="87">
                  <c:v>87000</c:v>
                </c:pt>
                <c:pt idx="88">
                  <c:v>88000</c:v>
                </c:pt>
                <c:pt idx="89">
                  <c:v>89000</c:v>
                </c:pt>
                <c:pt idx="90">
                  <c:v>90000</c:v>
                </c:pt>
                <c:pt idx="91">
                  <c:v>91000</c:v>
                </c:pt>
                <c:pt idx="92">
                  <c:v>92000</c:v>
                </c:pt>
                <c:pt idx="93">
                  <c:v>93000</c:v>
                </c:pt>
                <c:pt idx="94">
                  <c:v>94000</c:v>
                </c:pt>
                <c:pt idx="95">
                  <c:v>95000</c:v>
                </c:pt>
                <c:pt idx="96">
                  <c:v>96000</c:v>
                </c:pt>
                <c:pt idx="97">
                  <c:v>97000</c:v>
                </c:pt>
                <c:pt idx="98">
                  <c:v>98000</c:v>
                </c:pt>
                <c:pt idx="99">
                  <c:v>99000</c:v>
                </c:pt>
                <c:pt idx="100">
                  <c:v>100000</c:v>
                </c:pt>
                <c:pt idx="101">
                  <c:v>101000</c:v>
                </c:pt>
                <c:pt idx="102">
                  <c:v>102000</c:v>
                </c:pt>
                <c:pt idx="103">
                  <c:v>103000</c:v>
                </c:pt>
                <c:pt idx="104">
                  <c:v>104000</c:v>
                </c:pt>
                <c:pt idx="105">
                  <c:v>105000</c:v>
                </c:pt>
                <c:pt idx="106">
                  <c:v>106000</c:v>
                </c:pt>
                <c:pt idx="107">
                  <c:v>107000</c:v>
                </c:pt>
                <c:pt idx="108">
                  <c:v>108000</c:v>
                </c:pt>
                <c:pt idx="109">
                  <c:v>109000</c:v>
                </c:pt>
                <c:pt idx="110">
                  <c:v>110000</c:v>
                </c:pt>
                <c:pt idx="111">
                  <c:v>111000</c:v>
                </c:pt>
                <c:pt idx="112">
                  <c:v>112000</c:v>
                </c:pt>
                <c:pt idx="113">
                  <c:v>113000</c:v>
                </c:pt>
                <c:pt idx="114">
                  <c:v>114000</c:v>
                </c:pt>
                <c:pt idx="115">
                  <c:v>115000</c:v>
                </c:pt>
                <c:pt idx="116">
                  <c:v>116000</c:v>
                </c:pt>
                <c:pt idx="117">
                  <c:v>117000</c:v>
                </c:pt>
                <c:pt idx="118">
                  <c:v>118000</c:v>
                </c:pt>
                <c:pt idx="119">
                  <c:v>119000</c:v>
                </c:pt>
                <c:pt idx="120">
                  <c:v>120000</c:v>
                </c:pt>
                <c:pt idx="121">
                  <c:v>121000</c:v>
                </c:pt>
                <c:pt idx="122">
                  <c:v>122000</c:v>
                </c:pt>
                <c:pt idx="123">
                  <c:v>123000</c:v>
                </c:pt>
                <c:pt idx="124">
                  <c:v>124000</c:v>
                </c:pt>
                <c:pt idx="125">
                  <c:v>125000</c:v>
                </c:pt>
                <c:pt idx="126">
                  <c:v>126000</c:v>
                </c:pt>
                <c:pt idx="127">
                  <c:v>127000</c:v>
                </c:pt>
                <c:pt idx="128">
                  <c:v>128000</c:v>
                </c:pt>
                <c:pt idx="129">
                  <c:v>129000</c:v>
                </c:pt>
                <c:pt idx="130">
                  <c:v>130000</c:v>
                </c:pt>
                <c:pt idx="131">
                  <c:v>131000</c:v>
                </c:pt>
                <c:pt idx="132">
                  <c:v>132000</c:v>
                </c:pt>
                <c:pt idx="133">
                  <c:v>133000</c:v>
                </c:pt>
                <c:pt idx="134">
                  <c:v>134000</c:v>
                </c:pt>
                <c:pt idx="135">
                  <c:v>135000</c:v>
                </c:pt>
                <c:pt idx="136">
                  <c:v>136000</c:v>
                </c:pt>
                <c:pt idx="137">
                  <c:v>137000</c:v>
                </c:pt>
                <c:pt idx="138">
                  <c:v>138000</c:v>
                </c:pt>
                <c:pt idx="139">
                  <c:v>139000</c:v>
                </c:pt>
                <c:pt idx="140">
                  <c:v>140000</c:v>
                </c:pt>
                <c:pt idx="141">
                  <c:v>141000</c:v>
                </c:pt>
                <c:pt idx="142">
                  <c:v>142000</c:v>
                </c:pt>
                <c:pt idx="143">
                  <c:v>143000</c:v>
                </c:pt>
                <c:pt idx="144">
                  <c:v>144000</c:v>
                </c:pt>
                <c:pt idx="145">
                  <c:v>145000</c:v>
                </c:pt>
                <c:pt idx="146">
                  <c:v>146000</c:v>
                </c:pt>
                <c:pt idx="147">
                  <c:v>147000</c:v>
                </c:pt>
                <c:pt idx="148">
                  <c:v>148000</c:v>
                </c:pt>
                <c:pt idx="149">
                  <c:v>149000</c:v>
                </c:pt>
                <c:pt idx="150">
                  <c:v>150000</c:v>
                </c:pt>
                <c:pt idx="151">
                  <c:v>151000</c:v>
                </c:pt>
                <c:pt idx="152">
                  <c:v>152000</c:v>
                </c:pt>
                <c:pt idx="153">
                  <c:v>153000</c:v>
                </c:pt>
                <c:pt idx="154">
                  <c:v>154000</c:v>
                </c:pt>
                <c:pt idx="155">
                  <c:v>155000</c:v>
                </c:pt>
                <c:pt idx="156">
                  <c:v>156000</c:v>
                </c:pt>
                <c:pt idx="157">
                  <c:v>157000</c:v>
                </c:pt>
                <c:pt idx="158">
                  <c:v>158000</c:v>
                </c:pt>
                <c:pt idx="159">
                  <c:v>159000</c:v>
                </c:pt>
                <c:pt idx="160">
                  <c:v>160000</c:v>
                </c:pt>
                <c:pt idx="161">
                  <c:v>161000</c:v>
                </c:pt>
                <c:pt idx="162">
                  <c:v>162000</c:v>
                </c:pt>
                <c:pt idx="163">
                  <c:v>163000</c:v>
                </c:pt>
                <c:pt idx="164">
                  <c:v>164000</c:v>
                </c:pt>
                <c:pt idx="165">
                  <c:v>165000</c:v>
                </c:pt>
                <c:pt idx="166">
                  <c:v>166000</c:v>
                </c:pt>
                <c:pt idx="167">
                  <c:v>167000</c:v>
                </c:pt>
                <c:pt idx="168">
                  <c:v>168000</c:v>
                </c:pt>
                <c:pt idx="169">
                  <c:v>169000</c:v>
                </c:pt>
                <c:pt idx="170">
                  <c:v>170000</c:v>
                </c:pt>
                <c:pt idx="171">
                  <c:v>171000</c:v>
                </c:pt>
                <c:pt idx="172">
                  <c:v>172000</c:v>
                </c:pt>
                <c:pt idx="173">
                  <c:v>173000</c:v>
                </c:pt>
                <c:pt idx="174">
                  <c:v>174000</c:v>
                </c:pt>
                <c:pt idx="175">
                  <c:v>175000</c:v>
                </c:pt>
                <c:pt idx="176">
                  <c:v>176000</c:v>
                </c:pt>
                <c:pt idx="177">
                  <c:v>177000</c:v>
                </c:pt>
                <c:pt idx="178">
                  <c:v>178000</c:v>
                </c:pt>
                <c:pt idx="179">
                  <c:v>179000</c:v>
                </c:pt>
                <c:pt idx="180">
                  <c:v>180000</c:v>
                </c:pt>
                <c:pt idx="181">
                  <c:v>181000</c:v>
                </c:pt>
                <c:pt idx="182">
                  <c:v>182000</c:v>
                </c:pt>
                <c:pt idx="183">
                  <c:v>183000</c:v>
                </c:pt>
                <c:pt idx="184">
                  <c:v>184000</c:v>
                </c:pt>
                <c:pt idx="185">
                  <c:v>185000</c:v>
                </c:pt>
                <c:pt idx="186">
                  <c:v>186000</c:v>
                </c:pt>
                <c:pt idx="187">
                  <c:v>187000</c:v>
                </c:pt>
                <c:pt idx="188">
                  <c:v>188000</c:v>
                </c:pt>
                <c:pt idx="189">
                  <c:v>189000</c:v>
                </c:pt>
                <c:pt idx="190">
                  <c:v>190000</c:v>
                </c:pt>
                <c:pt idx="191">
                  <c:v>191000</c:v>
                </c:pt>
                <c:pt idx="192">
                  <c:v>192000</c:v>
                </c:pt>
                <c:pt idx="193">
                  <c:v>193000</c:v>
                </c:pt>
                <c:pt idx="194">
                  <c:v>194000</c:v>
                </c:pt>
                <c:pt idx="195">
                  <c:v>195000</c:v>
                </c:pt>
                <c:pt idx="196">
                  <c:v>196000</c:v>
                </c:pt>
                <c:pt idx="197">
                  <c:v>197000</c:v>
                </c:pt>
                <c:pt idx="198">
                  <c:v>198000</c:v>
                </c:pt>
                <c:pt idx="199">
                  <c:v>199000</c:v>
                </c:pt>
                <c:pt idx="200">
                  <c:v>200000</c:v>
                </c:pt>
              </c:numCache>
            </c:numRef>
          </c:cat>
          <c:val>
            <c:numRef>
              <c:f>'ATR+brackets'!$O$21:$O$221</c:f>
              <c:numCache>
                <c:formatCode>0.0%</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4.1428571428571426E-3</c:v>
                </c:pt>
                <c:pt idx="22">
                  <c:v>1.5613636363636364E-2</c:v>
                </c:pt>
                <c:pt idx="23">
                  <c:v>2.7543478260869565E-2</c:v>
                </c:pt>
                <c:pt idx="24">
                  <c:v>3.8479166666666668E-2</c:v>
                </c:pt>
                <c:pt idx="25">
                  <c:v>4.854E-2</c:v>
                </c:pt>
                <c:pt idx="26">
                  <c:v>5.7826923076923074E-2</c:v>
                </c:pt>
                <c:pt idx="27">
                  <c:v>6.5444444444444444E-2</c:v>
                </c:pt>
                <c:pt idx="28">
                  <c:v>7.0607142857142854E-2</c:v>
                </c:pt>
                <c:pt idx="29">
                  <c:v>7.5413793103448271E-2</c:v>
                </c:pt>
                <c:pt idx="30">
                  <c:v>7.9899999999999999E-2</c:v>
                </c:pt>
                <c:pt idx="31">
                  <c:v>8.4096774193548385E-2</c:v>
                </c:pt>
                <c:pt idx="32">
                  <c:v>8.8031250000000005E-2</c:v>
                </c:pt>
                <c:pt idx="33">
                  <c:v>9.1727272727272727E-2</c:v>
                </c:pt>
                <c:pt idx="34">
                  <c:v>9.5205882352941182E-2</c:v>
                </c:pt>
                <c:pt idx="35">
                  <c:v>9.8485714285714288E-2</c:v>
                </c:pt>
                <c:pt idx="36">
                  <c:v>0.10158333333333333</c:v>
                </c:pt>
                <c:pt idx="37">
                  <c:v>0.10451351351351351</c:v>
                </c:pt>
                <c:pt idx="38">
                  <c:v>0.11123684210526316</c:v>
                </c:pt>
                <c:pt idx="39">
                  <c:v>0.11761538461538462</c:v>
                </c:pt>
                <c:pt idx="40">
                  <c:v>0.12367499999999999</c:v>
                </c:pt>
                <c:pt idx="41">
                  <c:v>0.12943902439024391</c:v>
                </c:pt>
                <c:pt idx="42">
                  <c:v>0.13492857142857143</c:v>
                </c:pt>
                <c:pt idx="43">
                  <c:v>0.14016279069767443</c:v>
                </c:pt>
                <c:pt idx="44">
                  <c:v>0.1451590909090909</c:v>
                </c:pt>
                <c:pt idx="45">
                  <c:v>0.14993333333333334</c:v>
                </c:pt>
                <c:pt idx="46">
                  <c:v>0.1545</c:v>
                </c:pt>
                <c:pt idx="47">
                  <c:v>0.15887234042553192</c:v>
                </c:pt>
                <c:pt idx="48">
                  <c:v>0.1630625</c:v>
                </c:pt>
                <c:pt idx="49">
                  <c:v>0.16708163265306122</c:v>
                </c:pt>
                <c:pt idx="50">
                  <c:v>0.17094000000000001</c:v>
                </c:pt>
                <c:pt idx="51">
                  <c:v>0.17464705882352941</c:v>
                </c:pt>
                <c:pt idx="52">
                  <c:v>0.17821153846153845</c:v>
                </c:pt>
                <c:pt idx="53">
                  <c:v>0.18164150943396226</c:v>
                </c:pt>
                <c:pt idx="54">
                  <c:v>0.18494444444444444</c:v>
                </c:pt>
                <c:pt idx="55">
                  <c:v>0.18812727272727273</c:v>
                </c:pt>
                <c:pt idx="56">
                  <c:v>0.19119642857142857</c:v>
                </c:pt>
                <c:pt idx="57">
                  <c:v>0.19415789473684211</c:v>
                </c:pt>
                <c:pt idx="58">
                  <c:v>0.19701724137931034</c:v>
                </c:pt>
                <c:pt idx="59">
                  <c:v>0.19977966101694916</c:v>
                </c:pt>
                <c:pt idx="60">
                  <c:v>0.20244999999999999</c:v>
                </c:pt>
                <c:pt idx="61">
                  <c:v>0.2050327868852459</c:v>
                </c:pt>
                <c:pt idx="62">
                  <c:v>0.20753225806451614</c:v>
                </c:pt>
                <c:pt idx="63">
                  <c:v>0.20995238095238095</c:v>
                </c:pt>
                <c:pt idx="64">
                  <c:v>0.212296875</c:v>
                </c:pt>
                <c:pt idx="65">
                  <c:v>0.21456923076923076</c:v>
                </c:pt>
                <c:pt idx="66">
                  <c:v>0.21677272727272728</c:v>
                </c:pt>
                <c:pt idx="67">
                  <c:v>0.21883582089552239</c:v>
                </c:pt>
                <c:pt idx="68">
                  <c:v>0.22069117647058822</c:v>
                </c:pt>
                <c:pt idx="69">
                  <c:v>0.22249275362318841</c:v>
                </c:pt>
                <c:pt idx="70">
                  <c:v>0.22424285714285713</c:v>
                </c:pt>
                <c:pt idx="71">
                  <c:v>0.22594366197183099</c:v>
                </c:pt>
                <c:pt idx="72">
                  <c:v>0.22759722222222223</c:v>
                </c:pt>
                <c:pt idx="73">
                  <c:v>0.2292054794520548</c:v>
                </c:pt>
                <c:pt idx="74">
                  <c:v>0.23077027027027028</c:v>
                </c:pt>
                <c:pt idx="75">
                  <c:v>0.23229333333333332</c:v>
                </c:pt>
                <c:pt idx="76">
                  <c:v>0.23377631578947369</c:v>
                </c:pt>
                <c:pt idx="77">
                  <c:v>0.23522077922077922</c:v>
                </c:pt>
                <c:pt idx="78">
                  <c:v>0.23662820512820512</c:v>
                </c:pt>
                <c:pt idx="79">
                  <c:v>0.23799999999999999</c:v>
                </c:pt>
                <c:pt idx="80">
                  <c:v>0.23933750000000001</c:v>
                </c:pt>
                <c:pt idx="81">
                  <c:v>0.24119753086419754</c:v>
                </c:pt>
                <c:pt idx="82">
                  <c:v>0.24301219512195121</c:v>
                </c:pt>
                <c:pt idx="83">
                  <c:v>0.24478313253012049</c:v>
                </c:pt>
                <c:pt idx="84">
                  <c:v>0.24651190476190477</c:v>
                </c:pt>
                <c:pt idx="85">
                  <c:v>0.2482</c:v>
                </c:pt>
                <c:pt idx="86">
                  <c:v>0.24984883720930232</c:v>
                </c:pt>
                <c:pt idx="87">
                  <c:v>0.25145977011494253</c:v>
                </c:pt>
                <c:pt idx="88">
                  <c:v>0.2530340909090909</c:v>
                </c:pt>
                <c:pt idx="89">
                  <c:v>0.25457303370786516</c:v>
                </c:pt>
                <c:pt idx="90">
                  <c:v>0.25607777777777779</c:v>
                </c:pt>
                <c:pt idx="91">
                  <c:v>0.25754945054945055</c:v>
                </c:pt>
                <c:pt idx="92">
                  <c:v>0.25898913043478261</c:v>
                </c:pt>
                <c:pt idx="93">
                  <c:v>0.2603978494623656</c:v>
                </c:pt>
                <c:pt idx="94">
                  <c:v>0.26177659574468087</c:v>
                </c:pt>
                <c:pt idx="95">
                  <c:v>0.26312631578947371</c:v>
                </c:pt>
                <c:pt idx="96">
                  <c:v>0.26444791666666667</c:v>
                </c:pt>
                <c:pt idx="97">
                  <c:v>0.26574226804123713</c:v>
                </c:pt>
                <c:pt idx="98">
                  <c:v>0.26701020408163267</c:v>
                </c:pt>
                <c:pt idx="99">
                  <c:v>0.26825252525252524</c:v>
                </c:pt>
                <c:pt idx="100">
                  <c:v>0.26946999999999999</c:v>
                </c:pt>
                <c:pt idx="101">
                  <c:v>0.27066336633663368</c:v>
                </c:pt>
                <c:pt idx="102">
                  <c:v>0.27183333333333332</c:v>
                </c:pt>
                <c:pt idx="103">
                  <c:v>0.27298058252427182</c:v>
                </c:pt>
                <c:pt idx="104">
                  <c:v>0.27410576923076924</c:v>
                </c:pt>
                <c:pt idx="105">
                  <c:v>0.27520952380952379</c:v>
                </c:pt>
                <c:pt idx="106">
                  <c:v>0.27629245283018866</c:v>
                </c:pt>
                <c:pt idx="107">
                  <c:v>0.27735514018691587</c:v>
                </c:pt>
                <c:pt idx="108">
                  <c:v>0.27839814814814817</c:v>
                </c:pt>
                <c:pt idx="109">
                  <c:v>0.27942201834862385</c:v>
                </c:pt>
                <c:pt idx="110">
                  <c:v>0.28042727272727275</c:v>
                </c:pt>
                <c:pt idx="111">
                  <c:v>0.28141441441441439</c:v>
                </c:pt>
                <c:pt idx="112">
                  <c:v>0.28238392857142858</c:v>
                </c:pt>
                <c:pt idx="113">
                  <c:v>0.2833362831858407</c:v>
                </c:pt>
                <c:pt idx="114">
                  <c:v>0.2842719298245614</c:v>
                </c:pt>
                <c:pt idx="115">
                  <c:v>0.28519130434782608</c:v>
                </c:pt>
                <c:pt idx="116">
                  <c:v>0.28609482758620691</c:v>
                </c:pt>
                <c:pt idx="117">
                  <c:v>0.28698290598290599</c:v>
                </c:pt>
                <c:pt idx="118">
                  <c:v>0.28785593220338984</c:v>
                </c:pt>
                <c:pt idx="119">
                  <c:v>0.2887142857142857</c:v>
                </c:pt>
                <c:pt idx="120">
                  <c:v>0.28955833333333331</c:v>
                </c:pt>
                <c:pt idx="121">
                  <c:v>0.29038842975206614</c:v>
                </c:pt>
                <c:pt idx="122">
                  <c:v>0.29120491803278686</c:v>
                </c:pt>
                <c:pt idx="123">
                  <c:v>0.29200813008130083</c:v>
                </c:pt>
                <c:pt idx="124">
                  <c:v>0.29279838709677419</c:v>
                </c:pt>
                <c:pt idx="125">
                  <c:v>0.293576</c:v>
                </c:pt>
                <c:pt idx="126">
                  <c:v>0.29434126984126985</c:v>
                </c:pt>
                <c:pt idx="127">
                  <c:v>0.29509448818897638</c:v>
                </c:pt>
                <c:pt idx="128">
                  <c:v>0.29583593749999998</c:v>
                </c:pt>
                <c:pt idx="129">
                  <c:v>0.29656589147286821</c:v>
                </c:pt>
                <c:pt idx="130">
                  <c:v>0.29728461538461537</c:v>
                </c:pt>
                <c:pt idx="131">
                  <c:v>0.29799236641221372</c:v>
                </c:pt>
                <c:pt idx="132">
                  <c:v>0.29868939393939392</c:v>
                </c:pt>
                <c:pt idx="133">
                  <c:v>0.29937593984962407</c:v>
                </c:pt>
                <c:pt idx="134">
                  <c:v>0.30005223880597015</c:v>
                </c:pt>
                <c:pt idx="135">
                  <c:v>0.3007185185185185</c:v>
                </c:pt>
                <c:pt idx="136">
                  <c:v>0.301375</c:v>
                </c:pt>
                <c:pt idx="137">
                  <c:v>0.30202189781021899</c:v>
                </c:pt>
                <c:pt idx="138">
                  <c:v>0.3026594202898551</c:v>
                </c:pt>
                <c:pt idx="139">
                  <c:v>0.30328776978417266</c:v>
                </c:pt>
                <c:pt idx="140">
                  <c:v>0.30390714285714288</c:v>
                </c:pt>
                <c:pt idx="141">
                  <c:v>0.30451773049645392</c:v>
                </c:pt>
                <c:pt idx="142">
                  <c:v>0.30511971830985918</c:v>
                </c:pt>
                <c:pt idx="143">
                  <c:v>0.30571328671328674</c:v>
                </c:pt>
                <c:pt idx="144">
                  <c:v>0.30629861111111112</c:v>
                </c:pt>
                <c:pt idx="145">
                  <c:v>0.3068758620689655</c:v>
                </c:pt>
                <c:pt idx="146">
                  <c:v>0.30744520547945203</c:v>
                </c:pt>
                <c:pt idx="147">
                  <c:v>0.30800680272108844</c:v>
                </c:pt>
                <c:pt idx="148">
                  <c:v>0.30856081081081083</c:v>
                </c:pt>
                <c:pt idx="149">
                  <c:v>0.3091073825503356</c:v>
                </c:pt>
                <c:pt idx="150">
                  <c:v>0.30964666666666668</c:v>
                </c:pt>
                <c:pt idx="151">
                  <c:v>0.31017880794701985</c:v>
                </c:pt>
                <c:pt idx="152">
                  <c:v>0.31070394736842105</c:v>
                </c:pt>
                <c:pt idx="153">
                  <c:v>0.31122222222222223</c:v>
                </c:pt>
                <c:pt idx="154">
                  <c:v>0.31173376623376625</c:v>
                </c:pt>
                <c:pt idx="155">
                  <c:v>0.31223870967741935</c:v>
                </c:pt>
                <c:pt idx="156">
                  <c:v>0.3127371794871795</c:v>
                </c:pt>
                <c:pt idx="157">
                  <c:v>0.31322929936305732</c:v>
                </c:pt>
                <c:pt idx="158">
                  <c:v>0.31371518987341773</c:v>
                </c:pt>
                <c:pt idx="159">
                  <c:v>0.31419496855345913</c:v>
                </c:pt>
                <c:pt idx="160">
                  <c:v>0.31466875</c:v>
                </c:pt>
                <c:pt idx="161">
                  <c:v>0.31513664596273294</c:v>
                </c:pt>
                <c:pt idx="162">
                  <c:v>0.31559876543209875</c:v>
                </c:pt>
                <c:pt idx="163">
                  <c:v>0.31605521472392639</c:v>
                </c:pt>
                <c:pt idx="164">
                  <c:v>0.31650609756097559</c:v>
                </c:pt>
                <c:pt idx="165">
                  <c:v>0.31695151515151515</c:v>
                </c:pt>
                <c:pt idx="166">
                  <c:v>0.31739156626506027</c:v>
                </c:pt>
                <c:pt idx="167">
                  <c:v>0.31782634730538922</c:v>
                </c:pt>
                <c:pt idx="168">
                  <c:v>0.31825595238095239</c:v>
                </c:pt>
                <c:pt idx="169">
                  <c:v>0.31868047337278105</c:v>
                </c:pt>
                <c:pt idx="170">
                  <c:v>0.31909999999999999</c:v>
                </c:pt>
                <c:pt idx="171">
                  <c:v>0.31951461988304092</c:v>
                </c:pt>
                <c:pt idx="172">
                  <c:v>0.31992441860465115</c:v>
                </c:pt>
                <c:pt idx="173">
                  <c:v>0.32032947976878612</c:v>
                </c:pt>
                <c:pt idx="174">
                  <c:v>0.32072988505747124</c:v>
                </c:pt>
                <c:pt idx="175">
                  <c:v>0.32112571428571429</c:v>
                </c:pt>
                <c:pt idx="176">
                  <c:v>0.32151704545454546</c:v>
                </c:pt>
                <c:pt idx="177">
                  <c:v>0.32190395480225986</c:v>
                </c:pt>
                <c:pt idx="178">
                  <c:v>0.32228651685393256</c:v>
                </c:pt>
                <c:pt idx="179">
                  <c:v>0.32266480446927376</c:v>
                </c:pt>
                <c:pt idx="180">
                  <c:v>0.32303888888888888</c:v>
                </c:pt>
                <c:pt idx="181">
                  <c:v>0.32396132596685084</c:v>
                </c:pt>
                <c:pt idx="182">
                  <c:v>0.32487362637362638</c:v>
                </c:pt>
                <c:pt idx="183">
                  <c:v>0.32577595628415301</c:v>
                </c:pt>
                <c:pt idx="184">
                  <c:v>0.32666847826086959</c:v>
                </c:pt>
                <c:pt idx="185">
                  <c:v>0.32755135135135133</c:v>
                </c:pt>
                <c:pt idx="186">
                  <c:v>0.32842473118279569</c:v>
                </c:pt>
                <c:pt idx="187">
                  <c:v>0.32928877005347595</c:v>
                </c:pt>
                <c:pt idx="188">
                  <c:v>0.33014361702127659</c:v>
                </c:pt>
                <c:pt idx="189">
                  <c:v>0.330989417989418</c:v>
                </c:pt>
                <c:pt idx="190">
                  <c:v>0.33182631578947369</c:v>
                </c:pt>
                <c:pt idx="191">
                  <c:v>0.33265445026178009</c:v>
                </c:pt>
                <c:pt idx="192">
                  <c:v>0.33347395833333332</c:v>
                </c:pt>
                <c:pt idx="193">
                  <c:v>0.33428497409326424</c:v>
                </c:pt>
                <c:pt idx="194">
                  <c:v>0.33508762886597937</c:v>
                </c:pt>
                <c:pt idx="195">
                  <c:v>0.33588205128205129</c:v>
                </c:pt>
                <c:pt idx="196">
                  <c:v>0.33666836734693878</c:v>
                </c:pt>
                <c:pt idx="197">
                  <c:v>0.33744670050761422</c:v>
                </c:pt>
                <c:pt idx="198">
                  <c:v>0.33821717171717169</c:v>
                </c:pt>
                <c:pt idx="199">
                  <c:v>0.33897989949748741</c:v>
                </c:pt>
                <c:pt idx="200">
                  <c:v>0.33973500000000001</c:v>
                </c:pt>
              </c:numCache>
            </c:numRef>
          </c:val>
          <c:smooth val="0"/>
          <c:extLst>
            <c:ext xmlns:c16="http://schemas.microsoft.com/office/drawing/2014/chart" uri="{C3380CC4-5D6E-409C-BE32-E72D297353CC}">
              <c16:uniqueId val="{00000001-AB71-4934-9CB4-997CB3673857}"/>
            </c:ext>
          </c:extLst>
        </c:ser>
        <c:dLbls>
          <c:showLegendKey val="0"/>
          <c:showVal val="0"/>
          <c:showCatName val="0"/>
          <c:showSerName val="0"/>
          <c:showPercent val="0"/>
          <c:showBubbleSize val="0"/>
        </c:dLbls>
        <c:marker val="1"/>
        <c:smooth val="0"/>
        <c:axId val="477384704"/>
        <c:axId val="477378816"/>
      </c:lineChart>
      <c:catAx>
        <c:axId val="477371008"/>
        <c:scaling>
          <c:orientation val="minMax"/>
        </c:scaling>
        <c:delete val="0"/>
        <c:axPos val="b"/>
        <c:numFmt formatCode="#,##0" sourceLinked="0"/>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7376896"/>
        <c:crosses val="autoZero"/>
        <c:auto val="1"/>
        <c:lblAlgn val="ctr"/>
        <c:lblOffset val="100"/>
        <c:tickLblSkip val="20"/>
        <c:tickMarkSkip val="10"/>
        <c:noMultiLvlLbl val="0"/>
      </c:catAx>
      <c:valAx>
        <c:axId val="477376896"/>
        <c:scaling>
          <c:orientation val="minMax"/>
          <c:max val="0.5"/>
        </c:scaling>
        <c:delete val="0"/>
        <c:axPos val="l"/>
        <c:title>
          <c:tx>
            <c:rich>
              <a:bodyPr rot="0" vert="horz"/>
              <a:lstStyle/>
              <a:p>
                <a:pPr>
                  <a:defRPr sz="800" b="0" i="0">
                    <a:solidFill>
                      <a:srgbClr val="000000"/>
                    </a:solidFill>
                    <a:latin typeface="Arial"/>
                    <a:ea typeface="Arial"/>
                    <a:cs typeface="Arial"/>
                  </a:defRPr>
                </a:pPr>
                <a:r>
                  <a:rPr lang="en-AU"/>
                  <a:t>Tax rate</a:t>
                </a:r>
              </a:p>
            </c:rich>
          </c:tx>
          <c:layout>
            <c:manualLayout>
              <c:xMode val="edge"/>
              <c:yMode val="edge"/>
              <c:x val="6.6003584229390677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7371008"/>
        <c:crosses val="autoZero"/>
        <c:crossBetween val="midCat"/>
        <c:majorUnit val="0.1"/>
      </c:valAx>
      <c:valAx>
        <c:axId val="477378816"/>
        <c:scaling>
          <c:orientation val="minMax"/>
          <c:max val="0.5"/>
        </c:scaling>
        <c:delete val="0"/>
        <c:axPos val="r"/>
        <c:numFmt formatCode="0%" sourceLinked="0"/>
        <c:majorTickMark val="out"/>
        <c:minorTickMark val="none"/>
        <c:tickLblPos val="nextTo"/>
        <c:crossAx val="477384704"/>
        <c:crosses val="max"/>
        <c:crossBetween val="between"/>
        <c:majorUnit val="0.1"/>
      </c:valAx>
      <c:catAx>
        <c:axId val="477384704"/>
        <c:scaling>
          <c:orientation val="minMax"/>
        </c:scaling>
        <c:delete val="1"/>
        <c:axPos val="b"/>
        <c:numFmt formatCode="General" sourceLinked="1"/>
        <c:majorTickMark val="out"/>
        <c:minorTickMark val="none"/>
        <c:tickLblPos val="nextTo"/>
        <c:crossAx val="47737881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5931899641577062E-2"/>
          <c:y val="3.9687500000000001E-2"/>
          <c:w val="0.98406810035842296"/>
          <c:h val="0.88015624999999997"/>
        </c:manualLayout>
      </c:layout>
      <c:barChart>
        <c:barDir val="col"/>
        <c:grouping val="clustered"/>
        <c:varyColors val="0"/>
        <c:ser>
          <c:idx val="0"/>
          <c:order val="0"/>
          <c:tx>
            <c:strRef>
              <c:f>'[180530 Distributional fun - progressivity.xlsx]Chart 6'!$B$67</c:f>
              <c:strCache>
                <c:ptCount val="1"/>
                <c:pt idx="0">
                  <c:v>1994-95 to 2002-03</c:v>
                </c:pt>
              </c:strCache>
            </c:strRef>
          </c:tx>
          <c:invertIfNegative val="0"/>
          <c:val>
            <c:numRef>
              <c:f>'[180530 Distributional fun - progressivity.xlsx]Chart 6'!$C$67:$L$67</c:f>
              <c:numCache>
                <c:formatCode>0.0%</c:formatCode>
                <c:ptCount val="10"/>
                <c:pt idx="0">
                  <c:v>2.789292047691605E-2</c:v>
                </c:pt>
                <c:pt idx="1">
                  <c:v>4.1234096676913801E-2</c:v>
                </c:pt>
                <c:pt idx="2">
                  <c:v>4.4958682733579947E-2</c:v>
                </c:pt>
                <c:pt idx="3">
                  <c:v>4.5116703429671556E-2</c:v>
                </c:pt>
                <c:pt idx="4">
                  <c:v>4.7085224065442244E-2</c:v>
                </c:pt>
                <c:pt idx="5">
                  <c:v>4.8735216978417872E-2</c:v>
                </c:pt>
                <c:pt idx="6">
                  <c:v>5.0037364960613839E-2</c:v>
                </c:pt>
                <c:pt idx="7">
                  <c:v>5.1046891307571229E-2</c:v>
                </c:pt>
                <c:pt idx="8">
                  <c:v>5.2705944049094233E-2</c:v>
                </c:pt>
                <c:pt idx="9">
                  <c:v>6.7161794983805922E-2</c:v>
                </c:pt>
              </c:numCache>
            </c:numRef>
          </c:val>
          <c:extLst>
            <c:ext xmlns:c16="http://schemas.microsoft.com/office/drawing/2014/chart" uri="{C3380CC4-5D6E-409C-BE32-E72D297353CC}">
              <c16:uniqueId val="{00000000-5711-49EF-A921-DEAAF7A98495}"/>
            </c:ext>
          </c:extLst>
        </c:ser>
        <c:ser>
          <c:idx val="1"/>
          <c:order val="1"/>
          <c:tx>
            <c:strRef>
              <c:f>'[180530 Distributional fun - progressivity.xlsx]Chart 6'!$B$68</c:f>
              <c:strCache>
                <c:ptCount val="1"/>
                <c:pt idx="0">
                  <c:v>2002-03 to 2007-08</c:v>
                </c:pt>
              </c:strCache>
            </c:strRef>
          </c:tx>
          <c:invertIfNegative val="0"/>
          <c:val>
            <c:numRef>
              <c:f>'[180530 Distributional fun - progressivity.xlsx]Chart 6'!$C$68:$L$68</c:f>
              <c:numCache>
                <c:formatCode>0.0%</c:formatCode>
                <c:ptCount val="10"/>
                <c:pt idx="0">
                  <c:v>0.10783623251960139</c:v>
                </c:pt>
                <c:pt idx="1">
                  <c:v>9.0969163808009235E-2</c:v>
                </c:pt>
                <c:pt idx="2">
                  <c:v>8.4104056200528632E-2</c:v>
                </c:pt>
                <c:pt idx="3">
                  <c:v>7.8223010639173252E-2</c:v>
                </c:pt>
                <c:pt idx="4">
                  <c:v>7.6026967223135067E-2</c:v>
                </c:pt>
                <c:pt idx="5">
                  <c:v>7.5588555091816945E-2</c:v>
                </c:pt>
                <c:pt idx="6">
                  <c:v>7.6135929013765979E-2</c:v>
                </c:pt>
                <c:pt idx="7">
                  <c:v>7.9064934092364592E-2</c:v>
                </c:pt>
                <c:pt idx="8">
                  <c:v>8.2262565702939439E-2</c:v>
                </c:pt>
                <c:pt idx="9">
                  <c:v>0.10147921945850058</c:v>
                </c:pt>
              </c:numCache>
            </c:numRef>
          </c:val>
          <c:extLst>
            <c:ext xmlns:c16="http://schemas.microsoft.com/office/drawing/2014/chart" uri="{C3380CC4-5D6E-409C-BE32-E72D297353CC}">
              <c16:uniqueId val="{00000001-5711-49EF-A921-DEAAF7A98495}"/>
            </c:ext>
          </c:extLst>
        </c:ser>
        <c:ser>
          <c:idx val="2"/>
          <c:order val="2"/>
          <c:tx>
            <c:strRef>
              <c:f>'[180530 Distributional fun - progressivity.xlsx]Chart 6'!$B$71</c:f>
              <c:strCache>
                <c:ptCount val="1"/>
                <c:pt idx="0">
                  <c:v>2007-08 to 2015-16</c:v>
                </c:pt>
              </c:strCache>
            </c:strRef>
          </c:tx>
          <c:invertIfNegative val="0"/>
          <c:val>
            <c:numRef>
              <c:f>'[180530 Distributional fun - progressivity.xlsx]Chart 6'!$C$71:$L$71</c:f>
              <c:numCache>
                <c:formatCode>0.0%</c:formatCode>
                <c:ptCount val="10"/>
                <c:pt idx="0">
                  <c:v>7.0408462088444645E-2</c:v>
                </c:pt>
                <c:pt idx="1">
                  <c:v>5.4373414195410641E-2</c:v>
                </c:pt>
                <c:pt idx="2">
                  <c:v>4.5888431702791443E-2</c:v>
                </c:pt>
                <c:pt idx="3">
                  <c:v>4.3186643867410668E-2</c:v>
                </c:pt>
                <c:pt idx="4">
                  <c:v>4.1749135488055034E-2</c:v>
                </c:pt>
                <c:pt idx="5">
                  <c:v>4.1717922887055892E-2</c:v>
                </c:pt>
                <c:pt idx="6">
                  <c:v>4.2510472151776835E-2</c:v>
                </c:pt>
                <c:pt idx="7">
                  <c:v>4.2244957053465537E-2</c:v>
                </c:pt>
                <c:pt idx="8">
                  <c:v>4.5713395141219637E-2</c:v>
                </c:pt>
                <c:pt idx="9">
                  <c:v>4.5394952417176171E-2</c:v>
                </c:pt>
              </c:numCache>
            </c:numRef>
          </c:val>
          <c:extLst>
            <c:ext xmlns:c16="http://schemas.microsoft.com/office/drawing/2014/chart" uri="{C3380CC4-5D6E-409C-BE32-E72D297353CC}">
              <c16:uniqueId val="{00000002-5711-49EF-A921-DEAAF7A98495}"/>
            </c:ext>
          </c:extLst>
        </c:ser>
        <c:dLbls>
          <c:showLegendKey val="0"/>
          <c:showVal val="0"/>
          <c:showCatName val="0"/>
          <c:showSerName val="0"/>
          <c:showPercent val="0"/>
          <c:showBubbleSize val="0"/>
        </c:dLbls>
        <c:gapWidth val="150"/>
        <c:axId val="370956544"/>
        <c:axId val="370958336"/>
      </c:barChart>
      <c:barChart>
        <c:barDir val="col"/>
        <c:grouping val="clustered"/>
        <c:varyColors val="0"/>
        <c:ser>
          <c:idx val="3"/>
          <c:order val="3"/>
          <c:tx>
            <c:v>DUMMY</c:v>
          </c:tx>
          <c:spPr>
            <a:noFill/>
            <a:ln w="25400">
              <a:noFill/>
            </a:ln>
            <a:effectLst/>
          </c:spPr>
          <c:invertIfNegative val="0"/>
          <c:extLst>
            <c:ext xmlns:c16="http://schemas.microsoft.com/office/drawing/2014/chart" uri="{C3380CC4-5D6E-409C-BE32-E72D297353CC}">
              <c16:uniqueId val="{00000003-5711-49EF-A921-DEAAF7A98495}"/>
            </c:ext>
          </c:extLst>
        </c:ser>
        <c:dLbls>
          <c:showLegendKey val="0"/>
          <c:showVal val="0"/>
          <c:showCatName val="0"/>
          <c:showSerName val="0"/>
          <c:showPercent val="0"/>
          <c:showBubbleSize val="0"/>
        </c:dLbls>
        <c:gapWidth val="150"/>
        <c:axId val="370970624"/>
        <c:axId val="370960256"/>
      </c:barChart>
      <c:catAx>
        <c:axId val="37095654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70958336"/>
        <c:crosses val="autoZero"/>
        <c:auto val="1"/>
        <c:lblAlgn val="ctr"/>
        <c:lblOffset val="100"/>
        <c:noMultiLvlLbl val="0"/>
      </c:catAx>
      <c:valAx>
        <c:axId val="370958336"/>
        <c:scaling>
          <c:orientation val="minMax"/>
          <c:max val="0.12000000000000001"/>
        </c:scaling>
        <c:delete val="0"/>
        <c:axPos val="l"/>
        <c:title>
          <c:tx>
            <c:rich>
              <a:bodyPr rot="0" vert="horz"/>
              <a:lstStyle/>
              <a:p>
                <a:pPr>
                  <a:defRPr sz="800" b="0" i="0">
                    <a:solidFill>
                      <a:srgbClr val="000000"/>
                    </a:solidFill>
                    <a:latin typeface="Arial"/>
                    <a:ea typeface="Arial"/>
                    <a:cs typeface="Arial"/>
                  </a:defRPr>
                </a:pPr>
                <a:r>
                  <a:rPr lang="en-US"/>
                  <a:t>Average annual growth</a:t>
                </a:r>
              </a:p>
            </c:rich>
          </c:tx>
          <c:layout>
            <c:manualLayout>
              <c:xMode val="edge"/>
              <c:yMode val="edge"/>
              <c:x val="5.6899641577060935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70956544"/>
        <c:crosses val="autoZero"/>
        <c:crossBetween val="between"/>
        <c:majorUnit val="2.0000000000000004E-2"/>
      </c:valAx>
      <c:valAx>
        <c:axId val="370960256"/>
        <c:scaling>
          <c:orientation val="minMax"/>
          <c:max val="0.12000000000000001"/>
          <c:min val="0"/>
        </c:scaling>
        <c:delete val="0"/>
        <c:axPos val="r"/>
        <c:title>
          <c:tx>
            <c:rich>
              <a:bodyPr rot="0" vert="horz"/>
              <a:lstStyle/>
              <a:p>
                <a:pPr>
                  <a:defRPr sz="800" b="0" i="0">
                    <a:solidFill>
                      <a:srgbClr val="000000"/>
                    </a:solidFill>
                    <a:latin typeface="Arial"/>
                    <a:ea typeface="Arial"/>
                    <a:cs typeface="Arial"/>
                  </a:defRPr>
                </a:pPr>
                <a:r>
                  <a:rPr lang="en-AU"/>
                  <a:t>Average annual growth</a:t>
                </a:r>
              </a:p>
            </c:rich>
          </c:tx>
          <c:layout>
            <c:manualLayout>
              <c:xMode val="edge"/>
              <c:yMode val="edge"/>
              <c:x val="0.80895376344086023"/>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370970624"/>
        <c:crosses val="max"/>
        <c:crossBetween val="between"/>
        <c:majorUnit val="2.0000000000000004E-2"/>
        <c:minorUnit val="2E-3"/>
      </c:valAx>
      <c:catAx>
        <c:axId val="370970624"/>
        <c:scaling>
          <c:orientation val="minMax"/>
        </c:scaling>
        <c:delete val="1"/>
        <c:axPos val="b"/>
        <c:majorTickMark val="out"/>
        <c:minorTickMark val="none"/>
        <c:tickLblPos val="nextTo"/>
        <c:crossAx val="37096025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3"/>
        <c:delete val="1"/>
      </c:legendEntry>
      <c:layout>
        <c:manualLayout>
          <c:xMode val="edge"/>
          <c:yMode val="edge"/>
          <c:x val="0.18542688172043012"/>
          <c:y val="0.12755590277777781"/>
          <c:w val="0.63825017921146954"/>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9.1039426523297495E-3"/>
          <c:y val="2.0158730158730157E-2"/>
          <c:w val="0.98862007168458776"/>
          <c:h val="0.97480158730158728"/>
        </c:manualLayout>
      </c:layout>
      <c:lineChart>
        <c:grouping val="standard"/>
        <c:varyColors val="0"/>
        <c:ser>
          <c:idx val="0"/>
          <c:order val="0"/>
          <c:tx>
            <c:strRef>
              <c:f>'Number of tax filers'!$D$1</c:f>
              <c:strCache>
                <c:ptCount val="1"/>
                <c:pt idx="0">
                  <c:v>Proportion</c:v>
                </c:pt>
              </c:strCache>
            </c:strRef>
          </c:tx>
          <c:marker>
            <c:symbol val="none"/>
          </c:marker>
          <c:cat>
            <c:strRef>
              <c:f>'Number of tax filers'!$A$2:$A$23</c:f>
              <c:strCache>
                <c:ptCount val="22"/>
                <c:pt idx="0">
                  <c:v>1994-95</c:v>
                </c:pt>
                <c:pt idx="1">
                  <c:v>1995-96</c:v>
                </c:pt>
                <c:pt idx="2">
                  <c:v>1996-97</c:v>
                </c:pt>
                <c:pt idx="3">
                  <c:v>1997-98</c:v>
                </c:pt>
                <c:pt idx="4">
                  <c:v>1998-99</c:v>
                </c:pt>
                <c:pt idx="5">
                  <c:v>1999-2000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'Number of tax filers'!$D$2:$D$23</c:f>
              <c:numCache>
                <c:formatCode>0%</c:formatCode>
                <c:ptCount val="22"/>
                <c:pt idx="0">
                  <c:v>0.58760963860717141</c:v>
                </c:pt>
                <c:pt idx="1">
                  <c:v>0.60177982078276415</c:v>
                </c:pt>
                <c:pt idx="2">
                  <c:v>0.59924135753535457</c:v>
                </c:pt>
                <c:pt idx="3">
                  <c:v>0.58885549322704789</c:v>
                </c:pt>
                <c:pt idx="4">
                  <c:v>0.574881242609804</c:v>
                </c:pt>
                <c:pt idx="5">
                  <c:v>0.60123709346360843</c:v>
                </c:pt>
                <c:pt idx="6">
                  <c:v>0.58391880379752858</c:v>
                </c:pt>
                <c:pt idx="7">
                  <c:v>0.57974072445504676</c:v>
                </c:pt>
                <c:pt idx="8">
                  <c:v>0.58001156751006233</c:v>
                </c:pt>
                <c:pt idx="9">
                  <c:v>0.58440902048727217</c:v>
                </c:pt>
                <c:pt idx="10">
                  <c:v>0.59205141145167883</c:v>
                </c:pt>
                <c:pt idx="11">
                  <c:v>0.60269183813276994</c:v>
                </c:pt>
                <c:pt idx="12">
                  <c:v>0.58423423774082783</c:v>
                </c:pt>
                <c:pt idx="13">
                  <c:v>0.60650261543914674</c:v>
                </c:pt>
                <c:pt idx="14">
                  <c:v>0.55097802236415094</c:v>
                </c:pt>
                <c:pt idx="15">
                  <c:v>0.53651644911157559</c:v>
                </c:pt>
                <c:pt idx="16">
                  <c:v>0.54600011272547699</c:v>
                </c:pt>
                <c:pt idx="17">
                  <c:v>0.55788021974224733</c:v>
                </c:pt>
                <c:pt idx="18">
                  <c:v>0.52968054828496625</c:v>
                </c:pt>
                <c:pt idx="19">
                  <c:v>0.53430348226410207</c:v>
                </c:pt>
                <c:pt idx="20">
                  <c:v>0.53914948120674921</c:v>
                </c:pt>
                <c:pt idx="21">
                  <c:v>0.54130687324271742</c:v>
                </c:pt>
              </c:numCache>
            </c:numRef>
          </c:val>
          <c:smooth val="0"/>
          <c:extLst>
            <c:ext xmlns:c16="http://schemas.microsoft.com/office/drawing/2014/chart" uri="{C3380CC4-5D6E-409C-BE32-E72D297353CC}">
              <c16:uniqueId val="{00000000-38E7-46C2-89C5-188DDC959B3C}"/>
            </c:ext>
          </c:extLst>
        </c:ser>
        <c:dLbls>
          <c:showLegendKey val="0"/>
          <c:showVal val="0"/>
          <c:showCatName val="0"/>
          <c:showSerName val="0"/>
          <c:showPercent val="0"/>
          <c:showBubbleSize val="0"/>
        </c:dLbls>
        <c:marker val="1"/>
        <c:smooth val="0"/>
        <c:axId val="478621696"/>
        <c:axId val="478623232"/>
      </c:lineChart>
      <c:lineChart>
        <c:grouping val="standard"/>
        <c:varyColors val="0"/>
        <c:ser>
          <c:idx val="2"/>
          <c:order val="1"/>
          <c:tx>
            <c:v>DUMMY</c:v>
          </c:tx>
          <c:spPr>
            <a:ln w="25400">
              <a:noFill/>
            </a:ln>
            <a:effectLst/>
          </c:spPr>
          <c:marker>
            <c:symbol val="none"/>
          </c:marker>
          <c:smooth val="0"/>
          <c:extLst>
            <c:ext xmlns:c16="http://schemas.microsoft.com/office/drawing/2014/chart" uri="{C3380CC4-5D6E-409C-BE32-E72D297353CC}">
              <c16:uniqueId val="{00000001-38E7-46C2-89C5-188DDC959B3C}"/>
            </c:ext>
          </c:extLst>
        </c:ser>
        <c:dLbls>
          <c:showLegendKey val="0"/>
          <c:showVal val="0"/>
          <c:showCatName val="0"/>
          <c:showSerName val="0"/>
          <c:showPercent val="0"/>
          <c:showBubbleSize val="0"/>
        </c:dLbls>
        <c:marker val="1"/>
        <c:smooth val="0"/>
        <c:axId val="478807552"/>
        <c:axId val="478625152"/>
      </c:lineChart>
      <c:catAx>
        <c:axId val="478621696"/>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623232"/>
        <c:crosses val="autoZero"/>
        <c:auto val="1"/>
        <c:lblAlgn val="ctr"/>
        <c:lblOffset val="100"/>
        <c:tickLblSkip val="3"/>
        <c:tickMarkSkip val="1"/>
        <c:noMultiLvlLbl val="0"/>
      </c:catAx>
      <c:valAx>
        <c:axId val="478623232"/>
        <c:scaling>
          <c:orientation val="minMax"/>
        </c:scaling>
        <c:delete val="0"/>
        <c:axPos val="l"/>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5.9175627240143372E-2"/>
              <c:y val="0"/>
            </c:manualLayout>
          </c:layout>
          <c:overlay val="0"/>
        </c:title>
        <c:numFmt formatCode="0%"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621696"/>
        <c:crosses val="autoZero"/>
        <c:crossBetween val="midCat"/>
      </c:valAx>
      <c:valAx>
        <c:axId val="478625152"/>
        <c:scaling>
          <c:orientation val="minMax"/>
          <c:max val="0.62"/>
          <c:min val="0.48"/>
        </c:scaling>
        <c:delete val="0"/>
        <c:axPos val="r"/>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8707240143369176"/>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478807552"/>
        <c:crosses val="max"/>
        <c:crossBetween val="between"/>
        <c:majorUnit val="0.02"/>
        <c:minorUnit val="4.0000000000000001E-3"/>
      </c:valAx>
      <c:catAx>
        <c:axId val="478807552"/>
        <c:scaling>
          <c:orientation val="minMax"/>
        </c:scaling>
        <c:delete val="1"/>
        <c:axPos val="b"/>
        <c:numFmt formatCode="General" sourceLinked="1"/>
        <c:majorTickMark val="out"/>
        <c:minorTickMark val="none"/>
        <c:tickLblPos val="nextTo"/>
        <c:crossAx val="478625152"/>
        <c:crosses val="autoZero"/>
        <c:auto val="1"/>
        <c:lblAlgn val="ctr"/>
        <c:lblOffset val="100"/>
        <c:noMultiLvlLbl val="0"/>
      </c:catAx>
      <c:spPr>
        <a:solidFill>
          <a:srgbClr val="FFFFFF"/>
        </a:solidFill>
        <a:ln w="25400">
          <a:noFill/>
        </a:ln>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18912736287746"/>
          <c:y val="4.9670030324839187E-2"/>
          <c:w val="0.76287558265108668"/>
          <c:h val="0.88018990943266384"/>
        </c:manualLayout>
      </c:layout>
      <c:lineChart>
        <c:grouping val="standard"/>
        <c:varyColors val="0"/>
        <c:ser>
          <c:idx val="0"/>
          <c:order val="0"/>
          <c:tx>
            <c:strRef>
              <c:f>'Chart 8'!$AB$82</c:f>
              <c:strCache>
                <c:ptCount val="1"/>
                <c:pt idx="0">
                  <c:v>Top 10%</c:v>
                </c:pt>
              </c:strCache>
            </c:strRef>
          </c:tx>
          <c:marker>
            <c:symbol val="none"/>
          </c:marker>
          <c:cat>
            <c:strRef>
              <c:f>'Chart 8'!$AA$83:$AA$104</c:f>
              <c:strCache>
                <c:ptCount val="22"/>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'Chart 8'!$AB$83:$AB$104</c:f>
              <c:numCache>
                <c:formatCode>0.0%</c:formatCode>
                <c:ptCount val="22"/>
                <c:pt idx="0">
                  <c:v>0.36046329014526896</c:v>
                </c:pt>
                <c:pt idx="1">
                  <c:v>0.36202522024921918</c:v>
                </c:pt>
                <c:pt idx="2">
                  <c:v>0.36492702123773307</c:v>
                </c:pt>
                <c:pt idx="3">
                  <c:v>0.37096012096012099</c:v>
                </c:pt>
                <c:pt idx="4">
                  <c:v>0.37415666606961612</c:v>
                </c:pt>
                <c:pt idx="5">
                  <c:v>0.38684961494859466</c:v>
                </c:pt>
                <c:pt idx="6">
                  <c:v>0.42602600803604668</c:v>
                </c:pt>
                <c:pt idx="7">
                  <c:v>0.41495787040489152</c:v>
                </c:pt>
                <c:pt idx="8">
                  <c:v>0.41794880660143602</c:v>
                </c:pt>
                <c:pt idx="9">
                  <c:v>0.4249523490354607</c:v>
                </c:pt>
                <c:pt idx="10">
                  <c:v>0.43047834144081537</c:v>
                </c:pt>
                <c:pt idx="11">
                  <c:v>0.43753909555874454</c:v>
                </c:pt>
                <c:pt idx="12">
                  <c:v>0.45005558622784836</c:v>
                </c:pt>
                <c:pt idx="13">
                  <c:v>0.46007459576624987</c:v>
                </c:pt>
                <c:pt idx="14">
                  <c:v>0.45498467544572974</c:v>
                </c:pt>
                <c:pt idx="15">
                  <c:v>0.45331987393346751</c:v>
                </c:pt>
                <c:pt idx="16">
                  <c:v>0.45967699867916001</c:v>
                </c:pt>
                <c:pt idx="17">
                  <c:v>0.45059119145479415</c:v>
                </c:pt>
                <c:pt idx="18">
                  <c:v>0.44713510860815631</c:v>
                </c:pt>
                <c:pt idx="19">
                  <c:v>0.45448462255121908</c:v>
                </c:pt>
                <c:pt idx="20">
                  <c:v>0.45065040124650801</c:v>
                </c:pt>
                <c:pt idx="21">
                  <c:v>0.448944820707051</c:v>
                </c:pt>
              </c:numCache>
            </c:numRef>
          </c:val>
          <c:smooth val="0"/>
          <c:extLst>
            <c:ext xmlns:c16="http://schemas.microsoft.com/office/drawing/2014/chart" uri="{C3380CC4-5D6E-409C-BE32-E72D297353CC}">
              <c16:uniqueId val="{00000000-80A6-437A-9FBC-78B155675EA9}"/>
            </c:ext>
          </c:extLst>
        </c:ser>
        <c:dLbls>
          <c:showLegendKey val="0"/>
          <c:showVal val="0"/>
          <c:showCatName val="0"/>
          <c:showSerName val="0"/>
          <c:showPercent val="0"/>
          <c:showBubbleSize val="0"/>
        </c:dLbls>
        <c:marker val="1"/>
        <c:smooth val="0"/>
        <c:axId val="478833664"/>
        <c:axId val="478839552"/>
      </c:lineChart>
      <c:lineChart>
        <c:grouping val="standard"/>
        <c:varyColors val="0"/>
        <c:ser>
          <c:idx val="2"/>
          <c:order val="1"/>
          <c:tx>
            <c:strRef>
              <c:f>'Chart 8'!$C$82</c:f>
              <c:strCache>
                <c:ptCount val="1"/>
                <c:pt idx="0">
                  <c:v>Top 10%</c:v>
                </c:pt>
              </c:strCache>
            </c:strRef>
          </c:tx>
          <c:spPr>
            <a:ln>
              <a:solidFill>
                <a:schemeClr val="accent1"/>
              </a:solidFill>
              <a:prstDash val="sysDash"/>
            </a:ln>
          </c:spPr>
          <c:marker>
            <c:symbol val="none"/>
          </c:marker>
          <c:cat>
            <c:strRef>
              <c:f>'Chart 8'!$B$83:$B$104</c:f>
              <c:strCache>
                <c:ptCount val="22"/>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'Chart 8'!$C$83:$C$104</c:f>
              <c:numCache>
                <c:formatCode>0.0%</c:formatCode>
                <c:ptCount val="22"/>
                <c:pt idx="0">
                  <c:v>0.25965815968157341</c:v>
                </c:pt>
                <c:pt idx="1">
                  <c:v>0.26256809040856105</c:v>
                </c:pt>
                <c:pt idx="2">
                  <c:v>0.26543130940894277</c:v>
                </c:pt>
                <c:pt idx="3">
                  <c:v>0.27059226368816552</c:v>
                </c:pt>
                <c:pt idx="4">
                  <c:v>0.27321539673234818</c:v>
                </c:pt>
                <c:pt idx="5">
                  <c:v>0.28674824434197449</c:v>
                </c:pt>
                <c:pt idx="6">
                  <c:v>0.29034578335291727</c:v>
                </c:pt>
                <c:pt idx="7">
                  <c:v>0.28494714485688083</c:v>
                </c:pt>
                <c:pt idx="8">
                  <c:v>0.28824466973991819</c:v>
                </c:pt>
                <c:pt idx="9">
                  <c:v>0.29168798927177725</c:v>
                </c:pt>
                <c:pt idx="10">
                  <c:v>0.29804359977641143</c:v>
                </c:pt>
                <c:pt idx="11">
                  <c:v>0.30272521347543196</c:v>
                </c:pt>
                <c:pt idx="12">
                  <c:v>0.31168741889129853</c:v>
                </c:pt>
                <c:pt idx="13">
                  <c:v>0.30834361317395431</c:v>
                </c:pt>
                <c:pt idx="14">
                  <c:v>0.29822084680982869</c:v>
                </c:pt>
                <c:pt idx="15">
                  <c:v>0.29975911563623919</c:v>
                </c:pt>
                <c:pt idx="16">
                  <c:v>0.30491371861851757</c:v>
                </c:pt>
                <c:pt idx="17">
                  <c:v>0.30342468443319187</c:v>
                </c:pt>
                <c:pt idx="18">
                  <c:v>0.30297547512319706</c:v>
                </c:pt>
                <c:pt idx="19">
                  <c:v>0.31017188316875005</c:v>
                </c:pt>
                <c:pt idx="20">
                  <c:v>0.30893506209491645</c:v>
                </c:pt>
                <c:pt idx="21">
                  <c:v>0.30880273082311271</c:v>
                </c:pt>
              </c:numCache>
            </c:numRef>
          </c:val>
          <c:smooth val="0"/>
          <c:extLst>
            <c:ext xmlns:c16="http://schemas.microsoft.com/office/drawing/2014/chart" uri="{C3380CC4-5D6E-409C-BE32-E72D297353CC}">
              <c16:uniqueId val="{00000001-80A6-437A-9FBC-78B155675EA9}"/>
            </c:ext>
          </c:extLst>
        </c:ser>
        <c:dLbls>
          <c:showLegendKey val="0"/>
          <c:showVal val="0"/>
          <c:showCatName val="0"/>
          <c:showSerName val="0"/>
          <c:showPercent val="0"/>
          <c:showBubbleSize val="0"/>
        </c:dLbls>
        <c:marker val="1"/>
        <c:smooth val="0"/>
        <c:axId val="478843648"/>
        <c:axId val="478841472"/>
      </c:lineChart>
      <c:catAx>
        <c:axId val="478833664"/>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839552"/>
        <c:crosses val="autoZero"/>
        <c:auto val="1"/>
        <c:lblAlgn val="ctr"/>
        <c:lblOffset val="100"/>
        <c:tickLblSkip val="5"/>
        <c:tickMarkSkip val="5"/>
        <c:noMultiLvlLbl val="0"/>
      </c:catAx>
      <c:valAx>
        <c:axId val="478839552"/>
        <c:scaling>
          <c:orientation val="minMax"/>
          <c:max val="0.5"/>
          <c:min val="0.2"/>
        </c:scaling>
        <c:delete val="0"/>
        <c:axPos val="l"/>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11486987386230296"/>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833664"/>
        <c:crosses val="autoZero"/>
        <c:crossBetween val="midCat"/>
        <c:majorUnit val="5.000000000000001E-2"/>
      </c:valAx>
      <c:valAx>
        <c:axId val="478841472"/>
        <c:scaling>
          <c:orientation val="minMax"/>
          <c:max val="0.5"/>
          <c:min val="0.2"/>
        </c:scaling>
        <c:delete val="0"/>
        <c:axPos val="r"/>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7490535063315843"/>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843648"/>
        <c:crosses val="max"/>
        <c:crossBetween val="midCat"/>
        <c:majorUnit val="5.000000000000001E-2"/>
      </c:valAx>
      <c:catAx>
        <c:axId val="478843648"/>
        <c:scaling>
          <c:orientation val="minMax"/>
        </c:scaling>
        <c:delete val="1"/>
        <c:axPos val="t"/>
        <c:numFmt formatCode="General" sourceLinked="1"/>
        <c:majorTickMark val="none"/>
        <c:minorTickMark val="none"/>
        <c:tickLblPos val="none"/>
        <c:crossAx val="478841472"/>
        <c:crosses val="max"/>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1097577264062"/>
          <c:y val="5.3726575614105987E-2"/>
          <c:w val="0.7629982463048377"/>
          <c:h val="0.87619647726960403"/>
        </c:manualLayout>
      </c:layout>
      <c:lineChart>
        <c:grouping val="standard"/>
        <c:varyColors val="0"/>
        <c:ser>
          <c:idx val="3"/>
          <c:order val="0"/>
          <c:tx>
            <c:strRef>
              <c:f>'Chart 8'!$AJ$82</c:f>
              <c:strCache>
                <c:ptCount val="1"/>
                <c:pt idx="0">
                  <c:v>Bottom 50%</c:v>
                </c:pt>
              </c:strCache>
            </c:strRef>
          </c:tx>
          <c:marker>
            <c:symbol val="none"/>
          </c:marker>
          <c:cat>
            <c:strRef>
              <c:f>'Chart 8'!$AA$83:$AA$104</c:f>
              <c:strCache>
                <c:ptCount val="22"/>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'Chart 8'!$AJ$83:$AJ$104</c:f>
              <c:numCache>
                <c:formatCode>0.0%</c:formatCode>
                <c:ptCount val="22"/>
                <c:pt idx="0">
                  <c:v>0.1573616018845701</c:v>
                </c:pt>
                <c:pt idx="1">
                  <c:v>0.1548684258191822</c:v>
                </c:pt>
                <c:pt idx="2">
                  <c:v>0.15156999817345534</c:v>
                </c:pt>
                <c:pt idx="3">
                  <c:v>0.15005040005040005</c:v>
                </c:pt>
                <c:pt idx="4">
                  <c:v>0.14979998805898859</c:v>
                </c:pt>
                <c:pt idx="5">
                  <c:v>0.1451728496410096</c:v>
                </c:pt>
                <c:pt idx="6">
                  <c:v>0.14140104494281056</c:v>
                </c:pt>
                <c:pt idx="7">
                  <c:v>0.14470708125170878</c:v>
                </c:pt>
                <c:pt idx="8">
                  <c:v>0.1437494957876661</c:v>
                </c:pt>
                <c:pt idx="9">
                  <c:v>0.1437069308589741</c:v>
                </c:pt>
                <c:pt idx="10">
                  <c:v>0.14206431935757857</c:v>
                </c:pt>
                <c:pt idx="11">
                  <c:v>0.13461750745115356</c:v>
                </c:pt>
                <c:pt idx="12">
                  <c:v>0.12809138000575471</c:v>
                </c:pt>
                <c:pt idx="13">
                  <c:v>0.11757316223620663</c:v>
                </c:pt>
                <c:pt idx="14">
                  <c:v>0.11745404940162507</c:v>
                </c:pt>
                <c:pt idx="15">
                  <c:v>0.11713479217103988</c:v>
                </c:pt>
                <c:pt idx="16">
                  <c:v>0.11510580741349619</c:v>
                </c:pt>
                <c:pt idx="17">
                  <c:v>0.11682720400102453</c:v>
                </c:pt>
                <c:pt idx="18">
                  <c:v>0.12240064665077784</c:v>
                </c:pt>
                <c:pt idx="19">
                  <c:v>0.12064365558501601</c:v>
                </c:pt>
                <c:pt idx="20">
                  <c:v>0.12422608834786963</c:v>
                </c:pt>
                <c:pt idx="21">
                  <c:v>0.12507598797893715</c:v>
                </c:pt>
              </c:numCache>
            </c:numRef>
          </c:val>
          <c:smooth val="0"/>
          <c:extLst>
            <c:ext xmlns:c16="http://schemas.microsoft.com/office/drawing/2014/chart" uri="{C3380CC4-5D6E-409C-BE32-E72D297353CC}">
              <c16:uniqueId val="{00000000-0428-42AA-8C07-E780B3A886FF}"/>
            </c:ext>
          </c:extLst>
        </c:ser>
        <c:dLbls>
          <c:showLegendKey val="0"/>
          <c:showVal val="0"/>
          <c:showCatName val="0"/>
          <c:showSerName val="0"/>
          <c:showPercent val="0"/>
          <c:showBubbleSize val="0"/>
        </c:dLbls>
        <c:marker val="1"/>
        <c:smooth val="0"/>
        <c:axId val="478861952"/>
        <c:axId val="478880128"/>
      </c:lineChart>
      <c:lineChart>
        <c:grouping val="standard"/>
        <c:varyColors val="0"/>
        <c:ser>
          <c:idx val="0"/>
          <c:order val="1"/>
          <c:tx>
            <c:strRef>
              <c:f>'Chart 8'!$AJ$82</c:f>
              <c:strCache>
                <c:ptCount val="1"/>
                <c:pt idx="0">
                  <c:v>Bottom 50%</c:v>
                </c:pt>
              </c:strCache>
            </c:strRef>
          </c:tx>
          <c:spPr>
            <a:ln>
              <a:solidFill>
                <a:schemeClr val="accent4"/>
              </a:solidFill>
              <a:prstDash val="sysDash"/>
            </a:ln>
          </c:spPr>
          <c:marker>
            <c:symbol val="none"/>
          </c:marker>
          <c:cat>
            <c:strRef>
              <c:f>'Chart 8'!$AA$83:$AA$104</c:f>
              <c:strCache>
                <c:ptCount val="22"/>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'Chart 8'!$K$83:$K$104</c:f>
              <c:numCache>
                <c:formatCode>0.0%</c:formatCode>
                <c:ptCount val="22"/>
                <c:pt idx="0">
                  <c:v>0.27381912467372543</c:v>
                </c:pt>
                <c:pt idx="1">
                  <c:v>0.26955453968122289</c:v>
                </c:pt>
                <c:pt idx="2">
                  <c:v>0.26533055881703305</c:v>
                </c:pt>
                <c:pt idx="3">
                  <c:v>0.26244505566080223</c:v>
                </c:pt>
                <c:pt idx="4">
                  <c:v>0.26211343635703216</c:v>
                </c:pt>
                <c:pt idx="5">
                  <c:v>0.25370765646131033</c:v>
                </c:pt>
                <c:pt idx="6">
                  <c:v>0.25459861165798048</c:v>
                </c:pt>
                <c:pt idx="7">
                  <c:v>0.25599145629193415</c:v>
                </c:pt>
                <c:pt idx="8">
                  <c:v>0.25374928104799599</c:v>
                </c:pt>
                <c:pt idx="9">
                  <c:v>0.25498424095462285</c:v>
                </c:pt>
                <c:pt idx="10">
                  <c:v>0.25049699856611662</c:v>
                </c:pt>
                <c:pt idx="11">
                  <c:v>0.24669200593507998</c:v>
                </c:pt>
                <c:pt idx="12">
                  <c:v>0.24895175171828748</c:v>
                </c:pt>
                <c:pt idx="13">
                  <c:v>0.25016925080502411</c:v>
                </c:pt>
                <c:pt idx="14">
                  <c:v>0.26102171369728105</c:v>
                </c:pt>
                <c:pt idx="15">
                  <c:v>0.26090271370884138</c:v>
                </c:pt>
                <c:pt idx="16">
                  <c:v>0.25868602526194806</c:v>
                </c:pt>
                <c:pt idx="17">
                  <c:v>0.25631364076595703</c:v>
                </c:pt>
                <c:pt idx="18">
                  <c:v>0.26128411448572791</c:v>
                </c:pt>
                <c:pt idx="19">
                  <c:v>0.25694455199689342</c:v>
                </c:pt>
                <c:pt idx="20">
                  <c:v>0.2567557574640999</c:v>
                </c:pt>
                <c:pt idx="21">
                  <c:v>0.2559567783979188</c:v>
                </c:pt>
              </c:numCache>
            </c:numRef>
          </c:val>
          <c:smooth val="0"/>
          <c:extLst>
            <c:ext xmlns:c16="http://schemas.microsoft.com/office/drawing/2014/chart" uri="{C3380CC4-5D6E-409C-BE32-E72D297353CC}">
              <c16:uniqueId val="{00000001-0428-42AA-8C07-E780B3A886FF}"/>
            </c:ext>
          </c:extLst>
        </c:ser>
        <c:dLbls>
          <c:showLegendKey val="0"/>
          <c:showVal val="0"/>
          <c:showCatName val="0"/>
          <c:showSerName val="0"/>
          <c:showPercent val="0"/>
          <c:showBubbleSize val="0"/>
        </c:dLbls>
        <c:marker val="1"/>
        <c:smooth val="0"/>
        <c:axId val="478884224"/>
        <c:axId val="478882048"/>
      </c:lineChart>
      <c:catAx>
        <c:axId val="478861952"/>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880128"/>
        <c:crosses val="autoZero"/>
        <c:auto val="1"/>
        <c:lblAlgn val="ctr"/>
        <c:lblOffset val="100"/>
        <c:tickLblSkip val="5"/>
        <c:tickMarkSkip val="5"/>
        <c:noMultiLvlLbl val="0"/>
      </c:catAx>
      <c:valAx>
        <c:axId val="478880128"/>
        <c:scaling>
          <c:orientation val="minMax"/>
          <c:max val="0.30000000000000004"/>
          <c:min val="0"/>
        </c:scaling>
        <c:delete val="0"/>
        <c:axPos val="l"/>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11455393523296739"/>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861952"/>
        <c:crosses val="autoZero"/>
        <c:crossBetween val="midCat"/>
        <c:majorUnit val="5.000000000000001E-2"/>
      </c:valAx>
      <c:valAx>
        <c:axId val="478882048"/>
        <c:scaling>
          <c:orientation val="minMax"/>
          <c:max val="0.30000000000000004"/>
          <c:min val="0"/>
        </c:scaling>
        <c:delete val="0"/>
        <c:axPos val="r"/>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74974371072182511"/>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478884224"/>
        <c:crosses val="max"/>
        <c:crossBetween val="midCat"/>
      </c:valAx>
      <c:catAx>
        <c:axId val="478884224"/>
        <c:scaling>
          <c:orientation val="minMax"/>
        </c:scaling>
        <c:delete val="1"/>
        <c:axPos val="t"/>
        <c:numFmt formatCode="General" sourceLinked="1"/>
        <c:majorTickMark val="none"/>
        <c:minorTickMark val="none"/>
        <c:tickLblPos val="none"/>
        <c:crossAx val="478882048"/>
        <c:crosses val="max"/>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0.14103</cdr:x>
      <cdr:y>0.19935</cdr:y>
    </cdr:from>
    <cdr:to>
      <cdr:x>0.40871</cdr:x>
      <cdr:y>0.27066</cdr:y>
    </cdr:to>
    <cdr:sp macro="" textlink="">
      <cdr:nvSpPr>
        <cdr:cNvPr id="2" name="TextBox 7"/>
        <cdr:cNvSpPr txBox="1"/>
      </cdr:nvSpPr>
      <cdr:spPr>
        <a:xfrm xmlns:a="http://schemas.openxmlformats.org/drawingml/2006/main">
          <a:off x="749030" y="469127"/>
          <a:ext cx="1421676" cy="16782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b="1">
              <a:solidFill>
                <a:schemeClr val="accent2"/>
              </a:solidFill>
              <a:latin typeface="Arial" panose="020B0604020202020204" pitchFamily="34" charset="0"/>
              <a:cs typeface="Arial" panose="020B0604020202020204" pitchFamily="34" charset="0"/>
            </a:rPr>
            <a:t>Marginal</a:t>
          </a:r>
          <a:r>
            <a:rPr lang="en-AU" sz="800" b="1" baseline="0">
              <a:solidFill>
                <a:schemeClr val="accent2"/>
              </a:solidFill>
              <a:latin typeface="Arial" panose="020B0604020202020204" pitchFamily="34" charset="0"/>
              <a:cs typeface="Arial" panose="020B0604020202020204" pitchFamily="34" charset="0"/>
            </a:rPr>
            <a:t> tax rate (LHS)</a:t>
          </a:r>
          <a:endParaRPr lang="en-AU" sz="800" b="1">
            <a:solidFill>
              <a:schemeClr val="accent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0.41184</cdr:x>
      <cdr:y>0.63483</cdr:y>
    </cdr:from>
    <cdr:to>
      <cdr:x>0.58999</cdr:x>
      <cdr:y>0.71179</cdr:y>
    </cdr:to>
    <cdr:sp macro="" textlink="">
      <cdr:nvSpPr>
        <cdr:cNvPr id="3" name="TextBox 7"/>
        <cdr:cNvSpPr txBox="1"/>
      </cdr:nvSpPr>
      <cdr:spPr>
        <a:xfrm xmlns:a="http://schemas.openxmlformats.org/drawingml/2006/main">
          <a:off x="2187353" y="1493952"/>
          <a:ext cx="946179" cy="18111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b="1">
              <a:solidFill>
                <a:schemeClr val="bg1">
                  <a:lumMod val="65000"/>
                </a:schemeClr>
              </a:solidFill>
              <a:latin typeface="Arial" panose="020B0604020202020204" pitchFamily="34" charset="0"/>
              <a:cs typeface="Arial" panose="020B0604020202020204" pitchFamily="34" charset="0"/>
            </a:rPr>
            <a:t>Tax paid </a:t>
          </a:r>
          <a:r>
            <a:rPr lang="en-AU" sz="800" b="1" baseline="0">
              <a:solidFill>
                <a:schemeClr val="bg1">
                  <a:lumMod val="65000"/>
                </a:schemeClr>
              </a:solidFill>
              <a:latin typeface="Arial" panose="020B0604020202020204" pitchFamily="34" charset="0"/>
              <a:cs typeface="Arial" panose="020B0604020202020204" pitchFamily="34" charset="0"/>
            </a:rPr>
            <a:t>(RHS)</a:t>
          </a:r>
          <a:endParaRPr lang="en-AU" sz="800" b="1">
            <a:solidFill>
              <a:schemeClr val="bg1">
                <a:lumMod val="6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0.21275</cdr:x>
      <cdr:y>0.35337</cdr:y>
    </cdr:from>
    <cdr:to>
      <cdr:x>0.46227</cdr:x>
      <cdr:y>0.40924</cdr:y>
    </cdr:to>
    <cdr:sp macro="" textlink="">
      <cdr:nvSpPr>
        <cdr:cNvPr id="4" name="TextBox 8"/>
        <cdr:cNvSpPr txBox="1"/>
      </cdr:nvSpPr>
      <cdr:spPr>
        <a:xfrm xmlns:a="http://schemas.openxmlformats.org/drawingml/2006/main">
          <a:off x="1190360" y="945795"/>
          <a:ext cx="1396104" cy="14953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b="1">
              <a:solidFill>
                <a:schemeClr val="accent1"/>
              </a:solidFill>
              <a:latin typeface="Arial" panose="020B0604020202020204" pitchFamily="34" charset="0"/>
              <a:cs typeface="Arial" panose="020B0604020202020204" pitchFamily="34" charset="0"/>
            </a:rPr>
            <a:t>Averate tax</a:t>
          </a:r>
          <a:r>
            <a:rPr lang="en-AU" sz="800" b="1" baseline="0">
              <a:solidFill>
                <a:schemeClr val="accent1"/>
              </a:solidFill>
              <a:latin typeface="Arial" panose="020B0604020202020204" pitchFamily="34" charset="0"/>
              <a:cs typeface="Arial" panose="020B0604020202020204" pitchFamily="34" charset="0"/>
            </a:rPr>
            <a:t> rate (LHS)</a:t>
          </a:r>
          <a:endParaRPr lang="en-AU" sz="800" b="1">
            <a:solidFill>
              <a:schemeClr val="accent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0.23039</cdr:x>
      <cdr:y>0.26535</cdr:y>
    </cdr:from>
    <cdr:to>
      <cdr:x>0.4679</cdr:x>
      <cdr:y>0.34752</cdr:y>
    </cdr:to>
    <cdr:sp macro="" textlink="">
      <cdr:nvSpPr>
        <cdr:cNvPr id="5" name="TextBox 7"/>
        <cdr:cNvSpPr txBox="1"/>
      </cdr:nvSpPr>
      <cdr:spPr>
        <a:xfrm xmlns:a="http://schemas.openxmlformats.org/drawingml/2006/main">
          <a:off x="1289050" y="710223"/>
          <a:ext cx="1328907" cy="21993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AU" sz="1000">
              <a:solidFill>
                <a:schemeClr val="dk1"/>
              </a:solidFill>
              <a:effectLst/>
              <a:latin typeface="Arial" panose="020B0604020202020204" pitchFamily="34" charset="0"/>
              <a:ea typeface="+mn-ea"/>
              <a:cs typeface="Arial" panose="020B0604020202020204" pitchFamily="34" charset="0"/>
            </a:rPr>
            <a:t>B</a:t>
          </a:r>
          <a:r>
            <a:rPr lang="en-AU" sz="1000" baseline="-25000">
              <a:solidFill>
                <a:schemeClr val="dk1"/>
              </a:solidFill>
              <a:effectLst/>
              <a:latin typeface="Arial" panose="020B0604020202020204" pitchFamily="34" charset="0"/>
              <a:ea typeface="+mn-ea"/>
              <a:cs typeface="Arial" panose="020B0604020202020204" pitchFamily="34" charset="0"/>
            </a:rPr>
            <a:t>marginal</a:t>
          </a:r>
          <a:endParaRPr lang="en-AU" sz="1000">
            <a:solidFill>
              <a:schemeClr val="dk1"/>
            </a:solidFill>
            <a:effectLst/>
            <a:latin typeface="Arial" panose="020B0604020202020204" pitchFamily="34" charset="0"/>
            <a:ea typeface="+mn-ea"/>
            <a:cs typeface="Arial" panose="020B0604020202020204" pitchFamily="34" charset="0"/>
          </a:endParaRPr>
        </a:p>
        <a:p xmlns:a="http://schemas.openxmlformats.org/drawingml/2006/main">
          <a:endParaRPr lang="en-AU" sz="600" b="1">
            <a:solidFill>
              <a:schemeClr val="accent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0.58134</cdr:x>
      <cdr:y>0.26809</cdr:y>
    </cdr:from>
    <cdr:to>
      <cdr:x>0.81885</cdr:x>
      <cdr:y>0.35026</cdr:y>
    </cdr:to>
    <cdr:sp macro="" textlink="">
      <cdr:nvSpPr>
        <cdr:cNvPr id="6" name="TextBox 7"/>
        <cdr:cNvSpPr txBox="1"/>
      </cdr:nvSpPr>
      <cdr:spPr>
        <a:xfrm xmlns:a="http://schemas.openxmlformats.org/drawingml/2006/main">
          <a:off x="3252665" y="717550"/>
          <a:ext cx="1328907" cy="21993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AU" sz="1050">
              <a:solidFill>
                <a:schemeClr val="dk1"/>
              </a:solidFill>
              <a:effectLst/>
              <a:latin typeface="Arial" panose="020B0604020202020204" pitchFamily="34" charset="0"/>
              <a:ea typeface="+mn-ea"/>
              <a:cs typeface="Arial" panose="020B0604020202020204" pitchFamily="34" charset="0"/>
            </a:rPr>
            <a:t>A</a:t>
          </a:r>
          <a:r>
            <a:rPr lang="en-AU" sz="1050" baseline="-25000">
              <a:solidFill>
                <a:schemeClr val="dk1"/>
              </a:solidFill>
              <a:effectLst/>
              <a:latin typeface="Arial" panose="020B0604020202020204" pitchFamily="34" charset="0"/>
              <a:ea typeface="+mn-ea"/>
              <a:cs typeface="Arial" panose="020B0604020202020204" pitchFamily="34" charset="0"/>
            </a:rPr>
            <a:t>marginal</a:t>
          </a:r>
          <a:endParaRPr lang="en-AU" sz="1050">
            <a:solidFill>
              <a:schemeClr val="dk1"/>
            </a:solidFill>
            <a:effectLst/>
            <a:latin typeface="Arial" panose="020B0604020202020204" pitchFamily="34" charset="0"/>
            <a:ea typeface="+mn-ea"/>
            <a:cs typeface="Arial" panose="020B0604020202020204" pitchFamily="34" charset="0"/>
          </a:endParaRPr>
        </a:p>
        <a:p xmlns:a="http://schemas.openxmlformats.org/drawingml/2006/main">
          <a:endParaRPr lang="en-AU" sz="700" b="1">
            <a:solidFill>
              <a:schemeClr val="accent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0.23229</cdr:x>
      <cdr:y>0.53633</cdr:y>
    </cdr:from>
    <cdr:to>
      <cdr:x>0.35747</cdr:x>
      <cdr:y>0.65234</cdr:y>
    </cdr:to>
    <cdr:sp macro="" textlink="">
      <cdr:nvSpPr>
        <cdr:cNvPr id="7" name="Text Box 2"/>
        <cdr:cNvSpPr txBox="1">
          <a:spLocks xmlns:a="http://schemas.openxmlformats.org/drawingml/2006/main" noChangeArrowheads="1"/>
        </cdr:cNvSpPr>
      </cdr:nvSpPr>
      <cdr:spPr bwMode="auto">
        <a:xfrm xmlns:a="http://schemas.openxmlformats.org/drawingml/2006/main">
          <a:off x="1299708" y="1435494"/>
          <a:ext cx="700403" cy="31050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en-AU" sz="1000">
              <a:effectLst/>
              <a:latin typeface="Arial" panose="020B0604020202020204" pitchFamily="34" charset="0"/>
              <a:ea typeface="Calibri"/>
              <a:cs typeface="Arial" panose="020B0604020202020204" pitchFamily="34" charset="0"/>
            </a:rPr>
            <a:t>B</a:t>
          </a:r>
          <a:r>
            <a:rPr lang="en-AU" sz="1000" baseline="-25000">
              <a:effectLst/>
              <a:latin typeface="Arial" panose="020B0604020202020204" pitchFamily="34" charset="0"/>
              <a:ea typeface="Calibri"/>
              <a:cs typeface="Arial" panose="020B0604020202020204" pitchFamily="34" charset="0"/>
            </a:rPr>
            <a:t>average</a:t>
          </a:r>
          <a:endParaRPr lang="en-AU" sz="1000">
            <a:effectLst/>
            <a:latin typeface="Arial" panose="020B0604020202020204" pitchFamily="34" charset="0"/>
            <a:ea typeface="Calibri"/>
            <a:cs typeface="Arial" panose="020B0604020202020204" pitchFamily="34" charset="0"/>
          </a:endParaRPr>
        </a:p>
      </cdr:txBody>
    </cdr:sp>
  </cdr:relSizeAnchor>
  <cdr:relSizeAnchor xmlns:cdr="http://schemas.openxmlformats.org/drawingml/2006/chartDrawing">
    <cdr:from>
      <cdr:x>0.58526</cdr:x>
      <cdr:y>0.35295</cdr:y>
    </cdr:from>
    <cdr:to>
      <cdr:x>0.71044</cdr:x>
      <cdr:y>0.46897</cdr:y>
    </cdr:to>
    <cdr:sp macro="" textlink="">
      <cdr:nvSpPr>
        <cdr:cNvPr id="8" name="Text Box 2"/>
        <cdr:cNvSpPr txBox="1">
          <a:spLocks xmlns:a="http://schemas.openxmlformats.org/drawingml/2006/main" noChangeArrowheads="1"/>
        </cdr:cNvSpPr>
      </cdr:nvSpPr>
      <cdr:spPr bwMode="auto">
        <a:xfrm xmlns:a="http://schemas.openxmlformats.org/drawingml/2006/main">
          <a:off x="3274625" y="944673"/>
          <a:ext cx="700403" cy="3105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AU" sz="1000">
              <a:effectLst/>
              <a:latin typeface="Arial" panose="020B0604020202020204" pitchFamily="34" charset="0"/>
              <a:ea typeface="Calibri"/>
              <a:cs typeface="Arial" panose="020B0604020202020204" pitchFamily="34" charset="0"/>
            </a:rPr>
            <a:t>A</a:t>
          </a:r>
          <a:r>
            <a:rPr lang="en-AU" sz="1000" baseline="-25000">
              <a:effectLst/>
              <a:latin typeface="Arial" panose="020B0604020202020204" pitchFamily="34" charset="0"/>
              <a:ea typeface="Calibri"/>
              <a:cs typeface="Arial" panose="020B0604020202020204" pitchFamily="34" charset="0"/>
            </a:rPr>
            <a:t>average</a:t>
          </a:r>
          <a:endParaRPr lang="en-AU" sz="1000">
            <a:effectLst/>
            <a:latin typeface="Arial" panose="020B0604020202020204" pitchFamily="34" charset="0"/>
            <a:ea typeface="Calibri"/>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0.61812</cdr:x>
      <cdr:y>0.12103</cdr:y>
    </cdr:from>
    <cdr:to>
      <cdr:x>0.84342</cdr:x>
      <cdr:y>0.17902</cdr:y>
    </cdr:to>
    <cdr:sp macro="" textlink="">
      <cdr:nvSpPr>
        <cdr:cNvPr id="78" name="TextBox 1"/>
        <cdr:cNvSpPr txBox="1"/>
      </cdr:nvSpPr>
      <cdr:spPr>
        <a:xfrm xmlns:a="http://schemas.openxmlformats.org/drawingml/2006/main">
          <a:off x="3470032" y="384860"/>
          <a:ext cx="1264827" cy="1844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tx2"/>
              </a:solidFill>
            </a:rPr>
            <a:t>Average tax rate,</a:t>
          </a:r>
          <a:r>
            <a:rPr lang="en-AU" sz="700" baseline="0">
              <a:solidFill>
                <a:schemeClr val="tx2"/>
              </a:solidFill>
            </a:rPr>
            <a:t> 1994-95</a:t>
          </a:r>
          <a:endParaRPr lang="en-AU" sz="700">
            <a:solidFill>
              <a:schemeClr val="tx2"/>
            </a:solidFill>
          </a:endParaRPr>
        </a:p>
      </cdr:txBody>
    </cdr:sp>
  </cdr:relSizeAnchor>
  <cdr:relSizeAnchor xmlns:cdr="http://schemas.openxmlformats.org/drawingml/2006/chartDrawing">
    <cdr:from>
      <cdr:x>0.61551</cdr:x>
      <cdr:y>0.29966</cdr:y>
    </cdr:from>
    <cdr:to>
      <cdr:x>0.85168</cdr:x>
      <cdr:y>0.35765</cdr:y>
    </cdr:to>
    <cdr:sp macro="" textlink="">
      <cdr:nvSpPr>
        <cdr:cNvPr id="79" name="TextBox 1"/>
        <cdr:cNvSpPr txBox="1"/>
      </cdr:nvSpPr>
      <cdr:spPr>
        <a:xfrm xmlns:a="http://schemas.openxmlformats.org/drawingml/2006/main">
          <a:off x="3455379" y="952897"/>
          <a:ext cx="1325860" cy="184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accent6"/>
              </a:solidFill>
            </a:rPr>
            <a:t>Average tax rate,</a:t>
          </a:r>
          <a:r>
            <a:rPr lang="en-AU" sz="700" baseline="0">
              <a:solidFill>
                <a:schemeClr val="accent6"/>
              </a:solidFill>
            </a:rPr>
            <a:t> 2015-16</a:t>
          </a:r>
          <a:endParaRPr lang="en-AU" sz="700">
            <a:solidFill>
              <a:schemeClr val="accent6"/>
            </a:solidFill>
          </a:endParaRPr>
        </a:p>
      </cdr:txBody>
    </cdr:sp>
  </cdr:relSizeAnchor>
  <cdr:relSizeAnchor xmlns:cdr="http://schemas.openxmlformats.org/drawingml/2006/chartDrawing">
    <cdr:from>
      <cdr:x>0.60767</cdr:x>
      <cdr:y>0.22735</cdr:y>
    </cdr:from>
    <cdr:to>
      <cdr:x>0.83612</cdr:x>
      <cdr:y>0.28533</cdr:y>
    </cdr:to>
    <cdr:sp macro="" textlink="">
      <cdr:nvSpPr>
        <cdr:cNvPr id="82" name="TextBox 1"/>
        <cdr:cNvSpPr txBox="1"/>
      </cdr:nvSpPr>
      <cdr:spPr>
        <a:xfrm xmlns:a="http://schemas.openxmlformats.org/drawingml/2006/main">
          <a:off x="3411416" y="722935"/>
          <a:ext cx="1282496" cy="1843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accent6"/>
              </a:solidFill>
            </a:rPr>
            <a:t>Marginal tax rate,</a:t>
          </a:r>
          <a:r>
            <a:rPr lang="en-AU" sz="700" baseline="0">
              <a:solidFill>
                <a:schemeClr val="accent6"/>
              </a:solidFill>
            </a:rPr>
            <a:t> 2015-16</a:t>
          </a:r>
          <a:endParaRPr lang="en-AU" sz="700">
            <a:solidFill>
              <a:schemeClr val="accent6"/>
            </a:solidFill>
          </a:endParaRPr>
        </a:p>
      </cdr:txBody>
    </cdr:sp>
  </cdr:relSizeAnchor>
  <cdr:relSizeAnchor xmlns:cdr="http://schemas.openxmlformats.org/drawingml/2006/chartDrawing">
    <cdr:from>
      <cdr:x>0.60767</cdr:x>
      <cdr:y>0.02132</cdr:y>
    </cdr:from>
    <cdr:to>
      <cdr:x>0.8428</cdr:x>
      <cdr:y>0.07931</cdr:y>
    </cdr:to>
    <cdr:sp macro="" textlink="">
      <cdr:nvSpPr>
        <cdr:cNvPr id="83" name="TextBox 1"/>
        <cdr:cNvSpPr txBox="1"/>
      </cdr:nvSpPr>
      <cdr:spPr>
        <a:xfrm xmlns:a="http://schemas.openxmlformats.org/drawingml/2006/main">
          <a:off x="3411416" y="67795"/>
          <a:ext cx="1319970" cy="1844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tx2"/>
              </a:solidFill>
            </a:rPr>
            <a:t>Marginal tax rate,</a:t>
          </a:r>
          <a:r>
            <a:rPr lang="en-AU" sz="700" baseline="0">
              <a:solidFill>
                <a:schemeClr val="tx2"/>
              </a:solidFill>
            </a:rPr>
            <a:t> 1994-95</a:t>
          </a:r>
          <a:endParaRPr lang="en-AU" sz="700">
            <a:solidFill>
              <a:schemeClr val="tx2"/>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0.07269</cdr:x>
      <cdr:y>0.78356</cdr:y>
    </cdr:from>
    <cdr:to>
      <cdr:x>0.18948</cdr:x>
      <cdr:y>0.79944</cdr:y>
    </cdr:to>
    <cdr:sp macro="" textlink="">
      <cdr:nvSpPr>
        <cdr:cNvPr id="3" name="Left Brace 2"/>
        <cdr:cNvSpPr/>
      </cdr:nvSpPr>
      <cdr:spPr>
        <a:xfrm xmlns:a="http://schemas.openxmlformats.org/drawingml/2006/main" rot="16200000">
          <a:off x="708592" y="1953694"/>
          <a:ext cx="45719" cy="651651"/>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0.18948</cdr:x>
      <cdr:y>0.73019</cdr:y>
    </cdr:from>
    <cdr:to>
      <cdr:x>0.22055</cdr:x>
      <cdr:y>0.75075</cdr:y>
    </cdr:to>
    <cdr:sp macro="" textlink="">
      <cdr:nvSpPr>
        <cdr:cNvPr id="4" name="Left Brace 3"/>
        <cdr:cNvSpPr/>
      </cdr:nvSpPr>
      <cdr:spPr>
        <a:xfrm xmlns:a="http://schemas.openxmlformats.org/drawingml/2006/main" rot="16200000">
          <a:off x="1114362" y="2045860"/>
          <a:ext cx="59230" cy="173397"/>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0.22394</cdr:x>
      <cdr:y>0.68717</cdr:y>
    </cdr:from>
    <cdr:to>
      <cdr:x>0.24718</cdr:x>
      <cdr:y>0.70354</cdr:y>
    </cdr:to>
    <cdr:sp macro="" textlink="">
      <cdr:nvSpPr>
        <cdr:cNvPr id="5" name="Left Brace 4"/>
        <cdr:cNvSpPr/>
      </cdr:nvSpPr>
      <cdr:spPr>
        <a:xfrm xmlns:a="http://schemas.openxmlformats.org/drawingml/2006/main" rot="16200000">
          <a:off x="1284263" y="1877487"/>
          <a:ext cx="45719" cy="128955"/>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0.25851</cdr:x>
      <cdr:y>0.62905</cdr:y>
    </cdr:from>
    <cdr:to>
      <cdr:x>0.27776</cdr:x>
      <cdr:y>0.65304</cdr:y>
    </cdr:to>
    <cdr:sp macro="" textlink="">
      <cdr:nvSpPr>
        <cdr:cNvPr id="6" name="Left Brace 5"/>
        <cdr:cNvSpPr/>
      </cdr:nvSpPr>
      <cdr:spPr>
        <a:xfrm xmlns:a="http://schemas.openxmlformats.org/drawingml/2006/main" rot="16200000">
          <a:off x="1451716" y="1736940"/>
          <a:ext cx="67011" cy="106658"/>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0.28366</cdr:x>
      <cdr:y>0.57855</cdr:y>
    </cdr:from>
    <cdr:to>
      <cdr:x>0.31057</cdr:x>
      <cdr:y>0.59458</cdr:y>
    </cdr:to>
    <cdr:sp macro="" textlink="">
      <cdr:nvSpPr>
        <cdr:cNvPr id="7" name="Left Brace 6"/>
        <cdr:cNvSpPr/>
      </cdr:nvSpPr>
      <cdr:spPr>
        <a:xfrm xmlns:a="http://schemas.openxmlformats.org/drawingml/2006/main" rot="16200000">
          <a:off x="1640388" y="1598108"/>
          <a:ext cx="45719" cy="150632"/>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0.31213</cdr:x>
      <cdr:y>0.54247</cdr:y>
    </cdr:from>
    <cdr:to>
      <cdr:x>0.34874</cdr:x>
      <cdr:y>0.56462</cdr:y>
    </cdr:to>
    <cdr:sp macro="" textlink="">
      <cdr:nvSpPr>
        <cdr:cNvPr id="8" name="Left Brace 7"/>
        <cdr:cNvSpPr/>
      </cdr:nvSpPr>
      <cdr:spPr>
        <a:xfrm xmlns:a="http://schemas.openxmlformats.org/drawingml/2006/main" rot="16200000">
          <a:off x="1802661" y="1444343"/>
          <a:ext cx="61860" cy="203152"/>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0.35743</cdr:x>
      <cdr:y>0.50455</cdr:y>
    </cdr:from>
    <cdr:to>
      <cdr:x>0.40101</cdr:x>
      <cdr:y>0.53261</cdr:y>
    </cdr:to>
    <cdr:sp macro="" textlink="">
      <cdr:nvSpPr>
        <cdr:cNvPr id="9" name="Left Brace 8"/>
        <cdr:cNvSpPr/>
      </cdr:nvSpPr>
      <cdr:spPr>
        <a:xfrm xmlns:a="http://schemas.openxmlformats.org/drawingml/2006/main" rot="16200000">
          <a:off x="2082885" y="1357480"/>
          <a:ext cx="80043" cy="243972"/>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0.40579</cdr:x>
      <cdr:y>0.46941</cdr:y>
    </cdr:from>
    <cdr:to>
      <cdr:x>0.46997</cdr:x>
      <cdr:y>0.49746</cdr:y>
    </cdr:to>
    <cdr:sp macro="" textlink="">
      <cdr:nvSpPr>
        <cdr:cNvPr id="17" name="Left Brace 16"/>
        <cdr:cNvSpPr/>
      </cdr:nvSpPr>
      <cdr:spPr>
        <a:xfrm xmlns:a="http://schemas.openxmlformats.org/drawingml/2006/main" rot="16200000">
          <a:off x="2411247" y="1199566"/>
          <a:ext cx="80043" cy="359275"/>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0.47564</cdr:x>
      <cdr:y>0.43426</cdr:y>
    </cdr:from>
    <cdr:to>
      <cdr:x>0.61146</cdr:x>
      <cdr:y>0.45705</cdr:y>
    </cdr:to>
    <cdr:sp macro="" textlink="">
      <cdr:nvSpPr>
        <cdr:cNvPr id="18" name="Left Brace 17"/>
        <cdr:cNvSpPr/>
      </cdr:nvSpPr>
      <cdr:spPr>
        <a:xfrm xmlns:a="http://schemas.openxmlformats.org/drawingml/2006/main" rot="16200000">
          <a:off x="3010318" y="891255"/>
          <a:ext cx="65004" cy="760330"/>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0.18818</cdr:x>
      <cdr:y>0.72947</cdr:y>
    </cdr:from>
    <cdr:to>
      <cdr:x>0.23176</cdr:x>
      <cdr:y>0.78916</cdr:y>
    </cdr:to>
    <cdr:sp macro="" textlink="">
      <cdr:nvSpPr>
        <cdr:cNvPr id="22" name="TextBox 1"/>
        <cdr:cNvSpPr txBox="1"/>
      </cdr:nvSpPr>
      <cdr:spPr>
        <a:xfrm xmlns:a="http://schemas.openxmlformats.org/drawingml/2006/main">
          <a:off x="1053432" y="2081129"/>
          <a:ext cx="243974" cy="1702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t>2</a:t>
          </a:r>
        </a:p>
      </cdr:txBody>
    </cdr:sp>
  </cdr:relSizeAnchor>
  <cdr:relSizeAnchor xmlns:cdr="http://schemas.openxmlformats.org/drawingml/2006/chartDrawing">
    <cdr:from>
      <cdr:x>0.21684</cdr:x>
      <cdr:y>0.68554</cdr:y>
    </cdr:from>
    <cdr:to>
      <cdr:x>0.26042</cdr:x>
      <cdr:y>0.74523</cdr:y>
    </cdr:to>
    <cdr:sp macro="" textlink="">
      <cdr:nvSpPr>
        <cdr:cNvPr id="23" name="TextBox 1"/>
        <cdr:cNvSpPr txBox="1"/>
      </cdr:nvSpPr>
      <cdr:spPr>
        <a:xfrm xmlns:a="http://schemas.openxmlformats.org/drawingml/2006/main">
          <a:off x="1213853" y="1955800"/>
          <a:ext cx="243974" cy="1702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t>3</a:t>
          </a:r>
        </a:p>
      </cdr:txBody>
    </cdr:sp>
  </cdr:relSizeAnchor>
  <cdr:relSizeAnchor xmlns:cdr="http://schemas.openxmlformats.org/drawingml/2006/chartDrawing">
    <cdr:from>
      <cdr:x>0.61529</cdr:x>
      <cdr:y>0.23954</cdr:y>
    </cdr:from>
    <cdr:to>
      <cdr:x>0.94007</cdr:x>
      <cdr:y>0.27287</cdr:y>
    </cdr:to>
    <cdr:sp macro="" textlink="">
      <cdr:nvSpPr>
        <cdr:cNvPr id="41" name="Left Brace 18"/>
        <cdr:cNvSpPr/>
      </cdr:nvSpPr>
      <cdr:spPr>
        <a:xfrm xmlns:a="http://schemas.openxmlformats.org/drawingml/2006/main" rot="5400000" flipV="1">
          <a:off x="4290970" y="-160345"/>
          <a:ext cx="97019" cy="1812272"/>
        </a:xfrm>
        <a:prstGeom xmlns:a="http://schemas.openxmlformats.org/drawingml/2006/main" prst="leftBrace">
          <a:avLst/>
        </a:prstGeom>
        <a:ln xmlns:a="http://schemas.openxmlformats.org/drawingml/2006/main">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0.11176</cdr:x>
      <cdr:y>0.78916</cdr:y>
    </cdr:from>
    <cdr:to>
      <cdr:x>0.15385</cdr:x>
      <cdr:y>0.83485</cdr:y>
    </cdr:to>
    <cdr:sp macro="" textlink="">
      <cdr:nvSpPr>
        <cdr:cNvPr id="42" name="TextBox 20"/>
        <cdr:cNvSpPr txBox="1"/>
      </cdr:nvSpPr>
      <cdr:spPr>
        <a:xfrm xmlns:a="http://schemas.openxmlformats.org/drawingml/2006/main">
          <a:off x="625651" y="2251404"/>
          <a:ext cx="235622" cy="1303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600">
              <a:solidFill>
                <a:schemeClr val="accent6"/>
              </a:solidFill>
            </a:rPr>
            <a:t>1</a:t>
          </a:r>
        </a:p>
      </cdr:txBody>
    </cdr:sp>
  </cdr:relSizeAnchor>
  <cdr:relSizeAnchor xmlns:cdr="http://schemas.openxmlformats.org/drawingml/2006/chartDrawing">
    <cdr:from>
      <cdr:x>0.18818</cdr:x>
      <cdr:y>0.72947</cdr:y>
    </cdr:from>
    <cdr:to>
      <cdr:x>0.23176</cdr:x>
      <cdr:y>0.78916</cdr:y>
    </cdr:to>
    <cdr:sp macro="" textlink="">
      <cdr:nvSpPr>
        <cdr:cNvPr id="43" name="TextBox 1"/>
        <cdr:cNvSpPr txBox="1"/>
      </cdr:nvSpPr>
      <cdr:spPr>
        <a:xfrm xmlns:a="http://schemas.openxmlformats.org/drawingml/2006/main">
          <a:off x="1053432" y="2081129"/>
          <a:ext cx="243974" cy="1702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2</a:t>
          </a:r>
        </a:p>
      </cdr:txBody>
    </cdr:sp>
  </cdr:relSizeAnchor>
  <cdr:relSizeAnchor xmlns:cdr="http://schemas.openxmlformats.org/drawingml/2006/chartDrawing">
    <cdr:from>
      <cdr:x>0.21684</cdr:x>
      <cdr:y>0.68554</cdr:y>
    </cdr:from>
    <cdr:to>
      <cdr:x>0.26042</cdr:x>
      <cdr:y>0.74523</cdr:y>
    </cdr:to>
    <cdr:sp macro="" textlink="">
      <cdr:nvSpPr>
        <cdr:cNvPr id="44" name="TextBox 1"/>
        <cdr:cNvSpPr txBox="1"/>
      </cdr:nvSpPr>
      <cdr:spPr>
        <a:xfrm xmlns:a="http://schemas.openxmlformats.org/drawingml/2006/main">
          <a:off x="1213853" y="1955800"/>
          <a:ext cx="243974" cy="1702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3</a:t>
          </a:r>
        </a:p>
      </cdr:txBody>
    </cdr:sp>
  </cdr:relSizeAnchor>
  <cdr:relSizeAnchor xmlns:cdr="http://schemas.openxmlformats.org/drawingml/2006/chartDrawing">
    <cdr:from>
      <cdr:x>0.24914</cdr:x>
      <cdr:y>0.63278</cdr:y>
    </cdr:from>
    <cdr:to>
      <cdr:x>0.29272</cdr:x>
      <cdr:y>0.69247</cdr:y>
    </cdr:to>
    <cdr:sp macro="" textlink="">
      <cdr:nvSpPr>
        <cdr:cNvPr id="45" name="TextBox 1"/>
        <cdr:cNvSpPr txBox="1"/>
      </cdr:nvSpPr>
      <cdr:spPr>
        <a:xfrm xmlns:a="http://schemas.openxmlformats.org/drawingml/2006/main">
          <a:off x="1379986" y="1767187"/>
          <a:ext cx="241394" cy="1666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4</a:t>
          </a:r>
        </a:p>
      </cdr:txBody>
    </cdr:sp>
  </cdr:relSizeAnchor>
  <cdr:relSizeAnchor xmlns:cdr="http://schemas.openxmlformats.org/drawingml/2006/chartDrawing">
    <cdr:from>
      <cdr:x>0.27863</cdr:x>
      <cdr:y>0.5766</cdr:y>
    </cdr:from>
    <cdr:to>
      <cdr:x>0.32221</cdr:x>
      <cdr:y>0.63629</cdr:y>
    </cdr:to>
    <cdr:sp macro="" textlink="">
      <cdr:nvSpPr>
        <cdr:cNvPr id="46" name="TextBox 1"/>
        <cdr:cNvSpPr txBox="1"/>
      </cdr:nvSpPr>
      <cdr:spPr>
        <a:xfrm xmlns:a="http://schemas.openxmlformats.org/drawingml/2006/main">
          <a:off x="1559761" y="1644985"/>
          <a:ext cx="243962" cy="1702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5</a:t>
          </a:r>
        </a:p>
      </cdr:txBody>
    </cdr:sp>
  </cdr:relSizeAnchor>
  <cdr:relSizeAnchor xmlns:cdr="http://schemas.openxmlformats.org/drawingml/2006/chartDrawing">
    <cdr:from>
      <cdr:x>0.31445</cdr:x>
      <cdr:y>0.54497</cdr:y>
    </cdr:from>
    <cdr:to>
      <cdr:x>0.35803</cdr:x>
      <cdr:y>0.60466</cdr:y>
    </cdr:to>
    <cdr:sp macro="" textlink="">
      <cdr:nvSpPr>
        <cdr:cNvPr id="47" name="TextBox 1"/>
        <cdr:cNvSpPr txBox="1"/>
      </cdr:nvSpPr>
      <cdr:spPr>
        <a:xfrm xmlns:a="http://schemas.openxmlformats.org/drawingml/2006/main">
          <a:off x="1760287" y="1554748"/>
          <a:ext cx="243962" cy="1702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6</a:t>
          </a:r>
        </a:p>
      </cdr:txBody>
    </cdr:sp>
  </cdr:relSizeAnchor>
  <cdr:relSizeAnchor xmlns:cdr="http://schemas.openxmlformats.org/drawingml/2006/chartDrawing">
    <cdr:from>
      <cdr:x>0.35833</cdr:x>
      <cdr:y>0.52388</cdr:y>
    </cdr:from>
    <cdr:to>
      <cdr:x>0.40191</cdr:x>
      <cdr:y>0.58357</cdr:y>
    </cdr:to>
    <cdr:sp macro="" textlink="">
      <cdr:nvSpPr>
        <cdr:cNvPr id="48" name="TextBox 1"/>
        <cdr:cNvSpPr txBox="1"/>
      </cdr:nvSpPr>
      <cdr:spPr>
        <a:xfrm xmlns:a="http://schemas.openxmlformats.org/drawingml/2006/main">
          <a:off x="2005931" y="1494588"/>
          <a:ext cx="243962" cy="1702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7</a:t>
          </a:r>
        </a:p>
      </cdr:txBody>
    </cdr:sp>
  </cdr:relSizeAnchor>
  <cdr:relSizeAnchor xmlns:cdr="http://schemas.openxmlformats.org/drawingml/2006/chartDrawing">
    <cdr:from>
      <cdr:x>0.41743</cdr:x>
      <cdr:y>0.49049</cdr:y>
    </cdr:from>
    <cdr:to>
      <cdr:x>0.46101</cdr:x>
      <cdr:y>0.55018</cdr:y>
    </cdr:to>
    <cdr:sp macro="" textlink="">
      <cdr:nvSpPr>
        <cdr:cNvPr id="49" name="TextBox 1"/>
        <cdr:cNvSpPr txBox="1"/>
      </cdr:nvSpPr>
      <cdr:spPr>
        <a:xfrm xmlns:a="http://schemas.openxmlformats.org/drawingml/2006/main">
          <a:off x="2336800" y="1399339"/>
          <a:ext cx="243962" cy="1702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8</a:t>
          </a:r>
        </a:p>
      </cdr:txBody>
    </cdr:sp>
  </cdr:relSizeAnchor>
  <cdr:relSizeAnchor xmlns:cdr="http://schemas.openxmlformats.org/drawingml/2006/chartDrawing">
    <cdr:from>
      <cdr:x>0.52042</cdr:x>
      <cdr:y>0.43953</cdr:y>
    </cdr:from>
    <cdr:to>
      <cdr:x>0.564</cdr:x>
      <cdr:y>0.49922</cdr:y>
    </cdr:to>
    <cdr:sp macro="" textlink="">
      <cdr:nvSpPr>
        <cdr:cNvPr id="50" name="TextBox 1"/>
        <cdr:cNvSpPr txBox="1"/>
      </cdr:nvSpPr>
      <cdr:spPr>
        <a:xfrm xmlns:a="http://schemas.openxmlformats.org/drawingml/2006/main">
          <a:off x="2913312" y="1253958"/>
          <a:ext cx="243962" cy="1702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9</a:t>
          </a:r>
        </a:p>
      </cdr:txBody>
    </cdr:sp>
  </cdr:relSizeAnchor>
  <cdr:relSizeAnchor xmlns:cdr="http://schemas.openxmlformats.org/drawingml/2006/chartDrawing">
    <cdr:from>
      <cdr:x>0.75241</cdr:x>
      <cdr:y>0.2429</cdr:y>
    </cdr:from>
    <cdr:to>
      <cdr:x>0.80136</cdr:x>
      <cdr:y>0.30259</cdr:y>
    </cdr:to>
    <cdr:sp macro="" textlink="">
      <cdr:nvSpPr>
        <cdr:cNvPr id="51" name="TextBox 1"/>
        <cdr:cNvSpPr txBox="1"/>
      </cdr:nvSpPr>
      <cdr:spPr>
        <a:xfrm xmlns:a="http://schemas.openxmlformats.org/drawingml/2006/main">
          <a:off x="4188523" y="696336"/>
          <a:ext cx="272523" cy="1711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accent6"/>
              </a:solidFill>
            </a:rPr>
            <a:t>10</a:t>
          </a:r>
        </a:p>
      </cdr:txBody>
    </cdr:sp>
  </cdr:relSizeAnchor>
  <cdr:relSizeAnchor xmlns:cdr="http://schemas.openxmlformats.org/drawingml/2006/chartDrawing">
    <cdr:from>
      <cdr:x>0.87536</cdr:x>
      <cdr:y>0.29286</cdr:y>
    </cdr:from>
    <cdr:to>
      <cdr:x>0.94073</cdr:x>
      <cdr:y>0.29286</cdr:y>
    </cdr:to>
    <cdr:cxnSp macro="">
      <cdr:nvCxnSpPr>
        <cdr:cNvPr id="53" name="Straight Arrow Connector 52"/>
        <cdr:cNvCxnSpPr/>
      </cdr:nvCxnSpPr>
      <cdr:spPr>
        <a:xfrm xmlns:a="http://schemas.openxmlformats.org/drawingml/2006/main">
          <a:off x="4871727" y="844518"/>
          <a:ext cx="363827" cy="0"/>
        </a:xfrm>
        <a:prstGeom xmlns:a="http://schemas.openxmlformats.org/drawingml/2006/main" prst="straightConnector1">
          <a:avLst/>
        </a:prstGeom>
        <a:ln xmlns:a="http://schemas.openxmlformats.org/drawingml/2006/main">
          <a:solidFill>
            <a:schemeClr val="accent6"/>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0.82712</cdr:x>
      <cdr:y>0.2429</cdr:y>
    </cdr:from>
    <cdr:to>
      <cdr:x>0.93672</cdr:x>
      <cdr:y>0.31037</cdr:y>
    </cdr:to>
    <cdr:sp macro="" textlink="">
      <cdr:nvSpPr>
        <cdr:cNvPr id="54" name="TextBox 53"/>
        <cdr:cNvSpPr txBox="1"/>
      </cdr:nvSpPr>
      <cdr:spPr>
        <a:xfrm xmlns:a="http://schemas.openxmlformats.org/drawingml/2006/main">
          <a:off x="4581525" y="678353"/>
          <a:ext cx="607065" cy="1884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600">
              <a:solidFill>
                <a:schemeClr val="accent6"/>
              </a:solidFill>
            </a:rPr>
            <a:t>and above</a:t>
          </a:r>
        </a:p>
      </cdr:txBody>
    </cdr:sp>
  </cdr:relSizeAnchor>
  <cdr:relSizeAnchor xmlns:cdr="http://schemas.openxmlformats.org/drawingml/2006/chartDrawing">
    <cdr:from>
      <cdr:x>0.07349</cdr:x>
      <cdr:y>0.75627</cdr:y>
    </cdr:from>
    <cdr:to>
      <cdr:x>0.12291</cdr:x>
      <cdr:y>0.77954</cdr:y>
    </cdr:to>
    <cdr:sp macro="" textlink="">
      <cdr:nvSpPr>
        <cdr:cNvPr id="55" name="Left Brace 54"/>
        <cdr:cNvSpPr/>
      </cdr:nvSpPr>
      <cdr:spPr>
        <a:xfrm xmlns:a="http://schemas.openxmlformats.org/drawingml/2006/main" rot="16200000">
          <a:off x="512438" y="2007474"/>
          <a:ext cx="64988" cy="274235"/>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0.12128</cdr:x>
      <cdr:y>0.70028</cdr:y>
    </cdr:from>
    <cdr:to>
      <cdr:x>0.13656</cdr:x>
      <cdr:y>0.72917</cdr:y>
    </cdr:to>
    <cdr:sp macro="" textlink="">
      <cdr:nvSpPr>
        <cdr:cNvPr id="56" name="Left Brace 55"/>
        <cdr:cNvSpPr/>
      </cdr:nvSpPr>
      <cdr:spPr>
        <a:xfrm xmlns:a="http://schemas.openxmlformats.org/drawingml/2006/main" rot="16200000">
          <a:off x="675050" y="1953669"/>
          <a:ext cx="80684" cy="84790"/>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0.13391</cdr:x>
      <cdr:y>0.66308</cdr:y>
    </cdr:from>
    <cdr:to>
      <cdr:x>0.14919</cdr:x>
      <cdr:y>0.69197</cdr:y>
    </cdr:to>
    <cdr:sp macro="" textlink="">
      <cdr:nvSpPr>
        <cdr:cNvPr id="57" name="Left Brace 56"/>
        <cdr:cNvSpPr/>
      </cdr:nvSpPr>
      <cdr:spPr>
        <a:xfrm xmlns:a="http://schemas.openxmlformats.org/drawingml/2006/main" rot="16200000">
          <a:off x="745116" y="1849778"/>
          <a:ext cx="80683" cy="84790"/>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0.15078</cdr:x>
      <cdr:y>0.63031</cdr:y>
    </cdr:from>
    <cdr:to>
      <cdr:x>0.16282</cdr:x>
      <cdr:y>0.65798</cdr:y>
    </cdr:to>
    <cdr:sp macro="" textlink="">
      <cdr:nvSpPr>
        <cdr:cNvPr id="58" name="Left Brace 57"/>
        <cdr:cNvSpPr/>
      </cdr:nvSpPr>
      <cdr:spPr>
        <a:xfrm xmlns:a="http://schemas.openxmlformats.org/drawingml/2006/main" rot="16200000">
          <a:off x="831459" y="1765535"/>
          <a:ext cx="77274" cy="66839"/>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0.1618</cdr:x>
      <cdr:y>0.59854</cdr:y>
    </cdr:from>
    <cdr:to>
      <cdr:x>0.17708</cdr:x>
      <cdr:y>0.62743</cdr:y>
    </cdr:to>
    <cdr:sp macro="" textlink="">
      <cdr:nvSpPr>
        <cdr:cNvPr id="59" name="Left Brace 58"/>
        <cdr:cNvSpPr/>
      </cdr:nvSpPr>
      <cdr:spPr>
        <a:xfrm xmlns:a="http://schemas.openxmlformats.org/drawingml/2006/main" rot="16200000">
          <a:off x="899920" y="1669526"/>
          <a:ext cx="80684" cy="84790"/>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0.17675</cdr:x>
      <cdr:y>0.56092</cdr:y>
    </cdr:from>
    <cdr:to>
      <cdr:x>0.19203</cdr:x>
      <cdr:y>0.58981</cdr:y>
    </cdr:to>
    <cdr:sp macro="" textlink="">
      <cdr:nvSpPr>
        <cdr:cNvPr id="60" name="Left Brace 59"/>
        <cdr:cNvSpPr/>
      </cdr:nvSpPr>
      <cdr:spPr>
        <a:xfrm xmlns:a="http://schemas.openxmlformats.org/drawingml/2006/main" rot="16200000">
          <a:off x="982880" y="1564459"/>
          <a:ext cx="80684" cy="84790"/>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0.19211</cdr:x>
      <cdr:y>0.52565</cdr:y>
    </cdr:from>
    <cdr:to>
      <cdr:x>0.21088</cdr:x>
      <cdr:y>0.55274</cdr:y>
    </cdr:to>
    <cdr:sp macro="" textlink="">
      <cdr:nvSpPr>
        <cdr:cNvPr id="61" name="Left Brace 60"/>
        <cdr:cNvSpPr/>
      </cdr:nvSpPr>
      <cdr:spPr>
        <a:xfrm xmlns:a="http://schemas.openxmlformats.org/drawingml/2006/main" rot="16200000">
          <a:off x="1080298" y="1453758"/>
          <a:ext cx="75663" cy="104175"/>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0.21077</cdr:x>
      <cdr:y>0.50066</cdr:y>
    </cdr:from>
    <cdr:to>
      <cdr:x>0.22605</cdr:x>
      <cdr:y>0.52955</cdr:y>
    </cdr:to>
    <cdr:sp macro="" textlink="">
      <cdr:nvSpPr>
        <cdr:cNvPr id="62" name="Left Brace 61"/>
        <cdr:cNvSpPr/>
      </cdr:nvSpPr>
      <cdr:spPr>
        <a:xfrm xmlns:a="http://schemas.openxmlformats.org/drawingml/2006/main" rot="16200000">
          <a:off x="1171617" y="1396170"/>
          <a:ext cx="80683" cy="84790"/>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0.23148</cdr:x>
      <cdr:y>0.4553</cdr:y>
    </cdr:from>
    <cdr:to>
      <cdr:x>0.27562</cdr:x>
      <cdr:y>0.48843</cdr:y>
    </cdr:to>
    <cdr:sp macro="" textlink="">
      <cdr:nvSpPr>
        <cdr:cNvPr id="63" name="Left Brace 62"/>
        <cdr:cNvSpPr/>
      </cdr:nvSpPr>
      <cdr:spPr>
        <a:xfrm xmlns:a="http://schemas.openxmlformats.org/drawingml/2006/main" rot="16200000">
          <a:off x="1360717" y="1195336"/>
          <a:ext cx="92528" cy="244926"/>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0.27856</cdr:x>
      <cdr:y>0.38181</cdr:y>
    </cdr:from>
    <cdr:to>
      <cdr:x>0.47796</cdr:x>
      <cdr:y>0.42411</cdr:y>
    </cdr:to>
    <cdr:sp macro="" textlink="">
      <cdr:nvSpPr>
        <cdr:cNvPr id="64" name="Left Brace 63"/>
        <cdr:cNvSpPr/>
      </cdr:nvSpPr>
      <cdr:spPr>
        <a:xfrm xmlns:a="http://schemas.openxmlformats.org/drawingml/2006/main" rot="16200000">
          <a:off x="2039935" y="572147"/>
          <a:ext cx="118144" cy="1106459"/>
        </a:xfrm>
        <a:prstGeom xmlns:a="http://schemas.openxmlformats.org/drawingml/2006/main" prst="leftBrace">
          <a:avLst/>
        </a:prstGeom>
        <a:ln xmlns:a="http://schemas.openxmlformats.org/drawingml/2006/main">
          <a:solidFill>
            <a:schemeClr val="tx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0.37649</cdr:x>
      <cdr:y>0.32599</cdr:y>
    </cdr:from>
    <cdr:to>
      <cdr:x>0.50454</cdr:x>
      <cdr:y>0.39276</cdr:y>
    </cdr:to>
    <cdr:sp macro="" textlink="">
      <cdr:nvSpPr>
        <cdr:cNvPr id="67" name="TextBox 1"/>
        <cdr:cNvSpPr txBox="1"/>
      </cdr:nvSpPr>
      <cdr:spPr>
        <a:xfrm xmlns:a="http://schemas.openxmlformats.org/drawingml/2006/main">
          <a:off x="2092722" y="931863"/>
          <a:ext cx="711825" cy="1908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and above</a:t>
          </a:r>
        </a:p>
      </cdr:txBody>
    </cdr:sp>
  </cdr:relSizeAnchor>
  <cdr:relSizeAnchor xmlns:cdr="http://schemas.openxmlformats.org/drawingml/2006/chartDrawing">
    <cdr:from>
      <cdr:x>0.07029</cdr:x>
      <cdr:y>0.74922</cdr:y>
    </cdr:from>
    <cdr:to>
      <cdr:x>0.11238</cdr:x>
      <cdr:y>0.79491</cdr:y>
    </cdr:to>
    <cdr:sp macro="" textlink="">
      <cdr:nvSpPr>
        <cdr:cNvPr id="68" name="TextBox 20"/>
        <cdr:cNvSpPr txBox="1"/>
      </cdr:nvSpPr>
      <cdr:spPr>
        <a:xfrm xmlns:a="http://schemas.openxmlformats.org/drawingml/2006/main">
          <a:off x="390034" y="2092400"/>
          <a:ext cx="233560" cy="1276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1</a:t>
          </a:r>
        </a:p>
      </cdr:txBody>
    </cdr:sp>
  </cdr:relSizeAnchor>
  <cdr:relSizeAnchor xmlns:cdr="http://schemas.openxmlformats.org/drawingml/2006/chartDrawing">
    <cdr:from>
      <cdr:x>0.11347</cdr:x>
      <cdr:y>0.70798</cdr:y>
    </cdr:from>
    <cdr:to>
      <cdr:x>0.15556</cdr:x>
      <cdr:y>0.75367</cdr:y>
    </cdr:to>
    <cdr:sp macro="" textlink="">
      <cdr:nvSpPr>
        <cdr:cNvPr id="69" name="TextBox 20"/>
        <cdr:cNvSpPr txBox="1"/>
      </cdr:nvSpPr>
      <cdr:spPr>
        <a:xfrm xmlns:a="http://schemas.openxmlformats.org/drawingml/2006/main">
          <a:off x="629633" y="1977226"/>
          <a:ext cx="233561" cy="1276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2</a:t>
          </a:r>
        </a:p>
      </cdr:txBody>
    </cdr:sp>
  </cdr:relSizeAnchor>
  <cdr:relSizeAnchor xmlns:cdr="http://schemas.openxmlformats.org/drawingml/2006/chartDrawing">
    <cdr:from>
      <cdr:x>0.12945</cdr:x>
      <cdr:y>0.66558</cdr:y>
    </cdr:from>
    <cdr:to>
      <cdr:x>0.17154</cdr:x>
      <cdr:y>0.71127</cdr:y>
    </cdr:to>
    <cdr:sp macro="" textlink="">
      <cdr:nvSpPr>
        <cdr:cNvPr id="70" name="TextBox 20"/>
        <cdr:cNvSpPr txBox="1"/>
      </cdr:nvSpPr>
      <cdr:spPr>
        <a:xfrm xmlns:a="http://schemas.openxmlformats.org/drawingml/2006/main">
          <a:off x="718310" y="1858816"/>
          <a:ext cx="233560" cy="1276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3</a:t>
          </a:r>
        </a:p>
      </cdr:txBody>
    </cdr:sp>
  </cdr:relSizeAnchor>
  <cdr:relSizeAnchor xmlns:cdr="http://schemas.openxmlformats.org/drawingml/2006/chartDrawing">
    <cdr:from>
      <cdr:x>0.14622</cdr:x>
      <cdr:y>0.64254</cdr:y>
    </cdr:from>
    <cdr:to>
      <cdr:x>0.18442</cdr:x>
      <cdr:y>0.67975</cdr:y>
    </cdr:to>
    <cdr:sp macro="" textlink="">
      <cdr:nvSpPr>
        <cdr:cNvPr id="71" name="TextBox 20"/>
        <cdr:cNvSpPr txBox="1"/>
      </cdr:nvSpPr>
      <cdr:spPr>
        <a:xfrm xmlns:a="http://schemas.openxmlformats.org/drawingml/2006/main">
          <a:off x="812801" y="1836740"/>
          <a:ext cx="212329" cy="1063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4</a:t>
          </a:r>
        </a:p>
      </cdr:txBody>
    </cdr:sp>
  </cdr:relSizeAnchor>
  <cdr:relSizeAnchor xmlns:cdr="http://schemas.openxmlformats.org/drawingml/2006/chartDrawing">
    <cdr:from>
      <cdr:x>0.15712</cdr:x>
      <cdr:y>0.59879</cdr:y>
    </cdr:from>
    <cdr:to>
      <cdr:x>0.19853</cdr:x>
      <cdr:y>0.64252</cdr:y>
    </cdr:to>
    <cdr:sp macro="" textlink="">
      <cdr:nvSpPr>
        <cdr:cNvPr id="72" name="TextBox 20"/>
        <cdr:cNvSpPr txBox="1"/>
      </cdr:nvSpPr>
      <cdr:spPr>
        <a:xfrm xmlns:a="http://schemas.openxmlformats.org/drawingml/2006/main">
          <a:off x="871861" y="1672289"/>
          <a:ext cx="229788" cy="1221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5</a:t>
          </a:r>
        </a:p>
      </cdr:txBody>
    </cdr:sp>
  </cdr:relSizeAnchor>
  <cdr:relSizeAnchor xmlns:cdr="http://schemas.openxmlformats.org/drawingml/2006/chartDrawing">
    <cdr:from>
      <cdr:x>0.16908</cdr:x>
      <cdr:y>0.56965</cdr:y>
    </cdr:from>
    <cdr:to>
      <cdr:x>0.21049</cdr:x>
      <cdr:y>0.61338</cdr:y>
    </cdr:to>
    <cdr:sp macro="" textlink="">
      <cdr:nvSpPr>
        <cdr:cNvPr id="73" name="TextBox 20"/>
        <cdr:cNvSpPr txBox="1"/>
      </cdr:nvSpPr>
      <cdr:spPr>
        <a:xfrm xmlns:a="http://schemas.openxmlformats.org/drawingml/2006/main">
          <a:off x="938219" y="1590902"/>
          <a:ext cx="229787" cy="1221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6</a:t>
          </a:r>
        </a:p>
      </cdr:txBody>
    </cdr:sp>
  </cdr:relSizeAnchor>
  <cdr:relSizeAnchor xmlns:cdr="http://schemas.openxmlformats.org/drawingml/2006/chartDrawing">
    <cdr:from>
      <cdr:x>0.18969</cdr:x>
      <cdr:y>0.52591</cdr:y>
    </cdr:from>
    <cdr:to>
      <cdr:x>0.21932</cdr:x>
      <cdr:y>0.5777</cdr:y>
    </cdr:to>
    <cdr:sp macro="" textlink="">
      <cdr:nvSpPr>
        <cdr:cNvPr id="74" name="TextBox 20"/>
        <cdr:cNvSpPr txBox="1"/>
      </cdr:nvSpPr>
      <cdr:spPr>
        <a:xfrm xmlns:a="http://schemas.openxmlformats.org/drawingml/2006/main">
          <a:off x="1052627" y="1468746"/>
          <a:ext cx="164419" cy="1446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7</a:t>
          </a:r>
        </a:p>
      </cdr:txBody>
    </cdr:sp>
  </cdr:relSizeAnchor>
  <cdr:relSizeAnchor xmlns:cdr="http://schemas.openxmlformats.org/drawingml/2006/chartDrawing">
    <cdr:from>
      <cdr:x>0.21209</cdr:x>
      <cdr:y>0.50106</cdr:y>
    </cdr:from>
    <cdr:to>
      <cdr:x>0.24172</cdr:x>
      <cdr:y>0.55284</cdr:y>
    </cdr:to>
    <cdr:sp macro="" textlink="">
      <cdr:nvSpPr>
        <cdr:cNvPr id="75" name="TextBox 20"/>
        <cdr:cNvSpPr txBox="1"/>
      </cdr:nvSpPr>
      <cdr:spPr>
        <a:xfrm xmlns:a="http://schemas.openxmlformats.org/drawingml/2006/main">
          <a:off x="1176931" y="1399349"/>
          <a:ext cx="164419" cy="1446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8</a:t>
          </a:r>
        </a:p>
      </cdr:txBody>
    </cdr:sp>
  </cdr:relSizeAnchor>
  <cdr:relSizeAnchor xmlns:cdr="http://schemas.openxmlformats.org/drawingml/2006/chartDrawing">
    <cdr:from>
      <cdr:x>0.24182</cdr:x>
      <cdr:y>0.46774</cdr:y>
    </cdr:from>
    <cdr:to>
      <cdr:x>0.28539</cdr:x>
      <cdr:y>0.52742</cdr:y>
    </cdr:to>
    <cdr:sp macro="" textlink="">
      <cdr:nvSpPr>
        <cdr:cNvPr id="76" name="TextBox 1"/>
        <cdr:cNvSpPr txBox="1"/>
      </cdr:nvSpPr>
      <cdr:spPr>
        <a:xfrm xmlns:a="http://schemas.openxmlformats.org/drawingml/2006/main">
          <a:off x="1341864" y="1306294"/>
          <a:ext cx="241773" cy="1666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9</a:t>
          </a:r>
        </a:p>
      </cdr:txBody>
    </cdr:sp>
  </cdr:relSizeAnchor>
  <cdr:relSizeAnchor xmlns:cdr="http://schemas.openxmlformats.org/drawingml/2006/chartDrawing">
    <cdr:from>
      <cdr:x>0.35757</cdr:x>
      <cdr:y>0.41983</cdr:y>
    </cdr:from>
    <cdr:to>
      <cdr:x>0.41007</cdr:x>
      <cdr:y>0.47952</cdr:y>
    </cdr:to>
    <cdr:sp macro="" textlink="">
      <cdr:nvSpPr>
        <cdr:cNvPr id="77" name="TextBox 1"/>
        <cdr:cNvSpPr txBox="1"/>
      </cdr:nvSpPr>
      <cdr:spPr>
        <a:xfrm xmlns:a="http://schemas.openxmlformats.org/drawingml/2006/main">
          <a:off x="2001701" y="1197753"/>
          <a:ext cx="293897" cy="1702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600">
              <a:solidFill>
                <a:schemeClr val="tx2"/>
              </a:solidFill>
            </a:rPr>
            <a:t>10</a:t>
          </a:r>
        </a:p>
      </cdr:txBody>
    </cdr:sp>
  </cdr:relSizeAnchor>
  <cdr:relSizeAnchor xmlns:cdr="http://schemas.openxmlformats.org/drawingml/2006/chartDrawing">
    <cdr:from>
      <cdr:x>0.93898</cdr:x>
      <cdr:y>0.24748</cdr:y>
    </cdr:from>
    <cdr:to>
      <cdr:x>0.94724</cdr:x>
      <cdr:y>0.27234</cdr:y>
    </cdr:to>
    <cdr:sp macro="" textlink="">
      <cdr:nvSpPr>
        <cdr:cNvPr id="81" name="Rectangle 80"/>
        <cdr:cNvSpPr/>
      </cdr:nvSpPr>
      <cdr:spPr>
        <a:xfrm xmlns:a="http://schemas.openxmlformats.org/drawingml/2006/main">
          <a:off x="5201145" y="691148"/>
          <a:ext cx="45719" cy="69422"/>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AU" sz="1100"/>
        </a:p>
      </cdr:txBody>
    </cdr:sp>
  </cdr:relSizeAnchor>
  <cdr:relSizeAnchor xmlns:cdr="http://schemas.openxmlformats.org/drawingml/2006/chartDrawing">
    <cdr:from>
      <cdr:x>0.63146</cdr:x>
      <cdr:y>0.11259</cdr:y>
    </cdr:from>
    <cdr:to>
      <cdr:x>0.85177</cdr:x>
      <cdr:y>0.17058</cdr:y>
    </cdr:to>
    <cdr:sp macro="" textlink="">
      <cdr:nvSpPr>
        <cdr:cNvPr id="78" name="TextBox 1"/>
        <cdr:cNvSpPr txBox="1"/>
      </cdr:nvSpPr>
      <cdr:spPr>
        <a:xfrm xmlns:a="http://schemas.openxmlformats.org/drawingml/2006/main">
          <a:off x="3497722" y="314444"/>
          <a:ext cx="1220327" cy="1619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tx2"/>
              </a:solidFill>
            </a:rPr>
            <a:t>Average tax rate,</a:t>
          </a:r>
          <a:r>
            <a:rPr lang="en-AU" sz="700" baseline="0">
              <a:solidFill>
                <a:schemeClr val="tx2"/>
              </a:solidFill>
            </a:rPr>
            <a:t> 1994-95</a:t>
          </a:r>
          <a:endParaRPr lang="en-AU" sz="700">
            <a:solidFill>
              <a:schemeClr val="tx2"/>
            </a:solidFill>
          </a:endParaRPr>
        </a:p>
      </cdr:txBody>
    </cdr:sp>
  </cdr:relSizeAnchor>
  <cdr:relSizeAnchor xmlns:cdr="http://schemas.openxmlformats.org/drawingml/2006/chartDrawing">
    <cdr:from>
      <cdr:x>0.47371</cdr:x>
      <cdr:y>0.37055</cdr:y>
    </cdr:from>
    <cdr:to>
      <cdr:x>0.48714</cdr:x>
      <cdr:y>0.3969</cdr:y>
    </cdr:to>
    <cdr:sp macro="" textlink="">
      <cdr:nvSpPr>
        <cdr:cNvPr id="2" name="Rectangle 1"/>
        <cdr:cNvSpPr/>
      </cdr:nvSpPr>
      <cdr:spPr>
        <a:xfrm xmlns:a="http://schemas.openxmlformats.org/drawingml/2006/main">
          <a:off x="2643304" y="1078613"/>
          <a:ext cx="74955" cy="7672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0.65743</cdr:x>
      <cdr:y>0.35343</cdr:y>
    </cdr:from>
    <cdr:to>
      <cdr:x>0.88502</cdr:x>
      <cdr:y>0.41142</cdr:y>
    </cdr:to>
    <cdr:sp macro="" textlink="">
      <cdr:nvSpPr>
        <cdr:cNvPr id="79" name="TextBox 1"/>
        <cdr:cNvSpPr txBox="1"/>
      </cdr:nvSpPr>
      <cdr:spPr>
        <a:xfrm xmlns:a="http://schemas.openxmlformats.org/drawingml/2006/main">
          <a:off x="3641574" y="987035"/>
          <a:ext cx="1260626" cy="1619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accent6"/>
              </a:solidFill>
            </a:rPr>
            <a:t>Average tax rate,</a:t>
          </a:r>
          <a:r>
            <a:rPr lang="en-AU" sz="700" baseline="0">
              <a:solidFill>
                <a:schemeClr val="accent6"/>
              </a:solidFill>
            </a:rPr>
            <a:t> 2015-16</a:t>
          </a:r>
          <a:endParaRPr lang="en-AU" sz="700">
            <a:solidFill>
              <a:schemeClr val="accent6"/>
            </a:solidFill>
          </a:endParaRPr>
        </a:p>
      </cdr:txBody>
    </cdr:sp>
  </cdr:relSizeAnchor>
  <cdr:relSizeAnchor xmlns:cdr="http://schemas.openxmlformats.org/drawingml/2006/chartDrawing">
    <cdr:from>
      <cdr:x>0.4088</cdr:x>
      <cdr:y>0.37536</cdr:y>
    </cdr:from>
    <cdr:to>
      <cdr:x>0.47417</cdr:x>
      <cdr:y>0.37536</cdr:y>
    </cdr:to>
    <cdr:cxnSp macro="">
      <cdr:nvCxnSpPr>
        <cdr:cNvPr id="82" name="Straight Arrow Connector 81"/>
        <cdr:cNvCxnSpPr/>
      </cdr:nvCxnSpPr>
      <cdr:spPr>
        <a:xfrm xmlns:a="http://schemas.openxmlformats.org/drawingml/2006/main">
          <a:off x="2268456" y="1048306"/>
          <a:ext cx="362743" cy="0"/>
        </a:xfrm>
        <a:prstGeom xmlns:a="http://schemas.openxmlformats.org/drawingml/2006/main" prst="straightConnector1">
          <a:avLst/>
        </a:prstGeom>
        <a:ln xmlns:a="http://schemas.openxmlformats.org/drawingml/2006/main">
          <a:solidFill>
            <a:schemeClr val="accent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0.86315</cdr:x>
      <cdr:y>0</cdr:y>
    </cdr:from>
    <cdr:to>
      <cdr:x>0.97555</cdr:x>
      <cdr:y>0.05273</cdr:y>
    </cdr:to>
    <cdr:sp macro="" textlink="">
      <cdr:nvSpPr>
        <cdr:cNvPr id="19" name="TextBox 18"/>
        <cdr:cNvSpPr txBox="1"/>
      </cdr:nvSpPr>
      <cdr:spPr>
        <a:xfrm xmlns:a="http://schemas.openxmlformats.org/drawingml/2006/main">
          <a:off x="4781088" y="0"/>
          <a:ext cx="622610" cy="1472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Tax rate</a:t>
          </a:r>
        </a:p>
      </cdr:txBody>
    </cdr:sp>
  </cdr:relSizeAnchor>
  <cdr:relSizeAnchor xmlns:cdr="http://schemas.openxmlformats.org/drawingml/2006/chartDrawing">
    <cdr:from>
      <cdr:x>0.44625</cdr:x>
      <cdr:y>0.91493</cdr:y>
    </cdr:from>
    <cdr:to>
      <cdr:x>0.63751</cdr:x>
      <cdr:y>0.96765</cdr:y>
    </cdr:to>
    <cdr:sp macro="" textlink="">
      <cdr:nvSpPr>
        <cdr:cNvPr id="83" name="TextBox 1"/>
        <cdr:cNvSpPr txBox="1"/>
      </cdr:nvSpPr>
      <cdr:spPr>
        <a:xfrm xmlns:a="http://schemas.openxmlformats.org/drawingml/2006/main">
          <a:off x="2471855" y="2555178"/>
          <a:ext cx="1059366" cy="1472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Taxable Income ($)</a:t>
          </a:r>
        </a:p>
      </cdr:txBody>
    </cdr:sp>
  </cdr:relSizeAnchor>
</c:userShapes>
</file>

<file path=word/drawings/drawing4.xml><?xml version="1.0" encoding="utf-8"?>
<c:userShapes xmlns:c="http://schemas.openxmlformats.org/drawingml/2006/chart">
  <cdr:relSizeAnchor xmlns:cdr="http://schemas.openxmlformats.org/drawingml/2006/chartDrawing">
    <cdr:from>
      <cdr:x>0.45406</cdr:x>
      <cdr:y>0.89377</cdr:y>
    </cdr:from>
    <cdr:to>
      <cdr:x>0.56672</cdr:x>
      <cdr:y>0.98637</cdr:y>
    </cdr:to>
    <cdr:sp macro="" textlink="">
      <cdr:nvSpPr>
        <cdr:cNvPr id="3" name="TextBox 1"/>
        <cdr:cNvSpPr txBox="1"/>
      </cdr:nvSpPr>
      <cdr:spPr>
        <a:xfrm xmlns:a="http://schemas.openxmlformats.org/drawingml/2006/main">
          <a:off x="2680875" y="2547709"/>
          <a:ext cx="665170" cy="2639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t>Deciles</a:t>
          </a:r>
        </a:p>
      </cdr:txBody>
    </cdr:sp>
  </cdr:relSizeAnchor>
</c:userShapes>
</file>

<file path=word/drawings/drawing5.xml><?xml version="1.0" encoding="utf-8"?>
<c:userShapes xmlns:c="http://schemas.openxmlformats.org/drawingml/2006/chart">
  <cdr:relSizeAnchor xmlns:cdr="http://schemas.openxmlformats.org/drawingml/2006/chartDrawing">
    <cdr:from>
      <cdr:x>0.48082</cdr:x>
      <cdr:y>0.22543</cdr:y>
    </cdr:from>
    <cdr:to>
      <cdr:x>0.92058</cdr:x>
      <cdr:y>0.31298</cdr:y>
    </cdr:to>
    <cdr:sp macro="" textlink="">
      <cdr:nvSpPr>
        <cdr:cNvPr id="2" name="TextBox 1"/>
        <cdr:cNvSpPr txBox="1"/>
      </cdr:nvSpPr>
      <cdr:spPr>
        <a:xfrm xmlns:a="http://schemas.openxmlformats.org/drawingml/2006/main">
          <a:off x="1385537" y="664344"/>
          <a:ext cx="1267226" cy="2580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solidFill>
                <a:schemeClr val="accent1"/>
              </a:solidFill>
            </a:rPr>
            <a:t>Tax paid by top 10%</a:t>
          </a:r>
        </a:p>
      </cdr:txBody>
    </cdr:sp>
  </cdr:relSizeAnchor>
  <cdr:relSizeAnchor xmlns:cdr="http://schemas.openxmlformats.org/drawingml/2006/chartDrawing">
    <cdr:from>
      <cdr:x>0.45739</cdr:x>
      <cdr:y>0.48658</cdr:y>
    </cdr:from>
    <cdr:to>
      <cdr:x>0.89715</cdr:x>
      <cdr:y>0.56808</cdr:y>
    </cdr:to>
    <cdr:sp macro="" textlink="">
      <cdr:nvSpPr>
        <cdr:cNvPr id="3" name="TextBox 1"/>
        <cdr:cNvSpPr txBox="1"/>
      </cdr:nvSpPr>
      <cdr:spPr>
        <a:xfrm xmlns:a="http://schemas.openxmlformats.org/drawingml/2006/main">
          <a:off x="1318039" y="1433995"/>
          <a:ext cx="1267239" cy="2401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900">
              <a:solidFill>
                <a:schemeClr val="accent1"/>
              </a:solidFill>
            </a:rPr>
            <a:t>Taxable income of top 10%</a:t>
          </a:r>
        </a:p>
      </cdr:txBody>
    </cdr:sp>
  </cdr:relSizeAnchor>
</c:userShapes>
</file>

<file path=word/drawings/drawing6.xml><?xml version="1.0" encoding="utf-8"?>
<c:userShapes xmlns:c="http://schemas.openxmlformats.org/drawingml/2006/chart">
  <cdr:relSizeAnchor xmlns:cdr="http://schemas.openxmlformats.org/drawingml/2006/chartDrawing">
    <cdr:from>
      <cdr:x>0.26468</cdr:x>
      <cdr:y>0.08917</cdr:y>
    </cdr:from>
    <cdr:to>
      <cdr:x>0.89919</cdr:x>
      <cdr:y>0.17091</cdr:y>
    </cdr:to>
    <cdr:sp macro="" textlink="">
      <cdr:nvSpPr>
        <cdr:cNvPr id="2" name="TextBox 1"/>
        <cdr:cNvSpPr txBox="1"/>
      </cdr:nvSpPr>
      <cdr:spPr>
        <a:xfrm xmlns:a="http://schemas.openxmlformats.org/drawingml/2006/main">
          <a:off x="762887" y="262800"/>
          <a:ext cx="1828826" cy="2408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solidFill>
                <a:schemeClr val="accent4"/>
              </a:solidFill>
            </a:rPr>
            <a:t>Taxable income of bottom 50% </a:t>
          </a:r>
        </a:p>
      </cdr:txBody>
    </cdr:sp>
  </cdr:relSizeAnchor>
  <cdr:relSizeAnchor xmlns:cdr="http://schemas.openxmlformats.org/drawingml/2006/chartDrawing">
    <cdr:from>
      <cdr:x>0.35434</cdr:x>
      <cdr:y>0.59338</cdr:y>
    </cdr:from>
    <cdr:to>
      <cdr:x>0.87443</cdr:x>
      <cdr:y>0.67511</cdr:y>
    </cdr:to>
    <cdr:sp macro="" textlink="">
      <cdr:nvSpPr>
        <cdr:cNvPr id="3" name="TextBox 1"/>
        <cdr:cNvSpPr txBox="1"/>
      </cdr:nvSpPr>
      <cdr:spPr>
        <a:xfrm xmlns:a="http://schemas.openxmlformats.org/drawingml/2006/main">
          <a:off x="1021370" y="1748735"/>
          <a:ext cx="1499152" cy="2408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solidFill>
                <a:schemeClr val="accent4"/>
              </a:solidFill>
            </a:rPr>
            <a:t>Tax</a:t>
          </a:r>
          <a:r>
            <a:rPr lang="en-AU" sz="900" baseline="0">
              <a:solidFill>
                <a:schemeClr val="accent4"/>
              </a:solidFill>
            </a:rPr>
            <a:t> paid by </a:t>
          </a:r>
          <a:r>
            <a:rPr lang="en-AU" sz="900">
              <a:solidFill>
                <a:schemeClr val="accent4"/>
              </a:solidFill>
            </a:rPr>
            <a:t>bottom 50% </a:t>
          </a:r>
        </a:p>
      </cdr:txBody>
    </cdr:sp>
  </cdr:relSizeAnchor>
</c:userShape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2019CSSG-835809292-641</_dlc_DocId>
    <_dlc_DocIdUrl xmlns="0f563589-9cf9-4143-b1eb-fb0534803d38">
      <Url>http://tweb/sites/cssg/ped/pu/pt/_layouts/15/DocIdRedir.aspx?ID=2019CSSG-835809292-641</Url>
      <Description>2019CSSG-835809292-641</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0f563589-9cf9-4143-b1eb-fb0534803d38">
      <Value>75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FAAEFECF4B76B4B9E1AE4C08850A518" ma:contentTypeVersion="22405" ma:contentTypeDescription="" ma:contentTypeScope="" ma:versionID="b8f07bda2270d865b142dae8efe5a826">
  <xsd:schema xmlns:xsd="http://www.w3.org/2001/XMLSchema" xmlns:xs="http://www.w3.org/2001/XMLSchema" xmlns:p="http://schemas.microsoft.com/office/2006/metadata/properties" xmlns:ns2="0f563589-9cf9-4143-b1eb-fb0534803d38" xmlns:ns3="eb47d8b7-fefc-4923-b53c-9685ba6b7210" targetNamespace="http://schemas.microsoft.com/office/2006/metadata/properties" ma:root="true" ma:fieldsID="894ff6b0f651bd4a0153d85b65cb7b64" ns2:_="" ns3:_="">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C089-2C39-4D49-A307-130E9059D16C}">
  <ds:schemaRefs>
    <ds:schemaRef ds:uri="http://purl.org/dc/elements/1.1/"/>
    <ds:schemaRef ds:uri="eb47d8b7-fefc-4923-b53c-9685ba6b7210"/>
    <ds:schemaRef ds:uri="http://purl.org/dc/dcmitype/"/>
    <ds:schemaRef ds:uri="http://schemas.microsoft.com/office/2006/metadata/properties"/>
    <ds:schemaRef ds:uri="http://purl.org/dc/terms/"/>
    <ds:schemaRef ds:uri="http://www.w3.org/XML/1998/namespace"/>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D883FD7-F5AB-4281-8EB0-10BFC100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E042F-22E6-4589-B506-D9183EED4DB5}">
  <ds:schemaRefs>
    <ds:schemaRef ds:uri="http://schemas.microsoft.com/sharepoint/events"/>
  </ds:schemaRefs>
</ds:datastoreItem>
</file>

<file path=customXml/itemProps4.xml><?xml version="1.0" encoding="utf-8"?>
<ds:datastoreItem xmlns:ds="http://schemas.openxmlformats.org/officeDocument/2006/customXml" ds:itemID="{E69F8B4E-70AA-4DD4-AB0C-B66E8A011895}">
  <ds:schemaRefs>
    <ds:schemaRef ds:uri="http://schemas.microsoft.com/sharepoint/v3/contenttype/forms"/>
  </ds:schemaRefs>
</ds:datastoreItem>
</file>

<file path=customXml/itemProps5.xml><?xml version="1.0" encoding="utf-8"?>
<ds:datastoreItem xmlns:ds="http://schemas.openxmlformats.org/officeDocument/2006/customXml" ds:itemID="{7F8FAC77-1C4E-4616-A1BA-9231E399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0</TotalTime>
  <Pages>21</Pages>
  <Words>6966</Words>
  <Characters>38662</Characters>
  <Application>Microsoft Office Word</Application>
  <DocSecurity>0</DocSecurity>
  <Lines>702</Lines>
  <Paragraphs>328</Paragraphs>
  <ScaleCrop>false</ScaleCrop>
  <HeadingPairs>
    <vt:vector size="2" baseType="variant">
      <vt:variant>
        <vt:lpstr>Title</vt:lpstr>
      </vt:variant>
      <vt:variant>
        <vt:i4>1</vt:i4>
      </vt:variant>
    </vt:vector>
  </HeadingPairs>
  <TitlesOfParts>
    <vt:vector size="1" baseType="lpstr">
      <vt:lpstr>Recent personal income tax progressivity trends in Australia</vt:lpstr>
    </vt:vector>
  </TitlesOfParts>
  <Company>Australian Government - The Treasury</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personal income tax progressivity trends in Australia</dc:title>
  <dc:subject/>
  <dc:creator>Treasury</dc:creator>
  <cp:lastModifiedBy>Hill, Christine</cp:lastModifiedBy>
  <cp:revision>3</cp:revision>
  <cp:lastPrinted>2019-08-12T02:15:00Z</cp:lastPrinted>
  <dcterms:created xsi:type="dcterms:W3CDTF">2019-09-03T01:46:00Z</dcterms:created>
  <dcterms:modified xsi:type="dcterms:W3CDTF">2019-09-03T02:00:00Z</dcterms:modified>
</cp:coreProperties>
</file>