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7E7E0A" w14:textId="77777777" w:rsidR="00B17774" w:rsidRPr="008A0DBE" w:rsidRDefault="00AC73DD" w:rsidP="008A0DBE">
      <w:pPr>
        <w:pStyle w:val="Baseparagraphcentred"/>
        <w:shd w:val="clear" w:color="auto" w:fill="FFFFFF" w:themeFill="background1"/>
      </w:pPr>
      <w:r w:rsidRPr="008A0DBE">
        <w:t>2016-2017-2018-2019</w:t>
      </w:r>
    </w:p>
    <w:p w14:paraId="28B6489C" w14:textId="77777777" w:rsidR="00B17774" w:rsidRPr="008A0DBE" w:rsidRDefault="00B17774" w:rsidP="008A0DBE">
      <w:pPr>
        <w:pStyle w:val="Baseparagraphcentred"/>
        <w:shd w:val="clear" w:color="auto" w:fill="FFFFFF" w:themeFill="background1"/>
      </w:pPr>
    </w:p>
    <w:p w14:paraId="740C4FA0" w14:textId="77777777" w:rsidR="00B17774" w:rsidRPr="008A0DBE" w:rsidRDefault="00B17774" w:rsidP="008A0DBE">
      <w:pPr>
        <w:pStyle w:val="Baseparagraphcentred"/>
        <w:shd w:val="clear" w:color="auto" w:fill="FFFFFF" w:themeFill="background1"/>
      </w:pPr>
      <w:r w:rsidRPr="008A0DBE">
        <w:t>THE PARLIAMENT OF THE COMMONWEALTH OF AUSTRALIA</w:t>
      </w:r>
    </w:p>
    <w:p w14:paraId="1757ADDB" w14:textId="77777777" w:rsidR="00B17774" w:rsidRPr="008A0DBE" w:rsidRDefault="00B17774" w:rsidP="008A0DBE">
      <w:pPr>
        <w:pStyle w:val="Baseparagraphcentred"/>
        <w:shd w:val="clear" w:color="auto" w:fill="FFFFFF" w:themeFill="background1"/>
      </w:pPr>
    </w:p>
    <w:p w14:paraId="19B56049" w14:textId="77777777" w:rsidR="00B17774" w:rsidRPr="008A0DBE" w:rsidRDefault="00B17774" w:rsidP="008A0DBE">
      <w:pPr>
        <w:pStyle w:val="Baseparagraphcentred"/>
        <w:shd w:val="clear" w:color="auto" w:fill="FFFFFF" w:themeFill="background1"/>
      </w:pPr>
    </w:p>
    <w:p w14:paraId="5E3B8D0F" w14:textId="77777777" w:rsidR="00B17774" w:rsidRPr="008A0DBE" w:rsidRDefault="00B17774" w:rsidP="008A0DBE">
      <w:pPr>
        <w:pStyle w:val="Baseparagraphcentred"/>
        <w:shd w:val="clear" w:color="auto" w:fill="FFFFFF" w:themeFill="background1"/>
      </w:pPr>
    </w:p>
    <w:p w14:paraId="2D9F6FA9" w14:textId="77777777" w:rsidR="00B17774" w:rsidRPr="008A0DBE" w:rsidRDefault="00B17774" w:rsidP="008A0DBE">
      <w:pPr>
        <w:pStyle w:val="Baseparagraphcentred"/>
        <w:shd w:val="clear" w:color="auto" w:fill="FFFFFF" w:themeFill="background1"/>
      </w:pPr>
      <w:r w:rsidRPr="008A0DBE">
        <w:t>HOUSE OF REPRESENTATIVES</w:t>
      </w:r>
    </w:p>
    <w:p w14:paraId="588B7FDC" w14:textId="77777777" w:rsidR="00B17774" w:rsidRPr="008A0DBE" w:rsidRDefault="00B17774" w:rsidP="008A0DBE">
      <w:pPr>
        <w:pStyle w:val="Baseparagraphcentred"/>
        <w:shd w:val="clear" w:color="auto" w:fill="FFFFFF" w:themeFill="background1"/>
      </w:pPr>
    </w:p>
    <w:p w14:paraId="7AB4F01D" w14:textId="77777777" w:rsidR="00B17774" w:rsidRPr="008A0DBE" w:rsidRDefault="00B17774" w:rsidP="008A0DBE">
      <w:pPr>
        <w:pStyle w:val="Baseparagraphcentred"/>
        <w:shd w:val="clear" w:color="auto" w:fill="FFFFFF" w:themeFill="background1"/>
      </w:pPr>
    </w:p>
    <w:p w14:paraId="0A6C7689" w14:textId="0C0FBFBE" w:rsidR="00B17774" w:rsidRPr="008A0DBE" w:rsidRDefault="000B407D" w:rsidP="000B407D">
      <w:pPr>
        <w:pStyle w:val="Baseparagraphcentred"/>
        <w:shd w:val="clear" w:color="auto" w:fill="FFFFFF" w:themeFill="background1"/>
        <w:tabs>
          <w:tab w:val="left" w:pos="4950"/>
        </w:tabs>
        <w:jc w:val="left"/>
      </w:pPr>
      <w:r>
        <w:tab/>
      </w:r>
      <w:bookmarkStart w:id="0" w:name="_GoBack"/>
      <w:bookmarkEnd w:id="0"/>
    </w:p>
    <w:p w14:paraId="7E0C0BC1" w14:textId="37C861B6" w:rsidR="00B17774" w:rsidRPr="008A0DBE" w:rsidRDefault="00AC73DD" w:rsidP="008A0DBE">
      <w:pPr>
        <w:pStyle w:val="BillName"/>
        <w:shd w:val="clear" w:color="auto" w:fill="FFFFFF" w:themeFill="background1"/>
      </w:pPr>
      <w:bookmarkStart w:id="1" w:name="BillName"/>
      <w:bookmarkEnd w:id="1"/>
      <w:r w:rsidRPr="008A0DBE">
        <w:t xml:space="preserve">Treasury Laws </w:t>
      </w:r>
      <w:r w:rsidR="0026184C" w:rsidRPr="008A0DBE">
        <w:t>Amendment</w:t>
      </w:r>
      <w:r w:rsidRPr="008A0DBE">
        <w:t xml:space="preserve"> (</w:t>
      </w:r>
      <w:r w:rsidR="002F3991" w:rsidRPr="008A0DBE">
        <w:t>Measures for a later sitting)</w:t>
      </w:r>
      <w:r w:rsidRPr="008A0DBE">
        <w:t xml:space="preserve"> Bill 2019</w:t>
      </w:r>
      <w:r w:rsidR="002F3991" w:rsidRPr="008A0DBE">
        <w:t>: miscellaneous amendments</w:t>
      </w:r>
    </w:p>
    <w:p w14:paraId="2F2BEED7" w14:textId="77777777" w:rsidR="00B17774" w:rsidRPr="008A0DBE" w:rsidRDefault="00B17774" w:rsidP="008A0DBE">
      <w:pPr>
        <w:pStyle w:val="Baseparagraphcentred"/>
        <w:shd w:val="clear" w:color="auto" w:fill="FFFFFF" w:themeFill="background1"/>
      </w:pPr>
    </w:p>
    <w:p w14:paraId="43766E05" w14:textId="77777777" w:rsidR="00B17774" w:rsidRPr="008A0DBE" w:rsidRDefault="00B17774" w:rsidP="008A0DBE">
      <w:pPr>
        <w:pStyle w:val="Baseparagraphcentred"/>
        <w:shd w:val="clear" w:color="auto" w:fill="FFFFFF" w:themeFill="background1"/>
      </w:pPr>
    </w:p>
    <w:p w14:paraId="31678D55" w14:textId="77777777" w:rsidR="00B17774" w:rsidRPr="008A0DBE" w:rsidRDefault="00B17774" w:rsidP="008A0DBE">
      <w:pPr>
        <w:pStyle w:val="Baseparagraphcentred"/>
        <w:shd w:val="clear" w:color="auto" w:fill="FFFFFF" w:themeFill="background1"/>
      </w:pPr>
    </w:p>
    <w:p w14:paraId="6CA5D5B6" w14:textId="77777777" w:rsidR="00B17774" w:rsidRPr="008A0DBE" w:rsidRDefault="00B17774" w:rsidP="008A0DBE">
      <w:pPr>
        <w:pStyle w:val="Baseparagraphcentred"/>
        <w:shd w:val="clear" w:color="auto" w:fill="FFFFFF" w:themeFill="background1"/>
      </w:pPr>
    </w:p>
    <w:p w14:paraId="31048D2C" w14:textId="3041BAC2" w:rsidR="00B17774" w:rsidRPr="008A0DBE" w:rsidRDefault="00E65CE1" w:rsidP="008A0DBE">
      <w:pPr>
        <w:pStyle w:val="Baseparagraphcentred"/>
        <w:shd w:val="clear" w:color="auto" w:fill="FFFFFF" w:themeFill="background1"/>
      </w:pPr>
      <w:r w:rsidRPr="008A0DBE">
        <w:t xml:space="preserve">EXPOSURE DRAFT </w:t>
      </w:r>
      <w:r w:rsidR="00B17774" w:rsidRPr="008A0DBE">
        <w:t>EXPLANATORY MEMORANDUM</w:t>
      </w:r>
    </w:p>
    <w:p w14:paraId="16A89399" w14:textId="77777777" w:rsidR="00B17774" w:rsidRPr="008A0DBE" w:rsidRDefault="00B17774" w:rsidP="008A0DBE">
      <w:pPr>
        <w:pStyle w:val="Baseparagraphcentred"/>
        <w:shd w:val="clear" w:color="auto" w:fill="FFFFFF" w:themeFill="background1"/>
      </w:pPr>
    </w:p>
    <w:p w14:paraId="5C331A6A" w14:textId="77777777" w:rsidR="00B17774" w:rsidRPr="008A0DBE" w:rsidRDefault="00B17774" w:rsidP="008A0DBE">
      <w:pPr>
        <w:pStyle w:val="Baseparagraphcentred"/>
        <w:shd w:val="clear" w:color="auto" w:fill="FFFFFF" w:themeFill="background1"/>
      </w:pPr>
    </w:p>
    <w:p w14:paraId="2F893970" w14:textId="77777777" w:rsidR="00B17774" w:rsidRPr="008A0DBE" w:rsidRDefault="00B17774" w:rsidP="008A0DBE">
      <w:pPr>
        <w:pStyle w:val="Baseparagraphcentred"/>
        <w:shd w:val="clear" w:color="auto" w:fill="FFFFFF" w:themeFill="background1"/>
      </w:pPr>
    </w:p>
    <w:p w14:paraId="3E6D4ADD" w14:textId="77777777" w:rsidR="00773B68" w:rsidRPr="008A0DBE" w:rsidRDefault="00B17774" w:rsidP="008A0DBE">
      <w:pPr>
        <w:pStyle w:val="ParaCentredNoSpacing"/>
        <w:shd w:val="clear" w:color="auto" w:fill="FFFFFF" w:themeFill="background1"/>
      </w:pPr>
      <w:r w:rsidRPr="008A0DBE">
        <w:t>(Circulated by authority of the</w:t>
      </w:r>
    </w:p>
    <w:p w14:paraId="01DDDD93" w14:textId="375D7983" w:rsidR="00773B68" w:rsidRPr="008A0DBE" w:rsidRDefault="002F3991" w:rsidP="008A0DBE">
      <w:pPr>
        <w:pStyle w:val="ParaCentredNoSpacing"/>
        <w:shd w:val="clear" w:color="auto" w:fill="FFFFFF" w:themeFill="background1"/>
      </w:pPr>
      <w:r w:rsidRPr="008A0DBE">
        <w:t>Minister for Housing and Assistant Treasurer</w:t>
      </w:r>
      <w:r w:rsidR="00734F84" w:rsidRPr="008A0DBE">
        <w:t>)</w:t>
      </w:r>
    </w:p>
    <w:p w14:paraId="378A0959" w14:textId="77777777" w:rsidR="00773B68" w:rsidRPr="008A0DBE" w:rsidRDefault="00773B68" w:rsidP="008A0DBE">
      <w:pPr>
        <w:pStyle w:val="ParaCentredNoSpacing"/>
        <w:shd w:val="clear" w:color="auto" w:fill="FFFFFF" w:themeFill="background1"/>
      </w:pPr>
    </w:p>
    <w:p w14:paraId="459576F9" w14:textId="77777777" w:rsidR="00B17774" w:rsidRPr="008A0DBE" w:rsidRDefault="00B17774" w:rsidP="008A0DBE">
      <w:pPr>
        <w:shd w:val="clear" w:color="auto" w:fill="FFFFFF" w:themeFill="background1"/>
      </w:pPr>
    </w:p>
    <w:p w14:paraId="1201FE8F" w14:textId="77777777" w:rsidR="00813A51" w:rsidRPr="008A0DBE" w:rsidRDefault="00813A51" w:rsidP="008A0DBE">
      <w:pPr>
        <w:shd w:val="clear" w:color="auto" w:fill="FFFFFF" w:themeFill="background1"/>
        <w:sectPr w:rsidR="00813A51" w:rsidRPr="008A0DBE" w:rsidSect="00491846">
          <w:headerReference w:type="even" r:id="rId13"/>
          <w:headerReference w:type="default" r:id="rId14"/>
          <w:footerReference w:type="even" r:id="rId15"/>
          <w:footerReference w:type="default" r:id="rId16"/>
          <w:headerReference w:type="first" r:id="rId17"/>
          <w:pgSz w:w="9979" w:h="14175" w:code="163"/>
          <w:pgMar w:top="567" w:right="1134" w:bottom="567" w:left="1134" w:header="709" w:footer="709" w:gutter="0"/>
          <w:cols w:space="708"/>
          <w:titlePg/>
          <w:docGrid w:linePitch="360"/>
        </w:sectPr>
      </w:pPr>
    </w:p>
    <w:p w14:paraId="718F6E17" w14:textId="77777777" w:rsidR="00B17774" w:rsidRPr="008A0DBE" w:rsidRDefault="00B17774" w:rsidP="008A0DBE">
      <w:pPr>
        <w:pStyle w:val="TOCHeading"/>
        <w:shd w:val="clear" w:color="auto" w:fill="FFFFFF" w:themeFill="background1"/>
      </w:pPr>
      <w:r w:rsidRPr="008A0DBE">
        <w:t>Table of contents</w:t>
      </w:r>
    </w:p>
    <w:p w14:paraId="120535E9" w14:textId="7D7812A1" w:rsidR="0026724E" w:rsidRPr="008A0DBE" w:rsidRDefault="00734F84" w:rsidP="008A0DBE">
      <w:pPr>
        <w:pStyle w:val="TOC2"/>
        <w:shd w:val="clear" w:color="auto" w:fill="FFFFFF" w:themeFill="background1"/>
        <w:rPr>
          <w:rFonts w:asciiTheme="minorHAnsi" w:eastAsiaTheme="minorEastAsia" w:hAnsiTheme="minorHAnsi" w:cstheme="minorBidi"/>
          <w:sz w:val="22"/>
          <w:szCs w:val="22"/>
        </w:rPr>
      </w:pPr>
      <w:r w:rsidRPr="008A0DBE">
        <w:fldChar w:fldCharType="begin"/>
      </w:r>
      <w:r w:rsidRPr="008A0DBE">
        <w:instrText xml:space="preserve"> TOC \t "Chapter Heading,1,Chapter heading subdocument,2" </w:instrText>
      </w:r>
      <w:r w:rsidRPr="008A0DBE">
        <w:fldChar w:fldCharType="separate"/>
      </w:r>
      <w:r w:rsidR="0026724E" w:rsidRPr="008A0DBE">
        <w:t>Glossary</w:t>
      </w:r>
      <w:r w:rsidR="0026724E" w:rsidRPr="008A0DBE">
        <w:tab/>
      </w:r>
      <w:r w:rsidR="0026724E" w:rsidRPr="008A0DBE">
        <w:fldChar w:fldCharType="begin"/>
      </w:r>
      <w:r w:rsidR="0026724E" w:rsidRPr="008A0DBE">
        <w:instrText xml:space="preserve"> PAGEREF _Toc17271048 \h </w:instrText>
      </w:r>
      <w:r w:rsidR="0026724E" w:rsidRPr="008A0DBE">
        <w:fldChar w:fldCharType="separate"/>
      </w:r>
      <w:r w:rsidR="009C7977" w:rsidRPr="008A0DBE">
        <w:t>2</w:t>
      </w:r>
      <w:r w:rsidR="0026724E" w:rsidRPr="008A0DBE">
        <w:fldChar w:fldCharType="end"/>
      </w:r>
    </w:p>
    <w:p w14:paraId="6CF1E3B0" w14:textId="0F44ED73" w:rsidR="0026724E" w:rsidRPr="008A0DBE" w:rsidRDefault="0026724E" w:rsidP="008A0DBE">
      <w:pPr>
        <w:pStyle w:val="TOC2"/>
        <w:shd w:val="clear" w:color="auto" w:fill="FFFFFF" w:themeFill="background1"/>
        <w:rPr>
          <w:rFonts w:asciiTheme="minorHAnsi" w:eastAsiaTheme="minorEastAsia" w:hAnsiTheme="minorHAnsi" w:cstheme="minorBidi"/>
          <w:sz w:val="22"/>
          <w:szCs w:val="22"/>
        </w:rPr>
      </w:pPr>
      <w:r w:rsidRPr="008A0DBE">
        <w:t>General outline and financial impact</w:t>
      </w:r>
      <w:r w:rsidRPr="008A0DBE">
        <w:tab/>
      </w:r>
      <w:r w:rsidRPr="008A0DBE">
        <w:fldChar w:fldCharType="begin"/>
      </w:r>
      <w:r w:rsidRPr="008A0DBE">
        <w:instrText xml:space="preserve"> PAGEREF _Toc17271049 \h </w:instrText>
      </w:r>
      <w:r w:rsidRPr="008A0DBE">
        <w:fldChar w:fldCharType="separate"/>
      </w:r>
      <w:r w:rsidR="009C7977" w:rsidRPr="008A0DBE">
        <w:t>2</w:t>
      </w:r>
      <w:r w:rsidRPr="008A0DBE">
        <w:fldChar w:fldCharType="end"/>
      </w:r>
    </w:p>
    <w:p w14:paraId="16B8D20C" w14:textId="1B285B8A" w:rsidR="0026724E" w:rsidRPr="008A0DBE" w:rsidRDefault="0026724E" w:rsidP="008A0DBE">
      <w:pPr>
        <w:pStyle w:val="TOC1"/>
        <w:shd w:val="clear" w:color="auto" w:fill="FFFFFF" w:themeFill="background1"/>
        <w:rPr>
          <w:rFonts w:asciiTheme="minorHAnsi" w:eastAsiaTheme="minorEastAsia" w:hAnsiTheme="minorHAnsi" w:cstheme="minorBidi"/>
          <w:noProof/>
          <w:sz w:val="22"/>
          <w:szCs w:val="22"/>
        </w:rPr>
      </w:pPr>
      <w:r w:rsidRPr="008A0DBE">
        <w:rPr>
          <w:noProof/>
        </w:rPr>
        <w:t>Chapter 1 - Miscellaneous Amendments</w:t>
      </w:r>
      <w:r w:rsidRPr="008A0DBE">
        <w:rPr>
          <w:noProof/>
        </w:rPr>
        <w:tab/>
      </w:r>
      <w:r w:rsidRPr="008A0DBE">
        <w:rPr>
          <w:noProof/>
        </w:rPr>
        <w:fldChar w:fldCharType="begin"/>
      </w:r>
      <w:r w:rsidRPr="008A0DBE">
        <w:rPr>
          <w:noProof/>
        </w:rPr>
        <w:instrText xml:space="preserve"> PAGEREF _Toc17271050 \h </w:instrText>
      </w:r>
      <w:r w:rsidRPr="008A0DBE">
        <w:rPr>
          <w:noProof/>
        </w:rPr>
      </w:r>
      <w:r w:rsidRPr="008A0DBE">
        <w:rPr>
          <w:noProof/>
        </w:rPr>
        <w:fldChar w:fldCharType="separate"/>
      </w:r>
      <w:r w:rsidR="009C7977" w:rsidRPr="008A0DBE">
        <w:rPr>
          <w:noProof/>
        </w:rPr>
        <w:t>2</w:t>
      </w:r>
      <w:r w:rsidRPr="008A0DBE">
        <w:rPr>
          <w:noProof/>
        </w:rPr>
        <w:fldChar w:fldCharType="end"/>
      </w:r>
    </w:p>
    <w:p w14:paraId="5A897B1E" w14:textId="0AF5C7F8" w:rsidR="00491846" w:rsidRPr="008A0DBE" w:rsidRDefault="00734F84" w:rsidP="008A0DBE">
      <w:pPr>
        <w:shd w:val="clear" w:color="auto" w:fill="FFFFFF" w:themeFill="background1"/>
        <w:rPr>
          <w:rFonts w:ascii="Helvetica" w:hAnsi="Helvetica"/>
          <w:noProof/>
          <w:sz w:val="24"/>
        </w:rPr>
        <w:sectPr w:rsidR="00491846" w:rsidRPr="008A0DBE" w:rsidSect="00491846">
          <w:headerReference w:type="even" r:id="rId18"/>
          <w:headerReference w:type="default" r:id="rId19"/>
          <w:footerReference w:type="even" r:id="rId20"/>
          <w:footerReference w:type="default" r:id="rId21"/>
          <w:headerReference w:type="first" r:id="rId22"/>
          <w:footerReference w:type="first" r:id="rId23"/>
          <w:type w:val="oddPage"/>
          <w:pgSz w:w="9979" w:h="14175" w:code="163"/>
          <w:pgMar w:top="567" w:right="1134" w:bottom="567" w:left="1134" w:header="709" w:footer="709" w:gutter="0"/>
          <w:cols w:space="708"/>
          <w:titlePg/>
          <w:docGrid w:linePitch="360"/>
        </w:sectPr>
      </w:pPr>
      <w:r w:rsidRPr="008A0DBE">
        <w:rPr>
          <w:rFonts w:ascii="Helvetica" w:hAnsi="Helvetica"/>
          <w:noProof/>
          <w:sz w:val="24"/>
        </w:rPr>
        <w:fldChar w:fldCharType="end"/>
      </w:r>
    </w:p>
    <w:p w14:paraId="2155E36C" w14:textId="5A03B026" w:rsidR="00E5385B" w:rsidRPr="008A0DBE" w:rsidRDefault="00E5385B" w:rsidP="008A0DBE">
      <w:pPr>
        <w:shd w:val="clear" w:color="auto" w:fill="FFFFFF" w:themeFill="background1"/>
        <w:rPr>
          <w:rFonts w:ascii="Helvetica" w:hAnsi="Helvetica"/>
          <w:noProof/>
          <w:sz w:val="24"/>
        </w:rPr>
      </w:pPr>
    </w:p>
    <w:p w14:paraId="4DE962C8" w14:textId="77777777" w:rsidR="00491846" w:rsidRPr="008A0DBE" w:rsidRDefault="00491846" w:rsidP="008A0DBE">
      <w:pPr>
        <w:pStyle w:val="Chapterheadingsubdocument"/>
        <w:shd w:val="clear" w:color="auto" w:fill="FFFFFF" w:themeFill="background1"/>
      </w:pPr>
      <w:bookmarkStart w:id="2" w:name="_Toc485286222"/>
      <w:bookmarkStart w:id="3" w:name="_Toc17213087"/>
      <w:bookmarkStart w:id="4" w:name="_Toc17269767"/>
      <w:bookmarkStart w:id="5" w:name="_Toc17271048"/>
      <w:r w:rsidRPr="008A0DBE">
        <w:rPr>
          <w:rStyle w:val="ChapterNameOnly"/>
        </w:rPr>
        <w:t>Glossary</w:t>
      </w:r>
      <w:bookmarkEnd w:id="2"/>
      <w:bookmarkEnd w:id="3"/>
      <w:bookmarkEnd w:id="4"/>
      <w:bookmarkEnd w:id="5"/>
    </w:p>
    <w:p w14:paraId="0D7F7D95" w14:textId="77777777" w:rsidR="00491846" w:rsidRPr="008A0DBE" w:rsidRDefault="00491846" w:rsidP="008A0DBE">
      <w:pPr>
        <w:pStyle w:val="BTPwithextraspacing"/>
        <w:shd w:val="clear" w:color="auto" w:fill="FFFFFF" w:themeFill="background1"/>
      </w:pPr>
      <w:r w:rsidRPr="008A0DBE">
        <w:t>The following abbreviations and acronyms are used throughout this explanatory memorandum.</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491846" w:rsidRPr="008A0DBE" w14:paraId="77120062" w14:textId="77777777" w:rsidTr="00D10C39">
        <w:tc>
          <w:tcPr>
            <w:tcW w:w="2721" w:type="dxa"/>
          </w:tcPr>
          <w:p w14:paraId="6F017852" w14:textId="77777777" w:rsidR="00491846" w:rsidRPr="008A0DBE" w:rsidRDefault="00491846" w:rsidP="008A0DBE">
            <w:pPr>
              <w:pStyle w:val="tableheaderwithintable"/>
              <w:shd w:val="clear" w:color="auto" w:fill="FFFFFF" w:themeFill="background1"/>
            </w:pPr>
            <w:r w:rsidRPr="008A0DBE">
              <w:t>Abbreviation</w:t>
            </w:r>
          </w:p>
        </w:tc>
        <w:tc>
          <w:tcPr>
            <w:tcW w:w="3885" w:type="dxa"/>
          </w:tcPr>
          <w:p w14:paraId="2671CEA9" w14:textId="77777777" w:rsidR="00491846" w:rsidRPr="008A0DBE" w:rsidRDefault="00491846" w:rsidP="008A0DBE">
            <w:pPr>
              <w:pStyle w:val="tableheaderwithintable"/>
              <w:shd w:val="clear" w:color="auto" w:fill="FFFFFF" w:themeFill="background1"/>
            </w:pPr>
            <w:r w:rsidRPr="008A0DBE">
              <w:t>Definition</w:t>
            </w:r>
          </w:p>
        </w:tc>
      </w:tr>
      <w:tr w:rsidR="00491846" w:rsidRPr="008A0DBE" w14:paraId="392E4411" w14:textId="77777777" w:rsidTr="00D10C39">
        <w:tc>
          <w:tcPr>
            <w:tcW w:w="2721" w:type="dxa"/>
          </w:tcPr>
          <w:p w14:paraId="08A5AB63" w14:textId="28C639C0" w:rsidR="00491846" w:rsidRPr="008A0DBE" w:rsidRDefault="00E762B9" w:rsidP="008A0DBE">
            <w:pPr>
              <w:pStyle w:val="Glossarytabletext"/>
              <w:shd w:val="clear" w:color="auto" w:fill="FFFFFF" w:themeFill="background1"/>
              <w:rPr>
                <w:lang w:val="en-US" w:eastAsia="en-US"/>
              </w:rPr>
            </w:pPr>
            <w:bookmarkStart w:id="6" w:name="GlossaryTableStart"/>
            <w:bookmarkEnd w:id="6"/>
            <w:r w:rsidRPr="008A0DBE">
              <w:rPr>
                <w:lang w:val="en-US" w:eastAsia="en-US"/>
              </w:rPr>
              <w:t>ACCC</w:t>
            </w:r>
          </w:p>
        </w:tc>
        <w:tc>
          <w:tcPr>
            <w:tcW w:w="3885" w:type="dxa"/>
          </w:tcPr>
          <w:p w14:paraId="56ACAB23" w14:textId="3127E8F6" w:rsidR="00491846" w:rsidRPr="008A0DBE" w:rsidRDefault="00E762B9" w:rsidP="008A0DBE">
            <w:pPr>
              <w:pStyle w:val="Glossarytabletext"/>
              <w:shd w:val="clear" w:color="auto" w:fill="FFFFFF" w:themeFill="background1"/>
              <w:rPr>
                <w:lang w:val="en-US" w:eastAsia="en-US"/>
              </w:rPr>
            </w:pPr>
            <w:r w:rsidRPr="008A0DBE">
              <w:t>Australian Competition and Consumer Commission</w:t>
            </w:r>
          </w:p>
        </w:tc>
      </w:tr>
      <w:tr w:rsidR="00491846" w:rsidRPr="008A0DBE" w14:paraId="284D933D" w14:textId="77777777" w:rsidTr="00D10C39">
        <w:tc>
          <w:tcPr>
            <w:tcW w:w="2721" w:type="dxa"/>
          </w:tcPr>
          <w:p w14:paraId="3EF61EA9" w14:textId="392AD322" w:rsidR="00491846" w:rsidRPr="008A0DBE" w:rsidRDefault="00E762B9" w:rsidP="008A0DBE">
            <w:pPr>
              <w:pStyle w:val="Glossarytabletext"/>
              <w:shd w:val="clear" w:color="auto" w:fill="FFFFFF" w:themeFill="background1"/>
              <w:rPr>
                <w:lang w:val="en-US" w:eastAsia="en-US"/>
              </w:rPr>
            </w:pPr>
            <w:r w:rsidRPr="008A0DBE">
              <w:rPr>
                <w:lang w:val="en-US" w:eastAsia="en-US"/>
              </w:rPr>
              <w:t>ASIC</w:t>
            </w:r>
          </w:p>
        </w:tc>
        <w:tc>
          <w:tcPr>
            <w:tcW w:w="3885" w:type="dxa"/>
          </w:tcPr>
          <w:p w14:paraId="0303151C" w14:textId="189C64F0" w:rsidR="00491846" w:rsidRPr="008A0DBE" w:rsidRDefault="00E762B9" w:rsidP="008A0DBE">
            <w:pPr>
              <w:pStyle w:val="Glossarytabletext"/>
              <w:shd w:val="clear" w:color="auto" w:fill="FFFFFF" w:themeFill="background1"/>
              <w:rPr>
                <w:lang w:val="en-US" w:eastAsia="en-US"/>
              </w:rPr>
            </w:pPr>
            <w:r w:rsidRPr="008A0DBE">
              <w:rPr>
                <w:lang w:val="en-US" w:eastAsia="en-US"/>
              </w:rPr>
              <w:t>Australian Securities and Investments Commission</w:t>
            </w:r>
          </w:p>
        </w:tc>
      </w:tr>
      <w:tr w:rsidR="00491846" w:rsidRPr="008A0DBE" w14:paraId="213BA735" w14:textId="77777777" w:rsidTr="00D10C39">
        <w:tc>
          <w:tcPr>
            <w:tcW w:w="2721" w:type="dxa"/>
          </w:tcPr>
          <w:p w14:paraId="43164A41" w14:textId="245685A9" w:rsidR="00491846" w:rsidRPr="008A0DBE" w:rsidRDefault="00E762B9" w:rsidP="008A0DBE">
            <w:pPr>
              <w:pStyle w:val="Glossarytabletext"/>
              <w:shd w:val="clear" w:color="auto" w:fill="FFFFFF" w:themeFill="background1"/>
              <w:rPr>
                <w:lang w:val="en-US" w:eastAsia="en-US"/>
              </w:rPr>
            </w:pPr>
            <w:r w:rsidRPr="008A0DBE">
              <w:rPr>
                <w:lang w:val="en-US" w:eastAsia="en-US"/>
              </w:rPr>
              <w:t>ATO</w:t>
            </w:r>
          </w:p>
        </w:tc>
        <w:tc>
          <w:tcPr>
            <w:tcW w:w="3885" w:type="dxa"/>
          </w:tcPr>
          <w:p w14:paraId="492B67D8" w14:textId="1C4E2E6A" w:rsidR="00491846" w:rsidRPr="008A0DBE" w:rsidRDefault="00E762B9" w:rsidP="008A0DBE">
            <w:pPr>
              <w:pStyle w:val="Glossarytabletext"/>
              <w:shd w:val="clear" w:color="auto" w:fill="FFFFFF" w:themeFill="background1"/>
              <w:rPr>
                <w:lang w:val="en-US" w:eastAsia="en-US"/>
              </w:rPr>
            </w:pPr>
            <w:r w:rsidRPr="008A0DBE">
              <w:rPr>
                <w:lang w:val="en-US" w:eastAsia="en-US"/>
              </w:rPr>
              <w:t>Australian Taxation Office</w:t>
            </w:r>
          </w:p>
        </w:tc>
      </w:tr>
      <w:tr w:rsidR="008304C6" w:rsidRPr="008A0DBE" w14:paraId="24386531" w14:textId="77777777" w:rsidTr="00D10C39">
        <w:tc>
          <w:tcPr>
            <w:tcW w:w="2721" w:type="dxa"/>
          </w:tcPr>
          <w:p w14:paraId="7682BA57" w14:textId="569DE1C3" w:rsidR="008304C6" w:rsidRPr="008A0DBE" w:rsidRDefault="008304C6" w:rsidP="008A0DBE">
            <w:pPr>
              <w:pStyle w:val="Glossarytabletext"/>
              <w:shd w:val="clear" w:color="auto" w:fill="FFFFFF" w:themeFill="background1"/>
              <w:rPr>
                <w:lang w:val="en-US" w:eastAsia="en-US"/>
              </w:rPr>
            </w:pPr>
            <w:r w:rsidRPr="008A0DBE">
              <w:rPr>
                <w:lang w:val="en-US" w:eastAsia="en-US"/>
              </w:rPr>
              <w:t>PAYGW</w:t>
            </w:r>
          </w:p>
        </w:tc>
        <w:tc>
          <w:tcPr>
            <w:tcW w:w="3885" w:type="dxa"/>
          </w:tcPr>
          <w:p w14:paraId="103389C1" w14:textId="0D3D4520" w:rsidR="008304C6" w:rsidRPr="008A0DBE" w:rsidRDefault="008304C6" w:rsidP="008A0DBE">
            <w:pPr>
              <w:pStyle w:val="Glossarytabletext"/>
              <w:shd w:val="clear" w:color="auto" w:fill="FFFFFF" w:themeFill="background1"/>
              <w:rPr>
                <w:lang w:val="en-US" w:eastAsia="en-US"/>
              </w:rPr>
            </w:pPr>
            <w:r w:rsidRPr="008A0DBE">
              <w:rPr>
                <w:lang w:val="en-US" w:eastAsia="en-US"/>
              </w:rPr>
              <w:t>Pay as You Go Withholding</w:t>
            </w:r>
          </w:p>
        </w:tc>
      </w:tr>
    </w:tbl>
    <w:p w14:paraId="24CA94C8" w14:textId="77777777" w:rsidR="00491846" w:rsidRPr="008A0DBE" w:rsidRDefault="00491846" w:rsidP="008A0DBE">
      <w:pPr>
        <w:shd w:val="clear" w:color="auto" w:fill="FFFFFF" w:themeFill="background1"/>
      </w:pPr>
    </w:p>
    <w:p w14:paraId="0ABA9321" w14:textId="77777777" w:rsidR="00491846" w:rsidRPr="008A0DBE" w:rsidRDefault="00491846" w:rsidP="008A0DBE">
      <w:pPr>
        <w:shd w:val="clear" w:color="auto" w:fill="FFFFFF" w:themeFill="background1"/>
      </w:pPr>
    </w:p>
    <w:p w14:paraId="77025F4A" w14:textId="77777777" w:rsidR="00B17774" w:rsidRPr="008A0DBE" w:rsidRDefault="00B17774" w:rsidP="008A0DBE">
      <w:pPr>
        <w:pStyle w:val="Hiddentext"/>
        <w:shd w:val="clear" w:color="auto" w:fill="FFFFFF" w:themeFill="background1"/>
      </w:pPr>
    </w:p>
    <w:p w14:paraId="310E9328" w14:textId="77777777" w:rsidR="00B17774" w:rsidRPr="008A0DBE" w:rsidRDefault="00B17774" w:rsidP="008A0DBE">
      <w:pPr>
        <w:pStyle w:val="base-text-paragraphnonumbers"/>
        <w:shd w:val="clear" w:color="auto" w:fill="FFFFFF" w:themeFill="background1"/>
        <w:sectPr w:rsidR="00B17774" w:rsidRPr="008A0DBE" w:rsidSect="00491846">
          <w:type w:val="oddPage"/>
          <w:pgSz w:w="9979" w:h="14175" w:code="163"/>
          <w:pgMar w:top="567" w:right="1134" w:bottom="567" w:left="1134" w:header="709" w:footer="709" w:gutter="0"/>
          <w:cols w:space="708"/>
          <w:titlePg/>
          <w:docGrid w:linePitch="360"/>
        </w:sectPr>
      </w:pPr>
    </w:p>
    <w:p w14:paraId="1368432D" w14:textId="77777777" w:rsidR="00B17774" w:rsidRPr="008A0DBE" w:rsidRDefault="00B17774" w:rsidP="008A0DBE">
      <w:pPr>
        <w:pStyle w:val="Chapterheadingsubdocument"/>
        <w:shd w:val="clear" w:color="auto" w:fill="FFFFFF" w:themeFill="background1"/>
      </w:pPr>
      <w:bookmarkStart w:id="7" w:name="_Toc17213088"/>
      <w:bookmarkStart w:id="8" w:name="_Toc17269768"/>
      <w:bookmarkStart w:id="9" w:name="_Toc17271049"/>
      <w:r w:rsidRPr="008A0DBE">
        <w:rPr>
          <w:rStyle w:val="ChapterNameOnly"/>
        </w:rPr>
        <w:t>General outline and financial impact</w:t>
      </w:r>
      <w:bookmarkStart w:id="10" w:name="GeneralOutline"/>
      <w:bookmarkEnd w:id="7"/>
      <w:bookmarkEnd w:id="8"/>
      <w:bookmarkEnd w:id="9"/>
      <w:bookmarkEnd w:id="10"/>
    </w:p>
    <w:p w14:paraId="21E5C7B4" w14:textId="77777777" w:rsidR="00B17774" w:rsidRPr="008A0DBE" w:rsidRDefault="00286DD2" w:rsidP="008A0DBE">
      <w:pPr>
        <w:pStyle w:val="Heading2"/>
        <w:shd w:val="clear" w:color="auto" w:fill="FFFFFF" w:themeFill="background1"/>
      </w:pPr>
      <w:r w:rsidRPr="008A0DBE">
        <w:t>Miscellaneous amendments</w:t>
      </w:r>
    </w:p>
    <w:p w14:paraId="072AFA45" w14:textId="07B229C6" w:rsidR="00286DD2" w:rsidRPr="008A0DBE" w:rsidRDefault="00286DD2" w:rsidP="008A0DBE">
      <w:pPr>
        <w:pStyle w:val="base-text-paragraphnonumbers"/>
        <w:shd w:val="clear" w:color="auto" w:fill="FFFFFF" w:themeFill="background1"/>
      </w:pPr>
      <w:r w:rsidRPr="008A0DBE">
        <w:t xml:space="preserve">Schedule </w:t>
      </w:r>
      <w:r w:rsidR="002F3991" w:rsidRPr="008A0DBE">
        <w:t>#</w:t>
      </w:r>
      <w:r w:rsidRPr="008A0DBE">
        <w:t xml:space="preserve"> to this Bill makes a number of miscellaneous amendments to </w:t>
      </w:r>
      <w:r w:rsidR="00A25804" w:rsidRPr="008A0DBE">
        <w:t xml:space="preserve">laws relating to </w:t>
      </w:r>
      <w:r w:rsidRPr="008A0DBE">
        <w:t>taxation, superannuation</w:t>
      </w:r>
      <w:r w:rsidR="00186F07" w:rsidRPr="008A0DBE">
        <w:t>, corporations</w:t>
      </w:r>
      <w:r w:rsidR="00A25804" w:rsidRPr="008A0DBE">
        <w:t xml:space="preserve"> and</w:t>
      </w:r>
      <w:r w:rsidR="00186F07" w:rsidRPr="008A0DBE">
        <w:t xml:space="preserve"> credit</w:t>
      </w:r>
      <w:r w:rsidR="00A25804" w:rsidRPr="008A0DBE">
        <w:t>.</w:t>
      </w:r>
      <w:r w:rsidRPr="008A0DBE">
        <w:t xml:space="preserve"> </w:t>
      </w:r>
    </w:p>
    <w:p w14:paraId="16CFCD2F" w14:textId="72146C5E" w:rsidR="00B17774" w:rsidRPr="008A0DBE" w:rsidRDefault="00286DD2" w:rsidP="008A0DBE">
      <w:pPr>
        <w:pStyle w:val="base-text-paragraphnonumbers"/>
        <w:shd w:val="clear" w:color="auto" w:fill="FFFFFF" w:themeFill="background1"/>
      </w:pPr>
      <w:r w:rsidRPr="008A0DBE">
        <w:t xml:space="preserve">These amendments make minor technical changes to correct </w:t>
      </w:r>
      <w:r w:rsidR="00FA1C05" w:rsidRPr="008A0DBE">
        <w:t>typographical and numbering</w:t>
      </w:r>
      <w:r w:rsidRPr="008A0DBE">
        <w:t xml:space="preserve"> errors, bring provisions in line with </w:t>
      </w:r>
      <w:r w:rsidR="00186F07" w:rsidRPr="008A0DBE">
        <w:t xml:space="preserve">modern </w:t>
      </w:r>
      <w:r w:rsidRPr="008A0DBE">
        <w:t>drafting conventions, repeal inoperative provisions</w:t>
      </w:r>
      <w:r w:rsidR="00186F07" w:rsidRPr="008A0DBE">
        <w:t>, remove administrative inefficiencies</w:t>
      </w:r>
      <w:r w:rsidRPr="008A0DBE">
        <w:t xml:space="preserve"> and update references.</w:t>
      </w:r>
    </w:p>
    <w:p w14:paraId="3CFF4CAE" w14:textId="54C1C126" w:rsidR="00B17774" w:rsidRPr="008A0DBE" w:rsidRDefault="00B17774" w:rsidP="008A0DBE">
      <w:pPr>
        <w:pStyle w:val="base-text-paragraphnonumbers"/>
        <w:shd w:val="clear" w:color="auto" w:fill="FFFFFF" w:themeFill="background1"/>
      </w:pPr>
      <w:r w:rsidRPr="008A0DBE">
        <w:rPr>
          <w:rStyle w:val="BoldItalic"/>
        </w:rPr>
        <w:t>Date of effect</w:t>
      </w:r>
      <w:r w:rsidRPr="008A0DBE">
        <w:rPr>
          <w:rStyle w:val="base-text-paragraphChar"/>
        </w:rPr>
        <w:t xml:space="preserve">: </w:t>
      </w:r>
      <w:r w:rsidR="006B18FE" w:rsidRPr="008A0DBE">
        <w:rPr>
          <w:rStyle w:val="base-text-paragraphChar"/>
        </w:rPr>
        <w:t xml:space="preserve">Part 1 of the Schedule commences the day after this Act receives Royal Assent. Parts 2 and 3 of the Schedule commence on the first 1 January, 1 April, 1 July or 1 October after the day this Act receives Royal Assent. Most of the amendments apply from the date of commencement. </w:t>
      </w:r>
    </w:p>
    <w:p w14:paraId="292D896D" w14:textId="4ED8D1A9" w:rsidR="00D83206" w:rsidRPr="008A0DBE" w:rsidRDefault="00D83206" w:rsidP="008A0DBE">
      <w:pPr>
        <w:pStyle w:val="base-text-paragraphnonumbers"/>
        <w:shd w:val="clear" w:color="auto" w:fill="FFFFFF" w:themeFill="background1"/>
      </w:pPr>
      <w:r w:rsidRPr="008A0DBE">
        <w:rPr>
          <w:rStyle w:val="BoldItalic"/>
        </w:rPr>
        <w:t>Proposal announced</w:t>
      </w:r>
      <w:r w:rsidRPr="008A0DBE">
        <w:rPr>
          <w:rStyle w:val="base-text-paragraphChar"/>
        </w:rPr>
        <w:t xml:space="preserve">: </w:t>
      </w:r>
      <w:r w:rsidR="00286DD2" w:rsidRPr="008A0DBE">
        <w:t>These amendments have not been previously announced</w:t>
      </w:r>
      <w:r w:rsidRPr="008A0DBE">
        <w:t>.</w:t>
      </w:r>
    </w:p>
    <w:p w14:paraId="52FDE8BF" w14:textId="5DDB24BA" w:rsidR="00B17774" w:rsidRPr="008A0DBE" w:rsidRDefault="00B17774" w:rsidP="008A0DBE">
      <w:pPr>
        <w:pStyle w:val="base-text-paragraphnonumbers"/>
        <w:shd w:val="clear" w:color="auto" w:fill="FFFFFF" w:themeFill="background1"/>
      </w:pPr>
      <w:r w:rsidRPr="008A0DBE">
        <w:rPr>
          <w:rStyle w:val="BoldItalic"/>
        </w:rPr>
        <w:t>Financial impact</w:t>
      </w:r>
      <w:r w:rsidRPr="008A0DBE">
        <w:rPr>
          <w:rStyle w:val="base-text-paragraphChar"/>
        </w:rPr>
        <w:t xml:space="preserve">: </w:t>
      </w:r>
      <w:r w:rsidR="00286DD2" w:rsidRPr="008A0DBE">
        <w:t xml:space="preserve">These amendments are estimated to have a </w:t>
      </w:r>
      <w:r w:rsidR="0090728E" w:rsidRPr="008A0DBE">
        <w:t>small but unquantifiable financial impact</w:t>
      </w:r>
      <w:r w:rsidR="00286DD2" w:rsidRPr="008A0DBE">
        <w:t xml:space="preserve"> over the forward estimates period.</w:t>
      </w:r>
    </w:p>
    <w:p w14:paraId="5957A1DE" w14:textId="76ECD3B9" w:rsidR="00B17774" w:rsidRPr="008A0DBE" w:rsidRDefault="00B17774" w:rsidP="008A0DBE">
      <w:pPr>
        <w:pStyle w:val="base-text-paragraphnonumbers"/>
        <w:shd w:val="clear" w:color="auto" w:fill="FFFFFF" w:themeFill="background1"/>
      </w:pPr>
      <w:r w:rsidRPr="008A0DBE">
        <w:rPr>
          <w:rStyle w:val="BoldItalic"/>
        </w:rPr>
        <w:t>Compliance cost impact</w:t>
      </w:r>
      <w:r w:rsidRPr="008A0DBE">
        <w:rPr>
          <w:rStyle w:val="base-text-paragraphChar"/>
        </w:rPr>
        <w:t xml:space="preserve">: </w:t>
      </w:r>
      <w:r w:rsidR="00286DD2" w:rsidRPr="008A0DBE">
        <w:t>The amendments have a negligible impact on compliance costs.</w:t>
      </w:r>
    </w:p>
    <w:p w14:paraId="16245C46" w14:textId="77777777" w:rsidR="00491846" w:rsidRPr="008A0DBE" w:rsidRDefault="00491846" w:rsidP="008A0DBE">
      <w:pPr>
        <w:shd w:val="clear" w:color="auto" w:fill="FFFFFF" w:themeFill="background1"/>
        <w:sectPr w:rsidR="00491846" w:rsidRPr="008A0DBE" w:rsidSect="00491846">
          <w:footerReference w:type="even" r:id="rId24"/>
          <w:footerReference w:type="default" r:id="rId25"/>
          <w:footerReference w:type="first" r:id="rId26"/>
          <w:type w:val="oddPage"/>
          <w:pgSz w:w="9979" w:h="14175" w:code="163"/>
          <w:pgMar w:top="567" w:right="1134" w:bottom="567" w:left="1134" w:header="709" w:footer="709" w:gutter="0"/>
          <w:cols w:space="708"/>
          <w:titlePg/>
          <w:docGrid w:linePitch="360"/>
        </w:sectPr>
      </w:pPr>
    </w:p>
    <w:p w14:paraId="0BF4B0C4" w14:textId="4B39F97E" w:rsidR="00491846" w:rsidRPr="008A0DBE" w:rsidRDefault="00E762B9" w:rsidP="008A0DBE">
      <w:pPr>
        <w:pStyle w:val="ChapterHeading"/>
        <w:shd w:val="clear" w:color="auto" w:fill="FFFFFF" w:themeFill="background1"/>
        <w:tabs>
          <w:tab w:val="clear" w:pos="1134"/>
        </w:tabs>
      </w:pPr>
      <w:bookmarkStart w:id="11" w:name="_Toc17213089"/>
      <w:bookmarkStart w:id="12" w:name="_Toc17269769"/>
      <w:bookmarkStart w:id="13" w:name="_Toc17271050"/>
      <w:r w:rsidRPr="008A0DBE">
        <w:rPr>
          <w:rStyle w:val="ChapterNameOnly"/>
        </w:rPr>
        <w:t xml:space="preserve">Chapter 1 - </w:t>
      </w:r>
      <w:r w:rsidR="00491846" w:rsidRPr="008A0DBE">
        <w:rPr>
          <w:rStyle w:val="ChapterNameOnly"/>
        </w:rPr>
        <w:t>Miscellaneous Amendments</w:t>
      </w:r>
      <w:bookmarkEnd w:id="11"/>
      <w:bookmarkEnd w:id="12"/>
      <w:bookmarkEnd w:id="13"/>
    </w:p>
    <w:p w14:paraId="016D3057" w14:textId="77777777" w:rsidR="00B17774" w:rsidRPr="008A0DBE" w:rsidRDefault="00B17774" w:rsidP="008A0DBE">
      <w:pPr>
        <w:pStyle w:val="Heading2"/>
        <w:shd w:val="clear" w:color="auto" w:fill="FFFFFF" w:themeFill="background1"/>
      </w:pPr>
      <w:r w:rsidRPr="008A0DBE">
        <w:t>Outline of chapter</w:t>
      </w:r>
    </w:p>
    <w:p w14:paraId="4B00C639" w14:textId="6E1297D4" w:rsidR="00202EBB" w:rsidRPr="008A0DBE" w:rsidRDefault="00F765EF" w:rsidP="008A0DBE">
      <w:pPr>
        <w:pStyle w:val="base-text-paragraph"/>
        <w:shd w:val="clear" w:color="auto" w:fill="FFFFFF" w:themeFill="background1"/>
      </w:pPr>
      <w:r w:rsidRPr="008A0DBE">
        <w:t>Schedule #</w:t>
      </w:r>
      <w:r w:rsidR="00202EBB" w:rsidRPr="008A0DBE">
        <w:t xml:space="preserve"> makes a number of miscellaneous amendments to </w:t>
      </w:r>
      <w:r w:rsidR="00A25804" w:rsidRPr="008A0DBE">
        <w:t>laws relating to</w:t>
      </w:r>
      <w:r w:rsidR="00202EBB" w:rsidRPr="008A0DBE">
        <w:t xml:space="preserve"> taxation, superannuation</w:t>
      </w:r>
      <w:r w:rsidR="00C10F0E" w:rsidRPr="008A0DBE">
        <w:t>, corporations</w:t>
      </w:r>
      <w:r w:rsidR="00A25804" w:rsidRPr="008A0DBE">
        <w:t xml:space="preserve"> and</w:t>
      </w:r>
      <w:r w:rsidR="00FA1C05" w:rsidRPr="008A0DBE">
        <w:t xml:space="preserve"> credit</w:t>
      </w:r>
      <w:r w:rsidR="00202EBB" w:rsidRPr="008A0DBE">
        <w:t xml:space="preserve">. These amendments are part of the Government’s commitment </w:t>
      </w:r>
      <w:r w:rsidR="004A05A3" w:rsidRPr="008A0DBE">
        <w:t>to</w:t>
      </w:r>
      <w:r w:rsidR="00202EBB" w:rsidRPr="008A0DBE">
        <w:t xml:space="preserve"> the care and maintenance of Treasury portfolio legislation.</w:t>
      </w:r>
    </w:p>
    <w:p w14:paraId="54E42BE2" w14:textId="04EEC88C" w:rsidR="00B17774" w:rsidRPr="008A0DBE" w:rsidRDefault="00FA1C05" w:rsidP="008A0DBE">
      <w:pPr>
        <w:pStyle w:val="base-text-paragraph"/>
        <w:shd w:val="clear" w:color="auto" w:fill="FFFFFF" w:themeFill="background1"/>
      </w:pPr>
      <w:r w:rsidRPr="008A0DBE">
        <w:t>These amendments make minor technical changes to correct typographical and numbering errors, bring provisions in line with modern drafting con</w:t>
      </w:r>
      <w:r w:rsidR="0090728E" w:rsidRPr="008A0DBE">
        <w:t>ventions,</w:t>
      </w:r>
      <w:r w:rsidRPr="008A0DBE">
        <w:t xml:space="preserve"> enhance efficiency, coherency and simplicity, repeal inoperative provisions, remove administrative inefficiencies and update references.</w:t>
      </w:r>
    </w:p>
    <w:p w14:paraId="5074525F" w14:textId="77777777" w:rsidR="00B17774" w:rsidRPr="008A0DBE" w:rsidRDefault="00B17774" w:rsidP="008A0DBE">
      <w:pPr>
        <w:pStyle w:val="Heading2"/>
        <w:shd w:val="clear" w:color="auto" w:fill="FFFFFF" w:themeFill="background1"/>
      </w:pPr>
      <w:r w:rsidRPr="008A0DBE">
        <w:t>Context of amendments</w:t>
      </w:r>
    </w:p>
    <w:p w14:paraId="247619B9" w14:textId="1F83A258" w:rsidR="00AC2F6E" w:rsidRPr="008A0DBE" w:rsidRDefault="004A05A3" w:rsidP="008A0DBE">
      <w:pPr>
        <w:pStyle w:val="base-text-paragraph"/>
        <w:shd w:val="clear" w:color="auto" w:fill="FFFFFF" w:themeFill="background1"/>
      </w:pPr>
      <w:r w:rsidRPr="008A0DBE">
        <w:t>Minor and technical</w:t>
      </w:r>
      <w:r w:rsidR="00C10F0E" w:rsidRPr="008A0DBE">
        <w:t xml:space="preserve"> amendments are periodically made to</w:t>
      </w:r>
      <w:r w:rsidR="00AC2F6E" w:rsidRPr="008A0DBE">
        <w:t xml:space="preserve"> Treasury legislation to</w:t>
      </w:r>
      <w:r w:rsidR="00C10F0E" w:rsidRPr="008A0DBE">
        <w:t xml:space="preserve"> remove anomalies, correct unintended outcomes and improve the quality of laws. </w:t>
      </w:r>
      <w:r w:rsidR="00AC2F6E" w:rsidRPr="008A0DBE">
        <w:t>Making</w:t>
      </w:r>
      <w:r w:rsidR="00C10F0E" w:rsidRPr="008A0DBE">
        <w:t xml:space="preserve"> such amendments gives priority to the care and maintenance of </w:t>
      </w:r>
      <w:r w:rsidR="00AC2F6E" w:rsidRPr="008A0DBE">
        <w:t xml:space="preserve">Treasury </w:t>
      </w:r>
      <w:r w:rsidR="00A25804" w:rsidRPr="008A0DBE">
        <w:t xml:space="preserve">portfolio </w:t>
      </w:r>
      <w:r w:rsidR="00AC2F6E" w:rsidRPr="008A0DBE">
        <w:t>legislation.</w:t>
      </w:r>
      <w:r w:rsidR="00C10F0E" w:rsidRPr="008A0DBE">
        <w:t xml:space="preserve"> </w:t>
      </w:r>
    </w:p>
    <w:p w14:paraId="7AB217CA" w14:textId="7EA03C4D" w:rsidR="00C10F0E" w:rsidRPr="008A0DBE" w:rsidRDefault="00AC2F6E" w:rsidP="008A0DBE">
      <w:pPr>
        <w:pStyle w:val="base-text-paragraph"/>
        <w:shd w:val="clear" w:color="auto" w:fill="FFFFFF" w:themeFill="background1"/>
      </w:pPr>
      <w:r w:rsidRPr="008A0DBE">
        <w:t xml:space="preserve">The </w:t>
      </w:r>
      <w:r w:rsidR="00C10F0E" w:rsidRPr="008A0DBE">
        <w:t xml:space="preserve">process </w:t>
      </w:r>
      <w:r w:rsidRPr="008A0DBE">
        <w:t xml:space="preserve">was first </w:t>
      </w:r>
      <w:r w:rsidR="00C10F0E" w:rsidRPr="008A0DBE">
        <w:t>supported by a recommendation of the 2008 Tax Design Review Panel, which was appointed to examine how to reduce delays in the enactment of tax legislation and improve the quality of tax law changes.</w:t>
      </w:r>
      <w:r w:rsidRPr="008A0DBE">
        <w:t xml:space="preserve"> It has since been expanded to all Treasury </w:t>
      </w:r>
      <w:r w:rsidR="00A25804" w:rsidRPr="008A0DBE">
        <w:t xml:space="preserve">portfolio </w:t>
      </w:r>
      <w:r w:rsidRPr="008A0DBE">
        <w:t>legislation.</w:t>
      </w:r>
    </w:p>
    <w:p w14:paraId="331C4DFB" w14:textId="77777777" w:rsidR="00B17774" w:rsidRPr="008A0DBE" w:rsidRDefault="00B17774" w:rsidP="008A0DBE">
      <w:pPr>
        <w:pStyle w:val="Heading2"/>
        <w:shd w:val="clear" w:color="auto" w:fill="FFFFFF" w:themeFill="background1"/>
      </w:pPr>
      <w:r w:rsidRPr="008A0DBE">
        <w:t>Summary of new law</w:t>
      </w:r>
    </w:p>
    <w:p w14:paraId="3BB858EE" w14:textId="0A82648F" w:rsidR="00C10F0E" w:rsidRPr="008A0DBE" w:rsidRDefault="00C10F0E" w:rsidP="008A0DBE">
      <w:pPr>
        <w:pStyle w:val="base-text-paragraph"/>
        <w:shd w:val="clear" w:color="auto" w:fill="FFFFFF" w:themeFill="background1"/>
      </w:pPr>
      <w:r w:rsidRPr="008A0DBE">
        <w:t xml:space="preserve">These miscellaneous amendments address technical deficiencies and legislative uncertainties in </w:t>
      </w:r>
      <w:r w:rsidR="00A25804" w:rsidRPr="008A0DBE">
        <w:t>laws relating to</w:t>
      </w:r>
      <w:r w:rsidRPr="008A0DBE">
        <w:t xml:space="preserve"> taxation, superannuation, corporations</w:t>
      </w:r>
      <w:r w:rsidR="00AC2F6E" w:rsidRPr="008A0DBE">
        <w:t xml:space="preserve"> </w:t>
      </w:r>
      <w:r w:rsidR="00A25804" w:rsidRPr="008A0DBE">
        <w:t xml:space="preserve">and </w:t>
      </w:r>
      <w:r w:rsidR="00AC2F6E" w:rsidRPr="008A0DBE">
        <w:t>credit</w:t>
      </w:r>
      <w:r w:rsidR="004A05A3" w:rsidRPr="008A0DBE">
        <w:t xml:space="preserve"> by</w:t>
      </w:r>
      <w:r w:rsidRPr="008A0DBE">
        <w:t>:</w:t>
      </w:r>
    </w:p>
    <w:p w14:paraId="5FE86335" w14:textId="111D9FFF" w:rsidR="00B17774" w:rsidRPr="008A0DBE" w:rsidRDefault="007233AF" w:rsidP="008A0DBE">
      <w:pPr>
        <w:pStyle w:val="dotpoint"/>
        <w:shd w:val="clear" w:color="auto" w:fill="FFFFFF" w:themeFill="background1"/>
      </w:pPr>
      <w:r w:rsidRPr="008A0DBE">
        <w:t xml:space="preserve">correcting </w:t>
      </w:r>
      <w:r w:rsidR="00C10F0E" w:rsidRPr="008A0DBE">
        <w:t>spelling and typographical errors;</w:t>
      </w:r>
    </w:p>
    <w:p w14:paraId="0850967C" w14:textId="1A619D13" w:rsidR="0090728E" w:rsidRPr="008A0DBE" w:rsidRDefault="0090728E" w:rsidP="008A0DBE">
      <w:pPr>
        <w:pStyle w:val="dotpoint"/>
        <w:shd w:val="clear" w:color="auto" w:fill="FFFFFF" w:themeFill="background1"/>
      </w:pPr>
      <w:r w:rsidRPr="008A0DBE">
        <w:t>updating references to Gazettal notices to bring provisions into line with modern drafting conventions;</w:t>
      </w:r>
    </w:p>
    <w:p w14:paraId="66D58981" w14:textId="5F3C7F2B" w:rsidR="00C10F0E" w:rsidRPr="008A0DBE" w:rsidRDefault="007233AF" w:rsidP="008A0DBE">
      <w:pPr>
        <w:pStyle w:val="dotpoint"/>
        <w:shd w:val="clear" w:color="auto" w:fill="FFFFFF" w:themeFill="background1"/>
      </w:pPr>
      <w:r w:rsidRPr="008A0DBE">
        <w:t>fixing incorrect legislative references;</w:t>
      </w:r>
    </w:p>
    <w:p w14:paraId="0FAF9D91" w14:textId="52331982" w:rsidR="007233AF" w:rsidRPr="008A0DBE" w:rsidRDefault="007233AF" w:rsidP="008A0DBE">
      <w:pPr>
        <w:pStyle w:val="dotpoint"/>
        <w:shd w:val="clear" w:color="auto" w:fill="FFFFFF" w:themeFill="background1"/>
      </w:pPr>
      <w:r w:rsidRPr="008A0DBE">
        <w:t>enhancing readability</w:t>
      </w:r>
      <w:r w:rsidR="00AC2F6E" w:rsidRPr="008A0DBE">
        <w:t xml:space="preserve"> and administrative efficiency</w:t>
      </w:r>
      <w:r w:rsidRPr="008A0DBE">
        <w:t>; and</w:t>
      </w:r>
    </w:p>
    <w:p w14:paraId="083177CC" w14:textId="32407AEF" w:rsidR="007233AF" w:rsidRPr="008A0DBE" w:rsidRDefault="007233AF" w:rsidP="008A0DBE">
      <w:pPr>
        <w:pStyle w:val="dotpoint"/>
        <w:shd w:val="clear" w:color="auto" w:fill="FFFFFF" w:themeFill="background1"/>
      </w:pPr>
      <w:r w:rsidRPr="008A0DBE">
        <w:t>repealing redundant and inoperative provisions.</w:t>
      </w:r>
    </w:p>
    <w:p w14:paraId="43C6C8C5" w14:textId="02ECA843" w:rsidR="00B17774" w:rsidRPr="008A0DBE" w:rsidRDefault="00B17774" w:rsidP="008A0DBE">
      <w:pPr>
        <w:pStyle w:val="Heading2"/>
        <w:shd w:val="clear" w:color="auto" w:fill="FFFFFF" w:themeFill="background1"/>
      </w:pPr>
      <w:r w:rsidRPr="008A0DBE">
        <w:t>Detailed explanation of new law</w:t>
      </w:r>
    </w:p>
    <w:p w14:paraId="036E97A5" w14:textId="43CF3795" w:rsidR="00164A14" w:rsidRPr="008A0DBE" w:rsidRDefault="00164A14" w:rsidP="008A0DBE">
      <w:pPr>
        <w:pStyle w:val="Heading3"/>
        <w:shd w:val="clear" w:color="auto" w:fill="FFFFFF" w:themeFill="background1"/>
      </w:pPr>
      <w:r w:rsidRPr="008A0DBE">
        <w:t xml:space="preserve">Part 1 – Amendments commencing the day after Royal Assent </w:t>
      </w:r>
    </w:p>
    <w:p w14:paraId="752AC4D2" w14:textId="17295B9B" w:rsidR="00BA4898" w:rsidRPr="008A0DBE" w:rsidRDefault="00BA4898" w:rsidP="008A0DBE">
      <w:pPr>
        <w:pStyle w:val="Heading4"/>
        <w:shd w:val="clear" w:color="auto" w:fill="FFFFFF" w:themeFill="background1"/>
      </w:pPr>
      <w:r w:rsidRPr="008A0DBE">
        <w:t>Amendment</w:t>
      </w:r>
      <w:r w:rsidR="00431D70" w:rsidRPr="008A0DBE">
        <w:t>s to the Australian Securities and Investments Commission Act 2001</w:t>
      </w:r>
    </w:p>
    <w:p w14:paraId="42593B14" w14:textId="3B0C350B" w:rsidR="00E703A0" w:rsidRPr="008A0DBE" w:rsidRDefault="00D36983" w:rsidP="008A0DBE">
      <w:pPr>
        <w:pStyle w:val="base-text-paragraph"/>
        <w:numPr>
          <w:ilvl w:val="1"/>
          <w:numId w:val="51"/>
        </w:numPr>
        <w:shd w:val="clear" w:color="auto" w:fill="FFFFFF" w:themeFill="background1"/>
        <w:rPr>
          <w:rStyle w:val="Referencingstyle"/>
          <w:b w:val="0"/>
          <w:i w:val="0"/>
          <w:sz w:val="22"/>
        </w:rPr>
      </w:pPr>
      <w:r w:rsidRPr="008A0DBE">
        <w:t xml:space="preserve">Part 1 of the Schedule repeals the </w:t>
      </w:r>
      <w:r w:rsidR="00E703A0" w:rsidRPr="008A0DBE">
        <w:t xml:space="preserve">note to subsection 8(2) of the </w:t>
      </w:r>
      <w:r w:rsidR="00431D70" w:rsidRPr="008A0DBE">
        <w:rPr>
          <w:i/>
        </w:rPr>
        <w:t>Australian Securities and Investments Commission Act 2001</w:t>
      </w:r>
      <w:r w:rsidRPr="008A0DBE">
        <w:t xml:space="preserve">. This note is redundant as it </w:t>
      </w:r>
      <w:r w:rsidR="00E703A0" w:rsidRPr="008A0DBE">
        <w:t>refer</w:t>
      </w:r>
      <w:r w:rsidRPr="008A0DBE">
        <w:t xml:space="preserve">s </w:t>
      </w:r>
      <w:r w:rsidR="00E703A0" w:rsidRPr="008A0DBE">
        <w:t xml:space="preserve">to section 44 of the </w:t>
      </w:r>
      <w:r w:rsidR="00E703A0" w:rsidRPr="008A0DBE">
        <w:rPr>
          <w:i/>
        </w:rPr>
        <w:t>Financial Management and Accountability Act 1997</w:t>
      </w:r>
      <w:r w:rsidRPr="008A0DBE">
        <w:t xml:space="preserve"> which has been </w:t>
      </w:r>
      <w:r w:rsidR="00431D70" w:rsidRPr="008A0DBE">
        <w:t>repealed by</w:t>
      </w:r>
      <w:r w:rsidR="00301E26" w:rsidRPr="008A0DBE">
        <w:t xml:space="preserve"> the </w:t>
      </w:r>
      <w:r w:rsidR="00301E26" w:rsidRPr="008A0DBE">
        <w:rPr>
          <w:i/>
        </w:rPr>
        <w:t>Public Governance, Performance and Accountability Act 2013</w:t>
      </w:r>
      <w:r w:rsidRPr="008A0DBE">
        <w:rPr>
          <w:i/>
        </w:rPr>
        <w:t xml:space="preserve">. </w:t>
      </w:r>
      <w:r w:rsidR="00301E26" w:rsidRPr="008A0DBE">
        <w:rPr>
          <w:rStyle w:val="Referencingstyle"/>
        </w:rPr>
        <w:t>[Sched</w:t>
      </w:r>
      <w:r w:rsidRPr="008A0DBE">
        <w:rPr>
          <w:rStyle w:val="Referencingstyle"/>
        </w:rPr>
        <w:t>ule #</w:t>
      </w:r>
      <w:r w:rsidR="00301E26" w:rsidRPr="008A0DBE">
        <w:rPr>
          <w:rStyle w:val="Referencingstyle"/>
        </w:rPr>
        <w:t xml:space="preserve">, item 1, note to subsection 8(2) of the </w:t>
      </w:r>
      <w:r w:rsidR="00431D70" w:rsidRPr="008A0DBE">
        <w:rPr>
          <w:rStyle w:val="Referencingstyle"/>
        </w:rPr>
        <w:t>Australian Securities and Investments Commission</w:t>
      </w:r>
      <w:r w:rsidR="00301E26" w:rsidRPr="008A0DBE">
        <w:rPr>
          <w:rStyle w:val="Referencingstyle"/>
        </w:rPr>
        <w:t xml:space="preserve"> Act</w:t>
      </w:r>
      <w:r w:rsidR="00E65CE1" w:rsidRPr="008A0DBE">
        <w:rPr>
          <w:rStyle w:val="Referencingstyle"/>
        </w:rPr>
        <w:t xml:space="preserve"> 2001</w:t>
      </w:r>
      <w:r w:rsidR="00301E26" w:rsidRPr="008A0DBE">
        <w:rPr>
          <w:rStyle w:val="Referencingstyle"/>
        </w:rPr>
        <w:t>]</w:t>
      </w:r>
    </w:p>
    <w:p w14:paraId="322C4276" w14:textId="60EF7DF9" w:rsidR="00A7143D" w:rsidRPr="008A0DBE" w:rsidRDefault="000C7BE4" w:rsidP="008A0DBE">
      <w:pPr>
        <w:pStyle w:val="base-text-paragraph"/>
        <w:numPr>
          <w:ilvl w:val="1"/>
          <w:numId w:val="7"/>
        </w:numPr>
        <w:shd w:val="clear" w:color="auto" w:fill="FFFFFF" w:themeFill="background1"/>
      </w:pPr>
      <w:r w:rsidRPr="008A0DBE">
        <w:t xml:space="preserve">Part 1 of the Schedule also </w:t>
      </w:r>
      <w:r w:rsidR="00A7143D" w:rsidRPr="008A0DBE">
        <w:t>ensures</w:t>
      </w:r>
      <w:r w:rsidRPr="008A0DBE">
        <w:t xml:space="preserve"> that </w:t>
      </w:r>
      <w:r w:rsidR="00921065" w:rsidRPr="008A0DBE">
        <w:t xml:space="preserve">ASIC may disclose certain information </w:t>
      </w:r>
      <w:r w:rsidR="00A541E7" w:rsidRPr="008A0DBE">
        <w:t xml:space="preserve">relating to </w:t>
      </w:r>
      <w:r w:rsidR="00D35E21" w:rsidRPr="008A0DBE">
        <w:t>‘</w:t>
      </w:r>
      <w:r w:rsidR="00A541E7" w:rsidRPr="008A0DBE">
        <w:t>relevant providers</w:t>
      </w:r>
      <w:r w:rsidR="00D35E21" w:rsidRPr="008A0DBE">
        <w:t>’ (certain financial advisers)</w:t>
      </w:r>
      <w:r w:rsidR="00A541E7" w:rsidRPr="008A0DBE">
        <w:t xml:space="preserve"> </w:t>
      </w:r>
      <w:r w:rsidR="00A7143D" w:rsidRPr="008A0DBE">
        <w:t xml:space="preserve">to monitoring bodies of compliance schemes to enable them to perform their functions or exercise their powers under Part 7.6 of the Corporations Act. </w:t>
      </w:r>
      <w:r w:rsidR="00054574" w:rsidRPr="008A0DBE">
        <w:t xml:space="preserve">Under Part 7.6 of the Corporations Act, a monitoring body must monitor and enforce compliance with a Code of Ethics by a relevant provider </w:t>
      </w:r>
      <w:r w:rsidR="00A25804" w:rsidRPr="008A0DBE">
        <w:t xml:space="preserve">that is </w:t>
      </w:r>
      <w:r w:rsidR="00054574" w:rsidRPr="008A0DBE">
        <w:t xml:space="preserve">covered by a compliance scheme. </w:t>
      </w:r>
      <w:r w:rsidR="00B420F9" w:rsidRPr="008A0DBE">
        <w:rPr>
          <w:rStyle w:val="Referencingstyle"/>
        </w:rPr>
        <w:t xml:space="preserve">[Schedule #, item </w:t>
      </w:r>
      <w:r w:rsidR="009C7977" w:rsidRPr="008A0DBE">
        <w:rPr>
          <w:rStyle w:val="Referencingstyle"/>
        </w:rPr>
        <w:t>2,</w:t>
      </w:r>
      <w:r w:rsidR="00A541E7" w:rsidRPr="008A0DBE">
        <w:rPr>
          <w:rStyle w:val="Referencingstyle"/>
        </w:rPr>
        <w:t xml:space="preserve"> paragraph 127(4)(e) of the Australian Securities and </w:t>
      </w:r>
      <w:r w:rsidR="00E65CE1" w:rsidRPr="008A0DBE">
        <w:rPr>
          <w:rStyle w:val="Referencingstyle"/>
        </w:rPr>
        <w:t>Investments Commission Act 2001</w:t>
      </w:r>
      <w:r w:rsidR="00A541E7" w:rsidRPr="008A0DBE">
        <w:rPr>
          <w:rStyle w:val="Referencingstyle"/>
        </w:rPr>
        <w:t>]</w:t>
      </w:r>
    </w:p>
    <w:p w14:paraId="56D9573D" w14:textId="281AE565" w:rsidR="003C1D66" w:rsidRPr="008A0DBE" w:rsidRDefault="0085761D" w:rsidP="008A0DBE">
      <w:pPr>
        <w:pStyle w:val="base-text-paragraph"/>
        <w:numPr>
          <w:ilvl w:val="1"/>
          <w:numId w:val="51"/>
        </w:numPr>
        <w:shd w:val="clear" w:color="auto" w:fill="FFFFFF" w:themeFill="background1"/>
      </w:pPr>
      <w:r w:rsidRPr="008A0DBE">
        <w:t xml:space="preserve">The amendments to ensure that ASIC may disclose certain information to monitoring bodies apply in relation to disclosures of information made on or after the day </w:t>
      </w:r>
      <w:r w:rsidR="00D35E21" w:rsidRPr="008A0DBE">
        <w:t>of Royal Assent</w:t>
      </w:r>
      <w:r w:rsidR="00C459C3" w:rsidRPr="008A0DBE">
        <w:t>,</w:t>
      </w:r>
      <w:r w:rsidR="00B420F9" w:rsidRPr="008A0DBE">
        <w:t xml:space="preserve"> regardless of whether ASIC obtained the information it is disclosing on or after th</w:t>
      </w:r>
      <w:r w:rsidR="00C459C3" w:rsidRPr="008A0DBE">
        <w:t>at</w:t>
      </w:r>
      <w:r w:rsidR="00B420F9" w:rsidRPr="008A0DBE">
        <w:t xml:space="preserve"> date.</w:t>
      </w:r>
      <w:r w:rsidR="003C1D66" w:rsidRPr="008A0DBE">
        <w:t xml:space="preserve"> </w:t>
      </w:r>
      <w:r w:rsidR="003C1D66" w:rsidRPr="008A0DBE">
        <w:rPr>
          <w:rStyle w:val="Referencingstyle"/>
        </w:rPr>
        <w:t>[Schedule #, item</w:t>
      </w:r>
      <w:r w:rsidR="00B420F9" w:rsidRPr="008A0DBE">
        <w:rPr>
          <w:rStyle w:val="Referencingstyle"/>
        </w:rPr>
        <w:t xml:space="preserve"> </w:t>
      </w:r>
      <w:r w:rsidR="009C7977" w:rsidRPr="008A0DBE">
        <w:rPr>
          <w:rStyle w:val="Referencingstyle"/>
        </w:rPr>
        <w:t>7</w:t>
      </w:r>
      <w:r w:rsidR="003C1D66" w:rsidRPr="008A0DBE">
        <w:rPr>
          <w:rStyle w:val="Referencingstyle"/>
        </w:rPr>
        <w:t>,</w:t>
      </w:r>
      <w:r w:rsidR="003C1D66" w:rsidRPr="008A0DBE" w:rsidDel="00B420F9">
        <w:rPr>
          <w:rStyle w:val="Referencingstyle"/>
        </w:rPr>
        <w:t xml:space="preserve"> </w:t>
      </w:r>
      <w:r w:rsidR="003C1D66" w:rsidRPr="008A0DBE">
        <w:rPr>
          <w:rStyle w:val="Referencingstyle"/>
        </w:rPr>
        <w:t>section 32</w:t>
      </w:r>
      <w:r w:rsidR="005C1EEC" w:rsidRPr="008A0DBE">
        <w:rPr>
          <w:rStyle w:val="Referencingstyle"/>
        </w:rPr>
        <w:t>6</w:t>
      </w:r>
      <w:r w:rsidR="003C1D66" w:rsidRPr="008A0DBE">
        <w:rPr>
          <w:rStyle w:val="Referencingstyle"/>
        </w:rPr>
        <w:t xml:space="preserve"> of the Australian Securities and Investments Commission Act 2001]</w:t>
      </w:r>
    </w:p>
    <w:p w14:paraId="4C930015" w14:textId="18BA0742" w:rsidR="00301E26" w:rsidRPr="008A0DBE" w:rsidRDefault="00860D50" w:rsidP="008A0DBE">
      <w:pPr>
        <w:pStyle w:val="base-text-paragraph"/>
        <w:numPr>
          <w:ilvl w:val="1"/>
          <w:numId w:val="51"/>
        </w:numPr>
        <w:shd w:val="clear" w:color="auto" w:fill="FFFFFF" w:themeFill="background1"/>
      </w:pPr>
      <w:r w:rsidRPr="008A0DBE">
        <w:t>Further amendments are made to correct</w:t>
      </w:r>
      <w:r w:rsidR="009812F8" w:rsidRPr="008A0DBE">
        <w:t xml:space="preserve"> two numbering errors. </w:t>
      </w:r>
      <w:r w:rsidR="00EE05F4" w:rsidRPr="008A0DBE">
        <w:t xml:space="preserve">Part 23 </w:t>
      </w:r>
      <w:r w:rsidR="00EE05F4" w:rsidRPr="008A0DBE">
        <w:rPr>
          <w:rStyle w:val="Referencingstyle"/>
          <w:b w:val="0"/>
          <w:i w:val="0"/>
          <w:sz w:val="22"/>
          <w:szCs w:val="22"/>
        </w:rPr>
        <w:t>inserted</w:t>
      </w:r>
      <w:r w:rsidR="00EE05F4" w:rsidRPr="008A0DBE">
        <w:t xml:space="preserve"> by item 2 of Schedule 2 to the </w:t>
      </w:r>
      <w:r w:rsidR="00EE05F4" w:rsidRPr="008A0DBE">
        <w:rPr>
          <w:i/>
        </w:rPr>
        <w:t xml:space="preserve">Treasury Laws Amendment (2017 Measures No. 1) Act 2017 </w:t>
      </w:r>
      <w:r w:rsidR="004A05A3" w:rsidRPr="008A0DBE">
        <w:t>is</w:t>
      </w:r>
      <w:r w:rsidR="00EE05F4" w:rsidRPr="008A0DBE">
        <w:t xml:space="preserve"> renumbered</w:t>
      </w:r>
      <w:r w:rsidR="00706A5F" w:rsidRPr="008A0DBE">
        <w:t xml:space="preserve"> as Part 24 and the only section</w:t>
      </w:r>
      <w:r w:rsidR="00EE05F4" w:rsidRPr="008A0DBE">
        <w:t xml:space="preserve"> </w:t>
      </w:r>
      <w:r w:rsidR="002D362E" w:rsidRPr="008A0DBE">
        <w:t xml:space="preserve">contained in </w:t>
      </w:r>
      <w:r w:rsidR="00706A5F" w:rsidRPr="008A0DBE">
        <w:t>that Part is renumbered as section 308</w:t>
      </w:r>
      <w:r w:rsidR="00EE05F4" w:rsidRPr="008A0DBE">
        <w:t>.</w:t>
      </w:r>
      <w:r w:rsidR="00706A5F" w:rsidRPr="008A0DBE">
        <w:t xml:space="preserve"> Part 26 inserted by item 1 of Schedule 12 to the </w:t>
      </w:r>
      <w:r w:rsidR="00706A5F" w:rsidRPr="008A0DBE">
        <w:rPr>
          <w:i/>
        </w:rPr>
        <w:t>Treasury Laws Amendment (Australian Consumer Law Review) Act 2018</w:t>
      </w:r>
      <w:r w:rsidR="00706A5F" w:rsidRPr="008A0DBE">
        <w:t xml:space="preserve"> is renumbered as Part 26A and the only section contained in that Part is renumbered as section 314A. These amendments ensure that every Part and every section </w:t>
      </w:r>
      <w:r w:rsidR="00C459C3" w:rsidRPr="008A0DBE">
        <w:t xml:space="preserve">in the </w:t>
      </w:r>
      <w:r w:rsidR="00C459C3" w:rsidRPr="008A0DBE">
        <w:rPr>
          <w:i/>
        </w:rPr>
        <w:t xml:space="preserve">Australian Securities and Investments Commission Act 2001 </w:t>
      </w:r>
      <w:r w:rsidR="00706A5F" w:rsidRPr="008A0DBE">
        <w:t xml:space="preserve">have a unique number. </w:t>
      </w:r>
      <w:r w:rsidR="00EE05F4" w:rsidRPr="008A0DBE">
        <w:rPr>
          <w:rStyle w:val="Referencingstyle"/>
        </w:rPr>
        <w:t xml:space="preserve">[Schedule </w:t>
      </w:r>
      <w:r w:rsidR="00706A5F" w:rsidRPr="008A0DBE">
        <w:rPr>
          <w:rStyle w:val="Referencingstyle"/>
        </w:rPr>
        <w:t>#</w:t>
      </w:r>
      <w:r w:rsidR="00EE05F4" w:rsidRPr="008A0DBE">
        <w:rPr>
          <w:rStyle w:val="Referencingstyle"/>
        </w:rPr>
        <w:t xml:space="preserve">, items </w:t>
      </w:r>
      <w:r w:rsidR="009C7977" w:rsidRPr="008A0DBE">
        <w:rPr>
          <w:rStyle w:val="Referencingstyle"/>
        </w:rPr>
        <w:t>3</w:t>
      </w:r>
      <w:r w:rsidR="00CD44E6" w:rsidRPr="008A0DBE">
        <w:rPr>
          <w:rStyle w:val="Referencingstyle"/>
        </w:rPr>
        <w:t xml:space="preserve"> </w:t>
      </w:r>
      <w:r w:rsidR="00706A5F" w:rsidRPr="008A0DBE">
        <w:rPr>
          <w:rStyle w:val="Referencingstyle"/>
        </w:rPr>
        <w:t xml:space="preserve">to </w:t>
      </w:r>
      <w:r w:rsidR="009C7977" w:rsidRPr="008A0DBE">
        <w:rPr>
          <w:rStyle w:val="Referencingstyle"/>
        </w:rPr>
        <w:t>6</w:t>
      </w:r>
      <w:r w:rsidR="00EE05F4" w:rsidRPr="008A0DBE">
        <w:rPr>
          <w:rStyle w:val="Referencingstyle"/>
        </w:rPr>
        <w:t xml:space="preserve">, </w:t>
      </w:r>
      <w:r w:rsidR="00706A5F" w:rsidRPr="008A0DBE">
        <w:rPr>
          <w:rStyle w:val="Referencingstyle"/>
        </w:rPr>
        <w:t xml:space="preserve">Parts </w:t>
      </w:r>
      <w:r w:rsidR="00EE05F4" w:rsidRPr="008A0DBE">
        <w:rPr>
          <w:rStyle w:val="Referencingstyle"/>
        </w:rPr>
        <w:t>23 and</w:t>
      </w:r>
      <w:r w:rsidR="00706A5F" w:rsidRPr="008A0DBE">
        <w:rPr>
          <w:rStyle w:val="Referencingstyle"/>
        </w:rPr>
        <w:t xml:space="preserve"> 26 and</w:t>
      </w:r>
      <w:r w:rsidR="00EE05F4" w:rsidRPr="008A0DBE">
        <w:rPr>
          <w:rStyle w:val="Referencingstyle"/>
        </w:rPr>
        <w:t xml:space="preserve"> section</w:t>
      </w:r>
      <w:r w:rsidR="00706A5F" w:rsidRPr="008A0DBE">
        <w:rPr>
          <w:rStyle w:val="Referencingstyle"/>
        </w:rPr>
        <w:t>s</w:t>
      </w:r>
      <w:r w:rsidR="00EE05F4" w:rsidRPr="008A0DBE">
        <w:rPr>
          <w:rStyle w:val="Referencingstyle"/>
        </w:rPr>
        <w:t xml:space="preserve"> </w:t>
      </w:r>
      <w:r w:rsidR="002D362E" w:rsidRPr="008A0DBE">
        <w:rPr>
          <w:rStyle w:val="Referencingstyle"/>
        </w:rPr>
        <w:t>302</w:t>
      </w:r>
      <w:r w:rsidR="00706A5F" w:rsidRPr="008A0DBE">
        <w:rPr>
          <w:rStyle w:val="Referencingstyle"/>
        </w:rPr>
        <w:t xml:space="preserve"> and 315</w:t>
      </w:r>
      <w:r w:rsidR="002D362E" w:rsidRPr="008A0DBE">
        <w:rPr>
          <w:rStyle w:val="Referencingstyle"/>
        </w:rPr>
        <w:t xml:space="preserve"> </w:t>
      </w:r>
      <w:r w:rsidR="00EE05F4" w:rsidRPr="008A0DBE">
        <w:rPr>
          <w:rStyle w:val="Referencingstyle"/>
        </w:rPr>
        <w:t xml:space="preserve">of the </w:t>
      </w:r>
      <w:r w:rsidR="00706A5F" w:rsidRPr="008A0DBE">
        <w:rPr>
          <w:rStyle w:val="Referencingstyle"/>
        </w:rPr>
        <w:t>Australian Securities and Investments Commission Act 2001</w:t>
      </w:r>
      <w:r w:rsidR="00EE05F4" w:rsidRPr="008A0DBE">
        <w:rPr>
          <w:rStyle w:val="Referencingstyle"/>
        </w:rPr>
        <w:t>]</w:t>
      </w:r>
    </w:p>
    <w:p w14:paraId="6938A7D7" w14:textId="058C5197" w:rsidR="002D6BBB" w:rsidRPr="008A0DBE" w:rsidRDefault="004E4D72" w:rsidP="008A0DBE">
      <w:pPr>
        <w:pStyle w:val="Heading4"/>
        <w:shd w:val="clear" w:color="auto" w:fill="FFFFFF" w:themeFill="background1"/>
      </w:pPr>
      <w:r w:rsidRPr="008A0DBE">
        <w:t>Amendments to the Competition and Consumer Act 2010</w:t>
      </w:r>
    </w:p>
    <w:p w14:paraId="2F617CF2" w14:textId="4F89B76B" w:rsidR="007B2BCF" w:rsidRPr="008A0DBE" w:rsidRDefault="007B2BCF" w:rsidP="008A0DBE">
      <w:pPr>
        <w:pStyle w:val="base-text-paragraph"/>
        <w:numPr>
          <w:ilvl w:val="1"/>
          <w:numId w:val="51"/>
        </w:numPr>
        <w:shd w:val="clear" w:color="auto" w:fill="FFFFFF" w:themeFill="background1"/>
        <w:rPr>
          <w:rStyle w:val="Referencingstyle"/>
          <w:b w:val="0"/>
          <w:i w:val="0"/>
          <w:sz w:val="22"/>
        </w:rPr>
      </w:pPr>
      <w:r w:rsidRPr="008A0DBE">
        <w:t xml:space="preserve">Part 1 of Schedule # amends the </w:t>
      </w:r>
      <w:r w:rsidRPr="008A0DBE">
        <w:rPr>
          <w:i/>
        </w:rPr>
        <w:t xml:space="preserve">Competition and Consumer Act 2010 </w:t>
      </w:r>
      <w:r w:rsidRPr="008A0DBE">
        <w:t xml:space="preserve">to </w:t>
      </w:r>
      <w:r w:rsidR="00AF20FF" w:rsidRPr="008A0DBE">
        <w:t>clarify that</w:t>
      </w:r>
      <w:r w:rsidRPr="008A0DBE">
        <w:t xml:space="preserve"> </w:t>
      </w:r>
      <w:r w:rsidR="00AF20FF" w:rsidRPr="008A0DBE">
        <w:t xml:space="preserve">classes of matters may be referred to a Division of the Australian Competition and Consumer Commission (ACCC). This reflects the ACCC’s existing practice of using specialist Divisions to consider similar matters. It streamlines the process for referring matters to </w:t>
      </w:r>
      <w:r w:rsidR="006078DC" w:rsidRPr="008A0DBE">
        <w:t>a</w:t>
      </w:r>
      <w:r w:rsidR="00AF20FF" w:rsidRPr="008A0DBE">
        <w:t xml:space="preserve"> specialist D</w:t>
      </w:r>
      <w:r w:rsidR="006078DC" w:rsidRPr="008A0DBE">
        <w:t>ivision</w:t>
      </w:r>
      <w:r w:rsidR="00AF20FF" w:rsidRPr="008A0DBE">
        <w:t xml:space="preserve"> by ensuring that a separate referral is not required in respect of every matter</w:t>
      </w:r>
      <w:r w:rsidR="008E3D02" w:rsidRPr="008A0DBE">
        <w:t>. T</w:t>
      </w:r>
      <w:r w:rsidR="0036302B" w:rsidRPr="008A0DBE">
        <w:t xml:space="preserve">he Chairperson </w:t>
      </w:r>
      <w:r w:rsidR="008E3D02" w:rsidRPr="008A0DBE">
        <w:t xml:space="preserve">has </w:t>
      </w:r>
      <w:r w:rsidR="0036302B" w:rsidRPr="008A0DBE">
        <w:t>the power to vary or revoke a direction</w:t>
      </w:r>
      <w:r w:rsidR="00AF20FF" w:rsidRPr="008A0DBE">
        <w:t xml:space="preserve">. </w:t>
      </w:r>
      <w:r w:rsidR="0036302B" w:rsidRPr="008A0DBE">
        <w:t xml:space="preserve">The amendments also gives the ACCC the flexibility to continue to consider any matters falling into a class of matters referred to a Division </w:t>
      </w:r>
      <w:r w:rsidR="00C459C3" w:rsidRPr="008A0DBE">
        <w:t>that is different from the Division to which the maters were referred</w:t>
      </w:r>
      <w:r w:rsidR="00AF20FF" w:rsidRPr="008A0DBE">
        <w:t xml:space="preserve">. </w:t>
      </w:r>
      <w:r w:rsidR="00AF20FF" w:rsidRPr="008A0DBE">
        <w:rPr>
          <w:rStyle w:val="Referencingstyle"/>
        </w:rPr>
        <w:t xml:space="preserve">[Schedule #, items </w:t>
      </w:r>
      <w:r w:rsidR="009C7977" w:rsidRPr="008A0DBE">
        <w:rPr>
          <w:rStyle w:val="Referencingstyle"/>
        </w:rPr>
        <w:t>8</w:t>
      </w:r>
      <w:r w:rsidR="00AF20FF" w:rsidRPr="008A0DBE">
        <w:rPr>
          <w:rStyle w:val="Referencingstyle"/>
        </w:rPr>
        <w:t xml:space="preserve"> </w:t>
      </w:r>
      <w:r w:rsidR="00823E47" w:rsidRPr="008A0DBE">
        <w:rPr>
          <w:rStyle w:val="Referencingstyle"/>
        </w:rPr>
        <w:t>to 10</w:t>
      </w:r>
      <w:r w:rsidR="00AF20FF" w:rsidRPr="008A0DBE">
        <w:rPr>
          <w:rStyle w:val="Referencingstyle"/>
        </w:rPr>
        <w:t xml:space="preserve">, </w:t>
      </w:r>
      <w:r w:rsidR="0036302B" w:rsidRPr="008A0DBE">
        <w:rPr>
          <w:rStyle w:val="Referencingstyle"/>
        </w:rPr>
        <w:t>paragraph 8A(6)(b) and subsections 19(2)</w:t>
      </w:r>
      <w:r w:rsidR="009C7977" w:rsidRPr="008A0DBE">
        <w:rPr>
          <w:rStyle w:val="Referencingstyle"/>
        </w:rPr>
        <w:t>,</w:t>
      </w:r>
      <w:r w:rsidR="0036302B" w:rsidRPr="008A0DBE">
        <w:rPr>
          <w:rStyle w:val="Referencingstyle"/>
        </w:rPr>
        <w:t xml:space="preserve"> </w:t>
      </w:r>
      <w:r w:rsidR="00834FCC" w:rsidRPr="008A0DBE">
        <w:rPr>
          <w:rStyle w:val="Referencingstyle"/>
        </w:rPr>
        <w:t>19(3A</w:t>
      </w:r>
      <w:r w:rsidR="009C7977" w:rsidRPr="008A0DBE">
        <w:rPr>
          <w:rStyle w:val="Referencingstyle"/>
        </w:rPr>
        <w:t>)</w:t>
      </w:r>
      <w:r w:rsidR="00AF20FF" w:rsidRPr="008A0DBE">
        <w:rPr>
          <w:rStyle w:val="Referencingstyle"/>
        </w:rPr>
        <w:t xml:space="preserve"> </w:t>
      </w:r>
      <w:r w:rsidR="00C459C3" w:rsidRPr="008A0DBE">
        <w:rPr>
          <w:rStyle w:val="Referencingstyle"/>
        </w:rPr>
        <w:t xml:space="preserve">of the </w:t>
      </w:r>
      <w:r w:rsidR="00BC633F" w:rsidRPr="008A0DBE">
        <w:rPr>
          <w:rStyle w:val="Referencingstyle"/>
        </w:rPr>
        <w:t>Competition and Consumer</w:t>
      </w:r>
      <w:r w:rsidR="00C459C3" w:rsidRPr="008A0DBE">
        <w:rPr>
          <w:rStyle w:val="Referencingstyle"/>
        </w:rPr>
        <w:t xml:space="preserve"> Act </w:t>
      </w:r>
      <w:r w:rsidR="00BC633F" w:rsidRPr="008A0DBE">
        <w:rPr>
          <w:rStyle w:val="Referencingstyle"/>
        </w:rPr>
        <w:t>2010</w:t>
      </w:r>
      <w:r w:rsidR="00AF20FF" w:rsidRPr="008A0DBE">
        <w:rPr>
          <w:rStyle w:val="Referencingstyle"/>
        </w:rPr>
        <w:t>]</w:t>
      </w:r>
    </w:p>
    <w:p w14:paraId="42B5FA2E" w14:textId="506BDC3D" w:rsidR="009C7977" w:rsidRPr="008A0DBE" w:rsidRDefault="009C7977" w:rsidP="008A0DBE">
      <w:pPr>
        <w:pStyle w:val="base-text-paragraph"/>
        <w:numPr>
          <w:ilvl w:val="1"/>
          <w:numId w:val="51"/>
        </w:numPr>
        <w:shd w:val="clear" w:color="auto" w:fill="FFFFFF" w:themeFill="background1"/>
      </w:pPr>
      <w:r w:rsidRPr="008A0DBE">
        <w:t xml:space="preserve">For the avoidance of doubt, the new law states that a directions made by the ACCC to refer matters to a Division is not a legislative instrument. </w:t>
      </w:r>
      <w:r w:rsidR="001822D3" w:rsidRPr="008A0DBE">
        <w:t>This subsection is merely included to assist readers. It is not an actual exemption from that provision.</w:t>
      </w:r>
      <w:r w:rsidRPr="008A0DBE">
        <w:t xml:space="preserve"> </w:t>
      </w:r>
      <w:r w:rsidRPr="008A0DBE">
        <w:rPr>
          <w:rStyle w:val="Referencingstyle"/>
        </w:rPr>
        <w:t>[Schedule #, item</w:t>
      </w:r>
      <w:r w:rsidR="00834FCC" w:rsidRPr="008A0DBE">
        <w:rPr>
          <w:rStyle w:val="Referencingstyle"/>
        </w:rPr>
        <w:t xml:space="preserve"> </w:t>
      </w:r>
      <w:r w:rsidR="00823E47" w:rsidRPr="008A0DBE">
        <w:rPr>
          <w:rStyle w:val="Referencingstyle"/>
        </w:rPr>
        <w:t>11</w:t>
      </w:r>
      <w:r w:rsidRPr="008A0DBE">
        <w:rPr>
          <w:rStyle w:val="Referencingstyle"/>
        </w:rPr>
        <w:t>, subsection 19(</w:t>
      </w:r>
      <w:r w:rsidR="00834FCC" w:rsidRPr="008A0DBE">
        <w:rPr>
          <w:rStyle w:val="Referencingstyle"/>
        </w:rPr>
        <w:t>8</w:t>
      </w:r>
      <w:r w:rsidRPr="008A0DBE">
        <w:rPr>
          <w:rStyle w:val="Referencingstyle"/>
        </w:rPr>
        <w:t xml:space="preserve">) </w:t>
      </w:r>
      <w:r w:rsidR="00C459C3" w:rsidRPr="008A0DBE">
        <w:rPr>
          <w:rStyle w:val="Referencingstyle"/>
        </w:rPr>
        <w:t xml:space="preserve">of the </w:t>
      </w:r>
      <w:r w:rsidR="00BC633F" w:rsidRPr="008A0DBE">
        <w:rPr>
          <w:rStyle w:val="Referencingstyle"/>
        </w:rPr>
        <w:t xml:space="preserve">Competition and Consumer Act 2010 </w:t>
      </w:r>
      <w:r w:rsidRPr="008A0DBE">
        <w:rPr>
          <w:rStyle w:val="Referencingstyle"/>
        </w:rPr>
        <w:t>]</w:t>
      </w:r>
    </w:p>
    <w:p w14:paraId="3540314D" w14:textId="568F33AF" w:rsidR="002D6BBB" w:rsidRPr="008A0DBE" w:rsidRDefault="009C7977" w:rsidP="008A0DBE">
      <w:pPr>
        <w:pStyle w:val="base-text-paragraph"/>
        <w:numPr>
          <w:ilvl w:val="1"/>
          <w:numId w:val="51"/>
        </w:numPr>
        <w:shd w:val="clear" w:color="auto" w:fill="FFFFFF" w:themeFill="background1"/>
        <w:tabs>
          <w:tab w:val="clear" w:pos="1985"/>
        </w:tabs>
      </w:pPr>
      <w:r w:rsidRPr="008A0DBE">
        <w:t xml:space="preserve">          </w:t>
      </w:r>
      <w:r w:rsidR="008E3D02" w:rsidRPr="008A0DBE">
        <w:t>Further a</w:t>
      </w:r>
      <w:r w:rsidR="002D6BBB" w:rsidRPr="008A0DBE">
        <w:t xml:space="preserve">mendments are made to streamline the process for </w:t>
      </w:r>
      <w:r w:rsidR="00A85067" w:rsidRPr="008A0DBE">
        <w:t xml:space="preserve">varying a notice to produce information issued under sections 51ADD or 95ZK of the </w:t>
      </w:r>
      <w:r w:rsidR="00A85067" w:rsidRPr="008A0DBE">
        <w:rPr>
          <w:i/>
        </w:rPr>
        <w:t>Competition and Consumer Act 2010</w:t>
      </w:r>
      <w:r w:rsidR="00A85067" w:rsidRPr="008A0DBE">
        <w:t xml:space="preserve">. </w:t>
      </w:r>
      <w:r w:rsidR="00C11D65" w:rsidRPr="008A0DBE">
        <w:t>T</w:t>
      </w:r>
      <w:r w:rsidR="002D6BBB" w:rsidRPr="008A0DBE">
        <w:t xml:space="preserve">he </w:t>
      </w:r>
      <w:r w:rsidR="00C11D65" w:rsidRPr="008A0DBE">
        <w:t xml:space="preserve">existing </w:t>
      </w:r>
      <w:r w:rsidR="002D6BBB" w:rsidRPr="008A0DBE">
        <w:t xml:space="preserve">process for </w:t>
      </w:r>
      <w:r w:rsidR="00A85067" w:rsidRPr="008A0DBE">
        <w:t>varying a notice</w:t>
      </w:r>
      <w:r w:rsidR="002D6BBB" w:rsidRPr="008A0DBE">
        <w:t xml:space="preserve"> </w:t>
      </w:r>
      <w:r w:rsidR="00C11D65" w:rsidRPr="008A0DBE">
        <w:t xml:space="preserve">issued under sections 51ADD or 95ZK </w:t>
      </w:r>
      <w:r w:rsidR="002D6BBB" w:rsidRPr="008A0DBE">
        <w:t xml:space="preserve">is administratively burdensome as the </w:t>
      </w:r>
      <w:r w:rsidR="002D6BBB" w:rsidRPr="008A0DBE">
        <w:rPr>
          <w:rStyle w:val="Referencingstyle"/>
          <w:b w:val="0"/>
          <w:i w:val="0"/>
          <w:sz w:val="22"/>
        </w:rPr>
        <w:t>variation</w:t>
      </w:r>
      <w:r w:rsidR="002D6BBB" w:rsidRPr="008A0DBE">
        <w:t xml:space="preserve"> must be made by the ACCC (for section 51ADD notices) or the Chairperson (for section 95ZK notices), rather than a member of the ACCC. </w:t>
      </w:r>
      <w:r w:rsidR="00A85067" w:rsidRPr="008A0DBE">
        <w:t xml:space="preserve">This disadvantages recipients of the notices as </w:t>
      </w:r>
      <w:r w:rsidR="00C11D65" w:rsidRPr="008A0DBE">
        <w:t>most of the</w:t>
      </w:r>
      <w:r w:rsidR="00A85067" w:rsidRPr="008A0DBE">
        <w:t xml:space="preserve"> variations are to extend the time period for producing</w:t>
      </w:r>
      <w:r w:rsidR="00C11D65" w:rsidRPr="008A0DBE">
        <w:t xml:space="preserve"> </w:t>
      </w:r>
      <w:r w:rsidR="00A85067" w:rsidRPr="008A0DBE">
        <w:t xml:space="preserve">information. </w:t>
      </w:r>
      <w:r w:rsidR="002D6BBB" w:rsidRPr="008A0DBE">
        <w:t xml:space="preserve">The amendments streamline the process </w:t>
      </w:r>
      <w:r w:rsidR="00860D50" w:rsidRPr="008A0DBE">
        <w:t>for</w:t>
      </w:r>
      <w:r w:rsidR="00C11D65" w:rsidRPr="008A0DBE">
        <w:t xml:space="preserve"> varying a notice </w:t>
      </w:r>
      <w:r w:rsidR="002D6BBB" w:rsidRPr="008A0DBE">
        <w:t xml:space="preserve">by providing that a single member of the ACCC may </w:t>
      </w:r>
      <w:r w:rsidR="00C11D65" w:rsidRPr="008A0DBE">
        <w:t xml:space="preserve">make the variation. </w:t>
      </w:r>
      <w:r w:rsidR="00D70D4A" w:rsidRPr="008A0DBE">
        <w:rPr>
          <w:rStyle w:val="Referencingstyle"/>
        </w:rPr>
        <w:t>[Schedule #, item</w:t>
      </w:r>
      <w:r w:rsidR="008E3D02" w:rsidRPr="008A0DBE">
        <w:rPr>
          <w:rStyle w:val="Referencingstyle"/>
        </w:rPr>
        <w:t>s</w:t>
      </w:r>
      <w:r w:rsidR="00D70D4A" w:rsidRPr="008A0DBE">
        <w:rPr>
          <w:rStyle w:val="Referencingstyle"/>
        </w:rPr>
        <w:t xml:space="preserve"> </w:t>
      </w:r>
      <w:r w:rsidR="001822D3" w:rsidRPr="008A0DBE">
        <w:rPr>
          <w:rStyle w:val="Referencingstyle"/>
        </w:rPr>
        <w:t>12, 13</w:t>
      </w:r>
      <w:r w:rsidR="00D70D4A" w:rsidRPr="008A0DBE">
        <w:rPr>
          <w:rStyle w:val="Referencingstyle"/>
        </w:rPr>
        <w:t xml:space="preserve"> and 1</w:t>
      </w:r>
      <w:r w:rsidR="001822D3" w:rsidRPr="008A0DBE">
        <w:rPr>
          <w:rStyle w:val="Referencingstyle"/>
        </w:rPr>
        <w:t>5</w:t>
      </w:r>
      <w:r w:rsidR="004A09E3" w:rsidRPr="008A0DBE">
        <w:rPr>
          <w:rStyle w:val="Referencingstyle"/>
        </w:rPr>
        <w:t>, subsections 51ADE(2)</w:t>
      </w:r>
      <w:r w:rsidR="004E5630" w:rsidRPr="008A0DBE">
        <w:rPr>
          <w:rStyle w:val="Referencingstyle"/>
        </w:rPr>
        <w:t xml:space="preserve"> to (5)</w:t>
      </w:r>
      <w:r w:rsidR="004A09E3" w:rsidRPr="008A0DBE">
        <w:rPr>
          <w:rStyle w:val="Referencingstyle"/>
        </w:rPr>
        <w:t>, 95ZK(3A)</w:t>
      </w:r>
      <w:r w:rsidR="00C459C3" w:rsidRPr="008A0DBE">
        <w:rPr>
          <w:rStyle w:val="Referencingstyle"/>
        </w:rPr>
        <w:t xml:space="preserve"> and</w:t>
      </w:r>
      <w:r w:rsidR="005042B0" w:rsidRPr="008A0DBE">
        <w:rPr>
          <w:rStyle w:val="Referencingstyle"/>
        </w:rPr>
        <w:t xml:space="preserve"> </w:t>
      </w:r>
      <w:r w:rsidR="004A09E3" w:rsidRPr="008A0DBE">
        <w:rPr>
          <w:rStyle w:val="Referencingstyle"/>
        </w:rPr>
        <w:t>(3B)</w:t>
      </w:r>
      <w:r w:rsidR="007B2BCF" w:rsidRPr="008A0DBE">
        <w:rPr>
          <w:rStyle w:val="Referencingstyle"/>
        </w:rPr>
        <w:t xml:space="preserve"> </w:t>
      </w:r>
      <w:r w:rsidR="00C459C3" w:rsidRPr="008A0DBE">
        <w:rPr>
          <w:rStyle w:val="Referencingstyle"/>
        </w:rPr>
        <w:t xml:space="preserve">of the </w:t>
      </w:r>
      <w:r w:rsidR="005042B0" w:rsidRPr="008A0DBE">
        <w:rPr>
          <w:rStyle w:val="Referencingstyle"/>
        </w:rPr>
        <w:t>Competition and Consumer Act 2010</w:t>
      </w:r>
      <w:r w:rsidR="004A09E3" w:rsidRPr="008A0DBE">
        <w:rPr>
          <w:rStyle w:val="Referencingstyle"/>
        </w:rPr>
        <w:t>]</w:t>
      </w:r>
      <w:r w:rsidR="002D6BBB" w:rsidRPr="008A0DBE">
        <w:t xml:space="preserve"> </w:t>
      </w:r>
    </w:p>
    <w:p w14:paraId="7AB03202" w14:textId="7A307CAC" w:rsidR="002D6BBB" w:rsidRPr="008A0DBE" w:rsidRDefault="00200E40" w:rsidP="008A0DBE">
      <w:pPr>
        <w:pStyle w:val="base-text-paragraph"/>
        <w:numPr>
          <w:ilvl w:val="1"/>
          <w:numId w:val="51"/>
        </w:numPr>
        <w:shd w:val="clear" w:color="auto" w:fill="FFFFFF" w:themeFill="background1"/>
      </w:pPr>
      <w:r w:rsidRPr="008A0DBE">
        <w:t xml:space="preserve">The process for </w:t>
      </w:r>
      <w:r w:rsidR="006078DC" w:rsidRPr="008A0DBE">
        <w:t>extending the time</w:t>
      </w:r>
      <w:r w:rsidRPr="008A0DBE">
        <w:t xml:space="preserve"> period in a section 51ADD or 95ZK notice to produce is further streamlined by including a delegation power. A member of the </w:t>
      </w:r>
      <w:r w:rsidR="006078DC" w:rsidRPr="008A0DBE">
        <w:t>ACCC</w:t>
      </w:r>
      <w:r w:rsidRPr="008A0DBE">
        <w:t xml:space="preserve"> may</w:t>
      </w:r>
      <w:r w:rsidR="00D70D4A" w:rsidRPr="008A0DBE">
        <w:t xml:space="preserve"> delegate </w:t>
      </w:r>
      <w:r w:rsidR="002D6BBB" w:rsidRPr="008A0DBE">
        <w:t xml:space="preserve">the power to </w:t>
      </w:r>
      <w:r w:rsidR="007B2BCF" w:rsidRPr="008A0DBE">
        <w:t>extend the time period specified in</w:t>
      </w:r>
      <w:r w:rsidR="002D6BBB" w:rsidRPr="008A0DBE">
        <w:t xml:space="preserve"> </w:t>
      </w:r>
      <w:r w:rsidR="00D70D4A" w:rsidRPr="008A0DBE">
        <w:t>a notice</w:t>
      </w:r>
      <w:r w:rsidR="002D6BBB" w:rsidRPr="008A0DBE">
        <w:t xml:space="preserve"> to an SES employee or an acting SES employee of the ACCC. Th</w:t>
      </w:r>
      <w:r w:rsidR="00D70D4A" w:rsidRPr="008A0DBE">
        <w:t>is delegation</w:t>
      </w:r>
      <w:r w:rsidR="002D6BBB" w:rsidRPr="008A0DBE">
        <w:t xml:space="preserve"> power is appropriate as it is sufficiently narrow, </w:t>
      </w:r>
      <w:r w:rsidR="00C459C3" w:rsidRPr="008A0DBE">
        <w:t>and will only apply</w:t>
      </w:r>
      <w:r w:rsidR="002D6BBB" w:rsidRPr="008A0DBE">
        <w:t xml:space="preserve"> to variations of time. Further, SES emp</w:t>
      </w:r>
      <w:r w:rsidR="007B2BCF" w:rsidRPr="008A0DBE">
        <w:t xml:space="preserve">loyees and acting SES employees </w:t>
      </w:r>
      <w:r w:rsidR="00C459C3" w:rsidRPr="008A0DBE">
        <w:t xml:space="preserve">will </w:t>
      </w:r>
      <w:r w:rsidR="007B2BCF" w:rsidRPr="008A0DBE">
        <w:t>have the requisite</w:t>
      </w:r>
      <w:r w:rsidR="002D6BBB" w:rsidRPr="008A0DBE">
        <w:t xml:space="preserve"> knowledge to assess the suitability of granting the variation. Under the new provision</w:t>
      </w:r>
      <w:r w:rsidR="008E3D02" w:rsidRPr="008A0DBE">
        <w:t>s</w:t>
      </w:r>
      <w:r w:rsidR="002D6BBB" w:rsidRPr="008A0DBE">
        <w:t>, delegates must a</w:t>
      </w:r>
      <w:r w:rsidR="007B2BCF" w:rsidRPr="008A0DBE">
        <w:t>lso comply with any direction given by the</w:t>
      </w:r>
      <w:r w:rsidR="002D6BBB" w:rsidRPr="008A0DBE">
        <w:t xml:space="preserve"> member</w:t>
      </w:r>
      <w:r w:rsidR="007B2BCF" w:rsidRPr="008A0DBE">
        <w:t xml:space="preserve"> of the </w:t>
      </w:r>
      <w:r w:rsidR="006078DC" w:rsidRPr="008A0DBE">
        <w:t>ACCC</w:t>
      </w:r>
      <w:r w:rsidR="002D6BBB" w:rsidRPr="008A0DBE">
        <w:t>.</w:t>
      </w:r>
      <w:r w:rsidR="004A09E3" w:rsidRPr="008A0DBE">
        <w:rPr>
          <w:rStyle w:val="Referencingstyle"/>
        </w:rPr>
        <w:t xml:space="preserve"> [Schedule #, item</w:t>
      </w:r>
      <w:r w:rsidR="007B2BCF" w:rsidRPr="008A0DBE">
        <w:rPr>
          <w:rStyle w:val="Referencingstyle"/>
        </w:rPr>
        <w:t>s 1</w:t>
      </w:r>
      <w:r w:rsidR="001822D3" w:rsidRPr="008A0DBE">
        <w:rPr>
          <w:rStyle w:val="Referencingstyle"/>
        </w:rPr>
        <w:t>3</w:t>
      </w:r>
      <w:r w:rsidR="007B2BCF" w:rsidRPr="008A0DBE">
        <w:rPr>
          <w:rStyle w:val="Referencingstyle"/>
        </w:rPr>
        <w:t xml:space="preserve"> and 1</w:t>
      </w:r>
      <w:r w:rsidR="001822D3" w:rsidRPr="008A0DBE">
        <w:rPr>
          <w:rStyle w:val="Referencingstyle"/>
        </w:rPr>
        <w:t>6</w:t>
      </w:r>
      <w:r w:rsidR="004A09E3" w:rsidRPr="008A0DBE">
        <w:rPr>
          <w:rStyle w:val="Referencingstyle"/>
        </w:rPr>
        <w:t>, subsections 51ADE(</w:t>
      </w:r>
      <w:r w:rsidR="004E5630" w:rsidRPr="008A0DBE">
        <w:rPr>
          <w:rStyle w:val="Referencingstyle"/>
        </w:rPr>
        <w:t>3</w:t>
      </w:r>
      <w:r w:rsidR="004A09E3" w:rsidRPr="008A0DBE">
        <w:rPr>
          <w:rStyle w:val="Referencingstyle"/>
        </w:rPr>
        <w:t>)</w:t>
      </w:r>
      <w:r w:rsidR="00C459C3" w:rsidRPr="008A0DBE">
        <w:rPr>
          <w:rStyle w:val="Referencingstyle"/>
        </w:rPr>
        <w:t xml:space="preserve"> </w:t>
      </w:r>
      <w:r w:rsidR="004E5630" w:rsidRPr="008A0DBE">
        <w:rPr>
          <w:rStyle w:val="Referencingstyle"/>
        </w:rPr>
        <w:t xml:space="preserve">to </w:t>
      </w:r>
      <w:r w:rsidR="004A09E3" w:rsidRPr="008A0DBE">
        <w:rPr>
          <w:rStyle w:val="Referencingstyle"/>
        </w:rPr>
        <w:t>(</w:t>
      </w:r>
      <w:r w:rsidR="007B2BCF" w:rsidRPr="008A0DBE">
        <w:rPr>
          <w:rStyle w:val="Referencingstyle"/>
        </w:rPr>
        <w:t>5</w:t>
      </w:r>
      <w:r w:rsidR="004A09E3" w:rsidRPr="008A0DBE">
        <w:rPr>
          <w:rStyle w:val="Referencingstyle"/>
        </w:rPr>
        <w:t>), 95ZK(</w:t>
      </w:r>
      <w:r w:rsidR="004E5630" w:rsidRPr="008A0DBE">
        <w:rPr>
          <w:rStyle w:val="Referencingstyle"/>
        </w:rPr>
        <w:t>10</w:t>
      </w:r>
      <w:r w:rsidR="004A09E3" w:rsidRPr="008A0DBE">
        <w:rPr>
          <w:rStyle w:val="Referencingstyle"/>
        </w:rPr>
        <w:t>)</w:t>
      </w:r>
      <w:r w:rsidR="00C459C3" w:rsidRPr="008A0DBE">
        <w:rPr>
          <w:rStyle w:val="Referencingstyle"/>
        </w:rPr>
        <w:t xml:space="preserve"> and</w:t>
      </w:r>
      <w:r w:rsidR="008F1E23" w:rsidRPr="008A0DBE">
        <w:rPr>
          <w:rStyle w:val="Referencingstyle"/>
        </w:rPr>
        <w:t xml:space="preserve"> </w:t>
      </w:r>
      <w:r w:rsidR="004A09E3" w:rsidRPr="008A0DBE">
        <w:rPr>
          <w:rStyle w:val="Referencingstyle"/>
        </w:rPr>
        <w:t>(</w:t>
      </w:r>
      <w:r w:rsidR="004E5630" w:rsidRPr="008A0DBE">
        <w:rPr>
          <w:rStyle w:val="Referencingstyle"/>
        </w:rPr>
        <w:t>11</w:t>
      </w:r>
      <w:r w:rsidR="004A09E3" w:rsidRPr="008A0DBE">
        <w:rPr>
          <w:rStyle w:val="Referencingstyle"/>
        </w:rPr>
        <w:t>)</w:t>
      </w:r>
      <w:r w:rsidR="007B2BCF" w:rsidRPr="008A0DBE">
        <w:rPr>
          <w:rStyle w:val="Referencingstyle"/>
        </w:rPr>
        <w:t xml:space="preserve"> </w:t>
      </w:r>
      <w:r w:rsidR="00C459C3" w:rsidRPr="008A0DBE">
        <w:rPr>
          <w:rStyle w:val="Referencingstyle"/>
        </w:rPr>
        <w:t xml:space="preserve">of the </w:t>
      </w:r>
      <w:r w:rsidR="004E5630" w:rsidRPr="008A0DBE">
        <w:rPr>
          <w:rStyle w:val="Referencingstyle"/>
        </w:rPr>
        <w:t>Competition and Consumer Act 2010</w:t>
      </w:r>
      <w:r w:rsidR="004A09E3" w:rsidRPr="008A0DBE">
        <w:rPr>
          <w:rStyle w:val="Referencingstyle"/>
        </w:rPr>
        <w:t>]</w:t>
      </w:r>
    </w:p>
    <w:p w14:paraId="547B6B2A" w14:textId="60460E5B" w:rsidR="002D6BBB" w:rsidRPr="008A0DBE" w:rsidRDefault="007B2BCF" w:rsidP="008A0DBE">
      <w:pPr>
        <w:pStyle w:val="base-text-paragraph"/>
        <w:numPr>
          <w:ilvl w:val="1"/>
          <w:numId w:val="51"/>
        </w:numPr>
        <w:shd w:val="clear" w:color="auto" w:fill="FFFFFF" w:themeFill="background1"/>
      </w:pPr>
      <w:r w:rsidRPr="008A0DBE">
        <w:t>The</w:t>
      </w:r>
      <w:r w:rsidR="002D6BBB" w:rsidRPr="008A0DBE">
        <w:t xml:space="preserve"> amendments </w:t>
      </w:r>
      <w:r w:rsidRPr="008A0DBE">
        <w:t xml:space="preserve">to the process for varying notices to produce </w:t>
      </w:r>
      <w:r w:rsidR="002D6BBB" w:rsidRPr="008A0DBE">
        <w:t>mirror recent amendments to the process for varying section 155 notices in the Treasury Laws Amendment (2019 Measure No. 1) Bill 2019.</w:t>
      </w:r>
    </w:p>
    <w:p w14:paraId="1A4A20D3" w14:textId="77777777" w:rsidR="006078DC" w:rsidRPr="008A0DBE" w:rsidRDefault="00200E40" w:rsidP="008A0DBE">
      <w:pPr>
        <w:pStyle w:val="base-text-paragraph"/>
        <w:numPr>
          <w:ilvl w:val="1"/>
          <w:numId w:val="51"/>
        </w:numPr>
        <w:shd w:val="clear" w:color="auto" w:fill="FFFFFF" w:themeFill="background1"/>
      </w:pPr>
      <w:r w:rsidRPr="008A0DBE">
        <w:t xml:space="preserve">Part 1 of Schedule # also </w:t>
      </w:r>
      <w:r w:rsidR="002D6BBB" w:rsidRPr="008A0DBE">
        <w:t xml:space="preserve">corrects an error in the provisions governing collective bargaining </w:t>
      </w:r>
      <w:r w:rsidR="002D6BBB" w:rsidRPr="008A0DBE">
        <w:rPr>
          <w:rStyle w:val="Referencingstyle"/>
          <w:b w:val="0"/>
          <w:i w:val="0"/>
          <w:sz w:val="22"/>
        </w:rPr>
        <w:t>notices</w:t>
      </w:r>
      <w:r w:rsidR="002D6BBB" w:rsidRPr="008A0DBE">
        <w:t xml:space="preserve">. </w:t>
      </w:r>
      <w:r w:rsidR="004A77C4" w:rsidRPr="008A0DBE">
        <w:t>Section 93AB contains two collective bargaining notification frameworks – one that applies to the cartel provisions (subsection 93AB(1A)</w:t>
      </w:r>
      <w:r w:rsidR="006078DC" w:rsidRPr="008A0DBE">
        <w:t>)</w:t>
      </w:r>
      <w:r w:rsidR="004A77C4" w:rsidRPr="008A0DBE">
        <w:t xml:space="preserve"> and one that applies to the competition provisions in Part IV (subsection 93AB(1)). </w:t>
      </w:r>
      <w:r w:rsidR="00562690" w:rsidRPr="008A0DBE">
        <w:t>The framework for the cartel provisions was inserted after the framework for the competition provisions was established.</w:t>
      </w:r>
      <w:r w:rsidRPr="008A0DBE">
        <w:t xml:space="preserve"> </w:t>
      </w:r>
    </w:p>
    <w:p w14:paraId="766A2231" w14:textId="046831A0" w:rsidR="002D6BBB" w:rsidRPr="008A0DBE" w:rsidRDefault="004A77C4" w:rsidP="008A0DBE">
      <w:pPr>
        <w:pStyle w:val="base-text-paragraph"/>
        <w:numPr>
          <w:ilvl w:val="1"/>
          <w:numId w:val="51"/>
        </w:numPr>
        <w:shd w:val="clear" w:color="auto" w:fill="FFFFFF" w:themeFill="background1"/>
      </w:pPr>
      <w:r w:rsidRPr="008A0DBE">
        <w:t xml:space="preserve">The </w:t>
      </w:r>
      <w:r w:rsidR="00562690" w:rsidRPr="008A0DBE">
        <w:t xml:space="preserve">requirements for collective bargaining notices in </w:t>
      </w:r>
      <w:r w:rsidRPr="008A0DBE">
        <w:t xml:space="preserve">the remainder of section 93AB </w:t>
      </w:r>
      <w:r w:rsidR="00562690" w:rsidRPr="008A0DBE">
        <w:t xml:space="preserve">were intended to apply to both notification frameworks. However, the </w:t>
      </w:r>
      <w:r w:rsidR="00562690" w:rsidRPr="008A0DBE">
        <w:rPr>
          <w:rStyle w:val="Referencingstyle"/>
          <w:b w:val="0"/>
          <w:i w:val="0"/>
          <w:sz w:val="22"/>
        </w:rPr>
        <w:t>section</w:t>
      </w:r>
      <w:r w:rsidR="00562690" w:rsidRPr="008A0DBE">
        <w:t xml:space="preserve"> reference in subsection (9) was not amended after the introduction of the cartel provision notification framework.</w:t>
      </w:r>
      <w:r w:rsidR="00200E40" w:rsidRPr="008A0DBE">
        <w:t xml:space="preserve"> Part 1 </w:t>
      </w:r>
      <w:r w:rsidR="00562690" w:rsidRPr="008A0DBE">
        <w:rPr>
          <w:rStyle w:val="Referencingstyle"/>
          <w:b w:val="0"/>
          <w:i w:val="0"/>
          <w:sz w:val="22"/>
        </w:rPr>
        <w:t>correct</w:t>
      </w:r>
      <w:r w:rsidR="00200E40" w:rsidRPr="008A0DBE">
        <w:t xml:space="preserve"> this </w:t>
      </w:r>
      <w:r w:rsidR="00562690" w:rsidRPr="008A0DBE">
        <w:t xml:space="preserve">section reference. </w:t>
      </w:r>
      <w:r w:rsidR="00200E40" w:rsidRPr="008A0DBE">
        <w:rPr>
          <w:rStyle w:val="Referencingstyle"/>
        </w:rPr>
        <w:t>[Schedule #, item 1</w:t>
      </w:r>
      <w:r w:rsidR="001822D3" w:rsidRPr="008A0DBE">
        <w:rPr>
          <w:rStyle w:val="Referencingstyle"/>
        </w:rPr>
        <w:t>4</w:t>
      </w:r>
      <w:r w:rsidR="00200E40" w:rsidRPr="008A0DBE">
        <w:rPr>
          <w:rStyle w:val="Referencingstyle"/>
        </w:rPr>
        <w:t xml:space="preserve">, subsection 93AB(9) </w:t>
      </w:r>
      <w:r w:rsidR="00C459C3" w:rsidRPr="008A0DBE">
        <w:rPr>
          <w:rStyle w:val="Referencingstyle"/>
        </w:rPr>
        <w:t xml:space="preserve">of the Australian Securities and </w:t>
      </w:r>
      <w:r w:rsidR="00E65CE1" w:rsidRPr="008A0DBE">
        <w:rPr>
          <w:rStyle w:val="Referencingstyle"/>
        </w:rPr>
        <w:t>Investments Commission Act 2001</w:t>
      </w:r>
      <w:r w:rsidR="00200E40" w:rsidRPr="008A0DBE">
        <w:rPr>
          <w:rStyle w:val="Referencingstyle"/>
        </w:rPr>
        <w:t>]</w:t>
      </w:r>
    </w:p>
    <w:p w14:paraId="43948F9A" w14:textId="664B880E" w:rsidR="004B33DF" w:rsidRPr="008A0DBE" w:rsidRDefault="004B4B20" w:rsidP="008A0DBE">
      <w:pPr>
        <w:pStyle w:val="Heading4"/>
        <w:shd w:val="clear" w:color="auto" w:fill="FFFFFF" w:themeFill="background1"/>
      </w:pPr>
      <w:r w:rsidRPr="008A0DBE">
        <w:t>Amendments to the Corporations Act</w:t>
      </w:r>
      <w:r w:rsidR="00E10EE8" w:rsidRPr="008A0DBE">
        <w:t xml:space="preserve"> 2001</w:t>
      </w:r>
    </w:p>
    <w:p w14:paraId="56331A88" w14:textId="61E6E5E9" w:rsidR="007D31FF" w:rsidRPr="008A0DBE" w:rsidRDefault="007D31FF" w:rsidP="008A0DBE">
      <w:pPr>
        <w:pStyle w:val="base-text-paragraph"/>
        <w:shd w:val="clear" w:color="auto" w:fill="FFFFFF" w:themeFill="background1"/>
        <w:tabs>
          <w:tab w:val="clear" w:pos="1985"/>
        </w:tabs>
        <w:rPr>
          <w:i/>
        </w:rPr>
      </w:pPr>
      <w:r w:rsidRPr="008A0DBE">
        <w:rPr>
          <w:i/>
        </w:rPr>
        <w:t>Amendments to the external administration provisions</w:t>
      </w:r>
    </w:p>
    <w:p w14:paraId="3D486812" w14:textId="77777777" w:rsidR="002657E5" w:rsidRPr="008A0DBE" w:rsidRDefault="00FD09C8" w:rsidP="008A0DBE">
      <w:pPr>
        <w:pStyle w:val="base-text-paragraph"/>
        <w:numPr>
          <w:ilvl w:val="1"/>
          <w:numId w:val="51"/>
        </w:numPr>
        <w:shd w:val="clear" w:color="auto" w:fill="FFFFFF" w:themeFill="background1"/>
      </w:pPr>
      <w:r w:rsidRPr="008A0DBE">
        <w:t xml:space="preserve">The Schedule </w:t>
      </w:r>
      <w:r w:rsidR="00137BF3" w:rsidRPr="008A0DBE">
        <w:t>makes several amendments to the external administration provisions.</w:t>
      </w:r>
      <w:r w:rsidRPr="008A0DBE">
        <w:t xml:space="preserve"> </w:t>
      </w:r>
    </w:p>
    <w:p w14:paraId="7B8BB760" w14:textId="6894C8DC" w:rsidR="00E10EE8" w:rsidRPr="008A0DBE" w:rsidRDefault="00137BF3" w:rsidP="008A0DBE">
      <w:pPr>
        <w:pStyle w:val="base-text-paragraph"/>
        <w:numPr>
          <w:ilvl w:val="1"/>
          <w:numId w:val="51"/>
        </w:numPr>
        <w:shd w:val="clear" w:color="auto" w:fill="FFFFFF" w:themeFill="background1"/>
      </w:pPr>
      <w:r w:rsidRPr="008A0DBE">
        <w:t>First, it clarifies how</w:t>
      </w:r>
      <w:r w:rsidR="00FD09C8" w:rsidRPr="008A0DBE">
        <w:t xml:space="preserve"> the rules relating to the transfer of books </w:t>
      </w:r>
      <w:r w:rsidRPr="008A0DBE">
        <w:t>operate</w:t>
      </w:r>
      <w:r w:rsidR="00E10EE8" w:rsidRPr="008A0DBE">
        <w:t xml:space="preserve"> where an external administrator </w:t>
      </w:r>
      <w:r w:rsidR="008D75B7" w:rsidRPr="008A0DBE">
        <w:t>is</w:t>
      </w:r>
      <w:r w:rsidR="00E10EE8" w:rsidRPr="008A0DBE">
        <w:t xml:space="preserve"> appointed concurrently with the controller </w:t>
      </w:r>
      <w:r w:rsidRPr="008A0DBE">
        <w:t>and the controller ceases to act</w:t>
      </w:r>
      <w:r w:rsidR="00C459C3" w:rsidRPr="008A0DBE">
        <w:t>:</w:t>
      </w:r>
    </w:p>
    <w:p w14:paraId="312BC4F1" w14:textId="75BB0F16" w:rsidR="00FD09C8" w:rsidRPr="008A0DBE" w:rsidRDefault="00C459C3" w:rsidP="008A0DBE">
      <w:pPr>
        <w:pStyle w:val="dotpoint"/>
        <w:shd w:val="clear" w:color="auto" w:fill="FFFFFF" w:themeFill="background1"/>
      </w:pPr>
      <w:r w:rsidRPr="008A0DBE">
        <w:t>i</w:t>
      </w:r>
      <w:r w:rsidR="00E10EE8" w:rsidRPr="008A0DBE">
        <w:t>f a</w:t>
      </w:r>
      <w:r w:rsidR="00FD09C8" w:rsidRPr="008A0DBE">
        <w:t>t the time the</w:t>
      </w:r>
      <w:r w:rsidR="00E10EE8" w:rsidRPr="008A0DBE">
        <w:t xml:space="preserve"> controller ceases to act, there is a new appointment of a registered liquidator (either as controller or external administrator), the former controller must transfer </w:t>
      </w:r>
      <w:r w:rsidR="00FD09C8" w:rsidRPr="008A0DBE">
        <w:t>the</w:t>
      </w:r>
      <w:r w:rsidR="00E10EE8" w:rsidRPr="008A0DBE">
        <w:t xml:space="preserve"> books to the new appointee within 5 business days after the appointment</w:t>
      </w:r>
      <w:r w:rsidRPr="008A0DBE">
        <w:t>; and</w:t>
      </w:r>
    </w:p>
    <w:p w14:paraId="324309FD" w14:textId="243EA618" w:rsidR="00FD09C8" w:rsidRPr="008A0DBE" w:rsidRDefault="00C459C3" w:rsidP="008A0DBE">
      <w:pPr>
        <w:pStyle w:val="dotpoint"/>
        <w:shd w:val="clear" w:color="auto" w:fill="FFFFFF" w:themeFill="background1"/>
      </w:pPr>
      <w:r w:rsidRPr="008A0DBE">
        <w:t>i</w:t>
      </w:r>
      <w:r w:rsidR="00E10EE8" w:rsidRPr="008A0DBE">
        <w:t xml:space="preserve">f at the time a controller ceases to act, there is no new appointment of a registered liquidator, the ‘former controller’ must transfer </w:t>
      </w:r>
      <w:r w:rsidR="00FD09C8" w:rsidRPr="008A0DBE">
        <w:t>the</w:t>
      </w:r>
      <w:r w:rsidR="00E10EE8" w:rsidRPr="008A0DBE">
        <w:t xml:space="preserve"> books to the existing external administrator within 5 business days after ceasing to act. </w:t>
      </w:r>
    </w:p>
    <w:p w14:paraId="347417BC" w14:textId="3A7C8209" w:rsidR="00E10EE8" w:rsidRPr="008A0DBE" w:rsidRDefault="00E10EE8" w:rsidP="008A0DBE">
      <w:pPr>
        <w:pStyle w:val="dotpoint"/>
        <w:numPr>
          <w:ilvl w:val="0"/>
          <w:numId w:val="0"/>
        </w:numPr>
        <w:shd w:val="clear" w:color="auto" w:fill="FFFFFF" w:themeFill="background1"/>
        <w:ind w:left="1134"/>
        <w:rPr>
          <w:sz w:val="18"/>
          <w:szCs w:val="18"/>
        </w:rPr>
      </w:pPr>
      <w:r w:rsidRPr="008A0DBE">
        <w:rPr>
          <w:b/>
          <w:i/>
          <w:sz w:val="18"/>
          <w:szCs w:val="18"/>
        </w:rPr>
        <w:t xml:space="preserve">[Schedule </w:t>
      </w:r>
      <w:r w:rsidR="00FD09C8" w:rsidRPr="008A0DBE">
        <w:rPr>
          <w:b/>
          <w:i/>
          <w:sz w:val="18"/>
          <w:szCs w:val="18"/>
        </w:rPr>
        <w:t>#</w:t>
      </w:r>
      <w:r w:rsidRPr="008A0DBE">
        <w:rPr>
          <w:b/>
          <w:i/>
          <w:sz w:val="18"/>
          <w:szCs w:val="18"/>
        </w:rPr>
        <w:t>, item</w:t>
      </w:r>
      <w:r w:rsidR="00FD09C8" w:rsidRPr="008A0DBE">
        <w:rPr>
          <w:b/>
          <w:i/>
          <w:sz w:val="18"/>
          <w:szCs w:val="18"/>
        </w:rPr>
        <w:t xml:space="preserve">s </w:t>
      </w:r>
      <w:r w:rsidR="003922F3" w:rsidRPr="008A0DBE">
        <w:rPr>
          <w:b/>
          <w:i/>
          <w:sz w:val="18"/>
          <w:szCs w:val="18"/>
        </w:rPr>
        <w:t>18 and 19</w:t>
      </w:r>
      <w:r w:rsidRPr="008A0DBE">
        <w:rPr>
          <w:b/>
          <w:i/>
          <w:sz w:val="18"/>
          <w:szCs w:val="18"/>
        </w:rPr>
        <w:t>, paragraph 422C(1)(c) and subsections 422C(2) and (2A) of the Corporations Act</w:t>
      </w:r>
      <w:r w:rsidR="00FD09C8" w:rsidRPr="008A0DBE">
        <w:rPr>
          <w:b/>
          <w:i/>
          <w:sz w:val="18"/>
          <w:szCs w:val="18"/>
        </w:rPr>
        <w:t xml:space="preserve"> 2001</w:t>
      </w:r>
      <w:r w:rsidRPr="008A0DBE">
        <w:rPr>
          <w:b/>
          <w:i/>
          <w:sz w:val="18"/>
          <w:szCs w:val="18"/>
        </w:rPr>
        <w:t>]</w:t>
      </w:r>
    </w:p>
    <w:p w14:paraId="5DE3C4C5" w14:textId="79AE96B6" w:rsidR="008D75B7" w:rsidRPr="008A0DBE" w:rsidRDefault="00137BF3" w:rsidP="008A0DBE">
      <w:pPr>
        <w:pStyle w:val="base-text-paragraph"/>
        <w:numPr>
          <w:ilvl w:val="1"/>
          <w:numId w:val="51"/>
        </w:numPr>
        <w:shd w:val="clear" w:color="auto" w:fill="FFFFFF" w:themeFill="background1"/>
      </w:pPr>
      <w:r w:rsidRPr="008A0DBE">
        <w:t>Second, it amends the reporting requirements for administrators of a deed of company arrangement in section 445HA</w:t>
      </w:r>
      <w:r w:rsidR="00F756F4" w:rsidRPr="008A0DBE">
        <w:t xml:space="preserve"> </w:t>
      </w:r>
      <w:r w:rsidRPr="008A0DBE">
        <w:t>of</w:t>
      </w:r>
      <w:r w:rsidR="008D75B7" w:rsidRPr="008A0DBE">
        <w:t xml:space="preserve"> the </w:t>
      </w:r>
      <w:r w:rsidR="008D75B7" w:rsidRPr="008A0DBE">
        <w:rPr>
          <w:i/>
        </w:rPr>
        <w:t>Corporations Act 2001</w:t>
      </w:r>
      <w:r w:rsidR="003A6CF2" w:rsidRPr="008A0DBE">
        <w:t xml:space="preserve"> </w:t>
      </w:r>
      <w:r w:rsidR="008D75B7" w:rsidRPr="008A0DBE">
        <w:t xml:space="preserve">to require </w:t>
      </w:r>
      <w:r w:rsidR="003A6CF2" w:rsidRPr="008A0DBE">
        <w:t>them</w:t>
      </w:r>
      <w:r w:rsidR="008D75B7" w:rsidRPr="008A0DBE">
        <w:t xml:space="preserve"> to lodge with ASIC, in the prescribed form, a copy of the notice of contravention of the deed </w:t>
      </w:r>
      <w:r w:rsidR="00C459C3" w:rsidRPr="008A0DBE">
        <w:t xml:space="preserve">that was </w:t>
      </w:r>
      <w:r w:rsidR="008D75B7" w:rsidRPr="008A0DBE">
        <w:t xml:space="preserve">given to creditors. </w:t>
      </w:r>
      <w:r w:rsidR="003A6CF2" w:rsidRPr="008A0DBE">
        <w:t>This</w:t>
      </w:r>
      <w:r w:rsidR="002657E5" w:rsidRPr="008A0DBE">
        <w:t xml:space="preserve"> information is already prepared as it must be provided to creditor</w:t>
      </w:r>
      <w:r w:rsidR="000D588E" w:rsidRPr="008A0DBE">
        <w:t>s</w:t>
      </w:r>
      <w:r w:rsidR="002657E5" w:rsidRPr="008A0DBE">
        <w:t xml:space="preserve"> under s</w:t>
      </w:r>
      <w:r w:rsidR="00860D50" w:rsidRPr="008A0DBE">
        <w:t>ubs</w:t>
      </w:r>
      <w:r w:rsidR="002657E5" w:rsidRPr="008A0DBE">
        <w:t>ection 445HA(2). The</w:t>
      </w:r>
      <w:r w:rsidR="003A6CF2" w:rsidRPr="008A0DBE">
        <w:t xml:space="preserve"> change enables ASIC to approve a form, thereby promoting consistency. It also provides ASIC with information </w:t>
      </w:r>
      <w:r w:rsidR="007D31FF" w:rsidRPr="008A0DBE">
        <w:t>to</w:t>
      </w:r>
      <w:r w:rsidR="003A6CF2" w:rsidRPr="008A0DBE">
        <w:t xml:space="preserve"> assist </w:t>
      </w:r>
      <w:r w:rsidR="006D724A" w:rsidRPr="008A0DBE">
        <w:t>it</w:t>
      </w:r>
      <w:r w:rsidR="003A6CF2" w:rsidRPr="008A0DBE">
        <w:t xml:space="preserve"> to monitor instances where there is, or is likely to be, a material contravention of a deed of company arrangement.</w:t>
      </w:r>
      <w:r w:rsidR="003A6CF2" w:rsidRPr="008A0DBE">
        <w:rPr>
          <w:rStyle w:val="Referencingstyle"/>
        </w:rPr>
        <w:t xml:space="preserve"> </w:t>
      </w:r>
      <w:r w:rsidR="008D75B7" w:rsidRPr="008A0DBE">
        <w:rPr>
          <w:rStyle w:val="Referencingstyle"/>
        </w:rPr>
        <w:t xml:space="preserve">[Schedule </w:t>
      </w:r>
      <w:r w:rsidR="00225572" w:rsidRPr="008A0DBE">
        <w:rPr>
          <w:rStyle w:val="Referencingstyle"/>
        </w:rPr>
        <w:t>#</w:t>
      </w:r>
      <w:r w:rsidR="008D75B7" w:rsidRPr="008A0DBE">
        <w:rPr>
          <w:rStyle w:val="Referencingstyle"/>
        </w:rPr>
        <w:t>, item</w:t>
      </w:r>
      <w:r w:rsidR="00225572" w:rsidRPr="008A0DBE">
        <w:rPr>
          <w:rStyle w:val="Referencingstyle"/>
        </w:rPr>
        <w:t xml:space="preserve"> </w:t>
      </w:r>
      <w:r w:rsidR="00FC5474" w:rsidRPr="008A0DBE">
        <w:rPr>
          <w:rStyle w:val="Referencingstyle"/>
        </w:rPr>
        <w:t>21</w:t>
      </w:r>
      <w:r w:rsidR="008D75B7" w:rsidRPr="008A0DBE">
        <w:rPr>
          <w:rStyle w:val="Referencingstyle"/>
        </w:rPr>
        <w:t>, subsection 445HA(2) of the Corporations Act</w:t>
      </w:r>
      <w:r w:rsidR="00E65CE1" w:rsidRPr="008A0DBE">
        <w:rPr>
          <w:rStyle w:val="Referencingstyle"/>
        </w:rPr>
        <w:t xml:space="preserve"> 2001</w:t>
      </w:r>
      <w:r w:rsidR="008D75B7" w:rsidRPr="008A0DBE">
        <w:rPr>
          <w:rStyle w:val="Referencingstyle"/>
        </w:rPr>
        <w:t>]</w:t>
      </w:r>
      <w:r w:rsidR="008D75B7" w:rsidRPr="008A0DBE">
        <w:t xml:space="preserve"> </w:t>
      </w:r>
    </w:p>
    <w:p w14:paraId="7F248255" w14:textId="39D8CA8A" w:rsidR="008D75B7" w:rsidRPr="008A0DBE" w:rsidRDefault="002657E5" w:rsidP="008A0DBE">
      <w:pPr>
        <w:pStyle w:val="base-text-paragraph"/>
        <w:numPr>
          <w:ilvl w:val="1"/>
          <w:numId w:val="51"/>
        </w:numPr>
        <w:shd w:val="clear" w:color="auto" w:fill="FFFFFF" w:themeFill="background1"/>
      </w:pPr>
      <w:r w:rsidRPr="008A0DBE">
        <w:t>Third, t</w:t>
      </w:r>
      <w:r w:rsidR="008D75B7" w:rsidRPr="008A0DBE">
        <w:t>he requirement for a notice of contravention given by a director to an administrator to be in a prescribed form is repealed.</w:t>
      </w:r>
      <w:r w:rsidRPr="008A0DBE">
        <w:t xml:space="preserve"> There is no form that is currently prescribed and ASIC has indicated that it has no intention to prescribe a form in the future.</w:t>
      </w:r>
      <w:r w:rsidR="008D75B7" w:rsidRPr="008A0DBE">
        <w:t xml:space="preserve"> </w:t>
      </w:r>
      <w:r w:rsidR="008D75B7" w:rsidRPr="008A0DBE">
        <w:rPr>
          <w:rStyle w:val="Referencingstyle"/>
        </w:rPr>
        <w:t xml:space="preserve">[Schedule </w:t>
      </w:r>
      <w:r w:rsidR="00225572" w:rsidRPr="008A0DBE">
        <w:rPr>
          <w:rStyle w:val="Referencingstyle"/>
        </w:rPr>
        <w:t>#</w:t>
      </w:r>
      <w:r w:rsidR="008D75B7" w:rsidRPr="008A0DBE">
        <w:rPr>
          <w:rStyle w:val="Referencingstyle"/>
        </w:rPr>
        <w:t xml:space="preserve">, item </w:t>
      </w:r>
      <w:r w:rsidR="00FC5474" w:rsidRPr="008A0DBE">
        <w:rPr>
          <w:rStyle w:val="Referencingstyle"/>
        </w:rPr>
        <w:t>20</w:t>
      </w:r>
      <w:r w:rsidR="008D75B7" w:rsidRPr="008A0DBE">
        <w:rPr>
          <w:rStyle w:val="Referencingstyle"/>
        </w:rPr>
        <w:t>, subsection 445HA(1) of the Corporations Act</w:t>
      </w:r>
      <w:r w:rsidR="00225572" w:rsidRPr="008A0DBE">
        <w:rPr>
          <w:rStyle w:val="Referencingstyle"/>
        </w:rPr>
        <w:t xml:space="preserve"> 2001</w:t>
      </w:r>
      <w:r w:rsidR="008D75B7" w:rsidRPr="008A0DBE">
        <w:rPr>
          <w:rStyle w:val="Referencingstyle"/>
        </w:rPr>
        <w:t>]</w:t>
      </w:r>
      <w:r w:rsidR="008D75B7" w:rsidRPr="008A0DBE">
        <w:t xml:space="preserve"> </w:t>
      </w:r>
    </w:p>
    <w:p w14:paraId="5F1342B7" w14:textId="4CDEE4E0" w:rsidR="006377CE" w:rsidRPr="008A0DBE" w:rsidRDefault="002657E5" w:rsidP="008A0DBE">
      <w:pPr>
        <w:pStyle w:val="base-text-paragraph"/>
        <w:numPr>
          <w:ilvl w:val="1"/>
          <w:numId w:val="51"/>
        </w:numPr>
        <w:shd w:val="clear" w:color="auto" w:fill="FFFFFF" w:themeFill="background1"/>
        <w:rPr>
          <w:rStyle w:val="Referencingstyle"/>
          <w:b w:val="0"/>
          <w:i w:val="0"/>
          <w:sz w:val="22"/>
        </w:rPr>
      </w:pPr>
      <w:r w:rsidRPr="008A0DBE">
        <w:t>Fourth</w:t>
      </w:r>
      <w:r w:rsidR="006377CE" w:rsidRPr="008A0DBE">
        <w:t xml:space="preserve">, Part 1 of Schedule # amends section 90-26 of the Insolvency Practice Schedule to give the Court the discretion to extend the review period where it appoints a reviewing liquidator. </w:t>
      </w:r>
      <w:r w:rsidR="00730DF3" w:rsidRPr="008A0DBE">
        <w:t>Formerly</w:t>
      </w:r>
      <w:r w:rsidR="006377CE" w:rsidRPr="008A0DBE">
        <w:t xml:space="preserve">, the Court only </w:t>
      </w:r>
      <w:r w:rsidR="006D724A" w:rsidRPr="008A0DBE">
        <w:t>ha</w:t>
      </w:r>
      <w:r w:rsidR="00730DF3" w:rsidRPr="008A0DBE">
        <w:t>d</w:t>
      </w:r>
      <w:r w:rsidR="006377CE" w:rsidRPr="008A0DBE">
        <w:t xml:space="preserve"> this discretion in circumstances where it </w:t>
      </w:r>
      <w:r w:rsidR="00730DF3" w:rsidRPr="008A0DBE">
        <w:t>appointed</w:t>
      </w:r>
      <w:r w:rsidR="006377CE" w:rsidRPr="008A0DBE">
        <w:t xml:space="preserve"> a replacement reviewing liquidator. </w:t>
      </w:r>
      <w:r w:rsidR="006377CE" w:rsidRPr="008A0DBE">
        <w:rPr>
          <w:rStyle w:val="Referencingstyle"/>
        </w:rPr>
        <w:t>[Schedule #, item</w:t>
      </w:r>
      <w:r w:rsidR="006D724A" w:rsidRPr="008A0DBE">
        <w:rPr>
          <w:rStyle w:val="Referencingstyle"/>
        </w:rPr>
        <w:t xml:space="preserve"> </w:t>
      </w:r>
      <w:r w:rsidR="003922F3" w:rsidRPr="008A0DBE">
        <w:rPr>
          <w:rStyle w:val="Referencingstyle"/>
        </w:rPr>
        <w:t>29</w:t>
      </w:r>
      <w:r w:rsidR="006377CE" w:rsidRPr="008A0DBE">
        <w:rPr>
          <w:rStyle w:val="Referencingstyle"/>
        </w:rPr>
        <w:t xml:space="preserve">, </w:t>
      </w:r>
      <w:r w:rsidR="00FC5474" w:rsidRPr="008A0DBE">
        <w:rPr>
          <w:rStyle w:val="Referencingstyle"/>
        </w:rPr>
        <w:t xml:space="preserve">paragraph </w:t>
      </w:r>
      <w:r w:rsidR="006377CE" w:rsidRPr="008A0DBE">
        <w:rPr>
          <w:rStyle w:val="Referencingstyle"/>
        </w:rPr>
        <w:t>90-26</w:t>
      </w:r>
      <w:r w:rsidR="00FC5474" w:rsidRPr="008A0DBE">
        <w:rPr>
          <w:rStyle w:val="Referencingstyle"/>
        </w:rPr>
        <w:t>(4)(c)</w:t>
      </w:r>
      <w:r w:rsidR="006377CE" w:rsidRPr="008A0DBE">
        <w:rPr>
          <w:rStyle w:val="Referencingstyle"/>
        </w:rPr>
        <w:t xml:space="preserve"> of Schedule 2 to the Corporations Act 2001]</w:t>
      </w:r>
    </w:p>
    <w:p w14:paraId="3DBE8F4F" w14:textId="51E26B3E" w:rsidR="007D31FF" w:rsidRPr="008A0DBE" w:rsidRDefault="007D31FF" w:rsidP="008A0DBE">
      <w:pPr>
        <w:pStyle w:val="base-text-paragraph"/>
        <w:shd w:val="clear" w:color="auto" w:fill="FFFFFF" w:themeFill="background1"/>
        <w:tabs>
          <w:tab w:val="clear" w:pos="1985"/>
        </w:tabs>
        <w:rPr>
          <w:i/>
        </w:rPr>
      </w:pPr>
      <w:r w:rsidRPr="008A0DBE">
        <w:rPr>
          <w:i/>
        </w:rPr>
        <w:t>Other miscellaneous amendments</w:t>
      </w:r>
      <w:r w:rsidR="002657E5" w:rsidRPr="008A0DBE">
        <w:rPr>
          <w:i/>
        </w:rPr>
        <w:t xml:space="preserve"> to the Corporations Act 2001</w:t>
      </w:r>
    </w:p>
    <w:p w14:paraId="451F972C" w14:textId="3055ABCE" w:rsidR="001B70F3" w:rsidRPr="008A0DBE" w:rsidRDefault="00F0785B" w:rsidP="008A0DBE">
      <w:pPr>
        <w:pStyle w:val="base-text-paragraph"/>
        <w:numPr>
          <w:ilvl w:val="1"/>
          <w:numId w:val="51"/>
        </w:numPr>
        <w:shd w:val="clear" w:color="auto" w:fill="FFFFFF" w:themeFill="background1"/>
      </w:pPr>
      <w:r w:rsidRPr="008A0DBE">
        <w:t xml:space="preserve">Part 1 also corrects several </w:t>
      </w:r>
      <w:r w:rsidR="001B70F3" w:rsidRPr="008A0DBE">
        <w:t>drafting</w:t>
      </w:r>
      <w:r w:rsidRPr="008A0DBE">
        <w:t xml:space="preserve"> errors and updates the drafting of various</w:t>
      </w:r>
      <w:r w:rsidR="001B70F3" w:rsidRPr="008A0DBE">
        <w:t xml:space="preserve"> provisions so that they accord with modern drafting conventions.</w:t>
      </w:r>
      <w:r w:rsidRPr="008A0DBE">
        <w:t xml:space="preserve"> </w:t>
      </w:r>
    </w:p>
    <w:p w14:paraId="435467FA" w14:textId="42B3B64A" w:rsidR="004C0AA1" w:rsidRPr="008A0DBE" w:rsidRDefault="004C0AA1" w:rsidP="008A0DBE">
      <w:pPr>
        <w:pStyle w:val="base-text-paragraph"/>
        <w:numPr>
          <w:ilvl w:val="1"/>
          <w:numId w:val="51"/>
        </w:numPr>
        <w:shd w:val="clear" w:color="auto" w:fill="FFFFFF" w:themeFill="background1"/>
        <w:rPr>
          <w:rStyle w:val="Referencingstyle"/>
          <w:b w:val="0"/>
          <w:i w:val="0"/>
          <w:sz w:val="22"/>
        </w:rPr>
      </w:pPr>
      <w:r w:rsidRPr="008A0DBE">
        <w:t xml:space="preserve">It corrects the penalty in the small business guide in Part 1.5 of the </w:t>
      </w:r>
      <w:r w:rsidRPr="008A0DBE">
        <w:rPr>
          <w:i/>
        </w:rPr>
        <w:t>Corporations Act 2001</w:t>
      </w:r>
      <w:r w:rsidRPr="008A0DBE">
        <w:t xml:space="preserve"> to clarify that a director who fails to perform their duties may be guilty of a criminal offence with a penalty of up to 15 years imprisonment. The penalty for directors was increased to 15 years imprisonment in the </w:t>
      </w:r>
      <w:r w:rsidRPr="008A0DBE">
        <w:rPr>
          <w:i/>
        </w:rPr>
        <w:t xml:space="preserve">Treasury Laws Amendment (Strengthening Corporate and Financial Sector Penalties) Act 2018 </w:t>
      </w:r>
      <w:r w:rsidRPr="008A0DBE">
        <w:t xml:space="preserve">but the small business guide, which is not operational, was not updated. The amendment in this Bill ensures that the small business guide is consistent with the Act. </w:t>
      </w:r>
      <w:r w:rsidRPr="008A0DBE">
        <w:rPr>
          <w:rStyle w:val="Referencingstyle"/>
        </w:rPr>
        <w:t xml:space="preserve">[Schedule #, item </w:t>
      </w:r>
      <w:r w:rsidR="003922F3" w:rsidRPr="008A0DBE">
        <w:rPr>
          <w:rStyle w:val="Referencingstyle"/>
        </w:rPr>
        <w:t>17</w:t>
      </w:r>
      <w:r w:rsidRPr="008A0DBE">
        <w:rPr>
          <w:rStyle w:val="Referencingstyle"/>
        </w:rPr>
        <w:t>, paragraph 5.3 of the small business guide in Part 1.5 of the Corporations Act 2001]</w:t>
      </w:r>
    </w:p>
    <w:p w14:paraId="6B0E2EE6" w14:textId="27ECE2A7" w:rsidR="004B4B20" w:rsidRPr="008A0DBE" w:rsidRDefault="006D724A" w:rsidP="008A0DBE">
      <w:pPr>
        <w:pStyle w:val="base-text-paragraph"/>
        <w:numPr>
          <w:ilvl w:val="1"/>
          <w:numId w:val="51"/>
        </w:numPr>
        <w:shd w:val="clear" w:color="auto" w:fill="FFFFFF" w:themeFill="background1"/>
        <w:rPr>
          <w:rStyle w:val="Referencingstyle"/>
          <w:b w:val="0"/>
          <w:i w:val="0"/>
          <w:sz w:val="22"/>
        </w:rPr>
      </w:pPr>
      <w:r w:rsidRPr="008A0DBE">
        <w:t>Part 1 also</w:t>
      </w:r>
      <w:r w:rsidR="001B70F3" w:rsidRPr="008A0DBE">
        <w:t xml:space="preserve"> inserts</w:t>
      </w:r>
      <w:r w:rsidR="00F0785B" w:rsidRPr="008A0DBE">
        <w:t xml:space="preserve"> </w:t>
      </w:r>
      <w:r w:rsidR="001B70F3" w:rsidRPr="008A0DBE">
        <w:t>a</w:t>
      </w:r>
      <w:r w:rsidR="006D30C8" w:rsidRPr="008A0DBE">
        <w:t xml:space="preserve"> new item</w:t>
      </w:r>
      <w:r w:rsidR="00A27450" w:rsidRPr="008A0DBE">
        <w:t xml:space="preserve"> into the table in </w:t>
      </w:r>
      <w:r w:rsidR="006D30C8" w:rsidRPr="008A0DBE">
        <w:t xml:space="preserve">the outline of </w:t>
      </w:r>
      <w:r w:rsidR="00BF6606" w:rsidRPr="008A0DBE">
        <w:t>Part</w:t>
      </w:r>
      <w:r w:rsidR="006D30C8" w:rsidRPr="008A0DBE">
        <w:t xml:space="preserve"> 7.10A. This</w:t>
      </w:r>
      <w:r w:rsidR="001B70F3" w:rsidRPr="008A0DBE">
        <w:t xml:space="preserve"> </w:t>
      </w:r>
      <w:r w:rsidR="00BF6606" w:rsidRPr="008A0DBE">
        <w:t>Part</w:t>
      </w:r>
      <w:r w:rsidR="001B70F3" w:rsidRPr="008A0DBE">
        <w:t xml:space="preserve"> </w:t>
      </w:r>
      <w:r w:rsidR="00BF6606" w:rsidRPr="008A0DBE">
        <w:t>was</w:t>
      </w:r>
      <w:r w:rsidR="006D30C8" w:rsidRPr="008A0DBE">
        <w:t xml:space="preserve"> inserted </w:t>
      </w:r>
      <w:r w:rsidR="001B70F3" w:rsidRPr="008A0DBE">
        <w:t>by</w:t>
      </w:r>
      <w:r w:rsidR="006D30C8" w:rsidRPr="008A0DBE">
        <w:t xml:space="preserve"> the</w:t>
      </w:r>
      <w:r w:rsidR="00F82940" w:rsidRPr="008A0DBE">
        <w:t xml:space="preserve"> </w:t>
      </w:r>
      <w:r w:rsidR="006D30C8" w:rsidRPr="008A0DBE">
        <w:rPr>
          <w:i/>
        </w:rPr>
        <w:t xml:space="preserve">Treasury Laws Amendment (Putting Consumers First—Establishment of the Australian Financial Complaints Authority) </w:t>
      </w:r>
      <w:r w:rsidR="00F82940" w:rsidRPr="008A0DBE">
        <w:rPr>
          <w:i/>
        </w:rPr>
        <w:t>Act</w:t>
      </w:r>
      <w:r w:rsidR="006D30C8" w:rsidRPr="008A0DBE">
        <w:rPr>
          <w:i/>
        </w:rPr>
        <w:t xml:space="preserve"> 2017</w:t>
      </w:r>
      <w:r w:rsidR="001B70F3" w:rsidRPr="008A0DBE">
        <w:rPr>
          <w:i/>
        </w:rPr>
        <w:t xml:space="preserve"> </w:t>
      </w:r>
      <w:r w:rsidR="006D30C8" w:rsidRPr="008A0DBE">
        <w:t xml:space="preserve">to set up an external dispute resolution scheme for financial complaints </w:t>
      </w:r>
      <w:r w:rsidR="001B70F3" w:rsidRPr="008A0DBE">
        <w:t>but the outline was not updated at that time</w:t>
      </w:r>
      <w:r w:rsidR="006D30C8" w:rsidRPr="008A0DBE">
        <w:t xml:space="preserve">. </w:t>
      </w:r>
      <w:r w:rsidR="00A27450" w:rsidRPr="008A0DBE">
        <w:rPr>
          <w:rStyle w:val="Referencingstyle"/>
        </w:rPr>
        <w:t xml:space="preserve">[Schedule </w:t>
      </w:r>
      <w:r w:rsidR="001B70F3" w:rsidRPr="008A0DBE">
        <w:rPr>
          <w:rStyle w:val="Referencingstyle"/>
        </w:rPr>
        <w:t>#</w:t>
      </w:r>
      <w:r w:rsidR="00A27450" w:rsidRPr="008A0DBE">
        <w:rPr>
          <w:rStyle w:val="Referencingstyle"/>
        </w:rPr>
        <w:t xml:space="preserve">, item </w:t>
      </w:r>
      <w:r w:rsidR="003922F3" w:rsidRPr="008A0DBE">
        <w:rPr>
          <w:rStyle w:val="Referencingstyle"/>
        </w:rPr>
        <w:t>22</w:t>
      </w:r>
      <w:r w:rsidR="00A27450" w:rsidRPr="008A0DBE">
        <w:rPr>
          <w:rStyle w:val="Referencingstyle"/>
        </w:rPr>
        <w:t>, table item 10A in section 760B of the Corporations Act</w:t>
      </w:r>
      <w:r w:rsidR="001B70F3" w:rsidRPr="008A0DBE">
        <w:rPr>
          <w:rStyle w:val="Referencingstyle"/>
        </w:rPr>
        <w:t xml:space="preserve"> 2001</w:t>
      </w:r>
      <w:r w:rsidR="005C74B6" w:rsidRPr="008A0DBE">
        <w:rPr>
          <w:rStyle w:val="Referencingstyle"/>
        </w:rPr>
        <w:t xml:space="preserve">] </w:t>
      </w:r>
    </w:p>
    <w:p w14:paraId="7ADF122F" w14:textId="202684DB" w:rsidR="001B70F3" w:rsidRPr="008A0DBE" w:rsidRDefault="00A27450" w:rsidP="008A0DBE">
      <w:pPr>
        <w:pStyle w:val="base-text-paragraph"/>
        <w:numPr>
          <w:ilvl w:val="1"/>
          <w:numId w:val="51"/>
        </w:numPr>
        <w:shd w:val="clear" w:color="auto" w:fill="FFFFFF" w:themeFill="background1"/>
      </w:pPr>
      <w:r w:rsidRPr="008A0DBE">
        <w:t xml:space="preserve">Amendments </w:t>
      </w:r>
      <w:r w:rsidR="00BF6606" w:rsidRPr="008A0DBE">
        <w:t>are</w:t>
      </w:r>
      <w:r w:rsidRPr="008A0DBE">
        <w:t xml:space="preserve"> made to </w:t>
      </w:r>
      <w:r w:rsidR="001B70F3" w:rsidRPr="008A0DBE">
        <w:t xml:space="preserve">bring the delegation powers in sections </w:t>
      </w:r>
      <w:r w:rsidR="000D588E" w:rsidRPr="008A0DBE">
        <w:t xml:space="preserve">890C, </w:t>
      </w:r>
      <w:r w:rsidR="001B70F3" w:rsidRPr="008A0DBE">
        <w:t xml:space="preserve">1101J and 1345A of the </w:t>
      </w:r>
      <w:r w:rsidR="001B70F3" w:rsidRPr="008A0DBE">
        <w:rPr>
          <w:i/>
        </w:rPr>
        <w:t>Corporations Act 2001</w:t>
      </w:r>
      <w:r w:rsidR="001B70F3" w:rsidRPr="008A0DBE">
        <w:t xml:space="preserve"> in</w:t>
      </w:r>
      <w:r w:rsidR="0004359C" w:rsidRPr="008A0DBE">
        <w:t>to</w:t>
      </w:r>
      <w:r w:rsidR="001B70F3" w:rsidRPr="008A0DBE">
        <w:t xml:space="preserve"> line with modern drafting conventions. These sections provide that various entities and individuals can delegate ‘any’ of the </w:t>
      </w:r>
      <w:r w:rsidR="00624D33" w:rsidRPr="008A0DBE">
        <w:t>delegable functions and</w:t>
      </w:r>
      <w:r w:rsidR="001B70F3" w:rsidRPr="008A0DBE">
        <w:t xml:space="preserve"> powers to </w:t>
      </w:r>
      <w:r w:rsidR="0004359C" w:rsidRPr="008A0DBE">
        <w:t>certain specified persons</w:t>
      </w:r>
      <w:r w:rsidR="001B70F3" w:rsidRPr="008A0DBE">
        <w:t xml:space="preserve">. </w:t>
      </w:r>
      <w:r w:rsidR="006D724A" w:rsidRPr="008A0DBE">
        <w:t>Part 1</w:t>
      </w:r>
      <w:r w:rsidR="001B70F3" w:rsidRPr="008A0DBE">
        <w:t xml:space="preserve"> amends the</w:t>
      </w:r>
      <w:r w:rsidR="00DE29DD" w:rsidRPr="008A0DBE">
        <w:t>se</w:t>
      </w:r>
      <w:r w:rsidR="0004359C" w:rsidRPr="008A0DBE">
        <w:t xml:space="preserve"> sections </w:t>
      </w:r>
      <w:r w:rsidR="001B70F3" w:rsidRPr="008A0DBE">
        <w:t xml:space="preserve">to allow for the delegation of ‘all or any’ of the </w:t>
      </w:r>
      <w:r w:rsidR="00624D33" w:rsidRPr="008A0DBE">
        <w:t xml:space="preserve">functions and </w:t>
      </w:r>
      <w:r w:rsidR="001B70F3" w:rsidRPr="008A0DBE">
        <w:t>powers. The amendment</w:t>
      </w:r>
      <w:r w:rsidR="006D724A" w:rsidRPr="008A0DBE">
        <w:t>s clarify</w:t>
      </w:r>
      <w:r w:rsidR="001B70F3" w:rsidRPr="008A0DBE">
        <w:t xml:space="preserve"> th</w:t>
      </w:r>
      <w:r w:rsidR="0004359C" w:rsidRPr="008A0DBE">
        <w:t>e operation of existing delegation powers and make it clear</w:t>
      </w:r>
      <w:r w:rsidR="001B70F3" w:rsidRPr="008A0DBE">
        <w:t xml:space="preserve"> that all the relevant </w:t>
      </w:r>
      <w:r w:rsidR="00624D33" w:rsidRPr="008A0DBE">
        <w:t xml:space="preserve">functions and </w:t>
      </w:r>
      <w:r w:rsidR="001B70F3" w:rsidRPr="008A0DBE">
        <w:t>powers can be delegated together.</w:t>
      </w:r>
      <w:r w:rsidR="00225572" w:rsidRPr="008A0DBE">
        <w:t xml:space="preserve"> </w:t>
      </w:r>
      <w:r w:rsidR="0004359C" w:rsidRPr="008A0DBE">
        <w:t>They</w:t>
      </w:r>
      <w:r w:rsidR="00624D33" w:rsidRPr="008A0DBE">
        <w:t xml:space="preserve"> do not alter the scope of the functions or powers that may be delegated</w:t>
      </w:r>
      <w:r w:rsidR="0004359C" w:rsidRPr="008A0DBE">
        <w:t xml:space="preserve"> or the persons to whom those functions or powers may be delegated</w:t>
      </w:r>
      <w:r w:rsidR="00624D33" w:rsidRPr="008A0DBE">
        <w:t xml:space="preserve">. </w:t>
      </w:r>
      <w:r w:rsidR="00225572" w:rsidRPr="008A0DBE">
        <w:t xml:space="preserve">Any delegations or regulations in force before this change remains in force. </w:t>
      </w:r>
      <w:r w:rsidR="001B70F3" w:rsidRPr="008A0DBE">
        <w:rPr>
          <w:rStyle w:val="Referencingstyle"/>
        </w:rPr>
        <w:t>[Schedule #, item</w:t>
      </w:r>
      <w:r w:rsidR="005C74B6" w:rsidRPr="008A0DBE">
        <w:rPr>
          <w:rStyle w:val="Referencingstyle"/>
        </w:rPr>
        <w:t>s</w:t>
      </w:r>
      <w:r w:rsidR="001B70F3" w:rsidRPr="008A0DBE">
        <w:rPr>
          <w:rStyle w:val="Referencingstyle"/>
        </w:rPr>
        <w:t xml:space="preserve"> </w:t>
      </w:r>
      <w:r w:rsidR="003922F3" w:rsidRPr="008A0DBE">
        <w:rPr>
          <w:rStyle w:val="Referencingstyle"/>
        </w:rPr>
        <w:t>23</w:t>
      </w:r>
      <w:r w:rsidR="004C0AA1" w:rsidRPr="008A0DBE">
        <w:rPr>
          <w:rStyle w:val="Referencingstyle"/>
        </w:rPr>
        <w:t xml:space="preserve"> and</w:t>
      </w:r>
      <w:r w:rsidR="005C74B6" w:rsidRPr="008A0DBE">
        <w:rPr>
          <w:rStyle w:val="Referencingstyle"/>
        </w:rPr>
        <w:t xml:space="preserve"> 2</w:t>
      </w:r>
      <w:r w:rsidR="003922F3" w:rsidRPr="008A0DBE">
        <w:rPr>
          <w:rStyle w:val="Referencingstyle"/>
        </w:rPr>
        <w:t>5</w:t>
      </w:r>
      <w:r w:rsidR="005C74B6" w:rsidRPr="008A0DBE">
        <w:rPr>
          <w:rStyle w:val="Referencingstyle"/>
        </w:rPr>
        <w:t xml:space="preserve"> to </w:t>
      </w:r>
      <w:r w:rsidR="003922F3" w:rsidRPr="008A0DBE">
        <w:rPr>
          <w:rStyle w:val="Referencingstyle"/>
        </w:rPr>
        <w:t>28</w:t>
      </w:r>
      <w:r w:rsidR="001B70F3" w:rsidRPr="008A0DBE">
        <w:rPr>
          <w:rStyle w:val="Referencingstyle"/>
        </w:rPr>
        <w:t>, subsection</w:t>
      </w:r>
      <w:r w:rsidR="005C74B6" w:rsidRPr="008A0DBE">
        <w:rPr>
          <w:rStyle w:val="Referencingstyle"/>
        </w:rPr>
        <w:t>s</w:t>
      </w:r>
      <w:r w:rsidR="001B70F3" w:rsidRPr="008A0DBE">
        <w:rPr>
          <w:rStyle w:val="Referencingstyle"/>
        </w:rPr>
        <w:t xml:space="preserve"> 890C(3)</w:t>
      </w:r>
      <w:r w:rsidR="00225572" w:rsidRPr="008A0DBE">
        <w:rPr>
          <w:rStyle w:val="Referencingstyle"/>
        </w:rPr>
        <w:t xml:space="preserve">, 1101J(1), </w:t>
      </w:r>
      <w:r w:rsidR="005C74B6" w:rsidRPr="008A0DBE">
        <w:rPr>
          <w:rStyle w:val="Referencingstyle"/>
        </w:rPr>
        <w:t>1345A(1)</w:t>
      </w:r>
      <w:r w:rsidR="000D588E" w:rsidRPr="008A0DBE">
        <w:rPr>
          <w:rStyle w:val="Referencingstyle"/>
        </w:rPr>
        <w:t xml:space="preserve"> to</w:t>
      </w:r>
      <w:r w:rsidR="00FC5474" w:rsidRPr="008A0DBE">
        <w:rPr>
          <w:rStyle w:val="Referencingstyle"/>
        </w:rPr>
        <w:t xml:space="preserve"> </w:t>
      </w:r>
      <w:r w:rsidR="005C74B6" w:rsidRPr="008A0DBE">
        <w:rPr>
          <w:rStyle w:val="Referencingstyle"/>
        </w:rPr>
        <w:t xml:space="preserve">(1AA) </w:t>
      </w:r>
      <w:r w:rsidR="00225572" w:rsidRPr="008A0DBE">
        <w:rPr>
          <w:rStyle w:val="Referencingstyle"/>
        </w:rPr>
        <w:t>and 1667</w:t>
      </w:r>
      <w:r w:rsidR="004C0AA1" w:rsidRPr="008A0DBE">
        <w:rPr>
          <w:rStyle w:val="Referencingstyle"/>
        </w:rPr>
        <w:t>(1)</w:t>
      </w:r>
      <w:r w:rsidR="000D588E" w:rsidRPr="008A0DBE">
        <w:rPr>
          <w:rStyle w:val="Referencingstyle"/>
        </w:rPr>
        <w:t xml:space="preserve"> and</w:t>
      </w:r>
      <w:r w:rsidR="00FC5474" w:rsidRPr="008A0DBE">
        <w:rPr>
          <w:rStyle w:val="Referencingstyle"/>
        </w:rPr>
        <w:t xml:space="preserve"> </w:t>
      </w:r>
      <w:r w:rsidR="004C0AA1" w:rsidRPr="008A0DBE">
        <w:rPr>
          <w:rStyle w:val="Referencingstyle"/>
        </w:rPr>
        <w:t>(2)</w:t>
      </w:r>
      <w:r w:rsidR="001B70F3" w:rsidRPr="008A0DBE">
        <w:rPr>
          <w:rStyle w:val="Referencingstyle"/>
        </w:rPr>
        <w:t xml:space="preserve"> of the Corporations Act 2001]</w:t>
      </w:r>
    </w:p>
    <w:p w14:paraId="187043D6" w14:textId="0B18F428" w:rsidR="00A27450" w:rsidRPr="008A0DBE" w:rsidRDefault="005C74B6" w:rsidP="008A0DBE">
      <w:pPr>
        <w:pStyle w:val="base-text-paragraph"/>
        <w:numPr>
          <w:ilvl w:val="1"/>
          <w:numId w:val="51"/>
        </w:numPr>
        <w:shd w:val="clear" w:color="auto" w:fill="FFFFFF" w:themeFill="background1"/>
        <w:rPr>
          <w:rStyle w:val="Referencingstyle"/>
          <w:b w:val="0"/>
          <w:i w:val="0"/>
          <w:sz w:val="22"/>
        </w:rPr>
      </w:pPr>
      <w:r w:rsidRPr="008A0DBE">
        <w:t xml:space="preserve">Finally, amendments are made to </w:t>
      </w:r>
      <w:r w:rsidR="00A27450" w:rsidRPr="008A0DBE">
        <w:t>remove the hyphen from</w:t>
      </w:r>
      <w:r w:rsidR="00F8296C" w:rsidRPr="008A0DBE">
        <w:t xml:space="preserve"> the phrase</w:t>
      </w:r>
      <w:r w:rsidR="00A27450" w:rsidRPr="008A0DBE">
        <w:t xml:space="preserve"> </w:t>
      </w:r>
      <w:r w:rsidR="00D174C1" w:rsidRPr="008A0DBE">
        <w:t>‘</w:t>
      </w:r>
      <w:r w:rsidR="00A27450" w:rsidRPr="008A0DBE">
        <w:t>self-managed superannuation fund</w:t>
      </w:r>
      <w:r w:rsidR="00D174C1" w:rsidRPr="008A0DBE">
        <w:t>’</w:t>
      </w:r>
      <w:r w:rsidR="00A27450" w:rsidRPr="008A0DBE">
        <w:t xml:space="preserve"> </w:t>
      </w:r>
      <w:r w:rsidR="00F8296C" w:rsidRPr="008A0DBE">
        <w:t xml:space="preserve">in section 1053 of the </w:t>
      </w:r>
      <w:r w:rsidR="00F8296C" w:rsidRPr="008A0DBE">
        <w:rPr>
          <w:i/>
        </w:rPr>
        <w:t xml:space="preserve">Corporations Act </w:t>
      </w:r>
      <w:r w:rsidRPr="008A0DBE">
        <w:rPr>
          <w:i/>
        </w:rPr>
        <w:t xml:space="preserve">2001 </w:t>
      </w:r>
      <w:r w:rsidR="00A27450" w:rsidRPr="008A0DBE">
        <w:t>to ensure the term is consistent</w:t>
      </w:r>
      <w:r w:rsidR="001D6DDE" w:rsidRPr="008A0DBE">
        <w:t xml:space="preserve">ly </w:t>
      </w:r>
      <w:r w:rsidR="00A27450" w:rsidRPr="008A0DBE">
        <w:t xml:space="preserve">expressed </w:t>
      </w:r>
      <w:r w:rsidR="001D6DDE" w:rsidRPr="008A0DBE">
        <w:t>across the</w:t>
      </w:r>
      <w:r w:rsidR="00FB58CF" w:rsidRPr="008A0DBE">
        <w:t xml:space="preserve"> Act</w:t>
      </w:r>
      <w:r w:rsidR="00A27450" w:rsidRPr="008A0DBE">
        <w:t xml:space="preserve">. </w:t>
      </w:r>
      <w:r w:rsidR="00A27450" w:rsidRPr="008A0DBE">
        <w:rPr>
          <w:rStyle w:val="Referencingstyle"/>
        </w:rPr>
        <w:t xml:space="preserve">[Schedule </w:t>
      </w:r>
      <w:r w:rsidRPr="008A0DBE">
        <w:rPr>
          <w:rStyle w:val="Referencingstyle"/>
        </w:rPr>
        <w:t>#</w:t>
      </w:r>
      <w:r w:rsidR="00A27450" w:rsidRPr="008A0DBE">
        <w:rPr>
          <w:rStyle w:val="Referencingstyle"/>
        </w:rPr>
        <w:t xml:space="preserve">, item </w:t>
      </w:r>
      <w:r w:rsidR="003922F3" w:rsidRPr="008A0DBE">
        <w:rPr>
          <w:rStyle w:val="Referencingstyle"/>
        </w:rPr>
        <w:t>24</w:t>
      </w:r>
      <w:r w:rsidR="00A27450" w:rsidRPr="008A0DBE">
        <w:rPr>
          <w:rStyle w:val="Referencingstyle"/>
        </w:rPr>
        <w:t>, paragraphs 1053(4)(a) to (c) of the Corporations Act</w:t>
      </w:r>
      <w:r w:rsidRPr="008A0DBE">
        <w:rPr>
          <w:rStyle w:val="Referencingstyle"/>
        </w:rPr>
        <w:t xml:space="preserve"> 2001</w:t>
      </w:r>
      <w:r w:rsidR="00A27450" w:rsidRPr="008A0DBE">
        <w:rPr>
          <w:rStyle w:val="Referencingstyle"/>
        </w:rPr>
        <w:t>]</w:t>
      </w:r>
    </w:p>
    <w:p w14:paraId="5D757376" w14:textId="5CEA300E" w:rsidR="00D00A5D" w:rsidRPr="008A0DBE" w:rsidRDefault="00B1451C" w:rsidP="008A0DBE">
      <w:pPr>
        <w:pStyle w:val="Heading4"/>
        <w:shd w:val="clear" w:color="auto" w:fill="FFFFFF" w:themeFill="background1"/>
      </w:pPr>
      <w:bookmarkStart w:id="14" w:name="_Toc6495659"/>
      <w:r w:rsidRPr="008A0DBE">
        <w:t xml:space="preserve">Amendments to the </w:t>
      </w:r>
      <w:r w:rsidR="00D00A5D" w:rsidRPr="008A0DBE">
        <w:t>International Monetary Agreements Act 1947</w:t>
      </w:r>
      <w:bookmarkEnd w:id="14"/>
    </w:p>
    <w:p w14:paraId="7915D440" w14:textId="0709BFDF" w:rsidR="00FE675F" w:rsidRPr="008A0DBE" w:rsidRDefault="004C0AA1" w:rsidP="008A0DBE">
      <w:pPr>
        <w:pStyle w:val="base-text-paragraph"/>
        <w:numPr>
          <w:ilvl w:val="1"/>
          <w:numId w:val="51"/>
        </w:numPr>
        <w:shd w:val="clear" w:color="auto" w:fill="FFFFFF" w:themeFill="background1"/>
      </w:pPr>
      <w:r w:rsidRPr="008A0DBE">
        <w:t>Part 1 updates the</w:t>
      </w:r>
      <w:r w:rsidR="00FE675F" w:rsidRPr="008A0DBE">
        <w:t xml:space="preserve"> note to the definition of IMF loan agreement 2016 in section 3 of the </w:t>
      </w:r>
      <w:r w:rsidR="00D174C1" w:rsidRPr="008A0DBE">
        <w:rPr>
          <w:i/>
        </w:rPr>
        <w:t>International Monetary Agreements</w:t>
      </w:r>
      <w:r w:rsidR="00FE675F" w:rsidRPr="008A0DBE">
        <w:t xml:space="preserve"> </w:t>
      </w:r>
      <w:r w:rsidR="00FE675F" w:rsidRPr="008A0DBE">
        <w:rPr>
          <w:i/>
        </w:rPr>
        <w:t>Act</w:t>
      </w:r>
      <w:r w:rsidR="00D174C1" w:rsidRPr="008A0DBE">
        <w:rPr>
          <w:i/>
        </w:rPr>
        <w:t xml:space="preserve"> 1947</w:t>
      </w:r>
      <w:r w:rsidR="00FE675F" w:rsidRPr="008A0DBE">
        <w:t xml:space="preserve"> to list the Australian Treaty Series number of the Treaty. </w:t>
      </w:r>
      <w:r w:rsidR="00FE675F" w:rsidRPr="008A0DBE">
        <w:rPr>
          <w:rStyle w:val="Referencingstyle"/>
        </w:rPr>
        <w:t xml:space="preserve">[Schedule </w:t>
      </w:r>
      <w:r w:rsidRPr="008A0DBE">
        <w:rPr>
          <w:rStyle w:val="Referencingstyle"/>
        </w:rPr>
        <w:t>#</w:t>
      </w:r>
      <w:r w:rsidR="00FE675F" w:rsidRPr="008A0DBE">
        <w:rPr>
          <w:rStyle w:val="Referencingstyle"/>
        </w:rPr>
        <w:t xml:space="preserve">, item </w:t>
      </w:r>
      <w:r w:rsidR="003922F3" w:rsidRPr="008A0DBE">
        <w:rPr>
          <w:rStyle w:val="Referencingstyle"/>
        </w:rPr>
        <w:t>30</w:t>
      </w:r>
      <w:r w:rsidR="00FE675F" w:rsidRPr="008A0DBE">
        <w:rPr>
          <w:rStyle w:val="Referencingstyle"/>
        </w:rPr>
        <w:t xml:space="preserve">, note to the definition of “IMF loan agreement 2016” in section 3 of the </w:t>
      </w:r>
      <w:r w:rsidRPr="008A0DBE">
        <w:rPr>
          <w:rStyle w:val="Referencingstyle"/>
        </w:rPr>
        <w:t>International Monetary Agreement</w:t>
      </w:r>
      <w:r w:rsidR="00FE675F" w:rsidRPr="008A0DBE">
        <w:rPr>
          <w:rStyle w:val="Referencingstyle"/>
        </w:rPr>
        <w:t xml:space="preserve"> Act</w:t>
      </w:r>
      <w:r w:rsidRPr="008A0DBE">
        <w:rPr>
          <w:rStyle w:val="Referencingstyle"/>
        </w:rPr>
        <w:t xml:space="preserve"> 1947</w:t>
      </w:r>
      <w:r w:rsidR="00FE675F" w:rsidRPr="008A0DBE">
        <w:rPr>
          <w:rStyle w:val="Referencingstyle"/>
        </w:rPr>
        <w:t>]</w:t>
      </w:r>
    </w:p>
    <w:p w14:paraId="557C8AD1" w14:textId="564553F7" w:rsidR="00FE675F" w:rsidRPr="008A0DBE" w:rsidRDefault="00FE675F" w:rsidP="008A0DBE">
      <w:pPr>
        <w:pStyle w:val="base-text-paragraph"/>
        <w:numPr>
          <w:ilvl w:val="1"/>
          <w:numId w:val="51"/>
        </w:numPr>
        <w:shd w:val="clear" w:color="auto" w:fill="FFFFFF" w:themeFill="background1"/>
      </w:pPr>
      <w:r w:rsidRPr="008A0DBE">
        <w:t xml:space="preserve">There has also been a renewal of </w:t>
      </w:r>
      <w:r w:rsidR="000D588E" w:rsidRPr="008A0DBE">
        <w:t xml:space="preserve">the </w:t>
      </w:r>
      <w:r w:rsidRPr="008A0DBE">
        <w:t xml:space="preserve">IMF’s New Arrangements to Borrow. An amendment is made to the definition of </w:t>
      </w:r>
      <w:r w:rsidR="00D174C1" w:rsidRPr="008A0DBE">
        <w:t>‘</w:t>
      </w:r>
      <w:r w:rsidRPr="008A0DBE">
        <w:t>New Arrangements to Borrow</w:t>
      </w:r>
      <w:r w:rsidR="00D174C1" w:rsidRPr="008A0DBE">
        <w:t>’</w:t>
      </w:r>
      <w:r w:rsidRPr="008A0DBE">
        <w:rPr>
          <w:b/>
          <w:i/>
        </w:rPr>
        <w:t xml:space="preserve"> </w:t>
      </w:r>
      <w:r w:rsidRPr="008A0DBE">
        <w:t xml:space="preserve">in section 3 to include the new decision number. The new decision has comprised a treaty action for the purposes of Australia’s domestic treaty-making process. As a result, a note has been inserted to list the Australian Treaty Series number of the Treaty. </w:t>
      </w:r>
      <w:r w:rsidRPr="008A0DBE">
        <w:rPr>
          <w:rStyle w:val="Referencingstyle"/>
        </w:rPr>
        <w:t xml:space="preserve">[Schedule </w:t>
      </w:r>
      <w:r w:rsidR="007D31FF" w:rsidRPr="008A0DBE">
        <w:rPr>
          <w:rStyle w:val="Referencingstyle"/>
        </w:rPr>
        <w:t>#</w:t>
      </w:r>
      <w:r w:rsidRPr="008A0DBE">
        <w:rPr>
          <w:rStyle w:val="Referencingstyle"/>
        </w:rPr>
        <w:t xml:space="preserve">, item </w:t>
      </w:r>
      <w:r w:rsidR="003922F3" w:rsidRPr="008A0DBE">
        <w:rPr>
          <w:rStyle w:val="Referencingstyle"/>
        </w:rPr>
        <w:t>31</w:t>
      </w:r>
      <w:r w:rsidRPr="008A0DBE">
        <w:rPr>
          <w:rStyle w:val="Referencingstyle"/>
        </w:rPr>
        <w:t xml:space="preserve">, the note to the definition, of </w:t>
      </w:r>
      <w:r w:rsidR="00D174C1" w:rsidRPr="008A0DBE">
        <w:rPr>
          <w:rStyle w:val="Referencingstyle"/>
        </w:rPr>
        <w:t>‘</w:t>
      </w:r>
      <w:r w:rsidRPr="008A0DBE">
        <w:rPr>
          <w:rStyle w:val="Referencingstyle"/>
        </w:rPr>
        <w:t>New Arrangements to Borrow</w:t>
      </w:r>
      <w:r w:rsidR="00D174C1" w:rsidRPr="008A0DBE">
        <w:rPr>
          <w:rStyle w:val="Referencingstyle"/>
        </w:rPr>
        <w:t>’</w:t>
      </w:r>
      <w:r w:rsidRPr="008A0DBE">
        <w:rPr>
          <w:rStyle w:val="Referencingstyle"/>
        </w:rPr>
        <w:t xml:space="preserve"> in section 3 of the </w:t>
      </w:r>
      <w:r w:rsidR="007D31FF" w:rsidRPr="008A0DBE">
        <w:rPr>
          <w:rStyle w:val="Referencingstyle"/>
        </w:rPr>
        <w:t>International Monetary Agreement</w:t>
      </w:r>
      <w:r w:rsidRPr="008A0DBE">
        <w:rPr>
          <w:rStyle w:val="Referencingstyle"/>
        </w:rPr>
        <w:t xml:space="preserve"> Act</w:t>
      </w:r>
      <w:r w:rsidR="007D31FF" w:rsidRPr="008A0DBE">
        <w:rPr>
          <w:rStyle w:val="Referencingstyle"/>
        </w:rPr>
        <w:t xml:space="preserve"> 1947</w:t>
      </w:r>
      <w:r w:rsidRPr="008A0DBE">
        <w:rPr>
          <w:rStyle w:val="Referencingstyle"/>
        </w:rPr>
        <w:t>]</w:t>
      </w:r>
    </w:p>
    <w:p w14:paraId="7825EE96" w14:textId="2A4718ED" w:rsidR="00FE675F" w:rsidRPr="008A0DBE" w:rsidRDefault="00B1451C" w:rsidP="008A0DBE">
      <w:pPr>
        <w:pStyle w:val="Heading4"/>
        <w:shd w:val="clear" w:color="auto" w:fill="FFFFFF" w:themeFill="background1"/>
      </w:pPr>
      <w:r w:rsidRPr="008A0DBE">
        <w:t xml:space="preserve">Amendments to the </w:t>
      </w:r>
      <w:r w:rsidR="00FE675F" w:rsidRPr="008A0DBE">
        <w:t xml:space="preserve">National Consumer Credit Protection Act 2009 </w:t>
      </w:r>
    </w:p>
    <w:p w14:paraId="668F454A" w14:textId="4307764C" w:rsidR="00D32F60" w:rsidRPr="008A0DBE" w:rsidRDefault="00D32F60" w:rsidP="008A0DBE">
      <w:pPr>
        <w:pStyle w:val="base-text-paragraph"/>
        <w:numPr>
          <w:ilvl w:val="1"/>
          <w:numId w:val="51"/>
        </w:numPr>
        <w:shd w:val="clear" w:color="auto" w:fill="FFFFFF" w:themeFill="background1"/>
      </w:pPr>
      <w:r w:rsidRPr="008A0DBE">
        <w:t>Part 1 amends</w:t>
      </w:r>
      <w:r w:rsidR="008F46A1" w:rsidRPr="008A0DBE">
        <w:t xml:space="preserve"> the definition of financial year in subsection 100(6) of the </w:t>
      </w:r>
      <w:r w:rsidR="008F46A1" w:rsidRPr="008A0DBE">
        <w:rPr>
          <w:i/>
        </w:rPr>
        <w:t>National Consumer and Credit Protection Act 2006</w:t>
      </w:r>
      <w:r w:rsidR="008F46A1" w:rsidRPr="008A0DBE">
        <w:t xml:space="preserve"> to make it clear that the definition of </w:t>
      </w:r>
      <w:r w:rsidR="007B6B4B" w:rsidRPr="008A0DBE">
        <w:t xml:space="preserve">financial year in section 323D of the </w:t>
      </w:r>
      <w:r w:rsidR="007B6B4B" w:rsidRPr="008A0DBE">
        <w:rPr>
          <w:i/>
        </w:rPr>
        <w:t>Corporations Act 2001</w:t>
      </w:r>
      <w:r w:rsidR="007B6B4B" w:rsidRPr="008A0DBE">
        <w:t xml:space="preserve"> only applies</w:t>
      </w:r>
      <w:r w:rsidR="008F46A1" w:rsidRPr="008A0DBE">
        <w:t xml:space="preserve"> </w:t>
      </w:r>
      <w:r w:rsidR="007B6B4B" w:rsidRPr="008A0DBE">
        <w:t>to bodies corporate to which that section applies. In all other cases, a financial year means a year ending on 30 June.</w:t>
      </w:r>
      <w:r w:rsidRPr="008A0DBE">
        <w:rPr>
          <w:rStyle w:val="Referencingstyle"/>
        </w:rPr>
        <w:t xml:space="preserve"> [Schedule #, item </w:t>
      </w:r>
      <w:r w:rsidR="003922F3" w:rsidRPr="008A0DBE">
        <w:rPr>
          <w:rStyle w:val="Referencingstyle"/>
        </w:rPr>
        <w:t>32</w:t>
      </w:r>
      <w:r w:rsidRPr="008A0DBE">
        <w:rPr>
          <w:rStyle w:val="Referencingstyle"/>
        </w:rPr>
        <w:t>, paragraphs 100(6)(a) and (b) of the National Consumer Credit Protection Act 2009]</w:t>
      </w:r>
      <w:r w:rsidRPr="008A0DBE">
        <w:t xml:space="preserve"> </w:t>
      </w:r>
    </w:p>
    <w:p w14:paraId="23B045F5" w14:textId="71B6ADB3" w:rsidR="00D32F60" w:rsidRPr="008A0DBE" w:rsidRDefault="00F56BE1" w:rsidP="008A0DBE">
      <w:pPr>
        <w:pStyle w:val="base-text-paragraph"/>
        <w:numPr>
          <w:ilvl w:val="1"/>
          <w:numId w:val="51"/>
        </w:numPr>
        <w:shd w:val="clear" w:color="auto" w:fill="FFFFFF" w:themeFill="background1"/>
      </w:pPr>
      <w:r w:rsidRPr="008A0DBE">
        <w:t xml:space="preserve">Part 1 </w:t>
      </w:r>
      <w:r w:rsidR="00D32F60" w:rsidRPr="008A0DBE">
        <w:t xml:space="preserve">corrects an error in the section reference in existing section 151. That section deals with a lessor’s obligation to assess unsuitability, but refers to section 130, dealing with reasonable inquiries a credit provider must make. Paragraph 151(d) is amended to instead refer to section 153, which deals with reasonable inquiries </w:t>
      </w:r>
      <w:r w:rsidR="000D588E" w:rsidRPr="008A0DBE">
        <w:t xml:space="preserve">that </w:t>
      </w:r>
      <w:r w:rsidR="00D32F60" w:rsidRPr="008A0DBE">
        <w:t xml:space="preserve">a lessor must make. </w:t>
      </w:r>
      <w:r w:rsidR="00D32F60" w:rsidRPr="008A0DBE">
        <w:rPr>
          <w:rStyle w:val="Referencingstyle"/>
        </w:rPr>
        <w:t>[Schedule #, item </w:t>
      </w:r>
      <w:r w:rsidR="003922F3" w:rsidRPr="008A0DBE">
        <w:rPr>
          <w:rStyle w:val="Referencingstyle"/>
        </w:rPr>
        <w:t>33</w:t>
      </w:r>
      <w:r w:rsidR="00D32F60" w:rsidRPr="008A0DBE">
        <w:rPr>
          <w:rStyle w:val="Referencingstyle"/>
        </w:rPr>
        <w:t>,</w:t>
      </w:r>
      <w:r w:rsidR="00FE675F" w:rsidRPr="008A0DBE">
        <w:rPr>
          <w:rStyle w:val="Referencingstyle"/>
        </w:rPr>
        <w:t xml:space="preserve"> paragraph 151(d) of the </w:t>
      </w:r>
      <w:r w:rsidR="00D32F60" w:rsidRPr="008A0DBE">
        <w:rPr>
          <w:rStyle w:val="Referencingstyle"/>
        </w:rPr>
        <w:t xml:space="preserve">National Consumer Credit Protection Act </w:t>
      </w:r>
      <w:r w:rsidRPr="008A0DBE">
        <w:rPr>
          <w:rStyle w:val="Referencingstyle"/>
        </w:rPr>
        <w:t>2009</w:t>
      </w:r>
      <w:r w:rsidR="00D32F60" w:rsidRPr="008A0DBE">
        <w:rPr>
          <w:rStyle w:val="Referencingstyle"/>
        </w:rPr>
        <w:t xml:space="preserve">] </w:t>
      </w:r>
    </w:p>
    <w:p w14:paraId="227E29DF" w14:textId="5FC3470F" w:rsidR="00F56BE1" w:rsidRPr="008A0DBE" w:rsidRDefault="00860E56" w:rsidP="008A0DBE">
      <w:pPr>
        <w:pStyle w:val="base-text-paragraph"/>
        <w:numPr>
          <w:ilvl w:val="1"/>
          <w:numId w:val="51"/>
        </w:numPr>
        <w:shd w:val="clear" w:color="auto" w:fill="FFFFFF" w:themeFill="background1"/>
      </w:pPr>
      <w:r w:rsidRPr="008A0DBE">
        <w:t xml:space="preserve">Part 1 also </w:t>
      </w:r>
      <w:r w:rsidR="006A4550" w:rsidRPr="008A0DBE">
        <w:t>expands</w:t>
      </w:r>
      <w:r w:rsidRPr="008A0DBE">
        <w:t xml:space="preserve"> </w:t>
      </w:r>
      <w:r w:rsidR="006A4550" w:rsidRPr="008A0DBE">
        <w:t xml:space="preserve">existing </w:t>
      </w:r>
      <w:r w:rsidRPr="008A0DBE">
        <w:t>paragraph 263(d)</w:t>
      </w:r>
      <w:r w:rsidR="006A4550" w:rsidRPr="008A0DBE">
        <w:t xml:space="preserve"> </w:t>
      </w:r>
      <w:r w:rsidR="00F03A88" w:rsidRPr="008A0DBE">
        <w:t xml:space="preserve">of </w:t>
      </w:r>
      <w:r w:rsidR="00F03A88" w:rsidRPr="008A0DBE">
        <w:rPr>
          <w:i/>
        </w:rPr>
        <w:t>the National Consumer Credit Protection Act 2009</w:t>
      </w:r>
      <w:r w:rsidR="00F03A88" w:rsidRPr="008A0DBE">
        <w:t xml:space="preserve"> to capture alleged or suspected contraventions of the laws referred to in that provision. </w:t>
      </w:r>
      <w:r w:rsidR="006A4550" w:rsidRPr="008A0DBE">
        <w:t xml:space="preserve">This </w:t>
      </w:r>
      <w:r w:rsidR="00F03A88" w:rsidRPr="008A0DBE">
        <w:t xml:space="preserve">amendment </w:t>
      </w:r>
      <w:r w:rsidR="006A4550" w:rsidRPr="008A0DBE">
        <w:t xml:space="preserve">is consistent with the initial policy intention of the provision </w:t>
      </w:r>
      <w:r w:rsidR="00F03A88" w:rsidRPr="008A0DBE">
        <w:t xml:space="preserve">as </w:t>
      </w:r>
      <w:r w:rsidR="006A4550" w:rsidRPr="008A0DBE">
        <w:t>expressed in paragraph</w:t>
      </w:r>
      <w:r w:rsidR="00F03A88" w:rsidRPr="008A0DBE">
        <w:t xml:space="preserve"> </w:t>
      </w:r>
      <w:r w:rsidR="00E837F5" w:rsidRPr="008A0DBE">
        <w:t>6.99</w:t>
      </w:r>
      <w:r w:rsidR="00F03A88" w:rsidRPr="008A0DBE">
        <w:t xml:space="preserve"> of the explanatory materials</w:t>
      </w:r>
      <w:r w:rsidR="00B146ED" w:rsidRPr="008A0DBE">
        <w:t xml:space="preserve"> accompanying</w:t>
      </w:r>
      <w:r w:rsidRPr="008A0DBE">
        <w:t xml:space="preserve"> </w:t>
      </w:r>
      <w:r w:rsidR="00E837F5" w:rsidRPr="008A0DBE">
        <w:t>the National Consumer Credit Protection Bill 2009.</w:t>
      </w:r>
      <w:r w:rsidR="00A42195" w:rsidRPr="008A0DBE">
        <w:t xml:space="preserve"> The amendment to paragraph 263(d) applies </w:t>
      </w:r>
      <w:r w:rsidR="00FE4C2A" w:rsidRPr="008A0DBE">
        <w:t>to contraventions that have occurred before, on or after the commencement of the item.</w:t>
      </w:r>
      <w:r w:rsidR="00A42195" w:rsidRPr="008A0DBE">
        <w:t xml:space="preserve"> </w:t>
      </w:r>
      <w:r w:rsidR="00F56BE1" w:rsidRPr="008A0DBE">
        <w:rPr>
          <w:rStyle w:val="Referencingstyle"/>
        </w:rPr>
        <w:t>[Schedule #, item</w:t>
      </w:r>
      <w:r w:rsidR="00FE4C2A" w:rsidRPr="008A0DBE">
        <w:rPr>
          <w:rStyle w:val="Referencingstyle"/>
        </w:rPr>
        <w:t>s</w:t>
      </w:r>
      <w:r w:rsidR="00F56BE1" w:rsidRPr="008A0DBE">
        <w:rPr>
          <w:rStyle w:val="Referencingstyle"/>
        </w:rPr>
        <w:t xml:space="preserve"> </w:t>
      </w:r>
      <w:r w:rsidR="00576D42" w:rsidRPr="008A0DBE">
        <w:rPr>
          <w:rStyle w:val="Referencingstyle"/>
        </w:rPr>
        <w:t>3</w:t>
      </w:r>
      <w:r w:rsidR="000F054F" w:rsidRPr="008A0DBE">
        <w:rPr>
          <w:rStyle w:val="Referencingstyle"/>
        </w:rPr>
        <w:t>4</w:t>
      </w:r>
      <w:r w:rsidR="00FE4C2A" w:rsidRPr="008A0DBE">
        <w:rPr>
          <w:rStyle w:val="Referencingstyle"/>
        </w:rPr>
        <w:t xml:space="preserve"> and 44</w:t>
      </w:r>
      <w:r w:rsidR="00F56BE1" w:rsidRPr="008A0DBE">
        <w:rPr>
          <w:rStyle w:val="Referencingstyle"/>
        </w:rPr>
        <w:t>, paragraph 263(d)</w:t>
      </w:r>
      <w:r w:rsidR="00FE4C2A" w:rsidRPr="008A0DBE">
        <w:rPr>
          <w:rStyle w:val="Referencingstyle"/>
        </w:rPr>
        <w:t xml:space="preserve"> and Schedule 10 to</w:t>
      </w:r>
      <w:r w:rsidR="00F56BE1" w:rsidRPr="008A0DBE">
        <w:rPr>
          <w:rStyle w:val="Referencingstyle"/>
        </w:rPr>
        <w:t xml:space="preserve"> the National Consumer Credit Protection Act 2009]</w:t>
      </w:r>
      <w:r w:rsidR="00F56BE1" w:rsidRPr="008A0DBE">
        <w:t xml:space="preserve"> </w:t>
      </w:r>
    </w:p>
    <w:p w14:paraId="77907D8D" w14:textId="274D60FE" w:rsidR="00F56BE1" w:rsidRPr="008A0DBE" w:rsidRDefault="00D174C1" w:rsidP="008A0DBE">
      <w:pPr>
        <w:pStyle w:val="base-text-paragraph"/>
        <w:numPr>
          <w:ilvl w:val="1"/>
          <w:numId w:val="51"/>
        </w:numPr>
        <w:shd w:val="clear" w:color="auto" w:fill="FFFFFF" w:themeFill="background1"/>
      </w:pPr>
      <w:r w:rsidRPr="008A0DBE">
        <w:t>A</w:t>
      </w:r>
      <w:r w:rsidR="00F56BE1" w:rsidRPr="008A0DBE">
        <w:t xml:space="preserve"> reference to the </w:t>
      </w:r>
      <w:r w:rsidR="00F56BE1" w:rsidRPr="008A0DBE">
        <w:rPr>
          <w:i/>
        </w:rPr>
        <w:t>Bankruptcy Act 1966</w:t>
      </w:r>
      <w:r w:rsidR="00F56BE1" w:rsidRPr="008A0DBE">
        <w:t xml:space="preserve"> </w:t>
      </w:r>
      <w:r w:rsidRPr="008A0DBE">
        <w:t>is</w:t>
      </w:r>
      <w:r w:rsidR="00F56BE1" w:rsidRPr="008A0DBE">
        <w:t xml:space="preserve"> also updated to reflect the modern drafting </w:t>
      </w:r>
      <w:r w:rsidRPr="008A0DBE">
        <w:t>practice of only referring to the full name of the Act once in a subsection</w:t>
      </w:r>
      <w:r w:rsidR="00F56BE1" w:rsidRPr="008A0DBE">
        <w:t xml:space="preserve">. </w:t>
      </w:r>
      <w:r w:rsidR="00F56BE1" w:rsidRPr="008A0DBE">
        <w:rPr>
          <w:rStyle w:val="Referencingstyle"/>
        </w:rPr>
        <w:t>[Schedule # item </w:t>
      </w:r>
      <w:r w:rsidR="000F054F" w:rsidRPr="008A0DBE">
        <w:rPr>
          <w:rStyle w:val="Referencingstyle"/>
        </w:rPr>
        <w:t>35</w:t>
      </w:r>
      <w:r w:rsidR="00F56BE1" w:rsidRPr="008A0DBE">
        <w:rPr>
          <w:rStyle w:val="Referencingstyle"/>
        </w:rPr>
        <w:t xml:space="preserve"> subsection 50(8) of the National Credit Code] </w:t>
      </w:r>
    </w:p>
    <w:p w14:paraId="78939920" w14:textId="6A726863" w:rsidR="00F56BE1" w:rsidRPr="008A0DBE" w:rsidRDefault="00E837F5" w:rsidP="008A0DBE">
      <w:pPr>
        <w:pStyle w:val="base-text-paragraph"/>
        <w:numPr>
          <w:ilvl w:val="1"/>
          <w:numId w:val="51"/>
        </w:numPr>
        <w:shd w:val="clear" w:color="auto" w:fill="FFFFFF" w:themeFill="background1"/>
      </w:pPr>
      <w:r w:rsidRPr="008A0DBE">
        <w:t>Part 1 corrects an anomaly in paragraph 150(1)(b) of the National Credit Code</w:t>
      </w:r>
      <w:r w:rsidR="00A87263" w:rsidRPr="008A0DBE">
        <w:t xml:space="preserve"> to provide that, if a comparison rate is included </w:t>
      </w:r>
      <w:r w:rsidR="000D588E" w:rsidRPr="008A0DBE">
        <w:t>‘</w:t>
      </w:r>
      <w:r w:rsidR="00A87263" w:rsidRPr="008A0DBE">
        <w:t>or required to be included</w:t>
      </w:r>
      <w:r w:rsidR="000D588E" w:rsidRPr="008A0DBE">
        <w:t>’</w:t>
      </w:r>
      <w:r w:rsidR="00A87263" w:rsidRPr="008A0DBE">
        <w:t xml:space="preserve"> under Part 10 of the National Credit Code, then the advertisement must comply with Division 2 of that Part</w:t>
      </w:r>
      <w:r w:rsidR="00925F38" w:rsidRPr="008A0DBE">
        <w:t>. This ensures that the provision continues to apply to persons that breach their requirement to include the comparison rate</w:t>
      </w:r>
      <w:r w:rsidR="00A87263" w:rsidRPr="008A0DBE">
        <w:t>.</w:t>
      </w:r>
      <w:r w:rsidR="00F56BE1" w:rsidRPr="008A0DBE">
        <w:rPr>
          <w:rStyle w:val="Referencingstyle"/>
        </w:rPr>
        <w:t xml:space="preserve"> [Sch</w:t>
      </w:r>
      <w:r w:rsidR="00A87263" w:rsidRPr="008A0DBE">
        <w:rPr>
          <w:rStyle w:val="Referencingstyle"/>
        </w:rPr>
        <w:t>edule #, item 36</w:t>
      </w:r>
      <w:r w:rsidR="00F56BE1" w:rsidRPr="008A0DBE">
        <w:rPr>
          <w:rStyle w:val="Referencingstyle"/>
        </w:rPr>
        <w:t>, paragraph 150(1)(b) of the National Credit Code]</w:t>
      </w:r>
      <w:r w:rsidR="00F56BE1" w:rsidRPr="008A0DBE">
        <w:t xml:space="preserve"> </w:t>
      </w:r>
    </w:p>
    <w:p w14:paraId="6E03E3BE" w14:textId="653578A8" w:rsidR="00F56BE1" w:rsidRPr="008A0DBE" w:rsidRDefault="00A87263" w:rsidP="008A0DBE">
      <w:pPr>
        <w:pStyle w:val="base-text-paragraph"/>
        <w:numPr>
          <w:ilvl w:val="1"/>
          <w:numId w:val="51"/>
        </w:numPr>
        <w:shd w:val="clear" w:color="auto" w:fill="FFFFFF" w:themeFill="background1"/>
      </w:pPr>
      <w:r w:rsidRPr="008A0DBE">
        <w:t xml:space="preserve">Part 1 also amends section 150 of the National Credit Code to provide that, if the advertised credit would be provided under a small amount credit contract, then subsection 150(3) (regarding the requirements for an advertisement that includes an annual percentage rate) does not apply. </w:t>
      </w:r>
      <w:r w:rsidR="00925F38" w:rsidRPr="008A0DBE">
        <w:t>S</w:t>
      </w:r>
      <w:r w:rsidR="00E3283E" w:rsidRPr="008A0DBE">
        <w:t xml:space="preserve">mall amount credit contract must not charge interest and </w:t>
      </w:r>
      <w:r w:rsidR="00925F38" w:rsidRPr="008A0DBE">
        <w:t>therefore</w:t>
      </w:r>
      <w:r w:rsidR="00E3283E" w:rsidRPr="008A0DBE">
        <w:t xml:space="preserve"> should not include an annual percentage rate.</w:t>
      </w:r>
      <w:r w:rsidR="00F56BE1" w:rsidRPr="008A0DBE">
        <w:rPr>
          <w:rStyle w:val="Referencingstyle"/>
        </w:rPr>
        <w:t xml:space="preserve"> [Schedule #, item </w:t>
      </w:r>
      <w:r w:rsidR="000F054F" w:rsidRPr="008A0DBE">
        <w:rPr>
          <w:rStyle w:val="Referencingstyle"/>
        </w:rPr>
        <w:t>37</w:t>
      </w:r>
      <w:r w:rsidR="00F56BE1" w:rsidRPr="008A0DBE">
        <w:rPr>
          <w:rStyle w:val="Referencingstyle"/>
        </w:rPr>
        <w:t xml:space="preserve">, </w:t>
      </w:r>
      <w:r w:rsidR="000F054F" w:rsidRPr="008A0DBE">
        <w:rPr>
          <w:rStyle w:val="Referencingstyle"/>
        </w:rPr>
        <w:t>subsection</w:t>
      </w:r>
      <w:r w:rsidR="00F56BE1" w:rsidRPr="008A0DBE">
        <w:rPr>
          <w:rStyle w:val="Referencingstyle"/>
        </w:rPr>
        <w:t xml:space="preserve"> 150(3</w:t>
      </w:r>
      <w:r w:rsidR="000F054F" w:rsidRPr="008A0DBE">
        <w:rPr>
          <w:rStyle w:val="Referencingstyle"/>
        </w:rPr>
        <w:t>A</w:t>
      </w:r>
      <w:r w:rsidR="00F56BE1" w:rsidRPr="008A0DBE">
        <w:rPr>
          <w:rStyle w:val="Referencingstyle"/>
        </w:rPr>
        <w:t>) of the National Credit Code]</w:t>
      </w:r>
      <w:r w:rsidR="00F56BE1" w:rsidRPr="008A0DBE">
        <w:t xml:space="preserve"> </w:t>
      </w:r>
    </w:p>
    <w:p w14:paraId="4702EA9C" w14:textId="34DAC7B3" w:rsidR="00D32F60" w:rsidRPr="008A0DBE" w:rsidRDefault="00B1451C" w:rsidP="008A0DBE">
      <w:pPr>
        <w:pStyle w:val="Heading4"/>
        <w:shd w:val="clear" w:color="auto" w:fill="FFFFFF" w:themeFill="background1"/>
      </w:pPr>
      <w:r w:rsidRPr="008A0DBE">
        <w:t xml:space="preserve">Amendments to the </w:t>
      </w:r>
      <w:r w:rsidR="00E03D57" w:rsidRPr="008A0DBE">
        <w:t>National Consumer Credit (Transitional and Consequential Provisions) Act 2009</w:t>
      </w:r>
    </w:p>
    <w:p w14:paraId="249FA989" w14:textId="04F31AEF" w:rsidR="00E03D57" w:rsidRPr="008A0DBE" w:rsidRDefault="00E03D57" w:rsidP="008A0DBE">
      <w:pPr>
        <w:pStyle w:val="base-text-paragraph"/>
        <w:numPr>
          <w:ilvl w:val="1"/>
          <w:numId w:val="51"/>
        </w:numPr>
        <w:shd w:val="clear" w:color="auto" w:fill="FFFFFF" w:themeFill="background1"/>
      </w:pPr>
      <w:r w:rsidRPr="008A0DBE">
        <w:t xml:space="preserve">Schedule 3 to the </w:t>
      </w:r>
      <w:r w:rsidR="00707D87" w:rsidRPr="008A0DBE">
        <w:rPr>
          <w:i/>
        </w:rPr>
        <w:t>National Consumer Credit (Transitional and Consequential Provisions) Act 2009</w:t>
      </w:r>
      <w:r w:rsidR="00707D87" w:rsidRPr="008A0DBE">
        <w:t xml:space="preserve"> is repealed. </w:t>
      </w:r>
      <w:r w:rsidRPr="008A0DBE">
        <w:t>This Schedule amended a Schedule that commenced on 1 April 2010, made its amendments and then became spent.</w:t>
      </w:r>
      <w:r w:rsidR="00707D87" w:rsidRPr="008A0DBE">
        <w:t xml:space="preserve"> A cross-reference to the Schedule in a table is also removed.</w:t>
      </w:r>
      <w:r w:rsidRPr="008A0DBE">
        <w:t xml:space="preserve"> </w:t>
      </w:r>
      <w:r w:rsidRPr="008A0DBE">
        <w:rPr>
          <w:rStyle w:val="Referencingstyle"/>
        </w:rPr>
        <w:t>[Schedule #, item</w:t>
      </w:r>
      <w:r w:rsidR="00707D87" w:rsidRPr="008A0DBE">
        <w:rPr>
          <w:rStyle w:val="Referencingstyle"/>
        </w:rPr>
        <w:t xml:space="preserve">s </w:t>
      </w:r>
      <w:r w:rsidR="000F054F" w:rsidRPr="008A0DBE">
        <w:rPr>
          <w:rStyle w:val="Referencingstyle"/>
        </w:rPr>
        <w:t>38</w:t>
      </w:r>
      <w:r w:rsidR="00707D87" w:rsidRPr="008A0DBE">
        <w:rPr>
          <w:rStyle w:val="Referencingstyle"/>
        </w:rPr>
        <w:t xml:space="preserve"> and </w:t>
      </w:r>
      <w:r w:rsidR="00576D42" w:rsidRPr="008A0DBE">
        <w:rPr>
          <w:rStyle w:val="Referencingstyle"/>
        </w:rPr>
        <w:t>43</w:t>
      </w:r>
      <w:r w:rsidRPr="008A0DBE">
        <w:rPr>
          <w:rStyle w:val="Referencingstyle"/>
        </w:rPr>
        <w:t xml:space="preserve">, </w:t>
      </w:r>
      <w:r w:rsidR="00576D42" w:rsidRPr="008A0DBE">
        <w:rPr>
          <w:rStyle w:val="Referencingstyle"/>
        </w:rPr>
        <w:t xml:space="preserve">subsection 2(1) and </w:t>
      </w:r>
      <w:r w:rsidRPr="008A0DBE">
        <w:rPr>
          <w:rStyle w:val="Referencingstyle"/>
        </w:rPr>
        <w:t xml:space="preserve">Schedule 3 </w:t>
      </w:r>
      <w:r w:rsidR="00576D42" w:rsidRPr="008A0DBE">
        <w:rPr>
          <w:rStyle w:val="Referencingstyle"/>
        </w:rPr>
        <w:t xml:space="preserve">to </w:t>
      </w:r>
      <w:r w:rsidRPr="008A0DBE">
        <w:rPr>
          <w:rStyle w:val="Referencingstyle"/>
        </w:rPr>
        <w:t>the National Consumer Credit (Transitional and Consequential Provisions) Act 2009]</w:t>
      </w:r>
      <w:r w:rsidRPr="008A0DBE">
        <w:t xml:space="preserve"> </w:t>
      </w:r>
    </w:p>
    <w:p w14:paraId="218DCA42" w14:textId="3978B8A4" w:rsidR="00707D87" w:rsidRPr="008A0DBE" w:rsidRDefault="00707D87" w:rsidP="008A0DBE">
      <w:pPr>
        <w:pStyle w:val="base-text-paragraph"/>
        <w:numPr>
          <w:ilvl w:val="1"/>
          <w:numId w:val="51"/>
        </w:numPr>
        <w:shd w:val="clear" w:color="auto" w:fill="FFFFFF" w:themeFill="background1"/>
        <w:rPr>
          <w:rStyle w:val="Referencingstyle"/>
          <w:b w:val="0"/>
          <w:i w:val="0"/>
          <w:sz w:val="22"/>
        </w:rPr>
      </w:pPr>
      <w:r w:rsidRPr="008A0DBE">
        <w:t xml:space="preserve">References to the </w:t>
      </w:r>
      <w:r w:rsidRPr="008A0DBE">
        <w:rPr>
          <w:i/>
        </w:rPr>
        <w:t>Legislative Instruments Act 2003</w:t>
      </w:r>
      <w:r w:rsidRPr="008A0DBE">
        <w:t xml:space="preserve"> are also updated so that they refer to the </w:t>
      </w:r>
      <w:r w:rsidRPr="008A0DBE">
        <w:rPr>
          <w:i/>
        </w:rPr>
        <w:t xml:space="preserve">Legislation Act </w:t>
      </w:r>
      <w:r w:rsidRPr="008A0DBE">
        <w:t xml:space="preserve">2003. The </w:t>
      </w:r>
      <w:r w:rsidRPr="008A0DBE">
        <w:rPr>
          <w:i/>
        </w:rPr>
        <w:t>Legislative Instruments Act 2003</w:t>
      </w:r>
      <w:r w:rsidRPr="008A0DBE">
        <w:t xml:space="preserve"> was renamed the </w:t>
      </w:r>
      <w:r w:rsidRPr="008A0DBE">
        <w:rPr>
          <w:i/>
        </w:rPr>
        <w:t xml:space="preserve">Legislation Act 2003 </w:t>
      </w:r>
      <w:r w:rsidRPr="008A0DBE">
        <w:t xml:space="preserve">as a result of reforms in 2015. </w:t>
      </w:r>
      <w:r w:rsidRPr="008A0DBE">
        <w:rPr>
          <w:rStyle w:val="Referencingstyle"/>
        </w:rPr>
        <w:t xml:space="preserve">[Schedule #, items </w:t>
      </w:r>
      <w:r w:rsidR="000F054F" w:rsidRPr="008A0DBE">
        <w:rPr>
          <w:rStyle w:val="Referencingstyle"/>
        </w:rPr>
        <w:t>39 to 41</w:t>
      </w:r>
      <w:r w:rsidRPr="008A0DBE">
        <w:rPr>
          <w:rStyle w:val="Referencingstyle"/>
        </w:rPr>
        <w:t>, subsection 6(4) and paragraph 6(5)(a) of the National Consumer Credit (Transitional and Consequential Provisions) Act 2009</w:t>
      </w:r>
      <w:r w:rsidR="00FE675F" w:rsidRPr="008A0DBE">
        <w:rPr>
          <w:rStyle w:val="Referencingstyle"/>
        </w:rPr>
        <w:t xml:space="preserve"> and subitem </w:t>
      </w:r>
      <w:r w:rsidRPr="008A0DBE">
        <w:rPr>
          <w:rStyle w:val="Referencingstyle"/>
        </w:rPr>
        <w:t xml:space="preserve">41(6) of Schedule 2 to that Act] </w:t>
      </w:r>
    </w:p>
    <w:p w14:paraId="623EDCC3" w14:textId="6B152710" w:rsidR="00FE675F" w:rsidRPr="008A0DBE" w:rsidRDefault="00FE675F" w:rsidP="008A0DBE">
      <w:pPr>
        <w:pStyle w:val="base-text-paragraph"/>
        <w:numPr>
          <w:ilvl w:val="1"/>
          <w:numId w:val="51"/>
        </w:numPr>
        <w:shd w:val="clear" w:color="auto" w:fill="FFFFFF" w:themeFill="background1"/>
      </w:pPr>
      <w:r w:rsidRPr="008A0DBE">
        <w:t>A spelling error (‘one-fourtieth’)</w:t>
      </w:r>
      <w:r w:rsidR="00707D87" w:rsidRPr="008A0DBE">
        <w:t xml:space="preserve"> is also corrected</w:t>
      </w:r>
      <w:r w:rsidRPr="008A0DBE">
        <w:t xml:space="preserve">. </w:t>
      </w:r>
      <w:r w:rsidRPr="008A0DBE">
        <w:rPr>
          <w:rStyle w:val="Referencingstyle"/>
        </w:rPr>
        <w:t xml:space="preserve">[Schedule </w:t>
      </w:r>
      <w:r w:rsidR="00707D87" w:rsidRPr="008A0DBE">
        <w:rPr>
          <w:rStyle w:val="Referencingstyle"/>
        </w:rPr>
        <w:t>#</w:t>
      </w:r>
      <w:r w:rsidRPr="008A0DBE">
        <w:rPr>
          <w:rStyle w:val="Referencingstyle"/>
        </w:rPr>
        <w:t xml:space="preserve">, item </w:t>
      </w:r>
      <w:r w:rsidR="00707D87" w:rsidRPr="008A0DBE">
        <w:rPr>
          <w:rStyle w:val="Referencingstyle"/>
        </w:rPr>
        <w:t>4</w:t>
      </w:r>
      <w:r w:rsidR="000F054F" w:rsidRPr="008A0DBE">
        <w:rPr>
          <w:rStyle w:val="Referencingstyle"/>
        </w:rPr>
        <w:t>2</w:t>
      </w:r>
      <w:r w:rsidRPr="008A0DBE">
        <w:rPr>
          <w:rStyle w:val="Referencingstyle"/>
        </w:rPr>
        <w:t>, subitem 43(2) of Schedule 2 of the NCCP Transitional Act]</w:t>
      </w:r>
      <w:r w:rsidRPr="008A0DBE">
        <w:t xml:space="preserve"> </w:t>
      </w:r>
    </w:p>
    <w:p w14:paraId="360BF2EF" w14:textId="0CF68299" w:rsidR="00D00A5D" w:rsidRPr="008A0DBE" w:rsidRDefault="00D00A5D" w:rsidP="008A0DBE">
      <w:pPr>
        <w:pStyle w:val="Heading4"/>
        <w:shd w:val="clear" w:color="auto" w:fill="FFFFFF" w:themeFill="background1"/>
      </w:pPr>
      <w:r w:rsidRPr="008A0DBE">
        <w:t xml:space="preserve">Amendments to the Product </w:t>
      </w:r>
      <w:r w:rsidR="00A3472A" w:rsidRPr="008A0DBE">
        <w:t>Grants</w:t>
      </w:r>
      <w:r w:rsidRPr="008A0DBE">
        <w:t xml:space="preserve"> and Benefits Administration Act </w:t>
      </w:r>
      <w:r w:rsidR="00B622DB" w:rsidRPr="008A0DBE">
        <w:t>2000</w:t>
      </w:r>
      <w:r w:rsidRPr="008A0DBE">
        <w:t xml:space="preserve"> </w:t>
      </w:r>
    </w:p>
    <w:p w14:paraId="117B5ED9" w14:textId="77777777" w:rsidR="000D588E" w:rsidRPr="008A0DBE" w:rsidRDefault="000B3A8F" w:rsidP="008A0DBE">
      <w:pPr>
        <w:pStyle w:val="base-text-paragraph"/>
        <w:numPr>
          <w:ilvl w:val="1"/>
          <w:numId w:val="51"/>
        </w:numPr>
        <w:shd w:val="clear" w:color="auto" w:fill="FFFFFF" w:themeFill="background1"/>
      </w:pPr>
      <w:r w:rsidRPr="008A0DBE">
        <w:t>Part 1</w:t>
      </w:r>
      <w:r w:rsidR="00B1451C" w:rsidRPr="008A0DBE">
        <w:t xml:space="preserve">, together with </w:t>
      </w:r>
      <w:r w:rsidR="00D00A5D" w:rsidRPr="008A0DBE">
        <w:t xml:space="preserve">the </w:t>
      </w:r>
      <w:r w:rsidR="00B1451C" w:rsidRPr="008A0DBE">
        <w:rPr>
          <w:i/>
        </w:rPr>
        <w:t>Treasury Laws Amendment (Measures for a Later Sitting) Regulations 2019</w:t>
      </w:r>
      <w:r w:rsidR="00B1451C" w:rsidRPr="008A0DBE">
        <w:t>,</w:t>
      </w:r>
      <w:r w:rsidR="00D00A5D" w:rsidRPr="008A0DBE">
        <w:t xml:space="preserve"> effect red tape reduction </w:t>
      </w:r>
      <w:r w:rsidR="00B1451C" w:rsidRPr="008A0DBE">
        <w:t>by</w:t>
      </w:r>
      <w:r w:rsidR="00D00A5D" w:rsidRPr="008A0DBE">
        <w:t xml:space="preserve"> </w:t>
      </w:r>
      <w:r w:rsidR="00B1451C" w:rsidRPr="008A0DBE">
        <w:t>moving</w:t>
      </w:r>
      <w:r w:rsidR="00D00A5D" w:rsidRPr="008A0DBE">
        <w:t xml:space="preserve"> the </w:t>
      </w:r>
      <w:r w:rsidR="00B1451C" w:rsidRPr="008A0DBE">
        <w:t>only</w:t>
      </w:r>
      <w:r w:rsidR="00D00A5D" w:rsidRPr="008A0DBE">
        <w:t xml:space="preserve"> requirement currently prescribed in the </w:t>
      </w:r>
      <w:r w:rsidR="00D00A5D" w:rsidRPr="008A0DBE">
        <w:rPr>
          <w:i/>
        </w:rPr>
        <w:t xml:space="preserve">Product </w:t>
      </w:r>
      <w:r w:rsidR="00A3472A" w:rsidRPr="008A0DBE">
        <w:rPr>
          <w:i/>
        </w:rPr>
        <w:t>Grants</w:t>
      </w:r>
      <w:r w:rsidR="00D00A5D" w:rsidRPr="008A0DBE">
        <w:rPr>
          <w:i/>
        </w:rPr>
        <w:t xml:space="preserve"> and Benefits Administration Regulations 2000</w:t>
      </w:r>
      <w:r w:rsidR="00B1451C" w:rsidRPr="008A0DBE">
        <w:t xml:space="preserve"> into the </w:t>
      </w:r>
      <w:r w:rsidR="00B1451C" w:rsidRPr="008A0DBE">
        <w:rPr>
          <w:i/>
        </w:rPr>
        <w:t>Product Grants and Benefits Administration Act 2000</w:t>
      </w:r>
      <w:r w:rsidR="00D00A5D" w:rsidRPr="008A0DBE">
        <w:t xml:space="preserve">. </w:t>
      </w:r>
    </w:p>
    <w:p w14:paraId="09AD0611" w14:textId="1C2F21E0" w:rsidR="000D588E" w:rsidRPr="008A0DBE" w:rsidRDefault="00D00A5D" w:rsidP="008A0DBE">
      <w:pPr>
        <w:pStyle w:val="base-text-paragraph"/>
        <w:numPr>
          <w:ilvl w:val="1"/>
          <w:numId w:val="51"/>
        </w:numPr>
        <w:shd w:val="clear" w:color="auto" w:fill="FFFFFF" w:themeFill="background1"/>
      </w:pPr>
      <w:r w:rsidRPr="008A0DBE">
        <w:t xml:space="preserve">Regulation 4B of the </w:t>
      </w:r>
      <w:r w:rsidRPr="008A0DBE">
        <w:rPr>
          <w:i/>
        </w:rPr>
        <w:t xml:space="preserve">Product </w:t>
      </w:r>
      <w:r w:rsidR="00A3472A" w:rsidRPr="008A0DBE">
        <w:rPr>
          <w:i/>
        </w:rPr>
        <w:t>Grants</w:t>
      </w:r>
      <w:r w:rsidRPr="008A0DBE">
        <w:rPr>
          <w:i/>
        </w:rPr>
        <w:t xml:space="preserve"> and Benefits Administration Regulations 2000</w:t>
      </w:r>
      <w:r w:rsidRPr="008A0DBE">
        <w:t xml:space="preserve"> requires that an applicant for registration for entitlement to a product stewardship (oil) benefit must comply with relevant Commonwealth, State or Territory legislation relating to oil recycling operations or enterprises. </w:t>
      </w:r>
    </w:p>
    <w:p w14:paraId="03739BA3" w14:textId="5733593A" w:rsidR="00D00A5D" w:rsidRPr="008A0DBE" w:rsidRDefault="000B3A8F" w:rsidP="008A0DBE">
      <w:pPr>
        <w:pStyle w:val="base-text-paragraph"/>
        <w:numPr>
          <w:ilvl w:val="1"/>
          <w:numId w:val="51"/>
        </w:numPr>
        <w:shd w:val="clear" w:color="auto" w:fill="FFFFFF" w:themeFill="background1"/>
      </w:pPr>
      <w:r w:rsidRPr="008A0DBE">
        <w:t>Regulation 4B also prescribes</w:t>
      </w:r>
      <w:r w:rsidR="00D00A5D" w:rsidRPr="008A0DBE">
        <w:t xml:space="preserve"> that the Commissioner must refuse such an application if an authority informs the Commissioner that the applicant does not comply with </w:t>
      </w:r>
      <w:r w:rsidRPr="008A0DBE">
        <w:t>the</w:t>
      </w:r>
      <w:r w:rsidR="00D00A5D" w:rsidRPr="008A0DBE">
        <w:t xml:space="preserve"> legislation. </w:t>
      </w:r>
      <w:r w:rsidRPr="008A0DBE">
        <w:t>Part 1 inserts a</w:t>
      </w:r>
      <w:r w:rsidR="00D00A5D" w:rsidRPr="008A0DBE">
        <w:t xml:space="preserve">n equivalent requirement into subsection 9(3A) of the </w:t>
      </w:r>
      <w:r w:rsidR="00D00A5D" w:rsidRPr="008A0DBE">
        <w:rPr>
          <w:i/>
        </w:rPr>
        <w:t xml:space="preserve">Product </w:t>
      </w:r>
      <w:r w:rsidR="00A3472A" w:rsidRPr="008A0DBE">
        <w:rPr>
          <w:i/>
        </w:rPr>
        <w:t xml:space="preserve">Grants and </w:t>
      </w:r>
      <w:r w:rsidR="00D00A5D" w:rsidRPr="008A0DBE">
        <w:rPr>
          <w:i/>
        </w:rPr>
        <w:t>Benefits and Administration Act</w:t>
      </w:r>
      <w:r w:rsidR="00B1451C" w:rsidRPr="008A0DBE">
        <w:rPr>
          <w:i/>
        </w:rPr>
        <w:t xml:space="preserve"> 2000</w:t>
      </w:r>
      <w:r w:rsidR="00D00A5D" w:rsidRPr="008A0DBE">
        <w:t xml:space="preserve">. </w:t>
      </w:r>
      <w:r w:rsidRPr="008A0DBE">
        <w:t>The</w:t>
      </w:r>
      <w:r w:rsidRPr="008A0DBE">
        <w:rPr>
          <w:i/>
        </w:rPr>
        <w:t xml:space="preserve"> Treasury Laws Amendment (Measures for a Later Sitting) Regulations 2019</w:t>
      </w:r>
      <w:r w:rsidRPr="008A0DBE">
        <w:t xml:space="preserve"> </w:t>
      </w:r>
      <w:r w:rsidR="000D588E" w:rsidRPr="008A0DBE">
        <w:t xml:space="preserve">will then </w:t>
      </w:r>
      <w:r w:rsidRPr="008A0DBE">
        <w:t xml:space="preserve">repeal the </w:t>
      </w:r>
      <w:r w:rsidRPr="008A0DBE">
        <w:rPr>
          <w:i/>
        </w:rPr>
        <w:t>Product and Benefits Administration Regulations 2000</w:t>
      </w:r>
      <w:r w:rsidRPr="008A0DBE">
        <w:t xml:space="preserve">. </w:t>
      </w:r>
      <w:r w:rsidR="00D00A5D" w:rsidRPr="008A0DBE">
        <w:rPr>
          <w:i/>
        </w:rPr>
        <w:t>[</w:t>
      </w:r>
      <w:r w:rsidR="00D00A5D" w:rsidRPr="008A0DBE">
        <w:rPr>
          <w:rStyle w:val="Referencingstyle"/>
        </w:rPr>
        <w:t xml:space="preserve">Schedule </w:t>
      </w:r>
      <w:r w:rsidR="00B1451C" w:rsidRPr="008A0DBE">
        <w:rPr>
          <w:rStyle w:val="Referencingstyle"/>
        </w:rPr>
        <w:t>#,</w:t>
      </w:r>
      <w:r w:rsidR="00D00A5D" w:rsidRPr="008A0DBE">
        <w:rPr>
          <w:rStyle w:val="Referencingstyle"/>
        </w:rPr>
        <w:t xml:space="preserve"> item 4</w:t>
      </w:r>
      <w:r w:rsidR="000F054F" w:rsidRPr="008A0DBE">
        <w:rPr>
          <w:rStyle w:val="Referencingstyle"/>
        </w:rPr>
        <w:t>6</w:t>
      </w:r>
      <w:r w:rsidR="00D00A5D" w:rsidRPr="008A0DBE">
        <w:rPr>
          <w:rStyle w:val="Referencingstyle"/>
        </w:rPr>
        <w:t xml:space="preserve">, </w:t>
      </w:r>
      <w:r w:rsidR="00B1451C" w:rsidRPr="008A0DBE">
        <w:rPr>
          <w:rStyle w:val="Referencingstyle"/>
        </w:rPr>
        <w:t>paragraph</w:t>
      </w:r>
      <w:r w:rsidR="00D00A5D" w:rsidRPr="008A0DBE">
        <w:rPr>
          <w:rStyle w:val="Referencingstyle"/>
        </w:rPr>
        <w:t xml:space="preserve"> 9(3A</w:t>
      </w:r>
      <w:r w:rsidR="00F846C4" w:rsidRPr="008A0DBE">
        <w:rPr>
          <w:rStyle w:val="Referencingstyle"/>
        </w:rPr>
        <w:t>)</w:t>
      </w:r>
      <w:r w:rsidR="002F5A40" w:rsidRPr="008A0DBE">
        <w:rPr>
          <w:rStyle w:val="Referencingstyle"/>
        </w:rPr>
        <w:t>(ba)</w:t>
      </w:r>
      <w:r w:rsidR="00D00A5D" w:rsidRPr="008A0DBE">
        <w:rPr>
          <w:rStyle w:val="Referencingstyle"/>
        </w:rPr>
        <w:t xml:space="preserve"> of the Product and Benefits Administration Act 2000]</w:t>
      </w:r>
    </w:p>
    <w:p w14:paraId="05266368" w14:textId="32837F4D" w:rsidR="00D00A5D" w:rsidRPr="008A0DBE" w:rsidRDefault="00D00A5D" w:rsidP="008A0DBE">
      <w:pPr>
        <w:pStyle w:val="base-text-paragraph"/>
        <w:numPr>
          <w:ilvl w:val="1"/>
          <w:numId w:val="51"/>
        </w:numPr>
        <w:shd w:val="clear" w:color="auto" w:fill="FFFFFF" w:themeFill="background1"/>
        <w:rPr>
          <w:rStyle w:val="Referencingstyle"/>
          <w:b w:val="0"/>
          <w:i w:val="0"/>
          <w:sz w:val="22"/>
        </w:rPr>
      </w:pPr>
      <w:r w:rsidRPr="008A0DBE">
        <w:t xml:space="preserve">An additional amendment is made to section 9 of the </w:t>
      </w:r>
      <w:r w:rsidRPr="008A0DBE">
        <w:rPr>
          <w:i/>
        </w:rPr>
        <w:t xml:space="preserve">Product </w:t>
      </w:r>
      <w:r w:rsidR="00A3472A" w:rsidRPr="008A0DBE">
        <w:rPr>
          <w:i/>
        </w:rPr>
        <w:t xml:space="preserve">Grants and </w:t>
      </w:r>
      <w:r w:rsidRPr="008A0DBE">
        <w:rPr>
          <w:i/>
        </w:rPr>
        <w:t>Benefits and Administration Act 2000</w:t>
      </w:r>
      <w:r w:rsidRPr="008A0DBE">
        <w:t xml:space="preserve"> </w:t>
      </w:r>
      <w:r w:rsidR="00B1451C" w:rsidRPr="008A0DBE">
        <w:t xml:space="preserve">to clarify </w:t>
      </w:r>
      <w:r w:rsidRPr="008A0DBE">
        <w:t xml:space="preserve">that the recycling obligations relate to oil. </w:t>
      </w:r>
      <w:r w:rsidRPr="008A0DBE">
        <w:rPr>
          <w:i/>
        </w:rPr>
        <w:t>[</w:t>
      </w:r>
      <w:r w:rsidRPr="008A0DBE">
        <w:rPr>
          <w:rStyle w:val="Referencingstyle"/>
        </w:rPr>
        <w:t xml:space="preserve">Schedule </w:t>
      </w:r>
      <w:r w:rsidR="002F5A40" w:rsidRPr="008A0DBE">
        <w:rPr>
          <w:rStyle w:val="Referencingstyle"/>
        </w:rPr>
        <w:t>#</w:t>
      </w:r>
      <w:r w:rsidRPr="008A0DBE">
        <w:rPr>
          <w:rStyle w:val="Referencingstyle"/>
        </w:rPr>
        <w:t xml:space="preserve">, </w:t>
      </w:r>
      <w:r w:rsidRPr="008A0DBE">
        <w:rPr>
          <w:b/>
          <w:i/>
          <w:sz w:val="18"/>
          <w:szCs w:val="18"/>
        </w:rPr>
        <w:t>item</w:t>
      </w:r>
      <w:r w:rsidRPr="008A0DBE">
        <w:rPr>
          <w:rStyle w:val="Referencingstyle"/>
        </w:rPr>
        <w:t xml:space="preserve"> </w:t>
      </w:r>
      <w:r w:rsidR="000F054F" w:rsidRPr="008A0DBE">
        <w:rPr>
          <w:rStyle w:val="Referencingstyle"/>
        </w:rPr>
        <w:t>45</w:t>
      </w:r>
      <w:r w:rsidRPr="008A0DBE">
        <w:rPr>
          <w:rStyle w:val="Referencingstyle"/>
        </w:rPr>
        <w:t xml:space="preserve">, </w:t>
      </w:r>
      <w:r w:rsidR="000F054F" w:rsidRPr="008A0DBE">
        <w:rPr>
          <w:rStyle w:val="Referencingstyle"/>
        </w:rPr>
        <w:t>subparagraph</w:t>
      </w:r>
      <w:r w:rsidRPr="008A0DBE">
        <w:rPr>
          <w:rStyle w:val="Referencingstyle"/>
        </w:rPr>
        <w:t xml:space="preserve"> 9(3A)</w:t>
      </w:r>
      <w:r w:rsidR="000F054F" w:rsidRPr="008A0DBE">
        <w:rPr>
          <w:rStyle w:val="Referencingstyle"/>
        </w:rPr>
        <w:t>(b)(i)</w:t>
      </w:r>
      <w:r w:rsidRPr="008A0DBE">
        <w:rPr>
          <w:rStyle w:val="Referencingstyle"/>
        </w:rPr>
        <w:t xml:space="preserve"> of the Product and Benefits Administration Act 2000]</w:t>
      </w:r>
    </w:p>
    <w:p w14:paraId="2CC0402F" w14:textId="14F98EA3" w:rsidR="00D00A5D" w:rsidRPr="008A0DBE" w:rsidRDefault="00D00A5D" w:rsidP="008A0DBE">
      <w:pPr>
        <w:pStyle w:val="base-text-paragraph"/>
        <w:numPr>
          <w:ilvl w:val="1"/>
          <w:numId w:val="51"/>
        </w:numPr>
        <w:shd w:val="clear" w:color="auto" w:fill="FFFFFF" w:themeFill="background1"/>
        <w:rPr>
          <w:rStyle w:val="Referencingstyle"/>
        </w:rPr>
      </w:pPr>
      <w:r w:rsidRPr="008A0DBE">
        <w:t xml:space="preserve">The amendments apply </w:t>
      </w:r>
      <w:r w:rsidR="00B622DB" w:rsidRPr="008A0DBE">
        <w:t>to applications made</w:t>
      </w:r>
      <w:r w:rsidRPr="008A0DBE">
        <w:t xml:space="preserve"> after the commencement of Part</w:t>
      </w:r>
      <w:r w:rsidR="00B622DB" w:rsidRPr="008A0DBE">
        <w:t xml:space="preserve"> 1 </w:t>
      </w:r>
      <w:r w:rsidR="00C06B7F" w:rsidRPr="008A0DBE">
        <w:t>of</w:t>
      </w:r>
      <w:r w:rsidR="00B622DB" w:rsidRPr="008A0DBE">
        <w:t xml:space="preserve"> </w:t>
      </w:r>
      <w:r w:rsidRPr="008A0DBE">
        <w:t xml:space="preserve">the </w:t>
      </w:r>
      <w:r w:rsidR="00B622DB" w:rsidRPr="008A0DBE">
        <w:t>Bill</w:t>
      </w:r>
      <w:r w:rsidRPr="008A0DBE">
        <w:t>.</w:t>
      </w:r>
      <w:r w:rsidR="00B622DB" w:rsidRPr="008A0DBE">
        <w:t xml:space="preserve"> The Regulations continue to apply to any applications made before Part 1 commences.</w:t>
      </w:r>
      <w:r w:rsidRPr="008A0DBE">
        <w:t xml:space="preserve"> </w:t>
      </w:r>
      <w:r w:rsidRPr="008A0DBE">
        <w:rPr>
          <w:i/>
        </w:rPr>
        <w:t>[</w:t>
      </w:r>
      <w:r w:rsidRPr="008A0DBE">
        <w:rPr>
          <w:rStyle w:val="Referencingstyle"/>
          <w:i w:val="0"/>
        </w:rPr>
        <w:t xml:space="preserve">Schedule </w:t>
      </w:r>
      <w:r w:rsidR="00B622DB" w:rsidRPr="008A0DBE">
        <w:rPr>
          <w:rStyle w:val="Referencingstyle"/>
          <w:i w:val="0"/>
        </w:rPr>
        <w:t>#</w:t>
      </w:r>
      <w:r w:rsidRPr="008A0DBE">
        <w:rPr>
          <w:rStyle w:val="Referencingstyle"/>
          <w:i w:val="0"/>
        </w:rPr>
        <w:t xml:space="preserve">, </w:t>
      </w:r>
      <w:r w:rsidRPr="008A0DBE">
        <w:rPr>
          <w:rStyle w:val="Referencingstyle"/>
        </w:rPr>
        <w:t xml:space="preserve">item </w:t>
      </w:r>
      <w:r w:rsidR="000F054F" w:rsidRPr="008A0DBE">
        <w:rPr>
          <w:rStyle w:val="Referencingstyle"/>
        </w:rPr>
        <w:t>47</w:t>
      </w:r>
      <w:r w:rsidR="00C431F8" w:rsidRPr="008A0DBE">
        <w:rPr>
          <w:rStyle w:val="Referencingstyle"/>
        </w:rPr>
        <w:t>]</w:t>
      </w:r>
    </w:p>
    <w:p w14:paraId="32E84616" w14:textId="6B01A755" w:rsidR="00D1661D" w:rsidRPr="008A0DBE" w:rsidRDefault="00D1661D" w:rsidP="008A0DBE">
      <w:pPr>
        <w:pStyle w:val="Heading4"/>
        <w:shd w:val="clear" w:color="auto" w:fill="FFFFFF" w:themeFill="background1"/>
      </w:pPr>
      <w:r w:rsidRPr="008A0DBE">
        <w:t>Amendments to the S</w:t>
      </w:r>
      <w:r w:rsidR="00B622DB" w:rsidRPr="008A0DBE">
        <w:t xml:space="preserve">uperannuation </w:t>
      </w:r>
      <w:r w:rsidRPr="008A0DBE">
        <w:t>I</w:t>
      </w:r>
      <w:r w:rsidR="00B622DB" w:rsidRPr="008A0DBE">
        <w:t>ndustry (Supervision)</w:t>
      </w:r>
      <w:r w:rsidRPr="008A0DBE">
        <w:t xml:space="preserve"> Act</w:t>
      </w:r>
      <w:r w:rsidR="00B622DB" w:rsidRPr="008A0DBE">
        <w:t xml:space="preserve"> 1993</w:t>
      </w:r>
    </w:p>
    <w:p w14:paraId="13D58FF0" w14:textId="69FBC88E" w:rsidR="00D1661D" w:rsidRPr="008A0DBE" w:rsidRDefault="00D1661D" w:rsidP="008A0DBE">
      <w:pPr>
        <w:pStyle w:val="Heading5"/>
        <w:shd w:val="clear" w:color="auto" w:fill="FFFFFF" w:themeFill="background1"/>
      </w:pPr>
      <w:r w:rsidRPr="008A0DBE">
        <w:t xml:space="preserve">Involved in a contravention </w:t>
      </w:r>
    </w:p>
    <w:p w14:paraId="02FFAAC8" w14:textId="3C8E3B98" w:rsidR="00D1661D" w:rsidRPr="008A0DBE" w:rsidRDefault="00B622DB" w:rsidP="008A0DBE">
      <w:pPr>
        <w:pStyle w:val="base-text-paragraph"/>
        <w:numPr>
          <w:ilvl w:val="1"/>
          <w:numId w:val="51"/>
        </w:numPr>
        <w:shd w:val="clear" w:color="auto" w:fill="FFFFFF" w:themeFill="background1"/>
      </w:pPr>
      <w:r w:rsidRPr="008A0DBE">
        <w:t>Part 1</w:t>
      </w:r>
      <w:r w:rsidR="00D1661D" w:rsidRPr="008A0DBE">
        <w:t xml:space="preserve"> </w:t>
      </w:r>
      <w:r w:rsidR="00F86848" w:rsidRPr="008A0DBE">
        <w:t xml:space="preserve">amends the </w:t>
      </w:r>
      <w:r w:rsidR="00F86848" w:rsidRPr="008A0DBE">
        <w:rPr>
          <w:i/>
        </w:rPr>
        <w:t>Superannuation Industry (Supervision) Act 1993</w:t>
      </w:r>
      <w:r w:rsidR="00D1661D" w:rsidRPr="008A0DBE">
        <w:t xml:space="preserve"> to clarify when a person has been ‘involved’ in a contravention of a provision, other than an offence provision.</w:t>
      </w:r>
    </w:p>
    <w:p w14:paraId="25475DCD" w14:textId="77777777" w:rsidR="00D1661D" w:rsidRPr="008A0DBE" w:rsidRDefault="00D1661D" w:rsidP="008A0DBE">
      <w:pPr>
        <w:pStyle w:val="base-text-paragraph"/>
        <w:numPr>
          <w:ilvl w:val="1"/>
          <w:numId w:val="51"/>
        </w:numPr>
        <w:shd w:val="clear" w:color="auto" w:fill="FFFFFF" w:themeFill="background1"/>
      </w:pPr>
      <w:r w:rsidRPr="008A0DBE">
        <w:t xml:space="preserve"> A person is involved in a contravention of a provision that is not an offence if, and only if, the person:</w:t>
      </w:r>
    </w:p>
    <w:p w14:paraId="3DE63C38" w14:textId="77777777" w:rsidR="00D1661D" w:rsidRPr="008A0DBE" w:rsidRDefault="00D1661D" w:rsidP="008A0DBE">
      <w:pPr>
        <w:pStyle w:val="dotpoint"/>
        <w:shd w:val="clear" w:color="auto" w:fill="FFFFFF" w:themeFill="background1"/>
      </w:pPr>
      <w:r w:rsidRPr="008A0DBE">
        <w:t xml:space="preserve">has aided, abetted, counselled or procured the contravention; </w:t>
      </w:r>
    </w:p>
    <w:p w14:paraId="44A10A68" w14:textId="77777777" w:rsidR="00D1661D" w:rsidRPr="008A0DBE" w:rsidRDefault="00D1661D" w:rsidP="008A0DBE">
      <w:pPr>
        <w:pStyle w:val="dotpoint"/>
        <w:shd w:val="clear" w:color="auto" w:fill="FFFFFF" w:themeFill="background1"/>
      </w:pPr>
      <w:r w:rsidRPr="008A0DBE">
        <w:t xml:space="preserve">has induced, whether by threats or promises or otherwise, the contravention; </w:t>
      </w:r>
    </w:p>
    <w:p w14:paraId="71191E5B" w14:textId="77777777" w:rsidR="00D1661D" w:rsidRPr="008A0DBE" w:rsidRDefault="00D1661D" w:rsidP="008A0DBE">
      <w:pPr>
        <w:pStyle w:val="dotpoint"/>
        <w:shd w:val="clear" w:color="auto" w:fill="FFFFFF" w:themeFill="background1"/>
      </w:pPr>
      <w:r w:rsidRPr="008A0DBE">
        <w:t>has been in any way, by act or omission, directly or indirectly, knowingly concerned in, or party to, the contravention; or</w:t>
      </w:r>
    </w:p>
    <w:p w14:paraId="6BAE7C72" w14:textId="77777777" w:rsidR="00D1661D" w:rsidRPr="008A0DBE" w:rsidRDefault="00D1661D" w:rsidP="008A0DBE">
      <w:pPr>
        <w:pStyle w:val="dotpoint"/>
        <w:shd w:val="clear" w:color="auto" w:fill="FFFFFF" w:themeFill="background1"/>
      </w:pPr>
      <w:r w:rsidRPr="008A0DBE">
        <w:t>has conspired with others to effect the contravention.</w:t>
      </w:r>
    </w:p>
    <w:p w14:paraId="1FE91721" w14:textId="6303EE82" w:rsidR="00D1661D" w:rsidRPr="008A0DBE" w:rsidRDefault="00D1661D" w:rsidP="008A0DBE">
      <w:pPr>
        <w:pStyle w:val="base-text-paragraphnonumbers"/>
        <w:shd w:val="clear" w:color="auto" w:fill="FFFFFF" w:themeFill="background1"/>
        <w:rPr>
          <w:rStyle w:val="Referencingstyle"/>
        </w:rPr>
      </w:pPr>
      <w:r w:rsidRPr="008A0DBE">
        <w:rPr>
          <w:rStyle w:val="Referencingstyle"/>
        </w:rPr>
        <w:t xml:space="preserve">[Schedule </w:t>
      </w:r>
      <w:r w:rsidR="00F86848" w:rsidRPr="008A0DBE">
        <w:rPr>
          <w:rStyle w:val="Referencingstyle"/>
        </w:rPr>
        <w:t>#</w:t>
      </w:r>
      <w:r w:rsidRPr="008A0DBE">
        <w:rPr>
          <w:rStyle w:val="Referencingstyle"/>
        </w:rPr>
        <w:t>, item</w:t>
      </w:r>
      <w:r w:rsidR="00906117" w:rsidRPr="008A0DBE">
        <w:rPr>
          <w:rStyle w:val="Referencingstyle"/>
        </w:rPr>
        <w:t>s</w:t>
      </w:r>
      <w:r w:rsidRPr="008A0DBE">
        <w:rPr>
          <w:rStyle w:val="Referencingstyle"/>
        </w:rPr>
        <w:t xml:space="preserve"> </w:t>
      </w:r>
      <w:r w:rsidR="000F054F" w:rsidRPr="008A0DBE">
        <w:rPr>
          <w:rStyle w:val="Referencingstyle"/>
        </w:rPr>
        <w:t>48</w:t>
      </w:r>
      <w:r w:rsidR="00F86848" w:rsidRPr="008A0DBE">
        <w:rPr>
          <w:rStyle w:val="Referencingstyle"/>
        </w:rPr>
        <w:t xml:space="preserve"> and </w:t>
      </w:r>
      <w:r w:rsidR="00906117" w:rsidRPr="008A0DBE">
        <w:rPr>
          <w:rStyle w:val="Referencingstyle"/>
        </w:rPr>
        <w:t>51</w:t>
      </w:r>
      <w:r w:rsidRPr="008A0DBE">
        <w:rPr>
          <w:rStyle w:val="Referencingstyle"/>
        </w:rPr>
        <w:t>, section</w:t>
      </w:r>
      <w:r w:rsidR="00F86848" w:rsidRPr="008A0DBE">
        <w:rPr>
          <w:rStyle w:val="Referencingstyle"/>
        </w:rPr>
        <w:t>s</w:t>
      </w:r>
      <w:r w:rsidRPr="008A0DBE">
        <w:rPr>
          <w:rStyle w:val="Referencingstyle"/>
        </w:rPr>
        <w:t xml:space="preserve"> 17 </w:t>
      </w:r>
      <w:r w:rsidR="00F86848" w:rsidRPr="008A0DBE">
        <w:rPr>
          <w:rStyle w:val="Referencingstyle"/>
        </w:rPr>
        <w:t xml:space="preserve">and 194 </w:t>
      </w:r>
      <w:r w:rsidRPr="008A0DBE">
        <w:rPr>
          <w:rStyle w:val="Referencingstyle"/>
        </w:rPr>
        <w:t xml:space="preserve">of the </w:t>
      </w:r>
      <w:r w:rsidR="00F86848" w:rsidRPr="008A0DBE">
        <w:rPr>
          <w:rStyle w:val="Referencingstyle"/>
        </w:rPr>
        <w:t>Superannuation Industry (Supervision) Act 1993</w:t>
      </w:r>
      <w:r w:rsidRPr="008A0DBE">
        <w:rPr>
          <w:rStyle w:val="Referencingstyle"/>
        </w:rPr>
        <w:t>]</w:t>
      </w:r>
    </w:p>
    <w:p w14:paraId="4C290E40" w14:textId="69D29942" w:rsidR="00D1661D" w:rsidRPr="008A0DBE" w:rsidRDefault="00D1661D" w:rsidP="008A0DBE">
      <w:pPr>
        <w:pStyle w:val="base-text-paragraph"/>
        <w:numPr>
          <w:ilvl w:val="1"/>
          <w:numId w:val="51"/>
        </w:numPr>
        <w:shd w:val="clear" w:color="auto" w:fill="FFFFFF" w:themeFill="background1"/>
      </w:pPr>
      <w:r w:rsidRPr="008A0DBE">
        <w:t xml:space="preserve">This amendment applies to contraventions happening at or after the commencement of the amendment. </w:t>
      </w:r>
      <w:r w:rsidRPr="008A0DBE">
        <w:rPr>
          <w:rStyle w:val="Referencingstyle"/>
        </w:rPr>
        <w:t xml:space="preserve">[Schedule </w:t>
      </w:r>
      <w:r w:rsidR="00F86848" w:rsidRPr="008A0DBE">
        <w:rPr>
          <w:rStyle w:val="Referencingstyle"/>
        </w:rPr>
        <w:t>#</w:t>
      </w:r>
      <w:r w:rsidRPr="008A0DBE">
        <w:rPr>
          <w:rStyle w:val="Referencingstyle"/>
        </w:rPr>
        <w:t xml:space="preserve">, item </w:t>
      </w:r>
      <w:r w:rsidR="00906117" w:rsidRPr="008A0DBE">
        <w:rPr>
          <w:rStyle w:val="Referencingstyle"/>
        </w:rPr>
        <w:t>49</w:t>
      </w:r>
      <w:r w:rsidRPr="008A0DBE">
        <w:rPr>
          <w:rStyle w:val="Referencingstyle"/>
        </w:rPr>
        <w:t>]</w:t>
      </w:r>
    </w:p>
    <w:p w14:paraId="55C2E130" w14:textId="346AF0EB" w:rsidR="00D1661D" w:rsidRPr="008A0DBE" w:rsidRDefault="00D1661D" w:rsidP="008A0DBE">
      <w:pPr>
        <w:pStyle w:val="Heading5"/>
        <w:shd w:val="clear" w:color="auto" w:fill="FFFFFF" w:themeFill="background1"/>
      </w:pPr>
      <w:r w:rsidRPr="008A0DBE">
        <w:t xml:space="preserve">Applying the fee cap on low superannuation balances </w:t>
      </w:r>
    </w:p>
    <w:p w14:paraId="3045DB3C" w14:textId="3EE4C2F7" w:rsidR="00D1661D" w:rsidRPr="008A0DBE" w:rsidRDefault="00F86848" w:rsidP="008A0DBE">
      <w:pPr>
        <w:pStyle w:val="base-text-paragraph"/>
        <w:numPr>
          <w:ilvl w:val="1"/>
          <w:numId w:val="51"/>
        </w:numPr>
        <w:shd w:val="clear" w:color="auto" w:fill="FFFFFF" w:themeFill="background1"/>
      </w:pPr>
      <w:r w:rsidRPr="008A0DBE">
        <w:t>Part 1</w:t>
      </w:r>
      <w:r w:rsidR="00302AB6" w:rsidRPr="008A0DBE">
        <w:t xml:space="preserve"> of Schedule #</w:t>
      </w:r>
      <w:r w:rsidR="00D1661D" w:rsidRPr="008A0DBE">
        <w:t xml:space="preserve"> makes amendments to apply the existing fee cap on low balances when a product is only held for part of an income year. </w:t>
      </w:r>
    </w:p>
    <w:p w14:paraId="0D0ADDF6" w14:textId="419D133E" w:rsidR="00D1661D" w:rsidRPr="008A0DBE" w:rsidRDefault="00D1661D" w:rsidP="008A0DBE">
      <w:pPr>
        <w:pStyle w:val="base-text-paragraph"/>
        <w:numPr>
          <w:ilvl w:val="1"/>
          <w:numId w:val="51"/>
        </w:numPr>
        <w:shd w:val="clear" w:color="auto" w:fill="FFFFFF" w:themeFill="background1"/>
      </w:pPr>
      <w:r w:rsidRPr="008A0DBE">
        <w:t>The</w:t>
      </w:r>
      <w:r w:rsidRPr="008A0DBE">
        <w:rPr>
          <w:i/>
        </w:rPr>
        <w:t xml:space="preserve"> Treasury Laws Amendment (Protecting Your Superannuation) Act 2019</w:t>
      </w:r>
      <w:r w:rsidRPr="008A0DBE">
        <w:t xml:space="preserve"> amended the</w:t>
      </w:r>
      <w:r w:rsidRPr="008A0DBE">
        <w:rPr>
          <w:i/>
        </w:rPr>
        <w:t xml:space="preserve"> </w:t>
      </w:r>
      <w:r w:rsidR="00F86848" w:rsidRPr="008A0DBE">
        <w:rPr>
          <w:i/>
        </w:rPr>
        <w:t>Superannuation Industry (Supervision) Act 1993</w:t>
      </w:r>
      <w:r w:rsidRPr="008A0DBE">
        <w:t xml:space="preserve"> to apply a cap on the fees that could be charged by a superannuation trustee when the balance of a product held by a member was less than $6,000</w:t>
      </w:r>
      <w:r w:rsidR="00F86848" w:rsidRPr="008A0DBE">
        <w:t xml:space="preserve"> at the end of the year</w:t>
      </w:r>
      <w:r w:rsidRPr="008A0DBE">
        <w:t>.</w:t>
      </w:r>
      <w:r w:rsidR="00F86848" w:rsidRPr="008A0DBE">
        <w:t xml:space="preserve"> </w:t>
      </w:r>
      <w:r w:rsidRPr="008A0DBE">
        <w:t xml:space="preserve">The Act </w:t>
      </w:r>
      <w:r w:rsidR="00F86848" w:rsidRPr="008A0DBE">
        <w:t>did</w:t>
      </w:r>
      <w:r w:rsidRPr="008A0DBE">
        <w:t xml:space="preserve"> not provide for </w:t>
      </w:r>
      <w:r w:rsidR="00302AB6" w:rsidRPr="008A0DBE">
        <w:t>a</w:t>
      </w:r>
      <w:r w:rsidRPr="008A0DBE">
        <w:t xml:space="preserve"> fee cap whe</w:t>
      </w:r>
      <w:r w:rsidR="00302AB6" w:rsidRPr="008A0DBE">
        <w:t>re</w:t>
      </w:r>
      <w:r w:rsidRPr="008A0DBE">
        <w:t xml:space="preserve"> the member has a balance of less than $6,000 but ceases holding the product part way through the fund’s income year. </w:t>
      </w:r>
    </w:p>
    <w:p w14:paraId="74F1E049" w14:textId="1BB018C7" w:rsidR="00D1661D" w:rsidRPr="008A0DBE" w:rsidRDefault="00302AB6" w:rsidP="008A0DBE">
      <w:pPr>
        <w:pStyle w:val="base-text-paragraph"/>
        <w:numPr>
          <w:ilvl w:val="1"/>
          <w:numId w:val="51"/>
        </w:numPr>
        <w:shd w:val="clear" w:color="auto" w:fill="FFFFFF" w:themeFill="background1"/>
      </w:pPr>
      <w:r w:rsidRPr="008A0DBE">
        <w:t>Part 1</w:t>
      </w:r>
      <w:r w:rsidR="00D1661D" w:rsidRPr="008A0DBE">
        <w:t xml:space="preserve"> amends the </w:t>
      </w:r>
      <w:r w:rsidR="00DE29DD" w:rsidRPr="008A0DBE">
        <w:rPr>
          <w:i/>
        </w:rPr>
        <w:t>Superannuation Industry (Supervision) Act 1993</w:t>
      </w:r>
      <w:r w:rsidR="00D1661D" w:rsidRPr="008A0DBE">
        <w:t xml:space="preserve"> to replace the current application provision at paragraph 99G(1)(b) with an application provision that contemplates that the member ceases holding the product part way through the fund’s income year and at that time the balance of the product is less than $6,000. </w:t>
      </w:r>
      <w:r w:rsidR="00D1661D" w:rsidRPr="008A0DBE">
        <w:rPr>
          <w:rStyle w:val="Referencingstyle"/>
        </w:rPr>
        <w:t xml:space="preserve">[Schedule </w:t>
      </w:r>
      <w:r w:rsidR="00DE29DD" w:rsidRPr="008A0DBE">
        <w:rPr>
          <w:rStyle w:val="Referencingstyle"/>
        </w:rPr>
        <w:t>#</w:t>
      </w:r>
      <w:r w:rsidR="00D1661D" w:rsidRPr="008A0DBE">
        <w:rPr>
          <w:rStyle w:val="Referencingstyle"/>
        </w:rPr>
        <w:t xml:space="preserve">, item </w:t>
      </w:r>
      <w:r w:rsidR="00906117" w:rsidRPr="008A0DBE">
        <w:rPr>
          <w:rStyle w:val="Referencingstyle"/>
        </w:rPr>
        <w:t>50</w:t>
      </w:r>
      <w:r w:rsidR="00D1661D" w:rsidRPr="008A0DBE">
        <w:rPr>
          <w:rStyle w:val="Referencingstyle"/>
        </w:rPr>
        <w:t xml:space="preserve">, paragraph 99G(1)(b) of the </w:t>
      </w:r>
      <w:r w:rsidR="00DE29DD" w:rsidRPr="008A0DBE">
        <w:rPr>
          <w:rStyle w:val="Referencingstyle"/>
        </w:rPr>
        <w:t>Superannuation Industry (Supervision)</w:t>
      </w:r>
      <w:r w:rsidR="00D1661D" w:rsidRPr="008A0DBE">
        <w:rPr>
          <w:rStyle w:val="Referencingstyle"/>
        </w:rPr>
        <w:t xml:space="preserve"> Act</w:t>
      </w:r>
      <w:r w:rsidR="00DE29DD" w:rsidRPr="008A0DBE">
        <w:rPr>
          <w:rStyle w:val="Referencingstyle"/>
        </w:rPr>
        <w:t xml:space="preserve"> 1993</w:t>
      </w:r>
      <w:r w:rsidR="00D1661D" w:rsidRPr="008A0DBE">
        <w:rPr>
          <w:rStyle w:val="Referencingstyle"/>
        </w:rPr>
        <w:t>]</w:t>
      </w:r>
    </w:p>
    <w:p w14:paraId="04CEBE6E" w14:textId="77777777" w:rsidR="00D1661D" w:rsidRPr="008A0DBE" w:rsidRDefault="00D1661D" w:rsidP="008A0DBE">
      <w:pPr>
        <w:pStyle w:val="Heading4"/>
        <w:shd w:val="clear" w:color="auto" w:fill="FFFFFF" w:themeFill="background1"/>
      </w:pPr>
      <w:r w:rsidRPr="008A0DBE">
        <w:t>Amendments to the Superannuation (Unclaimed Money and Lost Members) Act 1999</w:t>
      </w:r>
    </w:p>
    <w:p w14:paraId="74E61C89" w14:textId="7B91713E" w:rsidR="00624D33" w:rsidRPr="008A0DBE" w:rsidRDefault="00AE5870" w:rsidP="008A0DBE">
      <w:pPr>
        <w:pStyle w:val="base-text-paragraph"/>
        <w:numPr>
          <w:ilvl w:val="1"/>
          <w:numId w:val="51"/>
        </w:numPr>
        <w:shd w:val="clear" w:color="auto" w:fill="FFFFFF" w:themeFill="background1"/>
      </w:pPr>
      <w:r w:rsidRPr="008A0DBE">
        <w:t xml:space="preserve">Part 1 of the </w:t>
      </w:r>
      <w:r w:rsidR="00D1661D" w:rsidRPr="008A0DBE">
        <w:t xml:space="preserve">Bill </w:t>
      </w:r>
      <w:r w:rsidRPr="008A0DBE">
        <w:t>repeals subsection</w:t>
      </w:r>
      <w:r w:rsidR="00C44AA3" w:rsidRPr="008A0DBE">
        <w:t>s</w:t>
      </w:r>
      <w:r w:rsidRPr="008A0DBE">
        <w:t xml:space="preserve"> 16(2)</w:t>
      </w:r>
      <w:r w:rsidR="00C44AA3" w:rsidRPr="008A0DBE">
        <w:t>, 20QB(3) and 24C(3</w:t>
      </w:r>
      <w:r w:rsidRPr="008A0DBE">
        <w:t xml:space="preserve">) of the </w:t>
      </w:r>
      <w:r w:rsidR="00D1661D" w:rsidRPr="008A0DBE">
        <w:rPr>
          <w:i/>
        </w:rPr>
        <w:t>Superannuation (Unclaimed Money and Lost Members) Act 1999</w:t>
      </w:r>
      <w:r w:rsidRPr="008A0DBE">
        <w:t xml:space="preserve">. </w:t>
      </w:r>
      <w:r w:rsidR="00C44AA3" w:rsidRPr="008A0DBE">
        <w:t>These subsections are</w:t>
      </w:r>
      <w:r w:rsidRPr="008A0DBE">
        <w:t xml:space="preserve"> no</w:t>
      </w:r>
      <w:r w:rsidR="00107174" w:rsidRPr="008A0DBE">
        <w:t>t</w:t>
      </w:r>
      <w:r w:rsidRPr="008A0DBE">
        <w:t xml:space="preserve"> required </w:t>
      </w:r>
      <w:r w:rsidR="00D93ABE" w:rsidRPr="008A0DBE">
        <w:t xml:space="preserve">because the information </w:t>
      </w:r>
      <w:r w:rsidR="00BB5F0D" w:rsidRPr="008A0DBE">
        <w:t xml:space="preserve">collected </w:t>
      </w:r>
      <w:r w:rsidR="00D93ABE" w:rsidRPr="008A0DBE">
        <w:t>is not used for any purpose.</w:t>
      </w:r>
      <w:r w:rsidRPr="008A0DBE">
        <w:t xml:space="preserve"> </w:t>
      </w:r>
      <w:r w:rsidRPr="008A0DBE">
        <w:rPr>
          <w:rStyle w:val="Referencingstyle"/>
        </w:rPr>
        <w:t>[Schedule #, item</w:t>
      </w:r>
      <w:r w:rsidR="00C44AA3" w:rsidRPr="008A0DBE">
        <w:rPr>
          <w:rStyle w:val="Referencingstyle"/>
        </w:rPr>
        <w:t>s</w:t>
      </w:r>
      <w:r w:rsidRPr="008A0DBE">
        <w:rPr>
          <w:rStyle w:val="Referencingstyle"/>
        </w:rPr>
        <w:t xml:space="preserve"> </w:t>
      </w:r>
      <w:r w:rsidR="00906117" w:rsidRPr="008A0DBE">
        <w:rPr>
          <w:rStyle w:val="Referencingstyle"/>
        </w:rPr>
        <w:t>52</w:t>
      </w:r>
      <w:r w:rsidRPr="008A0DBE">
        <w:rPr>
          <w:rStyle w:val="Referencingstyle"/>
        </w:rPr>
        <w:t>,</w:t>
      </w:r>
      <w:r w:rsidR="00C44AA3" w:rsidRPr="008A0DBE">
        <w:rPr>
          <w:rStyle w:val="Referencingstyle"/>
        </w:rPr>
        <w:t xml:space="preserve"> </w:t>
      </w:r>
      <w:r w:rsidR="00906117" w:rsidRPr="008A0DBE">
        <w:rPr>
          <w:rStyle w:val="Referencingstyle"/>
        </w:rPr>
        <w:t>58</w:t>
      </w:r>
      <w:r w:rsidR="00C44AA3" w:rsidRPr="008A0DBE">
        <w:rPr>
          <w:rStyle w:val="Referencingstyle"/>
        </w:rPr>
        <w:t xml:space="preserve"> and 5</w:t>
      </w:r>
      <w:r w:rsidR="00906117" w:rsidRPr="008A0DBE">
        <w:rPr>
          <w:rStyle w:val="Referencingstyle"/>
        </w:rPr>
        <w:t>9</w:t>
      </w:r>
      <w:r w:rsidR="00C44AA3" w:rsidRPr="008A0DBE">
        <w:rPr>
          <w:rStyle w:val="Referencingstyle"/>
        </w:rPr>
        <w:t>,</w:t>
      </w:r>
      <w:r w:rsidRPr="008A0DBE">
        <w:rPr>
          <w:rStyle w:val="Referencingstyle"/>
        </w:rPr>
        <w:t xml:space="preserve"> </w:t>
      </w:r>
      <w:r w:rsidR="00F97FD6" w:rsidRPr="008A0DBE">
        <w:rPr>
          <w:rStyle w:val="Referencingstyle"/>
        </w:rPr>
        <w:t>subsection</w:t>
      </w:r>
      <w:r w:rsidR="00C44AA3" w:rsidRPr="008A0DBE">
        <w:rPr>
          <w:rStyle w:val="Referencingstyle"/>
        </w:rPr>
        <w:t>s</w:t>
      </w:r>
      <w:r w:rsidRPr="008A0DBE">
        <w:rPr>
          <w:rStyle w:val="Referencingstyle"/>
        </w:rPr>
        <w:t> </w:t>
      </w:r>
      <w:r w:rsidR="00F97FD6" w:rsidRPr="008A0DBE">
        <w:rPr>
          <w:rStyle w:val="Referencingstyle"/>
        </w:rPr>
        <w:t>16(2)</w:t>
      </w:r>
      <w:r w:rsidR="00C44AA3" w:rsidRPr="008A0DBE">
        <w:rPr>
          <w:rStyle w:val="Referencingstyle"/>
        </w:rPr>
        <w:t>, 20QB(3) and 24C(3</w:t>
      </w:r>
      <w:r w:rsidRPr="008A0DBE">
        <w:rPr>
          <w:rStyle w:val="Referencingstyle"/>
        </w:rPr>
        <w:t>) of the Superannuation (Unclaimed Money and Lost Members) Act 1999]</w:t>
      </w:r>
    </w:p>
    <w:p w14:paraId="0C159F4C" w14:textId="47B94CE6" w:rsidR="00624D33" w:rsidRPr="008A0DBE" w:rsidRDefault="00330B79" w:rsidP="008A0DBE">
      <w:pPr>
        <w:pStyle w:val="base-text-paragraph"/>
        <w:numPr>
          <w:ilvl w:val="1"/>
          <w:numId w:val="51"/>
        </w:numPr>
        <w:shd w:val="clear" w:color="auto" w:fill="FFFFFF" w:themeFill="background1"/>
      </w:pPr>
      <w:r w:rsidRPr="008A0DBE">
        <w:t>Part 1</w:t>
      </w:r>
      <w:r w:rsidR="00BE3980" w:rsidRPr="008A0DBE">
        <w:t xml:space="preserve"> </w:t>
      </w:r>
      <w:r w:rsidR="00624D33" w:rsidRPr="008A0DBE">
        <w:t xml:space="preserve">also amends the definition of ‘inactive low balance account’ so that an account is not an ‘inactive low balance account’ if the member has elected to maintain insurance on that account by making an election under subsection 68AAA(2) of the </w:t>
      </w:r>
      <w:r w:rsidR="00624D33" w:rsidRPr="008A0DBE">
        <w:rPr>
          <w:i/>
        </w:rPr>
        <w:t>Superannuation (Industry) Supervision Act 1993</w:t>
      </w:r>
      <w:r w:rsidR="00624D33" w:rsidRPr="008A0DBE">
        <w:t xml:space="preserve">. </w:t>
      </w:r>
      <w:r w:rsidRPr="008A0DBE">
        <w:t>This amendment applies from 30 June 2019.</w:t>
      </w:r>
      <w:r w:rsidRPr="008A0DBE">
        <w:rPr>
          <w:rStyle w:val="Referencingstyle"/>
        </w:rPr>
        <w:t xml:space="preserve"> </w:t>
      </w:r>
      <w:r w:rsidR="00624D33" w:rsidRPr="008A0DBE">
        <w:rPr>
          <w:rStyle w:val="Referencingstyle"/>
        </w:rPr>
        <w:t xml:space="preserve">[Schedule </w:t>
      </w:r>
      <w:r w:rsidRPr="008A0DBE">
        <w:rPr>
          <w:rStyle w:val="Referencingstyle"/>
        </w:rPr>
        <w:t>#</w:t>
      </w:r>
      <w:r w:rsidR="00624D33" w:rsidRPr="008A0DBE">
        <w:rPr>
          <w:rStyle w:val="Referencingstyle"/>
        </w:rPr>
        <w:t>, item</w:t>
      </w:r>
      <w:r w:rsidRPr="008A0DBE">
        <w:rPr>
          <w:rStyle w:val="Referencingstyle"/>
        </w:rPr>
        <w:t>s</w:t>
      </w:r>
      <w:r w:rsidR="00624D33" w:rsidRPr="008A0DBE">
        <w:rPr>
          <w:rStyle w:val="Referencingstyle"/>
        </w:rPr>
        <w:t xml:space="preserve"> </w:t>
      </w:r>
      <w:r w:rsidR="00906117" w:rsidRPr="008A0DBE">
        <w:rPr>
          <w:rStyle w:val="Referencingstyle"/>
        </w:rPr>
        <w:t>53 and 54</w:t>
      </w:r>
      <w:r w:rsidR="00624D33" w:rsidRPr="008A0DBE">
        <w:rPr>
          <w:rStyle w:val="Referencingstyle"/>
        </w:rPr>
        <w:t>, subparagraph 20QA(1)(a)(viii) of the Superannuation (Unclaimed Money and Lost Members) Act 1999]</w:t>
      </w:r>
    </w:p>
    <w:p w14:paraId="0A6C2974" w14:textId="4F4E7B80" w:rsidR="00D1661D" w:rsidRPr="008A0DBE" w:rsidRDefault="00624D33" w:rsidP="008A0DBE">
      <w:pPr>
        <w:pStyle w:val="base-text-paragraph"/>
        <w:numPr>
          <w:ilvl w:val="1"/>
          <w:numId w:val="51"/>
        </w:numPr>
        <w:shd w:val="clear" w:color="auto" w:fill="FFFFFF" w:themeFill="background1"/>
      </w:pPr>
      <w:r w:rsidRPr="008A0DBE">
        <w:t xml:space="preserve"> </w:t>
      </w:r>
      <w:r w:rsidR="00152D52" w:rsidRPr="008A0DBE">
        <w:t xml:space="preserve">  </w:t>
      </w:r>
      <w:r w:rsidR="00107174" w:rsidRPr="008A0DBE">
        <w:t>Further amendments are made to t</w:t>
      </w:r>
      <w:r w:rsidR="008E1D7B" w:rsidRPr="008A0DBE">
        <w:t>wo</w:t>
      </w:r>
      <w:r w:rsidR="00C136E7" w:rsidRPr="008A0DBE">
        <w:t xml:space="preserve"> of</w:t>
      </w:r>
      <w:r w:rsidR="00D1661D" w:rsidRPr="008A0DBE">
        <w:t xml:space="preserve"> the exceptions to the definition of ‘inactive low balance account’</w:t>
      </w:r>
      <w:r w:rsidR="00BE3980" w:rsidRPr="008A0DBE">
        <w:t xml:space="preserve"> </w:t>
      </w:r>
      <w:r w:rsidR="00C136E7" w:rsidRPr="008A0DBE">
        <w:t>to ensure that they give effect to the initial policy intent</w:t>
      </w:r>
      <w:r w:rsidR="00D1661D" w:rsidRPr="008A0DBE">
        <w:t xml:space="preserve">. </w:t>
      </w:r>
    </w:p>
    <w:p w14:paraId="727EF00C" w14:textId="48F5A36D" w:rsidR="00D1661D" w:rsidRPr="008A0DBE" w:rsidRDefault="00C136E7" w:rsidP="008A0DBE">
      <w:pPr>
        <w:pStyle w:val="base-text-paragraph"/>
        <w:numPr>
          <w:ilvl w:val="1"/>
          <w:numId w:val="51"/>
        </w:numPr>
        <w:shd w:val="clear" w:color="auto" w:fill="FFFFFF" w:themeFill="background1"/>
        <w:tabs>
          <w:tab w:val="clear" w:pos="1985"/>
        </w:tabs>
        <w:rPr>
          <w:rStyle w:val="Referencingstyle"/>
        </w:rPr>
      </w:pPr>
      <w:r w:rsidRPr="008A0DBE">
        <w:t>First, the exception relating</w:t>
      </w:r>
      <w:r w:rsidR="00D1661D" w:rsidRPr="008A0DBE">
        <w:t xml:space="preserve"> to </w:t>
      </w:r>
      <w:r w:rsidRPr="008A0DBE">
        <w:t xml:space="preserve">member’s elections is revised. </w:t>
      </w:r>
      <w:r w:rsidR="00730DF3" w:rsidRPr="008A0DBE">
        <w:t>Formerly</w:t>
      </w:r>
      <w:r w:rsidRPr="008A0DBE">
        <w:t xml:space="preserve">, the </w:t>
      </w:r>
      <w:r w:rsidRPr="008A0DBE">
        <w:rPr>
          <w:i/>
        </w:rPr>
        <w:t>Superannuation (Unclaimed Money and Lost Members) Act 1999</w:t>
      </w:r>
      <w:r w:rsidRPr="008A0DBE">
        <w:t xml:space="preserve"> provides that the member may make an election to the Commissioner if the member does not want his or her account to be an</w:t>
      </w:r>
      <w:r w:rsidR="00D1661D" w:rsidRPr="008A0DBE">
        <w:t xml:space="preserve"> ‘inactive low balance account’. </w:t>
      </w:r>
      <w:r w:rsidRPr="008A0DBE">
        <w:t>This is impractical because it is the superannuation provider who determines that the account is an inactive low balance account. For this reason, the exception is amended so that the member makes this election directly to the superannuation provider rather than the Commissioner.</w:t>
      </w:r>
      <w:r w:rsidR="00D1661D" w:rsidRPr="008A0DBE">
        <w:t xml:space="preserve"> </w:t>
      </w:r>
      <w:r w:rsidR="00D1661D" w:rsidRPr="008A0DBE">
        <w:rPr>
          <w:rStyle w:val="Referencingstyle"/>
        </w:rPr>
        <w:t xml:space="preserve">[Schedule </w:t>
      </w:r>
      <w:r w:rsidRPr="008A0DBE">
        <w:rPr>
          <w:rStyle w:val="Referencingstyle"/>
        </w:rPr>
        <w:t>#</w:t>
      </w:r>
      <w:r w:rsidR="00D1661D" w:rsidRPr="008A0DBE">
        <w:rPr>
          <w:rStyle w:val="Referencingstyle"/>
        </w:rPr>
        <w:t xml:space="preserve">, item </w:t>
      </w:r>
      <w:r w:rsidR="00906117" w:rsidRPr="008A0DBE">
        <w:rPr>
          <w:rStyle w:val="Referencingstyle"/>
        </w:rPr>
        <w:t>55</w:t>
      </w:r>
      <w:r w:rsidR="00D1661D" w:rsidRPr="008A0DBE">
        <w:rPr>
          <w:rStyle w:val="Referencingstyle"/>
        </w:rPr>
        <w:t>, subparagraph 20QA(1A)(b)(iv) of the Superannuation (Unclaimed Money and Lost Members) Act 1999]</w:t>
      </w:r>
    </w:p>
    <w:p w14:paraId="6DA843F7" w14:textId="37A9449F" w:rsidR="00D1661D" w:rsidRPr="008A0DBE" w:rsidRDefault="00D1661D" w:rsidP="008A0DBE">
      <w:pPr>
        <w:pStyle w:val="base-text-paragraph"/>
        <w:numPr>
          <w:ilvl w:val="1"/>
          <w:numId w:val="51"/>
        </w:numPr>
        <w:shd w:val="clear" w:color="auto" w:fill="FFFFFF" w:themeFill="background1"/>
      </w:pPr>
      <w:r w:rsidRPr="008A0DBE">
        <w:t xml:space="preserve">This amendment applies from 30 June 2019. However, section 7 of the </w:t>
      </w:r>
      <w:r w:rsidRPr="008A0DBE">
        <w:rPr>
          <w:i/>
        </w:rPr>
        <w:t>Acts Interpretation Act 1901</w:t>
      </w:r>
      <w:r w:rsidRPr="008A0DBE">
        <w:t xml:space="preserve"> provides that an election made prior to the commencement of these amendments is still valid. </w:t>
      </w:r>
    </w:p>
    <w:p w14:paraId="355377C0" w14:textId="1943850E" w:rsidR="00D1661D" w:rsidRPr="008A0DBE" w:rsidRDefault="008E1D7B" w:rsidP="008A0DBE">
      <w:pPr>
        <w:pStyle w:val="base-text-paragraph"/>
        <w:numPr>
          <w:ilvl w:val="1"/>
          <w:numId w:val="51"/>
        </w:numPr>
        <w:shd w:val="clear" w:color="auto" w:fill="FFFFFF" w:themeFill="background1"/>
        <w:rPr>
          <w:rStyle w:val="Referencingstyle"/>
        </w:rPr>
      </w:pPr>
      <w:r w:rsidRPr="008A0DBE">
        <w:t>Second, Part 1</w:t>
      </w:r>
      <w:r w:rsidR="00D1661D" w:rsidRPr="008A0DBE">
        <w:t xml:space="preserve"> amends the exceptions to the definition of ‘inactive low balance account’ to remove </w:t>
      </w:r>
      <w:r w:rsidR="00107174" w:rsidRPr="008A0DBE">
        <w:t>a</w:t>
      </w:r>
      <w:r w:rsidR="00D1661D" w:rsidRPr="008A0DBE">
        <w:t xml:space="preserve"> redundant provision. Currently, the </w:t>
      </w:r>
      <w:r w:rsidR="00D1661D" w:rsidRPr="008A0DBE">
        <w:rPr>
          <w:i/>
        </w:rPr>
        <w:t>Superannuation (Unclaimed Money and Lost Members) Act 1999</w:t>
      </w:r>
      <w:r w:rsidR="00D1661D" w:rsidRPr="008A0DBE">
        <w:t xml:space="preserve"> provides that an account is not an inactive low balance account if the superannuation provider is owed an amount in respect of the member. This </w:t>
      </w:r>
      <w:r w:rsidRPr="008A0DBE">
        <w:t xml:space="preserve">provision </w:t>
      </w:r>
      <w:r w:rsidR="00D1661D" w:rsidRPr="008A0DBE">
        <w:t>is inoperable</w:t>
      </w:r>
      <w:r w:rsidR="00107174" w:rsidRPr="008A0DBE">
        <w:t xml:space="preserve"> and therefore redundant</w:t>
      </w:r>
      <w:r w:rsidR="00D1661D" w:rsidRPr="008A0DBE">
        <w:t xml:space="preserve">. </w:t>
      </w:r>
      <w:r w:rsidR="00D1661D" w:rsidRPr="008A0DBE">
        <w:rPr>
          <w:rStyle w:val="Referencingstyle"/>
        </w:rPr>
        <w:t xml:space="preserve">[Schedule </w:t>
      </w:r>
      <w:r w:rsidR="00DC57FB" w:rsidRPr="008A0DBE">
        <w:rPr>
          <w:rStyle w:val="Referencingstyle"/>
        </w:rPr>
        <w:t>#</w:t>
      </w:r>
      <w:r w:rsidR="00D1661D" w:rsidRPr="008A0DBE">
        <w:rPr>
          <w:rStyle w:val="Referencingstyle"/>
        </w:rPr>
        <w:t xml:space="preserve">, items </w:t>
      </w:r>
      <w:r w:rsidR="00906117" w:rsidRPr="008A0DBE">
        <w:rPr>
          <w:rStyle w:val="Referencingstyle"/>
        </w:rPr>
        <w:t>56 and 57</w:t>
      </w:r>
      <w:r w:rsidR="00D1661D" w:rsidRPr="008A0DBE">
        <w:rPr>
          <w:rStyle w:val="Referencingstyle"/>
        </w:rPr>
        <w:t>, subparagraphs 20QA(1A)(b)(iv) and 20QA(1A)(b)(v) of the Superannuation (Unclaimed Money and Lost Members) Act 1999]</w:t>
      </w:r>
    </w:p>
    <w:p w14:paraId="017BFA53" w14:textId="39F4CC34" w:rsidR="00486538" w:rsidRPr="008A0DBE" w:rsidRDefault="00486538" w:rsidP="008A0DBE">
      <w:pPr>
        <w:pStyle w:val="Heading4"/>
        <w:shd w:val="clear" w:color="auto" w:fill="FFFFFF" w:themeFill="background1"/>
      </w:pPr>
      <w:r w:rsidRPr="008A0DBE">
        <w:t>Amendments to the Treasury Laws Amendment (2018 Measures No. 4) Act 2019</w:t>
      </w:r>
    </w:p>
    <w:p w14:paraId="22E78675" w14:textId="6A9E84CE" w:rsidR="008514D6" w:rsidRPr="008A0DBE" w:rsidRDefault="00107174" w:rsidP="008A0DBE">
      <w:pPr>
        <w:pStyle w:val="base-text-paragraph"/>
        <w:numPr>
          <w:ilvl w:val="1"/>
          <w:numId w:val="41"/>
        </w:numPr>
        <w:shd w:val="clear" w:color="auto" w:fill="FFFFFF" w:themeFill="background1"/>
      </w:pPr>
      <w:r w:rsidRPr="008A0DBE">
        <w:t>Part 1 of the</w:t>
      </w:r>
      <w:r w:rsidR="008514D6" w:rsidRPr="008A0DBE">
        <w:t xml:space="preserve"> Bill amends the </w:t>
      </w:r>
      <w:r w:rsidR="008514D6" w:rsidRPr="008A0DBE">
        <w:rPr>
          <w:i/>
        </w:rPr>
        <w:t>Treasury Laws Amendment (2018 Measures No. 4) Act 2019</w:t>
      </w:r>
      <w:r w:rsidR="008514D6" w:rsidRPr="008A0DBE">
        <w:t xml:space="preserve"> to update the commencement rule for Part 2 of Schedule 3 to that Act. </w:t>
      </w:r>
    </w:p>
    <w:p w14:paraId="271DF0BA" w14:textId="1BAB0B8B" w:rsidR="008514D6" w:rsidRPr="008A0DBE" w:rsidRDefault="008514D6" w:rsidP="008A0DBE">
      <w:pPr>
        <w:pStyle w:val="base-text-paragraph"/>
        <w:numPr>
          <w:ilvl w:val="1"/>
          <w:numId w:val="51"/>
        </w:numPr>
        <w:shd w:val="clear" w:color="auto" w:fill="FFFFFF" w:themeFill="background1"/>
      </w:pPr>
      <w:r w:rsidRPr="008A0DBE">
        <w:tab/>
        <w:t xml:space="preserve">​The </w:t>
      </w:r>
      <w:r w:rsidR="00107174" w:rsidRPr="008A0DBE">
        <w:rPr>
          <w:i/>
        </w:rPr>
        <w:t>Treasury Laws Amendment (</w:t>
      </w:r>
      <w:r w:rsidRPr="008A0DBE">
        <w:rPr>
          <w:i/>
        </w:rPr>
        <w:t>2018 Measures No. 4</w:t>
      </w:r>
      <w:r w:rsidR="00107174" w:rsidRPr="008A0DBE">
        <w:rPr>
          <w:i/>
        </w:rPr>
        <w:t>)</w:t>
      </w:r>
      <w:r w:rsidRPr="008A0DBE">
        <w:rPr>
          <w:i/>
        </w:rPr>
        <w:t xml:space="preserve"> Act </w:t>
      </w:r>
      <w:r w:rsidR="00107174" w:rsidRPr="008A0DBE">
        <w:rPr>
          <w:i/>
        </w:rPr>
        <w:t>2019</w:t>
      </w:r>
      <w:r w:rsidR="00107174" w:rsidRPr="008A0DBE">
        <w:t xml:space="preserve"> </w:t>
      </w:r>
      <w:r w:rsidRPr="008A0DBE">
        <w:t>received Royal Assent on 1 March 2019. Part 2 of Schedule 3 to that Act includes amendments requiring employers to report salary sacrificed amounts paid to their employees' superannuation funds under the Single Touch Payroll reporting regime.</w:t>
      </w:r>
    </w:p>
    <w:p w14:paraId="42A8C837" w14:textId="77777777" w:rsidR="008514D6" w:rsidRPr="008A0DBE" w:rsidRDefault="008514D6" w:rsidP="008A0DBE">
      <w:pPr>
        <w:pStyle w:val="base-text-paragraph"/>
        <w:numPr>
          <w:ilvl w:val="1"/>
          <w:numId w:val="51"/>
        </w:numPr>
        <w:shd w:val="clear" w:color="auto" w:fill="FFFFFF" w:themeFill="background1"/>
      </w:pPr>
      <w:r w:rsidRPr="008A0DBE">
        <w:t xml:space="preserve">The commencement of Part 2 of Schedule 3 is contingent on the commencement of the salary sacrifice measure contained in Schedule 2 to the </w:t>
      </w:r>
      <w:r w:rsidRPr="008A0DBE">
        <w:rPr>
          <w:i/>
        </w:rPr>
        <w:t xml:space="preserve">Treasury Laws Amendment (Improving Accountability and Member Outcomes in </w:t>
      </w:r>
      <w:r w:rsidRPr="008A0DBE">
        <w:t>Superannuation</w:t>
      </w:r>
      <w:r w:rsidRPr="008A0DBE">
        <w:rPr>
          <w:i/>
        </w:rPr>
        <w:t xml:space="preserve"> Measures No. 2) Act 2019</w:t>
      </w:r>
      <w:r w:rsidRPr="008A0DBE">
        <w:t xml:space="preserve">. The Treasury Laws Amendment (Improving Accountability and Member Outcomes in Superannuation Measures No. 2) Bill 2017 was introduced into the House of Representatives on 14 September 2017. That Bill lapsed when the Parliament was prorogued prior to the 2019 federal election. </w:t>
      </w:r>
    </w:p>
    <w:p w14:paraId="6015CC1B" w14:textId="2F9F6D69" w:rsidR="008514D6" w:rsidRPr="008A0DBE" w:rsidRDefault="008514D6" w:rsidP="008A0DBE">
      <w:pPr>
        <w:pStyle w:val="base-text-paragraph"/>
        <w:numPr>
          <w:ilvl w:val="1"/>
          <w:numId w:val="51"/>
        </w:numPr>
        <w:shd w:val="clear" w:color="auto" w:fill="FFFFFF" w:themeFill="background1"/>
      </w:pPr>
      <w:r w:rsidRPr="008A0DBE">
        <w:t>The salary sacrifice measure has now been reintroduced as Schedule 7 to the Treasury Laws Amendment (2019 Tax Integrity and Other Measures No. 1) Bill 2019.</w:t>
      </w:r>
    </w:p>
    <w:p w14:paraId="3F4417C0" w14:textId="661256A8" w:rsidR="008514D6" w:rsidRPr="008A0DBE" w:rsidRDefault="008514D6" w:rsidP="008A0DBE">
      <w:pPr>
        <w:pStyle w:val="base-text-paragraph"/>
        <w:numPr>
          <w:ilvl w:val="1"/>
          <w:numId w:val="51"/>
        </w:numPr>
        <w:shd w:val="clear" w:color="auto" w:fill="FFFFFF" w:themeFill="background1"/>
      </w:pPr>
      <w:r w:rsidRPr="008A0DBE">
        <w:t xml:space="preserve">The amendments in this Bill update the commencement rule for Part 2 of Schedule 3 to the </w:t>
      </w:r>
      <w:r w:rsidR="00107174" w:rsidRPr="008A0DBE">
        <w:rPr>
          <w:i/>
        </w:rPr>
        <w:t>Treasury Laws Amendment (</w:t>
      </w:r>
      <w:r w:rsidRPr="008A0DBE">
        <w:rPr>
          <w:i/>
        </w:rPr>
        <w:t>2018 Measures No. 4</w:t>
      </w:r>
      <w:r w:rsidR="00107174" w:rsidRPr="008A0DBE">
        <w:rPr>
          <w:i/>
        </w:rPr>
        <w:t>)</w:t>
      </w:r>
      <w:r w:rsidRPr="008A0DBE">
        <w:rPr>
          <w:i/>
        </w:rPr>
        <w:t xml:space="preserve"> Act</w:t>
      </w:r>
      <w:r w:rsidR="00107174" w:rsidRPr="008A0DBE">
        <w:rPr>
          <w:i/>
        </w:rPr>
        <w:t xml:space="preserve"> 2019</w:t>
      </w:r>
      <w:r w:rsidRPr="008A0DBE">
        <w:t xml:space="preserve"> to reflect that the salary sacrifice measure is now contained in Schedule 7 to the </w:t>
      </w:r>
      <w:r w:rsidR="003F5FFB" w:rsidRPr="008A0DBE">
        <w:t>Treasury Laws Amendment (</w:t>
      </w:r>
      <w:r w:rsidRPr="008A0DBE">
        <w:t xml:space="preserve">2019 Tax Integrity </w:t>
      </w:r>
      <w:r w:rsidR="003F5FFB" w:rsidRPr="008A0DBE">
        <w:t xml:space="preserve">and Other Measures No. 1) </w:t>
      </w:r>
      <w:r w:rsidRPr="008A0DBE">
        <w:t>Bill</w:t>
      </w:r>
      <w:r w:rsidR="003F5FFB" w:rsidRPr="008A0DBE">
        <w:t xml:space="preserve"> 2019</w:t>
      </w:r>
      <w:r w:rsidRPr="008A0DBE">
        <w:t xml:space="preserve">. Part 2 of Schedule 3 will now commence on the later of the commencement of Schedule 7, or the commencement of the amendments in this Bill (being the day after they receive the Royal Assent). </w:t>
      </w:r>
      <w:r w:rsidRPr="008A0DBE">
        <w:rPr>
          <w:rStyle w:val="Referencingstyle"/>
        </w:rPr>
        <w:t xml:space="preserve">[Schedule </w:t>
      </w:r>
      <w:r w:rsidR="003F5FFB" w:rsidRPr="008A0DBE">
        <w:rPr>
          <w:rStyle w:val="Referencingstyle"/>
        </w:rPr>
        <w:t>#</w:t>
      </w:r>
      <w:r w:rsidRPr="008A0DBE">
        <w:rPr>
          <w:rStyle w:val="Referencingstyle"/>
        </w:rPr>
        <w:t xml:space="preserve">, item </w:t>
      </w:r>
      <w:r w:rsidR="00906117" w:rsidRPr="008A0DBE">
        <w:rPr>
          <w:rStyle w:val="Referencingstyle"/>
        </w:rPr>
        <w:t>60</w:t>
      </w:r>
      <w:r w:rsidRPr="008A0DBE">
        <w:rPr>
          <w:rStyle w:val="Referencingstyle"/>
        </w:rPr>
        <w:t>, subitem 2(1) (table item 4) of Treasury Laws Amendment (2018 Measures No. 4) Act 2019]</w:t>
      </w:r>
    </w:p>
    <w:p w14:paraId="53A71C89" w14:textId="77777777" w:rsidR="008514D6" w:rsidRPr="008A0DBE" w:rsidRDefault="008514D6" w:rsidP="008A0DBE">
      <w:pPr>
        <w:pStyle w:val="base-text-paragraph"/>
        <w:numPr>
          <w:ilvl w:val="1"/>
          <w:numId w:val="51"/>
        </w:numPr>
        <w:shd w:val="clear" w:color="auto" w:fill="FFFFFF" w:themeFill="background1"/>
      </w:pPr>
      <w:r w:rsidRPr="008A0DBE">
        <w:t>The revised commencement rule ensures that the reporting requirements in Part 2 of Schedule 3 apply prospectively from both the time that both the salary sacrifice measure and the amendments to the revised commencement rule commence.</w:t>
      </w:r>
    </w:p>
    <w:p w14:paraId="0FDFFCEB" w14:textId="4C47A69A" w:rsidR="00FE5896" w:rsidRPr="008A0DBE" w:rsidRDefault="00FE5896" w:rsidP="008A0DBE">
      <w:pPr>
        <w:pStyle w:val="Heading4"/>
        <w:shd w:val="clear" w:color="auto" w:fill="FFFFFF" w:themeFill="background1"/>
      </w:pPr>
      <w:r w:rsidRPr="008A0DBE">
        <w:t>Amendments to the Treasury Laws Amendment (Protecting Your Superannuation Package) Act 2019</w:t>
      </w:r>
    </w:p>
    <w:p w14:paraId="1EF67E58" w14:textId="1C09E5FB" w:rsidR="00FE5896" w:rsidRPr="008A0DBE" w:rsidRDefault="003F5FFB" w:rsidP="008A0DBE">
      <w:pPr>
        <w:pStyle w:val="base-text-paragraph"/>
        <w:numPr>
          <w:ilvl w:val="1"/>
          <w:numId w:val="41"/>
        </w:numPr>
        <w:shd w:val="clear" w:color="auto" w:fill="FFFFFF" w:themeFill="background1"/>
      </w:pPr>
      <w:r w:rsidRPr="008A0DBE">
        <w:t>Part 1</w:t>
      </w:r>
      <w:r w:rsidR="00FE5896" w:rsidRPr="008A0DBE">
        <w:t xml:space="preserve"> amends the </w:t>
      </w:r>
      <w:r w:rsidR="00FE5896" w:rsidRPr="008A0DBE">
        <w:rPr>
          <w:i/>
        </w:rPr>
        <w:t xml:space="preserve">Treasury Laws Amendment (Protecting Your Superannuation Package) Act 2019 </w:t>
      </w:r>
      <w:r w:rsidR="00FE5896" w:rsidRPr="008A0DBE">
        <w:t xml:space="preserve">to correct a referencing error in item 38 to Schedule 3 of that Act. </w:t>
      </w:r>
    </w:p>
    <w:p w14:paraId="7159A792" w14:textId="77777777" w:rsidR="00FE5896" w:rsidRPr="008A0DBE" w:rsidRDefault="00FE5896" w:rsidP="008A0DBE">
      <w:pPr>
        <w:pStyle w:val="base-text-paragraph"/>
        <w:numPr>
          <w:ilvl w:val="1"/>
          <w:numId w:val="51"/>
        </w:numPr>
        <w:shd w:val="clear" w:color="auto" w:fill="FFFFFF" w:themeFill="background1"/>
      </w:pPr>
      <w:r w:rsidRPr="008A0DBE">
        <w:t xml:space="preserve">Item 30 of Schedule 3 of the </w:t>
      </w:r>
      <w:r w:rsidRPr="008A0DBE">
        <w:rPr>
          <w:i/>
        </w:rPr>
        <w:t xml:space="preserve">Treasury Laws Amendment (Protecting Your Superannuation Package) Act 2019 </w:t>
      </w:r>
      <w:r w:rsidRPr="008A0DBE">
        <w:t xml:space="preserve">inserted paragraph 20QA(1)(a) of the </w:t>
      </w:r>
      <w:r w:rsidRPr="008A0DBE">
        <w:rPr>
          <w:i/>
        </w:rPr>
        <w:t>Superannuation (Unclaimed Money and Lost Members) Act 1999</w:t>
      </w:r>
      <w:r w:rsidRPr="008A0DBE">
        <w:t xml:space="preserve">. </w:t>
      </w:r>
    </w:p>
    <w:p w14:paraId="177E6F52" w14:textId="77777777" w:rsidR="00FE5896" w:rsidRPr="008A0DBE" w:rsidRDefault="00FE5896" w:rsidP="008A0DBE">
      <w:pPr>
        <w:pStyle w:val="base-text-paragraph"/>
        <w:numPr>
          <w:ilvl w:val="1"/>
          <w:numId w:val="51"/>
        </w:numPr>
        <w:shd w:val="clear" w:color="auto" w:fill="FFFFFF" w:themeFill="background1"/>
      </w:pPr>
      <w:r w:rsidRPr="008A0DBE">
        <w:t xml:space="preserve">However, item 38 of </w:t>
      </w:r>
      <w:r w:rsidRPr="008A0DBE">
        <w:rPr>
          <w:i/>
        </w:rPr>
        <w:t xml:space="preserve">Treasury Laws Amendment (Protecting Your Superannuation Package) Act 2019 </w:t>
      </w:r>
      <w:r w:rsidRPr="008A0DBE">
        <w:t xml:space="preserve">incorrectly states that paragraph 20QA(1)(a) of the </w:t>
      </w:r>
      <w:r w:rsidRPr="008A0DBE">
        <w:rPr>
          <w:i/>
        </w:rPr>
        <w:t xml:space="preserve">Superannuation (Unclaimed Money and Lost Members) Act 1999 </w:t>
      </w:r>
      <w:r w:rsidRPr="008A0DBE">
        <w:t xml:space="preserve">is inserted by item 8. </w:t>
      </w:r>
    </w:p>
    <w:p w14:paraId="30240002" w14:textId="10E4C760" w:rsidR="00FE5896" w:rsidRPr="008A0DBE" w:rsidRDefault="00C327F2" w:rsidP="008A0DBE">
      <w:pPr>
        <w:pStyle w:val="base-text-paragraph"/>
        <w:numPr>
          <w:ilvl w:val="1"/>
          <w:numId w:val="51"/>
        </w:numPr>
        <w:shd w:val="clear" w:color="auto" w:fill="FFFFFF" w:themeFill="background1"/>
        <w:rPr>
          <w:rStyle w:val="Referencingstyle"/>
        </w:rPr>
      </w:pPr>
      <w:r w:rsidRPr="008A0DBE">
        <w:t>Part 1 of the Schedule</w:t>
      </w:r>
      <w:r w:rsidR="00FE5896" w:rsidRPr="008A0DBE">
        <w:t xml:space="preserve"> corrects this incorrect reference. </w:t>
      </w:r>
      <w:r w:rsidR="00906117" w:rsidRPr="008A0DBE">
        <w:rPr>
          <w:rStyle w:val="Referencingstyle"/>
        </w:rPr>
        <w:t>[Schedule </w:t>
      </w:r>
      <w:r w:rsidR="003F5FFB" w:rsidRPr="008A0DBE">
        <w:rPr>
          <w:rStyle w:val="Referencingstyle"/>
        </w:rPr>
        <w:t>#</w:t>
      </w:r>
      <w:r w:rsidR="00FE5896" w:rsidRPr="008A0DBE">
        <w:rPr>
          <w:rStyle w:val="Referencingstyle"/>
        </w:rPr>
        <w:t xml:space="preserve">, item </w:t>
      </w:r>
      <w:r w:rsidR="00906117" w:rsidRPr="008A0DBE">
        <w:rPr>
          <w:rStyle w:val="Referencingstyle"/>
        </w:rPr>
        <w:t>61</w:t>
      </w:r>
      <w:r w:rsidR="00FE5896" w:rsidRPr="008A0DBE">
        <w:rPr>
          <w:rStyle w:val="Referencingstyle"/>
        </w:rPr>
        <w:t xml:space="preserve">, </w:t>
      </w:r>
      <w:r w:rsidR="003F5FFB" w:rsidRPr="008A0DBE">
        <w:rPr>
          <w:rStyle w:val="Referencingstyle"/>
        </w:rPr>
        <w:t>s</w:t>
      </w:r>
      <w:r w:rsidR="00FE5896" w:rsidRPr="008A0DBE">
        <w:rPr>
          <w:rStyle w:val="Referencingstyle"/>
        </w:rPr>
        <w:t xml:space="preserve">ubitem 38(2) of Schedule 3 </w:t>
      </w:r>
      <w:r w:rsidR="008D11E6" w:rsidRPr="008A0DBE">
        <w:rPr>
          <w:rStyle w:val="Referencingstyle"/>
        </w:rPr>
        <w:t xml:space="preserve">to </w:t>
      </w:r>
      <w:r w:rsidR="003F5FFB" w:rsidRPr="008A0DBE">
        <w:rPr>
          <w:rStyle w:val="Referencingstyle"/>
        </w:rPr>
        <w:t xml:space="preserve">the </w:t>
      </w:r>
      <w:r w:rsidR="00FE5896" w:rsidRPr="008A0DBE">
        <w:rPr>
          <w:rStyle w:val="Referencingstyle"/>
        </w:rPr>
        <w:t xml:space="preserve">Treasury Laws Amendment (Protecting Your Superannuation Package) Act 2019] </w:t>
      </w:r>
    </w:p>
    <w:p w14:paraId="7A010CDC" w14:textId="77777777" w:rsidR="00E65CE1" w:rsidRPr="008A0DBE" w:rsidRDefault="00E65CE1" w:rsidP="008A0DBE">
      <w:pPr>
        <w:pStyle w:val="base-text-paragraph"/>
        <w:shd w:val="clear" w:color="auto" w:fill="FFFFFF" w:themeFill="background1"/>
        <w:tabs>
          <w:tab w:val="clear" w:pos="1985"/>
        </w:tabs>
        <w:rPr>
          <w:rStyle w:val="Referencingstyle"/>
        </w:rPr>
      </w:pPr>
    </w:p>
    <w:p w14:paraId="0D9C5503" w14:textId="3D069B9A" w:rsidR="0078044D" w:rsidRPr="008A0DBE" w:rsidRDefault="0078044D" w:rsidP="008A0DBE">
      <w:pPr>
        <w:pStyle w:val="Heading3"/>
        <w:shd w:val="clear" w:color="auto" w:fill="FFFFFF" w:themeFill="background1"/>
      </w:pPr>
      <w:r w:rsidRPr="008A0DBE">
        <w:t xml:space="preserve">Part 2 – Amendments commencing </w:t>
      </w:r>
      <w:r w:rsidR="00AB1175" w:rsidRPr="008A0DBE">
        <w:t>first day of the next</w:t>
      </w:r>
      <w:r w:rsidRPr="008A0DBE">
        <w:t xml:space="preserve"> quarter </w:t>
      </w:r>
    </w:p>
    <w:p w14:paraId="7D409B90" w14:textId="5D33D57A" w:rsidR="00FE675F" w:rsidRPr="008A0DBE" w:rsidRDefault="00FE675F" w:rsidP="008A0DBE">
      <w:pPr>
        <w:pStyle w:val="Heading4"/>
        <w:shd w:val="clear" w:color="auto" w:fill="FFFFFF" w:themeFill="background1"/>
      </w:pPr>
      <w:r w:rsidRPr="008A0DBE">
        <w:t>Amendments to the Fringe Benefits Tax Assessment Act 1986</w:t>
      </w:r>
    </w:p>
    <w:p w14:paraId="6852A083" w14:textId="51968ED1" w:rsidR="00E31155" w:rsidRPr="008A0DBE" w:rsidRDefault="00FE675F" w:rsidP="008A0DBE">
      <w:pPr>
        <w:pStyle w:val="Heading5"/>
        <w:shd w:val="clear" w:color="auto" w:fill="FFFFFF" w:themeFill="background1"/>
      </w:pPr>
      <w:r w:rsidRPr="008A0DBE">
        <w:t>Meaning of taxi</w:t>
      </w:r>
      <w:r w:rsidR="00E31155" w:rsidRPr="008A0DBE">
        <w:t xml:space="preserve"> </w:t>
      </w:r>
    </w:p>
    <w:p w14:paraId="0B9DFEC9" w14:textId="50FCDA15" w:rsidR="00FE675F" w:rsidRPr="008A0DBE" w:rsidRDefault="00376FB3" w:rsidP="008A0DBE">
      <w:pPr>
        <w:pStyle w:val="base-text-paragraph"/>
        <w:numPr>
          <w:ilvl w:val="1"/>
          <w:numId w:val="51"/>
        </w:numPr>
        <w:shd w:val="clear" w:color="auto" w:fill="FFFFFF" w:themeFill="background1"/>
      </w:pPr>
      <w:r w:rsidRPr="008A0DBE">
        <w:t xml:space="preserve"> </w:t>
      </w:r>
      <w:r w:rsidR="00A04A87" w:rsidRPr="008A0DBE">
        <w:t>The Bill</w:t>
      </w:r>
      <w:r w:rsidR="00FE675F" w:rsidRPr="008A0DBE">
        <w:t xml:space="preserve"> amends the </w:t>
      </w:r>
      <w:r w:rsidR="00A04A87" w:rsidRPr="008A0DBE">
        <w:t>definition</w:t>
      </w:r>
      <w:r w:rsidR="00FE675F" w:rsidRPr="008A0DBE">
        <w:t xml:space="preserve"> of ‘taxi’ in the </w:t>
      </w:r>
      <w:r w:rsidR="00FE675F" w:rsidRPr="008A0DBE">
        <w:rPr>
          <w:i/>
        </w:rPr>
        <w:t>Fringe</w:t>
      </w:r>
      <w:r w:rsidR="008E69AE" w:rsidRPr="008A0DBE">
        <w:rPr>
          <w:i/>
        </w:rPr>
        <w:t> </w:t>
      </w:r>
      <w:r w:rsidR="00FE675F" w:rsidRPr="008A0DBE">
        <w:rPr>
          <w:i/>
        </w:rPr>
        <w:t>Benefits</w:t>
      </w:r>
      <w:r w:rsidR="008E69AE" w:rsidRPr="008A0DBE">
        <w:rPr>
          <w:i/>
        </w:rPr>
        <w:t> </w:t>
      </w:r>
      <w:r w:rsidR="00FE675F" w:rsidRPr="008A0DBE">
        <w:rPr>
          <w:i/>
        </w:rPr>
        <w:t>Tax</w:t>
      </w:r>
      <w:r w:rsidR="008E69AE" w:rsidRPr="008A0DBE">
        <w:rPr>
          <w:i/>
        </w:rPr>
        <w:t> </w:t>
      </w:r>
      <w:r w:rsidR="00FE675F" w:rsidRPr="008A0DBE">
        <w:rPr>
          <w:i/>
        </w:rPr>
        <w:t>Assessment</w:t>
      </w:r>
      <w:r w:rsidR="008E69AE" w:rsidRPr="008A0DBE">
        <w:rPr>
          <w:i/>
        </w:rPr>
        <w:t> </w:t>
      </w:r>
      <w:r w:rsidR="00FE675F" w:rsidRPr="008A0DBE">
        <w:rPr>
          <w:i/>
        </w:rPr>
        <w:t>Act</w:t>
      </w:r>
      <w:r w:rsidR="008E69AE" w:rsidRPr="008A0DBE">
        <w:rPr>
          <w:i/>
        </w:rPr>
        <w:t> </w:t>
      </w:r>
      <w:r w:rsidR="00FE675F" w:rsidRPr="008A0DBE">
        <w:rPr>
          <w:i/>
        </w:rPr>
        <w:t>1986</w:t>
      </w:r>
      <w:r w:rsidR="00FE675F" w:rsidRPr="008A0DBE">
        <w:t xml:space="preserve"> to resolve administratively difficulties with the former definition which resulted from </w:t>
      </w:r>
      <w:r w:rsidR="00C431F8" w:rsidRPr="008A0DBE">
        <w:t>ride sharing providers entering</w:t>
      </w:r>
      <w:r w:rsidR="00FE675F" w:rsidRPr="008A0DBE">
        <w:t xml:space="preserve"> entry into the market. </w:t>
      </w:r>
    </w:p>
    <w:p w14:paraId="47442BAD" w14:textId="0F472D93" w:rsidR="00FE675F" w:rsidRPr="008A0DBE" w:rsidRDefault="00FE675F" w:rsidP="008A0DBE">
      <w:pPr>
        <w:pStyle w:val="base-text-paragraph"/>
        <w:numPr>
          <w:ilvl w:val="1"/>
          <w:numId w:val="41"/>
        </w:numPr>
        <w:shd w:val="clear" w:color="auto" w:fill="FFFFFF" w:themeFill="background1"/>
      </w:pPr>
      <w:r w:rsidRPr="008A0DBE">
        <w:t xml:space="preserve">Formerly, </w:t>
      </w:r>
      <w:r w:rsidR="00A04A87" w:rsidRPr="008A0DBE">
        <w:t xml:space="preserve">the </w:t>
      </w:r>
      <w:r w:rsidR="00A04A87" w:rsidRPr="008A0DBE">
        <w:rPr>
          <w:i/>
        </w:rPr>
        <w:t>Fringe Benefits Tax Assessment Act 1986</w:t>
      </w:r>
      <w:r w:rsidR="00A04A87" w:rsidRPr="008A0DBE">
        <w:t xml:space="preserve"> </w:t>
      </w:r>
      <w:r w:rsidR="00924B2B" w:rsidRPr="008A0DBE">
        <w:t xml:space="preserve">defined a taxi as </w:t>
      </w:r>
      <w:r w:rsidRPr="008A0DBE">
        <w:t xml:space="preserve">‘a motor vehicle licenced to operate as a taxi’. As a result of </w:t>
      </w:r>
      <w:r w:rsidR="00C431F8" w:rsidRPr="008A0DBE">
        <w:t>ride sharing providers entering</w:t>
      </w:r>
      <w:r w:rsidRPr="008A0DBE">
        <w:t xml:space="preserve"> into the market, this has become difficult to administer as the meaning of ‘licensed to operate as a taxi’ is highly contentious and may differ considerably between the states and territories depending on their licensing laws.</w:t>
      </w:r>
    </w:p>
    <w:p w14:paraId="1D4C70B4" w14:textId="20893FC9" w:rsidR="00FE675F" w:rsidRPr="008A0DBE" w:rsidRDefault="00FE675F" w:rsidP="008A0DBE">
      <w:pPr>
        <w:pStyle w:val="base-text-paragraph"/>
        <w:numPr>
          <w:ilvl w:val="1"/>
          <w:numId w:val="41"/>
        </w:numPr>
        <w:shd w:val="clear" w:color="auto" w:fill="FFFFFF" w:themeFill="background1"/>
        <w:rPr>
          <w:rStyle w:val="Referencingstyle"/>
          <w:i w:val="0"/>
          <w:sz w:val="22"/>
        </w:rPr>
      </w:pPr>
      <w:r w:rsidRPr="008A0DBE">
        <w:t xml:space="preserve">To avoid these </w:t>
      </w:r>
      <w:r w:rsidR="00924B2B" w:rsidRPr="008A0DBE">
        <w:t>difficulties</w:t>
      </w:r>
      <w:r w:rsidRPr="008A0DBE">
        <w:t xml:space="preserve">, the new law replaces references to a ‘taxi’ with ‘a car used for taxi travel (other than a limousine)’. </w:t>
      </w:r>
      <w:r w:rsidR="00924B2B" w:rsidRPr="008A0DBE">
        <w:t>The term ‘t</w:t>
      </w:r>
      <w:r w:rsidRPr="008A0DBE">
        <w:t>axi travel</w:t>
      </w:r>
      <w:r w:rsidR="00924B2B" w:rsidRPr="008A0DBE">
        <w:t>’</w:t>
      </w:r>
      <w:r w:rsidRPr="008A0DBE">
        <w:t xml:space="preserve"> is defined as having the same meaning as in the </w:t>
      </w:r>
      <w:r w:rsidRPr="008A0DBE">
        <w:rPr>
          <w:i/>
        </w:rPr>
        <w:t>A</w:t>
      </w:r>
      <w:r w:rsidR="008E69AE" w:rsidRPr="008A0DBE">
        <w:rPr>
          <w:i/>
        </w:rPr>
        <w:t> </w:t>
      </w:r>
      <w:r w:rsidRPr="008A0DBE">
        <w:rPr>
          <w:i/>
        </w:rPr>
        <w:t>New</w:t>
      </w:r>
      <w:r w:rsidR="00730DF3" w:rsidRPr="008A0DBE">
        <w:rPr>
          <w:i/>
        </w:rPr>
        <w:t xml:space="preserve"> </w:t>
      </w:r>
      <w:r w:rsidRPr="008A0DBE">
        <w:rPr>
          <w:i/>
        </w:rPr>
        <w:t>Tax</w:t>
      </w:r>
      <w:r w:rsidR="00730DF3" w:rsidRPr="008A0DBE">
        <w:rPr>
          <w:i/>
        </w:rPr>
        <w:t xml:space="preserve"> </w:t>
      </w:r>
      <w:r w:rsidRPr="008A0DBE">
        <w:rPr>
          <w:i/>
        </w:rPr>
        <w:t>System</w:t>
      </w:r>
      <w:r w:rsidR="00730DF3" w:rsidRPr="008A0DBE">
        <w:rPr>
          <w:i/>
        </w:rPr>
        <w:t xml:space="preserve"> </w:t>
      </w:r>
      <w:r w:rsidRPr="008A0DBE">
        <w:rPr>
          <w:i/>
        </w:rPr>
        <w:t>(Goods</w:t>
      </w:r>
      <w:r w:rsidR="008E69AE" w:rsidRPr="008A0DBE">
        <w:rPr>
          <w:i/>
        </w:rPr>
        <w:t> </w:t>
      </w:r>
      <w:r w:rsidRPr="008A0DBE">
        <w:rPr>
          <w:i/>
        </w:rPr>
        <w:t>and</w:t>
      </w:r>
      <w:r w:rsidR="008E69AE" w:rsidRPr="008A0DBE">
        <w:rPr>
          <w:i/>
        </w:rPr>
        <w:t> </w:t>
      </w:r>
      <w:r w:rsidRPr="008A0DBE">
        <w:rPr>
          <w:i/>
        </w:rPr>
        <w:t>Services</w:t>
      </w:r>
      <w:r w:rsidR="008E69AE" w:rsidRPr="008A0DBE">
        <w:rPr>
          <w:i/>
        </w:rPr>
        <w:t> </w:t>
      </w:r>
      <w:r w:rsidRPr="008A0DBE">
        <w:rPr>
          <w:i/>
        </w:rPr>
        <w:t>Tax)</w:t>
      </w:r>
      <w:r w:rsidR="008E69AE" w:rsidRPr="008A0DBE">
        <w:rPr>
          <w:i/>
        </w:rPr>
        <w:t> </w:t>
      </w:r>
      <w:r w:rsidRPr="008A0DBE">
        <w:rPr>
          <w:i/>
        </w:rPr>
        <w:t>Act</w:t>
      </w:r>
      <w:r w:rsidR="008E69AE" w:rsidRPr="008A0DBE">
        <w:rPr>
          <w:i/>
        </w:rPr>
        <w:t> </w:t>
      </w:r>
      <w:r w:rsidR="00730DF3" w:rsidRPr="008A0DBE">
        <w:rPr>
          <w:i/>
        </w:rPr>
        <w:t>1999</w:t>
      </w:r>
      <w:r w:rsidRPr="008A0DBE">
        <w:t xml:space="preserve">, namely, ‘travel that involves transporting passengers by taxi or limousine, for fares’. This preserves the existing policy of covering vehicles used for travel involving transporting passengers for a fare by way of a car but not including luxury cars such as limousines. </w:t>
      </w:r>
      <w:r w:rsidRPr="008A0DBE">
        <w:rPr>
          <w:rStyle w:val="Referencingstyle"/>
        </w:rPr>
        <w:t xml:space="preserve">[Schedule </w:t>
      </w:r>
      <w:r w:rsidR="00071FE9" w:rsidRPr="008A0DBE">
        <w:rPr>
          <w:rStyle w:val="Referencingstyle"/>
        </w:rPr>
        <w:t>#,</w:t>
      </w:r>
      <w:r w:rsidRPr="008A0DBE">
        <w:rPr>
          <w:rStyle w:val="Referencingstyle"/>
        </w:rPr>
        <w:t xml:space="preserve"> items </w:t>
      </w:r>
      <w:r w:rsidR="00721996" w:rsidRPr="008A0DBE">
        <w:rPr>
          <w:rStyle w:val="Referencingstyle"/>
        </w:rPr>
        <w:t>62</w:t>
      </w:r>
      <w:r w:rsidR="00071FE9" w:rsidRPr="008A0DBE">
        <w:rPr>
          <w:rStyle w:val="Referencingstyle"/>
        </w:rPr>
        <w:t xml:space="preserve"> to </w:t>
      </w:r>
      <w:r w:rsidR="00721996" w:rsidRPr="008A0DBE">
        <w:rPr>
          <w:rStyle w:val="Referencingstyle"/>
        </w:rPr>
        <w:t>66</w:t>
      </w:r>
      <w:r w:rsidR="00071FE9" w:rsidRPr="008A0DBE">
        <w:rPr>
          <w:rStyle w:val="Referencingstyle"/>
        </w:rPr>
        <w:t xml:space="preserve">, </w:t>
      </w:r>
      <w:r w:rsidR="00721996" w:rsidRPr="008A0DBE">
        <w:rPr>
          <w:rStyle w:val="Referencingstyle"/>
        </w:rPr>
        <w:t>68</w:t>
      </w:r>
      <w:r w:rsidR="00071FE9" w:rsidRPr="008A0DBE">
        <w:rPr>
          <w:rStyle w:val="Referencingstyle"/>
        </w:rPr>
        <w:t xml:space="preserve"> and </w:t>
      </w:r>
      <w:r w:rsidR="00721996" w:rsidRPr="008A0DBE">
        <w:rPr>
          <w:rStyle w:val="Referencingstyle"/>
        </w:rPr>
        <w:t>69</w:t>
      </w:r>
      <w:r w:rsidRPr="008A0DBE">
        <w:rPr>
          <w:rStyle w:val="Referencingstyle"/>
        </w:rPr>
        <w:t>, paragraph 7(7)(a), subparagraph</w:t>
      </w:r>
      <w:r w:rsidR="007C76BC" w:rsidRPr="008A0DBE">
        <w:rPr>
          <w:rStyle w:val="Referencingstyle"/>
        </w:rPr>
        <w:t>s</w:t>
      </w:r>
      <w:r w:rsidRPr="008A0DBE">
        <w:rPr>
          <w:rStyle w:val="Referencingstyle"/>
        </w:rPr>
        <w:t xml:space="preserve"> </w:t>
      </w:r>
      <w:r w:rsidR="007C76BC" w:rsidRPr="008A0DBE">
        <w:rPr>
          <w:rStyle w:val="Referencingstyle"/>
        </w:rPr>
        <w:t>8(2)(a)(i) and 8(2)(a)(ia),</w:t>
      </w:r>
      <w:r w:rsidR="00C431F8" w:rsidRPr="008A0DBE">
        <w:rPr>
          <w:rStyle w:val="Referencingstyle"/>
        </w:rPr>
        <w:t xml:space="preserve"> </w:t>
      </w:r>
      <w:r w:rsidR="007C76BC" w:rsidRPr="008A0DBE">
        <w:rPr>
          <w:rStyle w:val="Referencingstyle"/>
        </w:rPr>
        <w:t>paragraph</w:t>
      </w:r>
      <w:r w:rsidRPr="008A0DBE">
        <w:rPr>
          <w:rStyle w:val="Referencingstyle"/>
        </w:rPr>
        <w:t xml:space="preserve"> 47(6)(aa)(i), subsections 58Z(1) and (2)</w:t>
      </w:r>
      <w:r w:rsidR="007C76BC" w:rsidRPr="008A0DBE">
        <w:rPr>
          <w:rStyle w:val="Referencingstyle"/>
        </w:rPr>
        <w:t xml:space="preserve"> and</w:t>
      </w:r>
      <w:r w:rsidRPr="008A0DBE">
        <w:rPr>
          <w:rStyle w:val="Referencingstyle"/>
        </w:rPr>
        <w:t xml:space="preserve"> definition of ‘taxi’ and definition of ‘taxi travel’</w:t>
      </w:r>
      <w:r w:rsidR="00071FE9" w:rsidRPr="008A0DBE">
        <w:rPr>
          <w:rStyle w:val="Referencingstyle"/>
        </w:rPr>
        <w:t xml:space="preserve"> in </w:t>
      </w:r>
      <w:r w:rsidRPr="008A0DBE">
        <w:rPr>
          <w:rStyle w:val="Referencingstyle"/>
        </w:rPr>
        <w:t>su</w:t>
      </w:r>
      <w:r w:rsidR="00071FE9" w:rsidRPr="008A0DBE">
        <w:rPr>
          <w:rStyle w:val="Referencingstyle"/>
        </w:rPr>
        <w:t xml:space="preserve">bsection 136(1) of the </w:t>
      </w:r>
      <w:r w:rsidR="008D11E6" w:rsidRPr="008A0DBE">
        <w:rPr>
          <w:rStyle w:val="Referencingstyle"/>
        </w:rPr>
        <w:t xml:space="preserve">Fringe Benefits Tax Assessment </w:t>
      </w:r>
      <w:r w:rsidR="00071FE9" w:rsidRPr="008A0DBE">
        <w:rPr>
          <w:rStyle w:val="Referencingstyle"/>
        </w:rPr>
        <w:t>Act</w:t>
      </w:r>
      <w:r w:rsidR="008D11E6" w:rsidRPr="008A0DBE">
        <w:rPr>
          <w:rStyle w:val="Referencingstyle"/>
        </w:rPr>
        <w:t xml:space="preserve"> 1986</w:t>
      </w:r>
      <w:r w:rsidRPr="008A0DBE">
        <w:rPr>
          <w:rStyle w:val="Referencingstyle"/>
        </w:rPr>
        <w:t>]</w:t>
      </w:r>
    </w:p>
    <w:p w14:paraId="7BE064AD" w14:textId="23DF7AF9" w:rsidR="00071FE9" w:rsidRPr="008A0DBE" w:rsidRDefault="00071FE9" w:rsidP="008A0DBE">
      <w:pPr>
        <w:pStyle w:val="base-text-paragraph"/>
        <w:numPr>
          <w:ilvl w:val="1"/>
          <w:numId w:val="41"/>
        </w:numPr>
        <w:shd w:val="clear" w:color="auto" w:fill="FFFFFF" w:themeFill="background1"/>
        <w:rPr>
          <w:rStyle w:val="Referencingstyle"/>
          <w:i w:val="0"/>
          <w:sz w:val="22"/>
        </w:rPr>
      </w:pPr>
      <w:r w:rsidRPr="008A0DBE">
        <w:t>This amendment applies in relation to the provision of a fringe benefit on or after the day of Royal Assent.</w:t>
      </w:r>
      <w:r w:rsidRPr="008A0DBE">
        <w:rPr>
          <w:rStyle w:val="Referencingstyle"/>
        </w:rPr>
        <w:t xml:space="preserve"> [Schedule #, item </w:t>
      </w:r>
      <w:r w:rsidR="00721996" w:rsidRPr="008A0DBE">
        <w:rPr>
          <w:rStyle w:val="Referencingstyle"/>
        </w:rPr>
        <w:t>70</w:t>
      </w:r>
      <w:r w:rsidRPr="008A0DBE">
        <w:rPr>
          <w:rStyle w:val="Referencingstyle"/>
        </w:rPr>
        <w:t>]</w:t>
      </w:r>
    </w:p>
    <w:p w14:paraId="65D017AD" w14:textId="7606FC48" w:rsidR="00E31155" w:rsidRPr="008A0DBE" w:rsidRDefault="00FE675F" w:rsidP="008A0DBE">
      <w:pPr>
        <w:pStyle w:val="Heading5"/>
        <w:shd w:val="clear" w:color="auto" w:fill="FFFFFF" w:themeFill="background1"/>
        <w:rPr>
          <w:rStyle w:val="Referencingstyle"/>
          <w:b w:val="0"/>
          <w:sz w:val="22"/>
        </w:rPr>
      </w:pPr>
      <w:r w:rsidRPr="008A0DBE">
        <w:t xml:space="preserve">Meaning of </w:t>
      </w:r>
      <w:r w:rsidR="00D10C39" w:rsidRPr="008A0DBE">
        <w:t>‘</w:t>
      </w:r>
      <w:r w:rsidRPr="008A0DBE">
        <w:t>fringe benefit</w:t>
      </w:r>
      <w:r w:rsidR="00D10C39" w:rsidRPr="008A0DBE">
        <w:t>’</w:t>
      </w:r>
      <w:r w:rsidR="00E31155" w:rsidRPr="008A0DBE">
        <w:t xml:space="preserve"> </w:t>
      </w:r>
    </w:p>
    <w:p w14:paraId="0CFEC5D9" w14:textId="24B5F87C" w:rsidR="00FE675F" w:rsidRPr="008A0DBE" w:rsidRDefault="00E31155" w:rsidP="008A0DBE">
      <w:pPr>
        <w:pStyle w:val="base-text-paragraph"/>
        <w:numPr>
          <w:ilvl w:val="1"/>
          <w:numId w:val="41"/>
        </w:numPr>
        <w:shd w:val="clear" w:color="auto" w:fill="FFFFFF" w:themeFill="background1"/>
      </w:pPr>
      <w:r w:rsidRPr="008A0DBE">
        <w:t xml:space="preserve">The Bill </w:t>
      </w:r>
      <w:r w:rsidR="00FE675F" w:rsidRPr="008A0DBE">
        <w:t>amends an incorrect section reference in the definition of ‘fringe benefit’ in section 136</w:t>
      </w:r>
      <w:r w:rsidRPr="008A0DBE">
        <w:t xml:space="preserve"> of the</w:t>
      </w:r>
      <w:r w:rsidR="008D11E6" w:rsidRPr="008A0DBE">
        <w:t xml:space="preserve"> </w:t>
      </w:r>
      <w:r w:rsidRPr="008A0DBE">
        <w:rPr>
          <w:i/>
        </w:rPr>
        <w:t>Fringe</w:t>
      </w:r>
      <w:r w:rsidR="00C431F8" w:rsidRPr="008A0DBE">
        <w:rPr>
          <w:i/>
        </w:rPr>
        <w:t xml:space="preserve"> </w:t>
      </w:r>
      <w:r w:rsidRPr="008A0DBE">
        <w:rPr>
          <w:i/>
        </w:rPr>
        <w:t>Benefits</w:t>
      </w:r>
      <w:r w:rsidR="00C431F8" w:rsidRPr="008A0DBE">
        <w:rPr>
          <w:i/>
        </w:rPr>
        <w:t xml:space="preserve"> </w:t>
      </w:r>
      <w:r w:rsidRPr="008A0DBE">
        <w:rPr>
          <w:i/>
        </w:rPr>
        <w:t>Tax</w:t>
      </w:r>
      <w:r w:rsidR="00C431F8" w:rsidRPr="008A0DBE">
        <w:rPr>
          <w:i/>
        </w:rPr>
        <w:t xml:space="preserve"> </w:t>
      </w:r>
      <w:r w:rsidRPr="008A0DBE">
        <w:rPr>
          <w:i/>
        </w:rPr>
        <w:t>Assessment</w:t>
      </w:r>
      <w:r w:rsidR="00C431F8" w:rsidRPr="008A0DBE">
        <w:rPr>
          <w:i/>
        </w:rPr>
        <w:t xml:space="preserve"> </w:t>
      </w:r>
      <w:r w:rsidRPr="008A0DBE">
        <w:rPr>
          <w:i/>
        </w:rPr>
        <w:t>Act</w:t>
      </w:r>
      <w:r w:rsidR="00137752" w:rsidRPr="008A0DBE">
        <w:t> </w:t>
      </w:r>
      <w:r w:rsidR="007C76BC" w:rsidRPr="008A0DBE">
        <w:rPr>
          <w:i/>
        </w:rPr>
        <w:t>1986</w:t>
      </w:r>
      <w:r w:rsidR="00FE675F" w:rsidRPr="008A0DBE">
        <w:t>.</w:t>
      </w:r>
    </w:p>
    <w:p w14:paraId="24F8CEA1" w14:textId="7B9EA866" w:rsidR="00FE675F" w:rsidRPr="008A0DBE" w:rsidRDefault="00FE675F" w:rsidP="008A0DBE">
      <w:pPr>
        <w:pStyle w:val="base-text-paragraph"/>
        <w:numPr>
          <w:ilvl w:val="1"/>
          <w:numId w:val="41"/>
        </w:numPr>
        <w:shd w:val="clear" w:color="auto" w:fill="FFFFFF" w:themeFill="background1"/>
      </w:pPr>
      <w:r w:rsidRPr="008A0DBE">
        <w:t>Formerly, the definition of ‘fringe benefit’</w:t>
      </w:r>
      <w:r w:rsidR="00E31155" w:rsidRPr="008A0DBE">
        <w:t xml:space="preserve"> </w:t>
      </w:r>
      <w:r w:rsidRPr="008A0DBE">
        <w:t xml:space="preserve">excluded a payment made, or liability incurred, to a person to the extent that the payment or liability is deemed to not be income because of subsection 65(1A) of the </w:t>
      </w:r>
      <w:r w:rsidR="00E31155" w:rsidRPr="008A0DBE">
        <w:rPr>
          <w:i/>
        </w:rPr>
        <w:t>Income Tax Assessment Act</w:t>
      </w:r>
      <w:r w:rsidRPr="008A0DBE">
        <w:rPr>
          <w:i/>
        </w:rPr>
        <w:t xml:space="preserve"> 1936.</w:t>
      </w:r>
      <w:r w:rsidRPr="008A0DBE">
        <w:t xml:space="preserve"> Subsection 65(1A) of the </w:t>
      </w:r>
      <w:r w:rsidR="00E31155" w:rsidRPr="008A0DBE">
        <w:rPr>
          <w:i/>
        </w:rPr>
        <w:t xml:space="preserve">Income Tax Assessment Act 1936 </w:t>
      </w:r>
      <w:r w:rsidRPr="008A0DBE">
        <w:t xml:space="preserve">provided </w:t>
      </w:r>
      <w:r w:rsidR="007C76BC" w:rsidRPr="008A0DBE">
        <w:t xml:space="preserve">that </w:t>
      </w:r>
      <w:r w:rsidRPr="008A0DBE">
        <w:t xml:space="preserve">if an amount paid to an associated person is not allowed as a deduction by the Commissioner </w:t>
      </w:r>
      <w:r w:rsidR="007C76BC" w:rsidRPr="008A0DBE">
        <w:t>then</w:t>
      </w:r>
      <w:r w:rsidRPr="008A0DBE">
        <w:t xml:space="preserve"> that amount is deemed not </w:t>
      </w:r>
      <w:r w:rsidR="00C431F8" w:rsidRPr="008A0DBE">
        <w:t>to be</w:t>
      </w:r>
      <w:r w:rsidRPr="008A0DBE">
        <w:t xml:space="preserve"> income of the associated person. </w:t>
      </w:r>
    </w:p>
    <w:p w14:paraId="781BC430" w14:textId="247D5E15" w:rsidR="00FE675F" w:rsidRPr="008A0DBE" w:rsidRDefault="00FE675F" w:rsidP="008A0DBE">
      <w:pPr>
        <w:pStyle w:val="base-text-paragraph"/>
        <w:numPr>
          <w:ilvl w:val="1"/>
          <w:numId w:val="41"/>
        </w:numPr>
        <w:shd w:val="clear" w:color="auto" w:fill="FFFFFF" w:themeFill="background1"/>
      </w:pPr>
      <w:r w:rsidRPr="008A0DBE">
        <w:t xml:space="preserve">Subsection 65(1A) was repealed by the </w:t>
      </w:r>
      <w:r w:rsidRPr="008A0DBE">
        <w:rPr>
          <w:i/>
        </w:rPr>
        <w:t>Tax</w:t>
      </w:r>
      <w:r w:rsidR="00C431F8" w:rsidRPr="008A0DBE">
        <w:rPr>
          <w:i/>
        </w:rPr>
        <w:t xml:space="preserve"> </w:t>
      </w:r>
      <w:r w:rsidRPr="008A0DBE">
        <w:rPr>
          <w:i/>
        </w:rPr>
        <w:t>Laws</w:t>
      </w:r>
      <w:r w:rsidR="00C431F8" w:rsidRPr="008A0DBE">
        <w:rPr>
          <w:i/>
        </w:rPr>
        <w:t xml:space="preserve"> </w:t>
      </w:r>
      <w:r w:rsidRPr="008A0DBE">
        <w:rPr>
          <w:i/>
        </w:rPr>
        <w:t>Amendment</w:t>
      </w:r>
      <w:r w:rsidR="00C431F8" w:rsidRPr="008A0DBE">
        <w:rPr>
          <w:i/>
        </w:rPr>
        <w:t xml:space="preserve"> </w:t>
      </w:r>
      <w:r w:rsidRPr="008A0DBE">
        <w:rPr>
          <w:i/>
        </w:rPr>
        <w:t>(Repeal</w:t>
      </w:r>
      <w:r w:rsidR="0027534D" w:rsidRPr="008A0DBE">
        <w:rPr>
          <w:i/>
        </w:rPr>
        <w:t> </w:t>
      </w:r>
      <w:r w:rsidRPr="008A0DBE">
        <w:rPr>
          <w:i/>
        </w:rPr>
        <w:t>of</w:t>
      </w:r>
      <w:r w:rsidR="0027534D" w:rsidRPr="008A0DBE">
        <w:t> </w:t>
      </w:r>
      <w:r w:rsidRPr="008A0DBE">
        <w:rPr>
          <w:i/>
        </w:rPr>
        <w:t>Inoperative</w:t>
      </w:r>
      <w:r w:rsidR="0027534D" w:rsidRPr="008A0DBE">
        <w:rPr>
          <w:i/>
        </w:rPr>
        <w:t> </w:t>
      </w:r>
      <w:r w:rsidRPr="008A0DBE">
        <w:rPr>
          <w:i/>
        </w:rPr>
        <w:t>Provisions)</w:t>
      </w:r>
      <w:r w:rsidR="0027534D" w:rsidRPr="008A0DBE">
        <w:rPr>
          <w:i/>
        </w:rPr>
        <w:t> </w:t>
      </w:r>
      <w:r w:rsidRPr="008A0DBE">
        <w:rPr>
          <w:i/>
        </w:rPr>
        <w:t>Act</w:t>
      </w:r>
      <w:r w:rsidR="0027534D" w:rsidRPr="008A0DBE">
        <w:rPr>
          <w:i/>
        </w:rPr>
        <w:t> </w:t>
      </w:r>
      <w:r w:rsidRPr="008A0DBE">
        <w:rPr>
          <w:i/>
        </w:rPr>
        <w:t>2006</w:t>
      </w:r>
      <w:r w:rsidR="0027534D" w:rsidRPr="008A0DBE">
        <w:t> </w:t>
      </w:r>
      <w:r w:rsidRPr="008A0DBE">
        <w:t xml:space="preserve">and section 26-30 </w:t>
      </w:r>
      <w:r w:rsidR="00376FB3" w:rsidRPr="008A0DBE">
        <w:t xml:space="preserve">of the </w:t>
      </w:r>
      <w:r w:rsidR="00376FB3" w:rsidRPr="008A0DBE">
        <w:rPr>
          <w:i/>
        </w:rPr>
        <w:t>Income Tax Assessment Act 1936</w:t>
      </w:r>
      <w:r w:rsidRPr="008A0DBE">
        <w:t xml:space="preserve"> now governs the non-deductibility of relative’s travel expenses</w:t>
      </w:r>
      <w:r w:rsidRPr="008A0DBE">
        <w:rPr>
          <w:i/>
        </w:rPr>
        <w:t>.</w:t>
      </w:r>
    </w:p>
    <w:p w14:paraId="5C424D23" w14:textId="0E61DCD1" w:rsidR="00FE675F" w:rsidRPr="008A0DBE" w:rsidRDefault="00FE675F" w:rsidP="008A0DBE">
      <w:pPr>
        <w:pStyle w:val="base-text-paragraph"/>
        <w:numPr>
          <w:ilvl w:val="1"/>
          <w:numId w:val="41"/>
        </w:numPr>
        <w:shd w:val="clear" w:color="auto" w:fill="FFFFFF" w:themeFill="background1"/>
        <w:rPr>
          <w:rStyle w:val="Referencingstyle"/>
          <w:b w:val="0"/>
          <w:i w:val="0"/>
          <w:sz w:val="22"/>
        </w:rPr>
      </w:pPr>
      <w:r w:rsidRPr="008A0DBE">
        <w:t>Accordingly, the reference to subsection 65(1A) in the definition of ‘fringe benefit’ is replaced with a reference to section 26-3</w:t>
      </w:r>
      <w:r w:rsidR="00AB02E3" w:rsidRPr="008A0DBE">
        <w:t>5</w:t>
      </w:r>
      <w:r w:rsidRPr="008A0DBE">
        <w:t xml:space="preserve">. </w:t>
      </w:r>
      <w:r w:rsidR="00071FE9" w:rsidRPr="008A0DBE">
        <w:rPr>
          <w:rStyle w:val="Referencingstyle"/>
        </w:rPr>
        <w:t xml:space="preserve">[Schedule #, item </w:t>
      </w:r>
      <w:r w:rsidR="00721996" w:rsidRPr="008A0DBE">
        <w:rPr>
          <w:rStyle w:val="Referencingstyle"/>
        </w:rPr>
        <w:t>67</w:t>
      </w:r>
      <w:r w:rsidRPr="008A0DBE">
        <w:rPr>
          <w:rStyle w:val="Referencingstyle"/>
        </w:rPr>
        <w:t xml:space="preserve">, </w:t>
      </w:r>
      <w:r w:rsidR="00071FE9" w:rsidRPr="008A0DBE">
        <w:rPr>
          <w:rStyle w:val="Referencingstyle"/>
        </w:rPr>
        <w:t>paragraph</w:t>
      </w:r>
      <w:r w:rsidRPr="008A0DBE">
        <w:rPr>
          <w:rStyle w:val="Referencingstyle"/>
        </w:rPr>
        <w:t xml:space="preserve"> </w:t>
      </w:r>
      <w:r w:rsidR="00071FE9" w:rsidRPr="008A0DBE">
        <w:rPr>
          <w:rStyle w:val="Referencingstyle"/>
        </w:rPr>
        <w:t>(p) of the definition of ‘fringe benefit’ in</w:t>
      </w:r>
      <w:r w:rsidRPr="008A0DBE">
        <w:rPr>
          <w:rStyle w:val="Referencingstyle"/>
        </w:rPr>
        <w:t xml:space="preserve"> subsection 136(1) of the </w:t>
      </w:r>
      <w:r w:rsidR="00D10C39" w:rsidRPr="008A0DBE">
        <w:rPr>
          <w:rStyle w:val="Referencingstyle"/>
        </w:rPr>
        <w:t>Fringe Benefits Tax Assessment</w:t>
      </w:r>
      <w:r w:rsidRPr="008A0DBE">
        <w:rPr>
          <w:rStyle w:val="Referencingstyle"/>
        </w:rPr>
        <w:t xml:space="preserve"> Act]</w:t>
      </w:r>
    </w:p>
    <w:p w14:paraId="76962089" w14:textId="315B8287" w:rsidR="00FE675F" w:rsidRPr="008A0DBE" w:rsidRDefault="00FE675F" w:rsidP="008A0DBE">
      <w:pPr>
        <w:pStyle w:val="base-text-paragraph"/>
        <w:numPr>
          <w:ilvl w:val="1"/>
          <w:numId w:val="41"/>
        </w:numPr>
        <w:shd w:val="clear" w:color="auto" w:fill="FFFFFF" w:themeFill="background1"/>
        <w:rPr>
          <w:rStyle w:val="Referencingstyle"/>
          <w:b w:val="0"/>
          <w:i w:val="0"/>
          <w:sz w:val="22"/>
        </w:rPr>
      </w:pPr>
      <w:r w:rsidRPr="008A0DBE">
        <w:rPr>
          <w:rStyle w:val="Referencingstyle"/>
          <w:b w:val="0"/>
          <w:i w:val="0"/>
          <w:sz w:val="22"/>
        </w:rPr>
        <w:t xml:space="preserve">The amendment applies to </w:t>
      </w:r>
      <w:r w:rsidR="00CF1DE4" w:rsidRPr="008A0DBE">
        <w:rPr>
          <w:rStyle w:val="Referencingstyle"/>
          <w:b w:val="0"/>
          <w:i w:val="0"/>
          <w:sz w:val="22"/>
        </w:rPr>
        <w:t xml:space="preserve">Fringe Benefit Tax </w:t>
      </w:r>
      <w:r w:rsidR="00071FE9" w:rsidRPr="008A0DBE">
        <w:rPr>
          <w:rStyle w:val="Referencingstyle"/>
          <w:b w:val="0"/>
          <w:i w:val="0"/>
          <w:sz w:val="22"/>
        </w:rPr>
        <w:t>years starting on 1 April</w:t>
      </w:r>
      <w:r w:rsidRPr="008A0DBE">
        <w:rPr>
          <w:rStyle w:val="Referencingstyle"/>
          <w:b w:val="0"/>
          <w:i w:val="0"/>
          <w:sz w:val="22"/>
        </w:rPr>
        <w:t xml:space="preserve"> 2014 and later </w:t>
      </w:r>
      <w:r w:rsidR="00CF1DE4" w:rsidRPr="008A0DBE">
        <w:rPr>
          <w:rStyle w:val="Referencingstyle"/>
          <w:b w:val="0"/>
          <w:i w:val="0"/>
          <w:sz w:val="22"/>
        </w:rPr>
        <w:t xml:space="preserve">Fringe Benefit Tax </w:t>
      </w:r>
      <w:r w:rsidRPr="008A0DBE">
        <w:rPr>
          <w:rStyle w:val="Referencingstyle"/>
          <w:b w:val="0"/>
          <w:i w:val="0"/>
          <w:sz w:val="22"/>
        </w:rPr>
        <w:t xml:space="preserve">years. This makes the amendment retrospective but only as far back as the </w:t>
      </w:r>
      <w:r w:rsidR="00E31155" w:rsidRPr="008A0DBE">
        <w:rPr>
          <w:rStyle w:val="Referencingstyle"/>
          <w:b w:val="0"/>
          <w:i w:val="0"/>
          <w:sz w:val="22"/>
        </w:rPr>
        <w:t xml:space="preserve">Fringe Benefit Tax </w:t>
      </w:r>
      <w:r w:rsidRPr="008A0DBE">
        <w:rPr>
          <w:rStyle w:val="Referencingstyle"/>
          <w:b w:val="0"/>
          <w:i w:val="0"/>
          <w:sz w:val="22"/>
        </w:rPr>
        <w:t xml:space="preserve">amendment period extends. Taxpayers have been applying </w:t>
      </w:r>
      <w:r w:rsidRPr="008A0DBE">
        <w:t>the</w:t>
      </w:r>
      <w:r w:rsidRPr="008A0DBE">
        <w:rPr>
          <w:rStyle w:val="Referencingstyle"/>
          <w:b w:val="0"/>
          <w:i w:val="0"/>
          <w:sz w:val="22"/>
        </w:rPr>
        <w:t xml:space="preserve"> law in the way that it was intended to apply. The retrospective application ensures that the law aligns with returns that have been lodged and ensures that fringe benefits tax is not payable on non-deductible payments to relatives. As such, it does not adversely affect the rights or interests of stakeholders. </w:t>
      </w:r>
      <w:r w:rsidRPr="008A0DBE">
        <w:rPr>
          <w:rStyle w:val="Referencingstyle"/>
        </w:rPr>
        <w:t xml:space="preserve">[Schedule </w:t>
      </w:r>
      <w:r w:rsidR="00071FE9" w:rsidRPr="008A0DBE">
        <w:rPr>
          <w:rStyle w:val="Referencingstyle"/>
        </w:rPr>
        <w:t xml:space="preserve">#, item </w:t>
      </w:r>
      <w:r w:rsidR="00721996" w:rsidRPr="008A0DBE">
        <w:rPr>
          <w:rStyle w:val="Referencingstyle"/>
        </w:rPr>
        <w:t>70</w:t>
      </w:r>
      <w:r w:rsidR="00071FE9" w:rsidRPr="008A0DBE">
        <w:rPr>
          <w:rStyle w:val="Referencingstyle"/>
        </w:rPr>
        <w:t>]</w:t>
      </w:r>
    </w:p>
    <w:p w14:paraId="1721D036" w14:textId="77777777" w:rsidR="00A27450" w:rsidRPr="008A0DBE" w:rsidRDefault="000E3B1E" w:rsidP="008A0DBE">
      <w:pPr>
        <w:pStyle w:val="Heading4"/>
        <w:shd w:val="clear" w:color="auto" w:fill="FFFFFF" w:themeFill="background1"/>
      </w:pPr>
      <w:r w:rsidRPr="008A0DBE">
        <w:t xml:space="preserve">Amendments to the </w:t>
      </w:r>
      <w:r w:rsidR="00904887" w:rsidRPr="008A0DBE">
        <w:t xml:space="preserve">Income Tax Assessment Act </w:t>
      </w:r>
      <w:r w:rsidRPr="008A0DBE">
        <w:t>1997</w:t>
      </w:r>
      <w:r w:rsidR="004C6661" w:rsidRPr="008A0DBE">
        <w:t xml:space="preserve"> and</w:t>
      </w:r>
      <w:r w:rsidR="004C689D" w:rsidRPr="008A0DBE">
        <w:t xml:space="preserve"> </w:t>
      </w:r>
      <w:r w:rsidR="00B97810" w:rsidRPr="008A0DBE">
        <w:t xml:space="preserve">the </w:t>
      </w:r>
      <w:r w:rsidR="00904887" w:rsidRPr="008A0DBE">
        <w:t>Income Tax (Transitional Provisions)</w:t>
      </w:r>
      <w:r w:rsidR="004C689D" w:rsidRPr="008A0DBE">
        <w:t xml:space="preserve"> Act</w:t>
      </w:r>
      <w:r w:rsidR="00904887" w:rsidRPr="008A0DBE">
        <w:t xml:space="preserve"> 1997</w:t>
      </w:r>
      <w:r w:rsidR="004C689D" w:rsidRPr="008A0DBE">
        <w:t xml:space="preserve"> </w:t>
      </w:r>
    </w:p>
    <w:p w14:paraId="5BE81779" w14:textId="64302941" w:rsidR="00B97810" w:rsidRPr="008A0DBE" w:rsidRDefault="00362194" w:rsidP="008A0DBE">
      <w:pPr>
        <w:pStyle w:val="Heading5"/>
        <w:shd w:val="clear" w:color="auto" w:fill="FFFFFF" w:themeFill="background1"/>
      </w:pPr>
      <w:r w:rsidRPr="008A0DBE">
        <w:t>Amendments to the rules relating to gifts and contributions</w:t>
      </w:r>
    </w:p>
    <w:p w14:paraId="57686DFF" w14:textId="2C7A92E0" w:rsidR="000E3B1E" w:rsidRPr="008A0DBE" w:rsidRDefault="00E762B9" w:rsidP="008A0DBE">
      <w:pPr>
        <w:pStyle w:val="base-text-paragraph"/>
        <w:numPr>
          <w:ilvl w:val="1"/>
          <w:numId w:val="41"/>
        </w:numPr>
        <w:shd w:val="clear" w:color="auto" w:fill="FFFFFF" w:themeFill="background1"/>
      </w:pPr>
      <w:r w:rsidRPr="008A0DBE">
        <w:t>Part 2</w:t>
      </w:r>
      <w:r w:rsidR="00F76823" w:rsidRPr="008A0DBE">
        <w:t xml:space="preserve"> amends the</w:t>
      </w:r>
      <w:r w:rsidR="00837C04" w:rsidRPr="008A0DBE">
        <w:t xml:space="preserve"> listing of the Royal Society for the Prevention of Cruelty to Animals Western Australia</w:t>
      </w:r>
      <w:r w:rsidR="0027534D" w:rsidRPr="008A0DBE">
        <w:t xml:space="preserve"> in the</w:t>
      </w:r>
      <w:r w:rsidR="0027534D" w:rsidRPr="008A0DBE">
        <w:rPr>
          <w:i/>
        </w:rPr>
        <w:t xml:space="preserve"> Income Tax Assessment Act 1997</w:t>
      </w:r>
      <w:r w:rsidR="0027534D" w:rsidRPr="008A0DBE">
        <w:t xml:space="preserve"> </w:t>
      </w:r>
      <w:r w:rsidR="00837C04" w:rsidRPr="008A0DBE">
        <w:t xml:space="preserve">as a deductible gift recipient to reflect its change of name. </w:t>
      </w:r>
      <w:r w:rsidR="00362194" w:rsidRPr="008A0DBE">
        <w:t>This</w:t>
      </w:r>
      <w:r w:rsidR="00837C04" w:rsidRPr="008A0DBE">
        <w:t xml:space="preserve"> amendment applies </w:t>
      </w:r>
      <w:r w:rsidR="00EF5C61" w:rsidRPr="008A0DBE">
        <w:t xml:space="preserve">in relation to gifts or contributions made on or after </w:t>
      </w:r>
      <w:r w:rsidR="00D37B51" w:rsidRPr="008A0DBE">
        <w:t>24 July 2018</w:t>
      </w:r>
      <w:r w:rsidR="00837C04" w:rsidRPr="008A0DBE">
        <w:t xml:space="preserve">, the date </w:t>
      </w:r>
      <w:r w:rsidR="00FA41C4" w:rsidRPr="008A0DBE">
        <w:t xml:space="preserve">on </w:t>
      </w:r>
      <w:r w:rsidR="00837C04" w:rsidRPr="008A0DBE">
        <w:t xml:space="preserve">which its name changed. </w:t>
      </w:r>
      <w:r w:rsidR="0027534D" w:rsidRPr="008A0DBE">
        <w:t>While the application of the amendment is retrospective, it does not adversely affect the rights of any entity.</w:t>
      </w:r>
      <w:r w:rsidR="0027534D" w:rsidRPr="008A0DBE">
        <w:rPr>
          <w:rStyle w:val="Referencingstyle"/>
        </w:rPr>
        <w:t xml:space="preserve"> </w:t>
      </w:r>
      <w:r w:rsidR="00837C04" w:rsidRPr="008A0DBE">
        <w:rPr>
          <w:rStyle w:val="Referencingstyle"/>
        </w:rPr>
        <w:t xml:space="preserve">[Schedule </w:t>
      </w:r>
      <w:r w:rsidRPr="008A0DBE">
        <w:rPr>
          <w:rStyle w:val="Referencingstyle"/>
        </w:rPr>
        <w:t>#</w:t>
      </w:r>
      <w:r w:rsidR="00837C04" w:rsidRPr="008A0DBE">
        <w:rPr>
          <w:rStyle w:val="Referencingstyle"/>
        </w:rPr>
        <w:t xml:space="preserve">, items </w:t>
      </w:r>
      <w:r w:rsidR="00885F4B" w:rsidRPr="008A0DBE">
        <w:rPr>
          <w:rStyle w:val="Referencingstyle"/>
        </w:rPr>
        <w:t>71</w:t>
      </w:r>
      <w:r w:rsidR="00837C04" w:rsidRPr="008A0DBE">
        <w:rPr>
          <w:rStyle w:val="Referencingstyle"/>
        </w:rPr>
        <w:t xml:space="preserve"> and </w:t>
      </w:r>
      <w:r w:rsidR="00885F4B" w:rsidRPr="008A0DBE">
        <w:rPr>
          <w:rStyle w:val="Referencingstyle"/>
        </w:rPr>
        <w:t>72</w:t>
      </w:r>
      <w:r w:rsidR="00837C04" w:rsidRPr="008A0DBE">
        <w:rPr>
          <w:rStyle w:val="Referencingstyle"/>
        </w:rPr>
        <w:t xml:space="preserve">, table item 4.2.10 in subsection 30-45(2) of the </w:t>
      </w:r>
      <w:r w:rsidR="0027534D" w:rsidRPr="008A0DBE">
        <w:rPr>
          <w:rStyle w:val="Referencingstyle"/>
        </w:rPr>
        <w:t xml:space="preserve">Income Tax Assessment Act </w:t>
      </w:r>
      <w:r w:rsidR="00837C04" w:rsidRPr="008A0DBE">
        <w:rPr>
          <w:rStyle w:val="Referencingstyle"/>
        </w:rPr>
        <w:t>1997</w:t>
      </w:r>
      <w:r w:rsidR="00E65CE1" w:rsidRPr="008A0DBE">
        <w:rPr>
          <w:rStyle w:val="Referencingstyle"/>
        </w:rPr>
        <w:t>]</w:t>
      </w:r>
      <w:r w:rsidR="00362194" w:rsidRPr="008A0DBE">
        <w:rPr>
          <w:rStyle w:val="Referencingstyle"/>
        </w:rPr>
        <w:t xml:space="preserve"> </w:t>
      </w:r>
    </w:p>
    <w:p w14:paraId="0B72325A" w14:textId="57EBADEC" w:rsidR="005A074E" w:rsidRPr="008A0DBE" w:rsidRDefault="00D50C04" w:rsidP="008A0DBE">
      <w:pPr>
        <w:pStyle w:val="base-text-paragraph"/>
        <w:numPr>
          <w:ilvl w:val="1"/>
          <w:numId w:val="41"/>
        </w:numPr>
        <w:shd w:val="clear" w:color="auto" w:fill="FFFFFF" w:themeFill="background1"/>
      </w:pPr>
      <w:r w:rsidRPr="008A0DBE">
        <w:t>Part 2 also</w:t>
      </w:r>
      <w:r w:rsidR="00F76823" w:rsidRPr="008A0DBE">
        <w:t xml:space="preserve"> removes a requirement for a donor of cultural property to advise the Art Secretary </w:t>
      </w:r>
      <w:r w:rsidRPr="008A0DBE">
        <w:t>if it elects</w:t>
      </w:r>
      <w:r w:rsidR="00F76823" w:rsidRPr="008A0DBE">
        <w:t xml:space="preserve"> to spread the tax deduction associated with the donation of cultural property.</w:t>
      </w:r>
      <w:r w:rsidR="005A074E" w:rsidRPr="008A0DBE">
        <w:t xml:space="preserve"> This information </w:t>
      </w:r>
      <w:r w:rsidR="00362194" w:rsidRPr="008A0DBE">
        <w:t>is</w:t>
      </w:r>
      <w:r w:rsidR="005A074E" w:rsidRPr="008A0DBE">
        <w:t xml:space="preserve"> not used by the Arts Secretary and </w:t>
      </w:r>
      <w:r w:rsidR="00362194" w:rsidRPr="008A0DBE">
        <w:t>accordingly the requirement imposes</w:t>
      </w:r>
      <w:r w:rsidR="005A074E" w:rsidRPr="008A0DBE">
        <w:t xml:space="preserve"> an unnecessary regulatory burden. </w:t>
      </w:r>
      <w:r w:rsidR="00362194" w:rsidRPr="008A0DBE">
        <w:t>M</w:t>
      </w:r>
      <w:r w:rsidR="00561265" w:rsidRPr="008A0DBE">
        <w:t>inor consequential amendments</w:t>
      </w:r>
      <w:r w:rsidR="00362194" w:rsidRPr="008A0DBE">
        <w:t xml:space="preserve"> are made</w:t>
      </w:r>
      <w:r w:rsidR="00561265" w:rsidRPr="008A0DBE">
        <w:t xml:space="preserve"> to remove references to the repealed requirement.</w:t>
      </w:r>
      <w:r w:rsidR="005A074E" w:rsidRPr="008A0DBE">
        <w:t xml:space="preserve"> </w:t>
      </w:r>
      <w:r w:rsidR="005A074E" w:rsidRPr="008A0DBE">
        <w:rPr>
          <w:rStyle w:val="Referencingstyle"/>
        </w:rPr>
        <w:t xml:space="preserve">[Schedule @, items </w:t>
      </w:r>
      <w:r w:rsidR="00836EB9" w:rsidRPr="008A0DBE">
        <w:rPr>
          <w:rStyle w:val="Referencingstyle"/>
        </w:rPr>
        <w:t>78</w:t>
      </w:r>
      <w:r w:rsidR="003D2755" w:rsidRPr="008A0DBE">
        <w:rPr>
          <w:rStyle w:val="Referencingstyle"/>
        </w:rPr>
        <w:t xml:space="preserve"> to </w:t>
      </w:r>
      <w:r w:rsidR="00836EB9" w:rsidRPr="008A0DBE">
        <w:rPr>
          <w:rStyle w:val="Referencingstyle"/>
        </w:rPr>
        <w:t>80</w:t>
      </w:r>
      <w:r w:rsidR="005A074E" w:rsidRPr="008A0DBE">
        <w:rPr>
          <w:rStyle w:val="Referencingstyle"/>
        </w:rPr>
        <w:t xml:space="preserve">, </w:t>
      </w:r>
      <w:r w:rsidR="003D2755" w:rsidRPr="008A0DBE">
        <w:rPr>
          <w:rStyle w:val="Referencingstyle"/>
        </w:rPr>
        <w:t xml:space="preserve">the note to section 30-248(5) and </w:t>
      </w:r>
      <w:r w:rsidR="005A074E" w:rsidRPr="008A0DBE">
        <w:rPr>
          <w:rStyle w:val="Referencingstyle"/>
        </w:rPr>
        <w:t>section</w:t>
      </w:r>
      <w:r w:rsidR="003D2755" w:rsidRPr="008A0DBE">
        <w:rPr>
          <w:rStyle w:val="Referencingstyle"/>
        </w:rPr>
        <w:t>s</w:t>
      </w:r>
      <w:r w:rsidR="005A074E" w:rsidRPr="008A0DBE">
        <w:rPr>
          <w:rStyle w:val="Referencingstyle"/>
        </w:rPr>
        <w:t xml:space="preserve"> </w:t>
      </w:r>
      <w:r w:rsidR="003D2755" w:rsidRPr="008A0DBE">
        <w:rPr>
          <w:rStyle w:val="Referencingstyle"/>
        </w:rPr>
        <w:t xml:space="preserve">30-248(5) and </w:t>
      </w:r>
      <w:r w:rsidR="005A074E" w:rsidRPr="008A0DBE">
        <w:rPr>
          <w:rStyle w:val="Referencingstyle"/>
        </w:rPr>
        <w:t>30-249D of the Income Tax Assessment Act 1997]</w:t>
      </w:r>
    </w:p>
    <w:p w14:paraId="22D295C9" w14:textId="05F79537" w:rsidR="00F31BEB" w:rsidRPr="008A0DBE" w:rsidRDefault="00F31BEB" w:rsidP="008A0DBE">
      <w:pPr>
        <w:pStyle w:val="Heading5"/>
        <w:shd w:val="clear" w:color="auto" w:fill="FFFFFF" w:themeFill="background1"/>
      </w:pPr>
      <w:r w:rsidRPr="008A0DBE">
        <w:t xml:space="preserve">Complying superannuation entities - streamlining of terms </w:t>
      </w:r>
    </w:p>
    <w:p w14:paraId="03C91524" w14:textId="5C75F28B" w:rsidR="00F31BEB" w:rsidRPr="008A0DBE" w:rsidRDefault="00F31BEB" w:rsidP="008A0DBE">
      <w:pPr>
        <w:pStyle w:val="base-text-paragraph"/>
        <w:numPr>
          <w:ilvl w:val="1"/>
          <w:numId w:val="41"/>
        </w:numPr>
        <w:shd w:val="clear" w:color="auto" w:fill="FFFFFF" w:themeFill="background1"/>
      </w:pPr>
      <w:r w:rsidRPr="008A0DBE">
        <w:t xml:space="preserve">Amendments are made to a number of provisions that reference </w:t>
      </w:r>
      <w:r w:rsidR="007D4D60" w:rsidRPr="008A0DBE">
        <w:t>‘</w:t>
      </w:r>
      <w:r w:rsidRPr="008A0DBE">
        <w:t xml:space="preserve">complying superannuation </w:t>
      </w:r>
      <w:r w:rsidR="007D4D60" w:rsidRPr="008A0DBE">
        <w:t>fund’</w:t>
      </w:r>
      <w:r w:rsidRPr="008A0DBE">
        <w:t xml:space="preserve">, </w:t>
      </w:r>
      <w:r w:rsidR="007D4D60" w:rsidRPr="008A0DBE">
        <w:t>‘</w:t>
      </w:r>
      <w:r w:rsidRPr="008A0DBE">
        <w:t>complying approved deposit fund</w:t>
      </w:r>
      <w:r w:rsidR="007D4D60" w:rsidRPr="008A0DBE">
        <w:t>’</w:t>
      </w:r>
      <w:r w:rsidRPr="008A0DBE">
        <w:t xml:space="preserve"> and </w:t>
      </w:r>
      <w:r w:rsidR="007D4D60" w:rsidRPr="008A0DBE">
        <w:t>‘</w:t>
      </w:r>
      <w:r w:rsidRPr="008A0DBE">
        <w:t>pooled superannuation trust</w:t>
      </w:r>
      <w:r w:rsidR="007D4D60" w:rsidRPr="008A0DBE">
        <w:t>’</w:t>
      </w:r>
      <w:r w:rsidRPr="008A0DBE">
        <w:t xml:space="preserve"> </w:t>
      </w:r>
      <w:r w:rsidR="007D4D60" w:rsidRPr="008A0DBE">
        <w:t xml:space="preserve">so that they </w:t>
      </w:r>
      <w:r w:rsidRPr="008A0DBE">
        <w:t xml:space="preserve">use the collective term </w:t>
      </w:r>
      <w:r w:rsidR="007D4D60" w:rsidRPr="008A0DBE">
        <w:t>‘</w:t>
      </w:r>
      <w:r w:rsidRPr="008A0DBE">
        <w:t>complying superannuation en</w:t>
      </w:r>
      <w:r w:rsidR="007D4D60" w:rsidRPr="008A0DBE">
        <w:t>tity’</w:t>
      </w:r>
      <w:r w:rsidRPr="008A0DBE">
        <w:t>.</w:t>
      </w:r>
      <w:r w:rsidR="007D4D60" w:rsidRPr="008A0DBE">
        <w:t xml:space="preserve"> This accords with modern drafting practices and improves the readability of the provisions</w:t>
      </w:r>
      <w:r w:rsidRPr="008A0DBE">
        <w:t xml:space="preserve"> </w:t>
      </w:r>
      <w:r w:rsidRPr="008A0DBE">
        <w:rPr>
          <w:rStyle w:val="Referencingstyle"/>
        </w:rPr>
        <w:t xml:space="preserve">[Schedule </w:t>
      </w:r>
      <w:r w:rsidR="007D4D60" w:rsidRPr="008A0DBE">
        <w:rPr>
          <w:rStyle w:val="Referencingstyle"/>
        </w:rPr>
        <w:t>#</w:t>
      </w:r>
      <w:r w:rsidRPr="008A0DBE">
        <w:rPr>
          <w:rStyle w:val="Referencingstyle"/>
        </w:rPr>
        <w:t xml:space="preserve">, items </w:t>
      </w:r>
      <w:r w:rsidR="00885F4B" w:rsidRPr="008A0DBE">
        <w:rPr>
          <w:rStyle w:val="Referencingstyle"/>
        </w:rPr>
        <w:t>76</w:t>
      </w:r>
      <w:r w:rsidR="007D4D60" w:rsidRPr="008A0DBE">
        <w:rPr>
          <w:rStyle w:val="Referencingstyle"/>
        </w:rPr>
        <w:t xml:space="preserve"> to </w:t>
      </w:r>
      <w:r w:rsidR="00885F4B" w:rsidRPr="008A0DBE">
        <w:rPr>
          <w:rStyle w:val="Referencingstyle"/>
        </w:rPr>
        <w:t>78</w:t>
      </w:r>
      <w:r w:rsidRPr="008A0DBE">
        <w:rPr>
          <w:rStyle w:val="Referencingstyle"/>
        </w:rPr>
        <w:t xml:space="preserve">, </w:t>
      </w:r>
      <w:r w:rsidR="00885F4B" w:rsidRPr="008A0DBE">
        <w:rPr>
          <w:rStyle w:val="Referencingstyle"/>
        </w:rPr>
        <w:t xml:space="preserve">82 </w:t>
      </w:r>
      <w:r w:rsidRPr="008A0DBE">
        <w:rPr>
          <w:rStyle w:val="Referencingstyle"/>
        </w:rPr>
        <w:t xml:space="preserve">to </w:t>
      </w:r>
      <w:r w:rsidR="00885F4B" w:rsidRPr="008A0DBE">
        <w:rPr>
          <w:rStyle w:val="Referencingstyle"/>
        </w:rPr>
        <w:t>86</w:t>
      </w:r>
      <w:r w:rsidR="007D4D60" w:rsidRPr="008A0DBE">
        <w:rPr>
          <w:rStyle w:val="Referencingstyle"/>
        </w:rPr>
        <w:t xml:space="preserve">, </w:t>
      </w:r>
      <w:r w:rsidR="00885F4B" w:rsidRPr="008A0DBE">
        <w:rPr>
          <w:rStyle w:val="Referencingstyle"/>
        </w:rPr>
        <w:t xml:space="preserve">92 </w:t>
      </w:r>
      <w:r w:rsidR="007D4D60" w:rsidRPr="008A0DBE">
        <w:rPr>
          <w:rStyle w:val="Referencingstyle"/>
        </w:rPr>
        <w:t xml:space="preserve">to </w:t>
      </w:r>
      <w:r w:rsidR="00885F4B" w:rsidRPr="008A0DBE">
        <w:rPr>
          <w:rStyle w:val="Referencingstyle"/>
        </w:rPr>
        <w:t>101</w:t>
      </w:r>
      <w:r w:rsidR="007D4D60" w:rsidRPr="008A0DBE">
        <w:rPr>
          <w:rStyle w:val="Referencingstyle"/>
        </w:rPr>
        <w:t xml:space="preserve">, </w:t>
      </w:r>
      <w:r w:rsidR="00885F4B" w:rsidRPr="008A0DBE">
        <w:rPr>
          <w:rStyle w:val="Referencingstyle"/>
        </w:rPr>
        <w:t xml:space="preserve">110 </w:t>
      </w:r>
      <w:r w:rsidR="007D4D60" w:rsidRPr="008A0DBE">
        <w:rPr>
          <w:rStyle w:val="Referencingstyle"/>
        </w:rPr>
        <w:t xml:space="preserve">and </w:t>
      </w:r>
      <w:r w:rsidR="00885F4B" w:rsidRPr="008A0DBE">
        <w:rPr>
          <w:rStyle w:val="Referencingstyle"/>
        </w:rPr>
        <w:t>117</w:t>
      </w:r>
      <w:r w:rsidRPr="008A0DBE">
        <w:rPr>
          <w:rStyle w:val="Referencingstyle"/>
        </w:rPr>
        <w:t xml:space="preserve">, subparagraph 70-10(2)(b)(i), table item 12 in section 109-60, table item 14 in section 112-97, paragraph 207-45(d), subparagraphs 210-10(1)(b)(i) and 210-170(1)(b)(ii), paragraphs 210-170(2)(a) and 230-460(11)(b), subsections 295-10(1), 295-25(1), 295-85(1) and 295-90(1), section 295-105, paragraph 295-173(a), subsection 295-545(1), the note to subsection 295-555(1), section 727-152 and paragraph (a) of the definition of ‘complying superannuation life insurance policy’ in subsection 995-1(1) of the </w:t>
      </w:r>
      <w:r w:rsidR="00CA51E7" w:rsidRPr="008A0DBE">
        <w:rPr>
          <w:rStyle w:val="Referencingstyle"/>
        </w:rPr>
        <w:t>Income Tax Assessment Act</w:t>
      </w:r>
      <w:r w:rsidRPr="008A0DBE">
        <w:rPr>
          <w:rStyle w:val="Referencingstyle"/>
        </w:rPr>
        <w:t xml:space="preserve"> 1997]</w:t>
      </w:r>
    </w:p>
    <w:p w14:paraId="6DAA5EEF" w14:textId="303A1036" w:rsidR="00B75244" w:rsidRPr="008A0DBE" w:rsidRDefault="00192CEA" w:rsidP="008A0DBE">
      <w:pPr>
        <w:pStyle w:val="Heading5"/>
        <w:shd w:val="clear" w:color="auto" w:fill="FFFFFF" w:themeFill="background1"/>
        <w:rPr>
          <w:b/>
        </w:rPr>
      </w:pPr>
      <w:r w:rsidRPr="008A0DBE">
        <w:t>C</w:t>
      </w:r>
      <w:r w:rsidR="005B7526" w:rsidRPr="008A0DBE">
        <w:t>ompany loss recoupment rules</w:t>
      </w:r>
      <w:r w:rsidRPr="008A0DBE">
        <w:t xml:space="preserve"> - concessional tracing rules</w:t>
      </w:r>
      <w:r w:rsidR="005B7526" w:rsidRPr="008A0DBE">
        <w:t xml:space="preserve"> for</w:t>
      </w:r>
      <w:r w:rsidR="009E717B" w:rsidRPr="008A0DBE">
        <w:t xml:space="preserve"> widely held entities with a</w:t>
      </w:r>
      <w:r w:rsidR="005B7526" w:rsidRPr="008A0DBE">
        <w:t xml:space="preserve"> </w:t>
      </w:r>
      <w:r w:rsidR="00B75244" w:rsidRPr="008A0DBE">
        <w:t xml:space="preserve">new interposed entity </w:t>
      </w:r>
    </w:p>
    <w:p w14:paraId="664A889E" w14:textId="53CE4FCE" w:rsidR="00AC14D4" w:rsidRPr="008A0DBE" w:rsidRDefault="0040334B" w:rsidP="008A0DBE">
      <w:pPr>
        <w:pStyle w:val="base-text-paragraph"/>
        <w:numPr>
          <w:ilvl w:val="1"/>
          <w:numId w:val="41"/>
        </w:numPr>
        <w:shd w:val="clear" w:color="auto" w:fill="FFFFFF" w:themeFill="background1"/>
      </w:pPr>
      <w:r w:rsidRPr="008A0DBE">
        <w:t>Part 2 of the Schedule</w:t>
      </w:r>
      <w:r w:rsidR="00F73C23" w:rsidRPr="008A0DBE">
        <w:t xml:space="preserve"> amends </w:t>
      </w:r>
      <w:r w:rsidR="00510C91" w:rsidRPr="008A0DBE">
        <w:t xml:space="preserve">the continuity of ownership test in the </w:t>
      </w:r>
      <w:r w:rsidR="00F73C23" w:rsidRPr="008A0DBE">
        <w:rPr>
          <w:i/>
        </w:rPr>
        <w:t>Income Tax Assessment Act 1997</w:t>
      </w:r>
      <w:r w:rsidR="00F73C23" w:rsidRPr="008A0DBE">
        <w:t xml:space="preserve"> </w:t>
      </w:r>
      <w:r w:rsidR="001568B5" w:rsidRPr="008A0DBE">
        <w:t>so that the</w:t>
      </w:r>
      <w:r w:rsidR="00AC14D4" w:rsidRPr="008A0DBE">
        <w:t xml:space="preserve"> </w:t>
      </w:r>
      <w:r w:rsidR="00AC14D4" w:rsidRPr="008A0DBE">
        <w:rPr>
          <w:rFonts w:eastAsiaTheme="minorEastAsia"/>
        </w:rPr>
        <w:t xml:space="preserve">interposition of a holding company between the tested company and a less than 10 per cent direct stakeholder </w:t>
      </w:r>
      <w:r w:rsidRPr="008A0DBE">
        <w:rPr>
          <w:rFonts w:eastAsiaTheme="minorEastAsia"/>
        </w:rPr>
        <w:t>does</w:t>
      </w:r>
      <w:r w:rsidR="00AC14D4" w:rsidRPr="008A0DBE">
        <w:rPr>
          <w:rFonts w:eastAsiaTheme="minorEastAsia"/>
        </w:rPr>
        <w:t xml:space="preserve"> not</w:t>
      </w:r>
      <w:r w:rsidR="001568B5" w:rsidRPr="008A0DBE">
        <w:rPr>
          <w:rFonts w:eastAsiaTheme="minorEastAsia"/>
        </w:rPr>
        <w:t xml:space="preserve"> </w:t>
      </w:r>
      <w:r w:rsidR="00AC14D4" w:rsidRPr="008A0DBE">
        <w:rPr>
          <w:rFonts w:eastAsiaTheme="minorEastAsia"/>
        </w:rPr>
        <w:t>cause a failure of the continuity of ownership test.</w:t>
      </w:r>
      <w:r w:rsidR="00AC14D4" w:rsidRPr="008A0DBE">
        <w:t xml:space="preserve"> </w:t>
      </w:r>
    </w:p>
    <w:p w14:paraId="2418CCD8" w14:textId="666DB90F" w:rsidR="00C63D29" w:rsidRPr="008A0DBE" w:rsidRDefault="005B7526" w:rsidP="008A0DBE">
      <w:pPr>
        <w:pStyle w:val="base-text-paragraph"/>
        <w:numPr>
          <w:ilvl w:val="1"/>
          <w:numId w:val="41"/>
        </w:numPr>
        <w:shd w:val="clear" w:color="auto" w:fill="FFFFFF" w:themeFill="background1"/>
      </w:pPr>
      <w:r w:rsidRPr="008A0DBE">
        <w:t>A company can deduct prior year l</w:t>
      </w:r>
      <w:r w:rsidR="00192CEA" w:rsidRPr="008A0DBE">
        <w:t>osses only if it satisfies the continuity of o</w:t>
      </w:r>
      <w:r w:rsidRPr="008A0DBE">
        <w:t>wnership</w:t>
      </w:r>
      <w:r w:rsidR="00192CEA" w:rsidRPr="008A0DBE">
        <w:t xml:space="preserve"> test or the </w:t>
      </w:r>
      <w:r w:rsidR="00735969" w:rsidRPr="008A0DBE">
        <w:t>similar</w:t>
      </w:r>
      <w:r w:rsidR="00192CEA" w:rsidRPr="008A0DBE">
        <w:t xml:space="preserve"> business test. Division 166 of the </w:t>
      </w:r>
      <w:r w:rsidR="00F73C23" w:rsidRPr="008A0DBE">
        <w:rPr>
          <w:i/>
        </w:rPr>
        <w:t>Income Tax Assessment Act</w:t>
      </w:r>
      <w:r w:rsidR="00192CEA" w:rsidRPr="008A0DBE">
        <w:rPr>
          <w:i/>
        </w:rPr>
        <w:t xml:space="preserve"> 1997</w:t>
      </w:r>
      <w:r w:rsidR="00192CEA" w:rsidRPr="008A0DBE">
        <w:t xml:space="preserve"> makes it easier for widely held companies to satisfy the</w:t>
      </w:r>
      <w:r w:rsidRPr="008A0DBE">
        <w:t xml:space="preserve"> </w:t>
      </w:r>
      <w:r w:rsidR="00192CEA" w:rsidRPr="008A0DBE">
        <w:t>continuity of ownership test</w:t>
      </w:r>
      <w:r w:rsidR="00940108" w:rsidRPr="008A0DBE">
        <w:t xml:space="preserve"> by</w:t>
      </w:r>
      <w:r w:rsidR="00192CEA" w:rsidRPr="008A0DBE">
        <w:t>, among other things, making it unnecessary for the company to trace through to the beneficial owners of certain stakes.</w:t>
      </w:r>
    </w:p>
    <w:p w14:paraId="1F8656E2" w14:textId="2047CD71" w:rsidR="00C63D29" w:rsidRPr="008A0DBE" w:rsidRDefault="007D6925" w:rsidP="008A0DBE">
      <w:pPr>
        <w:pStyle w:val="base-text-paragraph"/>
        <w:numPr>
          <w:ilvl w:val="1"/>
          <w:numId w:val="41"/>
        </w:numPr>
        <w:shd w:val="clear" w:color="auto" w:fill="FFFFFF" w:themeFill="background1"/>
      </w:pPr>
      <w:r w:rsidRPr="008A0DBE">
        <w:t xml:space="preserve">Section 166-225 of the </w:t>
      </w:r>
      <w:r w:rsidR="00F73C23" w:rsidRPr="008A0DBE">
        <w:rPr>
          <w:i/>
        </w:rPr>
        <w:t>Income Tax Assessment Act</w:t>
      </w:r>
      <w:r w:rsidRPr="008A0DBE">
        <w:rPr>
          <w:i/>
        </w:rPr>
        <w:t xml:space="preserve"> 1997</w:t>
      </w:r>
      <w:r w:rsidRPr="008A0DBE">
        <w:t xml:space="preserve"> </w:t>
      </w:r>
      <w:r w:rsidR="00192CEA" w:rsidRPr="008A0DBE">
        <w:t>applies</w:t>
      </w:r>
      <w:r w:rsidR="00334BD7" w:rsidRPr="008A0DBE">
        <w:t xml:space="preserve"> where a company has a direct stake in the tested company that carries rights to less than 10</w:t>
      </w:r>
      <w:r w:rsidR="00940108" w:rsidRPr="008A0DBE">
        <w:t> </w:t>
      </w:r>
      <w:r w:rsidR="00334BD7" w:rsidRPr="008A0DBE">
        <w:t>per</w:t>
      </w:r>
      <w:r w:rsidR="00940108" w:rsidRPr="008A0DBE">
        <w:t> </w:t>
      </w:r>
      <w:r w:rsidR="00334BD7" w:rsidRPr="008A0DBE">
        <w:t>cent of the voting power, dividends and capital distributions. In these circumstances, it is not necessary to trace through to the ultimate beneficial owners of the company. This is achieved by treating all direct stakes of less than 10 per cent as being held by a single notional entity that is a person.</w:t>
      </w:r>
    </w:p>
    <w:p w14:paraId="21C19EED" w14:textId="2E03ABA5" w:rsidR="00C63D29" w:rsidRPr="008A0DBE" w:rsidRDefault="00D62C5C" w:rsidP="008A0DBE">
      <w:pPr>
        <w:pStyle w:val="base-text-paragraph"/>
        <w:numPr>
          <w:ilvl w:val="1"/>
          <w:numId w:val="41"/>
        </w:numPr>
        <w:shd w:val="clear" w:color="auto" w:fill="FFFFFF" w:themeFill="background1"/>
      </w:pPr>
      <w:r w:rsidRPr="008A0DBE">
        <w:t>Further, s</w:t>
      </w:r>
      <w:r w:rsidR="007D6925" w:rsidRPr="008A0DBE">
        <w:t xml:space="preserve">ection 166-230 of the </w:t>
      </w:r>
      <w:r w:rsidR="00CA51E7" w:rsidRPr="008A0DBE">
        <w:rPr>
          <w:i/>
        </w:rPr>
        <w:t>Income Tax Assessment Act</w:t>
      </w:r>
      <w:r w:rsidR="007D6925" w:rsidRPr="008A0DBE">
        <w:rPr>
          <w:i/>
        </w:rPr>
        <w:t xml:space="preserve"> 1997</w:t>
      </w:r>
      <w:r w:rsidR="007D6925" w:rsidRPr="008A0DBE">
        <w:t xml:space="preserve"> provides a</w:t>
      </w:r>
      <w:r w:rsidR="00334BD7" w:rsidRPr="008A0DBE">
        <w:t xml:space="preserve"> similar concession where a stakeholder has an indirect stake in the tested company that carries rights to less than 10 per cent of the voting power, dividends and capital distributions. In these circumstances, the ownership tracing rules are applied as though the top interposed company </w:t>
      </w:r>
      <w:r w:rsidR="00FA41C4" w:rsidRPr="008A0DBE">
        <w:t xml:space="preserve">was </w:t>
      </w:r>
      <w:r w:rsidR="00334BD7" w:rsidRPr="008A0DBE">
        <w:t xml:space="preserve">a single person. </w:t>
      </w:r>
    </w:p>
    <w:p w14:paraId="37B84B1A" w14:textId="33E6B0B1" w:rsidR="00C63D29" w:rsidRPr="008A0DBE" w:rsidRDefault="00495488" w:rsidP="008A0DBE">
      <w:pPr>
        <w:pStyle w:val="base-text-paragraph"/>
        <w:numPr>
          <w:ilvl w:val="1"/>
          <w:numId w:val="41"/>
        </w:numPr>
        <w:shd w:val="clear" w:color="auto" w:fill="FFFFFF" w:themeFill="background1"/>
        <w:rPr>
          <w:rFonts w:eastAsiaTheme="minorEastAsia"/>
        </w:rPr>
      </w:pPr>
      <w:r w:rsidRPr="008A0DBE">
        <w:t>These amendments provide that if</w:t>
      </w:r>
      <w:r w:rsidR="00334BD7" w:rsidRPr="008A0DBE">
        <w:t xml:space="preserve">, during the test period, a holding company is interposed between the tested company and the less than 10 </w:t>
      </w:r>
      <w:r w:rsidRPr="008A0DBE">
        <w:t xml:space="preserve">per cent direct stakeholders, </w:t>
      </w:r>
      <w:r w:rsidR="00334BD7" w:rsidRPr="008A0DBE">
        <w:t xml:space="preserve">the stake </w:t>
      </w:r>
      <w:r w:rsidR="0040334B" w:rsidRPr="008A0DBE">
        <w:t>is</w:t>
      </w:r>
      <w:r w:rsidR="00334BD7" w:rsidRPr="008A0DBE">
        <w:t xml:space="preserve"> attributed to the interposed company from that time onwards, rather than</w:t>
      </w:r>
      <w:r w:rsidR="00940108" w:rsidRPr="008A0DBE">
        <w:t xml:space="preserve"> to</w:t>
      </w:r>
      <w:r w:rsidR="00334BD7" w:rsidRPr="008A0DBE">
        <w:t xml:space="preserve"> the single notional entity to whom the stake was initially </w:t>
      </w:r>
      <w:r w:rsidRPr="008A0DBE">
        <w:t>attributed to under section</w:t>
      </w:r>
      <w:r w:rsidR="00940108" w:rsidRPr="008A0DBE">
        <w:t> </w:t>
      </w:r>
      <w:r w:rsidRPr="008A0DBE">
        <w:t>166</w:t>
      </w:r>
      <w:r w:rsidRPr="008A0DBE">
        <w:noBreakHyphen/>
      </w:r>
      <w:r w:rsidR="00334BD7" w:rsidRPr="008A0DBE">
        <w:t>225</w:t>
      </w:r>
      <w:r w:rsidRPr="008A0DBE">
        <w:t xml:space="preserve"> of the </w:t>
      </w:r>
      <w:r w:rsidR="00CA51E7" w:rsidRPr="008A0DBE">
        <w:rPr>
          <w:i/>
        </w:rPr>
        <w:t>Income Tax Assessment Act</w:t>
      </w:r>
      <w:r w:rsidRPr="008A0DBE">
        <w:rPr>
          <w:i/>
        </w:rPr>
        <w:t xml:space="preserve"> 1997</w:t>
      </w:r>
      <w:r w:rsidR="00334BD7" w:rsidRPr="008A0DBE">
        <w:t xml:space="preserve">. </w:t>
      </w:r>
      <w:r w:rsidRPr="008A0DBE">
        <w:rPr>
          <w:rStyle w:val="Referencingstyle"/>
        </w:rPr>
        <w:t xml:space="preserve">[Schedule </w:t>
      </w:r>
      <w:r w:rsidR="0040334B" w:rsidRPr="008A0DBE">
        <w:rPr>
          <w:rStyle w:val="Referencingstyle"/>
        </w:rPr>
        <w:t>#</w:t>
      </w:r>
      <w:r w:rsidR="00BB639B" w:rsidRPr="008A0DBE">
        <w:rPr>
          <w:rStyle w:val="Referencingstyle"/>
        </w:rPr>
        <w:t>,</w:t>
      </w:r>
      <w:r w:rsidRPr="008A0DBE">
        <w:rPr>
          <w:rStyle w:val="Referencingstyle"/>
        </w:rPr>
        <w:t xml:space="preserve"> item</w:t>
      </w:r>
      <w:r w:rsidR="00BB639B" w:rsidRPr="008A0DBE">
        <w:rPr>
          <w:rStyle w:val="Referencingstyle"/>
        </w:rPr>
        <w:t> </w:t>
      </w:r>
      <w:r w:rsidR="00885F4B" w:rsidRPr="008A0DBE">
        <w:rPr>
          <w:rStyle w:val="Referencingstyle"/>
        </w:rPr>
        <w:t>80</w:t>
      </w:r>
      <w:r w:rsidRPr="008A0DBE">
        <w:rPr>
          <w:rStyle w:val="Referencingstyle"/>
        </w:rPr>
        <w:t>, subsections 166</w:t>
      </w:r>
      <w:r w:rsidRPr="008A0DBE">
        <w:rPr>
          <w:rStyle w:val="Referencingstyle"/>
        </w:rPr>
        <w:noBreakHyphen/>
        <w:t xml:space="preserve">230(5) and (6) of the </w:t>
      </w:r>
      <w:r w:rsidR="00A762BB" w:rsidRPr="008A0DBE">
        <w:rPr>
          <w:rStyle w:val="Referencingstyle"/>
        </w:rPr>
        <w:t>Income Tax Assessment Act</w:t>
      </w:r>
      <w:r w:rsidRPr="008A0DBE">
        <w:rPr>
          <w:rStyle w:val="Referencingstyle"/>
        </w:rPr>
        <w:t xml:space="preserve"> 1997]</w:t>
      </w:r>
    </w:p>
    <w:p w14:paraId="4BC0D70B" w14:textId="23883F97" w:rsidR="00C63D29" w:rsidRPr="008A0DBE" w:rsidRDefault="00AC39D2" w:rsidP="008A0DBE">
      <w:pPr>
        <w:pStyle w:val="base-text-paragraph"/>
        <w:numPr>
          <w:ilvl w:val="1"/>
          <w:numId w:val="41"/>
        </w:numPr>
        <w:shd w:val="clear" w:color="auto" w:fill="FFFFFF" w:themeFill="background1"/>
      </w:pPr>
      <w:r w:rsidRPr="008A0DBE">
        <w:rPr>
          <w:rFonts w:eastAsiaTheme="minorEastAsia"/>
        </w:rPr>
        <w:t xml:space="preserve">As a result, </w:t>
      </w:r>
      <w:r w:rsidR="00334BD7" w:rsidRPr="008A0DBE">
        <w:rPr>
          <w:rFonts w:eastAsiaTheme="minorEastAsia"/>
        </w:rPr>
        <w:t xml:space="preserve">the interposition of a holding company between the tested company and a less than 10 per cent direct stakeholder </w:t>
      </w:r>
      <w:r w:rsidR="0040334B" w:rsidRPr="008A0DBE">
        <w:rPr>
          <w:rFonts w:eastAsiaTheme="minorEastAsia"/>
        </w:rPr>
        <w:t>does</w:t>
      </w:r>
      <w:r w:rsidR="00334BD7" w:rsidRPr="008A0DBE">
        <w:rPr>
          <w:rFonts w:eastAsiaTheme="minorEastAsia"/>
        </w:rPr>
        <w:t xml:space="preserve"> not, of itself, cause a failure of the continuity of ownership test.</w:t>
      </w:r>
      <w:r w:rsidR="00334BD7" w:rsidRPr="008A0DBE">
        <w:t xml:space="preserve"> </w:t>
      </w:r>
    </w:p>
    <w:p w14:paraId="49E6BCEB" w14:textId="341539E3" w:rsidR="00675511" w:rsidRPr="008A0DBE" w:rsidRDefault="005000D4" w:rsidP="008A0DBE">
      <w:pPr>
        <w:pStyle w:val="base-text-paragraph"/>
        <w:numPr>
          <w:ilvl w:val="1"/>
          <w:numId w:val="41"/>
        </w:numPr>
        <w:shd w:val="clear" w:color="auto" w:fill="FFFFFF" w:themeFill="background1"/>
      </w:pPr>
      <w:r w:rsidRPr="008A0DBE">
        <w:t xml:space="preserve">This amendment applies to the interposition of an entity that occurs on or after 1 July 2018. </w:t>
      </w:r>
      <w:r w:rsidR="00675511" w:rsidRPr="008A0DBE">
        <w:t>The amendments have been sought by affected</w:t>
      </w:r>
      <w:r w:rsidR="006862F5" w:rsidRPr="008A0DBE">
        <w:t xml:space="preserve"> taxpayers</w:t>
      </w:r>
      <w:r w:rsidR="00141641" w:rsidRPr="008A0DBE">
        <w:t xml:space="preserve"> </w:t>
      </w:r>
      <w:r w:rsidR="00675511" w:rsidRPr="008A0DBE">
        <w:t>so</w:t>
      </w:r>
      <w:r w:rsidR="00141641" w:rsidRPr="008A0DBE">
        <w:t xml:space="preserve"> that </w:t>
      </w:r>
      <w:r w:rsidR="00940108" w:rsidRPr="008A0DBE">
        <w:t>they</w:t>
      </w:r>
      <w:r w:rsidR="00141641" w:rsidRPr="008A0DBE">
        <w:t xml:space="preserve"> do not need to undertake time consuming and unnecessary tracing where the ultimate beneficial ownership of the tested company has not changed</w:t>
      </w:r>
      <w:r w:rsidR="006862F5" w:rsidRPr="008A0DBE">
        <w:t xml:space="preserve">. </w:t>
      </w:r>
      <w:r w:rsidR="00675511" w:rsidRPr="008A0DBE">
        <w:t xml:space="preserve">No taxpayers </w:t>
      </w:r>
      <w:r w:rsidR="0040334B" w:rsidRPr="008A0DBE">
        <w:t>is</w:t>
      </w:r>
      <w:r w:rsidR="00675511" w:rsidRPr="008A0DBE">
        <w:t xml:space="preserve"> disadvantaged by the retrospective application of the</w:t>
      </w:r>
      <w:r w:rsidR="00940108" w:rsidRPr="008A0DBE">
        <w:t>se</w:t>
      </w:r>
      <w:r w:rsidR="00675511" w:rsidRPr="008A0DBE">
        <w:t xml:space="preserve"> amendments. </w:t>
      </w:r>
      <w:r w:rsidR="00BB639B" w:rsidRPr="008A0DBE">
        <w:rPr>
          <w:rStyle w:val="Referencingstyle"/>
        </w:rPr>
        <w:t xml:space="preserve">[Schedule #, item </w:t>
      </w:r>
      <w:r w:rsidR="00885F4B" w:rsidRPr="008A0DBE">
        <w:rPr>
          <w:rStyle w:val="Referencingstyle"/>
        </w:rPr>
        <w:t>81</w:t>
      </w:r>
      <w:r w:rsidR="00BB639B" w:rsidRPr="008A0DBE">
        <w:rPr>
          <w:rStyle w:val="Referencingstyle"/>
        </w:rPr>
        <w:t>, subsections 166</w:t>
      </w:r>
      <w:r w:rsidR="00BB639B" w:rsidRPr="008A0DBE">
        <w:rPr>
          <w:rStyle w:val="Referencingstyle"/>
        </w:rPr>
        <w:noBreakHyphen/>
        <w:t>230(5) and (6) of the Income Tax Assessment Act 1997]</w:t>
      </w:r>
    </w:p>
    <w:p w14:paraId="0DF3A366" w14:textId="11D953E2" w:rsidR="00F31BEB" w:rsidRPr="008A0DBE" w:rsidRDefault="00F31BEB" w:rsidP="008A0DBE">
      <w:pPr>
        <w:pStyle w:val="Heading5"/>
        <w:shd w:val="clear" w:color="auto" w:fill="FFFFFF" w:themeFill="background1"/>
      </w:pPr>
      <w:r w:rsidRPr="008A0DBE">
        <w:t xml:space="preserve">Superannuation – downsizer </w:t>
      </w:r>
    </w:p>
    <w:p w14:paraId="56D032EE" w14:textId="3A9C2B1A" w:rsidR="00F31BEB" w:rsidRPr="008A0DBE" w:rsidRDefault="00F31BEB" w:rsidP="008A0DBE">
      <w:pPr>
        <w:pStyle w:val="base-text-paragraph"/>
        <w:numPr>
          <w:ilvl w:val="1"/>
          <w:numId w:val="41"/>
        </w:numPr>
        <w:shd w:val="clear" w:color="auto" w:fill="FFFFFF" w:themeFill="background1"/>
      </w:pPr>
      <w:r w:rsidRPr="008A0DBE">
        <w:t xml:space="preserve">The amendments make three changes to </w:t>
      </w:r>
      <w:r w:rsidR="00BB639B" w:rsidRPr="008A0DBE">
        <w:t xml:space="preserve">the </w:t>
      </w:r>
      <w:r w:rsidRPr="008A0DBE">
        <w:t xml:space="preserve">section 292-102 of the </w:t>
      </w:r>
      <w:r w:rsidR="00CA51E7" w:rsidRPr="008A0DBE">
        <w:rPr>
          <w:i/>
        </w:rPr>
        <w:t>Income Tax Assessment Act</w:t>
      </w:r>
      <w:r w:rsidRPr="008A0DBE">
        <w:rPr>
          <w:i/>
        </w:rPr>
        <w:t> 1997</w:t>
      </w:r>
      <w:r w:rsidRPr="008A0DBE">
        <w:t xml:space="preserve"> to ensure that the provisions relating to downsizer contributions operate as intended.</w:t>
      </w:r>
    </w:p>
    <w:p w14:paraId="0C3EBB1E" w14:textId="77777777" w:rsidR="00F31BEB" w:rsidRPr="008A0DBE" w:rsidRDefault="00F31BEB" w:rsidP="008A0DBE">
      <w:pPr>
        <w:pStyle w:val="base-text-paragraph"/>
        <w:numPr>
          <w:ilvl w:val="1"/>
          <w:numId w:val="41"/>
        </w:numPr>
        <w:shd w:val="clear" w:color="auto" w:fill="FFFFFF" w:themeFill="background1"/>
      </w:pPr>
      <w:r w:rsidRPr="008A0DBE">
        <w:t xml:space="preserve">The first change ensures that an individual can make a downsizer contribution in respect of the proceeds from a property that was held by their spouse where the property is a pre-CGT asset that would have been subject to the main residence exemption if it had been acquired after 1 September 1985. </w:t>
      </w:r>
    </w:p>
    <w:p w14:paraId="5D9D1B87" w14:textId="6F3F5C51" w:rsidR="00F31BEB" w:rsidRPr="008A0DBE" w:rsidRDefault="00F31BEB" w:rsidP="008A0DBE">
      <w:pPr>
        <w:pStyle w:val="base-text-paragraph"/>
        <w:numPr>
          <w:ilvl w:val="1"/>
          <w:numId w:val="41"/>
        </w:numPr>
        <w:shd w:val="clear" w:color="auto" w:fill="FFFFFF" w:themeFill="background1"/>
      </w:pPr>
      <w:r w:rsidRPr="008A0DBE">
        <w:t xml:space="preserve">One of the eligibility requirements to make a downsizer contribution is that the individual for whom the contribution is made must satisfy a main residence test. This test is satisfied where the capital gain or loss made by an individual in respect of the disposal of the interest in the dwelling is effectively exempted by the main residence provisions under Subdivision 118-B of the </w:t>
      </w:r>
      <w:r w:rsidR="00152153" w:rsidRPr="008A0DBE">
        <w:rPr>
          <w:i/>
        </w:rPr>
        <w:t>Income Tax Assessment Act</w:t>
      </w:r>
      <w:r w:rsidRPr="008A0DBE">
        <w:rPr>
          <w:i/>
        </w:rPr>
        <w:t xml:space="preserve"> 1997</w:t>
      </w:r>
      <w:r w:rsidRPr="008A0DBE">
        <w:t>. The downsizer rules apply two legislative assumption</w:t>
      </w:r>
      <w:r w:rsidR="003B1D2B" w:rsidRPr="008A0DBE">
        <w:t>s</w:t>
      </w:r>
      <w:r w:rsidRPr="008A0DBE">
        <w:t xml:space="preserve"> to ensure that individuals can satisfy this test where the interests in a dwelling </w:t>
      </w:r>
      <w:r w:rsidR="00BB7BF0" w:rsidRPr="008A0DBE">
        <w:t>are</w:t>
      </w:r>
      <w:r w:rsidRPr="008A0DBE">
        <w:t xml:space="preserve">: </w:t>
      </w:r>
    </w:p>
    <w:p w14:paraId="6F35FBA2" w14:textId="456DE7F3" w:rsidR="00F31BEB" w:rsidRPr="008A0DBE" w:rsidRDefault="00F31BEB" w:rsidP="008A0DBE">
      <w:pPr>
        <w:pStyle w:val="dotpoint"/>
        <w:shd w:val="clear" w:color="auto" w:fill="FFFFFF" w:themeFill="background1"/>
      </w:pPr>
      <w:r w:rsidRPr="008A0DBE">
        <w:t>not subject to capital gains tax (including Subdivision 118-B</w:t>
      </w:r>
      <w:r w:rsidR="00152153" w:rsidRPr="008A0DBE">
        <w:t xml:space="preserve"> of the </w:t>
      </w:r>
      <w:r w:rsidR="00152153" w:rsidRPr="008A0DBE">
        <w:rPr>
          <w:i/>
        </w:rPr>
        <w:t>Income Tax Assessment Act 1997</w:t>
      </w:r>
      <w:r w:rsidRPr="008A0DBE">
        <w:t>) because they were acquired prior to 20 September 1985; or</w:t>
      </w:r>
    </w:p>
    <w:p w14:paraId="05035DC8" w14:textId="5DDC9D59" w:rsidR="00F31BEB" w:rsidRPr="008A0DBE" w:rsidRDefault="00F31BEB" w:rsidP="008A0DBE">
      <w:pPr>
        <w:pStyle w:val="dotpoint"/>
        <w:shd w:val="clear" w:color="auto" w:fill="FFFFFF" w:themeFill="background1"/>
      </w:pPr>
      <w:r w:rsidRPr="008A0DBE">
        <w:t>held by the individual’s souse, rather than by the individual.</w:t>
      </w:r>
    </w:p>
    <w:p w14:paraId="6D3172BB" w14:textId="54079F95" w:rsidR="00F31BEB" w:rsidRPr="008A0DBE" w:rsidRDefault="00F31BEB" w:rsidP="008A0DBE">
      <w:pPr>
        <w:pStyle w:val="base-text-paragraph"/>
        <w:numPr>
          <w:ilvl w:val="1"/>
          <w:numId w:val="41"/>
        </w:numPr>
        <w:shd w:val="clear" w:color="auto" w:fill="FFFFFF" w:themeFill="background1"/>
      </w:pPr>
      <w:r w:rsidRPr="008A0DBE">
        <w:t>However, the existing assumptions do not apply correctly for disposals of interests in a dwelling that were both acquired prior to 20</w:t>
      </w:r>
      <w:r w:rsidR="00BB7BF0" w:rsidRPr="008A0DBE">
        <w:t> </w:t>
      </w:r>
      <w:r w:rsidRPr="008A0DBE">
        <w:t>September 1985 and held by the individual’s spouse.</w:t>
      </w:r>
    </w:p>
    <w:p w14:paraId="1D0B6F2A" w14:textId="2D5A8D29" w:rsidR="00F31BEB" w:rsidRPr="008A0DBE" w:rsidRDefault="00F31BEB" w:rsidP="008A0DBE">
      <w:pPr>
        <w:pStyle w:val="base-text-paragraph"/>
        <w:numPr>
          <w:ilvl w:val="1"/>
          <w:numId w:val="41"/>
        </w:numPr>
        <w:shd w:val="clear" w:color="auto" w:fill="FFFFFF" w:themeFill="background1"/>
        <w:rPr>
          <w:rStyle w:val="Referencingstyle"/>
        </w:rPr>
      </w:pPr>
      <w:r w:rsidRPr="008A0DBE">
        <w:t xml:space="preserve">The amendments address this issue by updating the assumption for interests held by an individual’s spouse. In such cases, the individual is assumed to have acquired the interest on or after 20 September 1985 in working out whether any capital gain or loss from the interest would be disregarded under Subdivision 118-B of the </w:t>
      </w:r>
      <w:r w:rsidR="00152153" w:rsidRPr="008A0DBE">
        <w:rPr>
          <w:i/>
        </w:rPr>
        <w:t>Income Tax Assessment Act</w:t>
      </w:r>
      <w:r w:rsidR="00BB7BF0" w:rsidRPr="008A0DBE">
        <w:rPr>
          <w:i/>
        </w:rPr>
        <w:t> </w:t>
      </w:r>
      <w:r w:rsidRPr="008A0DBE">
        <w:rPr>
          <w:i/>
        </w:rPr>
        <w:t>1997</w:t>
      </w:r>
      <w:r w:rsidRPr="008A0DBE">
        <w:t xml:space="preserve">. </w:t>
      </w:r>
      <w:r w:rsidRPr="008A0DBE">
        <w:rPr>
          <w:rStyle w:val="Referencingstyle"/>
        </w:rPr>
        <w:t xml:space="preserve">[Schedule </w:t>
      </w:r>
      <w:r w:rsidR="00685A40" w:rsidRPr="008A0DBE">
        <w:rPr>
          <w:rStyle w:val="Referencingstyle"/>
        </w:rPr>
        <w:t>#</w:t>
      </w:r>
      <w:r w:rsidRPr="008A0DBE">
        <w:rPr>
          <w:rStyle w:val="Referencingstyle"/>
        </w:rPr>
        <w:t>s, item </w:t>
      </w:r>
      <w:r w:rsidR="00885F4B" w:rsidRPr="008A0DBE">
        <w:rPr>
          <w:rStyle w:val="Referencingstyle"/>
        </w:rPr>
        <w:t>87</w:t>
      </w:r>
      <w:r w:rsidRPr="008A0DBE">
        <w:rPr>
          <w:rStyle w:val="Referencingstyle"/>
        </w:rPr>
        <w:t xml:space="preserve">, subparagraph 292-102(1)(d)(ii) of the </w:t>
      </w:r>
      <w:r w:rsidR="00152153" w:rsidRPr="008A0DBE">
        <w:rPr>
          <w:rStyle w:val="Referencingstyle"/>
        </w:rPr>
        <w:t>Income Tax Assessment Act</w:t>
      </w:r>
      <w:r w:rsidRPr="008A0DBE">
        <w:rPr>
          <w:rStyle w:val="Referencingstyle"/>
        </w:rPr>
        <w:t xml:space="preserve"> 1997]</w:t>
      </w:r>
    </w:p>
    <w:p w14:paraId="5AB46237" w14:textId="77777777" w:rsidR="00F31BEB" w:rsidRPr="008A0DBE" w:rsidRDefault="00F31BEB" w:rsidP="008A0DBE">
      <w:pPr>
        <w:pStyle w:val="base-text-paragraph"/>
        <w:numPr>
          <w:ilvl w:val="1"/>
          <w:numId w:val="41"/>
        </w:numPr>
        <w:shd w:val="clear" w:color="auto" w:fill="FFFFFF" w:themeFill="background1"/>
      </w:pPr>
      <w:r w:rsidRPr="008A0DBE">
        <w:t xml:space="preserve">The second change ensures that the cap on the amount of downsizer contributions that an individual can make is calculated correctly where their spouse has previously made a downsizer contribution in relation to another property. </w:t>
      </w:r>
    </w:p>
    <w:p w14:paraId="5528CE84" w14:textId="77777777" w:rsidR="00F31BEB" w:rsidRPr="008A0DBE" w:rsidRDefault="00F31BEB" w:rsidP="008A0DBE">
      <w:pPr>
        <w:pStyle w:val="base-text-paragraph"/>
        <w:numPr>
          <w:ilvl w:val="1"/>
          <w:numId w:val="41"/>
        </w:numPr>
        <w:shd w:val="clear" w:color="auto" w:fill="FFFFFF" w:themeFill="background1"/>
      </w:pPr>
      <w:r w:rsidRPr="008A0DBE">
        <w:t>An individual can make downsizer contributions up to the lesser of $300,000 and the amount of the capital proceeds that they or their spouse received from the disposal of their property. Although both spouses can make contributions from the disposal of one property, the total contributions they make between them cannot be more than the capital proceeds from the disposal of their interests in that property (for example, if a couple receives $500,000 for the disposal of their property and one spouse makes a downsizer contribution of $300,000, the other spouse can only make a downsizer contribution of up to $200,000).</w:t>
      </w:r>
    </w:p>
    <w:p w14:paraId="1987856F" w14:textId="77777777" w:rsidR="00F31BEB" w:rsidRPr="008A0DBE" w:rsidRDefault="00F31BEB" w:rsidP="008A0DBE">
      <w:pPr>
        <w:pStyle w:val="base-text-paragraph"/>
        <w:numPr>
          <w:ilvl w:val="1"/>
          <w:numId w:val="41"/>
        </w:numPr>
        <w:shd w:val="clear" w:color="auto" w:fill="FFFFFF" w:themeFill="background1"/>
      </w:pPr>
      <w:r w:rsidRPr="008A0DBE">
        <w:t xml:space="preserve">However, there is a technical issue with the way the maximum contributions are calculated where an individual’s spouse has already made a downsizer contribution in relation to the disposal of an interest in another property. Specifically, such contributions are treated in the same way as disposals from the same property, and as such reduce the maximum amount of the downsizer contributions that an individual can make. </w:t>
      </w:r>
    </w:p>
    <w:p w14:paraId="7F16A0E1" w14:textId="05E6339E" w:rsidR="00F31BEB" w:rsidRPr="008A0DBE" w:rsidRDefault="00F31BEB" w:rsidP="008A0DBE">
      <w:pPr>
        <w:pStyle w:val="base-text-paragraph"/>
        <w:numPr>
          <w:ilvl w:val="1"/>
          <w:numId w:val="41"/>
        </w:numPr>
        <w:shd w:val="clear" w:color="auto" w:fill="FFFFFF" w:themeFill="background1"/>
      </w:pPr>
      <w:r w:rsidRPr="008A0DBE">
        <w:t xml:space="preserve">The amendments correct this issue by ensuring that the maximum amount of downsizer contributions that an individual can make are only reduced by their spouse’s downsizer contributions if their spouse’s contributions were made in respect of the disposal of interests in the same property. </w:t>
      </w:r>
      <w:r w:rsidRPr="008A0DBE">
        <w:rPr>
          <w:rStyle w:val="Referencingstyle"/>
        </w:rPr>
        <w:t xml:space="preserve">[Schedule </w:t>
      </w:r>
      <w:r w:rsidR="00685A40" w:rsidRPr="008A0DBE">
        <w:rPr>
          <w:rStyle w:val="Referencingstyle"/>
        </w:rPr>
        <w:t>#</w:t>
      </w:r>
      <w:r w:rsidRPr="008A0DBE">
        <w:rPr>
          <w:rStyle w:val="Referencingstyle"/>
        </w:rPr>
        <w:t>, item </w:t>
      </w:r>
      <w:r w:rsidR="00EB4A71" w:rsidRPr="008A0DBE">
        <w:rPr>
          <w:rStyle w:val="Referencingstyle"/>
        </w:rPr>
        <w:t>9</w:t>
      </w:r>
      <w:r w:rsidR="00885F4B" w:rsidRPr="008A0DBE">
        <w:rPr>
          <w:rStyle w:val="Referencingstyle"/>
        </w:rPr>
        <w:t>88</w:t>
      </w:r>
      <w:r w:rsidRPr="008A0DBE">
        <w:rPr>
          <w:rStyle w:val="Referencingstyle"/>
        </w:rPr>
        <w:t xml:space="preserve">, paragraph 292-102(3)(b) of the </w:t>
      </w:r>
      <w:r w:rsidR="00152153" w:rsidRPr="008A0DBE">
        <w:rPr>
          <w:rStyle w:val="Referencingstyle"/>
        </w:rPr>
        <w:t>Income Tax Assessment Act</w:t>
      </w:r>
      <w:r w:rsidRPr="008A0DBE">
        <w:rPr>
          <w:rStyle w:val="Referencingstyle"/>
        </w:rPr>
        <w:t xml:space="preserve"> 1997]</w:t>
      </w:r>
    </w:p>
    <w:p w14:paraId="2226C25D" w14:textId="7EDF5B7E" w:rsidR="00F31BEB" w:rsidRPr="008A0DBE" w:rsidRDefault="00F31BEB" w:rsidP="008A0DBE">
      <w:pPr>
        <w:pStyle w:val="base-text-paragraph"/>
        <w:numPr>
          <w:ilvl w:val="1"/>
          <w:numId w:val="41"/>
        </w:numPr>
        <w:shd w:val="clear" w:color="auto" w:fill="FFFFFF" w:themeFill="background1"/>
        <w:rPr>
          <w:rStyle w:val="Referencingstyle"/>
        </w:rPr>
      </w:pPr>
      <w:r w:rsidRPr="008A0DBE">
        <w:t xml:space="preserve">The first two changes apply in relation to a disposal of an ownership interest in a dwelling if the contract for the disposal is entered into on or after 1 July 2018. </w:t>
      </w:r>
      <w:r w:rsidRPr="008A0DBE">
        <w:rPr>
          <w:rStyle w:val="Referencingstyle"/>
        </w:rPr>
        <w:t xml:space="preserve">[Schedule </w:t>
      </w:r>
      <w:r w:rsidR="00685A40" w:rsidRPr="008A0DBE">
        <w:rPr>
          <w:rStyle w:val="Referencingstyle"/>
        </w:rPr>
        <w:t>#</w:t>
      </w:r>
      <w:r w:rsidRPr="008A0DBE">
        <w:rPr>
          <w:rStyle w:val="Referencingstyle"/>
        </w:rPr>
        <w:t>, item </w:t>
      </w:r>
      <w:r w:rsidR="00885F4B" w:rsidRPr="008A0DBE">
        <w:rPr>
          <w:rStyle w:val="Referencingstyle"/>
        </w:rPr>
        <w:t>89</w:t>
      </w:r>
      <w:r w:rsidRPr="008A0DBE">
        <w:rPr>
          <w:rStyle w:val="Referencingstyle"/>
        </w:rPr>
        <w:t>]</w:t>
      </w:r>
    </w:p>
    <w:p w14:paraId="43FB2F8B" w14:textId="77777777" w:rsidR="00F31BEB" w:rsidRPr="008A0DBE" w:rsidRDefault="00F31BEB" w:rsidP="008A0DBE">
      <w:pPr>
        <w:pStyle w:val="base-text-paragraph"/>
        <w:numPr>
          <w:ilvl w:val="1"/>
          <w:numId w:val="41"/>
        </w:numPr>
        <w:shd w:val="clear" w:color="auto" w:fill="FFFFFF" w:themeFill="background1"/>
      </w:pPr>
      <w:r w:rsidRPr="008A0DBE">
        <w:t>This application is aligned with that of the original amendments that introduced the downsizer provisions, meaning that they can apply in respect of disposals of interests that have already occurred. This retrospective application is appropriate as the changes are wholly beneficial to taxpayers (because they allow them to make downsizer contributions when they would otherwise be ineligible to do so).</w:t>
      </w:r>
    </w:p>
    <w:p w14:paraId="165BC576" w14:textId="59C5F745" w:rsidR="00F31BEB" w:rsidRPr="008A0DBE" w:rsidRDefault="00F31BEB" w:rsidP="008A0DBE">
      <w:pPr>
        <w:pStyle w:val="base-text-paragraph"/>
        <w:numPr>
          <w:ilvl w:val="1"/>
          <w:numId w:val="41"/>
        </w:numPr>
        <w:shd w:val="clear" w:color="auto" w:fill="FFFFFF" w:themeFill="background1"/>
      </w:pPr>
      <w:r w:rsidRPr="008A0DBE">
        <w:t xml:space="preserve">The third change addresses a different issue with the way that the maximum amount of downsizer contributions are calculated. This change ensure that, for working out the maximum amount of downsizer contributions that an individual can make, the market value substitution rule in section 116-30 of the </w:t>
      </w:r>
      <w:r w:rsidR="00CA51E7" w:rsidRPr="008A0DBE">
        <w:rPr>
          <w:i/>
        </w:rPr>
        <w:t>Income Tax Assessment Act</w:t>
      </w:r>
      <w:r w:rsidRPr="008A0DBE">
        <w:rPr>
          <w:i/>
        </w:rPr>
        <w:t xml:space="preserve"> 1997</w:t>
      </w:r>
      <w:r w:rsidRPr="008A0DBE">
        <w:t xml:space="preserve"> (which applies generally in working out an amount of capital proceeds) cannot increase the amount of capital proceeds received in relation to the disposal of their ownership interests in a dwelling. </w:t>
      </w:r>
      <w:r w:rsidRPr="008A0DBE">
        <w:rPr>
          <w:rStyle w:val="Referencingstyle"/>
        </w:rPr>
        <w:t xml:space="preserve">[Schedule </w:t>
      </w:r>
      <w:r w:rsidR="00685A40" w:rsidRPr="008A0DBE">
        <w:rPr>
          <w:rStyle w:val="Referencingstyle"/>
        </w:rPr>
        <w:t>#</w:t>
      </w:r>
      <w:r w:rsidRPr="008A0DBE">
        <w:rPr>
          <w:rStyle w:val="Referencingstyle"/>
        </w:rPr>
        <w:t>, item </w:t>
      </w:r>
      <w:r w:rsidR="00EB4A71" w:rsidRPr="008A0DBE">
        <w:rPr>
          <w:rStyle w:val="Referencingstyle"/>
        </w:rPr>
        <w:t>9</w:t>
      </w:r>
      <w:r w:rsidR="00885F4B" w:rsidRPr="008A0DBE">
        <w:rPr>
          <w:rStyle w:val="Referencingstyle"/>
        </w:rPr>
        <w:t>0</w:t>
      </w:r>
      <w:r w:rsidRPr="008A0DBE">
        <w:rPr>
          <w:rStyle w:val="Referencingstyle"/>
        </w:rPr>
        <w:t>, subsection 292</w:t>
      </w:r>
      <w:r w:rsidRPr="008A0DBE">
        <w:rPr>
          <w:rStyle w:val="Referencingstyle"/>
        </w:rPr>
        <w:noBreakHyphen/>
        <w:t xml:space="preserve">102(3A) of the </w:t>
      </w:r>
      <w:r w:rsidR="00A762BB" w:rsidRPr="008A0DBE">
        <w:rPr>
          <w:rStyle w:val="Referencingstyle"/>
        </w:rPr>
        <w:t xml:space="preserve">Income Tax Assessment Act </w:t>
      </w:r>
      <w:r w:rsidRPr="008A0DBE">
        <w:rPr>
          <w:rStyle w:val="Referencingstyle"/>
        </w:rPr>
        <w:t>1997]</w:t>
      </w:r>
    </w:p>
    <w:p w14:paraId="59B2EACD" w14:textId="71A5F50E" w:rsidR="00F31BEB" w:rsidRPr="008A0DBE" w:rsidRDefault="00F31BEB" w:rsidP="008A0DBE">
      <w:pPr>
        <w:pStyle w:val="base-text-paragraph"/>
        <w:numPr>
          <w:ilvl w:val="1"/>
          <w:numId w:val="41"/>
        </w:numPr>
        <w:shd w:val="clear" w:color="auto" w:fill="FFFFFF" w:themeFill="background1"/>
      </w:pPr>
      <w:r w:rsidRPr="008A0DBE">
        <w:t xml:space="preserve">This outcome </w:t>
      </w:r>
      <w:r w:rsidR="003B1D2B" w:rsidRPr="008A0DBE">
        <w:t>is</w:t>
      </w:r>
      <w:r w:rsidRPr="008A0DBE">
        <w:t xml:space="preserve"> consistent with the original intent of the cap on downsizer contributions, which were intended to be based on the actual proceeds received from the sale of an individual’s home. The market value substitution rule continues to apply more generally in working out any actual tax liability that an individual or their spouse has in respect of the disposal of their interest in a dwelling (although such disposals will generally be exempt because of the main residence exemption in Subdivision 118-B of the </w:t>
      </w:r>
      <w:r w:rsidR="00CA51E7" w:rsidRPr="008A0DBE">
        <w:rPr>
          <w:i/>
        </w:rPr>
        <w:t>Income Tax Assessment Act</w:t>
      </w:r>
      <w:r w:rsidRPr="008A0DBE">
        <w:rPr>
          <w:i/>
        </w:rPr>
        <w:t xml:space="preserve"> 1997</w:t>
      </w:r>
      <w:r w:rsidRPr="008A0DBE">
        <w:t xml:space="preserve">). </w:t>
      </w:r>
    </w:p>
    <w:p w14:paraId="3FE69762" w14:textId="4222D3B8" w:rsidR="00F31BEB" w:rsidRPr="008A0DBE" w:rsidRDefault="00F31BEB" w:rsidP="008A0DBE">
      <w:pPr>
        <w:pStyle w:val="base-text-paragraph"/>
        <w:numPr>
          <w:ilvl w:val="1"/>
          <w:numId w:val="41"/>
        </w:numPr>
        <w:shd w:val="clear" w:color="auto" w:fill="FFFFFF" w:themeFill="background1"/>
      </w:pPr>
      <w:r w:rsidRPr="008A0DBE">
        <w:t xml:space="preserve">The change applies in relation to a disposal of an ownership interest in a dwelling if the contract for the disposal is entered into on or </w:t>
      </w:r>
      <w:r w:rsidR="003B1D2B" w:rsidRPr="008A0DBE">
        <w:t xml:space="preserve">after </w:t>
      </w:r>
      <w:r w:rsidRPr="008A0DBE">
        <w:t xml:space="preserve">the day the amendments receive Royal Assent. </w:t>
      </w:r>
      <w:r w:rsidRPr="008A0DBE">
        <w:rPr>
          <w:rStyle w:val="Referencingstyle"/>
        </w:rPr>
        <w:t xml:space="preserve">[Schedule </w:t>
      </w:r>
      <w:r w:rsidR="00EC3ADC" w:rsidRPr="008A0DBE">
        <w:rPr>
          <w:rStyle w:val="Referencingstyle"/>
        </w:rPr>
        <w:t>#</w:t>
      </w:r>
      <w:r w:rsidRPr="008A0DBE">
        <w:rPr>
          <w:rStyle w:val="Referencingstyle"/>
        </w:rPr>
        <w:t>, item </w:t>
      </w:r>
      <w:r w:rsidR="00EB4A71" w:rsidRPr="008A0DBE">
        <w:rPr>
          <w:rStyle w:val="Referencingstyle"/>
        </w:rPr>
        <w:t>96</w:t>
      </w:r>
      <w:r w:rsidRPr="008A0DBE">
        <w:rPr>
          <w:rStyle w:val="Referencingstyle"/>
        </w:rPr>
        <w:t>]</w:t>
      </w:r>
    </w:p>
    <w:p w14:paraId="0C4A6D6F" w14:textId="77777777" w:rsidR="00F31BEB" w:rsidRPr="008A0DBE" w:rsidRDefault="00F31BEB" w:rsidP="008A0DBE">
      <w:pPr>
        <w:pStyle w:val="base-text-paragraph"/>
        <w:numPr>
          <w:ilvl w:val="1"/>
          <w:numId w:val="41"/>
        </w:numPr>
        <w:shd w:val="clear" w:color="auto" w:fill="FFFFFF" w:themeFill="background1"/>
      </w:pPr>
      <w:r w:rsidRPr="008A0DBE">
        <w:t xml:space="preserve">This ensures that the amendments apply on a prospective basis only, which is appropriate as they can reduce the maximum amount of downsizer contributions that an individual can make. </w:t>
      </w:r>
    </w:p>
    <w:p w14:paraId="5EE1BA71" w14:textId="013EA308" w:rsidR="00B25E85" w:rsidRPr="008A0DBE" w:rsidRDefault="00B25E85" w:rsidP="008A0DBE">
      <w:pPr>
        <w:pStyle w:val="Heading5"/>
        <w:shd w:val="clear" w:color="auto" w:fill="FFFFFF" w:themeFill="background1"/>
      </w:pPr>
      <w:r w:rsidRPr="008A0DBE">
        <w:t xml:space="preserve">Rollover Restructure Threshold Change </w:t>
      </w:r>
    </w:p>
    <w:p w14:paraId="14BA7CE9" w14:textId="1AABEDB5" w:rsidR="00B25E85" w:rsidRPr="008A0DBE" w:rsidRDefault="00B25E85" w:rsidP="008A0DBE">
      <w:pPr>
        <w:pStyle w:val="base-text-paragraph"/>
        <w:numPr>
          <w:ilvl w:val="1"/>
          <w:numId w:val="41"/>
        </w:numPr>
        <w:shd w:val="clear" w:color="auto" w:fill="FFFFFF" w:themeFill="background1"/>
        <w:rPr>
          <w:i/>
        </w:rPr>
      </w:pPr>
      <w:r w:rsidRPr="008A0DBE">
        <w:t xml:space="preserve">Part 2 amends section 328-430 of the </w:t>
      </w:r>
      <w:r w:rsidRPr="008A0DBE">
        <w:rPr>
          <w:i/>
        </w:rPr>
        <w:t>Income Tax Assessment Act 1997</w:t>
      </w:r>
      <w:r w:rsidRPr="008A0DBE">
        <w:t xml:space="preserve"> to allow </w:t>
      </w:r>
      <w:r w:rsidRPr="008A0DBE" w:rsidDel="00181113">
        <w:t xml:space="preserve">an entity </w:t>
      </w:r>
      <w:r w:rsidRPr="008A0DBE">
        <w:t xml:space="preserve">that is connected with or an affiliate of a small business entity to access the small business restructure rollover in relation to an interest </w:t>
      </w:r>
      <w:r w:rsidR="00AE3501" w:rsidRPr="008A0DBE">
        <w:t xml:space="preserve">of </w:t>
      </w:r>
      <w:r w:rsidRPr="008A0DBE">
        <w:t>the small business entity even if the small businesses entity has</w:t>
      </w:r>
      <w:r w:rsidRPr="008A0DBE" w:rsidDel="00181113">
        <w:t xml:space="preserve"> </w:t>
      </w:r>
      <w:r w:rsidRPr="008A0DBE">
        <w:t xml:space="preserve">aggregated turnover of between $2 million to $10 million. Previously, due to a drafting error, while the rollover was available to the entity carrying on the business in this situation, entities associated with a small business entity were only able to access the rollover if the small business entity was a CGT small business entity – ie. had aggregated turnover of less than $2 million. </w:t>
      </w:r>
      <w:r w:rsidRPr="008A0DBE">
        <w:rPr>
          <w:rStyle w:val="Referencingstyle"/>
        </w:rPr>
        <w:t xml:space="preserve">[Schedule #, item </w:t>
      </w:r>
      <w:r w:rsidR="00885F4B" w:rsidRPr="008A0DBE">
        <w:rPr>
          <w:rStyle w:val="Referencingstyle"/>
        </w:rPr>
        <w:t>102</w:t>
      </w:r>
      <w:r w:rsidRPr="008A0DBE">
        <w:rPr>
          <w:rStyle w:val="Referencingstyle"/>
        </w:rPr>
        <w:t>, subparagraph 328</w:t>
      </w:r>
      <w:r w:rsidRPr="008A0DBE">
        <w:rPr>
          <w:rStyle w:val="Referencingstyle"/>
        </w:rPr>
        <w:noBreakHyphen/>
        <w:t>430(1)(d)(ii) of the Income Tax Assessment Act 1997]</w:t>
      </w:r>
    </w:p>
    <w:p w14:paraId="5156B3C9" w14:textId="50CAF1D9" w:rsidR="00B25E85" w:rsidRPr="008A0DBE" w:rsidRDefault="00B25E85" w:rsidP="008A0DBE">
      <w:pPr>
        <w:pStyle w:val="base-text-paragraph"/>
        <w:numPr>
          <w:ilvl w:val="1"/>
          <w:numId w:val="41"/>
        </w:numPr>
        <w:shd w:val="clear" w:color="auto" w:fill="FFFFFF" w:themeFill="background1"/>
        <w:rPr>
          <w:i/>
        </w:rPr>
      </w:pPr>
      <w:r w:rsidRPr="008A0DBE">
        <w:t>The amendment commences from the date of commencement of the Tax Laws Amendment (Small Business Restructure Roll-over) Bill 2016. The retrospective application is wholly beneficial to affected taxpayers and does not adversely affect the rights of any taxpayer.</w:t>
      </w:r>
      <w:r w:rsidRPr="008A0DBE">
        <w:rPr>
          <w:i/>
        </w:rPr>
        <w:t xml:space="preserve"> </w:t>
      </w:r>
      <w:r w:rsidRPr="008A0DBE">
        <w:rPr>
          <w:rStyle w:val="Referencingstyle"/>
        </w:rPr>
        <w:t xml:space="preserve">[Schedule </w:t>
      </w:r>
      <w:r w:rsidR="001D02C6" w:rsidRPr="008A0DBE">
        <w:rPr>
          <w:rStyle w:val="Referencingstyle"/>
        </w:rPr>
        <w:t xml:space="preserve">#, item </w:t>
      </w:r>
      <w:r w:rsidRPr="008A0DBE">
        <w:rPr>
          <w:rStyle w:val="Referencingstyle"/>
        </w:rPr>
        <w:t>10</w:t>
      </w:r>
      <w:r w:rsidR="00885F4B" w:rsidRPr="008A0DBE">
        <w:rPr>
          <w:rStyle w:val="Referencingstyle"/>
        </w:rPr>
        <w:t>3</w:t>
      </w:r>
      <w:r w:rsidRPr="008A0DBE">
        <w:rPr>
          <w:rStyle w:val="Referencingstyle"/>
        </w:rPr>
        <w:t>]</w:t>
      </w:r>
    </w:p>
    <w:p w14:paraId="6FA7F541" w14:textId="03EEF192" w:rsidR="00B336DC" w:rsidRPr="008A0DBE" w:rsidRDefault="00B25E85" w:rsidP="008A0DBE">
      <w:pPr>
        <w:pStyle w:val="Heading5"/>
        <w:shd w:val="clear" w:color="auto" w:fill="FFFFFF" w:themeFill="background1"/>
      </w:pPr>
      <w:r w:rsidRPr="008A0DBE">
        <w:t xml:space="preserve"> </w:t>
      </w:r>
      <w:r w:rsidR="00B336DC" w:rsidRPr="008A0DBE">
        <w:t>Correcting section references</w:t>
      </w:r>
      <w:r w:rsidR="002612CA" w:rsidRPr="008A0DBE">
        <w:t xml:space="preserve"> </w:t>
      </w:r>
    </w:p>
    <w:p w14:paraId="1978B394" w14:textId="60CDB4E3" w:rsidR="00B336DC" w:rsidRPr="008A0DBE" w:rsidRDefault="00BB7BF0" w:rsidP="008A0DBE">
      <w:pPr>
        <w:pStyle w:val="base-text-paragraph"/>
        <w:numPr>
          <w:ilvl w:val="1"/>
          <w:numId w:val="41"/>
        </w:numPr>
        <w:shd w:val="clear" w:color="auto" w:fill="FFFFFF" w:themeFill="background1"/>
      </w:pPr>
      <w:r w:rsidRPr="008A0DBE">
        <w:t>Part 2</w:t>
      </w:r>
      <w:r w:rsidR="00B336DC" w:rsidRPr="008A0DBE">
        <w:t xml:space="preserve"> </w:t>
      </w:r>
      <w:r w:rsidR="00331E2E" w:rsidRPr="008A0DBE">
        <w:t>also</w:t>
      </w:r>
      <w:r w:rsidR="002612CA" w:rsidRPr="008A0DBE">
        <w:t xml:space="preserve"> </w:t>
      </w:r>
      <w:r w:rsidR="00B336DC" w:rsidRPr="008A0DBE">
        <w:t>correct</w:t>
      </w:r>
      <w:r w:rsidR="00331E2E" w:rsidRPr="008A0DBE">
        <w:t>s</w:t>
      </w:r>
      <w:r w:rsidR="00B336DC" w:rsidRPr="008A0DBE">
        <w:t xml:space="preserve"> section references in the </w:t>
      </w:r>
      <w:r w:rsidR="006E6B17" w:rsidRPr="008A0DBE">
        <w:rPr>
          <w:i/>
        </w:rPr>
        <w:t>Income Tax Assessment Act</w:t>
      </w:r>
      <w:r w:rsidR="00B336DC" w:rsidRPr="008A0DBE">
        <w:rPr>
          <w:i/>
        </w:rPr>
        <w:t xml:space="preserve"> 1997</w:t>
      </w:r>
      <w:r w:rsidR="00B336DC" w:rsidRPr="008A0DBE">
        <w:t xml:space="preserve"> and the </w:t>
      </w:r>
      <w:r w:rsidR="006E6B17" w:rsidRPr="008A0DBE">
        <w:rPr>
          <w:i/>
        </w:rPr>
        <w:t>Income Tax Transitional Provisions</w:t>
      </w:r>
      <w:r w:rsidR="00B336DC" w:rsidRPr="008A0DBE">
        <w:rPr>
          <w:i/>
        </w:rPr>
        <w:t xml:space="preserve"> Act</w:t>
      </w:r>
      <w:r w:rsidR="00A17FA9" w:rsidRPr="008A0DBE">
        <w:rPr>
          <w:i/>
        </w:rPr>
        <w:t xml:space="preserve"> 1997</w:t>
      </w:r>
      <w:r w:rsidR="00B336DC" w:rsidRPr="008A0DBE">
        <w:t>.</w:t>
      </w:r>
    </w:p>
    <w:p w14:paraId="468DFD12" w14:textId="4069DC85" w:rsidR="00B336DC" w:rsidRPr="008A0DBE" w:rsidRDefault="00B336DC" w:rsidP="008A0DBE">
      <w:pPr>
        <w:pStyle w:val="base-text-paragraph"/>
        <w:numPr>
          <w:ilvl w:val="1"/>
          <w:numId w:val="41"/>
        </w:numPr>
        <w:shd w:val="clear" w:color="auto" w:fill="FFFFFF" w:themeFill="background1"/>
      </w:pPr>
      <w:r w:rsidRPr="008A0DBE">
        <w:t xml:space="preserve">Section 705-55 of the </w:t>
      </w:r>
      <w:r w:rsidR="006E6B17" w:rsidRPr="008A0DBE">
        <w:rPr>
          <w:i/>
        </w:rPr>
        <w:t>Income Tax Assessment Act</w:t>
      </w:r>
      <w:r w:rsidRPr="008A0DBE">
        <w:rPr>
          <w:i/>
        </w:rPr>
        <w:t xml:space="preserve"> 1997 </w:t>
      </w:r>
      <w:r w:rsidRPr="008A0DBE">
        <w:t xml:space="preserve">incorrectly refers to a repealed section (former section 705-50) rather than section 705-47. This section reference is corrected. </w:t>
      </w:r>
      <w:r w:rsidRPr="008A0DBE">
        <w:rPr>
          <w:rStyle w:val="Referencingstyle"/>
        </w:rPr>
        <w:t>[</w:t>
      </w:r>
      <w:r w:rsidR="00EC195E" w:rsidRPr="008A0DBE">
        <w:rPr>
          <w:rStyle w:val="Referencingstyle"/>
        </w:rPr>
        <w:t xml:space="preserve">Schedule #, item </w:t>
      </w:r>
      <w:r w:rsidR="00EB4A71" w:rsidRPr="008A0DBE">
        <w:rPr>
          <w:rStyle w:val="Referencingstyle"/>
        </w:rPr>
        <w:t>109</w:t>
      </w:r>
      <w:r w:rsidR="00EC195E" w:rsidRPr="008A0DBE">
        <w:rPr>
          <w:rStyle w:val="Referencingstyle"/>
        </w:rPr>
        <w:t xml:space="preserve">, </w:t>
      </w:r>
      <w:r w:rsidRPr="008A0DBE">
        <w:rPr>
          <w:rStyle w:val="Referencingstyle"/>
        </w:rPr>
        <w:t xml:space="preserve">section 705-55 of the </w:t>
      </w:r>
      <w:r w:rsidR="00A762BB" w:rsidRPr="008A0DBE">
        <w:rPr>
          <w:rStyle w:val="Referencingstyle"/>
        </w:rPr>
        <w:t xml:space="preserve">Income Tax Assessment Act </w:t>
      </w:r>
      <w:r w:rsidRPr="008A0DBE">
        <w:rPr>
          <w:rStyle w:val="Referencingstyle"/>
        </w:rPr>
        <w:t>1997]</w:t>
      </w:r>
      <w:r w:rsidRPr="008A0DBE">
        <w:t xml:space="preserve"> </w:t>
      </w:r>
    </w:p>
    <w:p w14:paraId="0D4898C5" w14:textId="62AE6FF5" w:rsidR="00E14625" w:rsidRPr="008A0DBE" w:rsidRDefault="00E14625" w:rsidP="008A0DBE">
      <w:pPr>
        <w:pStyle w:val="base-text-paragraph"/>
        <w:numPr>
          <w:ilvl w:val="1"/>
          <w:numId w:val="41"/>
        </w:numPr>
        <w:shd w:val="clear" w:color="auto" w:fill="FFFFFF" w:themeFill="background1"/>
        <w:tabs>
          <w:tab w:val="clear" w:pos="1985"/>
        </w:tabs>
      </w:pPr>
      <w:r w:rsidRPr="008A0DBE">
        <w:t xml:space="preserve">An incorrect cross-reference </w:t>
      </w:r>
      <w:r w:rsidRPr="008A0DBE">
        <w:rPr>
          <w:color w:val="000000"/>
        </w:rPr>
        <w:t xml:space="preserve">in </w:t>
      </w:r>
      <w:r w:rsidRPr="008A0DBE">
        <w:t>subsection 705</w:t>
      </w:r>
      <w:r w:rsidRPr="008A0DBE">
        <w:noBreakHyphen/>
        <w:t xml:space="preserve">75(1A) </w:t>
      </w:r>
      <w:r w:rsidRPr="008A0DBE">
        <w:rPr>
          <w:color w:val="000000"/>
        </w:rPr>
        <w:t xml:space="preserve">is </w:t>
      </w:r>
      <w:r w:rsidR="00B6365B" w:rsidRPr="008A0DBE">
        <w:rPr>
          <w:color w:val="000000"/>
        </w:rPr>
        <w:t xml:space="preserve">also </w:t>
      </w:r>
      <w:r w:rsidRPr="008A0DBE">
        <w:rPr>
          <w:color w:val="000000"/>
        </w:rPr>
        <w:t xml:space="preserve">amended and some minor structural improvements are made to that section. The cross-referencing error arose when the consolidation tax cost setting rules were amended in 2018. </w:t>
      </w:r>
      <w:r w:rsidRPr="008A0DBE">
        <w:rPr>
          <w:rStyle w:val="Referencingstyle"/>
        </w:rPr>
        <w:t>[Schedule #, item </w:t>
      </w:r>
      <w:r w:rsidR="00EB4A71" w:rsidRPr="008A0DBE">
        <w:rPr>
          <w:rStyle w:val="Referencingstyle"/>
        </w:rPr>
        <w:t>1</w:t>
      </w:r>
      <w:r w:rsidR="00885F4B" w:rsidRPr="008A0DBE">
        <w:rPr>
          <w:rStyle w:val="Referencingstyle"/>
        </w:rPr>
        <w:t>05</w:t>
      </w:r>
      <w:r w:rsidRPr="008A0DBE">
        <w:rPr>
          <w:rStyle w:val="Referencingstyle"/>
        </w:rPr>
        <w:t xml:space="preserve"> to </w:t>
      </w:r>
      <w:r w:rsidR="009A0213" w:rsidRPr="008A0DBE">
        <w:rPr>
          <w:rStyle w:val="Referencingstyle"/>
        </w:rPr>
        <w:t>107</w:t>
      </w:r>
      <w:r w:rsidRPr="008A0DBE">
        <w:rPr>
          <w:rStyle w:val="Referencingstyle"/>
        </w:rPr>
        <w:t>, section 705</w:t>
      </w:r>
      <w:r w:rsidRPr="008A0DBE">
        <w:rPr>
          <w:rStyle w:val="Referencingstyle"/>
        </w:rPr>
        <w:noBreakHyphen/>
        <w:t>75 of the Income Tax Assessment Act 1997]</w:t>
      </w:r>
      <w:r w:rsidRPr="008A0DBE">
        <w:t xml:space="preserve"> </w:t>
      </w:r>
    </w:p>
    <w:p w14:paraId="7AECCBF3" w14:textId="4FBC7E5D" w:rsidR="00E14625" w:rsidRPr="008A0DBE" w:rsidRDefault="00E14625" w:rsidP="008A0DBE">
      <w:pPr>
        <w:pStyle w:val="base-text-paragraph"/>
        <w:numPr>
          <w:ilvl w:val="1"/>
          <w:numId w:val="41"/>
        </w:numPr>
        <w:shd w:val="clear" w:color="auto" w:fill="FFFFFF" w:themeFill="background1"/>
        <w:tabs>
          <w:tab w:val="clear" w:pos="1985"/>
        </w:tabs>
      </w:pPr>
      <w:r w:rsidRPr="008A0DBE">
        <w:t xml:space="preserve">The 2018 amendments excluded liabilities that give rise to an income tax deduction from the ‘allocable cost amount’ (with some limited exceptions). The ‘allocable cost amount’ is one of the elements used to reset the tax costs of the assets of an entity when that entity joins a consolidated group or multiple entry consolidated group. </w:t>
      </w:r>
    </w:p>
    <w:p w14:paraId="1B1DB681" w14:textId="6FC3959B" w:rsidR="00E14625" w:rsidRPr="008A0DBE" w:rsidRDefault="00E14625" w:rsidP="008A0DBE">
      <w:pPr>
        <w:pStyle w:val="base-text-paragraph"/>
        <w:numPr>
          <w:ilvl w:val="1"/>
          <w:numId w:val="41"/>
        </w:numPr>
        <w:shd w:val="clear" w:color="auto" w:fill="FFFFFF" w:themeFill="background1"/>
      </w:pPr>
      <w:r w:rsidRPr="008A0DBE">
        <w:t xml:space="preserve">Consistent with the 2018 amendments, the amendments apply in relation to an entity that becomes a subsidiary member of a consolidated group or multiple entry consolidated group under an arrangement that commenced on or after 1 July 2016. </w:t>
      </w:r>
      <w:r w:rsidRPr="008A0DBE">
        <w:rPr>
          <w:rStyle w:val="Referencingstyle"/>
        </w:rPr>
        <w:t>[Schedule #, item </w:t>
      </w:r>
      <w:r w:rsidR="00B25E85" w:rsidRPr="008A0DBE">
        <w:rPr>
          <w:rStyle w:val="Referencingstyle"/>
        </w:rPr>
        <w:t>1</w:t>
      </w:r>
      <w:r w:rsidR="009A0213" w:rsidRPr="008A0DBE">
        <w:rPr>
          <w:rStyle w:val="Referencingstyle"/>
        </w:rPr>
        <w:t>08</w:t>
      </w:r>
      <w:r w:rsidRPr="008A0DBE">
        <w:rPr>
          <w:rStyle w:val="Referencingstyle"/>
        </w:rPr>
        <w:t>, section 705</w:t>
      </w:r>
      <w:r w:rsidRPr="008A0DBE">
        <w:rPr>
          <w:rStyle w:val="Referencingstyle"/>
        </w:rPr>
        <w:noBreakHyphen/>
        <w:t>75 of the Income Tax Assessment Act 199</w:t>
      </w:r>
      <w:r w:rsidR="00B17B1E" w:rsidRPr="008A0DBE">
        <w:rPr>
          <w:rStyle w:val="Referencingstyle"/>
        </w:rPr>
        <w:t>7</w:t>
      </w:r>
      <w:r w:rsidRPr="008A0DBE">
        <w:rPr>
          <w:rStyle w:val="Referencingstyle"/>
        </w:rPr>
        <w:t>]</w:t>
      </w:r>
    </w:p>
    <w:p w14:paraId="5DEF33C0" w14:textId="77777777" w:rsidR="00E14625" w:rsidRPr="008A0DBE" w:rsidRDefault="00E14625" w:rsidP="008A0DBE">
      <w:pPr>
        <w:pStyle w:val="base-text-paragraph"/>
        <w:numPr>
          <w:ilvl w:val="1"/>
          <w:numId w:val="41"/>
        </w:numPr>
        <w:shd w:val="clear" w:color="auto" w:fill="FFFFFF" w:themeFill="background1"/>
      </w:pPr>
      <w:r w:rsidRPr="008A0DBE">
        <w:t xml:space="preserve">Retrospective application is appropriate in this instance to ensure that taxpayers who have been applying the law as intended are not disadvantaged and to prevent other taxpayers from obtaining unexpected windfall gains. Further, retrospective application is necessary to maintain symmetry between the entry and exit tax cost setting rules. That is, it prevents unintended consequences from arising for future exit tax cost setting calculations when a subsidiary member subsequently leaves the consolidated group or multiple entry consolidated group. </w:t>
      </w:r>
    </w:p>
    <w:p w14:paraId="039004FA" w14:textId="27936C7B" w:rsidR="00B336DC" w:rsidRPr="008A0DBE" w:rsidRDefault="00E14625" w:rsidP="008A0DBE">
      <w:pPr>
        <w:pStyle w:val="base-text-paragraph"/>
        <w:numPr>
          <w:ilvl w:val="1"/>
          <w:numId w:val="41"/>
        </w:numPr>
        <w:shd w:val="clear" w:color="auto" w:fill="FFFFFF" w:themeFill="background1"/>
      </w:pPr>
      <w:r w:rsidRPr="008A0DBE">
        <w:t xml:space="preserve"> </w:t>
      </w:r>
      <w:r w:rsidR="00B336DC" w:rsidRPr="008A0DBE">
        <w:t>There is also an error in a section reference in subsection 716</w:t>
      </w:r>
      <w:r w:rsidR="00331E2E" w:rsidRPr="008A0DBE">
        <w:noBreakHyphen/>
      </w:r>
      <w:r w:rsidR="00B336DC" w:rsidRPr="008A0DBE">
        <w:t xml:space="preserve">440(1) of the </w:t>
      </w:r>
      <w:r w:rsidR="002612CA" w:rsidRPr="008A0DBE">
        <w:rPr>
          <w:i/>
        </w:rPr>
        <w:t>Income Tax Assessment Act</w:t>
      </w:r>
      <w:r w:rsidR="00FA096B" w:rsidRPr="008A0DBE">
        <w:rPr>
          <w:i/>
        </w:rPr>
        <w:t xml:space="preserve"> 1997</w:t>
      </w:r>
      <w:r w:rsidR="00B336DC" w:rsidRPr="008A0DBE">
        <w:t xml:space="preserve">. This subsection sets out the conditions for when special CGT rules apply to a foreign-owned entity joining a consolidated group. One of these criteria is designed to be that the section 701-10 </w:t>
      </w:r>
      <w:r w:rsidR="00FA096B" w:rsidRPr="008A0DBE">
        <w:t xml:space="preserve">of the </w:t>
      </w:r>
      <w:r w:rsidR="00FA096B" w:rsidRPr="008A0DBE">
        <w:rPr>
          <w:i/>
        </w:rPr>
        <w:t>Income Tax Assessment Act 1997</w:t>
      </w:r>
      <w:r w:rsidR="00B336DC" w:rsidRPr="008A0DBE">
        <w:t xml:space="preserve"> would apply but for the special CGT rules in subsection (2) (which disapply it). However, there is a mistake in that criteria and it references subsection (3) rather than subsection (2). The Bill corrects this </w:t>
      </w:r>
      <w:r w:rsidR="00F469F0" w:rsidRPr="008A0DBE">
        <w:t>error</w:t>
      </w:r>
      <w:r w:rsidR="00B336DC" w:rsidRPr="008A0DBE">
        <w:t xml:space="preserve">. </w:t>
      </w:r>
      <w:r w:rsidR="00B336DC" w:rsidRPr="008A0DBE">
        <w:rPr>
          <w:rStyle w:val="Referencingstyle"/>
        </w:rPr>
        <w:t>[</w:t>
      </w:r>
      <w:r w:rsidR="00302DC7" w:rsidRPr="008A0DBE">
        <w:rPr>
          <w:rStyle w:val="Referencingstyle"/>
        </w:rPr>
        <w:t xml:space="preserve">Schedule #, item </w:t>
      </w:r>
      <w:r w:rsidR="00B25E85" w:rsidRPr="008A0DBE">
        <w:rPr>
          <w:rStyle w:val="Referencingstyle"/>
        </w:rPr>
        <w:t>1</w:t>
      </w:r>
      <w:r w:rsidR="009A0213" w:rsidRPr="008A0DBE">
        <w:rPr>
          <w:rStyle w:val="Referencingstyle"/>
        </w:rPr>
        <w:t>09</w:t>
      </w:r>
      <w:r w:rsidR="00302DC7" w:rsidRPr="008A0DBE">
        <w:rPr>
          <w:rStyle w:val="Referencingstyle"/>
        </w:rPr>
        <w:t xml:space="preserve">, </w:t>
      </w:r>
      <w:r w:rsidR="00B336DC" w:rsidRPr="008A0DBE">
        <w:rPr>
          <w:rStyle w:val="Referencingstyle"/>
        </w:rPr>
        <w:t xml:space="preserve">subsection 716-440(1) of the </w:t>
      </w:r>
      <w:r w:rsidR="00F469F0" w:rsidRPr="008A0DBE">
        <w:rPr>
          <w:rStyle w:val="Referencingstyle"/>
        </w:rPr>
        <w:t>Income Tax Assessment Act</w:t>
      </w:r>
      <w:r w:rsidR="00B336DC" w:rsidRPr="008A0DBE">
        <w:rPr>
          <w:rStyle w:val="Referencingstyle"/>
        </w:rPr>
        <w:t xml:space="preserve"> 1997]</w:t>
      </w:r>
      <w:r w:rsidR="00B336DC" w:rsidRPr="008A0DBE">
        <w:t xml:space="preserve"> </w:t>
      </w:r>
    </w:p>
    <w:p w14:paraId="4E1029DF" w14:textId="5FE3A4C1" w:rsidR="00E14625" w:rsidRPr="008A0DBE" w:rsidRDefault="00E14625" w:rsidP="008A0DBE">
      <w:pPr>
        <w:pStyle w:val="base-text-paragraph"/>
        <w:numPr>
          <w:ilvl w:val="1"/>
          <w:numId w:val="41"/>
        </w:numPr>
        <w:shd w:val="clear" w:color="auto" w:fill="FFFFFF" w:themeFill="background1"/>
        <w:rPr>
          <w:rStyle w:val="Referencingstyle"/>
          <w:b w:val="0"/>
          <w:i w:val="0"/>
          <w:sz w:val="22"/>
        </w:rPr>
      </w:pPr>
      <w:r w:rsidRPr="008A0DBE">
        <w:t xml:space="preserve">An incorrect cross-reference </w:t>
      </w:r>
      <w:r w:rsidRPr="008A0DBE">
        <w:rPr>
          <w:color w:val="000000"/>
        </w:rPr>
        <w:t xml:space="preserve">in </w:t>
      </w:r>
      <w:r w:rsidR="00B6365B" w:rsidRPr="008A0DBE">
        <w:rPr>
          <w:color w:val="000000"/>
        </w:rPr>
        <w:t xml:space="preserve">the consolidation rules is </w:t>
      </w:r>
      <w:r w:rsidRPr="008A0DBE">
        <w:rPr>
          <w:color w:val="000000"/>
        </w:rPr>
        <w:t xml:space="preserve">paragraph 716-440(1)(e) </w:t>
      </w:r>
      <w:r w:rsidRPr="008A0DBE">
        <w:t xml:space="preserve">of the </w:t>
      </w:r>
      <w:r w:rsidRPr="008A0DBE">
        <w:rPr>
          <w:i/>
        </w:rPr>
        <w:t>Income Tax Assessment Act 1997</w:t>
      </w:r>
      <w:r w:rsidRPr="008A0DBE">
        <w:t xml:space="preserve"> </w:t>
      </w:r>
      <w:r w:rsidRPr="008A0DBE">
        <w:rPr>
          <w:color w:val="000000"/>
        </w:rPr>
        <w:t xml:space="preserve">is </w:t>
      </w:r>
      <w:r w:rsidR="00B6365B" w:rsidRPr="008A0DBE">
        <w:t>also corrected</w:t>
      </w:r>
      <w:r w:rsidRPr="008A0DBE">
        <w:rPr>
          <w:color w:val="000000"/>
        </w:rPr>
        <w:t xml:space="preserve">. </w:t>
      </w:r>
      <w:r w:rsidRPr="008A0DBE">
        <w:rPr>
          <w:rStyle w:val="Referencingstyle"/>
        </w:rPr>
        <w:t xml:space="preserve">[Schedule #s, item </w:t>
      </w:r>
      <w:r w:rsidR="00B25E85" w:rsidRPr="008A0DBE">
        <w:rPr>
          <w:rStyle w:val="Referencingstyle"/>
        </w:rPr>
        <w:t>1</w:t>
      </w:r>
      <w:r w:rsidR="009A0213" w:rsidRPr="008A0DBE">
        <w:rPr>
          <w:rStyle w:val="Referencingstyle"/>
        </w:rPr>
        <w:t>09</w:t>
      </w:r>
      <w:r w:rsidRPr="008A0DBE">
        <w:rPr>
          <w:rStyle w:val="Referencingstyle"/>
        </w:rPr>
        <w:t>, subsection 716</w:t>
      </w:r>
      <w:r w:rsidRPr="008A0DBE">
        <w:rPr>
          <w:rStyle w:val="Referencingstyle"/>
        </w:rPr>
        <w:noBreakHyphen/>
        <w:t>440(1)(e) of the Income Tax Assessment Act 1997]</w:t>
      </w:r>
    </w:p>
    <w:p w14:paraId="3C6EA929" w14:textId="0A2D4380" w:rsidR="00B336DC" w:rsidRPr="008A0DBE" w:rsidRDefault="00B336DC" w:rsidP="008A0DBE">
      <w:pPr>
        <w:pStyle w:val="base-text-paragraph"/>
        <w:numPr>
          <w:ilvl w:val="1"/>
          <w:numId w:val="41"/>
        </w:numPr>
        <w:shd w:val="clear" w:color="auto" w:fill="FFFFFF" w:themeFill="background1"/>
        <w:rPr>
          <w:rStyle w:val="Referencingstyle"/>
          <w:b w:val="0"/>
          <w:i w:val="0"/>
          <w:sz w:val="22"/>
        </w:rPr>
      </w:pPr>
      <w:r w:rsidRPr="008A0DBE">
        <w:t xml:space="preserve">Finally, section 40-830 </w:t>
      </w:r>
      <w:r w:rsidR="00FA096B" w:rsidRPr="008A0DBE">
        <w:t xml:space="preserve">of the </w:t>
      </w:r>
      <w:r w:rsidR="00FA096B" w:rsidRPr="008A0DBE">
        <w:rPr>
          <w:i/>
        </w:rPr>
        <w:t>Income Tax Assessment Act 1997</w:t>
      </w:r>
      <w:r w:rsidRPr="008A0DBE">
        <w:t xml:space="preserve"> has been renumbered to section 40-840</w:t>
      </w:r>
      <w:r w:rsidR="00FA096B" w:rsidRPr="008A0DBE">
        <w:t xml:space="preserve"> of the </w:t>
      </w:r>
      <w:r w:rsidR="00FA096B" w:rsidRPr="008A0DBE">
        <w:rPr>
          <w:i/>
        </w:rPr>
        <w:t>Income Tax Assessment Act 1997</w:t>
      </w:r>
      <w:r w:rsidRPr="008A0DBE">
        <w:t xml:space="preserve">. This amendment fixes a numbering. </w:t>
      </w:r>
      <w:r w:rsidRPr="008A0DBE">
        <w:rPr>
          <w:rStyle w:val="Referencingstyle"/>
        </w:rPr>
        <w:t xml:space="preserve">[Schedule </w:t>
      </w:r>
      <w:r w:rsidR="00302DC7" w:rsidRPr="008A0DBE">
        <w:rPr>
          <w:rStyle w:val="Referencingstyle"/>
        </w:rPr>
        <w:t>#</w:t>
      </w:r>
      <w:r w:rsidRPr="008A0DBE">
        <w:rPr>
          <w:rStyle w:val="Referencingstyle"/>
        </w:rPr>
        <w:t>, item</w:t>
      </w:r>
      <w:r w:rsidR="00331E2E" w:rsidRPr="008A0DBE">
        <w:rPr>
          <w:rStyle w:val="Referencingstyle"/>
        </w:rPr>
        <w:t> </w:t>
      </w:r>
      <w:r w:rsidR="00B25E85" w:rsidRPr="008A0DBE">
        <w:rPr>
          <w:rStyle w:val="Referencingstyle"/>
        </w:rPr>
        <w:t>12</w:t>
      </w:r>
      <w:r w:rsidR="009A0213" w:rsidRPr="008A0DBE">
        <w:rPr>
          <w:rStyle w:val="Referencingstyle"/>
        </w:rPr>
        <w:t>0</w:t>
      </w:r>
      <w:r w:rsidRPr="008A0DBE">
        <w:rPr>
          <w:rStyle w:val="Referencingstyle"/>
        </w:rPr>
        <w:t xml:space="preserve">, section 40-840 of the </w:t>
      </w:r>
      <w:r w:rsidR="00F469F0" w:rsidRPr="008A0DBE">
        <w:rPr>
          <w:rStyle w:val="Referencingstyle"/>
        </w:rPr>
        <w:t xml:space="preserve">Income Tax </w:t>
      </w:r>
      <w:r w:rsidR="00331E2E" w:rsidRPr="008A0DBE">
        <w:rPr>
          <w:rStyle w:val="Referencingstyle"/>
        </w:rPr>
        <w:t>(</w:t>
      </w:r>
      <w:r w:rsidR="00F469F0" w:rsidRPr="008A0DBE">
        <w:rPr>
          <w:rStyle w:val="Referencingstyle"/>
        </w:rPr>
        <w:t>Transitional Provisions</w:t>
      </w:r>
      <w:r w:rsidR="00331E2E" w:rsidRPr="008A0DBE">
        <w:rPr>
          <w:rStyle w:val="Referencingstyle"/>
        </w:rPr>
        <w:t>)</w:t>
      </w:r>
      <w:r w:rsidRPr="008A0DBE">
        <w:rPr>
          <w:rStyle w:val="Referencingstyle"/>
        </w:rPr>
        <w:t xml:space="preserve"> Act 1997] </w:t>
      </w:r>
    </w:p>
    <w:p w14:paraId="2D47F157" w14:textId="085BE60C" w:rsidR="0028110E" w:rsidRPr="008A0DBE" w:rsidRDefault="0028110E" w:rsidP="008A0DBE">
      <w:pPr>
        <w:pStyle w:val="Heading5"/>
        <w:shd w:val="clear" w:color="auto" w:fill="FFFFFF" w:themeFill="background1"/>
      </w:pPr>
      <w:r w:rsidRPr="008A0DBE">
        <w:t xml:space="preserve">Meaning of foreign equity distribution </w:t>
      </w:r>
    </w:p>
    <w:p w14:paraId="461F54FD" w14:textId="05833BAD" w:rsidR="00F469F0" w:rsidRPr="008A0DBE" w:rsidRDefault="00B6365B" w:rsidP="008A0DBE">
      <w:pPr>
        <w:pStyle w:val="base-text-paragraph"/>
        <w:numPr>
          <w:ilvl w:val="1"/>
          <w:numId w:val="41"/>
        </w:numPr>
        <w:shd w:val="clear" w:color="auto" w:fill="FFFFFF" w:themeFill="background1"/>
      </w:pPr>
      <w:r w:rsidRPr="008A0DBE">
        <w:t>Part 2 of the Schedule</w:t>
      </w:r>
      <w:r w:rsidR="00F469F0" w:rsidRPr="008A0DBE">
        <w:t xml:space="preserve"> corrects </w:t>
      </w:r>
      <w:r w:rsidRPr="008A0DBE">
        <w:t>an</w:t>
      </w:r>
      <w:r w:rsidR="00F469F0" w:rsidRPr="008A0DBE">
        <w:t xml:space="preserve"> error </w:t>
      </w:r>
      <w:r w:rsidRPr="008A0DBE">
        <w:t xml:space="preserve">with the meaning of foreign equity distribution </w:t>
      </w:r>
      <w:r w:rsidR="00F469F0" w:rsidRPr="008A0DBE">
        <w:t xml:space="preserve">by replacing ‘a foreign resident’ with ‘not a Part X Australian resident (within the meaning of Part X of the </w:t>
      </w:r>
      <w:r w:rsidR="00F469F0" w:rsidRPr="008A0DBE">
        <w:rPr>
          <w:i/>
        </w:rPr>
        <w:t>Income Tax Assessment Act 1936</w:t>
      </w:r>
      <w:r w:rsidR="00F469F0" w:rsidRPr="008A0DBE">
        <w:t>)’.</w:t>
      </w:r>
      <w:r w:rsidR="00F469F0" w:rsidRPr="008A0DBE">
        <w:rPr>
          <w:rStyle w:val="Referencingstyle"/>
        </w:rPr>
        <w:t xml:space="preserve"> [Schedule </w:t>
      </w:r>
      <w:r w:rsidR="00137343" w:rsidRPr="008A0DBE">
        <w:rPr>
          <w:rStyle w:val="Referencingstyle"/>
        </w:rPr>
        <w:t>#</w:t>
      </w:r>
      <w:r w:rsidR="006763EA" w:rsidRPr="008A0DBE">
        <w:rPr>
          <w:rStyle w:val="Referencingstyle"/>
        </w:rPr>
        <w:t>, item</w:t>
      </w:r>
      <w:r w:rsidR="00F469F0" w:rsidRPr="008A0DBE">
        <w:rPr>
          <w:rStyle w:val="Referencingstyle"/>
        </w:rPr>
        <w:t xml:space="preserve"> </w:t>
      </w:r>
      <w:r w:rsidR="00A3167D" w:rsidRPr="008A0DBE">
        <w:rPr>
          <w:rStyle w:val="Referencingstyle"/>
        </w:rPr>
        <w:t>11</w:t>
      </w:r>
      <w:r w:rsidR="009A0213" w:rsidRPr="008A0DBE">
        <w:rPr>
          <w:rStyle w:val="Referencingstyle"/>
        </w:rPr>
        <w:t>1</w:t>
      </w:r>
      <w:r w:rsidR="00F469F0" w:rsidRPr="008A0DBE">
        <w:rPr>
          <w:rStyle w:val="Referencingstyle"/>
        </w:rPr>
        <w:t xml:space="preserve">, section 768-10 of the </w:t>
      </w:r>
      <w:r w:rsidR="00A762BB" w:rsidRPr="008A0DBE">
        <w:rPr>
          <w:rStyle w:val="Referencingstyle"/>
        </w:rPr>
        <w:t>Income Tax Assessment Act</w:t>
      </w:r>
      <w:r w:rsidR="00F469F0" w:rsidRPr="008A0DBE">
        <w:rPr>
          <w:rStyle w:val="Referencingstyle"/>
        </w:rPr>
        <w:t xml:space="preserve"> 1997] </w:t>
      </w:r>
    </w:p>
    <w:p w14:paraId="3D950E21" w14:textId="1FC02B03" w:rsidR="0028110E" w:rsidRPr="008A0DBE" w:rsidRDefault="0028110E" w:rsidP="008A0DBE">
      <w:pPr>
        <w:pStyle w:val="base-text-paragraph"/>
        <w:numPr>
          <w:ilvl w:val="1"/>
          <w:numId w:val="41"/>
        </w:numPr>
        <w:shd w:val="clear" w:color="auto" w:fill="FFFFFF" w:themeFill="background1"/>
      </w:pPr>
      <w:r w:rsidRPr="008A0DBE">
        <w:t>Subdivision 768</w:t>
      </w:r>
      <w:r w:rsidRPr="008A0DBE">
        <w:softHyphen/>
      </w:r>
      <w:r w:rsidRPr="008A0DBE">
        <w:noBreakHyphen/>
        <w:t xml:space="preserve">A of the </w:t>
      </w:r>
      <w:r w:rsidR="00A762BB" w:rsidRPr="008A0DBE">
        <w:rPr>
          <w:i/>
        </w:rPr>
        <w:t>Income Tax Assessment Act</w:t>
      </w:r>
      <w:r w:rsidRPr="008A0DBE">
        <w:rPr>
          <w:i/>
        </w:rPr>
        <w:t xml:space="preserve"> 1997</w:t>
      </w:r>
      <w:r w:rsidRPr="008A0DBE">
        <w:t xml:space="preserve"> treats certain income received by an Austr</w:t>
      </w:r>
      <w:r w:rsidR="002D6763" w:rsidRPr="008A0DBE">
        <w:t>alian corporate tax entity from</w:t>
      </w:r>
      <w:r w:rsidRPr="008A0DBE">
        <w:t xml:space="preserve"> a foreign resident company as non-assessable non-exempt income.</w:t>
      </w:r>
    </w:p>
    <w:p w14:paraId="7B23A80F" w14:textId="6ED98E4E" w:rsidR="00BD650B" w:rsidRPr="008A0DBE" w:rsidRDefault="00BD650B" w:rsidP="008A0DBE">
      <w:pPr>
        <w:pStyle w:val="base-text-paragraph"/>
        <w:numPr>
          <w:ilvl w:val="1"/>
          <w:numId w:val="41"/>
        </w:numPr>
        <w:shd w:val="clear" w:color="auto" w:fill="FFFFFF" w:themeFill="background1"/>
      </w:pPr>
      <w:r w:rsidRPr="008A0DBE">
        <w:t>Subdivision 768</w:t>
      </w:r>
      <w:r w:rsidRPr="008A0DBE">
        <w:softHyphen/>
      </w:r>
      <w:r w:rsidRPr="008A0DBE">
        <w:noBreakHyphen/>
        <w:t xml:space="preserve">A of the </w:t>
      </w:r>
      <w:r w:rsidR="00A762BB" w:rsidRPr="008A0DBE">
        <w:rPr>
          <w:i/>
        </w:rPr>
        <w:t>Income Tax Assessment Act</w:t>
      </w:r>
      <w:r w:rsidRPr="008A0DBE">
        <w:rPr>
          <w:i/>
        </w:rPr>
        <w:t xml:space="preserve"> 1997</w:t>
      </w:r>
      <w:r w:rsidRPr="008A0DBE">
        <w:t xml:space="preserve"> replaced the now repealed section 23AJ of the </w:t>
      </w:r>
      <w:r w:rsidR="00A762BB" w:rsidRPr="008A0DBE">
        <w:rPr>
          <w:i/>
        </w:rPr>
        <w:t>Income Tax Assessment Act</w:t>
      </w:r>
      <w:r w:rsidRPr="008A0DBE">
        <w:rPr>
          <w:i/>
        </w:rPr>
        <w:t xml:space="preserve"> 1936</w:t>
      </w:r>
      <w:r w:rsidRPr="008A0DBE">
        <w:t xml:space="preserve"> in 2014 as part of a modernisation and update of the exemption. In doing so the condition that the paying company be ‘not a Part X Australian resident’ was changed to being a ‘foreign resident’. The change in wording inadvertently resulted in some </w:t>
      </w:r>
      <w:r w:rsidR="00AC39D2" w:rsidRPr="008A0DBE">
        <w:t xml:space="preserve">dividends paid by </w:t>
      </w:r>
      <w:r w:rsidRPr="008A0DBE">
        <w:t>dual resident companies to Australian residents being treated as assessable income for the Australian resident.</w:t>
      </w:r>
    </w:p>
    <w:p w14:paraId="1A050DCF" w14:textId="16951BD7" w:rsidR="00BD650B" w:rsidRPr="008A0DBE" w:rsidRDefault="00085F6E" w:rsidP="008A0DBE">
      <w:pPr>
        <w:pStyle w:val="base-text-paragraph"/>
        <w:numPr>
          <w:ilvl w:val="1"/>
          <w:numId w:val="41"/>
        </w:numPr>
        <w:shd w:val="clear" w:color="auto" w:fill="FFFFFF" w:themeFill="background1"/>
      </w:pPr>
      <w:r w:rsidRPr="008A0DBE">
        <w:t>To ensure that no taxpayers are disadvantaged by the change in meaning, this amendment is being applied retrospectively to the commence</w:t>
      </w:r>
      <w:r w:rsidR="00AC39D2" w:rsidRPr="008A0DBE">
        <w:t>ment date</w:t>
      </w:r>
      <w:r w:rsidRPr="008A0DBE">
        <w:t xml:space="preserve"> of the original provision on 17 October 2014. </w:t>
      </w:r>
      <w:r w:rsidR="00B30B30" w:rsidRPr="008A0DBE">
        <w:t xml:space="preserve">No taxpayer </w:t>
      </w:r>
      <w:r w:rsidR="006763EA" w:rsidRPr="008A0DBE">
        <w:t>are</w:t>
      </w:r>
      <w:r w:rsidR="00B30B30" w:rsidRPr="008A0DBE">
        <w:t xml:space="preserve"> disadvantaged by retrospective application of the amendments</w:t>
      </w:r>
      <w:r w:rsidR="00194C96" w:rsidRPr="008A0DBE">
        <w:t>.</w:t>
      </w:r>
      <w:r w:rsidRPr="008A0DBE">
        <w:rPr>
          <w:rStyle w:val="Referencingstyle"/>
        </w:rPr>
        <w:t xml:space="preserve"> </w:t>
      </w:r>
      <w:r w:rsidR="002A4135" w:rsidRPr="008A0DBE">
        <w:rPr>
          <w:rStyle w:val="Referencingstyle"/>
        </w:rPr>
        <w:t>[Schedule #</w:t>
      </w:r>
      <w:r w:rsidR="006763EA" w:rsidRPr="008A0DBE">
        <w:rPr>
          <w:rStyle w:val="Referencingstyle"/>
        </w:rPr>
        <w:t>, item</w:t>
      </w:r>
      <w:r w:rsidR="002A4135" w:rsidRPr="008A0DBE">
        <w:rPr>
          <w:rStyle w:val="Referencingstyle"/>
        </w:rPr>
        <w:t xml:space="preserve"> </w:t>
      </w:r>
      <w:r w:rsidR="009973B6" w:rsidRPr="008A0DBE">
        <w:rPr>
          <w:rStyle w:val="Referencingstyle"/>
        </w:rPr>
        <w:t>11</w:t>
      </w:r>
      <w:r w:rsidR="009A0213" w:rsidRPr="008A0DBE">
        <w:rPr>
          <w:rStyle w:val="Referencingstyle"/>
        </w:rPr>
        <w:t>2</w:t>
      </w:r>
      <w:r w:rsidR="002A4135" w:rsidRPr="008A0DBE">
        <w:rPr>
          <w:rStyle w:val="Referencingstyle"/>
        </w:rPr>
        <w:t>]</w:t>
      </w:r>
    </w:p>
    <w:p w14:paraId="23AD2D8F" w14:textId="09110FC3" w:rsidR="004569FC" w:rsidRPr="008A0DBE" w:rsidRDefault="004569FC" w:rsidP="008A0DBE">
      <w:pPr>
        <w:pStyle w:val="Heading5"/>
        <w:shd w:val="clear" w:color="auto" w:fill="FFFFFF" w:themeFill="background1"/>
      </w:pPr>
      <w:r w:rsidRPr="008A0DBE">
        <w:t>Cross-border transfer pricing guidance</w:t>
      </w:r>
      <w:r w:rsidR="00592314" w:rsidRPr="008A0DBE">
        <w:t xml:space="preserve"> </w:t>
      </w:r>
    </w:p>
    <w:p w14:paraId="18D0DFD3" w14:textId="1B09EFC9" w:rsidR="00CA166C" w:rsidRPr="008A0DBE" w:rsidRDefault="00B17B1E" w:rsidP="008A0DBE">
      <w:pPr>
        <w:pStyle w:val="base-text-paragraph"/>
        <w:numPr>
          <w:ilvl w:val="1"/>
          <w:numId w:val="41"/>
        </w:numPr>
        <w:shd w:val="clear" w:color="auto" w:fill="FFFFFF" w:themeFill="background1"/>
      </w:pPr>
      <w:r w:rsidRPr="008A0DBE">
        <w:t>Part 2</w:t>
      </w:r>
      <w:r w:rsidR="00CA166C" w:rsidRPr="008A0DBE">
        <w:t xml:space="preserve"> update</w:t>
      </w:r>
      <w:r w:rsidRPr="008A0DBE">
        <w:t>s</w:t>
      </w:r>
      <w:r w:rsidR="00CA166C" w:rsidRPr="008A0DBE">
        <w:t xml:space="preserve"> the references in subsection 815-135(2) of the </w:t>
      </w:r>
      <w:r w:rsidR="00CA166C" w:rsidRPr="008A0DBE">
        <w:rPr>
          <w:i/>
        </w:rPr>
        <w:t>Income Tax Assessment Act 1997</w:t>
      </w:r>
      <w:r w:rsidR="00CA166C" w:rsidRPr="008A0DBE">
        <w:rPr>
          <w:color w:val="000000"/>
        </w:rPr>
        <w:t xml:space="preserve">. </w:t>
      </w:r>
      <w:r w:rsidR="00CA166C" w:rsidRPr="008A0DBE">
        <w:rPr>
          <w:rStyle w:val="Referencingstyle"/>
        </w:rPr>
        <w:t xml:space="preserve">[Schedule </w:t>
      </w:r>
      <w:r w:rsidR="00F8076F" w:rsidRPr="008A0DBE">
        <w:rPr>
          <w:rStyle w:val="Referencingstyle"/>
        </w:rPr>
        <w:t>#</w:t>
      </w:r>
      <w:r w:rsidR="00CA166C" w:rsidRPr="008A0DBE">
        <w:rPr>
          <w:rStyle w:val="Referencingstyle"/>
        </w:rPr>
        <w:t xml:space="preserve">, items </w:t>
      </w:r>
      <w:r w:rsidR="009973B6" w:rsidRPr="008A0DBE">
        <w:rPr>
          <w:rStyle w:val="Referencingstyle"/>
        </w:rPr>
        <w:t>11</w:t>
      </w:r>
      <w:r w:rsidR="009A0213" w:rsidRPr="008A0DBE">
        <w:rPr>
          <w:rStyle w:val="Referencingstyle"/>
        </w:rPr>
        <w:t>3</w:t>
      </w:r>
      <w:r w:rsidR="00CA166C" w:rsidRPr="008A0DBE">
        <w:rPr>
          <w:rStyle w:val="Referencingstyle"/>
        </w:rPr>
        <w:t xml:space="preserve"> to </w:t>
      </w:r>
      <w:r w:rsidR="00302856" w:rsidRPr="008A0DBE">
        <w:rPr>
          <w:rStyle w:val="Referencingstyle"/>
        </w:rPr>
        <w:t>1</w:t>
      </w:r>
      <w:r w:rsidR="009A0213" w:rsidRPr="008A0DBE">
        <w:rPr>
          <w:rStyle w:val="Referencingstyle"/>
        </w:rPr>
        <w:t>15</w:t>
      </w:r>
      <w:r w:rsidR="00CA166C" w:rsidRPr="008A0DBE">
        <w:rPr>
          <w:rStyle w:val="Referencingstyle"/>
        </w:rPr>
        <w:t>, paragraphs 815</w:t>
      </w:r>
      <w:r w:rsidR="00CA166C" w:rsidRPr="008A0DBE">
        <w:rPr>
          <w:rStyle w:val="Referencingstyle"/>
        </w:rPr>
        <w:noBreakHyphen/>
        <w:t>135(2)(a) and (aa) of the Income Tax Assessment Act 1997]</w:t>
      </w:r>
      <w:r w:rsidR="00CA166C" w:rsidRPr="008A0DBE">
        <w:rPr>
          <w:color w:val="000000"/>
        </w:rPr>
        <w:t xml:space="preserve"> </w:t>
      </w:r>
    </w:p>
    <w:p w14:paraId="344A5AE3" w14:textId="5EAC1BB4" w:rsidR="00804F29" w:rsidRPr="008A0DBE" w:rsidRDefault="00CA166C" w:rsidP="008A0DBE">
      <w:pPr>
        <w:pStyle w:val="base-text-paragraph"/>
        <w:numPr>
          <w:ilvl w:val="1"/>
          <w:numId w:val="41"/>
        </w:numPr>
        <w:shd w:val="clear" w:color="auto" w:fill="FFFFFF" w:themeFill="background1"/>
      </w:pPr>
      <w:r w:rsidRPr="008A0DBE">
        <w:t xml:space="preserve"> </w:t>
      </w:r>
      <w:r w:rsidR="004569FC" w:rsidRPr="008A0DBE">
        <w:t xml:space="preserve">On 3 April 2017, the </w:t>
      </w:r>
      <w:r w:rsidR="00C53C1D" w:rsidRPr="008A0DBE">
        <w:t>‘Aligning Transfer Pricing Outcomes with Value Creation, Actions 8-10 – 2015 Final Reports’</w:t>
      </w:r>
      <w:r w:rsidR="004569FC" w:rsidRPr="008A0DBE">
        <w:t xml:space="preserve"> were incorporated into the </w:t>
      </w:r>
      <w:r w:rsidR="00C53C1D" w:rsidRPr="008A0DBE">
        <w:t>‘OECD</w:t>
      </w:r>
      <w:r w:rsidR="00D90CD3" w:rsidRPr="008A0DBE">
        <w:t xml:space="preserve"> Transfer Pricing</w:t>
      </w:r>
      <w:r w:rsidR="004569FC" w:rsidRPr="008A0DBE">
        <w:t xml:space="preserve"> Guidelines</w:t>
      </w:r>
      <w:r w:rsidR="00C53C1D" w:rsidRPr="008A0DBE">
        <w:t xml:space="preserve"> for Multinational Enterprises and Tax Administrations’</w:t>
      </w:r>
      <w:r w:rsidR="004569FC" w:rsidRPr="008A0DBE">
        <w:t>.</w:t>
      </w:r>
      <w:r w:rsidR="00D90CD3" w:rsidRPr="008A0DBE">
        <w:t xml:space="preserve"> The consolidated document was subsequently updated on 19 May 2017.</w:t>
      </w:r>
      <w:r w:rsidR="004569FC" w:rsidRPr="008A0DBE">
        <w:t> </w:t>
      </w:r>
      <w:r w:rsidR="00B17B1E" w:rsidRPr="008A0DBE">
        <w:t>Part 2</w:t>
      </w:r>
      <w:r w:rsidRPr="008A0DBE">
        <w:t xml:space="preserve"> updates the references to reflect these changes. </w:t>
      </w:r>
      <w:r w:rsidR="00302856" w:rsidRPr="008A0DBE">
        <w:t xml:space="preserve">The amendments apply for the purposes of identifying conditions operating on or after the commencement of this part. </w:t>
      </w:r>
      <w:r w:rsidR="00302856" w:rsidRPr="008A0DBE">
        <w:rPr>
          <w:rStyle w:val="Referencingstyle"/>
        </w:rPr>
        <w:t>[Schedule #, items 1</w:t>
      </w:r>
      <w:r w:rsidR="009A0213" w:rsidRPr="008A0DBE">
        <w:rPr>
          <w:rStyle w:val="Referencingstyle"/>
        </w:rPr>
        <w:t>16</w:t>
      </w:r>
      <w:r w:rsidR="00302856" w:rsidRPr="008A0DBE">
        <w:rPr>
          <w:rStyle w:val="Referencingstyle"/>
        </w:rPr>
        <w:t>]</w:t>
      </w:r>
    </w:p>
    <w:p w14:paraId="07FA70E2" w14:textId="77777777" w:rsidR="00347D15" w:rsidRPr="008A0DBE" w:rsidRDefault="00FE5896" w:rsidP="008A0DBE">
      <w:pPr>
        <w:pStyle w:val="Heading4"/>
        <w:shd w:val="clear" w:color="auto" w:fill="FFFFFF" w:themeFill="background1"/>
      </w:pPr>
      <w:r w:rsidRPr="008A0DBE">
        <w:t>Amendments to the Taxation Administration Act 1953</w:t>
      </w:r>
    </w:p>
    <w:p w14:paraId="43A7FEE0" w14:textId="30206592" w:rsidR="00AA5DB3" w:rsidRPr="008A0DBE" w:rsidRDefault="00AA5DB3" w:rsidP="008A0DBE">
      <w:pPr>
        <w:pStyle w:val="Heading5"/>
        <w:shd w:val="clear" w:color="auto" w:fill="FFFFFF" w:themeFill="background1"/>
      </w:pPr>
      <w:r w:rsidRPr="008A0DBE">
        <w:t xml:space="preserve">RBA Amendments </w:t>
      </w:r>
    </w:p>
    <w:p w14:paraId="32D372DC" w14:textId="6740B215" w:rsidR="00AF184C" w:rsidRPr="008A0DBE" w:rsidRDefault="000604CF" w:rsidP="008A0DBE">
      <w:pPr>
        <w:pStyle w:val="base-text-paragraph"/>
        <w:numPr>
          <w:ilvl w:val="1"/>
          <w:numId w:val="41"/>
        </w:numPr>
        <w:shd w:val="clear" w:color="auto" w:fill="FFFFFF" w:themeFill="background1"/>
      </w:pPr>
      <w:r w:rsidRPr="008A0DBE">
        <w:t>Part 2 amends</w:t>
      </w:r>
      <w:r w:rsidR="00AF184C" w:rsidRPr="008A0DBE">
        <w:t xml:space="preserve"> the </w:t>
      </w:r>
      <w:r w:rsidR="00714213" w:rsidRPr="008A0DBE">
        <w:rPr>
          <w:i/>
        </w:rPr>
        <w:t>Taxation Administration Act</w:t>
      </w:r>
      <w:r w:rsidR="00AF184C" w:rsidRPr="008A0DBE">
        <w:rPr>
          <w:i/>
        </w:rPr>
        <w:t xml:space="preserve"> </w:t>
      </w:r>
      <w:r w:rsidR="006C4A8A" w:rsidRPr="008A0DBE">
        <w:rPr>
          <w:i/>
        </w:rPr>
        <w:t>1953</w:t>
      </w:r>
      <w:r w:rsidR="00AF184C" w:rsidRPr="008A0DBE">
        <w:t xml:space="preserve"> </w:t>
      </w:r>
      <w:r w:rsidRPr="008A0DBE">
        <w:t>to</w:t>
      </w:r>
      <w:r w:rsidR="00AF184C" w:rsidRPr="008A0DBE">
        <w:t xml:space="preserve"> facilitate the Commissioner accounting for more tax debts in running balance accounts.</w:t>
      </w:r>
      <w:r w:rsidR="00714213" w:rsidRPr="008A0DBE">
        <w:t xml:space="preserve"> This aligns the accounting treatment for the most common tax debts, such as income tax and business activity statement amounts, for taxpayers and the ATO. </w:t>
      </w:r>
    </w:p>
    <w:p w14:paraId="7F09E5A9" w14:textId="1A868523" w:rsidR="00AF184C" w:rsidRPr="008A0DBE" w:rsidRDefault="00AF184C" w:rsidP="008A0DBE">
      <w:pPr>
        <w:pStyle w:val="base-text-paragraph"/>
        <w:numPr>
          <w:ilvl w:val="1"/>
          <w:numId w:val="41"/>
        </w:numPr>
        <w:shd w:val="clear" w:color="auto" w:fill="FFFFFF" w:themeFill="background1"/>
      </w:pPr>
      <w:r w:rsidRPr="008A0DBE">
        <w:t>The Commissioner has established a number of running balance accounts to account for tax debts. Most commonly, running balance accounts are established for tax debts notified on business activity statements, as well as associated payments and credits. The current law creates technical difficulties that prevent certain tax debts from being accounted for in a running balance account. For example, the Commissioner has not established a running balance account for income tax debts.</w:t>
      </w:r>
    </w:p>
    <w:p w14:paraId="698BBB1B" w14:textId="617D5125" w:rsidR="00AF184C" w:rsidRPr="008A0DBE" w:rsidRDefault="00AF184C" w:rsidP="008A0DBE">
      <w:pPr>
        <w:pStyle w:val="base-text-paragraph"/>
        <w:numPr>
          <w:ilvl w:val="1"/>
          <w:numId w:val="41"/>
        </w:numPr>
        <w:shd w:val="clear" w:color="auto" w:fill="FFFFFF" w:themeFill="background1"/>
      </w:pPr>
      <w:r w:rsidRPr="008A0DBE">
        <w:t xml:space="preserve">The amendments enable amounts that are the balance of multiple taxation liabilities or credits to be allocated to a running balance account, and amounts within a running balance account to be transferred to a different running balance account. These amendments support the Commissioner accounting for income tax debts in a running balance account. </w:t>
      </w:r>
      <w:r w:rsidRPr="008A0DBE">
        <w:rPr>
          <w:rStyle w:val="Referencingstyle"/>
        </w:rPr>
        <w:t xml:space="preserve">[Schedule </w:t>
      </w:r>
      <w:r w:rsidR="006C4A8A" w:rsidRPr="008A0DBE">
        <w:rPr>
          <w:rStyle w:val="Referencingstyle"/>
        </w:rPr>
        <w:t>#</w:t>
      </w:r>
      <w:r w:rsidRPr="008A0DBE">
        <w:rPr>
          <w:rStyle w:val="Referencingstyle"/>
        </w:rPr>
        <w:t xml:space="preserve">, items </w:t>
      </w:r>
      <w:r w:rsidR="009A0213" w:rsidRPr="008A0DBE">
        <w:rPr>
          <w:rStyle w:val="Referencingstyle"/>
        </w:rPr>
        <w:t>121</w:t>
      </w:r>
      <w:r w:rsidR="0077511F" w:rsidRPr="008A0DBE">
        <w:rPr>
          <w:rStyle w:val="Referencingstyle"/>
        </w:rPr>
        <w:t xml:space="preserve"> to </w:t>
      </w:r>
      <w:r w:rsidR="009A0213" w:rsidRPr="008A0DBE">
        <w:rPr>
          <w:rStyle w:val="Referencingstyle"/>
        </w:rPr>
        <w:t>131</w:t>
      </w:r>
      <w:r w:rsidRPr="008A0DBE">
        <w:rPr>
          <w:rStyle w:val="Referencingstyle"/>
        </w:rPr>
        <w:t xml:space="preserve">, sections 8AAZA, 8AAZAA, 8AAZAB, 8AAZD and 8AAZDA of the </w:t>
      </w:r>
      <w:r w:rsidR="001451AB" w:rsidRPr="008A0DBE">
        <w:rPr>
          <w:rStyle w:val="Referencingstyle"/>
        </w:rPr>
        <w:t>Tax Administration Act 1953</w:t>
      </w:r>
      <w:r w:rsidRPr="008A0DBE">
        <w:rPr>
          <w:rStyle w:val="Referencingstyle"/>
        </w:rPr>
        <w:t xml:space="preserve">] </w:t>
      </w:r>
    </w:p>
    <w:p w14:paraId="3095F505" w14:textId="20261435" w:rsidR="00AF184C" w:rsidRPr="008A0DBE" w:rsidRDefault="00AF184C" w:rsidP="008A0DBE">
      <w:pPr>
        <w:pStyle w:val="base-text-paragraph"/>
        <w:numPr>
          <w:ilvl w:val="1"/>
          <w:numId w:val="41"/>
        </w:numPr>
        <w:shd w:val="clear" w:color="auto" w:fill="FFFFFF" w:themeFill="background1"/>
      </w:pPr>
      <w:r w:rsidRPr="008A0DBE">
        <w:t xml:space="preserve">For example, the Commissioner will be permitted to record the net amount payable from a notice of income tax assessment for an individual as one amount on the individual’s running balance account. This is in contrast to the Commissioner having to record primary tax liabilities such as income tax, the Medicare levy and the Medicare levy surcharge, and credits such as pay as you go withholding </w:t>
      </w:r>
      <w:r w:rsidR="000604CF" w:rsidRPr="008A0DBE">
        <w:t xml:space="preserve">(PAYGW) </w:t>
      </w:r>
      <w:r w:rsidRPr="008A0DBE">
        <w:t xml:space="preserve">and instalments as separate amounts in a running balance account. Each liability and credit would still be separately listed on the individual’s notice of assessment. </w:t>
      </w:r>
    </w:p>
    <w:p w14:paraId="03E58C7F" w14:textId="2C2C57DD" w:rsidR="00AF184C" w:rsidRPr="008A0DBE" w:rsidRDefault="00AF184C" w:rsidP="008A0DBE">
      <w:pPr>
        <w:pStyle w:val="base-text-paragraph"/>
        <w:numPr>
          <w:ilvl w:val="1"/>
          <w:numId w:val="41"/>
        </w:numPr>
        <w:shd w:val="clear" w:color="auto" w:fill="FFFFFF" w:themeFill="background1"/>
      </w:pPr>
      <w:r w:rsidRPr="008A0DBE">
        <w:t xml:space="preserve">The amendments also enable the Commissioner to transition existing tax accounts, including those accounts that are not maintained as running balance accounts, such as income tax accounts, to a running balance account. The Commissioner will be able to do this by determining </w:t>
      </w:r>
      <w:r w:rsidR="003B1D2B" w:rsidRPr="008A0DBE">
        <w:t xml:space="preserve">that </w:t>
      </w:r>
      <w:r w:rsidRPr="008A0DBE">
        <w:t>the account balance is transitioned to a running balance account. This determination will have the effect that the tax debts, the general interest charge on those debts, and payments, credits and running balance account surpluses that correspond to the balance transferred will be treated as if it had been calculated under the running balance account rules.</w:t>
      </w:r>
      <w:r w:rsidR="00C801BF" w:rsidRPr="008A0DBE">
        <w:rPr>
          <w:rStyle w:val="Referencingstyle"/>
        </w:rPr>
        <w:t xml:space="preserve"> </w:t>
      </w:r>
      <w:r w:rsidR="00645963" w:rsidRPr="008A0DBE">
        <w:rPr>
          <w:rStyle w:val="Referencingstyle"/>
        </w:rPr>
        <w:t xml:space="preserve">[Schedule #, items </w:t>
      </w:r>
      <w:r w:rsidR="009973B6" w:rsidRPr="008A0DBE">
        <w:rPr>
          <w:rStyle w:val="Referencingstyle"/>
        </w:rPr>
        <w:t>12</w:t>
      </w:r>
      <w:r w:rsidR="009A0213" w:rsidRPr="008A0DBE">
        <w:rPr>
          <w:rStyle w:val="Referencingstyle"/>
        </w:rPr>
        <w:t>1</w:t>
      </w:r>
      <w:r w:rsidR="00645963" w:rsidRPr="008A0DBE">
        <w:rPr>
          <w:rStyle w:val="Referencingstyle"/>
        </w:rPr>
        <w:t xml:space="preserve"> to </w:t>
      </w:r>
      <w:r w:rsidR="009A0213" w:rsidRPr="008A0DBE">
        <w:rPr>
          <w:rStyle w:val="Referencingstyle"/>
        </w:rPr>
        <w:t>131</w:t>
      </w:r>
      <w:r w:rsidR="00645963" w:rsidRPr="008A0DBE">
        <w:rPr>
          <w:rStyle w:val="Referencingstyle"/>
        </w:rPr>
        <w:t xml:space="preserve">, sections 8AAZA, 8AAZAA, 8AAZAB, 8AAZD and 8AAZDA of the </w:t>
      </w:r>
      <w:r w:rsidR="001451AB" w:rsidRPr="008A0DBE">
        <w:rPr>
          <w:rStyle w:val="Referencingstyle"/>
        </w:rPr>
        <w:t xml:space="preserve">Tax Administration Act </w:t>
      </w:r>
      <w:r w:rsidR="00645963" w:rsidRPr="008A0DBE">
        <w:rPr>
          <w:rStyle w:val="Referencingstyle"/>
        </w:rPr>
        <w:t>1953]</w:t>
      </w:r>
    </w:p>
    <w:p w14:paraId="184BA926" w14:textId="2FE1F41E" w:rsidR="00AF184C" w:rsidRPr="008A0DBE" w:rsidRDefault="00AF184C" w:rsidP="008A0DBE">
      <w:pPr>
        <w:pStyle w:val="base-text-paragraph"/>
        <w:numPr>
          <w:ilvl w:val="1"/>
          <w:numId w:val="41"/>
        </w:numPr>
        <w:shd w:val="clear" w:color="auto" w:fill="FFFFFF" w:themeFill="background1"/>
        <w:rPr>
          <w:szCs w:val="22"/>
        </w:rPr>
      </w:pPr>
      <w:r w:rsidRPr="008A0DBE">
        <w:t>The broader use of running balance accounts, made possible through these amendments, ensure taxpayers benefit from general interest charge being calculated on the daily balance of the ac</w:t>
      </w:r>
      <w:r w:rsidRPr="008A0DBE">
        <w:rPr>
          <w:szCs w:val="22"/>
        </w:rPr>
        <w:t xml:space="preserve">count instead of separately on each primary tax liability. </w:t>
      </w:r>
    </w:p>
    <w:p w14:paraId="4E876503" w14:textId="6569D599" w:rsidR="00AA5DB3" w:rsidRPr="008A0DBE" w:rsidRDefault="004C6661" w:rsidP="008A0DBE">
      <w:pPr>
        <w:pStyle w:val="Heading5"/>
        <w:shd w:val="clear" w:color="auto" w:fill="FFFFFF" w:themeFill="background1"/>
      </w:pPr>
      <w:r w:rsidRPr="008A0DBE">
        <w:t>Correcting section references</w:t>
      </w:r>
      <w:r w:rsidR="00AA5DB3" w:rsidRPr="008A0DBE" w:rsidDel="00FE5896">
        <w:t xml:space="preserve"> </w:t>
      </w:r>
    </w:p>
    <w:p w14:paraId="2DC93F42" w14:textId="3C337B99" w:rsidR="004C6661" w:rsidRPr="008A0DBE" w:rsidRDefault="0015561C" w:rsidP="008A0DBE">
      <w:pPr>
        <w:pStyle w:val="base-text-paragraph"/>
        <w:numPr>
          <w:ilvl w:val="1"/>
          <w:numId w:val="41"/>
        </w:numPr>
        <w:shd w:val="clear" w:color="auto" w:fill="FFFFFF" w:themeFill="background1"/>
      </w:pPr>
      <w:r w:rsidRPr="008A0DBE">
        <w:t xml:space="preserve">Part 2 also </w:t>
      </w:r>
      <w:r w:rsidR="00886FD7" w:rsidRPr="008A0DBE">
        <w:t>correct</w:t>
      </w:r>
      <w:r w:rsidRPr="008A0DBE">
        <w:t>s</w:t>
      </w:r>
      <w:r w:rsidR="00886FD7" w:rsidRPr="008A0DBE">
        <w:t xml:space="preserve"> a</w:t>
      </w:r>
      <w:r w:rsidR="004C6661" w:rsidRPr="008A0DBE">
        <w:t xml:space="preserve"> section reference in the note to s</w:t>
      </w:r>
      <w:r w:rsidR="00D57F31" w:rsidRPr="008A0DBE">
        <w:t>ubs</w:t>
      </w:r>
      <w:r w:rsidR="004C6661" w:rsidRPr="008A0DBE">
        <w:t>ection 8AAZLG</w:t>
      </w:r>
      <w:r w:rsidR="00D57F31" w:rsidRPr="008A0DBE">
        <w:t>B(4)</w:t>
      </w:r>
      <w:r w:rsidR="004C6661" w:rsidRPr="008A0DBE">
        <w:t xml:space="preserve"> of the </w:t>
      </w:r>
      <w:r w:rsidR="00886FD7" w:rsidRPr="008A0DBE">
        <w:rPr>
          <w:i/>
        </w:rPr>
        <w:t>Taxation Administration Act</w:t>
      </w:r>
      <w:r w:rsidR="00A17FA9" w:rsidRPr="008A0DBE">
        <w:rPr>
          <w:i/>
        </w:rPr>
        <w:t xml:space="preserve"> 1953</w:t>
      </w:r>
      <w:r w:rsidR="004C6661" w:rsidRPr="008A0DBE">
        <w:t xml:space="preserve">. </w:t>
      </w:r>
      <w:r w:rsidR="004C6661" w:rsidRPr="008A0DBE">
        <w:rPr>
          <w:rStyle w:val="Referencingstyle"/>
        </w:rPr>
        <w:t>[</w:t>
      </w:r>
      <w:r w:rsidRPr="008A0DBE">
        <w:rPr>
          <w:rStyle w:val="Referencingstyle"/>
        </w:rPr>
        <w:t xml:space="preserve">Schedule #, item </w:t>
      </w:r>
      <w:r w:rsidR="009973B6" w:rsidRPr="008A0DBE">
        <w:rPr>
          <w:rStyle w:val="Referencingstyle"/>
        </w:rPr>
        <w:t>13</w:t>
      </w:r>
      <w:r w:rsidR="009A0213" w:rsidRPr="008A0DBE">
        <w:rPr>
          <w:rStyle w:val="Referencingstyle"/>
        </w:rPr>
        <w:t>2</w:t>
      </w:r>
      <w:r w:rsidRPr="008A0DBE">
        <w:rPr>
          <w:rStyle w:val="Referencingstyle"/>
        </w:rPr>
        <w:t xml:space="preserve">, </w:t>
      </w:r>
      <w:r w:rsidR="004C6661" w:rsidRPr="008A0DBE">
        <w:rPr>
          <w:rStyle w:val="Referencingstyle"/>
        </w:rPr>
        <w:t xml:space="preserve">note to section 8AAZLBG of the </w:t>
      </w:r>
      <w:r w:rsidR="00CA51E7" w:rsidRPr="008A0DBE">
        <w:rPr>
          <w:rStyle w:val="Referencingstyle"/>
        </w:rPr>
        <w:t>Income Tax Assessment Act</w:t>
      </w:r>
      <w:r w:rsidR="004C6661" w:rsidRPr="008A0DBE">
        <w:rPr>
          <w:rStyle w:val="Referencingstyle"/>
        </w:rPr>
        <w:t xml:space="preserve"> 1997]</w:t>
      </w:r>
      <w:r w:rsidR="004C6661" w:rsidRPr="008A0DBE">
        <w:t xml:space="preserve"> </w:t>
      </w:r>
    </w:p>
    <w:p w14:paraId="5C85E414" w14:textId="41AB1875" w:rsidR="00E879E8" w:rsidRPr="008A0DBE" w:rsidRDefault="00E879E8" w:rsidP="008A0DBE">
      <w:pPr>
        <w:pStyle w:val="Heading5"/>
        <w:shd w:val="clear" w:color="auto" w:fill="FFFFFF" w:themeFill="background1"/>
      </w:pPr>
      <w:r w:rsidRPr="008A0DBE">
        <w:t xml:space="preserve">Service of documents </w:t>
      </w:r>
    </w:p>
    <w:p w14:paraId="178BBDBE" w14:textId="4B376B1B" w:rsidR="00E879E8" w:rsidRPr="008A0DBE" w:rsidRDefault="00E879E8" w:rsidP="008A0DBE">
      <w:pPr>
        <w:pStyle w:val="base-text-paragraph"/>
        <w:numPr>
          <w:ilvl w:val="1"/>
          <w:numId w:val="41"/>
        </w:numPr>
        <w:shd w:val="clear" w:color="auto" w:fill="FFFFFF" w:themeFill="background1"/>
      </w:pPr>
      <w:r w:rsidRPr="008A0DBE">
        <w:t>Part 2</w:t>
      </w:r>
      <w:r w:rsidR="004069CF" w:rsidRPr="008A0DBE">
        <w:t xml:space="preserve"> makes several amendments to give</w:t>
      </w:r>
      <w:r w:rsidRPr="008A0DBE">
        <w:t xml:space="preserve"> the force of law to the treaty obligations relating to the service of documents in Article 17 of the OECD Convention on Mutual Administrative Assistance in Tax Matters.</w:t>
      </w:r>
    </w:p>
    <w:p w14:paraId="66FAD9C5" w14:textId="5073CF54" w:rsidR="00E879E8" w:rsidRPr="008A0DBE" w:rsidRDefault="00E879E8" w:rsidP="008A0DBE">
      <w:pPr>
        <w:pStyle w:val="base-text-paragraph"/>
        <w:numPr>
          <w:ilvl w:val="1"/>
          <w:numId w:val="41"/>
        </w:numPr>
        <w:shd w:val="clear" w:color="auto" w:fill="FFFFFF" w:themeFill="background1"/>
      </w:pPr>
      <w:r w:rsidRPr="008A0DBE">
        <w:t xml:space="preserve"> First, the Commissioner is given the power to serve documents on a person at an overseas address if the Commissioner is satisfied that the person has an overseas address and the service is in accordance with an agreement between Australia and the foreign country. The Commissioner does not require the Court’s leave to effect this service.</w:t>
      </w:r>
      <w:r w:rsidRPr="008A0DBE">
        <w:rPr>
          <w:rStyle w:val="Referencingstyle"/>
        </w:rPr>
        <w:t xml:space="preserve"> [Schedule #, item </w:t>
      </w:r>
      <w:r w:rsidR="009973B6" w:rsidRPr="008A0DBE">
        <w:rPr>
          <w:rStyle w:val="Referencingstyle"/>
        </w:rPr>
        <w:t>13</w:t>
      </w:r>
      <w:r w:rsidR="009A0213" w:rsidRPr="008A0DBE">
        <w:rPr>
          <w:rStyle w:val="Referencingstyle"/>
        </w:rPr>
        <w:t>3</w:t>
      </w:r>
      <w:r w:rsidRPr="008A0DBE">
        <w:rPr>
          <w:rStyle w:val="Referencingstyle"/>
        </w:rPr>
        <w:t xml:space="preserve"> to </w:t>
      </w:r>
      <w:r w:rsidR="009973B6" w:rsidRPr="008A0DBE">
        <w:rPr>
          <w:rStyle w:val="Referencingstyle"/>
        </w:rPr>
        <w:t>1</w:t>
      </w:r>
      <w:r w:rsidR="009A0213" w:rsidRPr="008A0DBE">
        <w:rPr>
          <w:rStyle w:val="Referencingstyle"/>
        </w:rPr>
        <w:t>35</w:t>
      </w:r>
      <w:r w:rsidRPr="008A0DBE">
        <w:rPr>
          <w:rStyle w:val="Referencingstyle"/>
        </w:rPr>
        <w:t>, subdivision 255-C in Schedule 1 (heading), section 255-35 in Schedule 1, section 255-40(3) of Schedule 1 to the Taxation Administration Act 1953]</w:t>
      </w:r>
    </w:p>
    <w:p w14:paraId="408139CD" w14:textId="6C92B5DE" w:rsidR="00E879E8" w:rsidRPr="008A0DBE" w:rsidRDefault="00E879E8" w:rsidP="008A0DBE">
      <w:pPr>
        <w:pStyle w:val="base-text-paragraph"/>
        <w:numPr>
          <w:ilvl w:val="1"/>
          <w:numId w:val="41"/>
        </w:numPr>
        <w:shd w:val="clear" w:color="auto" w:fill="FFFFFF" w:themeFill="background1"/>
        <w:rPr>
          <w:rStyle w:val="Referencingstyle"/>
          <w:b w:val="0"/>
          <w:i w:val="0"/>
          <w:sz w:val="22"/>
        </w:rPr>
      </w:pPr>
      <w:r w:rsidRPr="008A0DBE">
        <w:t>Second, the Commissioner is given the power to serve documents on entities in Australia on behalf of foreign revenue authorities. This power applies when a foreign government agency has made a request for the service of a document on an entity in Australia in relation to taxes imposed under a foreign law and the request is in accordance with an agreement between Australia and the foreign country. Such a request is referred to as a foreign service of document request.</w:t>
      </w:r>
      <w:r w:rsidRPr="008A0DBE">
        <w:rPr>
          <w:rStyle w:val="Referencingstyle"/>
        </w:rPr>
        <w:t xml:space="preserve"> [Schedule #, item </w:t>
      </w:r>
      <w:r w:rsidR="009973B6" w:rsidRPr="008A0DBE">
        <w:rPr>
          <w:rStyle w:val="Referencingstyle"/>
        </w:rPr>
        <w:t>1</w:t>
      </w:r>
      <w:r w:rsidR="009A0213" w:rsidRPr="008A0DBE">
        <w:rPr>
          <w:rStyle w:val="Referencingstyle"/>
        </w:rPr>
        <w:t>19</w:t>
      </w:r>
      <w:r w:rsidRPr="008A0DBE">
        <w:rPr>
          <w:rStyle w:val="Referencingstyle"/>
        </w:rPr>
        <w:t xml:space="preserve">, definition of ‘foreign service of document request’ in subsection 995-1(1) of the Income Tax Assessment Act 1997 and items </w:t>
      </w:r>
      <w:r w:rsidR="009973B6" w:rsidRPr="008A0DBE">
        <w:rPr>
          <w:rStyle w:val="Referencingstyle"/>
        </w:rPr>
        <w:t>1</w:t>
      </w:r>
      <w:r w:rsidR="009A0213" w:rsidRPr="008A0DBE">
        <w:rPr>
          <w:rStyle w:val="Referencingstyle"/>
        </w:rPr>
        <w:t>37</w:t>
      </w:r>
      <w:r w:rsidRPr="008A0DBE">
        <w:rPr>
          <w:rStyle w:val="Referencingstyle"/>
        </w:rPr>
        <w:t xml:space="preserve"> and </w:t>
      </w:r>
      <w:r w:rsidR="009973B6" w:rsidRPr="008A0DBE">
        <w:rPr>
          <w:rStyle w:val="Referencingstyle"/>
        </w:rPr>
        <w:t>1</w:t>
      </w:r>
      <w:r w:rsidR="009A0213" w:rsidRPr="008A0DBE">
        <w:rPr>
          <w:rStyle w:val="Referencingstyle"/>
        </w:rPr>
        <w:t>38</w:t>
      </w:r>
      <w:r w:rsidRPr="008A0DBE">
        <w:rPr>
          <w:rStyle w:val="Referencingstyle"/>
        </w:rPr>
        <w:t>, heading to Division 263, section 263-55, 263-60 and 263-65 of Schedule 1 to the Taxation Administration Act 1953]</w:t>
      </w:r>
    </w:p>
    <w:p w14:paraId="045D42A9" w14:textId="5358052D" w:rsidR="00E879E8" w:rsidRPr="008A0DBE" w:rsidRDefault="00E879E8" w:rsidP="008A0DBE">
      <w:pPr>
        <w:pStyle w:val="base-text-paragraph"/>
        <w:numPr>
          <w:ilvl w:val="1"/>
          <w:numId w:val="41"/>
        </w:numPr>
        <w:shd w:val="clear" w:color="auto" w:fill="FFFFFF" w:themeFill="background1"/>
      </w:pPr>
      <w:r w:rsidRPr="008A0DBE">
        <w:t xml:space="preserve">The service of the document is to be effected in the same way </w:t>
      </w:r>
      <w:r w:rsidR="00BD0B37" w:rsidRPr="008A0DBE">
        <w:t xml:space="preserve">as </w:t>
      </w:r>
      <w:r w:rsidRPr="008A0DBE">
        <w:t xml:space="preserve">the Commissioner may serve a similar document under a taxation law. If the document is in a foreign language and the entity being </w:t>
      </w:r>
      <w:r w:rsidR="001578B2" w:rsidRPr="008A0DBE">
        <w:t>served</w:t>
      </w:r>
      <w:r w:rsidRPr="008A0DBE">
        <w:t xml:space="preserve"> would not be able to understand the document, the Commission must also serve a translation of the document into English or a summary of the document in English. The Commissioner must be satisfied that the translation or summary document is accurate. </w:t>
      </w:r>
      <w:r w:rsidRPr="008A0DBE">
        <w:rPr>
          <w:rStyle w:val="Referencingstyle"/>
        </w:rPr>
        <w:t xml:space="preserve">[Schedule #, item </w:t>
      </w:r>
      <w:r w:rsidR="00073A58" w:rsidRPr="008A0DBE">
        <w:rPr>
          <w:rStyle w:val="Referencingstyle"/>
        </w:rPr>
        <w:t>1</w:t>
      </w:r>
      <w:r w:rsidR="009A0213" w:rsidRPr="008A0DBE">
        <w:rPr>
          <w:rStyle w:val="Referencingstyle"/>
        </w:rPr>
        <w:t>38</w:t>
      </w:r>
      <w:r w:rsidRPr="008A0DBE">
        <w:rPr>
          <w:rStyle w:val="Referencingstyle"/>
        </w:rPr>
        <w:t>, subsection 263-65(3)</w:t>
      </w:r>
      <w:r w:rsidR="00FC064C" w:rsidRPr="008A0DBE">
        <w:rPr>
          <w:rStyle w:val="Referencingstyle"/>
        </w:rPr>
        <w:t xml:space="preserve"> and</w:t>
      </w:r>
      <w:r w:rsidR="009A0213" w:rsidRPr="008A0DBE">
        <w:rPr>
          <w:rStyle w:val="Referencingstyle"/>
        </w:rPr>
        <w:t xml:space="preserve"> </w:t>
      </w:r>
      <w:r w:rsidRPr="008A0DBE">
        <w:rPr>
          <w:rStyle w:val="Referencingstyle"/>
        </w:rPr>
        <w:t>(4) of Schedule 1 to the Taxation Administration Act 1953]</w:t>
      </w:r>
    </w:p>
    <w:p w14:paraId="60C37B16" w14:textId="78C29980" w:rsidR="00617898" w:rsidRPr="008A0DBE" w:rsidRDefault="00E879E8" w:rsidP="008A0DBE">
      <w:pPr>
        <w:pStyle w:val="base-text-paragraph"/>
        <w:numPr>
          <w:ilvl w:val="1"/>
          <w:numId w:val="41"/>
        </w:numPr>
        <w:shd w:val="clear" w:color="auto" w:fill="FFFFFF" w:themeFill="background1"/>
        <w:rPr>
          <w:rStyle w:val="Referencingstyle"/>
          <w:b w:val="0"/>
          <w:i w:val="0"/>
          <w:sz w:val="22"/>
        </w:rPr>
      </w:pPr>
      <w:r w:rsidRPr="008A0DBE">
        <w:t xml:space="preserve">Part 2 </w:t>
      </w:r>
      <w:r w:rsidR="00025509" w:rsidRPr="008A0DBE">
        <w:t xml:space="preserve">repeals section 255-45 of Schedule 1 to the </w:t>
      </w:r>
      <w:r w:rsidR="00025509" w:rsidRPr="008A0DBE">
        <w:rPr>
          <w:i/>
        </w:rPr>
        <w:t>Taxation Administration Act 1953</w:t>
      </w:r>
      <w:r w:rsidR="00617898" w:rsidRPr="008A0DBE">
        <w:t xml:space="preserve">. This section is redundant as it is covered by the general rules about evidence in Division 350 in Schedule 1 to the </w:t>
      </w:r>
      <w:r w:rsidR="00617898" w:rsidRPr="008A0DBE">
        <w:rPr>
          <w:i/>
        </w:rPr>
        <w:t>Taxation Administration Act 1953</w:t>
      </w:r>
      <w:r w:rsidR="00025509" w:rsidRPr="008A0DBE">
        <w:rPr>
          <w:i/>
        </w:rPr>
        <w:t xml:space="preserve">. </w:t>
      </w:r>
      <w:r w:rsidR="00617898" w:rsidRPr="008A0DBE">
        <w:rPr>
          <w:i/>
        </w:rPr>
        <w:t>[</w:t>
      </w:r>
      <w:r w:rsidR="00617898" w:rsidRPr="008A0DBE">
        <w:rPr>
          <w:rStyle w:val="Referencingstyle"/>
        </w:rPr>
        <w:t>Schedule #, item 1</w:t>
      </w:r>
      <w:r w:rsidR="009A0213" w:rsidRPr="008A0DBE">
        <w:rPr>
          <w:rStyle w:val="Referencingstyle"/>
        </w:rPr>
        <w:t>36</w:t>
      </w:r>
      <w:r w:rsidR="00617898" w:rsidRPr="008A0DBE">
        <w:rPr>
          <w:rStyle w:val="Referencingstyle"/>
        </w:rPr>
        <w:t>, section 255-45, in Schedule 1 to the Taxation Administration Act 1953]</w:t>
      </w:r>
    </w:p>
    <w:p w14:paraId="08D3103C" w14:textId="440470AE" w:rsidR="00E879E8" w:rsidRPr="008A0DBE" w:rsidRDefault="00617898" w:rsidP="008A0DBE">
      <w:pPr>
        <w:pStyle w:val="base-text-paragraph"/>
        <w:numPr>
          <w:ilvl w:val="1"/>
          <w:numId w:val="41"/>
        </w:numPr>
        <w:shd w:val="clear" w:color="auto" w:fill="FFFFFF" w:themeFill="background1"/>
        <w:rPr>
          <w:rStyle w:val="Referencingstyle"/>
          <w:b w:val="0"/>
          <w:i w:val="0"/>
          <w:sz w:val="22"/>
        </w:rPr>
      </w:pPr>
      <w:r w:rsidRPr="008A0DBE">
        <w:t>Part 2</w:t>
      </w:r>
      <w:r w:rsidR="00025509" w:rsidRPr="008A0DBE">
        <w:t xml:space="preserve"> moves </w:t>
      </w:r>
      <w:r w:rsidR="00E879E8" w:rsidRPr="008A0DBE">
        <w:t xml:space="preserve">sections 255-50 and 255-55 </w:t>
      </w:r>
      <w:r w:rsidR="00025509" w:rsidRPr="008A0DBE">
        <w:t xml:space="preserve">in Schedule 1 to the </w:t>
      </w:r>
      <w:r w:rsidR="00025509" w:rsidRPr="008A0DBE">
        <w:rPr>
          <w:i/>
        </w:rPr>
        <w:t xml:space="preserve">Taxation Administration Act 1953 </w:t>
      </w:r>
      <w:r w:rsidR="00025509" w:rsidRPr="008A0DBE">
        <w:t>to Division 350</w:t>
      </w:r>
      <w:r w:rsidR="00E879E8" w:rsidRPr="008A0DBE">
        <w:t xml:space="preserve">. </w:t>
      </w:r>
      <w:r w:rsidR="00025509" w:rsidRPr="008A0DBE">
        <w:t>Division 350 contains</w:t>
      </w:r>
      <w:r w:rsidR="00E879E8" w:rsidRPr="008A0DBE">
        <w:t xml:space="preserve"> </w:t>
      </w:r>
      <w:r w:rsidR="00025509" w:rsidRPr="008A0DBE">
        <w:t>all of the</w:t>
      </w:r>
      <w:r w:rsidR="00E879E8" w:rsidRPr="008A0DBE">
        <w:t xml:space="preserve"> general rules about evidence.</w:t>
      </w:r>
      <w:r w:rsidR="00E879E8" w:rsidRPr="008A0DBE">
        <w:rPr>
          <w:rStyle w:val="Referencingstyle"/>
        </w:rPr>
        <w:t xml:space="preserve"> [Schedule #, item</w:t>
      </w:r>
      <w:r w:rsidR="00025509" w:rsidRPr="008A0DBE">
        <w:rPr>
          <w:rStyle w:val="Referencingstyle"/>
        </w:rPr>
        <w:t>s</w:t>
      </w:r>
      <w:r w:rsidR="00E879E8" w:rsidRPr="008A0DBE">
        <w:rPr>
          <w:rStyle w:val="Referencingstyle"/>
        </w:rPr>
        <w:t xml:space="preserve"> </w:t>
      </w:r>
      <w:r w:rsidR="00466125" w:rsidRPr="008A0DBE">
        <w:rPr>
          <w:rStyle w:val="Referencingstyle"/>
        </w:rPr>
        <w:t>1</w:t>
      </w:r>
      <w:r w:rsidR="009A0213" w:rsidRPr="008A0DBE">
        <w:rPr>
          <w:rStyle w:val="Referencingstyle"/>
        </w:rPr>
        <w:t>36</w:t>
      </w:r>
      <w:r w:rsidR="00025509" w:rsidRPr="008A0DBE">
        <w:rPr>
          <w:rStyle w:val="Referencingstyle"/>
        </w:rPr>
        <w:t xml:space="preserve"> and 1</w:t>
      </w:r>
      <w:r w:rsidR="009A0213" w:rsidRPr="008A0DBE">
        <w:rPr>
          <w:rStyle w:val="Referencingstyle"/>
        </w:rPr>
        <w:t>47</w:t>
      </w:r>
      <w:r w:rsidR="00E879E8" w:rsidRPr="008A0DBE">
        <w:rPr>
          <w:rStyle w:val="Referencingstyle"/>
        </w:rPr>
        <w:t>, sections 255-50</w:t>
      </w:r>
      <w:r w:rsidR="00025509" w:rsidRPr="008A0DBE">
        <w:rPr>
          <w:rStyle w:val="Referencingstyle"/>
        </w:rPr>
        <w:t>,</w:t>
      </w:r>
      <w:r w:rsidR="00E879E8" w:rsidRPr="008A0DBE">
        <w:rPr>
          <w:rStyle w:val="Referencingstyle"/>
        </w:rPr>
        <w:t xml:space="preserve"> 255-55</w:t>
      </w:r>
      <w:r w:rsidR="00025509" w:rsidRPr="008A0DBE">
        <w:rPr>
          <w:rStyle w:val="Referencingstyle"/>
        </w:rPr>
        <w:t>, 350-20 and 250-25</w:t>
      </w:r>
      <w:r w:rsidR="00E879E8" w:rsidRPr="008A0DBE">
        <w:rPr>
          <w:rStyle w:val="Referencingstyle"/>
        </w:rPr>
        <w:t xml:space="preserve"> in Schedule 1 to the Taxation Administration Act 1953]</w:t>
      </w:r>
    </w:p>
    <w:p w14:paraId="159F3D91" w14:textId="7963AB0F" w:rsidR="00DD7D85" w:rsidRPr="008A0DBE" w:rsidRDefault="00DD7D85" w:rsidP="008A0DBE">
      <w:pPr>
        <w:pStyle w:val="base-text-paragraph"/>
        <w:numPr>
          <w:ilvl w:val="1"/>
          <w:numId w:val="41"/>
        </w:numPr>
        <w:shd w:val="clear" w:color="auto" w:fill="FFFFFF" w:themeFill="background1"/>
        <w:rPr>
          <w:rStyle w:val="Referencingstyle"/>
          <w:b w:val="0"/>
          <w:i w:val="0"/>
          <w:sz w:val="22"/>
        </w:rPr>
      </w:pPr>
      <w:r w:rsidRPr="008A0DBE">
        <w:t>Part 2 also</w:t>
      </w:r>
      <w:r w:rsidRPr="008A0DBE">
        <w:rPr>
          <w:i/>
        </w:rPr>
        <w:t xml:space="preserve"> </w:t>
      </w:r>
      <w:r w:rsidRPr="008A0DBE">
        <w:t xml:space="preserve">adds a note to </w:t>
      </w:r>
      <w:r w:rsidR="00F828C3" w:rsidRPr="008A0DBE">
        <w:t xml:space="preserve">the end of </w:t>
      </w:r>
      <w:r w:rsidR="00E4615C" w:rsidRPr="008A0DBE">
        <w:t xml:space="preserve">Division 350 in Schedule 1 to the </w:t>
      </w:r>
      <w:r w:rsidR="00E4615C" w:rsidRPr="008A0DBE">
        <w:rPr>
          <w:i/>
        </w:rPr>
        <w:t xml:space="preserve">Taxation Administration Act 1953 </w:t>
      </w:r>
      <w:r w:rsidR="00E4615C" w:rsidRPr="008A0DBE">
        <w:t xml:space="preserve">which states the division deals with procedural and evidentiary matters relating to proceedings to recover an amount of a tax related liability. </w:t>
      </w:r>
      <w:r w:rsidR="00E4615C" w:rsidRPr="008A0DBE">
        <w:rPr>
          <w:rStyle w:val="Referencingstyle"/>
        </w:rPr>
        <w:t xml:space="preserve">[Schedule #, item </w:t>
      </w:r>
      <w:r w:rsidR="009A0213" w:rsidRPr="008A0DBE">
        <w:rPr>
          <w:rStyle w:val="Referencingstyle"/>
        </w:rPr>
        <w:t>146</w:t>
      </w:r>
      <w:r w:rsidR="00E4615C" w:rsidRPr="008A0DBE">
        <w:rPr>
          <w:rStyle w:val="Referencingstyle"/>
        </w:rPr>
        <w:t>, sections 350-20 and 350-25 in Schedule 1 to the Taxation Administration Act 1953]</w:t>
      </w:r>
    </w:p>
    <w:p w14:paraId="4D036CEC" w14:textId="77777777" w:rsidR="00690579" w:rsidRPr="008A0DBE" w:rsidRDefault="00690579" w:rsidP="008A0DBE">
      <w:pPr>
        <w:pStyle w:val="base-text-paragraph"/>
        <w:shd w:val="clear" w:color="auto" w:fill="FFFFFF" w:themeFill="background1"/>
        <w:tabs>
          <w:tab w:val="clear" w:pos="1985"/>
        </w:tabs>
        <w:rPr>
          <w:i/>
        </w:rPr>
      </w:pPr>
      <w:bookmarkStart w:id="15" w:name="_Ref17360280"/>
      <w:r w:rsidRPr="008A0DBE">
        <w:rPr>
          <w:i/>
        </w:rPr>
        <w:t>Definition of Employment Secretary</w:t>
      </w:r>
    </w:p>
    <w:p w14:paraId="17767766" w14:textId="0F269D8D" w:rsidR="00690579" w:rsidRPr="008A0DBE" w:rsidRDefault="00690579" w:rsidP="008A0DBE">
      <w:pPr>
        <w:pStyle w:val="base-text-paragraph"/>
        <w:numPr>
          <w:ilvl w:val="1"/>
          <w:numId w:val="41"/>
        </w:numPr>
        <w:shd w:val="clear" w:color="auto" w:fill="FFFFFF" w:themeFill="background1"/>
      </w:pPr>
      <w:r w:rsidRPr="008A0DBE">
        <w:t xml:space="preserve">Part 2 of the Bill amends the definition of Employment Secretary in the </w:t>
      </w:r>
      <w:r w:rsidRPr="008A0DBE">
        <w:rPr>
          <w:i/>
        </w:rPr>
        <w:t xml:space="preserve">Income Tax Assessment Act 1997 </w:t>
      </w:r>
      <w:r w:rsidRPr="008A0DBE">
        <w:t>so that it is consistent with recent machinery of government changes.</w:t>
      </w:r>
      <w:bookmarkEnd w:id="15"/>
      <w:r w:rsidRPr="008A0DBE">
        <w:t xml:space="preserve"> </w:t>
      </w:r>
    </w:p>
    <w:p w14:paraId="36CF397B" w14:textId="7139C8BD" w:rsidR="00690579" w:rsidRPr="008A0DBE" w:rsidRDefault="00690579" w:rsidP="008A0DBE">
      <w:pPr>
        <w:pStyle w:val="base-text-paragraph"/>
        <w:numPr>
          <w:ilvl w:val="1"/>
          <w:numId w:val="41"/>
        </w:numPr>
        <w:shd w:val="clear" w:color="auto" w:fill="FFFFFF" w:themeFill="background1"/>
      </w:pPr>
      <w:r w:rsidRPr="008A0DBE">
        <w:t xml:space="preserve">The definition of ‘Employment Secretary’ previously referred to the Secretary of the Department administering the </w:t>
      </w:r>
      <w:r w:rsidRPr="008A0DBE">
        <w:rPr>
          <w:i/>
        </w:rPr>
        <w:t>Fair Work</w:t>
      </w:r>
      <w:r w:rsidRPr="008A0DBE">
        <w:t xml:space="preserve"> </w:t>
      </w:r>
      <w:r w:rsidRPr="008A0DBE">
        <w:rPr>
          <w:i/>
        </w:rPr>
        <w:t>(State Referral and Consequential and Other Amendments) Act 2009.</w:t>
      </w:r>
      <w:r w:rsidRPr="008A0DBE">
        <w:t xml:space="preserve"> Responsibility for that Act has now moved to a different Department. Accordingly, the definition of ‘Employment Secretary’ is amended to refer to the Secretary of the Department responsible for employment policy. </w:t>
      </w:r>
      <w:r w:rsidRPr="008A0DBE">
        <w:rPr>
          <w:rStyle w:val="Referencingstyle"/>
        </w:rPr>
        <w:t>[Schedule #, item 1</w:t>
      </w:r>
      <w:r w:rsidR="009A0213" w:rsidRPr="008A0DBE">
        <w:rPr>
          <w:rStyle w:val="Referencingstyle"/>
        </w:rPr>
        <w:t>18</w:t>
      </w:r>
      <w:r w:rsidRPr="008A0DBE">
        <w:rPr>
          <w:rStyle w:val="Referencingstyle"/>
        </w:rPr>
        <w:t>, definition of ‘Employment Secretary’ in subsection 995-1(1) of the Income Tax Assessment Act 1997]</w:t>
      </w:r>
    </w:p>
    <w:p w14:paraId="46DCEAB7" w14:textId="77777777" w:rsidR="00690579" w:rsidRPr="008A0DBE" w:rsidRDefault="00690579" w:rsidP="008A0DBE">
      <w:pPr>
        <w:pStyle w:val="base-text-paragraph"/>
        <w:numPr>
          <w:ilvl w:val="1"/>
          <w:numId w:val="41"/>
        </w:numPr>
        <w:shd w:val="clear" w:color="auto" w:fill="FFFFFF" w:themeFill="background1"/>
      </w:pPr>
      <w:bookmarkStart w:id="16" w:name="_Ref17460590"/>
      <w:r w:rsidRPr="008A0DBE">
        <w:t>The amendment to the definition of ‘Employment Secretary’ describes the Secretary by using the same language as in the substituted reference order made by the Department and the Administrative Arrangement Order. It does not refer to a particular Act because there are no Acts within that Department’s portfolio which fall within the Department’s core function. Using a description of the Department reduces the likelihood of further amendments being required following future machinery of government changes.</w:t>
      </w:r>
      <w:bookmarkEnd w:id="16"/>
      <w:r w:rsidRPr="008A0DBE">
        <w:t xml:space="preserve"> </w:t>
      </w:r>
    </w:p>
    <w:p w14:paraId="24254FD0" w14:textId="77777777" w:rsidR="00690579" w:rsidRPr="008A0DBE" w:rsidRDefault="00690579" w:rsidP="008A0DBE">
      <w:pPr>
        <w:pStyle w:val="base-text-paragraph"/>
        <w:numPr>
          <w:ilvl w:val="1"/>
          <w:numId w:val="41"/>
        </w:numPr>
        <w:shd w:val="clear" w:color="auto" w:fill="FFFFFF" w:themeFill="background1"/>
      </w:pPr>
      <w:r w:rsidRPr="008A0DBE">
        <w:t xml:space="preserve">The amendment to the definition in the </w:t>
      </w:r>
      <w:r w:rsidRPr="008A0DBE">
        <w:rPr>
          <w:i/>
        </w:rPr>
        <w:t>Income Tax Assessment Act 1997</w:t>
      </w:r>
      <w:r w:rsidRPr="008A0DBE">
        <w:t xml:space="preserve"> also updates the definition of Employment Secretary used in the </w:t>
      </w:r>
      <w:r w:rsidRPr="008A0DBE">
        <w:rPr>
          <w:i/>
        </w:rPr>
        <w:t xml:space="preserve">Income Tax Assessment Act 1936 </w:t>
      </w:r>
      <w:r w:rsidRPr="008A0DBE">
        <w:t xml:space="preserve">and Schedule 1 to the </w:t>
      </w:r>
      <w:r w:rsidRPr="008A0DBE">
        <w:rPr>
          <w:i/>
        </w:rPr>
        <w:t>Taxation Administration Act 1953</w:t>
      </w:r>
      <w:r w:rsidRPr="008A0DBE">
        <w:t xml:space="preserve">. These two Acts both rely on the definition in the </w:t>
      </w:r>
      <w:r w:rsidRPr="008A0DBE">
        <w:rPr>
          <w:i/>
        </w:rPr>
        <w:t>Income Tax Assessment Act 1997</w:t>
      </w:r>
      <w:r w:rsidRPr="008A0DBE">
        <w:t xml:space="preserve"> (see subsections 6(1AA) and (1) of </w:t>
      </w:r>
      <w:r w:rsidRPr="008A0DBE">
        <w:rPr>
          <w:i/>
        </w:rPr>
        <w:t>Income Tax Assessment Act 1936</w:t>
      </w:r>
      <w:r w:rsidRPr="008A0DBE">
        <w:t xml:space="preserve"> and section 3AA of Schedule 1 to the </w:t>
      </w:r>
      <w:r w:rsidRPr="008A0DBE">
        <w:rPr>
          <w:i/>
        </w:rPr>
        <w:t>Taxation Administration Act 1953</w:t>
      </w:r>
      <w:r w:rsidRPr="008A0DBE">
        <w:t>).</w:t>
      </w:r>
      <w:r w:rsidRPr="008A0DBE">
        <w:rPr>
          <w:rStyle w:val="Referencingstyle"/>
        </w:rPr>
        <w:t xml:space="preserve"> </w:t>
      </w:r>
    </w:p>
    <w:p w14:paraId="37D2F17F" w14:textId="381E5614" w:rsidR="00DB7902" w:rsidRPr="008A0DBE" w:rsidRDefault="00E879E8" w:rsidP="008A0DBE">
      <w:pPr>
        <w:pStyle w:val="Heading5"/>
        <w:shd w:val="clear" w:color="auto" w:fill="FFFFFF" w:themeFill="background1"/>
      </w:pPr>
      <w:r w:rsidRPr="008A0DBE">
        <w:t xml:space="preserve"> </w:t>
      </w:r>
      <w:r w:rsidR="00DB7902" w:rsidRPr="008A0DBE">
        <w:t xml:space="preserve">Application of significant global entity penalties to subsidiary entities </w:t>
      </w:r>
    </w:p>
    <w:p w14:paraId="7BAAD888" w14:textId="7BCC0557" w:rsidR="00CE07BB" w:rsidRPr="008A0DBE" w:rsidRDefault="0015561C" w:rsidP="008A0DBE">
      <w:pPr>
        <w:pStyle w:val="base-text-paragraph"/>
        <w:numPr>
          <w:ilvl w:val="1"/>
          <w:numId w:val="41"/>
        </w:numPr>
        <w:shd w:val="clear" w:color="auto" w:fill="FFFFFF" w:themeFill="background1"/>
      </w:pPr>
      <w:r w:rsidRPr="008A0DBE">
        <w:t xml:space="preserve">Part 2 of the Schedule </w:t>
      </w:r>
      <w:r w:rsidR="00050615" w:rsidRPr="008A0DBE">
        <w:t xml:space="preserve">corrects an anomaly in the law by </w:t>
      </w:r>
      <w:r w:rsidR="00640E1D" w:rsidRPr="008A0DBE">
        <w:t xml:space="preserve">ensuring </w:t>
      </w:r>
      <w:r w:rsidR="00050615" w:rsidRPr="008A0DBE">
        <w:t>the</w:t>
      </w:r>
      <w:r w:rsidR="00CE07BB" w:rsidRPr="008A0DBE">
        <w:t xml:space="preserve"> </w:t>
      </w:r>
      <w:r w:rsidR="00640E1D" w:rsidRPr="008A0DBE">
        <w:t xml:space="preserve">appropriate </w:t>
      </w:r>
      <w:r w:rsidR="00CE07BB" w:rsidRPr="008A0DBE">
        <w:t>penalties apply for an entity that</w:t>
      </w:r>
      <w:r w:rsidR="00912C05" w:rsidRPr="008A0DBE">
        <w:rPr>
          <w:i/>
        </w:rPr>
        <w:t xml:space="preserve"> </w:t>
      </w:r>
      <w:r w:rsidR="00CE07BB" w:rsidRPr="008A0DBE">
        <w:t>is both:</w:t>
      </w:r>
    </w:p>
    <w:p w14:paraId="6441D7CF" w14:textId="77777777" w:rsidR="00CE07BB" w:rsidRPr="008A0DBE" w:rsidRDefault="00CE07BB" w:rsidP="008A0DBE">
      <w:pPr>
        <w:pStyle w:val="dotpoint"/>
        <w:shd w:val="clear" w:color="auto" w:fill="FFFFFF" w:themeFill="background1"/>
      </w:pPr>
      <w:r w:rsidRPr="008A0DBE">
        <w:t xml:space="preserve">a subsidiary member of a consolidated group or a multiple entry consolidated group; and </w:t>
      </w:r>
    </w:p>
    <w:p w14:paraId="4D010A86" w14:textId="77777777" w:rsidR="00CE07BB" w:rsidRPr="008A0DBE" w:rsidRDefault="00CE07BB" w:rsidP="008A0DBE">
      <w:pPr>
        <w:pStyle w:val="dotpoint"/>
        <w:shd w:val="clear" w:color="auto" w:fill="FFFFFF" w:themeFill="background1"/>
      </w:pPr>
      <w:r w:rsidRPr="008A0DBE">
        <w:t>a significant global entity.</w:t>
      </w:r>
    </w:p>
    <w:p w14:paraId="1EC98BB4" w14:textId="02CFC598" w:rsidR="00DB7902" w:rsidRPr="008A0DBE" w:rsidRDefault="00E6776C" w:rsidP="008A0DBE">
      <w:pPr>
        <w:pStyle w:val="base-text-paragraph"/>
        <w:numPr>
          <w:ilvl w:val="1"/>
          <w:numId w:val="41"/>
        </w:numPr>
        <w:shd w:val="clear" w:color="auto" w:fill="FFFFFF" w:themeFill="background1"/>
      </w:pPr>
      <w:r w:rsidRPr="008A0DBE">
        <w:t>Section 284</w:t>
      </w:r>
      <w:r w:rsidRPr="008A0DBE">
        <w:noBreakHyphen/>
      </w:r>
      <w:r w:rsidR="00DB7902" w:rsidRPr="008A0DBE">
        <w:t xml:space="preserve">90 of Schedule 1 to the </w:t>
      </w:r>
      <w:r w:rsidR="00A17FA9" w:rsidRPr="008A0DBE">
        <w:rPr>
          <w:i/>
        </w:rPr>
        <w:t>Taxation</w:t>
      </w:r>
      <w:r w:rsidR="00AA5DB3" w:rsidRPr="008A0DBE">
        <w:rPr>
          <w:i/>
        </w:rPr>
        <w:t xml:space="preserve"> Administration Act</w:t>
      </w:r>
      <w:r w:rsidR="000063F3" w:rsidRPr="008A0DBE">
        <w:rPr>
          <w:i/>
        </w:rPr>
        <w:t xml:space="preserve"> </w:t>
      </w:r>
      <w:r w:rsidR="00A17FA9" w:rsidRPr="008A0DBE">
        <w:rPr>
          <w:i/>
        </w:rPr>
        <w:t xml:space="preserve">1953 </w:t>
      </w:r>
      <w:r w:rsidR="00DB7902" w:rsidRPr="008A0DBE">
        <w:t>determines the amount of a penalty that a taxpayer is liable to pay if the taxpayer gives, for example, a false or misleading statement in relation to a taxation law</w:t>
      </w:r>
      <w:r w:rsidR="00BA52C4" w:rsidRPr="008A0DBE">
        <w:t>.</w:t>
      </w:r>
    </w:p>
    <w:p w14:paraId="4215AEA4" w14:textId="578FB599" w:rsidR="00830A23" w:rsidRPr="008A0DBE" w:rsidRDefault="00DB7902" w:rsidP="008A0DBE">
      <w:pPr>
        <w:pStyle w:val="base-text-paragraph"/>
        <w:numPr>
          <w:ilvl w:val="1"/>
          <w:numId w:val="41"/>
        </w:numPr>
        <w:shd w:val="clear" w:color="auto" w:fill="FFFFFF" w:themeFill="background1"/>
      </w:pPr>
      <w:r w:rsidRPr="008A0DBE">
        <w:t>Similarly, section 286</w:t>
      </w:r>
      <w:r w:rsidR="00E6776C" w:rsidRPr="008A0DBE">
        <w:noBreakHyphen/>
      </w:r>
      <w:r w:rsidRPr="008A0DBE">
        <w:t>80</w:t>
      </w:r>
      <w:r w:rsidR="00BA52C4" w:rsidRPr="008A0DBE">
        <w:t xml:space="preserve"> of Schedule 1 to the </w:t>
      </w:r>
      <w:r w:rsidR="00A17FA9" w:rsidRPr="008A0DBE">
        <w:rPr>
          <w:i/>
        </w:rPr>
        <w:t>Taxation</w:t>
      </w:r>
      <w:r w:rsidR="00AA5DB3" w:rsidRPr="008A0DBE">
        <w:rPr>
          <w:i/>
        </w:rPr>
        <w:t xml:space="preserve"> Administration Act </w:t>
      </w:r>
      <w:r w:rsidR="00A17FA9" w:rsidRPr="008A0DBE">
        <w:rPr>
          <w:i/>
        </w:rPr>
        <w:t>1953</w:t>
      </w:r>
      <w:r w:rsidRPr="008A0DBE">
        <w:rPr>
          <w:i/>
        </w:rPr>
        <w:t xml:space="preserve"> </w:t>
      </w:r>
      <w:r w:rsidRPr="008A0DBE">
        <w:t>determines the amount of a penalty that a taxpayer is liable to pay if a taxpayer fails to give a return, notice, statement or other document to the Commissioner that is required to be given under a taxation.</w:t>
      </w:r>
    </w:p>
    <w:p w14:paraId="5DE7348C" w14:textId="6F498745" w:rsidR="00DB7902" w:rsidRPr="008A0DBE" w:rsidRDefault="00DB7902" w:rsidP="008A0DBE">
      <w:pPr>
        <w:pStyle w:val="base-text-paragraph"/>
        <w:numPr>
          <w:ilvl w:val="1"/>
          <w:numId w:val="41"/>
        </w:numPr>
        <w:shd w:val="clear" w:color="auto" w:fill="FFFFFF" w:themeFill="background1"/>
      </w:pPr>
      <w:r w:rsidRPr="008A0DBE">
        <w:t>The amount of penalty payable</w:t>
      </w:r>
      <w:r w:rsidR="00E6776C" w:rsidRPr="008A0DBE">
        <w:t xml:space="preserve"> by an entity under section 284</w:t>
      </w:r>
      <w:r w:rsidR="00E6776C" w:rsidRPr="008A0DBE">
        <w:noBreakHyphen/>
      </w:r>
      <w:r w:rsidRPr="008A0DBE">
        <w:t>90 or 286</w:t>
      </w:r>
      <w:r w:rsidR="00E6776C" w:rsidRPr="008A0DBE">
        <w:noBreakHyphen/>
      </w:r>
      <w:r w:rsidRPr="008A0DBE">
        <w:t xml:space="preserve">80 </w:t>
      </w:r>
      <w:r w:rsidR="000063F3" w:rsidRPr="008A0DBE">
        <w:t>of</w:t>
      </w:r>
      <w:r w:rsidR="00E42D30" w:rsidRPr="008A0DBE">
        <w:t xml:space="preserve"> </w:t>
      </w:r>
      <w:r w:rsidR="001D244F" w:rsidRPr="008A0DBE">
        <w:t>S</w:t>
      </w:r>
      <w:r w:rsidR="00E42D30" w:rsidRPr="008A0DBE">
        <w:t xml:space="preserve">chedule 1 </w:t>
      </w:r>
      <w:r w:rsidR="001D244F" w:rsidRPr="008A0DBE">
        <w:t>to</w:t>
      </w:r>
      <w:r w:rsidR="000063F3" w:rsidRPr="008A0DBE">
        <w:t xml:space="preserve"> the </w:t>
      </w:r>
      <w:r w:rsidR="00A17FA9" w:rsidRPr="008A0DBE">
        <w:rPr>
          <w:i/>
        </w:rPr>
        <w:t>Taxation</w:t>
      </w:r>
      <w:r w:rsidR="00AA5DB3" w:rsidRPr="008A0DBE">
        <w:rPr>
          <w:i/>
        </w:rPr>
        <w:t xml:space="preserve"> Administration Act </w:t>
      </w:r>
      <w:r w:rsidR="00A17FA9" w:rsidRPr="008A0DBE">
        <w:rPr>
          <w:i/>
        </w:rPr>
        <w:t>1953</w:t>
      </w:r>
      <w:r w:rsidR="000063F3" w:rsidRPr="008A0DBE">
        <w:rPr>
          <w:i/>
        </w:rPr>
        <w:t xml:space="preserve"> </w:t>
      </w:r>
      <w:r w:rsidRPr="008A0DBE">
        <w:t>depends on the size of the entity. A higher penalty is payable if, among other things, the entity has received an income tax assessment for the relevant income year and is a significant</w:t>
      </w:r>
      <w:r w:rsidR="00E6776C" w:rsidRPr="008A0DBE">
        <w:t xml:space="preserve"> global entity</w:t>
      </w:r>
      <w:r w:rsidRPr="008A0DBE">
        <w:t>.</w:t>
      </w:r>
    </w:p>
    <w:p w14:paraId="53F597C3" w14:textId="31A0BB90" w:rsidR="00912C05" w:rsidRPr="008A0DBE" w:rsidRDefault="00640E1D" w:rsidP="008A0DBE">
      <w:pPr>
        <w:pStyle w:val="base-text-paragraph"/>
        <w:numPr>
          <w:ilvl w:val="1"/>
          <w:numId w:val="41"/>
        </w:numPr>
        <w:shd w:val="clear" w:color="auto" w:fill="FFFFFF" w:themeFill="background1"/>
      </w:pPr>
      <w:r w:rsidRPr="008A0DBE">
        <w:t>Part 2 corrects this anomaly.</w:t>
      </w:r>
      <w:r w:rsidR="0079282B" w:rsidRPr="008A0DBE">
        <w:t xml:space="preserve"> </w:t>
      </w:r>
      <w:r w:rsidR="006139FD" w:rsidRPr="008A0DBE">
        <w:rPr>
          <w:rStyle w:val="Referencingstyle"/>
        </w:rPr>
        <w:t>[Schedule #</w:t>
      </w:r>
      <w:r w:rsidR="00912C05" w:rsidRPr="008A0DBE">
        <w:rPr>
          <w:rStyle w:val="Referencingstyle"/>
        </w:rPr>
        <w:t xml:space="preserve">, items </w:t>
      </w:r>
      <w:r w:rsidR="009A0213" w:rsidRPr="008A0DBE">
        <w:rPr>
          <w:rStyle w:val="Referencingstyle"/>
        </w:rPr>
        <w:t xml:space="preserve">139 </w:t>
      </w:r>
      <w:r w:rsidR="00912C05" w:rsidRPr="008A0DBE">
        <w:rPr>
          <w:rStyle w:val="Referencingstyle"/>
        </w:rPr>
        <w:t xml:space="preserve">and </w:t>
      </w:r>
      <w:r w:rsidR="00466125" w:rsidRPr="008A0DBE">
        <w:rPr>
          <w:rStyle w:val="Referencingstyle"/>
        </w:rPr>
        <w:t>14</w:t>
      </w:r>
      <w:r w:rsidR="009A0213" w:rsidRPr="008A0DBE">
        <w:rPr>
          <w:rStyle w:val="Referencingstyle"/>
        </w:rPr>
        <w:t>0</w:t>
      </w:r>
      <w:r w:rsidR="00912C05" w:rsidRPr="008A0DBE">
        <w:rPr>
          <w:rStyle w:val="Referencingstyle"/>
        </w:rPr>
        <w:t>, paragraphs 284</w:t>
      </w:r>
      <w:r w:rsidR="00912C05" w:rsidRPr="008A0DBE">
        <w:rPr>
          <w:rStyle w:val="Referencingstyle"/>
        </w:rPr>
        <w:noBreakHyphen/>
        <w:t>90(1A)(a) and 286</w:t>
      </w:r>
      <w:r w:rsidR="00912C05" w:rsidRPr="008A0DBE">
        <w:rPr>
          <w:rStyle w:val="Referencingstyle"/>
        </w:rPr>
        <w:noBreakHyphen/>
        <w:t xml:space="preserve">80(4A)(b) of Schedule 1 to the </w:t>
      </w:r>
      <w:r w:rsidR="001451AB" w:rsidRPr="008A0DBE">
        <w:rPr>
          <w:rStyle w:val="Referencingstyle"/>
        </w:rPr>
        <w:t>Tax Administration Act</w:t>
      </w:r>
      <w:r w:rsidR="00912C05" w:rsidRPr="008A0DBE">
        <w:rPr>
          <w:rStyle w:val="Referencingstyle"/>
        </w:rPr>
        <w:t>]</w:t>
      </w:r>
    </w:p>
    <w:p w14:paraId="46F4EA65" w14:textId="4260E6AA" w:rsidR="00D457EF" w:rsidRPr="008A0DBE" w:rsidRDefault="00776E18" w:rsidP="008A0DBE">
      <w:pPr>
        <w:pStyle w:val="base-text-paragraph"/>
        <w:numPr>
          <w:ilvl w:val="1"/>
          <w:numId w:val="41"/>
        </w:numPr>
        <w:shd w:val="clear" w:color="auto" w:fill="FFFFFF" w:themeFill="background1"/>
      </w:pPr>
      <w:r w:rsidRPr="008A0DBE">
        <w:t xml:space="preserve">These amendments apply from the date of introduction </w:t>
      </w:r>
      <w:r w:rsidR="009A39B8" w:rsidRPr="008A0DBE">
        <w:t>in Parliament of this Bill</w:t>
      </w:r>
      <w:r w:rsidRPr="008A0DBE">
        <w:t xml:space="preserve">. </w:t>
      </w:r>
    </w:p>
    <w:p w14:paraId="5666BAF5" w14:textId="607A73DD" w:rsidR="003163B7" w:rsidRPr="008A0DBE" w:rsidRDefault="00A0178F" w:rsidP="008A0DBE">
      <w:pPr>
        <w:pStyle w:val="Heading5"/>
        <w:shd w:val="clear" w:color="auto" w:fill="FFFFFF" w:themeFill="background1"/>
      </w:pPr>
      <w:r w:rsidRPr="008A0DBE">
        <w:t>Changes to the functions of departments following recent machinery of government changes</w:t>
      </w:r>
    </w:p>
    <w:p w14:paraId="6741AB6C" w14:textId="7C072708" w:rsidR="00D54AB4" w:rsidRPr="008A0DBE" w:rsidRDefault="00D54AB4" w:rsidP="008A0DBE">
      <w:pPr>
        <w:pStyle w:val="base-text-paragraph"/>
        <w:numPr>
          <w:ilvl w:val="1"/>
          <w:numId w:val="41"/>
        </w:numPr>
        <w:shd w:val="clear" w:color="auto" w:fill="FFFFFF" w:themeFill="background1"/>
      </w:pPr>
      <w:r w:rsidRPr="008A0DBE">
        <w:t>Amendments are also made to the table which lists the situations where taxation officers may disclose protected information without committing an offence. The</w:t>
      </w:r>
      <w:r w:rsidR="00E8356F" w:rsidRPr="008A0DBE">
        <w:t>s</w:t>
      </w:r>
      <w:r w:rsidRPr="008A0DBE">
        <w:t xml:space="preserve">e changes </w:t>
      </w:r>
      <w:r w:rsidR="001F51CA" w:rsidRPr="008A0DBE">
        <w:t xml:space="preserve">were made necessary after </w:t>
      </w:r>
      <w:r w:rsidRPr="008A0DBE">
        <w:t xml:space="preserve">the </w:t>
      </w:r>
      <w:r w:rsidR="001F51CA" w:rsidRPr="008A0DBE">
        <w:t xml:space="preserve">recent </w:t>
      </w:r>
      <w:r w:rsidRPr="008A0DBE">
        <w:t xml:space="preserve">machinery </w:t>
      </w:r>
      <w:r w:rsidR="001F51CA" w:rsidRPr="008A0DBE">
        <w:t>of government changes which resulted in some of the functions of the Department of Employment moving to the Attorney-General’s Department.</w:t>
      </w:r>
    </w:p>
    <w:p w14:paraId="4230F2BC" w14:textId="5F5642A5" w:rsidR="007818FB" w:rsidRPr="008A0DBE" w:rsidRDefault="001F51CA" w:rsidP="008A0DBE">
      <w:pPr>
        <w:pStyle w:val="base-text-paragraph"/>
        <w:numPr>
          <w:ilvl w:val="1"/>
          <w:numId w:val="41"/>
        </w:numPr>
        <w:shd w:val="clear" w:color="auto" w:fill="FFFFFF" w:themeFill="background1"/>
      </w:pPr>
      <w:r w:rsidRPr="008A0DBE">
        <w:t>The amendments sp</w:t>
      </w:r>
      <w:r w:rsidR="00FC064C" w:rsidRPr="008A0DBE">
        <w:t>l</w:t>
      </w:r>
      <w:r w:rsidRPr="008A0DBE">
        <w:t>it table item 4 into several sub-items. Table item 4 previously covered disclosures from the Student Assistance Secretary or the Employment Secretary that were for the purpose of administering any Commonwealth law relating to pensions, allowances of benefits. However, the functions of the Student Assistance Secretary and the Employment Secretary are no</w:t>
      </w:r>
      <w:r w:rsidR="007818FB" w:rsidRPr="008A0DBE">
        <w:t>w</w:t>
      </w:r>
      <w:r w:rsidRPr="008A0DBE">
        <w:t xml:space="preserve"> split </w:t>
      </w:r>
      <w:r w:rsidR="007818FB" w:rsidRPr="008A0DBE">
        <w:t>across</w:t>
      </w:r>
      <w:r w:rsidRPr="008A0DBE">
        <w:t xml:space="preserve"> two departments. As a result separate table items are required to provide exceptions for the disclosure of information from</w:t>
      </w:r>
      <w:r w:rsidR="007818FB" w:rsidRPr="008A0DBE">
        <w:t>:</w:t>
      </w:r>
    </w:p>
    <w:p w14:paraId="39715FE8" w14:textId="4B362833" w:rsidR="001F51CA" w:rsidRPr="008A0DBE" w:rsidRDefault="001F51CA" w:rsidP="008A0DBE">
      <w:pPr>
        <w:pStyle w:val="dotpoint"/>
        <w:shd w:val="clear" w:color="auto" w:fill="FFFFFF" w:themeFill="background1"/>
      </w:pPr>
      <w:r w:rsidRPr="008A0DBE">
        <w:t>the Student Assistance Secretary that are for the purpose of administering any Commonwealth law relating to pensi</w:t>
      </w:r>
      <w:r w:rsidR="007818FB" w:rsidRPr="008A0DBE">
        <w:t>ons, allowances or benefit; and</w:t>
      </w:r>
    </w:p>
    <w:p w14:paraId="77B1162C" w14:textId="10A6F02D" w:rsidR="007818FB" w:rsidRPr="008A0DBE" w:rsidRDefault="007818FB" w:rsidP="008A0DBE">
      <w:pPr>
        <w:pStyle w:val="dotpoint"/>
        <w:shd w:val="clear" w:color="auto" w:fill="FFFFFF" w:themeFill="background1"/>
      </w:pPr>
      <w:r w:rsidRPr="008A0DBE">
        <w:t>the Employment Secretary for the purpose of administering th</w:t>
      </w:r>
      <w:r w:rsidR="00F21609" w:rsidRPr="008A0DBE">
        <w:t>e</w:t>
      </w:r>
      <w:r w:rsidRPr="008A0DBE">
        <w:t xml:space="preserve"> </w:t>
      </w:r>
      <w:r w:rsidRPr="008A0DBE">
        <w:rPr>
          <w:i/>
        </w:rPr>
        <w:t xml:space="preserve">Fair Entitlements Guarantee Act 2012 </w:t>
      </w:r>
      <w:r w:rsidRPr="008A0DBE">
        <w:t>or any other Commonwealth law relating to pensions, allowances or benefits.</w:t>
      </w:r>
    </w:p>
    <w:p w14:paraId="0BC7E4AD" w14:textId="234D4DA6" w:rsidR="004B4954" w:rsidRPr="008A0DBE" w:rsidRDefault="004B4954" w:rsidP="008A0DBE">
      <w:pPr>
        <w:pStyle w:val="dotpoint"/>
        <w:numPr>
          <w:ilvl w:val="0"/>
          <w:numId w:val="0"/>
        </w:numPr>
        <w:shd w:val="clear" w:color="auto" w:fill="FFFFFF" w:themeFill="background1"/>
        <w:ind w:left="1984"/>
      </w:pPr>
      <w:r w:rsidRPr="008A0DBE">
        <w:rPr>
          <w:rStyle w:val="Referencingstyle"/>
        </w:rPr>
        <w:t xml:space="preserve">[Schedule #, item </w:t>
      </w:r>
      <w:r w:rsidR="00466125" w:rsidRPr="008A0DBE">
        <w:rPr>
          <w:rStyle w:val="Referencingstyle"/>
        </w:rPr>
        <w:t>1</w:t>
      </w:r>
      <w:r w:rsidR="009A0213" w:rsidRPr="008A0DBE">
        <w:rPr>
          <w:rStyle w:val="Referencingstyle"/>
        </w:rPr>
        <w:t>48</w:t>
      </w:r>
      <w:r w:rsidRPr="008A0DBE">
        <w:rPr>
          <w:rStyle w:val="Referencingstyle"/>
        </w:rPr>
        <w:t>, subsection 355-65(2) in Schedule 1 (table item 4)]</w:t>
      </w:r>
    </w:p>
    <w:p w14:paraId="0A4E4952" w14:textId="1D672AA8" w:rsidR="007818FB" w:rsidRPr="008A0DBE" w:rsidRDefault="007818FB" w:rsidP="008A0DBE">
      <w:pPr>
        <w:pStyle w:val="base-text-paragraph"/>
        <w:numPr>
          <w:ilvl w:val="1"/>
          <w:numId w:val="41"/>
        </w:numPr>
        <w:shd w:val="clear" w:color="auto" w:fill="FFFFFF" w:themeFill="background1"/>
      </w:pPr>
      <w:r w:rsidRPr="008A0DBE">
        <w:t xml:space="preserve">For further information about the definition of Employment Secretary, refer to paragraph </w:t>
      </w:r>
      <w:r w:rsidR="00690579" w:rsidRPr="008A0DBE">
        <w:fldChar w:fldCharType="begin"/>
      </w:r>
      <w:r w:rsidR="00690579" w:rsidRPr="008A0DBE">
        <w:instrText xml:space="preserve"> REF _Ref17460590 \r \h </w:instrText>
      </w:r>
      <w:r w:rsidR="008A0DBE" w:rsidRPr="008A0DBE">
        <w:instrText xml:space="preserve"> \* MERGEFORMAT </w:instrText>
      </w:r>
      <w:r w:rsidR="00690579" w:rsidRPr="008A0DBE">
        <w:fldChar w:fldCharType="separate"/>
      </w:r>
      <w:r w:rsidR="00E65CE1" w:rsidRPr="008A0DBE">
        <w:t>1.133</w:t>
      </w:r>
      <w:r w:rsidR="00690579" w:rsidRPr="008A0DBE">
        <w:fldChar w:fldCharType="end"/>
      </w:r>
      <w:r w:rsidRPr="008A0DBE">
        <w:t xml:space="preserve"> above.</w:t>
      </w:r>
    </w:p>
    <w:p w14:paraId="2337984A" w14:textId="77777777" w:rsidR="00E65CE1" w:rsidRPr="008A0DBE" w:rsidRDefault="00E65CE1" w:rsidP="008A0DBE">
      <w:pPr>
        <w:pStyle w:val="base-text-paragraph"/>
        <w:shd w:val="clear" w:color="auto" w:fill="FFFFFF" w:themeFill="background1"/>
        <w:tabs>
          <w:tab w:val="clear" w:pos="1985"/>
        </w:tabs>
      </w:pPr>
    </w:p>
    <w:p w14:paraId="72AEEF66" w14:textId="18E4F4D6" w:rsidR="004C6661" w:rsidRPr="008A0DBE" w:rsidRDefault="00251DDA" w:rsidP="008A0DBE">
      <w:pPr>
        <w:pStyle w:val="Heading3"/>
        <w:shd w:val="clear" w:color="auto" w:fill="FFFFFF" w:themeFill="background1"/>
      </w:pPr>
      <w:r w:rsidRPr="008A0DBE">
        <w:t xml:space="preserve">Part </w:t>
      </w:r>
      <w:r w:rsidR="00DB1DBE" w:rsidRPr="008A0DBE">
        <w:t xml:space="preserve">3 </w:t>
      </w:r>
      <w:r w:rsidR="00BF1BB2" w:rsidRPr="008A0DBE">
        <w:t>Updates to</w:t>
      </w:r>
      <w:r w:rsidR="00DB1DBE" w:rsidRPr="008A0DBE">
        <w:t xml:space="preserve"> </w:t>
      </w:r>
      <w:r w:rsidR="00BF1BB2" w:rsidRPr="008A0DBE">
        <w:t>references to Gazettal notices</w:t>
      </w:r>
    </w:p>
    <w:p w14:paraId="480EA9BD" w14:textId="4D8ED584" w:rsidR="0020489F" w:rsidRPr="008A0DBE" w:rsidRDefault="0020489F" w:rsidP="008A0DBE">
      <w:pPr>
        <w:pStyle w:val="base-text-paragraph"/>
        <w:numPr>
          <w:ilvl w:val="1"/>
          <w:numId w:val="41"/>
        </w:numPr>
        <w:shd w:val="clear" w:color="auto" w:fill="FFFFFF" w:themeFill="background1"/>
      </w:pPr>
      <w:r w:rsidRPr="008A0DBE">
        <w:t xml:space="preserve">Part </w:t>
      </w:r>
      <w:r w:rsidR="00E456A6" w:rsidRPr="008A0DBE">
        <w:t>3</w:t>
      </w:r>
      <w:r w:rsidRPr="008A0DBE">
        <w:t xml:space="preserve"> of Schedule # updates provisions which refer to Gazettal notices to bring the provisions up-to-date with modern drafting practice. The </w:t>
      </w:r>
      <w:r w:rsidRPr="008A0DBE">
        <w:rPr>
          <w:i/>
        </w:rPr>
        <w:t>Legislative Instruments Act 2003</w:t>
      </w:r>
      <w:r w:rsidRPr="008A0DBE">
        <w:t xml:space="preserve"> established a comprehensive regime for the management of all Commonwealth legislative instrument</w:t>
      </w:r>
      <w:r w:rsidR="00FC064C" w:rsidRPr="008A0DBE">
        <w:t>s</w:t>
      </w:r>
      <w:r w:rsidRPr="008A0DBE">
        <w:t xml:space="preserve"> and introduced two main types of instruments (legislative instrumen</w:t>
      </w:r>
      <w:r w:rsidR="0081680B" w:rsidRPr="008A0DBE">
        <w:t xml:space="preserve">ts and notifiable instruments). Many of the sections in Treasury Acts were introduced prior to the </w:t>
      </w:r>
      <w:r w:rsidR="0081680B" w:rsidRPr="008A0DBE">
        <w:rPr>
          <w:i/>
        </w:rPr>
        <w:t xml:space="preserve">Legislative Instruments Act 2003 </w:t>
      </w:r>
      <w:r w:rsidR="0081680B" w:rsidRPr="008A0DBE">
        <w:t xml:space="preserve">and need to be updated to ensure that they use </w:t>
      </w:r>
      <w:r w:rsidR="00FC064C" w:rsidRPr="008A0DBE">
        <w:t xml:space="preserve">the terms </w:t>
      </w:r>
      <w:r w:rsidR="0081680B" w:rsidRPr="008A0DBE">
        <w:t>legislative instruments and notifiable instruments, rather than notices published in the Gazette.</w:t>
      </w:r>
    </w:p>
    <w:p w14:paraId="2B35CF18" w14:textId="354274AC" w:rsidR="00E3531F" w:rsidRPr="008A0DBE" w:rsidRDefault="0020489F" w:rsidP="008A0DBE">
      <w:pPr>
        <w:pStyle w:val="base-text-paragraph"/>
        <w:numPr>
          <w:ilvl w:val="1"/>
          <w:numId w:val="41"/>
        </w:numPr>
        <w:shd w:val="clear" w:color="auto" w:fill="FFFFFF" w:themeFill="background1"/>
      </w:pPr>
      <w:r w:rsidRPr="008A0DBE">
        <w:t xml:space="preserve">Amendments are made to the </w:t>
      </w:r>
      <w:r w:rsidRPr="008A0DBE">
        <w:rPr>
          <w:i/>
        </w:rPr>
        <w:t xml:space="preserve">A New Tax System (Goods and Services Tax) Act 1999 </w:t>
      </w:r>
      <w:r w:rsidRPr="008A0DBE">
        <w:t xml:space="preserve">to reflect the fact that Commissioner determinations and tax return requirements are now made by legislative instrument. Inoperative material in section 79-100 </w:t>
      </w:r>
      <w:r w:rsidR="00F8076F" w:rsidRPr="008A0DBE">
        <w:t xml:space="preserve">of the </w:t>
      </w:r>
      <w:r w:rsidR="00F8076F" w:rsidRPr="008A0DBE">
        <w:rPr>
          <w:i/>
        </w:rPr>
        <w:t>A New Tax System (Goods and Services Tax) Act 1999</w:t>
      </w:r>
      <w:r w:rsidRPr="008A0DBE">
        <w:t xml:space="preserve"> is also repealed.</w:t>
      </w:r>
      <w:r w:rsidR="00E3531F" w:rsidRPr="008A0DBE">
        <w:rPr>
          <w:rStyle w:val="Referencingstyle"/>
        </w:rPr>
        <w:t xml:space="preserve"> [Schedule #, items </w:t>
      </w:r>
      <w:r w:rsidR="00700B55" w:rsidRPr="008A0DBE">
        <w:rPr>
          <w:rStyle w:val="Referencingstyle"/>
        </w:rPr>
        <w:t>149</w:t>
      </w:r>
      <w:r w:rsidR="00E3531F" w:rsidRPr="008A0DBE">
        <w:rPr>
          <w:rStyle w:val="Referencingstyle"/>
        </w:rPr>
        <w:t>-</w:t>
      </w:r>
      <w:r w:rsidR="00700B55" w:rsidRPr="008A0DBE">
        <w:rPr>
          <w:rStyle w:val="Referencingstyle"/>
        </w:rPr>
        <w:t>157</w:t>
      </w:r>
      <w:r w:rsidR="00E3531F" w:rsidRPr="008A0DBE">
        <w:rPr>
          <w:rStyle w:val="Referencingstyle"/>
        </w:rPr>
        <w:t xml:space="preserve">, </w:t>
      </w:r>
      <w:r w:rsidR="006E2C6B" w:rsidRPr="008A0DBE">
        <w:rPr>
          <w:rStyle w:val="Referencingstyle"/>
        </w:rPr>
        <w:t>subsections 79-100(1), 79-100(2), 79-100(3) and 79-100(6), 131-60(1), subparagraph 151-45(1)(a)(i) and paragraph 162-60(1)(a</w:t>
      </w:r>
      <w:r w:rsidR="00E3531F" w:rsidRPr="008A0DBE">
        <w:rPr>
          <w:rStyle w:val="Referencingstyle"/>
        </w:rPr>
        <w:t>) of th</w:t>
      </w:r>
      <w:r w:rsidR="006E2C6B" w:rsidRPr="008A0DBE">
        <w:rPr>
          <w:rStyle w:val="Referencingstyle"/>
        </w:rPr>
        <w:t>e A</w:t>
      </w:r>
      <w:r w:rsidR="00E3531F" w:rsidRPr="008A0DBE">
        <w:t xml:space="preserve"> </w:t>
      </w:r>
      <w:r w:rsidR="00E3531F" w:rsidRPr="008A0DBE">
        <w:rPr>
          <w:rStyle w:val="Referencingstyle"/>
        </w:rPr>
        <w:t xml:space="preserve">New Tax System (Goods and Services Tax) Act 1999 </w:t>
      </w:r>
    </w:p>
    <w:p w14:paraId="14AAD8BE" w14:textId="5182BDF4" w:rsidR="0020489F" w:rsidRPr="008A0DBE" w:rsidRDefault="0020489F" w:rsidP="008A0DBE">
      <w:pPr>
        <w:pStyle w:val="base-text-paragraph"/>
        <w:numPr>
          <w:ilvl w:val="1"/>
          <w:numId w:val="41"/>
        </w:numPr>
        <w:shd w:val="clear" w:color="auto" w:fill="FFFFFF" w:themeFill="background1"/>
      </w:pPr>
      <w:r w:rsidRPr="008A0DBE">
        <w:t xml:space="preserve">Section 12 of the </w:t>
      </w:r>
      <w:r w:rsidRPr="008A0DBE">
        <w:rPr>
          <w:i/>
        </w:rPr>
        <w:t>Australian Prudential Regulation Authority Act 1998</w:t>
      </w:r>
      <w:r w:rsidRPr="008A0DBE">
        <w:t xml:space="preserve"> and section 64 of the </w:t>
      </w:r>
      <w:r w:rsidRPr="008A0DBE">
        <w:rPr>
          <w:i/>
        </w:rPr>
        <w:t>Business Names Registration Act 2011</w:t>
      </w:r>
      <w:r w:rsidRPr="008A0DBE">
        <w:t xml:space="preserve"> are amended to require the Minister to use a legislative instrument to direct APRA or ASIC, rather than a notice published in the Gazette. This does not change the substantive effect of either provision </w:t>
      </w:r>
      <w:r w:rsidR="00924612" w:rsidRPr="008A0DBE">
        <w:t>because</w:t>
      </w:r>
      <w:r w:rsidRPr="008A0DBE">
        <w:t xml:space="preserve"> directions to agencies are not disallowable and do not sunset as per the </w:t>
      </w:r>
      <w:r w:rsidRPr="008A0DBE">
        <w:rPr>
          <w:i/>
        </w:rPr>
        <w:t>Legislation</w:t>
      </w:r>
      <w:r w:rsidR="006C4A8A" w:rsidRPr="008A0DBE">
        <w:rPr>
          <w:i/>
        </w:rPr>
        <w:t> </w:t>
      </w:r>
      <w:r w:rsidRPr="008A0DBE">
        <w:rPr>
          <w:i/>
        </w:rPr>
        <w:t>(Exemption and Other Matters) Regulation 2015</w:t>
      </w:r>
      <w:r w:rsidRPr="008A0DBE">
        <w:t>.</w:t>
      </w:r>
      <w:r w:rsidR="00E3531F" w:rsidRPr="008A0DBE">
        <w:rPr>
          <w:rStyle w:val="Referencingstyle"/>
        </w:rPr>
        <w:t xml:space="preserve"> [Schedule #, items </w:t>
      </w:r>
      <w:r w:rsidR="00700B55" w:rsidRPr="008A0DBE">
        <w:rPr>
          <w:rStyle w:val="Referencingstyle"/>
        </w:rPr>
        <w:t>158-159</w:t>
      </w:r>
      <w:r w:rsidR="00E3531F" w:rsidRPr="008A0DBE">
        <w:rPr>
          <w:rStyle w:val="Referencingstyle"/>
        </w:rPr>
        <w:t xml:space="preserve">, </w:t>
      </w:r>
      <w:r w:rsidR="006E2C6B" w:rsidRPr="008A0DBE">
        <w:rPr>
          <w:rStyle w:val="Referencingstyle"/>
        </w:rPr>
        <w:t>subsections 12(1) and 12(5) of the</w:t>
      </w:r>
      <w:r w:rsidR="006E2C6B" w:rsidRPr="008A0DBE">
        <w:t xml:space="preserve"> </w:t>
      </w:r>
      <w:r w:rsidR="006E2C6B" w:rsidRPr="008A0DBE">
        <w:rPr>
          <w:rStyle w:val="Referencingstyle"/>
        </w:rPr>
        <w:t>Australian Prudential Regulation Authority Act 1998</w:t>
      </w:r>
      <w:r w:rsidR="00E3531F" w:rsidRPr="008A0DBE">
        <w:rPr>
          <w:rStyle w:val="Referencingstyle"/>
        </w:rPr>
        <w:t>]</w:t>
      </w:r>
    </w:p>
    <w:p w14:paraId="1D0D4204" w14:textId="1FBE20D2" w:rsidR="00F177B8" w:rsidRPr="008A0DBE" w:rsidRDefault="006E2C6B" w:rsidP="008A0DBE">
      <w:pPr>
        <w:pStyle w:val="base-text-paragraph"/>
        <w:numPr>
          <w:ilvl w:val="1"/>
          <w:numId w:val="41"/>
        </w:numPr>
        <w:shd w:val="clear" w:color="auto" w:fill="FFFFFF" w:themeFill="background1"/>
        <w:rPr>
          <w:rStyle w:val="Referencingstyle"/>
        </w:rPr>
      </w:pPr>
      <w:r w:rsidRPr="008A0DBE">
        <w:t xml:space="preserve">Section 6A of the </w:t>
      </w:r>
      <w:r w:rsidRPr="008A0DBE">
        <w:rPr>
          <w:i/>
        </w:rPr>
        <w:t xml:space="preserve">Banking Act 1959 </w:t>
      </w:r>
      <w:r w:rsidRPr="008A0DBE">
        <w:t xml:space="preserve">is amended to ensure that the Treasurer uses a legislative instrument to disapply the </w:t>
      </w:r>
      <w:r w:rsidRPr="008A0DBE">
        <w:rPr>
          <w:i/>
        </w:rPr>
        <w:t>Banking Act 1959</w:t>
      </w:r>
      <w:r w:rsidRPr="008A0DBE">
        <w:t xml:space="preserve"> to an external Territory, rather than a notice in the Gazette.</w:t>
      </w:r>
      <w:r w:rsidR="00F177B8" w:rsidRPr="008A0DBE">
        <w:rPr>
          <w:rStyle w:val="Referencingstyle"/>
        </w:rPr>
        <w:t xml:space="preserve"> [Schedule #, items </w:t>
      </w:r>
      <w:r w:rsidR="00700B55" w:rsidRPr="008A0DBE">
        <w:rPr>
          <w:rStyle w:val="Referencingstyle"/>
        </w:rPr>
        <w:t>160-165</w:t>
      </w:r>
      <w:r w:rsidR="00F177B8" w:rsidRPr="008A0DBE">
        <w:rPr>
          <w:rStyle w:val="Referencingstyle"/>
        </w:rPr>
        <w:t>, section 6A of the Banking Act 1959]</w:t>
      </w:r>
    </w:p>
    <w:p w14:paraId="073DF1D5" w14:textId="5BFDD056" w:rsidR="00F177B8" w:rsidRPr="008A0DBE" w:rsidRDefault="0020489F" w:rsidP="008A0DBE">
      <w:pPr>
        <w:pStyle w:val="base-text-paragraph"/>
        <w:numPr>
          <w:ilvl w:val="1"/>
          <w:numId w:val="41"/>
        </w:numPr>
        <w:shd w:val="clear" w:color="auto" w:fill="FFFFFF" w:themeFill="background1"/>
        <w:rPr>
          <w:rStyle w:val="Referencingstyle"/>
        </w:rPr>
      </w:pPr>
      <w:r w:rsidRPr="008A0DBE">
        <w:t xml:space="preserve">A transitional provision is included to ensure that a direction given under the </w:t>
      </w:r>
      <w:r w:rsidRPr="008A0DBE">
        <w:rPr>
          <w:i/>
        </w:rPr>
        <w:t>Business Names Registration Act</w:t>
      </w:r>
      <w:r w:rsidRPr="008A0DBE">
        <w:t xml:space="preserve"> </w:t>
      </w:r>
      <w:r w:rsidRPr="008A0DBE">
        <w:rPr>
          <w:i/>
        </w:rPr>
        <w:t>2011</w:t>
      </w:r>
      <w:r w:rsidRPr="008A0DBE">
        <w:t xml:space="preserve"> </w:t>
      </w:r>
      <w:r w:rsidR="00FC064C" w:rsidRPr="008A0DBE">
        <w:t xml:space="preserve">which is </w:t>
      </w:r>
      <w:r w:rsidRPr="008A0DBE">
        <w:t>in force immediately before the amendments to section 64 commence</w:t>
      </w:r>
      <w:r w:rsidR="00FC064C" w:rsidRPr="008A0DBE">
        <w:t>s</w:t>
      </w:r>
      <w:r w:rsidRPr="008A0DBE">
        <w:t xml:space="preserve"> continues </w:t>
      </w:r>
      <w:r w:rsidR="00FC064C" w:rsidRPr="008A0DBE">
        <w:t xml:space="preserve">to remain </w:t>
      </w:r>
      <w:r w:rsidRPr="008A0DBE">
        <w:t>in force. This means that those directions do not need to be remade by using a legislative instrument.</w:t>
      </w:r>
      <w:r w:rsidR="00F177B8" w:rsidRPr="008A0DBE">
        <w:rPr>
          <w:rStyle w:val="Referencingstyle"/>
        </w:rPr>
        <w:t xml:space="preserve"> [Schedule #, items </w:t>
      </w:r>
      <w:r w:rsidR="00700B55" w:rsidRPr="008A0DBE">
        <w:rPr>
          <w:rStyle w:val="Referencingstyle"/>
        </w:rPr>
        <w:t>163-165</w:t>
      </w:r>
      <w:r w:rsidR="00F177B8" w:rsidRPr="008A0DBE">
        <w:rPr>
          <w:rStyle w:val="Referencingstyle"/>
        </w:rPr>
        <w:t>, subsections 64(1) and (5) of the Business Names Registration Act 2011]</w:t>
      </w:r>
    </w:p>
    <w:p w14:paraId="6D09B376" w14:textId="332E47FD" w:rsidR="0020489F" w:rsidRPr="008A0DBE" w:rsidRDefault="0020489F" w:rsidP="008A0DBE">
      <w:pPr>
        <w:pStyle w:val="base-text-paragraph"/>
        <w:numPr>
          <w:ilvl w:val="1"/>
          <w:numId w:val="41"/>
        </w:numPr>
        <w:shd w:val="clear" w:color="auto" w:fill="FFFFFF" w:themeFill="background1"/>
      </w:pPr>
      <w:r w:rsidRPr="008A0DBE">
        <w:t xml:space="preserve">Sections 9 and 10 of the </w:t>
      </w:r>
      <w:r w:rsidRPr="008A0DBE">
        <w:rPr>
          <w:i/>
        </w:rPr>
        <w:t xml:space="preserve">Census and Statistics Act 1995 </w:t>
      </w:r>
      <w:r w:rsidRPr="008A0DBE">
        <w:t>are amended to require the Statistician to require the completion of a form by way of a legislative instrument instead of a notice published in the Gazette.</w:t>
      </w:r>
      <w:r w:rsidR="00F177B8" w:rsidRPr="008A0DBE">
        <w:rPr>
          <w:rStyle w:val="Referencingstyle"/>
        </w:rPr>
        <w:t xml:space="preserve"> [Schedule #, items </w:t>
      </w:r>
      <w:r w:rsidR="00700B55" w:rsidRPr="008A0DBE">
        <w:rPr>
          <w:rStyle w:val="Referencingstyle"/>
        </w:rPr>
        <w:t>167-169</w:t>
      </w:r>
      <w:r w:rsidR="00F177B8" w:rsidRPr="008A0DBE">
        <w:rPr>
          <w:rStyle w:val="Referencingstyle"/>
        </w:rPr>
        <w:t>, paragraph 9(1)(b) and subsection 10(2) of the Census and Statistics Act 1995]</w:t>
      </w:r>
    </w:p>
    <w:p w14:paraId="2836A9EF" w14:textId="2656D739" w:rsidR="0020489F" w:rsidRPr="008A0DBE" w:rsidRDefault="0020489F" w:rsidP="008A0DBE">
      <w:pPr>
        <w:pStyle w:val="base-text-paragraph"/>
        <w:numPr>
          <w:ilvl w:val="1"/>
          <w:numId w:val="41"/>
        </w:numPr>
        <w:shd w:val="clear" w:color="auto" w:fill="FFFFFF" w:themeFill="background1"/>
      </w:pPr>
      <w:r w:rsidRPr="008A0DBE">
        <w:t xml:space="preserve">Section 8 of the </w:t>
      </w:r>
      <w:r w:rsidRPr="008A0DBE">
        <w:rPr>
          <w:i/>
        </w:rPr>
        <w:t>Commonwealth</w:t>
      </w:r>
      <w:r w:rsidR="006C4A8A" w:rsidRPr="008A0DBE">
        <w:rPr>
          <w:i/>
        </w:rPr>
        <w:t> </w:t>
      </w:r>
      <w:r w:rsidRPr="008A0DBE">
        <w:rPr>
          <w:i/>
        </w:rPr>
        <w:t>Places</w:t>
      </w:r>
      <w:r w:rsidR="00F177B8" w:rsidRPr="008A0DBE">
        <w:rPr>
          <w:i/>
        </w:rPr>
        <w:t xml:space="preserve"> </w:t>
      </w:r>
      <w:r w:rsidRPr="008A0DBE">
        <w:rPr>
          <w:i/>
        </w:rPr>
        <w:t>(Mirror</w:t>
      </w:r>
      <w:r w:rsidR="006C4A8A" w:rsidRPr="008A0DBE">
        <w:rPr>
          <w:i/>
        </w:rPr>
        <w:t> </w:t>
      </w:r>
      <w:r w:rsidRPr="008A0DBE">
        <w:rPr>
          <w:i/>
        </w:rPr>
        <w:t>Taxes</w:t>
      </w:r>
      <w:r w:rsidR="006C4A8A" w:rsidRPr="008A0DBE">
        <w:rPr>
          <w:i/>
        </w:rPr>
        <w:t> </w:t>
      </w:r>
      <w:r w:rsidRPr="008A0DBE">
        <w:rPr>
          <w:i/>
        </w:rPr>
        <w:t>Act)</w:t>
      </w:r>
      <w:r w:rsidR="006C4A8A" w:rsidRPr="008A0DBE">
        <w:rPr>
          <w:i/>
        </w:rPr>
        <w:t> </w:t>
      </w:r>
      <w:r w:rsidRPr="008A0DBE">
        <w:rPr>
          <w:i/>
        </w:rPr>
        <w:t>1998</w:t>
      </w:r>
      <w:r w:rsidRPr="008A0DBE">
        <w:t xml:space="preserve"> is amended to ensure that modifications are prescribed in an instrument and registered on the Federal Register of Legislation. Arrangements, variations and revocations under section 9 must also be made by way of </w:t>
      </w:r>
      <w:r w:rsidR="00FC064C" w:rsidRPr="008A0DBE">
        <w:t>a</w:t>
      </w:r>
      <w:r w:rsidRPr="008A0DBE">
        <w:t xml:space="preserve"> notifiable instrument.</w:t>
      </w:r>
      <w:r w:rsidR="00F177B8" w:rsidRPr="008A0DBE">
        <w:rPr>
          <w:rStyle w:val="Referencingstyle"/>
        </w:rPr>
        <w:t xml:space="preserve"> [Schedule #, items 17</w:t>
      </w:r>
      <w:r w:rsidR="00700B55" w:rsidRPr="008A0DBE">
        <w:rPr>
          <w:rStyle w:val="Referencingstyle"/>
        </w:rPr>
        <w:t>0</w:t>
      </w:r>
      <w:r w:rsidR="00F177B8" w:rsidRPr="008A0DBE">
        <w:rPr>
          <w:rStyle w:val="Referencingstyle"/>
        </w:rPr>
        <w:t>-17</w:t>
      </w:r>
      <w:r w:rsidR="00700B55" w:rsidRPr="008A0DBE">
        <w:rPr>
          <w:rStyle w:val="Referencingstyle"/>
        </w:rPr>
        <w:t>1</w:t>
      </w:r>
      <w:r w:rsidR="00F177B8" w:rsidRPr="008A0DBE">
        <w:rPr>
          <w:rStyle w:val="Referencingstyle"/>
        </w:rPr>
        <w:t xml:space="preserve">, sections </w:t>
      </w:r>
      <w:r w:rsidR="00B80A1D" w:rsidRPr="008A0DBE">
        <w:rPr>
          <w:rStyle w:val="Referencingstyle"/>
        </w:rPr>
        <w:t>paragraph 8(5)(a) and subsection 9(4)</w:t>
      </w:r>
      <w:r w:rsidR="00F177B8" w:rsidRPr="008A0DBE">
        <w:rPr>
          <w:rStyle w:val="Referencingstyle"/>
        </w:rPr>
        <w:t xml:space="preserve"> of the Commonwealth Places (Mirror Taxes Act) 1998]</w:t>
      </w:r>
    </w:p>
    <w:p w14:paraId="5421F73C" w14:textId="6C8B7AC0" w:rsidR="0020489F" w:rsidRPr="008A0DBE" w:rsidRDefault="0020489F" w:rsidP="008A0DBE">
      <w:pPr>
        <w:pStyle w:val="base-text-paragraph"/>
        <w:numPr>
          <w:ilvl w:val="1"/>
          <w:numId w:val="41"/>
        </w:numPr>
        <w:shd w:val="clear" w:color="auto" w:fill="FFFFFF" w:themeFill="background1"/>
      </w:pPr>
      <w:r w:rsidRPr="008A0DBE">
        <w:t xml:space="preserve">Subsection 63(5) of the </w:t>
      </w:r>
      <w:r w:rsidRPr="008A0DBE">
        <w:rPr>
          <w:i/>
        </w:rPr>
        <w:t>Export</w:t>
      </w:r>
      <w:r w:rsidR="00693577" w:rsidRPr="008A0DBE">
        <w:rPr>
          <w:i/>
        </w:rPr>
        <w:t> </w:t>
      </w:r>
      <w:r w:rsidRPr="008A0DBE">
        <w:rPr>
          <w:i/>
        </w:rPr>
        <w:t>Finance</w:t>
      </w:r>
      <w:r w:rsidR="00693577" w:rsidRPr="008A0DBE">
        <w:rPr>
          <w:i/>
        </w:rPr>
        <w:t> </w:t>
      </w:r>
      <w:r w:rsidRPr="008A0DBE">
        <w:rPr>
          <w:i/>
        </w:rPr>
        <w:t>and</w:t>
      </w:r>
      <w:r w:rsidR="00693577" w:rsidRPr="008A0DBE">
        <w:rPr>
          <w:i/>
        </w:rPr>
        <w:t> </w:t>
      </w:r>
      <w:r w:rsidRPr="008A0DBE">
        <w:rPr>
          <w:i/>
        </w:rPr>
        <w:t>Insurance</w:t>
      </w:r>
      <w:r w:rsidR="00D81711" w:rsidRPr="008A0DBE">
        <w:rPr>
          <w:i/>
        </w:rPr>
        <w:t xml:space="preserve"> Corporations </w:t>
      </w:r>
      <w:r w:rsidRPr="008A0DBE">
        <w:rPr>
          <w:i/>
        </w:rPr>
        <w:t xml:space="preserve">Act 1991 </w:t>
      </w:r>
      <w:r w:rsidRPr="008A0DBE">
        <w:t xml:space="preserve">is repealed. Subsection 63(5) ensures that the tax concessions provided in respect of holders of Commonwealth issued Treasury bonds and notes do not extend to securities issued by the </w:t>
      </w:r>
      <w:r w:rsidR="00906A6B" w:rsidRPr="008A0DBE">
        <w:t>Export Finance Corporation</w:t>
      </w:r>
      <w:r w:rsidR="00AA110B" w:rsidRPr="008A0DBE">
        <w:t>.</w:t>
      </w:r>
      <w:r w:rsidRPr="008A0DBE">
        <w:t xml:space="preserve"> The concessions for Commonwealth issued Treasury bonds and notes have since be removed. As a result, subsection 63(5) has become inoperative.</w:t>
      </w:r>
      <w:r w:rsidR="00F177B8" w:rsidRPr="008A0DBE">
        <w:rPr>
          <w:rStyle w:val="Referencingstyle"/>
        </w:rPr>
        <w:t xml:space="preserve"> [Schedule #, item </w:t>
      </w:r>
      <w:r w:rsidR="00700B55" w:rsidRPr="008A0DBE">
        <w:rPr>
          <w:rStyle w:val="Referencingstyle"/>
        </w:rPr>
        <w:t>172</w:t>
      </w:r>
      <w:r w:rsidR="00F177B8" w:rsidRPr="008A0DBE">
        <w:rPr>
          <w:rStyle w:val="Referencingstyle"/>
        </w:rPr>
        <w:t xml:space="preserve">, </w:t>
      </w:r>
      <w:r w:rsidR="007D4D27" w:rsidRPr="008A0DBE">
        <w:rPr>
          <w:rStyle w:val="Referencingstyle"/>
        </w:rPr>
        <w:t>sub</w:t>
      </w:r>
      <w:r w:rsidR="00F177B8" w:rsidRPr="008A0DBE">
        <w:rPr>
          <w:rStyle w:val="Referencingstyle"/>
        </w:rPr>
        <w:t xml:space="preserve">section </w:t>
      </w:r>
      <w:r w:rsidR="007D4D27" w:rsidRPr="008A0DBE">
        <w:rPr>
          <w:rStyle w:val="Referencingstyle"/>
        </w:rPr>
        <w:t>63(5)</w:t>
      </w:r>
      <w:r w:rsidR="00F177B8" w:rsidRPr="008A0DBE">
        <w:rPr>
          <w:rStyle w:val="Referencingstyle"/>
        </w:rPr>
        <w:t xml:space="preserve"> of the </w:t>
      </w:r>
      <w:r w:rsidR="007D4D27" w:rsidRPr="008A0DBE">
        <w:rPr>
          <w:rStyle w:val="Referencingstyle"/>
        </w:rPr>
        <w:t>Export Finance and Insurance Corporations Act 1991</w:t>
      </w:r>
      <w:r w:rsidR="00F177B8" w:rsidRPr="008A0DBE">
        <w:rPr>
          <w:rStyle w:val="Referencingstyle"/>
        </w:rPr>
        <w:t>]</w:t>
      </w:r>
    </w:p>
    <w:p w14:paraId="3616A897" w14:textId="3DF0F7CF" w:rsidR="0020489F" w:rsidRPr="008A0DBE" w:rsidRDefault="0020489F" w:rsidP="008A0DBE">
      <w:pPr>
        <w:pStyle w:val="base-text-paragraph"/>
        <w:numPr>
          <w:ilvl w:val="1"/>
          <w:numId w:val="41"/>
        </w:numPr>
        <w:shd w:val="clear" w:color="auto" w:fill="FFFFFF" w:themeFill="background1"/>
      </w:pPr>
      <w:r w:rsidRPr="008A0DBE">
        <w:t xml:space="preserve">An amendment is made to section 6 of the </w:t>
      </w:r>
      <w:r w:rsidRPr="008A0DBE">
        <w:rPr>
          <w:i/>
        </w:rPr>
        <w:t xml:space="preserve">Federal Financial Relations Act 2009 </w:t>
      </w:r>
      <w:r w:rsidRPr="008A0DBE">
        <w:t>to require the Minister to use a notifiable instrument to determine certain amounts related to GST revenue.</w:t>
      </w:r>
      <w:r w:rsidR="00F177B8" w:rsidRPr="008A0DBE">
        <w:rPr>
          <w:rStyle w:val="Referencingstyle"/>
        </w:rPr>
        <w:t xml:space="preserve"> [Schedule #, item</w:t>
      </w:r>
      <w:r w:rsidR="007D4D27" w:rsidRPr="008A0DBE">
        <w:rPr>
          <w:rStyle w:val="Referencingstyle"/>
        </w:rPr>
        <w:t xml:space="preserve">s </w:t>
      </w:r>
      <w:r w:rsidR="00700B55" w:rsidRPr="008A0DBE">
        <w:rPr>
          <w:rStyle w:val="Referencingstyle"/>
        </w:rPr>
        <w:t xml:space="preserve">173 </w:t>
      </w:r>
      <w:r w:rsidR="007D4D27" w:rsidRPr="008A0DBE">
        <w:rPr>
          <w:rStyle w:val="Referencingstyle"/>
        </w:rPr>
        <w:t>and 179, subsection</w:t>
      </w:r>
      <w:r w:rsidR="002D59E3" w:rsidRPr="008A0DBE">
        <w:rPr>
          <w:rStyle w:val="Referencingstyle"/>
        </w:rPr>
        <w:t>s</w:t>
      </w:r>
      <w:r w:rsidR="007D4D27" w:rsidRPr="008A0DBE">
        <w:rPr>
          <w:rStyle w:val="Referencingstyle"/>
        </w:rPr>
        <w:t xml:space="preserve"> 6(1)</w:t>
      </w:r>
      <w:r w:rsidR="002D59E3" w:rsidRPr="008A0DBE">
        <w:rPr>
          <w:rStyle w:val="Referencingstyle"/>
        </w:rPr>
        <w:t xml:space="preserve"> and (6)</w:t>
      </w:r>
      <w:r w:rsidR="007D4D27" w:rsidRPr="008A0DBE">
        <w:rPr>
          <w:rStyle w:val="Referencingstyle"/>
        </w:rPr>
        <w:t xml:space="preserve"> of the Federal Financial Relations Act 2009</w:t>
      </w:r>
      <w:r w:rsidR="00F177B8" w:rsidRPr="008A0DBE">
        <w:rPr>
          <w:rStyle w:val="Referencingstyle"/>
        </w:rPr>
        <w:t>]</w:t>
      </w:r>
    </w:p>
    <w:p w14:paraId="1E4E82FF" w14:textId="4DE1CC19" w:rsidR="0020489F" w:rsidRPr="008A0DBE" w:rsidRDefault="0020489F" w:rsidP="008A0DBE">
      <w:pPr>
        <w:pStyle w:val="base-text-paragraph"/>
        <w:numPr>
          <w:ilvl w:val="1"/>
          <w:numId w:val="41"/>
        </w:numPr>
        <w:shd w:val="clear" w:color="auto" w:fill="FFFFFF" w:themeFill="background1"/>
      </w:pPr>
      <w:r w:rsidRPr="008A0DBE">
        <w:t xml:space="preserve">The </w:t>
      </w:r>
      <w:r w:rsidRPr="008A0DBE">
        <w:rPr>
          <w:i/>
        </w:rPr>
        <w:t xml:space="preserve">Financial Sector (Shareholdings) Act 1998 </w:t>
      </w:r>
      <w:r w:rsidRPr="008A0DBE">
        <w:t>is also amended to ensure that the Treasurer uses a notifiable instrument to gran</w:t>
      </w:r>
      <w:r w:rsidR="00906A6B" w:rsidRPr="008A0DBE">
        <w:t>t</w:t>
      </w:r>
      <w:r w:rsidRPr="008A0DBE">
        <w:t xml:space="preserve">, modify or revoke an approval to exceed the shareholding limit in a financial sector company. </w:t>
      </w:r>
      <w:r w:rsidR="007D4D27" w:rsidRPr="008A0DBE">
        <w:rPr>
          <w:rStyle w:val="Referencingstyle"/>
        </w:rPr>
        <w:t>[Schedule #, item</w:t>
      </w:r>
      <w:r w:rsidR="0065741E" w:rsidRPr="008A0DBE">
        <w:rPr>
          <w:rStyle w:val="Referencingstyle"/>
        </w:rPr>
        <w:t>s</w:t>
      </w:r>
      <w:r w:rsidR="007D4D27" w:rsidRPr="008A0DBE">
        <w:rPr>
          <w:rStyle w:val="Referencingstyle"/>
        </w:rPr>
        <w:t xml:space="preserve"> </w:t>
      </w:r>
      <w:r w:rsidR="00700B55" w:rsidRPr="008A0DBE">
        <w:rPr>
          <w:rStyle w:val="Referencingstyle"/>
        </w:rPr>
        <w:t>175</w:t>
      </w:r>
      <w:r w:rsidR="0065741E" w:rsidRPr="008A0DBE">
        <w:rPr>
          <w:rStyle w:val="Referencingstyle"/>
        </w:rPr>
        <w:t>-20</w:t>
      </w:r>
      <w:r w:rsidR="00700B55" w:rsidRPr="008A0DBE">
        <w:rPr>
          <w:rStyle w:val="Referencingstyle"/>
        </w:rPr>
        <w:t>4</w:t>
      </w:r>
      <w:r w:rsidR="007D4D27" w:rsidRPr="008A0DBE">
        <w:rPr>
          <w:rStyle w:val="Referencingstyle"/>
        </w:rPr>
        <w:t>, subsection</w:t>
      </w:r>
      <w:r w:rsidR="00F553EE" w:rsidRPr="008A0DBE">
        <w:rPr>
          <w:rStyle w:val="Referencingstyle"/>
        </w:rPr>
        <w:t>s</w:t>
      </w:r>
      <w:r w:rsidR="007D4D27" w:rsidRPr="008A0DBE">
        <w:rPr>
          <w:rStyle w:val="Referencingstyle"/>
        </w:rPr>
        <w:t xml:space="preserve"> </w:t>
      </w:r>
      <w:r w:rsidR="00F553EE" w:rsidRPr="008A0DBE">
        <w:rPr>
          <w:rStyle w:val="Referencingstyle"/>
        </w:rPr>
        <w:t>14</w:t>
      </w:r>
      <w:r w:rsidR="007D4D27" w:rsidRPr="008A0DBE">
        <w:rPr>
          <w:rStyle w:val="Referencingstyle"/>
        </w:rPr>
        <w:t>(1)</w:t>
      </w:r>
      <w:r w:rsidR="00F553EE" w:rsidRPr="008A0DBE">
        <w:rPr>
          <w:rStyle w:val="Referencingstyle"/>
        </w:rPr>
        <w:t>, 14(2), 14(4), 15(1), 15(4), 15(5), 15(7), 15A(5), 16(1), 16(2),</w:t>
      </w:r>
      <w:r w:rsidR="002D59E3" w:rsidRPr="008A0DBE">
        <w:rPr>
          <w:rStyle w:val="Referencingstyle"/>
        </w:rPr>
        <w:t xml:space="preserve"> 16(2A),</w:t>
      </w:r>
      <w:r w:rsidR="00F553EE" w:rsidRPr="008A0DBE">
        <w:rPr>
          <w:rStyle w:val="Referencingstyle"/>
        </w:rPr>
        <w:t xml:space="preserve"> 16(6), 17(3), 17(4), 17(6)</w:t>
      </w:r>
      <w:r w:rsidR="0065741E" w:rsidRPr="008A0DBE">
        <w:rPr>
          <w:rStyle w:val="Referencingstyle"/>
        </w:rPr>
        <w:t xml:space="preserve"> to (</w:t>
      </w:r>
      <w:r w:rsidR="00F553EE" w:rsidRPr="008A0DBE">
        <w:rPr>
          <w:rStyle w:val="Referencingstyle"/>
        </w:rPr>
        <w:t>9)</w:t>
      </w:r>
      <w:r w:rsidR="0065741E" w:rsidRPr="008A0DBE">
        <w:rPr>
          <w:rStyle w:val="Referencingstyle"/>
        </w:rPr>
        <w:t xml:space="preserve"> and 18(1) to (4)</w:t>
      </w:r>
      <w:r w:rsidR="007D4D27" w:rsidRPr="008A0DBE">
        <w:rPr>
          <w:rStyle w:val="Referencingstyle"/>
        </w:rPr>
        <w:t xml:space="preserve"> of the </w:t>
      </w:r>
      <w:r w:rsidR="00F553EE" w:rsidRPr="008A0DBE">
        <w:rPr>
          <w:rStyle w:val="Referencingstyle"/>
        </w:rPr>
        <w:t>Financial Sector (Shareholdings) Act 1998</w:t>
      </w:r>
      <w:r w:rsidR="007D4D27" w:rsidRPr="008A0DBE">
        <w:rPr>
          <w:rStyle w:val="Referencingstyle"/>
        </w:rPr>
        <w:t>]</w:t>
      </w:r>
    </w:p>
    <w:p w14:paraId="450437D2" w14:textId="6A5FC028" w:rsidR="0020489F" w:rsidRPr="008A0DBE" w:rsidRDefault="0020489F" w:rsidP="008A0DBE">
      <w:pPr>
        <w:pStyle w:val="base-text-paragraph"/>
        <w:numPr>
          <w:ilvl w:val="1"/>
          <w:numId w:val="41"/>
        </w:numPr>
        <w:shd w:val="clear" w:color="auto" w:fill="FFFFFF" w:themeFill="background1"/>
      </w:pPr>
      <w:r w:rsidRPr="008A0DBE">
        <w:t xml:space="preserve">The </w:t>
      </w:r>
      <w:r w:rsidRPr="008A0DBE">
        <w:rPr>
          <w:i/>
        </w:rPr>
        <w:t xml:space="preserve">Fringe Benefits Tax Assessment Act 1986 </w:t>
      </w:r>
      <w:r w:rsidRPr="008A0DBE">
        <w:t>is updated so that the Commissioner must use a legislative instrument to determine the threshold amount below which an instalment of tax does not become due and payable by the employer.</w:t>
      </w:r>
      <w:r w:rsidR="0065741E" w:rsidRPr="008A0DBE">
        <w:t xml:space="preserve"> </w:t>
      </w:r>
      <w:r w:rsidR="0065741E" w:rsidRPr="008A0DBE">
        <w:rPr>
          <w:rStyle w:val="Referencingstyle"/>
        </w:rPr>
        <w:t xml:space="preserve">[Schedule #, item </w:t>
      </w:r>
      <w:r w:rsidR="00700B55" w:rsidRPr="008A0DBE">
        <w:rPr>
          <w:rStyle w:val="Referencingstyle"/>
        </w:rPr>
        <w:t>205</w:t>
      </w:r>
      <w:r w:rsidR="0065741E" w:rsidRPr="008A0DBE">
        <w:rPr>
          <w:rStyle w:val="Referencingstyle"/>
        </w:rPr>
        <w:t>, subsection 11(3) of the Fringe Benefits Tax Assessment Act 1986]</w:t>
      </w:r>
    </w:p>
    <w:p w14:paraId="13790A58" w14:textId="70105086" w:rsidR="00561024" w:rsidRPr="008A0DBE" w:rsidRDefault="00561024" w:rsidP="008A0DBE">
      <w:pPr>
        <w:pStyle w:val="base-text-paragraph"/>
        <w:numPr>
          <w:ilvl w:val="1"/>
          <w:numId w:val="41"/>
        </w:numPr>
        <w:shd w:val="clear" w:color="auto" w:fill="FFFFFF" w:themeFill="background1"/>
      </w:pPr>
      <w:r w:rsidRPr="008A0DBE">
        <w:t>Amendments are also made to update references to Gazettal notices in t</w:t>
      </w:r>
      <w:r w:rsidR="0020489F" w:rsidRPr="008A0DBE">
        <w:t>he</w:t>
      </w:r>
      <w:r w:rsidR="0020489F" w:rsidRPr="008A0DBE">
        <w:rPr>
          <w:i/>
        </w:rPr>
        <w:t xml:space="preserve"> Income Tax Assessment Act 1936 </w:t>
      </w:r>
      <w:r w:rsidR="00FF08C4" w:rsidRPr="008A0DBE">
        <w:t xml:space="preserve">and the </w:t>
      </w:r>
      <w:r w:rsidR="00FF08C4" w:rsidRPr="008A0DBE">
        <w:rPr>
          <w:i/>
        </w:rPr>
        <w:t>Income</w:t>
      </w:r>
      <w:r w:rsidR="00693577" w:rsidRPr="008A0DBE">
        <w:rPr>
          <w:i/>
        </w:rPr>
        <w:t> </w:t>
      </w:r>
      <w:r w:rsidR="00FF08C4" w:rsidRPr="008A0DBE">
        <w:rPr>
          <w:i/>
        </w:rPr>
        <w:t>Tax</w:t>
      </w:r>
      <w:r w:rsidR="00693577" w:rsidRPr="008A0DBE">
        <w:rPr>
          <w:i/>
        </w:rPr>
        <w:t> </w:t>
      </w:r>
      <w:r w:rsidR="00FF08C4" w:rsidRPr="008A0DBE">
        <w:rPr>
          <w:i/>
        </w:rPr>
        <w:t>Assessment</w:t>
      </w:r>
      <w:r w:rsidR="00693577" w:rsidRPr="008A0DBE">
        <w:rPr>
          <w:i/>
        </w:rPr>
        <w:t> </w:t>
      </w:r>
      <w:r w:rsidR="00FF08C4" w:rsidRPr="008A0DBE">
        <w:rPr>
          <w:i/>
        </w:rPr>
        <w:t>Act</w:t>
      </w:r>
      <w:r w:rsidR="00693577" w:rsidRPr="008A0DBE">
        <w:rPr>
          <w:i/>
        </w:rPr>
        <w:t> </w:t>
      </w:r>
      <w:r w:rsidR="00FF08C4" w:rsidRPr="008A0DBE">
        <w:rPr>
          <w:i/>
        </w:rPr>
        <w:t>1997</w:t>
      </w:r>
      <w:r w:rsidR="00FF08C4" w:rsidRPr="008A0DBE">
        <w:t>.</w:t>
      </w:r>
      <w:r w:rsidR="00D81711" w:rsidRPr="008A0DBE">
        <w:t xml:space="preserve"> </w:t>
      </w:r>
      <w:r w:rsidR="0020489F" w:rsidRPr="008A0DBE">
        <w:t>Notifiable instruments are to be used for</w:t>
      </w:r>
      <w:r w:rsidRPr="008A0DBE">
        <w:t>:</w:t>
      </w:r>
    </w:p>
    <w:p w14:paraId="32C14116" w14:textId="3BCE275B" w:rsidR="00561024" w:rsidRPr="008A0DBE" w:rsidRDefault="0020489F" w:rsidP="008A0DBE">
      <w:pPr>
        <w:pStyle w:val="dotpoint"/>
        <w:shd w:val="clear" w:color="auto" w:fill="FFFFFF" w:themeFill="background1"/>
      </w:pPr>
      <w:r w:rsidRPr="008A0DBE">
        <w:t>declarations by the Minister relating to whether a person is an offshore banking unit in section 128AE</w:t>
      </w:r>
      <w:r w:rsidR="00FF08C4" w:rsidRPr="008A0DBE">
        <w:t xml:space="preserve"> of the </w:t>
      </w:r>
      <w:r w:rsidR="00FF08C4" w:rsidRPr="008A0DBE">
        <w:rPr>
          <w:i/>
        </w:rPr>
        <w:t>Income Tax Assessment Act 1936</w:t>
      </w:r>
      <w:r w:rsidR="00561024" w:rsidRPr="008A0DBE">
        <w:t>;</w:t>
      </w:r>
      <w:r w:rsidRPr="008A0DBE">
        <w:t xml:space="preserve"> </w:t>
      </w:r>
    </w:p>
    <w:p w14:paraId="09EA6594" w14:textId="4984D10F" w:rsidR="00561024" w:rsidRPr="008A0DBE" w:rsidRDefault="0020489F" w:rsidP="008A0DBE">
      <w:pPr>
        <w:pStyle w:val="dotpoint"/>
        <w:shd w:val="clear" w:color="auto" w:fill="FFFFFF" w:themeFill="background1"/>
      </w:pPr>
      <w:r w:rsidRPr="008A0DBE">
        <w:t>the Commissioner to call for a return to be made by the master of the ship or the agent of the owner of the ship under section 130</w:t>
      </w:r>
      <w:r w:rsidR="00FF08C4" w:rsidRPr="008A0DBE">
        <w:t xml:space="preserve"> of the </w:t>
      </w:r>
      <w:r w:rsidR="00FF08C4" w:rsidRPr="008A0DBE">
        <w:rPr>
          <w:i/>
        </w:rPr>
        <w:t>Income Tax Assessment Act 1936</w:t>
      </w:r>
      <w:r w:rsidR="00561024" w:rsidRPr="008A0DBE">
        <w:t xml:space="preserve">; </w:t>
      </w:r>
    </w:p>
    <w:p w14:paraId="5C378343" w14:textId="40E24EB3" w:rsidR="00561024" w:rsidRPr="008A0DBE" w:rsidRDefault="00561024" w:rsidP="008A0DBE">
      <w:pPr>
        <w:pStyle w:val="dotpoint"/>
        <w:shd w:val="clear" w:color="auto" w:fill="FFFFFF" w:themeFill="background1"/>
      </w:pPr>
      <w:r w:rsidRPr="008A0DBE">
        <w:t>the Commissioner to bring to an end the effect of a class of Tax File Number declarations under subsection 202CA(4)</w:t>
      </w:r>
      <w:r w:rsidR="00FF08C4" w:rsidRPr="008A0DBE">
        <w:t xml:space="preserve"> of the </w:t>
      </w:r>
      <w:r w:rsidR="00FF08C4" w:rsidRPr="008A0DBE">
        <w:rPr>
          <w:i/>
        </w:rPr>
        <w:t>Income Tax Assessment Act 1936</w:t>
      </w:r>
      <w:r w:rsidRPr="008A0DBE">
        <w:t xml:space="preserve">; </w:t>
      </w:r>
    </w:p>
    <w:p w14:paraId="3A2D5914" w14:textId="73DA37D3" w:rsidR="005850A5" w:rsidRPr="008A0DBE" w:rsidRDefault="00561024" w:rsidP="008A0DBE">
      <w:pPr>
        <w:pStyle w:val="dotpoint"/>
        <w:shd w:val="clear" w:color="auto" w:fill="FFFFFF" w:themeFill="background1"/>
      </w:pPr>
      <w:r w:rsidRPr="008A0DBE">
        <w:t xml:space="preserve">the Commissioner to direct </w:t>
      </w:r>
      <w:r w:rsidR="005850A5" w:rsidRPr="008A0DBE">
        <w:t>investment bodies around retaining records under section 202EH</w:t>
      </w:r>
      <w:r w:rsidR="00FF08C4" w:rsidRPr="008A0DBE">
        <w:t xml:space="preserve"> of the </w:t>
      </w:r>
      <w:r w:rsidR="00FF08C4" w:rsidRPr="008A0DBE">
        <w:rPr>
          <w:i/>
        </w:rPr>
        <w:t>Income Tax Assessment Act 1936</w:t>
      </w:r>
      <w:r w:rsidR="005850A5" w:rsidRPr="008A0DBE">
        <w:t xml:space="preserve">; </w:t>
      </w:r>
    </w:p>
    <w:p w14:paraId="6648D8CA" w14:textId="19CC90A6" w:rsidR="00FA7B32" w:rsidRPr="008A0DBE" w:rsidRDefault="00FF08C4" w:rsidP="008A0DBE">
      <w:pPr>
        <w:pStyle w:val="dotpoint"/>
        <w:shd w:val="clear" w:color="auto" w:fill="FFFFFF" w:themeFill="background1"/>
      </w:pPr>
      <w:r w:rsidRPr="008A0DBE">
        <w:t>the Treasurer to declare an overseas aid deductible gift recipient under subsection 30-85(2) of the</w:t>
      </w:r>
      <w:r w:rsidRPr="008A0DBE">
        <w:rPr>
          <w:i/>
        </w:rPr>
        <w:t xml:space="preserve"> Income Tax Assessment Act 1997</w:t>
      </w:r>
      <w:r w:rsidR="00FA7B32" w:rsidRPr="008A0DBE">
        <w:t>;</w:t>
      </w:r>
    </w:p>
    <w:p w14:paraId="0DCEA24F" w14:textId="31747DB3" w:rsidR="00B60DB6" w:rsidRPr="008A0DBE" w:rsidRDefault="00FA7B32" w:rsidP="008A0DBE">
      <w:pPr>
        <w:pStyle w:val="dotpoint"/>
        <w:shd w:val="clear" w:color="auto" w:fill="FFFFFF" w:themeFill="background1"/>
      </w:pPr>
      <w:r w:rsidRPr="008A0DBE">
        <w:t>the Minister to recognise an ev</w:t>
      </w:r>
      <w:r w:rsidR="00D81711" w:rsidRPr="008A0DBE">
        <w:t>ent as a disaster under section </w:t>
      </w:r>
      <w:r w:rsidRPr="008A0DBE">
        <w:t xml:space="preserve">30-86 of the </w:t>
      </w:r>
      <w:r w:rsidRPr="008A0DBE">
        <w:rPr>
          <w:i/>
        </w:rPr>
        <w:t>Income Tax Assessment Act 1997</w:t>
      </w:r>
      <w:r w:rsidR="00B60DB6" w:rsidRPr="008A0DBE">
        <w:t>; and</w:t>
      </w:r>
    </w:p>
    <w:p w14:paraId="49C14443" w14:textId="4573C832" w:rsidR="00561024" w:rsidRPr="008A0DBE" w:rsidRDefault="00B60DB6" w:rsidP="008A0DBE">
      <w:pPr>
        <w:pStyle w:val="dotpoint"/>
        <w:shd w:val="clear" w:color="auto" w:fill="FFFFFF" w:themeFill="background1"/>
      </w:pPr>
      <w:r w:rsidRPr="008A0DBE">
        <w:t xml:space="preserve">the Minister to exempt an entity from complying with Australian accounting standards in section 820-960 of the </w:t>
      </w:r>
      <w:r w:rsidRPr="008A0DBE">
        <w:rPr>
          <w:i/>
        </w:rPr>
        <w:t>Income Tax Assessment Act 1997</w:t>
      </w:r>
      <w:r w:rsidR="00561024" w:rsidRPr="008A0DBE">
        <w:t>.</w:t>
      </w:r>
    </w:p>
    <w:p w14:paraId="05D40062" w14:textId="459E8E2E" w:rsidR="0065741E" w:rsidRPr="008A0DBE" w:rsidRDefault="0065741E" w:rsidP="008A0DBE">
      <w:pPr>
        <w:pStyle w:val="dotpoint"/>
        <w:numPr>
          <w:ilvl w:val="0"/>
          <w:numId w:val="0"/>
        </w:numPr>
        <w:shd w:val="clear" w:color="auto" w:fill="FFFFFF" w:themeFill="background1"/>
        <w:ind w:left="1984"/>
      </w:pPr>
      <w:r w:rsidRPr="008A0DBE">
        <w:rPr>
          <w:rStyle w:val="Referencingstyle"/>
        </w:rPr>
        <w:t>[Schedule #, items</w:t>
      </w:r>
      <w:r w:rsidR="001C582D" w:rsidRPr="008A0DBE">
        <w:rPr>
          <w:rStyle w:val="Referencingstyle"/>
        </w:rPr>
        <w:t xml:space="preserve"> </w:t>
      </w:r>
      <w:r w:rsidR="00700B55" w:rsidRPr="008A0DBE">
        <w:rPr>
          <w:rStyle w:val="Referencingstyle"/>
        </w:rPr>
        <w:t>211</w:t>
      </w:r>
      <w:r w:rsidR="001C582D" w:rsidRPr="008A0DBE">
        <w:rPr>
          <w:rStyle w:val="Referencingstyle"/>
        </w:rPr>
        <w:t>-2</w:t>
      </w:r>
      <w:r w:rsidR="00700B55" w:rsidRPr="008A0DBE">
        <w:rPr>
          <w:rStyle w:val="Referencingstyle"/>
        </w:rPr>
        <w:t>18</w:t>
      </w:r>
      <w:r w:rsidR="001C582D" w:rsidRPr="008A0DBE">
        <w:rPr>
          <w:rStyle w:val="Referencingstyle"/>
        </w:rPr>
        <w:t>3</w:t>
      </w:r>
      <w:r w:rsidRPr="008A0DBE">
        <w:rPr>
          <w:rStyle w:val="Referencingstyle"/>
        </w:rPr>
        <w:t xml:space="preserve">, </w:t>
      </w:r>
      <w:r w:rsidR="009874F0" w:rsidRPr="008A0DBE">
        <w:rPr>
          <w:rStyle w:val="Referencingstyle"/>
        </w:rPr>
        <w:t>2</w:t>
      </w:r>
      <w:r w:rsidR="00700B55" w:rsidRPr="008A0DBE">
        <w:rPr>
          <w:rStyle w:val="Referencingstyle"/>
        </w:rPr>
        <w:t>25</w:t>
      </w:r>
      <w:r w:rsidR="009874F0" w:rsidRPr="008A0DBE">
        <w:rPr>
          <w:rStyle w:val="Referencingstyle"/>
        </w:rPr>
        <w:t>-2</w:t>
      </w:r>
      <w:r w:rsidR="00700B55" w:rsidRPr="008A0DBE">
        <w:rPr>
          <w:rStyle w:val="Referencingstyle"/>
        </w:rPr>
        <w:t>28</w:t>
      </w:r>
      <w:r w:rsidR="009874F0" w:rsidRPr="008A0DBE">
        <w:rPr>
          <w:rStyle w:val="Referencingstyle"/>
        </w:rPr>
        <w:t>,</w:t>
      </w:r>
      <w:r w:rsidR="00D65A1B" w:rsidRPr="008A0DBE">
        <w:rPr>
          <w:rStyle w:val="Referencingstyle"/>
        </w:rPr>
        <w:t xml:space="preserve"> 23</w:t>
      </w:r>
      <w:r w:rsidR="00700B55" w:rsidRPr="008A0DBE">
        <w:rPr>
          <w:rStyle w:val="Referencingstyle"/>
        </w:rPr>
        <w:t>1</w:t>
      </w:r>
      <w:r w:rsidR="00D65A1B" w:rsidRPr="008A0DBE">
        <w:rPr>
          <w:rStyle w:val="Referencingstyle"/>
        </w:rPr>
        <w:t>-23</w:t>
      </w:r>
      <w:r w:rsidR="00700B55" w:rsidRPr="008A0DBE">
        <w:rPr>
          <w:rStyle w:val="Referencingstyle"/>
        </w:rPr>
        <w:t>4</w:t>
      </w:r>
      <w:r w:rsidR="00D65A1B" w:rsidRPr="008A0DBE">
        <w:rPr>
          <w:rStyle w:val="Referencingstyle"/>
        </w:rPr>
        <w:t xml:space="preserve"> </w:t>
      </w:r>
      <w:r w:rsidR="00B01006" w:rsidRPr="008A0DBE">
        <w:rPr>
          <w:rStyle w:val="Referencingstyle"/>
        </w:rPr>
        <w:t>and 2</w:t>
      </w:r>
      <w:r w:rsidR="00700B55" w:rsidRPr="008A0DBE">
        <w:rPr>
          <w:rStyle w:val="Referencingstyle"/>
        </w:rPr>
        <w:t>38</w:t>
      </w:r>
      <w:r w:rsidR="00B01006" w:rsidRPr="008A0DBE">
        <w:rPr>
          <w:rStyle w:val="Referencingstyle"/>
        </w:rPr>
        <w:t>-</w:t>
      </w:r>
      <w:r w:rsidR="00700B55" w:rsidRPr="008A0DBE">
        <w:rPr>
          <w:rStyle w:val="Referencingstyle"/>
        </w:rPr>
        <w:t xml:space="preserve">242 </w:t>
      </w:r>
      <w:r w:rsidR="00B01006" w:rsidRPr="008A0DBE">
        <w:rPr>
          <w:rStyle w:val="Referencingstyle"/>
        </w:rPr>
        <w:t xml:space="preserve">, </w:t>
      </w:r>
      <w:r w:rsidR="001C582D" w:rsidRPr="008A0DBE">
        <w:rPr>
          <w:rStyle w:val="Referencingstyle"/>
        </w:rPr>
        <w:t>subsections</w:t>
      </w:r>
      <w:r w:rsidRPr="008A0DBE">
        <w:rPr>
          <w:rStyle w:val="Referencingstyle"/>
        </w:rPr>
        <w:t xml:space="preserve"> 128AE</w:t>
      </w:r>
      <w:r w:rsidR="001C582D" w:rsidRPr="008A0DBE">
        <w:rPr>
          <w:rStyle w:val="Referencingstyle"/>
        </w:rPr>
        <w:t>(2), 128AE(2AA), 128AE(2AC), 128AE(2A), 128AE(2C), 128AE(3), section 130, paragraph 160ZZZC(a)</w:t>
      </w:r>
      <w:r w:rsidR="009874F0" w:rsidRPr="008A0DBE">
        <w:rPr>
          <w:rStyle w:val="Referencingstyle"/>
        </w:rPr>
        <w:t>, subsections 202CA(3)-(4), 202EH(1)-(3)</w:t>
      </w:r>
      <w:r w:rsidR="00B01006" w:rsidRPr="008A0DBE">
        <w:rPr>
          <w:rStyle w:val="Referencingstyle"/>
        </w:rPr>
        <w:t xml:space="preserve"> of the Income Tax Assessment Act 1936 and subsections </w:t>
      </w:r>
      <w:r w:rsidR="00D65A1B" w:rsidRPr="008A0DBE">
        <w:rPr>
          <w:rStyle w:val="Referencingstyle"/>
        </w:rPr>
        <w:t>30-85(2</w:t>
      </w:r>
      <w:r w:rsidR="00366C56" w:rsidRPr="008A0DBE">
        <w:rPr>
          <w:rStyle w:val="Referencingstyle"/>
        </w:rPr>
        <w:t>)-</w:t>
      </w:r>
      <w:r w:rsidR="00D65A1B" w:rsidRPr="008A0DBE">
        <w:rPr>
          <w:rStyle w:val="Referencingstyle"/>
        </w:rPr>
        <w:t>(4)</w:t>
      </w:r>
      <w:r w:rsidR="00B01006" w:rsidRPr="008A0DBE">
        <w:rPr>
          <w:rStyle w:val="Referencingstyle"/>
        </w:rPr>
        <w:t>, 30-86(2)</w:t>
      </w:r>
      <w:r w:rsidR="00FD61DA" w:rsidRPr="008A0DBE">
        <w:rPr>
          <w:rStyle w:val="Referencingstyle"/>
        </w:rPr>
        <w:t xml:space="preserve"> and </w:t>
      </w:r>
      <w:r w:rsidR="00D65A1B" w:rsidRPr="008A0DBE">
        <w:rPr>
          <w:rStyle w:val="Referencingstyle"/>
        </w:rPr>
        <w:t>(3)</w:t>
      </w:r>
      <w:r w:rsidR="00B01006" w:rsidRPr="008A0DBE">
        <w:rPr>
          <w:rStyle w:val="Referencingstyle"/>
        </w:rPr>
        <w:t>, 820-960(1</w:t>
      </w:r>
      <w:r w:rsidR="00FD61DA" w:rsidRPr="008A0DBE">
        <w:rPr>
          <w:rStyle w:val="Referencingstyle"/>
        </w:rPr>
        <w:t>A</w:t>
      </w:r>
      <w:r w:rsidR="00B01006" w:rsidRPr="008A0DBE">
        <w:rPr>
          <w:rStyle w:val="Referencingstyle"/>
        </w:rPr>
        <w:t xml:space="preserve">), 820-960(4) and </w:t>
      </w:r>
      <w:r w:rsidR="00FB6BB2" w:rsidRPr="008A0DBE">
        <w:rPr>
          <w:rStyle w:val="Referencingstyle"/>
        </w:rPr>
        <w:t>(</w:t>
      </w:r>
      <w:r w:rsidR="00B01006" w:rsidRPr="008A0DBE">
        <w:rPr>
          <w:rStyle w:val="Referencingstyle"/>
        </w:rPr>
        <w:t xml:space="preserve">5), sections 820-962 and 820-965 and paragraphs 820-990(1)(a) and 820-995(1)(a) </w:t>
      </w:r>
      <w:r w:rsidR="00D65A1B" w:rsidRPr="008A0DBE">
        <w:rPr>
          <w:rStyle w:val="Referencingstyle"/>
        </w:rPr>
        <w:t>of the Income Tax Assessment Act 1997</w:t>
      </w:r>
      <w:r w:rsidRPr="008A0DBE">
        <w:rPr>
          <w:rStyle w:val="Referencingstyle"/>
        </w:rPr>
        <w:t>]</w:t>
      </w:r>
    </w:p>
    <w:p w14:paraId="61B819E3" w14:textId="0D090614" w:rsidR="0020489F" w:rsidRPr="008A0DBE" w:rsidRDefault="0020489F" w:rsidP="008A0DBE">
      <w:pPr>
        <w:pStyle w:val="base-text-paragraph"/>
        <w:numPr>
          <w:ilvl w:val="1"/>
          <w:numId w:val="41"/>
        </w:numPr>
        <w:shd w:val="clear" w:color="auto" w:fill="FFFFFF" w:themeFill="background1"/>
      </w:pPr>
      <w:r w:rsidRPr="008A0DBE">
        <w:t>Legislative instruments are to be used</w:t>
      </w:r>
      <w:r w:rsidR="00561024" w:rsidRPr="008A0DBE">
        <w:t xml:space="preserve"> to</w:t>
      </w:r>
      <w:r w:rsidRPr="008A0DBE">
        <w:t>:</w:t>
      </w:r>
    </w:p>
    <w:p w14:paraId="6EC5FD7E" w14:textId="4B8DCCF1" w:rsidR="0020489F" w:rsidRPr="008A0DBE" w:rsidRDefault="0020489F" w:rsidP="008A0DBE">
      <w:pPr>
        <w:pStyle w:val="dotpoint"/>
        <w:shd w:val="clear" w:color="auto" w:fill="FFFFFF" w:themeFill="background1"/>
      </w:pPr>
      <w:r w:rsidRPr="008A0DBE">
        <w:t>set the date for lodgement of income tax returns under section 161</w:t>
      </w:r>
      <w:r w:rsidR="00FF08C4" w:rsidRPr="008A0DBE">
        <w:t xml:space="preserve"> of the </w:t>
      </w:r>
      <w:r w:rsidR="00FF08C4" w:rsidRPr="008A0DBE">
        <w:rPr>
          <w:i/>
        </w:rPr>
        <w:t>Income Tax Assessment Act 1936</w:t>
      </w:r>
      <w:r w:rsidRPr="008A0DBE">
        <w:t>;</w:t>
      </w:r>
    </w:p>
    <w:p w14:paraId="55DB80D1" w14:textId="7470F452" w:rsidR="00FA7B32" w:rsidRPr="008A0DBE" w:rsidRDefault="0020489F" w:rsidP="008A0DBE">
      <w:pPr>
        <w:pStyle w:val="dotpoint"/>
        <w:shd w:val="clear" w:color="auto" w:fill="FFFFFF" w:themeFill="background1"/>
      </w:pPr>
      <w:r w:rsidRPr="008A0DBE">
        <w:t>declare an arrangement to be, or not be, a unit trust under sections 202A or 202AB</w:t>
      </w:r>
      <w:r w:rsidR="00FF08C4" w:rsidRPr="008A0DBE">
        <w:t xml:space="preserve"> of the </w:t>
      </w:r>
      <w:r w:rsidR="00FF08C4" w:rsidRPr="008A0DBE">
        <w:rPr>
          <w:i/>
        </w:rPr>
        <w:t>Income Tax Assessment Act 1936</w:t>
      </w:r>
      <w:r w:rsidR="00B60DB6" w:rsidRPr="008A0DBE">
        <w:t>; and</w:t>
      </w:r>
    </w:p>
    <w:p w14:paraId="6EF49A86" w14:textId="77A2CDA2" w:rsidR="0020489F" w:rsidRPr="008A0DBE" w:rsidRDefault="00FA7B32" w:rsidP="008A0DBE">
      <w:pPr>
        <w:pStyle w:val="dotpoint"/>
        <w:shd w:val="clear" w:color="auto" w:fill="FFFFFF" w:themeFill="background1"/>
      </w:pPr>
      <w:r w:rsidRPr="008A0DBE">
        <w:t xml:space="preserve">require corporate tax entities to give a franking return (sections 214-5 and 214-15 of the </w:t>
      </w:r>
      <w:r w:rsidRPr="008A0DBE">
        <w:rPr>
          <w:i/>
        </w:rPr>
        <w:t>Income Tax Assessment Act 1997</w:t>
      </w:r>
      <w:r w:rsidRPr="008A0DBE">
        <w:t>)</w:t>
      </w:r>
      <w:r w:rsidR="00B60DB6" w:rsidRPr="008A0DBE">
        <w:t>.</w:t>
      </w:r>
    </w:p>
    <w:p w14:paraId="3BB7A647" w14:textId="14178DA3" w:rsidR="0065741E" w:rsidRPr="008A0DBE" w:rsidRDefault="0065741E" w:rsidP="008A0DBE">
      <w:pPr>
        <w:pStyle w:val="dotpoint"/>
        <w:numPr>
          <w:ilvl w:val="0"/>
          <w:numId w:val="0"/>
        </w:numPr>
        <w:shd w:val="clear" w:color="auto" w:fill="FFFFFF" w:themeFill="background1"/>
        <w:ind w:left="1984"/>
      </w:pPr>
      <w:r w:rsidRPr="008A0DBE">
        <w:rPr>
          <w:rStyle w:val="Referencingstyle"/>
        </w:rPr>
        <w:t>[Schedule #, items</w:t>
      </w:r>
      <w:r w:rsidR="001C582D" w:rsidRPr="008A0DBE">
        <w:rPr>
          <w:rStyle w:val="Referencingstyle"/>
        </w:rPr>
        <w:t xml:space="preserve"> </w:t>
      </w:r>
      <w:r w:rsidR="00700B55" w:rsidRPr="008A0DBE">
        <w:rPr>
          <w:rStyle w:val="Referencingstyle"/>
        </w:rPr>
        <w:t>219</w:t>
      </w:r>
      <w:r w:rsidR="001C582D" w:rsidRPr="008A0DBE">
        <w:rPr>
          <w:rStyle w:val="Referencingstyle"/>
        </w:rPr>
        <w:t>-22</w:t>
      </w:r>
      <w:r w:rsidR="00700B55" w:rsidRPr="008A0DBE">
        <w:rPr>
          <w:rStyle w:val="Referencingstyle"/>
        </w:rPr>
        <w:t>2</w:t>
      </w:r>
      <w:r w:rsidR="00B01006" w:rsidRPr="008A0DBE">
        <w:rPr>
          <w:rStyle w:val="Referencingstyle"/>
        </w:rPr>
        <w:t>, 2</w:t>
      </w:r>
      <w:r w:rsidR="00700B55" w:rsidRPr="008A0DBE">
        <w:rPr>
          <w:rStyle w:val="Referencingstyle"/>
        </w:rPr>
        <w:t>35</w:t>
      </w:r>
      <w:r w:rsidR="00B01006" w:rsidRPr="008A0DBE">
        <w:rPr>
          <w:rStyle w:val="Referencingstyle"/>
        </w:rPr>
        <w:t xml:space="preserve"> and 2</w:t>
      </w:r>
      <w:r w:rsidR="00700B55" w:rsidRPr="008A0DBE">
        <w:rPr>
          <w:rStyle w:val="Referencingstyle"/>
        </w:rPr>
        <w:t>37</w:t>
      </w:r>
      <w:r w:rsidR="00B01006" w:rsidRPr="008A0DBE">
        <w:rPr>
          <w:rStyle w:val="Referencingstyle"/>
        </w:rPr>
        <w:t>,</w:t>
      </w:r>
      <w:r w:rsidR="001C582D" w:rsidRPr="008A0DBE">
        <w:rPr>
          <w:rStyle w:val="Referencingstyle"/>
        </w:rPr>
        <w:t xml:space="preserve"> subsections 161(1) and 161(1A), definition of ‘unit trust’ in section 202A,</w:t>
      </w:r>
      <w:r w:rsidR="00D65A1B" w:rsidRPr="008A0DBE">
        <w:rPr>
          <w:rStyle w:val="Referencingstyle"/>
        </w:rPr>
        <w:t xml:space="preserve"> 202AB</w:t>
      </w:r>
      <w:r w:rsidR="001C582D" w:rsidRPr="008A0DBE">
        <w:rPr>
          <w:rStyle w:val="Referencingstyle"/>
        </w:rPr>
        <w:t>,</w:t>
      </w:r>
      <w:r w:rsidR="002C242A" w:rsidRPr="008A0DBE">
        <w:rPr>
          <w:rStyle w:val="Referencingstyle"/>
        </w:rPr>
        <w:t xml:space="preserve"> 202B, 202CA, </w:t>
      </w:r>
      <w:r w:rsidR="00D65A1B" w:rsidRPr="008A0DBE">
        <w:rPr>
          <w:rStyle w:val="Referencingstyle"/>
        </w:rPr>
        <w:t xml:space="preserve">202CA(3) of the Income Tax Assessment Act 1936 and </w:t>
      </w:r>
      <w:r w:rsidR="00FD61DA" w:rsidRPr="008A0DBE">
        <w:rPr>
          <w:rStyle w:val="Referencingstyle"/>
        </w:rPr>
        <w:t>sub</w:t>
      </w:r>
      <w:r w:rsidR="00D65A1B" w:rsidRPr="008A0DBE">
        <w:rPr>
          <w:rStyle w:val="Referencingstyle"/>
        </w:rPr>
        <w:t>sections</w:t>
      </w:r>
      <w:r w:rsidR="00FD61DA" w:rsidRPr="008A0DBE">
        <w:rPr>
          <w:rStyle w:val="Referencingstyle"/>
        </w:rPr>
        <w:t xml:space="preserve"> 214-5(2) and section</w:t>
      </w:r>
      <w:r w:rsidR="00D65A1B" w:rsidRPr="008A0DBE">
        <w:rPr>
          <w:rStyle w:val="Referencingstyle"/>
        </w:rPr>
        <w:t xml:space="preserve"> 214-215 of th</w:t>
      </w:r>
      <w:r w:rsidR="00EF269B" w:rsidRPr="008A0DBE">
        <w:rPr>
          <w:rStyle w:val="Referencingstyle"/>
        </w:rPr>
        <w:t>e Income Tax Assessment Act 1997</w:t>
      </w:r>
      <w:r w:rsidRPr="008A0DBE">
        <w:rPr>
          <w:rStyle w:val="Referencingstyle"/>
        </w:rPr>
        <w:t>]</w:t>
      </w:r>
    </w:p>
    <w:p w14:paraId="0C17BCEF" w14:textId="66A17304" w:rsidR="005850A5" w:rsidRPr="008A0DBE" w:rsidRDefault="005850A5" w:rsidP="008A0DBE">
      <w:pPr>
        <w:pStyle w:val="base-text-paragraph"/>
        <w:numPr>
          <w:ilvl w:val="1"/>
          <w:numId w:val="41"/>
        </w:numPr>
        <w:shd w:val="clear" w:color="auto" w:fill="FFFFFF" w:themeFill="background1"/>
      </w:pPr>
      <w:r w:rsidRPr="008A0DBE">
        <w:t>Amendments are also made to subsection 23AB(4)</w:t>
      </w:r>
      <w:r w:rsidR="00FF08C4" w:rsidRPr="008A0DBE">
        <w:t xml:space="preserve"> of the </w:t>
      </w:r>
      <w:r w:rsidR="00FF08C4" w:rsidRPr="008A0DBE">
        <w:rPr>
          <w:i/>
        </w:rPr>
        <w:t>Income Tax Assessment Act 1936</w:t>
      </w:r>
      <w:r w:rsidRPr="008A0DBE">
        <w:t xml:space="preserve"> to reflect the fact that regulations are no longer gazetted but are instead registered. </w:t>
      </w:r>
      <w:r w:rsidR="0065741E" w:rsidRPr="008A0DBE">
        <w:rPr>
          <w:rStyle w:val="Referencingstyle"/>
        </w:rPr>
        <w:t xml:space="preserve">[Schedule #, item </w:t>
      </w:r>
      <w:r w:rsidR="00700B55" w:rsidRPr="008A0DBE">
        <w:rPr>
          <w:rStyle w:val="Referencingstyle"/>
        </w:rPr>
        <w:t>207</w:t>
      </w:r>
      <w:r w:rsidR="0065741E" w:rsidRPr="008A0DBE">
        <w:rPr>
          <w:rStyle w:val="Referencingstyle"/>
        </w:rPr>
        <w:t>, subsection 23AB(4) of the Income Tax Assessment Act 1936]</w:t>
      </w:r>
    </w:p>
    <w:p w14:paraId="3C9AB76C" w14:textId="59E61ABB" w:rsidR="0020489F" w:rsidRPr="008A0DBE" w:rsidRDefault="0020489F" w:rsidP="008A0DBE">
      <w:pPr>
        <w:pStyle w:val="base-text-paragraph"/>
        <w:numPr>
          <w:ilvl w:val="1"/>
          <w:numId w:val="41"/>
        </w:numPr>
        <w:shd w:val="clear" w:color="auto" w:fill="FFFFFF" w:themeFill="background1"/>
      </w:pPr>
      <w:r w:rsidRPr="008A0DBE">
        <w:t xml:space="preserve">Several redundant provisions in the </w:t>
      </w:r>
      <w:r w:rsidRPr="008A0DBE">
        <w:rPr>
          <w:i/>
        </w:rPr>
        <w:t>Income Tax Assessment Act 1936</w:t>
      </w:r>
      <w:r w:rsidRPr="008A0DBE">
        <w:t xml:space="preserve"> are also repealed. </w:t>
      </w:r>
      <w:r w:rsidR="00D81711" w:rsidRPr="008A0DBE">
        <w:t>First, t</w:t>
      </w:r>
      <w:r w:rsidRPr="008A0DBE">
        <w:t xml:space="preserve">he definition of ‘Commonwealth securities’ is no longer required as the term ‘Commonwealth securities’ now only appears in paragraph 82SA(5)(b) and the definition adds little to no interpretative value in the context of that provision. </w:t>
      </w:r>
      <w:r w:rsidR="00D81711" w:rsidRPr="008A0DBE">
        <w:t>Second, s</w:t>
      </w:r>
      <w:r w:rsidRPr="008A0DBE">
        <w:t xml:space="preserve">ubsections </w:t>
      </w:r>
      <w:r w:rsidR="005850A5" w:rsidRPr="008A0DBE">
        <w:t xml:space="preserve">128AB(2), </w:t>
      </w:r>
      <w:r w:rsidRPr="008A0DBE">
        <w:t xml:space="preserve">202B(3) and </w:t>
      </w:r>
      <w:r w:rsidR="005850A5" w:rsidRPr="008A0DBE">
        <w:t>202B</w:t>
      </w:r>
      <w:r w:rsidRPr="008A0DBE">
        <w:t>(4)</w:t>
      </w:r>
      <w:r w:rsidR="005850A5" w:rsidRPr="008A0DBE">
        <w:t xml:space="preserve"> </w:t>
      </w:r>
      <w:r w:rsidR="00EF269B" w:rsidRPr="008A0DBE">
        <w:t xml:space="preserve">and Division 7 of Part VA </w:t>
      </w:r>
      <w:r w:rsidR="005850A5" w:rsidRPr="008A0DBE">
        <w:t>are redundant as there are</w:t>
      </w:r>
      <w:r w:rsidR="00561024" w:rsidRPr="008A0DBE">
        <w:t xml:space="preserve"> </w:t>
      </w:r>
      <w:r w:rsidR="005850A5" w:rsidRPr="008A0DBE">
        <w:t>now standardised provisions for approving forms</w:t>
      </w:r>
      <w:r w:rsidRPr="008A0DBE">
        <w:t>.</w:t>
      </w:r>
      <w:r w:rsidR="005B6763" w:rsidRPr="008A0DBE">
        <w:t xml:space="preserve"> </w:t>
      </w:r>
      <w:r w:rsidR="0065741E" w:rsidRPr="008A0DBE">
        <w:rPr>
          <w:rStyle w:val="Referencingstyle"/>
        </w:rPr>
        <w:t>[Schedule #, item</w:t>
      </w:r>
      <w:r w:rsidR="001C582D" w:rsidRPr="008A0DBE">
        <w:rPr>
          <w:rStyle w:val="Referencingstyle"/>
        </w:rPr>
        <w:t xml:space="preserve">s </w:t>
      </w:r>
      <w:r w:rsidR="00700B55" w:rsidRPr="008A0DBE">
        <w:rPr>
          <w:rStyle w:val="Referencingstyle"/>
        </w:rPr>
        <w:t xml:space="preserve">206 </w:t>
      </w:r>
      <w:r w:rsidR="001C582D" w:rsidRPr="008A0DBE">
        <w:rPr>
          <w:rStyle w:val="Referencingstyle"/>
        </w:rPr>
        <w:t>and 2</w:t>
      </w:r>
      <w:r w:rsidR="00700B55" w:rsidRPr="008A0DBE">
        <w:rPr>
          <w:rStyle w:val="Referencingstyle"/>
        </w:rPr>
        <w:t>08</w:t>
      </w:r>
      <w:r w:rsidR="001C582D" w:rsidRPr="008A0DBE">
        <w:rPr>
          <w:rStyle w:val="Referencingstyle"/>
        </w:rPr>
        <w:t>-21</w:t>
      </w:r>
      <w:r w:rsidR="00700B55" w:rsidRPr="008A0DBE">
        <w:rPr>
          <w:rStyle w:val="Referencingstyle"/>
        </w:rPr>
        <w:t>0</w:t>
      </w:r>
      <w:r w:rsidR="009874F0" w:rsidRPr="008A0DBE">
        <w:rPr>
          <w:rStyle w:val="Referencingstyle"/>
        </w:rPr>
        <w:t>, 22</w:t>
      </w:r>
      <w:r w:rsidR="00700B55" w:rsidRPr="008A0DBE">
        <w:rPr>
          <w:rStyle w:val="Referencingstyle"/>
        </w:rPr>
        <w:t>4</w:t>
      </w:r>
      <w:r w:rsidR="001C582D" w:rsidRPr="008A0DBE">
        <w:rPr>
          <w:rStyle w:val="Referencingstyle"/>
        </w:rPr>
        <w:t>,</w:t>
      </w:r>
      <w:r w:rsidR="0065741E" w:rsidRPr="008A0DBE">
        <w:rPr>
          <w:rStyle w:val="Referencingstyle"/>
        </w:rPr>
        <w:t xml:space="preserve"> </w:t>
      </w:r>
      <w:r w:rsidR="009874F0" w:rsidRPr="008A0DBE">
        <w:rPr>
          <w:rStyle w:val="Referencingstyle"/>
        </w:rPr>
        <w:t>2</w:t>
      </w:r>
      <w:r w:rsidR="00700B55" w:rsidRPr="008A0DBE">
        <w:rPr>
          <w:rStyle w:val="Referencingstyle"/>
        </w:rPr>
        <w:t>29-230</w:t>
      </w:r>
      <w:r w:rsidR="009874F0" w:rsidRPr="008A0DBE">
        <w:rPr>
          <w:rStyle w:val="Referencingstyle"/>
        </w:rPr>
        <w:t xml:space="preserve">, </w:t>
      </w:r>
      <w:r w:rsidR="0065741E" w:rsidRPr="008A0DBE">
        <w:rPr>
          <w:rStyle w:val="Referencingstyle"/>
        </w:rPr>
        <w:t>definition of ‘Commonwealth securities’ in subsection 6(1), paragraph 82SA(5)(b)</w:t>
      </w:r>
      <w:r w:rsidR="001C582D" w:rsidRPr="008A0DBE">
        <w:rPr>
          <w:rStyle w:val="Referencingstyle"/>
        </w:rPr>
        <w:t>, subsections 128AB(1)-(2)</w:t>
      </w:r>
      <w:r w:rsidR="009874F0" w:rsidRPr="008A0DBE">
        <w:rPr>
          <w:rStyle w:val="Referencingstyle"/>
        </w:rPr>
        <w:t>, subsections 202B(3) and 202B(4</w:t>
      </w:r>
      <w:r w:rsidR="00D65A1B" w:rsidRPr="008A0DBE">
        <w:rPr>
          <w:rStyle w:val="Referencingstyle"/>
        </w:rPr>
        <w:t>)</w:t>
      </w:r>
      <w:r w:rsidR="005656F3" w:rsidRPr="008A0DBE">
        <w:rPr>
          <w:rStyle w:val="Referencingstyle"/>
        </w:rPr>
        <w:t xml:space="preserve">, </w:t>
      </w:r>
      <w:r w:rsidR="009874F0" w:rsidRPr="008A0DBE">
        <w:rPr>
          <w:rStyle w:val="Referencingstyle"/>
        </w:rPr>
        <w:t>paragraph 202F(1)(f)</w:t>
      </w:r>
      <w:r w:rsidR="005656F3" w:rsidRPr="008A0DBE">
        <w:rPr>
          <w:rStyle w:val="Referencingstyle"/>
        </w:rPr>
        <w:t xml:space="preserve"> and Division 7 of Part VA</w:t>
      </w:r>
      <w:r w:rsidR="00D65A1B" w:rsidRPr="008A0DBE">
        <w:rPr>
          <w:rStyle w:val="Referencingstyle"/>
        </w:rPr>
        <w:t xml:space="preserve"> of the Income Tax Assessment Act 1936]</w:t>
      </w:r>
    </w:p>
    <w:p w14:paraId="53709369" w14:textId="6B9C56F1" w:rsidR="00FA7B32" w:rsidRPr="008A0DBE" w:rsidRDefault="00FA7B32" w:rsidP="008A0DBE">
      <w:pPr>
        <w:pStyle w:val="base-text-paragraph"/>
        <w:numPr>
          <w:ilvl w:val="1"/>
          <w:numId w:val="41"/>
        </w:numPr>
        <w:shd w:val="clear" w:color="auto" w:fill="FFFFFF" w:themeFill="background1"/>
      </w:pPr>
      <w:r w:rsidRPr="008A0DBE">
        <w:t>A typographical error in subsection 214-5(6) of the</w:t>
      </w:r>
      <w:r w:rsidRPr="008A0DBE">
        <w:rPr>
          <w:i/>
        </w:rPr>
        <w:t xml:space="preserve"> Income Tax Assessment Act 1997</w:t>
      </w:r>
      <w:r w:rsidRPr="008A0DBE">
        <w:t xml:space="preserve"> is also corrected.</w:t>
      </w:r>
      <w:r w:rsidR="00B01006" w:rsidRPr="008A0DBE">
        <w:rPr>
          <w:rStyle w:val="Referencingstyle"/>
        </w:rPr>
        <w:t xml:space="preserve"> [Schedule #, item </w:t>
      </w:r>
      <w:r w:rsidR="00700B55" w:rsidRPr="008A0DBE">
        <w:rPr>
          <w:rStyle w:val="Referencingstyle"/>
        </w:rPr>
        <w:t>236</w:t>
      </w:r>
      <w:r w:rsidR="00B01006" w:rsidRPr="008A0DBE">
        <w:rPr>
          <w:rStyle w:val="Referencingstyle"/>
        </w:rPr>
        <w:t>, subsection 214-5(6) of the Income Tax Assessment Act 1997]</w:t>
      </w:r>
    </w:p>
    <w:p w14:paraId="19F3079B" w14:textId="55A479DD" w:rsidR="00636385" w:rsidRPr="008A0DBE" w:rsidRDefault="00B60DB6" w:rsidP="008A0DBE">
      <w:pPr>
        <w:pStyle w:val="base-text-paragraph"/>
        <w:numPr>
          <w:ilvl w:val="1"/>
          <w:numId w:val="41"/>
        </w:numPr>
        <w:shd w:val="clear" w:color="auto" w:fill="FFFFFF" w:themeFill="background1"/>
      </w:pPr>
      <w:r w:rsidRPr="008A0DBE">
        <w:t xml:space="preserve">Amendments are made to the </w:t>
      </w:r>
      <w:r w:rsidRPr="008A0DBE">
        <w:rPr>
          <w:i/>
        </w:rPr>
        <w:t xml:space="preserve">Insurance Acquisitions and Takeovers Act 1991 </w:t>
      </w:r>
      <w:r w:rsidRPr="008A0DBE">
        <w:t>to ensure that restraining orders and divestment orders in relation to arrangements resulting in the acquisition or takeover of an insurance business are made and revoked by way of notifiable instrument.</w:t>
      </w:r>
      <w:r w:rsidR="00636385" w:rsidRPr="008A0DBE">
        <w:rPr>
          <w:rStyle w:val="Referencingstyle"/>
        </w:rPr>
        <w:t xml:space="preserve"> [Schedule #, items 24</w:t>
      </w:r>
      <w:r w:rsidR="00700B55" w:rsidRPr="008A0DBE">
        <w:rPr>
          <w:rStyle w:val="Referencingstyle"/>
        </w:rPr>
        <w:t>3</w:t>
      </w:r>
      <w:r w:rsidR="00636385" w:rsidRPr="008A0DBE">
        <w:rPr>
          <w:rStyle w:val="Referencingstyle"/>
        </w:rPr>
        <w:t>-2</w:t>
      </w:r>
      <w:r w:rsidR="00700B55" w:rsidRPr="008A0DBE">
        <w:rPr>
          <w:rStyle w:val="Referencingstyle"/>
        </w:rPr>
        <w:t>55</w:t>
      </w:r>
      <w:r w:rsidR="00636385" w:rsidRPr="008A0DBE">
        <w:rPr>
          <w:rStyle w:val="Referencingstyle"/>
        </w:rPr>
        <w:t>, section 43, subsections 44(1), 44(1A) and</w:t>
      </w:r>
      <w:r w:rsidR="00FB6BB2" w:rsidRPr="008A0DBE">
        <w:rPr>
          <w:rStyle w:val="Referencingstyle"/>
        </w:rPr>
        <w:t xml:space="preserve"> </w:t>
      </w:r>
      <w:r w:rsidR="00636385" w:rsidRPr="008A0DBE">
        <w:rPr>
          <w:rStyle w:val="Referencingstyle"/>
        </w:rPr>
        <w:t>44(2), sections 46 and 47, subsection 48(1), section 57, subsections 58(1) and 58(2), section 60, subsections 61(1), 61(2) and 62(1) of the Insurance Acquisitions and Takeovers Act 1991]</w:t>
      </w:r>
    </w:p>
    <w:p w14:paraId="2EF1F1BC" w14:textId="21E40255" w:rsidR="00B60DB6" w:rsidRPr="008A0DBE" w:rsidRDefault="002C70CB" w:rsidP="008A0DBE">
      <w:pPr>
        <w:pStyle w:val="base-text-paragraph"/>
        <w:numPr>
          <w:ilvl w:val="1"/>
          <w:numId w:val="41"/>
        </w:numPr>
        <w:shd w:val="clear" w:color="auto" w:fill="FFFFFF" w:themeFill="background1"/>
      </w:pPr>
      <w:r w:rsidRPr="008A0DBE">
        <w:t xml:space="preserve">The </w:t>
      </w:r>
      <w:r w:rsidRPr="008A0DBE">
        <w:rPr>
          <w:i/>
        </w:rPr>
        <w:t xml:space="preserve">Insurance Contracts Act 1984 </w:t>
      </w:r>
      <w:r w:rsidRPr="008A0DBE">
        <w:t>is amended to ensure that regulations made to limit an insurer</w:t>
      </w:r>
      <w:r w:rsidR="00D81711" w:rsidRPr="008A0DBE">
        <w:t>’</w:t>
      </w:r>
      <w:r w:rsidRPr="008A0DBE">
        <w:t>s right to refuse to pay an amount in relation to an identified event must now be published on the Federal Register of Legislation instead of being notified in the Gazette.</w:t>
      </w:r>
      <w:r w:rsidR="00636385" w:rsidRPr="008A0DBE">
        <w:rPr>
          <w:rStyle w:val="Referencingstyle"/>
        </w:rPr>
        <w:t xml:space="preserve"> [Schedule #, item </w:t>
      </w:r>
      <w:r w:rsidR="00700B55" w:rsidRPr="008A0DBE">
        <w:rPr>
          <w:rStyle w:val="Referencingstyle"/>
        </w:rPr>
        <w:t>256</w:t>
      </w:r>
      <w:r w:rsidR="00636385" w:rsidRPr="008A0DBE">
        <w:rPr>
          <w:rStyle w:val="Referencingstyle"/>
        </w:rPr>
        <w:t>, subsection 35(3) of the Insurance Contracts Act 1984]</w:t>
      </w:r>
    </w:p>
    <w:p w14:paraId="1AA6D1C6" w14:textId="433A31B3" w:rsidR="00DE188E" w:rsidRPr="008A0DBE" w:rsidRDefault="00FE395B" w:rsidP="008A0DBE">
      <w:pPr>
        <w:pStyle w:val="base-text-paragraph"/>
        <w:numPr>
          <w:ilvl w:val="1"/>
          <w:numId w:val="41"/>
        </w:numPr>
        <w:shd w:val="clear" w:color="auto" w:fill="FFFFFF" w:themeFill="background1"/>
      </w:pPr>
      <w:r w:rsidRPr="008A0DBE">
        <w:t>Section 4A of t</w:t>
      </w:r>
      <w:r w:rsidR="00DE188E" w:rsidRPr="008A0DBE">
        <w:t xml:space="preserve">he </w:t>
      </w:r>
      <w:r w:rsidRPr="008A0DBE">
        <w:rPr>
          <w:i/>
        </w:rPr>
        <w:t>Inter</w:t>
      </w:r>
      <w:r w:rsidR="00DE188E" w:rsidRPr="008A0DBE">
        <w:rPr>
          <w:i/>
        </w:rPr>
        <w:t>n</w:t>
      </w:r>
      <w:r w:rsidRPr="008A0DBE">
        <w:rPr>
          <w:i/>
        </w:rPr>
        <w:t>a</w:t>
      </w:r>
      <w:r w:rsidR="00DE188E" w:rsidRPr="008A0DBE">
        <w:rPr>
          <w:i/>
        </w:rPr>
        <w:t xml:space="preserve">tional Tax Agreement Act 1953 </w:t>
      </w:r>
      <w:r w:rsidR="00DE188E" w:rsidRPr="008A0DBE">
        <w:t>is updated to require the Treasurer to publish</w:t>
      </w:r>
      <w:r w:rsidRPr="008A0DBE">
        <w:t xml:space="preserve"> </w:t>
      </w:r>
      <w:r w:rsidR="00DE188E" w:rsidRPr="008A0DBE">
        <w:t>information about a tax treaty coming into force</w:t>
      </w:r>
      <w:r w:rsidRPr="008A0DBE">
        <w:t xml:space="preserve"> by registering a notifiable instrument.</w:t>
      </w:r>
      <w:r w:rsidR="00636385" w:rsidRPr="008A0DBE">
        <w:rPr>
          <w:rStyle w:val="Referencingstyle"/>
        </w:rPr>
        <w:t xml:space="preserve"> [Schedule #, item </w:t>
      </w:r>
      <w:r w:rsidR="00700B55" w:rsidRPr="008A0DBE">
        <w:rPr>
          <w:rStyle w:val="Referencingstyle"/>
        </w:rPr>
        <w:t>257</w:t>
      </w:r>
      <w:r w:rsidR="00636385" w:rsidRPr="008A0DBE">
        <w:rPr>
          <w:rStyle w:val="Referencingstyle"/>
        </w:rPr>
        <w:t>, subsection 4A(2) of the International Tax Agreements Act 1953]</w:t>
      </w:r>
    </w:p>
    <w:p w14:paraId="1E1018C2" w14:textId="2223AA45" w:rsidR="00DE188E" w:rsidRPr="008A0DBE" w:rsidRDefault="002C70CB" w:rsidP="008A0DBE">
      <w:pPr>
        <w:pStyle w:val="base-text-paragraph"/>
        <w:numPr>
          <w:ilvl w:val="1"/>
          <w:numId w:val="41"/>
        </w:numPr>
        <w:shd w:val="clear" w:color="auto" w:fill="FFFFFF" w:themeFill="background1"/>
      </w:pPr>
      <w:r w:rsidRPr="008A0DBE">
        <w:t>The</w:t>
      </w:r>
      <w:r w:rsidRPr="008A0DBE">
        <w:rPr>
          <w:i/>
        </w:rPr>
        <w:t xml:space="preserve"> Payment Systems and Netting Act 1998 </w:t>
      </w:r>
      <w:r w:rsidRPr="008A0DBE">
        <w:t xml:space="preserve">and the </w:t>
      </w:r>
      <w:r w:rsidRPr="008A0DBE">
        <w:rPr>
          <w:i/>
        </w:rPr>
        <w:t>Payment</w:t>
      </w:r>
      <w:r w:rsidR="00693577" w:rsidRPr="008A0DBE">
        <w:rPr>
          <w:i/>
        </w:rPr>
        <w:t> </w:t>
      </w:r>
      <w:r w:rsidRPr="008A0DBE">
        <w:rPr>
          <w:i/>
        </w:rPr>
        <w:t>Systems (Regulation) Act 1998</w:t>
      </w:r>
      <w:r w:rsidRPr="008A0DBE">
        <w:t xml:space="preserve"> are also updated. A notifiable instrument </w:t>
      </w:r>
      <w:r w:rsidR="00B5636F" w:rsidRPr="008A0DBE">
        <w:t xml:space="preserve">must be used by the Reserve Bank of Australia for authorities (and change authorities), exemptions and notifications of action and to declare that a section of the </w:t>
      </w:r>
      <w:r w:rsidR="00B5636F" w:rsidRPr="008A0DBE">
        <w:rPr>
          <w:i/>
        </w:rPr>
        <w:t xml:space="preserve">Payment Systems and Netting Act 1998 </w:t>
      </w:r>
      <w:r w:rsidR="00B5636F" w:rsidRPr="008A0DBE">
        <w:t xml:space="preserve">does not apply to a particular contract for a short period. A legislative instrument must be used to designate a payment system or declare that the </w:t>
      </w:r>
      <w:r w:rsidR="00B5636F" w:rsidRPr="008A0DBE">
        <w:rPr>
          <w:i/>
        </w:rPr>
        <w:t>Payment Systems (Regulation) Act 1998</w:t>
      </w:r>
      <w:r w:rsidR="00B5636F" w:rsidRPr="008A0DBE">
        <w:t xml:space="preserve"> does not apply to a specified</w:t>
      </w:r>
      <w:r w:rsidR="00DE188E" w:rsidRPr="008A0DBE">
        <w:t xml:space="preserve"> facility or class of facilities. Provisions which were made redundant by the passage of the </w:t>
      </w:r>
      <w:r w:rsidR="00DE188E" w:rsidRPr="008A0DBE">
        <w:rPr>
          <w:i/>
        </w:rPr>
        <w:t>Legislation Act</w:t>
      </w:r>
      <w:r w:rsidR="00DE188E" w:rsidRPr="008A0DBE">
        <w:t xml:space="preserve"> </w:t>
      </w:r>
      <w:r w:rsidR="00DE188E" w:rsidRPr="008A0DBE">
        <w:rPr>
          <w:i/>
        </w:rPr>
        <w:t>2003</w:t>
      </w:r>
      <w:r w:rsidR="00DE188E" w:rsidRPr="008A0DBE">
        <w:t xml:space="preserve"> are</w:t>
      </w:r>
      <w:r w:rsidR="003145E4" w:rsidRPr="008A0DBE">
        <w:t xml:space="preserve"> also</w:t>
      </w:r>
      <w:r w:rsidR="00DE188E" w:rsidRPr="008A0DBE">
        <w:t xml:space="preserve"> repealed.</w:t>
      </w:r>
      <w:r w:rsidR="00636385" w:rsidRPr="008A0DBE">
        <w:rPr>
          <w:rStyle w:val="Referencingstyle"/>
        </w:rPr>
        <w:t xml:space="preserve"> [Schedule #, items </w:t>
      </w:r>
      <w:r w:rsidR="00700B55" w:rsidRPr="008A0DBE">
        <w:rPr>
          <w:rStyle w:val="Referencingstyle"/>
        </w:rPr>
        <w:t>258</w:t>
      </w:r>
      <w:r w:rsidR="00636385" w:rsidRPr="008A0DBE">
        <w:rPr>
          <w:rStyle w:val="Referencingstyle"/>
        </w:rPr>
        <w:t>-</w:t>
      </w:r>
      <w:r w:rsidR="00DA6044" w:rsidRPr="008A0DBE">
        <w:rPr>
          <w:rStyle w:val="Referencingstyle"/>
        </w:rPr>
        <w:t>294</w:t>
      </w:r>
      <w:r w:rsidR="00636385" w:rsidRPr="008A0DBE">
        <w:rPr>
          <w:rStyle w:val="Referencingstyle"/>
        </w:rPr>
        <w:t>, subsection 15(1) and 15(2) of the Payment Systems and Netting Act 1998 and subsections 9(3), 11(1</w:t>
      </w:r>
      <w:r w:rsidR="00D50030" w:rsidRPr="008A0DBE">
        <w:rPr>
          <w:rStyle w:val="Referencingstyle"/>
        </w:rPr>
        <w:t>)-</w:t>
      </w:r>
      <w:r w:rsidR="007B087E" w:rsidRPr="008A0DBE">
        <w:rPr>
          <w:rStyle w:val="Referencingstyle"/>
        </w:rPr>
        <w:t>11(3), 12(1), 12(3) and</w:t>
      </w:r>
      <w:r w:rsidR="00636385" w:rsidRPr="008A0DBE">
        <w:rPr>
          <w:rStyle w:val="Referencingstyle"/>
        </w:rPr>
        <w:t xml:space="preserve"> 12(4), paragraph</w:t>
      </w:r>
      <w:r w:rsidR="007B087E" w:rsidRPr="008A0DBE">
        <w:rPr>
          <w:rStyle w:val="Referencingstyle"/>
        </w:rPr>
        <w:t xml:space="preserve"> 13(a) and</w:t>
      </w:r>
      <w:r w:rsidR="00636385" w:rsidRPr="008A0DBE">
        <w:rPr>
          <w:rStyle w:val="Referencingstyle"/>
        </w:rPr>
        <w:t xml:space="preserve"> sections 14, 15, 18, 23, 25, 27, 28, 29 and 30 of the Payment Systems (Regulation) Act 1998] </w:t>
      </w:r>
    </w:p>
    <w:p w14:paraId="1FFD9892" w14:textId="4D47EE69" w:rsidR="002C70CB" w:rsidRPr="008A0DBE" w:rsidRDefault="003145E4" w:rsidP="008A0DBE">
      <w:pPr>
        <w:pStyle w:val="base-text-paragraph"/>
        <w:numPr>
          <w:ilvl w:val="1"/>
          <w:numId w:val="41"/>
        </w:numPr>
        <w:shd w:val="clear" w:color="auto" w:fill="FFFFFF" w:themeFill="background1"/>
      </w:pPr>
      <w:r w:rsidRPr="008A0DBE">
        <w:t>Further, t</w:t>
      </w:r>
      <w:r w:rsidR="003B441C" w:rsidRPr="008A0DBE">
        <w:t>he requirement for the Minister to set the manner and form in which information is to be produced by an oil producer</w:t>
      </w:r>
      <w:r w:rsidR="00DE188E" w:rsidRPr="008A0DBE">
        <w:t xml:space="preserve"> </w:t>
      </w:r>
      <w:r w:rsidR="003B441C" w:rsidRPr="008A0DBE">
        <w:t xml:space="preserve">in the </w:t>
      </w:r>
      <w:r w:rsidR="003B441C" w:rsidRPr="008A0DBE">
        <w:rPr>
          <w:i/>
        </w:rPr>
        <w:t>Petroleum</w:t>
      </w:r>
      <w:r w:rsidR="00C17830" w:rsidRPr="008A0DBE">
        <w:rPr>
          <w:i/>
        </w:rPr>
        <w:t> </w:t>
      </w:r>
      <w:r w:rsidR="003B441C" w:rsidRPr="008A0DBE">
        <w:rPr>
          <w:i/>
        </w:rPr>
        <w:t>Excise (Prices) Act 1987</w:t>
      </w:r>
      <w:r w:rsidR="003B441C" w:rsidRPr="008A0DBE">
        <w:t xml:space="preserve"> is updated so that it is done by way of legislative instrument instead of Gazette.</w:t>
      </w:r>
      <w:r w:rsidR="007B087E" w:rsidRPr="008A0DBE">
        <w:rPr>
          <w:rStyle w:val="Referencingstyle"/>
        </w:rPr>
        <w:t xml:space="preserve"> [Schedule #, item </w:t>
      </w:r>
      <w:r w:rsidR="00DA6044" w:rsidRPr="008A0DBE">
        <w:rPr>
          <w:rStyle w:val="Referencingstyle"/>
        </w:rPr>
        <w:t>295</w:t>
      </w:r>
      <w:r w:rsidR="007B087E" w:rsidRPr="008A0DBE">
        <w:rPr>
          <w:rStyle w:val="Referencingstyle"/>
        </w:rPr>
        <w:t>, subsection 6(2) of the Petroleum Excise (Prices) Act 1987]</w:t>
      </w:r>
    </w:p>
    <w:p w14:paraId="4071D0FE" w14:textId="5DAF6DF7" w:rsidR="003B441C" w:rsidRPr="008A0DBE" w:rsidRDefault="003B441C" w:rsidP="008A0DBE">
      <w:pPr>
        <w:pStyle w:val="base-text-paragraph"/>
        <w:numPr>
          <w:ilvl w:val="1"/>
          <w:numId w:val="41"/>
        </w:numPr>
        <w:shd w:val="clear" w:color="auto" w:fill="FFFFFF" w:themeFill="background1"/>
      </w:pPr>
      <w:r w:rsidRPr="008A0DBE">
        <w:t xml:space="preserve">In the </w:t>
      </w:r>
      <w:r w:rsidRPr="008A0DBE">
        <w:rPr>
          <w:i/>
        </w:rPr>
        <w:t>Reserve Bank Act 1959</w:t>
      </w:r>
      <w:r w:rsidRPr="008A0DBE">
        <w:t>, amendments are made to require the Treasurer to use a legislative instrument to disapply the Act to an external territory or determine denominations of bank notices.</w:t>
      </w:r>
      <w:r w:rsidR="007B087E" w:rsidRPr="008A0DBE">
        <w:rPr>
          <w:rStyle w:val="Referencingstyle"/>
        </w:rPr>
        <w:t xml:space="preserve"> [Schedule #, items </w:t>
      </w:r>
      <w:r w:rsidR="00DA6044" w:rsidRPr="008A0DBE">
        <w:rPr>
          <w:rStyle w:val="Referencingstyle"/>
        </w:rPr>
        <w:t>296</w:t>
      </w:r>
      <w:r w:rsidR="007B087E" w:rsidRPr="008A0DBE">
        <w:rPr>
          <w:rStyle w:val="Referencingstyle"/>
        </w:rPr>
        <w:t>-</w:t>
      </w:r>
      <w:r w:rsidR="00DA6044" w:rsidRPr="008A0DBE">
        <w:rPr>
          <w:rStyle w:val="Referencingstyle"/>
        </w:rPr>
        <w:t>299</w:t>
      </w:r>
      <w:r w:rsidR="007B087E" w:rsidRPr="008A0DBE">
        <w:rPr>
          <w:rStyle w:val="Referencingstyle"/>
        </w:rPr>
        <w:t>, sections 6A and 35 of the Reserve Bank Act 1959]</w:t>
      </w:r>
    </w:p>
    <w:p w14:paraId="33EC4463" w14:textId="77777777" w:rsidR="003B441C" w:rsidRPr="008A0DBE" w:rsidRDefault="003B441C" w:rsidP="008A0DBE">
      <w:pPr>
        <w:pStyle w:val="base-text-paragraph"/>
        <w:numPr>
          <w:ilvl w:val="1"/>
          <w:numId w:val="41"/>
        </w:numPr>
        <w:shd w:val="clear" w:color="auto" w:fill="FFFFFF" w:themeFill="background1"/>
      </w:pPr>
      <w:r w:rsidRPr="008A0DBE">
        <w:t xml:space="preserve">The </w:t>
      </w:r>
      <w:r w:rsidRPr="008A0DBE">
        <w:rPr>
          <w:i/>
        </w:rPr>
        <w:t>Tax Agent Services Act 2009</w:t>
      </w:r>
      <w:r w:rsidRPr="008A0DBE">
        <w:t xml:space="preserve"> is amended to require a notifiable instrument to be used:</w:t>
      </w:r>
    </w:p>
    <w:p w14:paraId="02699EE7" w14:textId="6BE48FB2" w:rsidR="003B441C" w:rsidRPr="008A0DBE" w:rsidRDefault="003B441C" w:rsidP="008A0DBE">
      <w:pPr>
        <w:pStyle w:val="dotpoint"/>
        <w:shd w:val="clear" w:color="auto" w:fill="FFFFFF" w:themeFill="background1"/>
      </w:pPr>
      <w:r w:rsidRPr="008A0DBE">
        <w:t xml:space="preserve">by the Commissioner to approve </w:t>
      </w:r>
      <w:r w:rsidR="00FC064C" w:rsidRPr="008A0DBE">
        <w:t xml:space="preserve">a </w:t>
      </w:r>
      <w:r w:rsidRPr="008A0DBE">
        <w:t xml:space="preserve">scheme where tax agent services can be provided on a voluntary basis without registration; and </w:t>
      </w:r>
    </w:p>
    <w:p w14:paraId="2883447A" w14:textId="07C27EA4" w:rsidR="003B441C" w:rsidRPr="008A0DBE" w:rsidRDefault="003B441C" w:rsidP="008A0DBE">
      <w:pPr>
        <w:pStyle w:val="dotpoint"/>
        <w:shd w:val="clear" w:color="auto" w:fill="FFFFFF" w:themeFill="background1"/>
      </w:pPr>
      <w:r w:rsidRPr="008A0DBE">
        <w:t>by the Tax Agent Board to notify the public of certain decisions.</w:t>
      </w:r>
    </w:p>
    <w:p w14:paraId="4B80FE98" w14:textId="49128766" w:rsidR="007B087E" w:rsidRPr="008A0DBE" w:rsidRDefault="007B087E" w:rsidP="008A0DBE">
      <w:pPr>
        <w:pStyle w:val="dotpoint"/>
        <w:numPr>
          <w:ilvl w:val="0"/>
          <w:numId w:val="0"/>
        </w:numPr>
        <w:shd w:val="clear" w:color="auto" w:fill="FFFFFF" w:themeFill="background1"/>
        <w:ind w:left="1984"/>
      </w:pPr>
      <w:r w:rsidRPr="008A0DBE">
        <w:rPr>
          <w:rStyle w:val="Referencingstyle"/>
        </w:rPr>
        <w:t xml:space="preserve">[Schedule #, items </w:t>
      </w:r>
      <w:r w:rsidR="00DA6044" w:rsidRPr="008A0DBE">
        <w:rPr>
          <w:rStyle w:val="Referencingstyle"/>
        </w:rPr>
        <w:t>300</w:t>
      </w:r>
      <w:r w:rsidRPr="008A0DBE">
        <w:rPr>
          <w:rStyle w:val="Referencingstyle"/>
        </w:rPr>
        <w:t>-30</w:t>
      </w:r>
      <w:r w:rsidR="00DA6044" w:rsidRPr="008A0DBE">
        <w:rPr>
          <w:rStyle w:val="Referencingstyle"/>
        </w:rPr>
        <w:t>4</w:t>
      </w:r>
      <w:r w:rsidRPr="008A0DBE">
        <w:rPr>
          <w:rStyle w:val="Referencingstyle"/>
        </w:rPr>
        <w:t>, subsections 30-25(1) and 40-20(1), paragraphs 50-10(1)(e) and (2)(e), subsection 50-10(5) and section 60-140 of the Tax Agent Services Act 2009]</w:t>
      </w:r>
    </w:p>
    <w:p w14:paraId="740D21C9" w14:textId="12206C77" w:rsidR="003B441C" w:rsidRPr="008A0DBE" w:rsidRDefault="00CF5AB7" w:rsidP="008A0DBE">
      <w:pPr>
        <w:pStyle w:val="base-text-paragraph"/>
        <w:numPr>
          <w:ilvl w:val="1"/>
          <w:numId w:val="41"/>
        </w:numPr>
        <w:shd w:val="clear" w:color="auto" w:fill="FFFFFF" w:themeFill="background1"/>
      </w:pPr>
      <w:r w:rsidRPr="008A0DBE">
        <w:t xml:space="preserve">Similar amendments are made to update references to Gazettal </w:t>
      </w:r>
      <w:r w:rsidR="003145E4" w:rsidRPr="008A0DBE">
        <w:t xml:space="preserve">notices </w:t>
      </w:r>
      <w:r w:rsidRPr="008A0DBE">
        <w:t xml:space="preserve">in the </w:t>
      </w:r>
      <w:r w:rsidRPr="008A0DBE">
        <w:rPr>
          <w:i/>
        </w:rPr>
        <w:t>Taxation Administration Act 1953</w:t>
      </w:r>
      <w:r w:rsidRPr="008A0DBE">
        <w:t xml:space="preserve">. </w:t>
      </w:r>
      <w:r w:rsidR="003644B9" w:rsidRPr="008A0DBE">
        <w:t xml:space="preserve">A legislative instrument must now be used to make withholding schedules. </w:t>
      </w:r>
      <w:r w:rsidRPr="008A0DBE">
        <w:t xml:space="preserve">A notifiable instrument must </w:t>
      </w:r>
      <w:r w:rsidR="003145E4" w:rsidRPr="008A0DBE">
        <w:t>be used</w:t>
      </w:r>
      <w:r w:rsidRPr="008A0DBE">
        <w:t xml:space="preserve"> to vary withholding under PAYGW for a class of entities, alter reporting arrangements for PAYGW amounts, exempt withholders from giving payment summaries under PAYGW, withdraw PAYGW instalment rates for a class of entities</w:t>
      </w:r>
      <w:r w:rsidR="003644B9" w:rsidRPr="008A0DBE">
        <w:t>, publish the making of a public ruling and advise the public that a local government has chosen to treat its elected councillor as an employee for tax purposes. The Commissioner can also register a notifiable instrument as a form of issue to a taxpayer. The Commissioner has already moved to using legislative and notifiable instruments for these purposes and the amendments reflect existing practice.</w:t>
      </w:r>
      <w:r w:rsidR="007B087E" w:rsidRPr="008A0DBE">
        <w:rPr>
          <w:rStyle w:val="Referencingstyle"/>
        </w:rPr>
        <w:t xml:space="preserve"> [Schedule #, items </w:t>
      </w:r>
      <w:r w:rsidR="00DA6044" w:rsidRPr="008A0DBE">
        <w:rPr>
          <w:rStyle w:val="Referencingstyle"/>
        </w:rPr>
        <w:t>305</w:t>
      </w:r>
      <w:r w:rsidR="007B087E" w:rsidRPr="008A0DBE">
        <w:rPr>
          <w:rStyle w:val="Referencingstyle"/>
        </w:rPr>
        <w:t>-32</w:t>
      </w:r>
      <w:r w:rsidR="00DA6044" w:rsidRPr="008A0DBE">
        <w:rPr>
          <w:rStyle w:val="Referencingstyle"/>
        </w:rPr>
        <w:t>4</w:t>
      </w:r>
      <w:r w:rsidR="007B087E" w:rsidRPr="008A0DBE">
        <w:rPr>
          <w:rStyle w:val="Referencingstyle"/>
        </w:rPr>
        <w:t>, subsection 15-15(3), 15-25(1), 15-25(3), 15-25(4), 15-25(5), 16-153(7) and 16-180(2), paragraph 45-90(1)(b), subsection 350-10(1), 357-100</w:t>
      </w:r>
      <w:r w:rsidR="00D349DC" w:rsidRPr="008A0DBE">
        <w:rPr>
          <w:rStyle w:val="Referencingstyle"/>
        </w:rPr>
        <w:t>, 358-5(4), 358-20(1), 358-20(2), 358-20(4), 362-5(3), 362-20(1</w:t>
      </w:r>
      <w:r w:rsidR="00890D25" w:rsidRPr="008A0DBE">
        <w:rPr>
          <w:rStyle w:val="Referencingstyle"/>
        </w:rPr>
        <w:t>)-</w:t>
      </w:r>
      <w:r w:rsidR="00D349DC" w:rsidRPr="008A0DBE">
        <w:rPr>
          <w:rStyle w:val="Referencingstyle"/>
        </w:rPr>
        <w:t>(3), 446-5(5)</w:t>
      </w:r>
      <w:r w:rsidR="00890D25" w:rsidRPr="008A0DBE">
        <w:rPr>
          <w:rStyle w:val="Referencingstyle"/>
        </w:rPr>
        <w:t xml:space="preserve"> </w:t>
      </w:r>
      <w:r w:rsidR="00D349DC" w:rsidRPr="008A0DBE">
        <w:rPr>
          <w:rStyle w:val="Referencingstyle"/>
        </w:rPr>
        <w:t>and 446-5(5) in Schedule 1 to the Taxation Administration Act 1953</w:t>
      </w:r>
      <w:r w:rsidR="007B087E" w:rsidRPr="008A0DBE">
        <w:rPr>
          <w:rStyle w:val="Referencingstyle"/>
        </w:rPr>
        <w:t>]</w:t>
      </w:r>
    </w:p>
    <w:p w14:paraId="16F39BBD" w14:textId="3C6F47A0" w:rsidR="003644B9" w:rsidRPr="008A0DBE" w:rsidRDefault="003644B9" w:rsidP="008A0DBE">
      <w:pPr>
        <w:pStyle w:val="base-text-paragraph"/>
        <w:numPr>
          <w:ilvl w:val="1"/>
          <w:numId w:val="41"/>
        </w:numPr>
        <w:shd w:val="clear" w:color="auto" w:fill="FFFFFF" w:themeFill="background1"/>
        <w:rPr>
          <w:rStyle w:val="Referencingstyle"/>
          <w:b w:val="0"/>
          <w:i w:val="0"/>
          <w:sz w:val="22"/>
        </w:rPr>
      </w:pPr>
      <w:r w:rsidRPr="008A0DBE">
        <w:t xml:space="preserve">Finally, the </w:t>
      </w:r>
      <w:r w:rsidRPr="008A0DBE">
        <w:rPr>
          <w:i/>
        </w:rPr>
        <w:t xml:space="preserve">Terrorism Insurance Act 2003 </w:t>
      </w:r>
      <w:r w:rsidRPr="008A0DBE">
        <w:t>is updated to require the Minister to use a notifiable instrument to declare a terrorism act or reduce the Commonwealth’s liability by publishing a reduction percentage in the Gazette.</w:t>
      </w:r>
      <w:r w:rsidR="00D349DC" w:rsidRPr="008A0DBE">
        <w:rPr>
          <w:rStyle w:val="Referencingstyle"/>
        </w:rPr>
        <w:t xml:space="preserve"> [Schedule #, items </w:t>
      </w:r>
      <w:r w:rsidR="00DA6044" w:rsidRPr="008A0DBE">
        <w:rPr>
          <w:rStyle w:val="Referencingstyle"/>
        </w:rPr>
        <w:t>325</w:t>
      </w:r>
      <w:r w:rsidR="00D349DC" w:rsidRPr="008A0DBE">
        <w:rPr>
          <w:rStyle w:val="Referencingstyle"/>
        </w:rPr>
        <w:t>-32</w:t>
      </w:r>
      <w:r w:rsidR="00DA6044" w:rsidRPr="008A0DBE">
        <w:rPr>
          <w:rStyle w:val="Referencingstyle"/>
        </w:rPr>
        <w:t>7</w:t>
      </w:r>
      <w:r w:rsidR="00D349DC" w:rsidRPr="008A0DBE">
        <w:rPr>
          <w:rStyle w:val="Referencingstyle"/>
        </w:rPr>
        <w:t>, subsections 6(1) and (8) and 38(1) and (6) of the Terrorism Insurance Act 2003]</w:t>
      </w:r>
    </w:p>
    <w:p w14:paraId="52F18B60" w14:textId="141B97DA" w:rsidR="00DF631D" w:rsidRPr="008A0DBE" w:rsidRDefault="00D4208A" w:rsidP="008A0DBE">
      <w:pPr>
        <w:pStyle w:val="base-text-paragraph"/>
        <w:numPr>
          <w:ilvl w:val="1"/>
          <w:numId w:val="41"/>
        </w:numPr>
        <w:shd w:val="clear" w:color="auto" w:fill="FFFFFF" w:themeFill="background1"/>
      </w:pPr>
      <w:r w:rsidRPr="008A0DBE">
        <w:t>Transitional provisions are included to preserve all existing instruments, approvals, notices, declarations, decisions, variations and exemptions that were in force immediately before the amendments in Part </w:t>
      </w:r>
      <w:r w:rsidR="00561C96" w:rsidRPr="008A0DBE">
        <w:t>3</w:t>
      </w:r>
      <w:r w:rsidRPr="008A0DBE">
        <w:t xml:space="preserve"> commence. </w:t>
      </w:r>
      <w:r w:rsidR="00D349DC" w:rsidRPr="008A0DBE">
        <w:rPr>
          <w:rStyle w:val="Referencingstyle"/>
        </w:rPr>
        <w:t xml:space="preserve">[Schedule #, items </w:t>
      </w:r>
      <w:r w:rsidR="00DA6044" w:rsidRPr="008A0DBE">
        <w:rPr>
          <w:rStyle w:val="Referencingstyle"/>
        </w:rPr>
        <w:t>166</w:t>
      </w:r>
      <w:r w:rsidR="00B80A1D" w:rsidRPr="008A0DBE">
        <w:rPr>
          <w:rStyle w:val="Referencingstyle"/>
        </w:rPr>
        <w:t>, section 171 of the Business Names Registration (Transitional and Consequential Provisions) Act 2011</w:t>
      </w:r>
      <w:r w:rsidR="00D349DC" w:rsidRPr="008A0DBE">
        <w:rPr>
          <w:rStyle w:val="Referencingstyle"/>
        </w:rPr>
        <w:t>, 333 and 334</w:t>
      </w:r>
      <w:r w:rsidR="00B80A1D" w:rsidRPr="008A0DBE">
        <w:rPr>
          <w:rStyle w:val="Referencingstyle"/>
        </w:rPr>
        <w:t xml:space="preserve">, </w:t>
      </w:r>
      <w:r w:rsidR="00D349DC" w:rsidRPr="008A0DBE">
        <w:rPr>
          <w:rStyle w:val="Referencingstyle"/>
        </w:rPr>
        <w:t>]</w:t>
      </w:r>
    </w:p>
    <w:sectPr w:rsidR="00DF631D" w:rsidRPr="008A0DBE" w:rsidSect="00C743D3">
      <w:footerReference w:type="even" r:id="rId27"/>
      <w:footerReference w:type="default" r:id="rId28"/>
      <w:footerReference w:type="first" r:id="rId29"/>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B083CE" w14:textId="77777777" w:rsidR="00085F0F" w:rsidRDefault="00085F0F" w:rsidP="00E679CA">
      <w:pPr>
        <w:spacing w:before="0" w:after="0"/>
      </w:pPr>
      <w:r>
        <w:separator/>
      </w:r>
    </w:p>
  </w:endnote>
  <w:endnote w:type="continuationSeparator" w:id="0">
    <w:p w14:paraId="4131195A" w14:textId="77777777" w:rsidR="00085F0F" w:rsidRDefault="00085F0F" w:rsidP="00E679CA">
      <w:pPr>
        <w:spacing w:before="0" w:after="0"/>
      </w:pPr>
      <w:r>
        <w:continuationSeparator/>
      </w:r>
    </w:p>
  </w:endnote>
  <w:endnote w:type="continuationNotice" w:id="1">
    <w:p w14:paraId="72E57386" w14:textId="77777777" w:rsidR="00085F0F" w:rsidRDefault="00085F0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A3DCE" w14:textId="77777777" w:rsidR="00085F0F" w:rsidRDefault="00085F0F" w:rsidP="00683FD0">
    <w:pPr>
      <w:pStyle w:val="leftfooter"/>
    </w:pPr>
    <w:r>
      <w:fldChar w:fldCharType="begin"/>
    </w:r>
    <w:r>
      <w:instrText xml:space="preserve"> PAGE   \* MERGEFORMAT </w:instrText>
    </w:r>
    <w:r>
      <w:fldChar w:fldCharType="separate"/>
    </w:r>
    <w:r>
      <w:rPr>
        <w:noProof/>
      </w:rPr>
      <w:t>2</w:t>
    </w:r>
    <w:r>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1B383" w14:textId="69DC0859" w:rsidR="00085F0F" w:rsidRDefault="00085F0F" w:rsidP="00683FD0">
    <w:pPr>
      <w:pStyle w:val="rightfooter"/>
    </w:pPr>
    <w:r>
      <w:fldChar w:fldCharType="begin"/>
    </w:r>
    <w:r>
      <w:instrText xml:space="preserve"> PAGE   \* MERGEFORMAT </w:instrText>
    </w:r>
    <w:r>
      <w:fldChar w:fldCharType="separate"/>
    </w:r>
    <w:r w:rsidR="00A726BB">
      <w:rPr>
        <w:noProof/>
      </w:rPr>
      <w:t>13</w:t>
    </w:r>
    <w:r>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A32AF" w14:textId="4E9743B4" w:rsidR="00085F0F" w:rsidRDefault="00085F0F" w:rsidP="00683FD0">
    <w:pPr>
      <w:pStyle w:val="rightfooter"/>
    </w:pPr>
    <w:r>
      <w:fldChar w:fldCharType="begin"/>
    </w:r>
    <w:r>
      <w:instrText xml:space="preserve"> PAGE  \* Arabic  \* MERGEFORMAT </w:instrText>
    </w:r>
    <w:r>
      <w:fldChar w:fldCharType="separate"/>
    </w:r>
    <w:r w:rsidR="00A726BB">
      <w:rPr>
        <w:noProof/>
      </w:rPr>
      <w:t>9</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8AC35" w14:textId="77777777" w:rsidR="00085F0F" w:rsidRDefault="00085F0F" w:rsidP="00683FD0">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814B0" w14:textId="6862AD69" w:rsidR="00085F0F" w:rsidRDefault="00085F0F" w:rsidP="00683FD0">
    <w:pPr>
      <w:pStyle w:val="leftfooter"/>
    </w:pPr>
    <w:r>
      <w:fldChar w:fldCharType="begin"/>
    </w:r>
    <w:r>
      <w:instrText xml:space="preserve"> PAGE   \* MERGEFORMAT </w:instrText>
    </w:r>
    <w:r>
      <w:fldChar w:fldCharType="separate"/>
    </w:r>
    <w:r>
      <w:rPr>
        <w:noProof/>
      </w:rPr>
      <w:t>6</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58EB4" w14:textId="77777777" w:rsidR="00085F0F" w:rsidRDefault="00085F0F" w:rsidP="00683FD0">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15A81" w14:textId="77777777" w:rsidR="00085F0F" w:rsidRPr="00B2068E" w:rsidRDefault="00085F0F" w:rsidP="00683FD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AB916" w14:textId="77777777" w:rsidR="00085F0F" w:rsidRDefault="00085F0F" w:rsidP="00D10C39">
    <w:pPr>
      <w:pStyle w:val="leftfooter"/>
    </w:pPr>
    <w:r>
      <w:fldChar w:fldCharType="begin"/>
    </w:r>
    <w:r>
      <w:instrText xml:space="preserve"> PAGE   \* MERGEFORMAT </w:instrText>
    </w:r>
    <w:r>
      <w:fldChar w:fldCharType="separate"/>
    </w:r>
    <w:r>
      <w:rPr>
        <w:noProof/>
      </w:rPr>
      <w:t>6</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D783F" w14:textId="77777777" w:rsidR="00085F0F" w:rsidRDefault="00085F0F" w:rsidP="00D10C39">
    <w:pPr>
      <w:pStyle w:val="rightfooter"/>
    </w:pPr>
    <w:r>
      <w:fldChar w:fldCharType="begin"/>
    </w:r>
    <w:r>
      <w:instrText xml:space="preserve"> PAGE   \* MERGEFORMAT </w:instrText>
    </w:r>
    <w:r>
      <w:fldChar w:fldCharType="separate"/>
    </w:r>
    <w:r>
      <w:rPr>
        <w:noProof/>
      </w:rPr>
      <w:t>7</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21711" w14:textId="7A251074" w:rsidR="00085F0F" w:rsidRDefault="00085F0F" w:rsidP="00D10C39">
    <w:pPr>
      <w:pStyle w:val="rightfooter"/>
    </w:pPr>
    <w:r>
      <w:fldChar w:fldCharType="begin"/>
    </w:r>
    <w:r>
      <w:instrText xml:space="preserve"> PAGE  \* Arabic  \* MERGEFORMAT </w:instrText>
    </w:r>
    <w:r>
      <w:fldChar w:fldCharType="separate"/>
    </w:r>
    <w:r w:rsidR="00A726BB">
      <w:rPr>
        <w:noProof/>
      </w:rPr>
      <w:t>7</w:t>
    </w:r>
    <w:r>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9B273" w14:textId="15CB0451" w:rsidR="00085F0F" w:rsidRDefault="00085F0F" w:rsidP="00683FD0">
    <w:pPr>
      <w:pStyle w:val="leftfooter"/>
    </w:pPr>
    <w:r>
      <w:fldChar w:fldCharType="begin"/>
    </w:r>
    <w:r>
      <w:instrText xml:space="preserve"> PAGE   \* MERGEFORMAT </w:instrText>
    </w:r>
    <w:r>
      <w:fldChar w:fldCharType="separate"/>
    </w:r>
    <w:r w:rsidR="00A726BB">
      <w:rPr>
        <w:noProof/>
      </w:rPr>
      <w:t>14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85163F" w14:textId="77777777" w:rsidR="00085F0F" w:rsidRDefault="00085F0F" w:rsidP="00E679CA">
      <w:pPr>
        <w:spacing w:before="0" w:after="0"/>
      </w:pPr>
      <w:r>
        <w:separator/>
      </w:r>
    </w:p>
  </w:footnote>
  <w:footnote w:type="continuationSeparator" w:id="0">
    <w:p w14:paraId="4997C69E" w14:textId="77777777" w:rsidR="00085F0F" w:rsidRDefault="00085F0F" w:rsidP="00E679CA">
      <w:pPr>
        <w:spacing w:before="0" w:after="0"/>
      </w:pPr>
      <w:r>
        <w:continuationSeparator/>
      </w:r>
    </w:p>
  </w:footnote>
  <w:footnote w:type="continuationNotice" w:id="1">
    <w:p w14:paraId="75BA146E" w14:textId="77777777" w:rsidR="00085F0F" w:rsidRDefault="00085F0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98B2B" w14:textId="77777777" w:rsidR="00085F0F" w:rsidRDefault="00085F0F" w:rsidP="00683FD0">
    <w:pPr>
      <w:pStyle w:val="leftheader"/>
    </w:pPr>
    <w:r>
      <w:fldChar w:fldCharType="begin"/>
    </w:r>
    <w:r>
      <w:instrText xml:space="preserve"> macrobutton nomacro [Click here and insert the name of the Bill]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A7590" w14:textId="77777777" w:rsidR="00085F0F" w:rsidRDefault="00085F0F" w:rsidP="00683FD0">
    <w:pPr>
      <w:pStyle w:val="rightheader"/>
    </w:pPr>
    <w:r>
      <w:fldChar w:fldCharType="begin"/>
    </w:r>
    <w:r>
      <w:instrText xml:space="preserve"> macrobutton nomacro [Click here and enter the name of the Chapter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0673774"/>
      <w:docPartObj>
        <w:docPartGallery w:val="Watermarks"/>
        <w:docPartUnique/>
      </w:docPartObj>
    </w:sdtPr>
    <w:sdtContent>
      <w:p w14:paraId="4A6861D2" w14:textId="77777777" w:rsidR="00085F0F" w:rsidRDefault="00085F0F">
        <w:pPr>
          <w:pStyle w:val="Header"/>
        </w:pPr>
        <w:r>
          <w:rPr>
            <w:noProof/>
            <w:lang w:val="en-US" w:eastAsia="en-US"/>
          </w:rPr>
          <w:pict w14:anchorId="62A156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3373B" w14:textId="34D51A69" w:rsidR="00085F0F" w:rsidRDefault="00085F0F" w:rsidP="00683FD0">
    <w:pPr>
      <w:pStyle w:val="leftheader"/>
    </w:pPr>
    <w:r w:rsidRPr="002A625B">
      <w:t>Tre</w:t>
    </w:r>
    <w:r>
      <w:t>asury Laws Amendment (Measures f</w:t>
    </w:r>
    <w:r w:rsidRPr="002A625B">
      <w:t xml:space="preserve">or </w:t>
    </w:r>
    <w:r>
      <w:t>a</w:t>
    </w:r>
    <w:r w:rsidRPr="002A625B">
      <w:t xml:space="preserve"> Later Sitting) Bill 2019: Miscellaneous Amendments</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5F084" w14:textId="01BB6A70" w:rsidR="00085F0F" w:rsidRDefault="00085F0F" w:rsidP="00683FD0">
    <w:pPr>
      <w:pStyle w:val="rightheader"/>
    </w:pPr>
    <w:r w:rsidRPr="002A625B">
      <w:t>Miscellaneous Amendments</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3941D" w14:textId="77777777" w:rsidR="00085F0F" w:rsidRDefault="00085F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F1226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D9121E"/>
    <w:multiLevelType w:val="multilevel"/>
    <w:tmpl w:val="749274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822090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BEB4EC5"/>
    <w:multiLevelType w:val="multilevel"/>
    <w:tmpl w:val="C42A210A"/>
    <w:lvl w:ilvl="0">
      <w:start w:val="1"/>
      <w:numFmt w:val="bulle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BF5A52A"/>
    <w:multiLevelType w:val="hybridMultilevel"/>
    <w:tmpl w:val="ED6D027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BFB31D7"/>
    <w:multiLevelType w:val="multilevel"/>
    <w:tmpl w:val="74A084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7" w15:restartNumberingAfterBreak="0">
    <w:nsid w:val="227E6BF3"/>
    <w:multiLevelType w:val="multilevel"/>
    <w:tmpl w:val="C6960DC8"/>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89229A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382497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D714D4B"/>
    <w:multiLevelType w:val="multilevel"/>
    <w:tmpl w:val="A316FE50"/>
    <w:styleLink w:val="ChapterList"/>
    <w:lvl w:ilvl="0">
      <w:start w:val="1"/>
      <w:numFmt w:val="decimal"/>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suff w:val="nothing"/>
      <w:lvlText w:val="Diagram %1.%3"/>
      <w:lvlJc w:val="left"/>
      <w:pPr>
        <w:ind w:left="1134" w:firstLine="0"/>
      </w:pPr>
      <w:rPr>
        <w:rFonts w:hint="default"/>
      </w:rPr>
    </w:lvl>
    <w:lvl w:ilvl="3">
      <w:start w:val="1"/>
      <w:numFmt w:val="decimal"/>
      <w:lvlRestart w:val="1"/>
      <w:suff w:val="nothing"/>
      <w:lvlText w:val="Example %1.%4"/>
      <w:lvlJc w:val="left"/>
      <w:pPr>
        <w:ind w:left="1134" w:firstLine="0"/>
      </w:pPr>
      <w:rPr>
        <w:rFonts w:hint="default"/>
      </w:rPr>
    </w:lvl>
    <w:lvl w:ilvl="4">
      <w:start w:val="1"/>
      <w:numFmt w:val="decimal"/>
      <w:lvlRestart w:val="1"/>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2" w15:restartNumberingAfterBreak="0">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D795738"/>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21C079A"/>
    <w:multiLevelType w:val="multilevel"/>
    <w:tmpl w:val="A78893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65DF6494"/>
    <w:multiLevelType w:val="multilevel"/>
    <w:tmpl w:val="A316FE50"/>
    <w:numStyleLink w:val="ChapterList"/>
  </w:abstractNum>
  <w:abstractNum w:abstractNumId="27" w15:restartNumberingAfterBreak="0">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B7A4117"/>
    <w:multiLevelType w:val="multilevel"/>
    <w:tmpl w:val="3184260C"/>
    <w:name w:val="StandardNumberedList"/>
    <w:lvl w:ilvl="0">
      <w:start w:val="1"/>
      <w:numFmt w:val="decimal"/>
      <w:pStyle w:val="OutlineNumbered1"/>
      <w:lvlText w:val="%1."/>
      <w:lvlJc w:val="left"/>
      <w:pPr>
        <w:tabs>
          <w:tab w:val="num" w:pos="472"/>
        </w:tabs>
        <w:ind w:left="472" w:hanging="472"/>
      </w:pPr>
    </w:lvl>
    <w:lvl w:ilvl="1">
      <w:start w:val="1"/>
      <w:numFmt w:val="decimal"/>
      <w:pStyle w:val="OutlineNumbered2"/>
      <w:lvlText w:val="%1.%2."/>
      <w:lvlJc w:val="left"/>
      <w:pPr>
        <w:tabs>
          <w:tab w:val="num" w:pos="944"/>
        </w:tabs>
        <w:ind w:left="944" w:hanging="472"/>
      </w:pPr>
    </w:lvl>
    <w:lvl w:ilvl="2">
      <w:start w:val="1"/>
      <w:numFmt w:val="decimal"/>
      <w:pStyle w:val="OutlineNumbered3"/>
      <w:lvlText w:val="%1.%2.%3."/>
      <w:lvlJc w:val="left"/>
      <w:pPr>
        <w:tabs>
          <w:tab w:val="num" w:pos="1416"/>
        </w:tabs>
        <w:ind w:left="1416" w:hanging="472"/>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9"/>
  </w:num>
  <w:num w:numId="2">
    <w:abstractNumId w:val="12"/>
  </w:num>
  <w:num w:numId="3">
    <w:abstractNumId w:val="18"/>
  </w:num>
  <w:num w:numId="4">
    <w:abstractNumId w:val="27"/>
  </w:num>
  <w:num w:numId="5">
    <w:abstractNumId w:val="23"/>
  </w:num>
  <w:num w:numId="6">
    <w:abstractNumId w:val="29"/>
  </w:num>
  <w:num w:numId="7">
    <w:abstractNumId w:val="26"/>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
    <w:abstractNumId w:val="26"/>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9">
    <w:abstractNumId w:val="20"/>
  </w:num>
  <w:num w:numId="10">
    <w:abstractNumId w:val="26"/>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1">
    <w:abstractNumId w:val="21"/>
  </w:num>
  <w:num w:numId="12">
    <w:abstractNumId w:val="22"/>
  </w:num>
  <w:num w:numId="13">
    <w:abstractNumId w:val="22"/>
  </w:num>
  <w:num w:numId="14">
    <w:abstractNumId w:val="24"/>
  </w:num>
  <w:num w:numId="15">
    <w:abstractNumId w:val="24"/>
  </w:num>
  <w:num w:numId="16">
    <w:abstractNumId w:val="24"/>
  </w:num>
  <w:num w:numId="17">
    <w:abstractNumId w:val="26"/>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8">
    <w:abstractNumId w:val="9"/>
  </w:num>
  <w:num w:numId="19">
    <w:abstractNumId w:val="9"/>
  </w:num>
  <w:num w:numId="20">
    <w:abstractNumId w:val="7"/>
  </w:num>
  <w:num w:numId="21">
    <w:abstractNumId w:val="7"/>
  </w:num>
  <w:num w:numId="22">
    <w:abstractNumId w:val="6"/>
  </w:num>
  <w:num w:numId="23">
    <w:abstractNumId w:val="6"/>
  </w:num>
  <w:num w:numId="24">
    <w:abstractNumId w:val="5"/>
  </w:num>
  <w:num w:numId="25">
    <w:abstractNumId w:val="5"/>
  </w:num>
  <w:num w:numId="26">
    <w:abstractNumId w:val="4"/>
  </w:num>
  <w:num w:numId="27">
    <w:abstractNumId w:val="4"/>
  </w:num>
  <w:num w:numId="28">
    <w:abstractNumId w:val="8"/>
  </w:num>
  <w:num w:numId="29">
    <w:abstractNumId w:val="8"/>
  </w:num>
  <w:num w:numId="30">
    <w:abstractNumId w:val="3"/>
  </w:num>
  <w:num w:numId="31">
    <w:abstractNumId w:val="3"/>
  </w:num>
  <w:num w:numId="32">
    <w:abstractNumId w:val="2"/>
  </w:num>
  <w:num w:numId="33">
    <w:abstractNumId w:val="2"/>
  </w:num>
  <w:num w:numId="34">
    <w:abstractNumId w:val="1"/>
  </w:num>
  <w:num w:numId="35">
    <w:abstractNumId w:val="1"/>
  </w:num>
  <w:num w:numId="36">
    <w:abstractNumId w:val="0"/>
  </w:num>
  <w:num w:numId="37">
    <w:abstractNumId w:val="0"/>
  </w:num>
  <w:num w:numId="38">
    <w:abstractNumId w:val="13"/>
  </w:num>
  <w:num w:numId="39">
    <w:abstractNumId w:val="13"/>
  </w:num>
  <w:num w:numId="40">
    <w:abstractNumId w:val="11"/>
  </w:num>
  <w:num w:numId="41">
    <w:abstractNumId w:val="26"/>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lvlText w:val="%1.%2"/>
        <w:lvlJc w:val="left"/>
        <w:pPr>
          <w:tabs>
            <w:tab w:val="num" w:pos="1985"/>
          </w:tabs>
          <w:ind w:left="1134" w:firstLine="0"/>
        </w:pPr>
        <w:rPr>
          <w:rFonts w:hint="default"/>
          <w:b w:val="0"/>
          <w:i w:val="0"/>
          <w:sz w:val="22"/>
          <w:szCs w:val="22"/>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2">
    <w:abstractNumId w:val="16"/>
  </w:num>
  <w:num w:numId="43">
    <w:abstractNumId w:val="26"/>
  </w:num>
  <w:num w:numId="44">
    <w:abstractNumId w:val="26"/>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startOverride w:val="1"/>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5">
    <w:abstractNumId w:val="26"/>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startOverride w:val="1"/>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6">
    <w:abstractNumId w:val="26"/>
    <w:lvlOverride w:ilvl="0">
      <w:lvl w:ilvl="0">
        <w:start w:val="1"/>
        <w:numFmt w:val="decimal"/>
        <w:lvlText w:val="Chapter %1"/>
        <w:lvlJc w:val="left"/>
        <w:pPr>
          <w:tabs>
            <w:tab w:val="num" w:pos="1134"/>
          </w:tabs>
          <w:ind w:left="0" w:firstLine="0"/>
        </w:pPr>
        <w:rPr>
          <w:rFonts w:hint="default"/>
        </w:rPr>
      </w:lvl>
    </w:lvlOverride>
    <w:lvlOverride w:ilvl="1">
      <w:lvl w:ilvl="1">
        <w:start w:val="1"/>
        <w:numFmt w:val="decimal"/>
        <w:lvlText w:val="%1.%2"/>
        <w:lvlJc w:val="left"/>
        <w:pPr>
          <w:tabs>
            <w:tab w:val="num" w:pos="1985"/>
          </w:tabs>
          <w:ind w:left="1134" w:firstLine="0"/>
        </w:pPr>
        <w:rPr>
          <w:rFonts w:hint="default"/>
        </w:rPr>
      </w:lvl>
    </w:lvlOverride>
    <w:lvlOverride w:ilvl="2">
      <w:lvl w:ilvl="2">
        <w:start w:val="1"/>
        <w:numFmt w:val="decimal"/>
        <w:lvlRestart w:val="1"/>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7">
    <w:abstractNumId w:val="28"/>
  </w:num>
  <w:num w:numId="48">
    <w:abstractNumId w:val="26"/>
    <w:lvlOverride w:ilvl="0">
      <w:startOverride w:val="1"/>
      <w:lvl w:ilvl="0">
        <w:start w:val="1"/>
        <w:numFmt w:val="decimal"/>
        <w:lvlText w:val="Chapter %1"/>
        <w:lvlJc w:val="left"/>
        <w:pPr>
          <w:tabs>
            <w:tab w:val="num" w:pos="1134"/>
          </w:tabs>
          <w:ind w:left="0" w:firstLine="0"/>
        </w:pPr>
        <w:rPr>
          <w:rFonts w:hint="default"/>
        </w:rPr>
      </w:lvl>
    </w:lvlOverride>
    <w:lvlOverride w:ilvl="1">
      <w:startOverride w:val="1"/>
      <w:lvl w:ilvl="1">
        <w:start w:val="1"/>
        <w:numFmt w:val="decimal"/>
        <w:lvlText w:val="%1.%2"/>
        <w:lvlJc w:val="left"/>
        <w:pPr>
          <w:tabs>
            <w:tab w:val="num" w:pos="1985"/>
          </w:tabs>
          <w:ind w:left="1134" w:firstLine="0"/>
        </w:pPr>
        <w:rPr>
          <w:rFonts w:hint="default"/>
        </w:rPr>
      </w:lvl>
    </w:lvlOverride>
    <w:lvlOverride w:ilvl="2">
      <w:startOverride w:val="1"/>
      <w:lvl w:ilvl="2">
        <w:start w:val="1"/>
        <w:numFmt w:val="decimal"/>
        <w:lvlRestart w:val="1"/>
        <w:suff w:val="nothing"/>
        <w:lvlText w:val="Diagram %1.%3"/>
        <w:lvlJc w:val="left"/>
        <w:pPr>
          <w:ind w:left="1134" w:firstLine="0"/>
        </w:pPr>
        <w:rPr>
          <w:rFonts w:hint="default"/>
        </w:rPr>
      </w:lvl>
    </w:lvlOverride>
    <w:lvlOverride w:ilvl="3">
      <w:startOverride w:val="1"/>
      <w:lvl w:ilvl="3">
        <w:start w:val="1"/>
        <w:numFmt w:val="decimal"/>
        <w:lvlRestart w:val="1"/>
        <w:suff w:val="nothing"/>
        <w:lvlText w:val="Example %1.%4"/>
        <w:lvlJc w:val="left"/>
        <w:pPr>
          <w:ind w:left="1134" w:firstLine="0"/>
        </w:pPr>
        <w:rPr>
          <w:rFonts w:hint="default"/>
        </w:rPr>
      </w:lvl>
    </w:lvlOverride>
    <w:lvlOverride w:ilvl="4">
      <w:startOverride w:val="1"/>
      <w:lvl w:ilvl="4">
        <w:start w:val="1"/>
        <w:numFmt w:val="decimal"/>
        <w:lvlRestart w:val="1"/>
        <w:suff w:val="nothing"/>
        <w:lvlText w:val="Table %1.%5"/>
        <w:lvlJc w:val="left"/>
        <w:pPr>
          <w:ind w:left="1134" w:firstLine="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49">
    <w:abstractNumId w:val="26"/>
    <w:lvlOverride w:ilvl="0">
      <w:startOverride w:val="1"/>
      <w:lvl w:ilvl="0">
        <w:start w:val="1"/>
        <w:numFmt w:val="decimal"/>
        <w:lvlText w:val="Chapter %1"/>
        <w:lvlJc w:val="left"/>
        <w:pPr>
          <w:tabs>
            <w:tab w:val="num" w:pos="1134"/>
          </w:tabs>
          <w:ind w:left="0" w:firstLine="0"/>
        </w:pPr>
        <w:rPr>
          <w:rFonts w:hint="default"/>
        </w:rPr>
      </w:lvl>
    </w:lvlOverride>
    <w:lvlOverride w:ilvl="1">
      <w:startOverride w:val="1"/>
      <w:lvl w:ilvl="1">
        <w:start w:val="1"/>
        <w:numFmt w:val="decimal"/>
        <w:lvlText w:val="%1.%2"/>
        <w:lvlJc w:val="left"/>
        <w:pPr>
          <w:tabs>
            <w:tab w:val="num" w:pos="1985"/>
          </w:tabs>
          <w:ind w:left="1134" w:firstLine="0"/>
        </w:pPr>
        <w:rPr>
          <w:rFonts w:hint="default"/>
        </w:rPr>
      </w:lvl>
    </w:lvlOverride>
    <w:lvlOverride w:ilvl="2">
      <w:startOverride w:val="1"/>
      <w:lvl w:ilvl="2">
        <w:start w:val="1"/>
        <w:numFmt w:val="decimal"/>
        <w:lvlRestart w:val="1"/>
        <w:suff w:val="nothing"/>
        <w:lvlText w:val="Diagram %1.%3"/>
        <w:lvlJc w:val="left"/>
        <w:pPr>
          <w:ind w:left="1134" w:firstLine="0"/>
        </w:pPr>
        <w:rPr>
          <w:rFonts w:hint="default"/>
        </w:rPr>
      </w:lvl>
    </w:lvlOverride>
    <w:lvlOverride w:ilvl="3">
      <w:startOverride w:val="1"/>
      <w:lvl w:ilvl="3">
        <w:start w:val="1"/>
        <w:numFmt w:val="decimal"/>
        <w:lvlRestart w:val="1"/>
        <w:suff w:val="nothing"/>
        <w:lvlText w:val="Example %1.%4"/>
        <w:lvlJc w:val="left"/>
        <w:pPr>
          <w:ind w:left="1134" w:firstLine="0"/>
        </w:pPr>
        <w:rPr>
          <w:rFonts w:hint="default"/>
        </w:rPr>
      </w:lvl>
    </w:lvlOverride>
    <w:lvlOverride w:ilvl="4">
      <w:startOverride w:val="1"/>
      <w:lvl w:ilvl="4">
        <w:start w:val="1"/>
        <w:numFmt w:val="decimal"/>
        <w:lvlRestart w:val="1"/>
        <w:suff w:val="nothing"/>
        <w:lvlText w:val="Table %1.%5"/>
        <w:lvlJc w:val="left"/>
        <w:pPr>
          <w:ind w:left="1134" w:firstLine="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0">
    <w:abstractNumId w:val="17"/>
  </w:num>
  <w:num w:numId="51">
    <w:abstractNumId w:val="26"/>
    <w:lvlOverride w:ilvl="1">
      <w:lvl w:ilvl="1">
        <w:start w:val="1"/>
        <w:numFmt w:val="decimal"/>
        <w:lvlText w:val="%1.%2"/>
        <w:lvlJc w:val="left"/>
        <w:pPr>
          <w:tabs>
            <w:tab w:val="num" w:pos="1985"/>
          </w:tabs>
          <w:ind w:left="1134" w:firstLine="0"/>
        </w:pPr>
        <w:rPr>
          <w:rFonts w:hint="default"/>
          <w:b w:val="0"/>
          <w:i w:val="0"/>
          <w:sz w:val="24"/>
          <w:szCs w:val="24"/>
        </w:rPr>
      </w:lvl>
    </w:lvlOverride>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2">
    <w:abstractNumId w:val="14"/>
  </w:num>
  <w:num w:numId="53">
    <w:abstractNumId w:val="10"/>
  </w:num>
  <w:num w:numId="54">
    <w:abstractNumId w:val="15"/>
  </w:num>
  <w:num w:numId="55">
    <w:abstractNumId w:val="2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evenAndOddHeaders/>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3DD"/>
    <w:rsid w:val="00001793"/>
    <w:rsid w:val="000043CD"/>
    <w:rsid w:val="00004B76"/>
    <w:rsid w:val="000063F3"/>
    <w:rsid w:val="0001246E"/>
    <w:rsid w:val="00015D51"/>
    <w:rsid w:val="000204E0"/>
    <w:rsid w:val="0002054A"/>
    <w:rsid w:val="00021022"/>
    <w:rsid w:val="000211F1"/>
    <w:rsid w:val="00021C54"/>
    <w:rsid w:val="00022F5F"/>
    <w:rsid w:val="00025509"/>
    <w:rsid w:val="00025A3E"/>
    <w:rsid w:val="000301EC"/>
    <w:rsid w:val="00030726"/>
    <w:rsid w:val="000309FE"/>
    <w:rsid w:val="00030A40"/>
    <w:rsid w:val="0003459F"/>
    <w:rsid w:val="000370A6"/>
    <w:rsid w:val="000406E0"/>
    <w:rsid w:val="00043525"/>
    <w:rsid w:val="0004359C"/>
    <w:rsid w:val="00043D8F"/>
    <w:rsid w:val="00044167"/>
    <w:rsid w:val="00050615"/>
    <w:rsid w:val="00051C7A"/>
    <w:rsid w:val="00052DB8"/>
    <w:rsid w:val="00052E96"/>
    <w:rsid w:val="00053AF5"/>
    <w:rsid w:val="00054574"/>
    <w:rsid w:val="0005496F"/>
    <w:rsid w:val="000578CE"/>
    <w:rsid w:val="000604CF"/>
    <w:rsid w:val="000647CC"/>
    <w:rsid w:val="00067B71"/>
    <w:rsid w:val="00070D7F"/>
    <w:rsid w:val="00071FE9"/>
    <w:rsid w:val="00073A58"/>
    <w:rsid w:val="0008187F"/>
    <w:rsid w:val="00081AE7"/>
    <w:rsid w:val="000823AA"/>
    <w:rsid w:val="00084786"/>
    <w:rsid w:val="00084C6C"/>
    <w:rsid w:val="00085F0F"/>
    <w:rsid w:val="00085F6E"/>
    <w:rsid w:val="000868D2"/>
    <w:rsid w:val="00090E1F"/>
    <w:rsid w:val="000A3C4E"/>
    <w:rsid w:val="000A5331"/>
    <w:rsid w:val="000A66DB"/>
    <w:rsid w:val="000B3A8F"/>
    <w:rsid w:val="000B407D"/>
    <w:rsid w:val="000C2A9D"/>
    <w:rsid w:val="000C446C"/>
    <w:rsid w:val="000C44D7"/>
    <w:rsid w:val="000C468D"/>
    <w:rsid w:val="000C4876"/>
    <w:rsid w:val="000C582A"/>
    <w:rsid w:val="000C71C0"/>
    <w:rsid w:val="000C71F6"/>
    <w:rsid w:val="000C7BE4"/>
    <w:rsid w:val="000D04A2"/>
    <w:rsid w:val="000D0F0A"/>
    <w:rsid w:val="000D588E"/>
    <w:rsid w:val="000E1695"/>
    <w:rsid w:val="000E28BF"/>
    <w:rsid w:val="000E2AC8"/>
    <w:rsid w:val="000E32BD"/>
    <w:rsid w:val="000E3B1E"/>
    <w:rsid w:val="000E3FEA"/>
    <w:rsid w:val="000E451D"/>
    <w:rsid w:val="000E4B50"/>
    <w:rsid w:val="000E7A23"/>
    <w:rsid w:val="000F054F"/>
    <w:rsid w:val="000F058A"/>
    <w:rsid w:val="000F4815"/>
    <w:rsid w:val="000F74D4"/>
    <w:rsid w:val="000F7551"/>
    <w:rsid w:val="000F76C3"/>
    <w:rsid w:val="001022FD"/>
    <w:rsid w:val="00104C22"/>
    <w:rsid w:val="00107174"/>
    <w:rsid w:val="00107A5E"/>
    <w:rsid w:val="00113035"/>
    <w:rsid w:val="00116815"/>
    <w:rsid w:val="001212E7"/>
    <w:rsid w:val="00123031"/>
    <w:rsid w:val="00123B9E"/>
    <w:rsid w:val="0012407E"/>
    <w:rsid w:val="00126E4D"/>
    <w:rsid w:val="00127BE8"/>
    <w:rsid w:val="00131C9C"/>
    <w:rsid w:val="00132ABD"/>
    <w:rsid w:val="00134C5C"/>
    <w:rsid w:val="00137343"/>
    <w:rsid w:val="00137752"/>
    <w:rsid w:val="00137BF3"/>
    <w:rsid w:val="00141641"/>
    <w:rsid w:val="001451AB"/>
    <w:rsid w:val="001462DC"/>
    <w:rsid w:val="001516F1"/>
    <w:rsid w:val="00152153"/>
    <w:rsid w:val="00152D52"/>
    <w:rsid w:val="00153C98"/>
    <w:rsid w:val="00153E49"/>
    <w:rsid w:val="0015561C"/>
    <w:rsid w:val="001568B5"/>
    <w:rsid w:val="001572C0"/>
    <w:rsid w:val="001578B2"/>
    <w:rsid w:val="00164A14"/>
    <w:rsid w:val="0017089A"/>
    <w:rsid w:val="001731A8"/>
    <w:rsid w:val="001753F4"/>
    <w:rsid w:val="00176FB0"/>
    <w:rsid w:val="00177D51"/>
    <w:rsid w:val="00180E40"/>
    <w:rsid w:val="00181113"/>
    <w:rsid w:val="001822D3"/>
    <w:rsid w:val="0018502F"/>
    <w:rsid w:val="00185637"/>
    <w:rsid w:val="00185AAF"/>
    <w:rsid w:val="00186F07"/>
    <w:rsid w:val="001929F4"/>
    <w:rsid w:val="00192CEA"/>
    <w:rsid w:val="00194C96"/>
    <w:rsid w:val="001B18FD"/>
    <w:rsid w:val="001B2A6F"/>
    <w:rsid w:val="001B5AC7"/>
    <w:rsid w:val="001B675B"/>
    <w:rsid w:val="001B70F3"/>
    <w:rsid w:val="001C0DC1"/>
    <w:rsid w:val="001C1751"/>
    <w:rsid w:val="001C582D"/>
    <w:rsid w:val="001D006D"/>
    <w:rsid w:val="001D02C6"/>
    <w:rsid w:val="001D0727"/>
    <w:rsid w:val="001D244F"/>
    <w:rsid w:val="001D2C09"/>
    <w:rsid w:val="001D2FE5"/>
    <w:rsid w:val="001D3461"/>
    <w:rsid w:val="001D4960"/>
    <w:rsid w:val="001D6DDE"/>
    <w:rsid w:val="001D7379"/>
    <w:rsid w:val="001E286D"/>
    <w:rsid w:val="001E55F9"/>
    <w:rsid w:val="001F0FF3"/>
    <w:rsid w:val="001F1E2A"/>
    <w:rsid w:val="001F3BBC"/>
    <w:rsid w:val="001F51CA"/>
    <w:rsid w:val="00200E40"/>
    <w:rsid w:val="00202EBB"/>
    <w:rsid w:val="0020304D"/>
    <w:rsid w:val="002030E0"/>
    <w:rsid w:val="0020489F"/>
    <w:rsid w:val="00207483"/>
    <w:rsid w:val="00213FB0"/>
    <w:rsid w:val="00215584"/>
    <w:rsid w:val="00215702"/>
    <w:rsid w:val="00215C70"/>
    <w:rsid w:val="00223786"/>
    <w:rsid w:val="00225572"/>
    <w:rsid w:val="00225901"/>
    <w:rsid w:val="00226D0E"/>
    <w:rsid w:val="00235337"/>
    <w:rsid w:val="00236921"/>
    <w:rsid w:val="00241C60"/>
    <w:rsid w:val="00251DDA"/>
    <w:rsid w:val="00256556"/>
    <w:rsid w:val="0025680A"/>
    <w:rsid w:val="002612CA"/>
    <w:rsid w:val="00261818"/>
    <w:rsid w:val="0026184C"/>
    <w:rsid w:val="00261B1B"/>
    <w:rsid w:val="002623FB"/>
    <w:rsid w:val="00263AC6"/>
    <w:rsid w:val="00263B05"/>
    <w:rsid w:val="002657E5"/>
    <w:rsid w:val="002661ED"/>
    <w:rsid w:val="002669E6"/>
    <w:rsid w:val="0026724E"/>
    <w:rsid w:val="0026792D"/>
    <w:rsid w:val="00267DFC"/>
    <w:rsid w:val="00270D15"/>
    <w:rsid w:val="0027204B"/>
    <w:rsid w:val="0027534D"/>
    <w:rsid w:val="00275987"/>
    <w:rsid w:val="00277BF6"/>
    <w:rsid w:val="002804BB"/>
    <w:rsid w:val="0028110E"/>
    <w:rsid w:val="0028232D"/>
    <w:rsid w:val="002856E6"/>
    <w:rsid w:val="00286DD2"/>
    <w:rsid w:val="002929D8"/>
    <w:rsid w:val="00295ABD"/>
    <w:rsid w:val="00296582"/>
    <w:rsid w:val="002A15AC"/>
    <w:rsid w:val="002A4135"/>
    <w:rsid w:val="002A5810"/>
    <w:rsid w:val="002A5BBF"/>
    <w:rsid w:val="002A620A"/>
    <w:rsid w:val="002A625B"/>
    <w:rsid w:val="002A718C"/>
    <w:rsid w:val="002A782B"/>
    <w:rsid w:val="002B0BE9"/>
    <w:rsid w:val="002B34DE"/>
    <w:rsid w:val="002B40D2"/>
    <w:rsid w:val="002B6B08"/>
    <w:rsid w:val="002C242A"/>
    <w:rsid w:val="002C27CB"/>
    <w:rsid w:val="002C36B2"/>
    <w:rsid w:val="002C70CB"/>
    <w:rsid w:val="002D0B7C"/>
    <w:rsid w:val="002D362E"/>
    <w:rsid w:val="002D43E2"/>
    <w:rsid w:val="002D59E3"/>
    <w:rsid w:val="002D6763"/>
    <w:rsid w:val="002D6BBB"/>
    <w:rsid w:val="002D7168"/>
    <w:rsid w:val="002E156E"/>
    <w:rsid w:val="002E2524"/>
    <w:rsid w:val="002E76E1"/>
    <w:rsid w:val="002E7828"/>
    <w:rsid w:val="002E7A5C"/>
    <w:rsid w:val="002F0787"/>
    <w:rsid w:val="002F0D2B"/>
    <w:rsid w:val="002F3991"/>
    <w:rsid w:val="002F4267"/>
    <w:rsid w:val="002F4CDE"/>
    <w:rsid w:val="002F5853"/>
    <w:rsid w:val="002F5A40"/>
    <w:rsid w:val="00301E26"/>
    <w:rsid w:val="00302856"/>
    <w:rsid w:val="00302AB6"/>
    <w:rsid w:val="00302DC7"/>
    <w:rsid w:val="00303829"/>
    <w:rsid w:val="00304ADA"/>
    <w:rsid w:val="00306C69"/>
    <w:rsid w:val="00307165"/>
    <w:rsid w:val="00311724"/>
    <w:rsid w:val="0031181B"/>
    <w:rsid w:val="003145E4"/>
    <w:rsid w:val="0031526E"/>
    <w:rsid w:val="003163B7"/>
    <w:rsid w:val="003175C6"/>
    <w:rsid w:val="00317C2F"/>
    <w:rsid w:val="0032227B"/>
    <w:rsid w:val="003257AF"/>
    <w:rsid w:val="003273AC"/>
    <w:rsid w:val="00330B79"/>
    <w:rsid w:val="00331E2E"/>
    <w:rsid w:val="00334BD7"/>
    <w:rsid w:val="0034332D"/>
    <w:rsid w:val="003437DD"/>
    <w:rsid w:val="00344529"/>
    <w:rsid w:val="00347D15"/>
    <w:rsid w:val="00354A0A"/>
    <w:rsid w:val="00355613"/>
    <w:rsid w:val="00362194"/>
    <w:rsid w:val="0036302B"/>
    <w:rsid w:val="003644B9"/>
    <w:rsid w:val="00364F78"/>
    <w:rsid w:val="00366C56"/>
    <w:rsid w:val="00375F1D"/>
    <w:rsid w:val="00376FB3"/>
    <w:rsid w:val="00377D53"/>
    <w:rsid w:val="003833EE"/>
    <w:rsid w:val="003873B1"/>
    <w:rsid w:val="003914D8"/>
    <w:rsid w:val="003922F3"/>
    <w:rsid w:val="003941DA"/>
    <w:rsid w:val="00394485"/>
    <w:rsid w:val="00394C43"/>
    <w:rsid w:val="003960AB"/>
    <w:rsid w:val="003979CB"/>
    <w:rsid w:val="003A1BA1"/>
    <w:rsid w:val="003A657F"/>
    <w:rsid w:val="003A6CF2"/>
    <w:rsid w:val="003A71A3"/>
    <w:rsid w:val="003B1D2B"/>
    <w:rsid w:val="003B441C"/>
    <w:rsid w:val="003B6B47"/>
    <w:rsid w:val="003B6EC7"/>
    <w:rsid w:val="003B77F0"/>
    <w:rsid w:val="003C1B6F"/>
    <w:rsid w:val="003C1D66"/>
    <w:rsid w:val="003C40AB"/>
    <w:rsid w:val="003D1C3F"/>
    <w:rsid w:val="003D2755"/>
    <w:rsid w:val="003D4F69"/>
    <w:rsid w:val="003E29AA"/>
    <w:rsid w:val="003E30C1"/>
    <w:rsid w:val="003E337F"/>
    <w:rsid w:val="003E468B"/>
    <w:rsid w:val="003E5AB0"/>
    <w:rsid w:val="003E5C0A"/>
    <w:rsid w:val="003E7AB0"/>
    <w:rsid w:val="003F0FF5"/>
    <w:rsid w:val="003F348D"/>
    <w:rsid w:val="003F3DAE"/>
    <w:rsid w:val="003F5FFB"/>
    <w:rsid w:val="0040334B"/>
    <w:rsid w:val="00403C34"/>
    <w:rsid w:val="004056B3"/>
    <w:rsid w:val="00405C1F"/>
    <w:rsid w:val="004069CF"/>
    <w:rsid w:val="00407E55"/>
    <w:rsid w:val="004115C0"/>
    <w:rsid w:val="0041580F"/>
    <w:rsid w:val="00422FA2"/>
    <w:rsid w:val="0042410C"/>
    <w:rsid w:val="00430CFE"/>
    <w:rsid w:val="00431871"/>
    <w:rsid w:val="00431D70"/>
    <w:rsid w:val="00432731"/>
    <w:rsid w:val="004549EB"/>
    <w:rsid w:val="004569FC"/>
    <w:rsid w:val="00460854"/>
    <w:rsid w:val="004608D5"/>
    <w:rsid w:val="00460F84"/>
    <w:rsid w:val="004613E5"/>
    <w:rsid w:val="00466125"/>
    <w:rsid w:val="00467540"/>
    <w:rsid w:val="004675D5"/>
    <w:rsid w:val="0047169D"/>
    <w:rsid w:val="0047224D"/>
    <w:rsid w:val="0047453A"/>
    <w:rsid w:val="00474F31"/>
    <w:rsid w:val="00475402"/>
    <w:rsid w:val="00476F7D"/>
    <w:rsid w:val="00477270"/>
    <w:rsid w:val="00477928"/>
    <w:rsid w:val="00481316"/>
    <w:rsid w:val="00486538"/>
    <w:rsid w:val="00491846"/>
    <w:rsid w:val="00492FD3"/>
    <w:rsid w:val="0049403B"/>
    <w:rsid w:val="00495488"/>
    <w:rsid w:val="004963A0"/>
    <w:rsid w:val="00496CE8"/>
    <w:rsid w:val="004A05A3"/>
    <w:rsid w:val="004A09E3"/>
    <w:rsid w:val="004A1536"/>
    <w:rsid w:val="004A3A98"/>
    <w:rsid w:val="004A4EEE"/>
    <w:rsid w:val="004A4F19"/>
    <w:rsid w:val="004A697A"/>
    <w:rsid w:val="004A77C4"/>
    <w:rsid w:val="004A7DF2"/>
    <w:rsid w:val="004B2515"/>
    <w:rsid w:val="004B33DF"/>
    <w:rsid w:val="004B4954"/>
    <w:rsid w:val="004B4B20"/>
    <w:rsid w:val="004B6629"/>
    <w:rsid w:val="004B74F4"/>
    <w:rsid w:val="004C0AA1"/>
    <w:rsid w:val="004C178B"/>
    <w:rsid w:val="004C6661"/>
    <w:rsid w:val="004C689D"/>
    <w:rsid w:val="004D1184"/>
    <w:rsid w:val="004D1E58"/>
    <w:rsid w:val="004D3C25"/>
    <w:rsid w:val="004E197B"/>
    <w:rsid w:val="004E3E6B"/>
    <w:rsid w:val="004E4D72"/>
    <w:rsid w:val="004E52F5"/>
    <w:rsid w:val="004E5630"/>
    <w:rsid w:val="004F11E3"/>
    <w:rsid w:val="004F3C00"/>
    <w:rsid w:val="005000D4"/>
    <w:rsid w:val="00502457"/>
    <w:rsid w:val="00502FD8"/>
    <w:rsid w:val="005042B0"/>
    <w:rsid w:val="005057C6"/>
    <w:rsid w:val="00507E54"/>
    <w:rsid w:val="00510C91"/>
    <w:rsid w:val="00510FAF"/>
    <w:rsid w:val="00512844"/>
    <w:rsid w:val="00513C7A"/>
    <w:rsid w:val="00517682"/>
    <w:rsid w:val="00525ACB"/>
    <w:rsid w:val="00526DAC"/>
    <w:rsid w:val="00530AC5"/>
    <w:rsid w:val="00532B05"/>
    <w:rsid w:val="00533DC4"/>
    <w:rsid w:val="00535E2A"/>
    <w:rsid w:val="00535F17"/>
    <w:rsid w:val="0053648E"/>
    <w:rsid w:val="00536FA9"/>
    <w:rsid w:val="00540E5B"/>
    <w:rsid w:val="00542157"/>
    <w:rsid w:val="005428C4"/>
    <w:rsid w:val="005448CC"/>
    <w:rsid w:val="00544BD2"/>
    <w:rsid w:val="00544C85"/>
    <w:rsid w:val="0055086F"/>
    <w:rsid w:val="00551665"/>
    <w:rsid w:val="00554181"/>
    <w:rsid w:val="00555FC8"/>
    <w:rsid w:val="00561024"/>
    <w:rsid w:val="00561265"/>
    <w:rsid w:val="00561C96"/>
    <w:rsid w:val="0056208B"/>
    <w:rsid w:val="00562690"/>
    <w:rsid w:val="005656F3"/>
    <w:rsid w:val="00567602"/>
    <w:rsid w:val="005716FF"/>
    <w:rsid w:val="005720D9"/>
    <w:rsid w:val="00574738"/>
    <w:rsid w:val="00574CA0"/>
    <w:rsid w:val="005766C5"/>
    <w:rsid w:val="00576D42"/>
    <w:rsid w:val="0058423E"/>
    <w:rsid w:val="005850A5"/>
    <w:rsid w:val="00587825"/>
    <w:rsid w:val="00592314"/>
    <w:rsid w:val="00592E57"/>
    <w:rsid w:val="00594ECC"/>
    <w:rsid w:val="00595396"/>
    <w:rsid w:val="00595B5A"/>
    <w:rsid w:val="00597307"/>
    <w:rsid w:val="005A01C0"/>
    <w:rsid w:val="005A074E"/>
    <w:rsid w:val="005A2189"/>
    <w:rsid w:val="005A496E"/>
    <w:rsid w:val="005B1505"/>
    <w:rsid w:val="005B22C9"/>
    <w:rsid w:val="005B2BC5"/>
    <w:rsid w:val="005B3579"/>
    <w:rsid w:val="005B6763"/>
    <w:rsid w:val="005B7526"/>
    <w:rsid w:val="005C1EEC"/>
    <w:rsid w:val="005C2011"/>
    <w:rsid w:val="005C34A5"/>
    <w:rsid w:val="005C6EB8"/>
    <w:rsid w:val="005C74B6"/>
    <w:rsid w:val="005C7514"/>
    <w:rsid w:val="005C766A"/>
    <w:rsid w:val="005D2A35"/>
    <w:rsid w:val="005D5626"/>
    <w:rsid w:val="005E100E"/>
    <w:rsid w:val="005E154B"/>
    <w:rsid w:val="005E19F3"/>
    <w:rsid w:val="005E3340"/>
    <w:rsid w:val="005E3647"/>
    <w:rsid w:val="005F361D"/>
    <w:rsid w:val="005F38AF"/>
    <w:rsid w:val="005F4916"/>
    <w:rsid w:val="005F644D"/>
    <w:rsid w:val="006047D4"/>
    <w:rsid w:val="006078DC"/>
    <w:rsid w:val="006139FD"/>
    <w:rsid w:val="0061601B"/>
    <w:rsid w:val="006168B0"/>
    <w:rsid w:val="00617898"/>
    <w:rsid w:val="0062078E"/>
    <w:rsid w:val="006243A9"/>
    <w:rsid w:val="00624D33"/>
    <w:rsid w:val="0063127E"/>
    <w:rsid w:val="006336A8"/>
    <w:rsid w:val="0063421F"/>
    <w:rsid w:val="006359ED"/>
    <w:rsid w:val="00636385"/>
    <w:rsid w:val="006377CE"/>
    <w:rsid w:val="00640133"/>
    <w:rsid w:val="00640E1D"/>
    <w:rsid w:val="00644700"/>
    <w:rsid w:val="00645963"/>
    <w:rsid w:val="006465CA"/>
    <w:rsid w:val="0065741E"/>
    <w:rsid w:val="0066124A"/>
    <w:rsid w:val="00670A85"/>
    <w:rsid w:val="00674106"/>
    <w:rsid w:val="00675511"/>
    <w:rsid w:val="006763EA"/>
    <w:rsid w:val="0068059B"/>
    <w:rsid w:val="00683FD0"/>
    <w:rsid w:val="00685A40"/>
    <w:rsid w:val="00685B3F"/>
    <w:rsid w:val="006862F5"/>
    <w:rsid w:val="00686BFB"/>
    <w:rsid w:val="00687604"/>
    <w:rsid w:val="00690579"/>
    <w:rsid w:val="006923E2"/>
    <w:rsid w:val="00693577"/>
    <w:rsid w:val="006A049E"/>
    <w:rsid w:val="006A05D6"/>
    <w:rsid w:val="006A236B"/>
    <w:rsid w:val="006A36DE"/>
    <w:rsid w:val="006A4550"/>
    <w:rsid w:val="006A72CB"/>
    <w:rsid w:val="006B18FE"/>
    <w:rsid w:val="006B4447"/>
    <w:rsid w:val="006B7AB4"/>
    <w:rsid w:val="006C05E1"/>
    <w:rsid w:val="006C12AD"/>
    <w:rsid w:val="006C46D6"/>
    <w:rsid w:val="006C4A8A"/>
    <w:rsid w:val="006C4CB1"/>
    <w:rsid w:val="006D30C8"/>
    <w:rsid w:val="006D3101"/>
    <w:rsid w:val="006D3D3A"/>
    <w:rsid w:val="006D724A"/>
    <w:rsid w:val="006E1E77"/>
    <w:rsid w:val="006E2C6B"/>
    <w:rsid w:val="006E353A"/>
    <w:rsid w:val="006E4869"/>
    <w:rsid w:val="006E6B17"/>
    <w:rsid w:val="006F233D"/>
    <w:rsid w:val="006F2CAB"/>
    <w:rsid w:val="006F5441"/>
    <w:rsid w:val="006F5EF4"/>
    <w:rsid w:val="00700B55"/>
    <w:rsid w:val="00700F18"/>
    <w:rsid w:val="00704284"/>
    <w:rsid w:val="0070522C"/>
    <w:rsid w:val="00706545"/>
    <w:rsid w:val="00706A5F"/>
    <w:rsid w:val="00706CE0"/>
    <w:rsid w:val="007070BD"/>
    <w:rsid w:val="00707D87"/>
    <w:rsid w:val="00712980"/>
    <w:rsid w:val="007129B2"/>
    <w:rsid w:val="00714213"/>
    <w:rsid w:val="00715806"/>
    <w:rsid w:val="0071746F"/>
    <w:rsid w:val="00721996"/>
    <w:rsid w:val="007233AF"/>
    <w:rsid w:val="007248AD"/>
    <w:rsid w:val="00726BE7"/>
    <w:rsid w:val="00727EF4"/>
    <w:rsid w:val="00730128"/>
    <w:rsid w:val="007309A5"/>
    <w:rsid w:val="00730DF3"/>
    <w:rsid w:val="00731191"/>
    <w:rsid w:val="00733364"/>
    <w:rsid w:val="00734EBA"/>
    <w:rsid w:val="00734F84"/>
    <w:rsid w:val="00735807"/>
    <w:rsid w:val="00735969"/>
    <w:rsid w:val="00736B48"/>
    <w:rsid w:val="00742455"/>
    <w:rsid w:val="00747A03"/>
    <w:rsid w:val="007503A6"/>
    <w:rsid w:val="00753294"/>
    <w:rsid w:val="0075691F"/>
    <w:rsid w:val="00760772"/>
    <w:rsid w:val="00764ADC"/>
    <w:rsid w:val="00765661"/>
    <w:rsid w:val="00767661"/>
    <w:rsid w:val="0077091B"/>
    <w:rsid w:val="00773B68"/>
    <w:rsid w:val="0077511F"/>
    <w:rsid w:val="00776E18"/>
    <w:rsid w:val="0078044D"/>
    <w:rsid w:val="007818FB"/>
    <w:rsid w:val="00786B2F"/>
    <w:rsid w:val="00791996"/>
    <w:rsid w:val="0079282B"/>
    <w:rsid w:val="00795487"/>
    <w:rsid w:val="00795A45"/>
    <w:rsid w:val="007A233D"/>
    <w:rsid w:val="007A39E0"/>
    <w:rsid w:val="007A78F8"/>
    <w:rsid w:val="007A79DD"/>
    <w:rsid w:val="007B087E"/>
    <w:rsid w:val="007B18A0"/>
    <w:rsid w:val="007B2BCF"/>
    <w:rsid w:val="007B2E87"/>
    <w:rsid w:val="007B4847"/>
    <w:rsid w:val="007B601E"/>
    <w:rsid w:val="007B6B4B"/>
    <w:rsid w:val="007C0237"/>
    <w:rsid w:val="007C2588"/>
    <w:rsid w:val="007C2B20"/>
    <w:rsid w:val="007C40C1"/>
    <w:rsid w:val="007C7367"/>
    <w:rsid w:val="007C76BC"/>
    <w:rsid w:val="007D19B2"/>
    <w:rsid w:val="007D31FF"/>
    <w:rsid w:val="007D3243"/>
    <w:rsid w:val="007D3A00"/>
    <w:rsid w:val="007D4D27"/>
    <w:rsid w:val="007D4D60"/>
    <w:rsid w:val="007D6925"/>
    <w:rsid w:val="007D7D87"/>
    <w:rsid w:val="007E07F8"/>
    <w:rsid w:val="007E2FF7"/>
    <w:rsid w:val="007E4E95"/>
    <w:rsid w:val="007E6887"/>
    <w:rsid w:val="007F3A5E"/>
    <w:rsid w:val="007F603F"/>
    <w:rsid w:val="00800D69"/>
    <w:rsid w:val="00803DE4"/>
    <w:rsid w:val="00804EA8"/>
    <w:rsid w:val="00804F29"/>
    <w:rsid w:val="00806C7E"/>
    <w:rsid w:val="00813A51"/>
    <w:rsid w:val="0081578F"/>
    <w:rsid w:val="0081680B"/>
    <w:rsid w:val="00817489"/>
    <w:rsid w:val="00821397"/>
    <w:rsid w:val="00823E38"/>
    <w:rsid w:val="00823E47"/>
    <w:rsid w:val="00826036"/>
    <w:rsid w:val="008304C6"/>
    <w:rsid w:val="00830A23"/>
    <w:rsid w:val="00832881"/>
    <w:rsid w:val="00834FCC"/>
    <w:rsid w:val="00836EB9"/>
    <w:rsid w:val="00837C04"/>
    <w:rsid w:val="00837CE7"/>
    <w:rsid w:val="00840701"/>
    <w:rsid w:val="00840C29"/>
    <w:rsid w:val="00842E17"/>
    <w:rsid w:val="008514D6"/>
    <w:rsid w:val="00853CEE"/>
    <w:rsid w:val="00856A1A"/>
    <w:rsid w:val="00856D90"/>
    <w:rsid w:val="0085761D"/>
    <w:rsid w:val="00860D50"/>
    <w:rsid w:val="00860E56"/>
    <w:rsid w:val="008621FB"/>
    <w:rsid w:val="00863591"/>
    <w:rsid w:val="00863D59"/>
    <w:rsid w:val="00873CCC"/>
    <w:rsid w:val="008749AC"/>
    <w:rsid w:val="008769D3"/>
    <w:rsid w:val="0088137A"/>
    <w:rsid w:val="00884668"/>
    <w:rsid w:val="00884CA8"/>
    <w:rsid w:val="0088562B"/>
    <w:rsid w:val="00885F4B"/>
    <w:rsid w:val="008868AC"/>
    <w:rsid w:val="00886FD7"/>
    <w:rsid w:val="00890D25"/>
    <w:rsid w:val="00894D06"/>
    <w:rsid w:val="008A0DBE"/>
    <w:rsid w:val="008A40C5"/>
    <w:rsid w:val="008A4248"/>
    <w:rsid w:val="008A4D20"/>
    <w:rsid w:val="008A608D"/>
    <w:rsid w:val="008A7632"/>
    <w:rsid w:val="008B4170"/>
    <w:rsid w:val="008C09DF"/>
    <w:rsid w:val="008C1AAF"/>
    <w:rsid w:val="008C2D98"/>
    <w:rsid w:val="008D0A8B"/>
    <w:rsid w:val="008D11E6"/>
    <w:rsid w:val="008D2889"/>
    <w:rsid w:val="008D3EA1"/>
    <w:rsid w:val="008D40CC"/>
    <w:rsid w:val="008D4F94"/>
    <w:rsid w:val="008D75B7"/>
    <w:rsid w:val="008D783F"/>
    <w:rsid w:val="008D78FA"/>
    <w:rsid w:val="008E06F7"/>
    <w:rsid w:val="008E1D7B"/>
    <w:rsid w:val="008E3D02"/>
    <w:rsid w:val="008E69AE"/>
    <w:rsid w:val="008E6E38"/>
    <w:rsid w:val="008F1E23"/>
    <w:rsid w:val="008F46A1"/>
    <w:rsid w:val="00900EC9"/>
    <w:rsid w:val="0090217E"/>
    <w:rsid w:val="009036E5"/>
    <w:rsid w:val="00904887"/>
    <w:rsid w:val="00906117"/>
    <w:rsid w:val="00906A6B"/>
    <w:rsid w:val="0090728E"/>
    <w:rsid w:val="00912C05"/>
    <w:rsid w:val="00912E0D"/>
    <w:rsid w:val="00914E9B"/>
    <w:rsid w:val="00921065"/>
    <w:rsid w:val="009239DD"/>
    <w:rsid w:val="0092437F"/>
    <w:rsid w:val="00924612"/>
    <w:rsid w:val="00924B2B"/>
    <w:rsid w:val="00925F38"/>
    <w:rsid w:val="00927C48"/>
    <w:rsid w:val="0093363A"/>
    <w:rsid w:val="00935BE4"/>
    <w:rsid w:val="00936CA7"/>
    <w:rsid w:val="00940108"/>
    <w:rsid w:val="00946195"/>
    <w:rsid w:val="009465C2"/>
    <w:rsid w:val="00946B26"/>
    <w:rsid w:val="00947CB7"/>
    <w:rsid w:val="00954FCC"/>
    <w:rsid w:val="00957981"/>
    <w:rsid w:val="00960AFC"/>
    <w:rsid w:val="00962BB5"/>
    <w:rsid w:val="00972D66"/>
    <w:rsid w:val="00975BAD"/>
    <w:rsid w:val="00976BF5"/>
    <w:rsid w:val="009770C9"/>
    <w:rsid w:val="00980D89"/>
    <w:rsid w:val="009812F8"/>
    <w:rsid w:val="0098134F"/>
    <w:rsid w:val="00983981"/>
    <w:rsid w:val="00987398"/>
    <w:rsid w:val="009874F0"/>
    <w:rsid w:val="00993EFD"/>
    <w:rsid w:val="009973B6"/>
    <w:rsid w:val="009A0213"/>
    <w:rsid w:val="009A0FDD"/>
    <w:rsid w:val="009A1F9C"/>
    <w:rsid w:val="009A39B8"/>
    <w:rsid w:val="009B1180"/>
    <w:rsid w:val="009B38C9"/>
    <w:rsid w:val="009B54CF"/>
    <w:rsid w:val="009B5E73"/>
    <w:rsid w:val="009B6487"/>
    <w:rsid w:val="009C08C9"/>
    <w:rsid w:val="009C0DD2"/>
    <w:rsid w:val="009C2FC2"/>
    <w:rsid w:val="009C5E6E"/>
    <w:rsid w:val="009C78DF"/>
    <w:rsid w:val="009C7977"/>
    <w:rsid w:val="009D0401"/>
    <w:rsid w:val="009D20C3"/>
    <w:rsid w:val="009D54A9"/>
    <w:rsid w:val="009D68A8"/>
    <w:rsid w:val="009D7168"/>
    <w:rsid w:val="009D7ECD"/>
    <w:rsid w:val="009E4302"/>
    <w:rsid w:val="009E5B7E"/>
    <w:rsid w:val="009E5C7F"/>
    <w:rsid w:val="009E717B"/>
    <w:rsid w:val="009F01E7"/>
    <w:rsid w:val="009F316C"/>
    <w:rsid w:val="009F38B5"/>
    <w:rsid w:val="009F3AE1"/>
    <w:rsid w:val="009F4DB3"/>
    <w:rsid w:val="00A0068F"/>
    <w:rsid w:val="00A01173"/>
    <w:rsid w:val="00A0178F"/>
    <w:rsid w:val="00A01F6A"/>
    <w:rsid w:val="00A034AF"/>
    <w:rsid w:val="00A04A87"/>
    <w:rsid w:val="00A0653F"/>
    <w:rsid w:val="00A074E9"/>
    <w:rsid w:val="00A1305A"/>
    <w:rsid w:val="00A174F4"/>
    <w:rsid w:val="00A17FA9"/>
    <w:rsid w:val="00A20BDA"/>
    <w:rsid w:val="00A2308B"/>
    <w:rsid w:val="00A25804"/>
    <w:rsid w:val="00A27450"/>
    <w:rsid w:val="00A3167D"/>
    <w:rsid w:val="00A326F0"/>
    <w:rsid w:val="00A33282"/>
    <w:rsid w:val="00A336E2"/>
    <w:rsid w:val="00A3472A"/>
    <w:rsid w:val="00A41EDC"/>
    <w:rsid w:val="00A42195"/>
    <w:rsid w:val="00A44E7C"/>
    <w:rsid w:val="00A46451"/>
    <w:rsid w:val="00A53749"/>
    <w:rsid w:val="00A541E7"/>
    <w:rsid w:val="00A564EC"/>
    <w:rsid w:val="00A5727F"/>
    <w:rsid w:val="00A60FA9"/>
    <w:rsid w:val="00A60FC4"/>
    <w:rsid w:val="00A64905"/>
    <w:rsid w:val="00A7143D"/>
    <w:rsid w:val="00A726BB"/>
    <w:rsid w:val="00A7499D"/>
    <w:rsid w:val="00A75FAC"/>
    <w:rsid w:val="00A762BB"/>
    <w:rsid w:val="00A808E1"/>
    <w:rsid w:val="00A81B8E"/>
    <w:rsid w:val="00A85067"/>
    <w:rsid w:val="00A85FDA"/>
    <w:rsid w:val="00A861BA"/>
    <w:rsid w:val="00A87263"/>
    <w:rsid w:val="00A87AA1"/>
    <w:rsid w:val="00AA0F31"/>
    <w:rsid w:val="00AA110B"/>
    <w:rsid w:val="00AA5DB3"/>
    <w:rsid w:val="00AA6233"/>
    <w:rsid w:val="00AA6F43"/>
    <w:rsid w:val="00AB02E3"/>
    <w:rsid w:val="00AB1175"/>
    <w:rsid w:val="00AB282A"/>
    <w:rsid w:val="00AB3050"/>
    <w:rsid w:val="00AB6000"/>
    <w:rsid w:val="00AB6839"/>
    <w:rsid w:val="00AC03A4"/>
    <w:rsid w:val="00AC14D4"/>
    <w:rsid w:val="00AC2F6E"/>
    <w:rsid w:val="00AC39D2"/>
    <w:rsid w:val="00AC5609"/>
    <w:rsid w:val="00AC73DD"/>
    <w:rsid w:val="00AD1F12"/>
    <w:rsid w:val="00AD2EED"/>
    <w:rsid w:val="00AD42F0"/>
    <w:rsid w:val="00AD5B62"/>
    <w:rsid w:val="00AD5F50"/>
    <w:rsid w:val="00AE1666"/>
    <w:rsid w:val="00AE3501"/>
    <w:rsid w:val="00AE3548"/>
    <w:rsid w:val="00AE3F2E"/>
    <w:rsid w:val="00AE49E3"/>
    <w:rsid w:val="00AE5870"/>
    <w:rsid w:val="00AF0671"/>
    <w:rsid w:val="00AF184C"/>
    <w:rsid w:val="00AF20FF"/>
    <w:rsid w:val="00AF3EE4"/>
    <w:rsid w:val="00AF6BCB"/>
    <w:rsid w:val="00AF6C55"/>
    <w:rsid w:val="00B01006"/>
    <w:rsid w:val="00B02B2E"/>
    <w:rsid w:val="00B03F99"/>
    <w:rsid w:val="00B040B3"/>
    <w:rsid w:val="00B070D8"/>
    <w:rsid w:val="00B14169"/>
    <w:rsid w:val="00B14436"/>
    <w:rsid w:val="00B1451C"/>
    <w:rsid w:val="00B146ED"/>
    <w:rsid w:val="00B14711"/>
    <w:rsid w:val="00B14A9B"/>
    <w:rsid w:val="00B17774"/>
    <w:rsid w:val="00B17B1E"/>
    <w:rsid w:val="00B21EAF"/>
    <w:rsid w:val="00B22E2F"/>
    <w:rsid w:val="00B25E85"/>
    <w:rsid w:val="00B30B30"/>
    <w:rsid w:val="00B336DC"/>
    <w:rsid w:val="00B33FA8"/>
    <w:rsid w:val="00B34135"/>
    <w:rsid w:val="00B3442E"/>
    <w:rsid w:val="00B410D5"/>
    <w:rsid w:val="00B420F9"/>
    <w:rsid w:val="00B47D30"/>
    <w:rsid w:val="00B50A3A"/>
    <w:rsid w:val="00B51AB2"/>
    <w:rsid w:val="00B5636F"/>
    <w:rsid w:val="00B60DB6"/>
    <w:rsid w:val="00B622DB"/>
    <w:rsid w:val="00B62EED"/>
    <w:rsid w:val="00B6365B"/>
    <w:rsid w:val="00B67249"/>
    <w:rsid w:val="00B7444D"/>
    <w:rsid w:val="00B75244"/>
    <w:rsid w:val="00B75EB9"/>
    <w:rsid w:val="00B80A1D"/>
    <w:rsid w:val="00B832DF"/>
    <w:rsid w:val="00B85309"/>
    <w:rsid w:val="00B91239"/>
    <w:rsid w:val="00B95D0E"/>
    <w:rsid w:val="00B967AD"/>
    <w:rsid w:val="00B97810"/>
    <w:rsid w:val="00BA1381"/>
    <w:rsid w:val="00BA4898"/>
    <w:rsid w:val="00BA52C4"/>
    <w:rsid w:val="00BB178F"/>
    <w:rsid w:val="00BB5F0D"/>
    <w:rsid w:val="00BB639B"/>
    <w:rsid w:val="00BB72FC"/>
    <w:rsid w:val="00BB7BF0"/>
    <w:rsid w:val="00BC04BA"/>
    <w:rsid w:val="00BC21D0"/>
    <w:rsid w:val="00BC2222"/>
    <w:rsid w:val="00BC25CA"/>
    <w:rsid w:val="00BC31B2"/>
    <w:rsid w:val="00BC38A9"/>
    <w:rsid w:val="00BC3CDE"/>
    <w:rsid w:val="00BC633F"/>
    <w:rsid w:val="00BC66F5"/>
    <w:rsid w:val="00BC6A6E"/>
    <w:rsid w:val="00BC72EC"/>
    <w:rsid w:val="00BC7D48"/>
    <w:rsid w:val="00BD0092"/>
    <w:rsid w:val="00BD0B37"/>
    <w:rsid w:val="00BD0BA7"/>
    <w:rsid w:val="00BD1EBB"/>
    <w:rsid w:val="00BD650B"/>
    <w:rsid w:val="00BE095E"/>
    <w:rsid w:val="00BE0BB6"/>
    <w:rsid w:val="00BE1344"/>
    <w:rsid w:val="00BE27C2"/>
    <w:rsid w:val="00BE2DEC"/>
    <w:rsid w:val="00BE35F9"/>
    <w:rsid w:val="00BE3980"/>
    <w:rsid w:val="00BE5939"/>
    <w:rsid w:val="00BE76C4"/>
    <w:rsid w:val="00BF1BB2"/>
    <w:rsid w:val="00BF3263"/>
    <w:rsid w:val="00BF4FC9"/>
    <w:rsid w:val="00BF6606"/>
    <w:rsid w:val="00C0041D"/>
    <w:rsid w:val="00C00510"/>
    <w:rsid w:val="00C00D13"/>
    <w:rsid w:val="00C06B7F"/>
    <w:rsid w:val="00C075ED"/>
    <w:rsid w:val="00C07DD3"/>
    <w:rsid w:val="00C10F0E"/>
    <w:rsid w:val="00C1123C"/>
    <w:rsid w:val="00C11D65"/>
    <w:rsid w:val="00C1236B"/>
    <w:rsid w:val="00C136E7"/>
    <w:rsid w:val="00C14B1F"/>
    <w:rsid w:val="00C17830"/>
    <w:rsid w:val="00C17891"/>
    <w:rsid w:val="00C21AB0"/>
    <w:rsid w:val="00C246AC"/>
    <w:rsid w:val="00C25EB8"/>
    <w:rsid w:val="00C271A4"/>
    <w:rsid w:val="00C327F2"/>
    <w:rsid w:val="00C34BEE"/>
    <w:rsid w:val="00C351A9"/>
    <w:rsid w:val="00C378A3"/>
    <w:rsid w:val="00C43017"/>
    <w:rsid w:val="00C431F8"/>
    <w:rsid w:val="00C444B7"/>
    <w:rsid w:val="00C44AA3"/>
    <w:rsid w:val="00C459C3"/>
    <w:rsid w:val="00C46485"/>
    <w:rsid w:val="00C5144F"/>
    <w:rsid w:val="00C51734"/>
    <w:rsid w:val="00C52EDD"/>
    <w:rsid w:val="00C53C1D"/>
    <w:rsid w:val="00C5436A"/>
    <w:rsid w:val="00C570D4"/>
    <w:rsid w:val="00C62DD8"/>
    <w:rsid w:val="00C63D29"/>
    <w:rsid w:val="00C743D3"/>
    <w:rsid w:val="00C801BF"/>
    <w:rsid w:val="00C83EC4"/>
    <w:rsid w:val="00C85F56"/>
    <w:rsid w:val="00C948A4"/>
    <w:rsid w:val="00C9737E"/>
    <w:rsid w:val="00CA014B"/>
    <w:rsid w:val="00CA080C"/>
    <w:rsid w:val="00CA166C"/>
    <w:rsid w:val="00CA24A0"/>
    <w:rsid w:val="00CA51E7"/>
    <w:rsid w:val="00CB0A3C"/>
    <w:rsid w:val="00CB17E8"/>
    <w:rsid w:val="00CC2607"/>
    <w:rsid w:val="00CC37E4"/>
    <w:rsid w:val="00CC40AB"/>
    <w:rsid w:val="00CC42EA"/>
    <w:rsid w:val="00CC7561"/>
    <w:rsid w:val="00CD02CC"/>
    <w:rsid w:val="00CD0AFE"/>
    <w:rsid w:val="00CD1112"/>
    <w:rsid w:val="00CD269D"/>
    <w:rsid w:val="00CD44E6"/>
    <w:rsid w:val="00CD57C5"/>
    <w:rsid w:val="00CE07BB"/>
    <w:rsid w:val="00CE0E27"/>
    <w:rsid w:val="00CE2144"/>
    <w:rsid w:val="00CE2F5B"/>
    <w:rsid w:val="00CF1DE4"/>
    <w:rsid w:val="00CF255F"/>
    <w:rsid w:val="00CF2BA1"/>
    <w:rsid w:val="00CF4DCD"/>
    <w:rsid w:val="00CF5AB7"/>
    <w:rsid w:val="00CF76DE"/>
    <w:rsid w:val="00D00A5D"/>
    <w:rsid w:val="00D01BC0"/>
    <w:rsid w:val="00D03762"/>
    <w:rsid w:val="00D03EA7"/>
    <w:rsid w:val="00D10A93"/>
    <w:rsid w:val="00D10C39"/>
    <w:rsid w:val="00D13705"/>
    <w:rsid w:val="00D1396C"/>
    <w:rsid w:val="00D16000"/>
    <w:rsid w:val="00D1661D"/>
    <w:rsid w:val="00D174C1"/>
    <w:rsid w:val="00D17B84"/>
    <w:rsid w:val="00D17F2B"/>
    <w:rsid w:val="00D22EB2"/>
    <w:rsid w:val="00D2505C"/>
    <w:rsid w:val="00D32F60"/>
    <w:rsid w:val="00D349DC"/>
    <w:rsid w:val="00D355D8"/>
    <w:rsid w:val="00D35E21"/>
    <w:rsid w:val="00D36550"/>
    <w:rsid w:val="00D36983"/>
    <w:rsid w:val="00D37308"/>
    <w:rsid w:val="00D37B51"/>
    <w:rsid w:val="00D42050"/>
    <w:rsid w:val="00D4208A"/>
    <w:rsid w:val="00D4450F"/>
    <w:rsid w:val="00D457EF"/>
    <w:rsid w:val="00D45E52"/>
    <w:rsid w:val="00D46961"/>
    <w:rsid w:val="00D50030"/>
    <w:rsid w:val="00D50C04"/>
    <w:rsid w:val="00D51E3A"/>
    <w:rsid w:val="00D53F5A"/>
    <w:rsid w:val="00D54AB4"/>
    <w:rsid w:val="00D56CE7"/>
    <w:rsid w:val="00D57F31"/>
    <w:rsid w:val="00D62080"/>
    <w:rsid w:val="00D62C5C"/>
    <w:rsid w:val="00D65A1B"/>
    <w:rsid w:val="00D70D4A"/>
    <w:rsid w:val="00D735BE"/>
    <w:rsid w:val="00D75CE5"/>
    <w:rsid w:val="00D7695C"/>
    <w:rsid w:val="00D76BEC"/>
    <w:rsid w:val="00D800BF"/>
    <w:rsid w:val="00D80565"/>
    <w:rsid w:val="00D81557"/>
    <w:rsid w:val="00D81711"/>
    <w:rsid w:val="00D82178"/>
    <w:rsid w:val="00D83206"/>
    <w:rsid w:val="00D85214"/>
    <w:rsid w:val="00D87F98"/>
    <w:rsid w:val="00D90CD3"/>
    <w:rsid w:val="00D93ABE"/>
    <w:rsid w:val="00DA0319"/>
    <w:rsid w:val="00DA4ED9"/>
    <w:rsid w:val="00DA6044"/>
    <w:rsid w:val="00DA63BD"/>
    <w:rsid w:val="00DA7287"/>
    <w:rsid w:val="00DA7482"/>
    <w:rsid w:val="00DB019D"/>
    <w:rsid w:val="00DB06E4"/>
    <w:rsid w:val="00DB153A"/>
    <w:rsid w:val="00DB1DBE"/>
    <w:rsid w:val="00DB478B"/>
    <w:rsid w:val="00DB4C9B"/>
    <w:rsid w:val="00DB5B36"/>
    <w:rsid w:val="00DB7902"/>
    <w:rsid w:val="00DC0B78"/>
    <w:rsid w:val="00DC57FB"/>
    <w:rsid w:val="00DC5D19"/>
    <w:rsid w:val="00DC75A7"/>
    <w:rsid w:val="00DD2E80"/>
    <w:rsid w:val="00DD4661"/>
    <w:rsid w:val="00DD482D"/>
    <w:rsid w:val="00DD7D85"/>
    <w:rsid w:val="00DE188E"/>
    <w:rsid w:val="00DE21A9"/>
    <w:rsid w:val="00DE29DD"/>
    <w:rsid w:val="00DE55C2"/>
    <w:rsid w:val="00DF26F3"/>
    <w:rsid w:val="00DF631D"/>
    <w:rsid w:val="00E03D57"/>
    <w:rsid w:val="00E0576F"/>
    <w:rsid w:val="00E061B9"/>
    <w:rsid w:val="00E06D1A"/>
    <w:rsid w:val="00E10EE8"/>
    <w:rsid w:val="00E1300B"/>
    <w:rsid w:val="00E14625"/>
    <w:rsid w:val="00E3073D"/>
    <w:rsid w:val="00E31155"/>
    <w:rsid w:val="00E3283E"/>
    <w:rsid w:val="00E3531F"/>
    <w:rsid w:val="00E363F6"/>
    <w:rsid w:val="00E37C72"/>
    <w:rsid w:val="00E42D30"/>
    <w:rsid w:val="00E42D62"/>
    <w:rsid w:val="00E42E10"/>
    <w:rsid w:val="00E44616"/>
    <w:rsid w:val="00E44C46"/>
    <w:rsid w:val="00E45205"/>
    <w:rsid w:val="00E456A6"/>
    <w:rsid w:val="00E4615C"/>
    <w:rsid w:val="00E466F6"/>
    <w:rsid w:val="00E504D0"/>
    <w:rsid w:val="00E5385B"/>
    <w:rsid w:val="00E53EE8"/>
    <w:rsid w:val="00E566BA"/>
    <w:rsid w:val="00E56A6F"/>
    <w:rsid w:val="00E65CE1"/>
    <w:rsid w:val="00E6776C"/>
    <w:rsid w:val="00E679CA"/>
    <w:rsid w:val="00E70198"/>
    <w:rsid w:val="00E703A0"/>
    <w:rsid w:val="00E74E50"/>
    <w:rsid w:val="00E762B9"/>
    <w:rsid w:val="00E8356F"/>
    <w:rsid w:val="00E837F5"/>
    <w:rsid w:val="00E85731"/>
    <w:rsid w:val="00E879E8"/>
    <w:rsid w:val="00E909C2"/>
    <w:rsid w:val="00E91B74"/>
    <w:rsid w:val="00E91E76"/>
    <w:rsid w:val="00E941FC"/>
    <w:rsid w:val="00E9604F"/>
    <w:rsid w:val="00EA0951"/>
    <w:rsid w:val="00EA3BD4"/>
    <w:rsid w:val="00EA5471"/>
    <w:rsid w:val="00EA5BB7"/>
    <w:rsid w:val="00EB0561"/>
    <w:rsid w:val="00EB14CB"/>
    <w:rsid w:val="00EB1ACB"/>
    <w:rsid w:val="00EB1DFB"/>
    <w:rsid w:val="00EB4A71"/>
    <w:rsid w:val="00EB665A"/>
    <w:rsid w:val="00EB72B0"/>
    <w:rsid w:val="00EB7B39"/>
    <w:rsid w:val="00EC0F5E"/>
    <w:rsid w:val="00EC195E"/>
    <w:rsid w:val="00EC36BC"/>
    <w:rsid w:val="00EC3ADC"/>
    <w:rsid w:val="00EC7798"/>
    <w:rsid w:val="00EC7C95"/>
    <w:rsid w:val="00ED1F15"/>
    <w:rsid w:val="00ED3F71"/>
    <w:rsid w:val="00ED60B4"/>
    <w:rsid w:val="00EE05F4"/>
    <w:rsid w:val="00EE5EBD"/>
    <w:rsid w:val="00EE7B92"/>
    <w:rsid w:val="00EF2469"/>
    <w:rsid w:val="00EF269B"/>
    <w:rsid w:val="00EF5C61"/>
    <w:rsid w:val="00F01643"/>
    <w:rsid w:val="00F01711"/>
    <w:rsid w:val="00F021A4"/>
    <w:rsid w:val="00F03A88"/>
    <w:rsid w:val="00F05E47"/>
    <w:rsid w:val="00F07540"/>
    <w:rsid w:val="00F0785B"/>
    <w:rsid w:val="00F13575"/>
    <w:rsid w:val="00F14A8C"/>
    <w:rsid w:val="00F177B8"/>
    <w:rsid w:val="00F21609"/>
    <w:rsid w:val="00F22850"/>
    <w:rsid w:val="00F22893"/>
    <w:rsid w:val="00F23297"/>
    <w:rsid w:val="00F2394C"/>
    <w:rsid w:val="00F26F9A"/>
    <w:rsid w:val="00F31BEB"/>
    <w:rsid w:val="00F33D2C"/>
    <w:rsid w:val="00F426B8"/>
    <w:rsid w:val="00F435B9"/>
    <w:rsid w:val="00F469F0"/>
    <w:rsid w:val="00F46D06"/>
    <w:rsid w:val="00F4706E"/>
    <w:rsid w:val="00F51071"/>
    <w:rsid w:val="00F51949"/>
    <w:rsid w:val="00F525FE"/>
    <w:rsid w:val="00F54EB8"/>
    <w:rsid w:val="00F553EE"/>
    <w:rsid w:val="00F56BE1"/>
    <w:rsid w:val="00F60037"/>
    <w:rsid w:val="00F60F68"/>
    <w:rsid w:val="00F615D6"/>
    <w:rsid w:val="00F618EE"/>
    <w:rsid w:val="00F61C77"/>
    <w:rsid w:val="00F63F48"/>
    <w:rsid w:val="00F652D8"/>
    <w:rsid w:val="00F66A19"/>
    <w:rsid w:val="00F675D6"/>
    <w:rsid w:val="00F71C22"/>
    <w:rsid w:val="00F724AC"/>
    <w:rsid w:val="00F73C23"/>
    <w:rsid w:val="00F756F4"/>
    <w:rsid w:val="00F765EF"/>
    <w:rsid w:val="00F76823"/>
    <w:rsid w:val="00F8076F"/>
    <w:rsid w:val="00F812B4"/>
    <w:rsid w:val="00F825A3"/>
    <w:rsid w:val="00F828C3"/>
    <w:rsid w:val="00F82940"/>
    <w:rsid w:val="00F8296C"/>
    <w:rsid w:val="00F83B70"/>
    <w:rsid w:val="00F846C4"/>
    <w:rsid w:val="00F85149"/>
    <w:rsid w:val="00F86848"/>
    <w:rsid w:val="00F9228B"/>
    <w:rsid w:val="00F9382B"/>
    <w:rsid w:val="00F97FD6"/>
    <w:rsid w:val="00FA00DA"/>
    <w:rsid w:val="00FA096B"/>
    <w:rsid w:val="00FA0C24"/>
    <w:rsid w:val="00FA1C05"/>
    <w:rsid w:val="00FA3072"/>
    <w:rsid w:val="00FA3B0C"/>
    <w:rsid w:val="00FA41C4"/>
    <w:rsid w:val="00FA7B32"/>
    <w:rsid w:val="00FB00E0"/>
    <w:rsid w:val="00FB1C00"/>
    <w:rsid w:val="00FB541D"/>
    <w:rsid w:val="00FB58CF"/>
    <w:rsid w:val="00FB5CBD"/>
    <w:rsid w:val="00FB5DD8"/>
    <w:rsid w:val="00FB6BB2"/>
    <w:rsid w:val="00FC05AE"/>
    <w:rsid w:val="00FC064C"/>
    <w:rsid w:val="00FC46CF"/>
    <w:rsid w:val="00FC5474"/>
    <w:rsid w:val="00FD09C8"/>
    <w:rsid w:val="00FD20BD"/>
    <w:rsid w:val="00FD263C"/>
    <w:rsid w:val="00FD2D3B"/>
    <w:rsid w:val="00FD3665"/>
    <w:rsid w:val="00FD3F39"/>
    <w:rsid w:val="00FD45FD"/>
    <w:rsid w:val="00FD5BFB"/>
    <w:rsid w:val="00FD61DA"/>
    <w:rsid w:val="00FD6D05"/>
    <w:rsid w:val="00FE1D98"/>
    <w:rsid w:val="00FE395B"/>
    <w:rsid w:val="00FE4C2A"/>
    <w:rsid w:val="00FE5896"/>
    <w:rsid w:val="00FE6108"/>
    <w:rsid w:val="00FE675F"/>
    <w:rsid w:val="00FF08C4"/>
    <w:rsid w:val="00FF767E"/>
    <w:rsid w:val="00FF7BFD"/>
    <w:rsid w:val="00FF7D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A039DE2"/>
  <w15:docId w15:val="{0AB6EB25-D78F-4DAE-8897-2EB82156E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2A9D"/>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E56A6F"/>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6A05D6"/>
    <w:pPr>
      <w:spacing w:before="480" w:after="200"/>
      <w:outlineLvl w:val="1"/>
    </w:pPr>
    <w:rPr>
      <w:caps w:val="0"/>
      <w:sz w:val="26"/>
    </w:rPr>
  </w:style>
  <w:style w:type="paragraph" w:styleId="Heading3">
    <w:name w:val="heading 3"/>
    <w:basedOn w:val="Heading2"/>
    <w:next w:val="base-text-paragraph"/>
    <w:link w:val="Heading3Char"/>
    <w:qFormat/>
    <w:rsid w:val="00E56A6F"/>
    <w:pPr>
      <w:spacing w:before="240"/>
      <w:outlineLvl w:val="2"/>
    </w:pPr>
    <w:rPr>
      <w:sz w:val="22"/>
    </w:rPr>
  </w:style>
  <w:style w:type="paragraph" w:styleId="Heading4">
    <w:name w:val="heading 4"/>
    <w:basedOn w:val="Heading3"/>
    <w:next w:val="base-text-paragraph"/>
    <w:link w:val="Heading4Char"/>
    <w:qFormat/>
    <w:rsid w:val="00E56A6F"/>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E56A6F"/>
    <w:pPr>
      <w:spacing w:after="60"/>
      <w:outlineLvl w:val="4"/>
    </w:pPr>
    <w:rPr>
      <w:b w:val="0"/>
      <w:bCs/>
      <w:iCs/>
      <w:szCs w:val="26"/>
    </w:rPr>
  </w:style>
  <w:style w:type="paragraph" w:styleId="Heading6">
    <w:name w:val="heading 6"/>
    <w:basedOn w:val="Heading5"/>
    <w:next w:val="base-text-paragraph"/>
    <w:link w:val="Heading6Char"/>
    <w:qFormat/>
    <w:rsid w:val="00E56A6F"/>
    <w:pPr>
      <w:outlineLvl w:val="5"/>
    </w:pPr>
    <w:rPr>
      <w:bCs w:val="0"/>
      <w:i w:val="0"/>
      <w:szCs w:val="22"/>
      <w:u w:val="single"/>
    </w:rPr>
  </w:style>
  <w:style w:type="paragraph" w:styleId="Heading7">
    <w:name w:val="heading 7"/>
    <w:basedOn w:val="Normal"/>
    <w:next w:val="Normal"/>
    <w:link w:val="Heading7Char"/>
    <w:qFormat/>
    <w:rsid w:val="00E56A6F"/>
    <w:pPr>
      <w:spacing w:before="240" w:after="60"/>
      <w:outlineLvl w:val="6"/>
    </w:pPr>
    <w:rPr>
      <w:sz w:val="24"/>
      <w:szCs w:val="24"/>
    </w:rPr>
  </w:style>
  <w:style w:type="paragraph" w:styleId="Heading8">
    <w:name w:val="heading 8"/>
    <w:basedOn w:val="Normal"/>
    <w:next w:val="Normal"/>
    <w:link w:val="Heading8Char"/>
    <w:qFormat/>
    <w:rsid w:val="00E56A6F"/>
    <w:pPr>
      <w:spacing w:before="240" w:after="60"/>
      <w:outlineLvl w:val="7"/>
    </w:pPr>
    <w:rPr>
      <w:i/>
      <w:iCs/>
      <w:sz w:val="24"/>
      <w:szCs w:val="24"/>
    </w:rPr>
  </w:style>
  <w:style w:type="paragraph" w:styleId="Heading9">
    <w:name w:val="heading 9"/>
    <w:basedOn w:val="Normal"/>
    <w:next w:val="Normal"/>
    <w:link w:val="Heading9Char"/>
    <w:qFormat/>
    <w:rsid w:val="00E56A6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E56A6F"/>
    <w:pPr>
      <w:numPr>
        <w:numId w:val="1"/>
      </w:numPr>
    </w:pPr>
  </w:style>
  <w:style w:type="numbering" w:styleId="1ai">
    <w:name w:val="Outline List 1"/>
    <w:basedOn w:val="NoList"/>
    <w:semiHidden/>
    <w:rsid w:val="00E56A6F"/>
    <w:pPr>
      <w:numPr>
        <w:numId w:val="4"/>
      </w:numPr>
    </w:pPr>
  </w:style>
  <w:style w:type="character" w:customStyle="1" w:styleId="Heading1Char">
    <w:name w:val="Heading 1 Char"/>
    <w:basedOn w:val="DefaultParagraphFont"/>
    <w:link w:val="Heading1"/>
    <w:rsid w:val="00E56A6F"/>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6A05D6"/>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E56A6F"/>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E56A6F"/>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E56A6F"/>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E56A6F"/>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E56A6F"/>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E56A6F"/>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E56A6F"/>
    <w:rPr>
      <w:rFonts w:ascii="Arial" w:eastAsia="Times New Roman" w:hAnsi="Arial" w:cs="Arial"/>
      <w:lang w:eastAsia="en-AU"/>
    </w:rPr>
  </w:style>
  <w:style w:type="numbering" w:styleId="ArticleSection">
    <w:name w:val="Outline List 3"/>
    <w:basedOn w:val="NoList"/>
    <w:semiHidden/>
    <w:rsid w:val="00E56A6F"/>
    <w:pPr>
      <w:numPr>
        <w:numId w:val="6"/>
      </w:numPr>
    </w:pPr>
  </w:style>
  <w:style w:type="paragraph" w:customStyle="1" w:styleId="Baseparagraphcentred">
    <w:name w:val="Base paragraph centred"/>
    <w:basedOn w:val="Normal"/>
    <w:rsid w:val="00734F84"/>
    <w:pPr>
      <w:spacing w:before="200" w:after="200"/>
      <w:jc w:val="center"/>
    </w:pPr>
  </w:style>
  <w:style w:type="paragraph" w:customStyle="1" w:styleId="base-text-paragraph">
    <w:name w:val="base-text-paragraph"/>
    <w:basedOn w:val="Normal"/>
    <w:link w:val="base-text-paragraphChar"/>
    <w:qFormat/>
    <w:rsid w:val="00E56A6F"/>
    <w:pPr>
      <w:tabs>
        <w:tab w:val="num" w:pos="1985"/>
      </w:tabs>
      <w:ind w:left="1134"/>
    </w:pPr>
  </w:style>
  <w:style w:type="character" w:customStyle="1" w:styleId="base-text-paragraphChar">
    <w:name w:val="base-text-paragraph Char"/>
    <w:basedOn w:val="DefaultParagraphFont"/>
    <w:link w:val="base-text-paragraph"/>
    <w:rsid w:val="00E56A6F"/>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E56A6F"/>
    <w:pPr>
      <w:ind w:left="1134"/>
    </w:pPr>
  </w:style>
  <w:style w:type="paragraph" w:customStyle="1" w:styleId="BillName">
    <w:name w:val="Bill Name"/>
    <w:basedOn w:val="Normal"/>
    <w:next w:val="Baseparagraphcentred"/>
    <w:rsid w:val="00734F84"/>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E56A6F"/>
    <w:pPr>
      <w:ind w:left="1440" w:right="1440"/>
    </w:pPr>
  </w:style>
  <w:style w:type="paragraph" w:styleId="BodyText">
    <w:name w:val="Body Text"/>
    <w:basedOn w:val="Normal"/>
    <w:link w:val="BodyTextChar"/>
    <w:semiHidden/>
    <w:rsid w:val="00E56A6F"/>
  </w:style>
  <w:style w:type="character" w:customStyle="1" w:styleId="BodyTextChar">
    <w:name w:val="Body Text Char"/>
    <w:basedOn w:val="DefaultParagraphFont"/>
    <w:link w:val="BodyText"/>
    <w:semiHidden/>
    <w:rsid w:val="00E56A6F"/>
    <w:rPr>
      <w:rFonts w:ascii="Times New Roman" w:eastAsia="Times New Roman" w:hAnsi="Times New Roman" w:cs="Times New Roman"/>
      <w:szCs w:val="20"/>
      <w:lang w:eastAsia="en-AU"/>
    </w:rPr>
  </w:style>
  <w:style w:type="paragraph" w:styleId="BodyText2">
    <w:name w:val="Body Text 2"/>
    <w:basedOn w:val="Normal"/>
    <w:link w:val="BodyText2Char"/>
    <w:semiHidden/>
    <w:rsid w:val="00E56A6F"/>
    <w:pPr>
      <w:spacing w:line="480" w:lineRule="auto"/>
    </w:pPr>
  </w:style>
  <w:style w:type="character" w:customStyle="1" w:styleId="BodyText2Char">
    <w:name w:val="Body Text 2 Char"/>
    <w:basedOn w:val="DefaultParagraphFont"/>
    <w:link w:val="BodyText2"/>
    <w:semiHidden/>
    <w:rsid w:val="00E56A6F"/>
    <w:rPr>
      <w:rFonts w:ascii="Times New Roman" w:eastAsia="Times New Roman" w:hAnsi="Times New Roman" w:cs="Times New Roman"/>
      <w:szCs w:val="20"/>
      <w:lang w:eastAsia="en-AU"/>
    </w:rPr>
  </w:style>
  <w:style w:type="paragraph" w:styleId="BodyText3">
    <w:name w:val="Body Text 3"/>
    <w:basedOn w:val="Normal"/>
    <w:link w:val="BodyText3Char"/>
    <w:semiHidden/>
    <w:rsid w:val="00E56A6F"/>
    <w:rPr>
      <w:sz w:val="16"/>
      <w:szCs w:val="16"/>
    </w:rPr>
  </w:style>
  <w:style w:type="character" w:customStyle="1" w:styleId="BodyText3Char">
    <w:name w:val="Body Text 3 Char"/>
    <w:basedOn w:val="DefaultParagraphFont"/>
    <w:link w:val="BodyText3"/>
    <w:semiHidden/>
    <w:rsid w:val="00E56A6F"/>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E56A6F"/>
    <w:pPr>
      <w:ind w:firstLine="210"/>
    </w:pPr>
  </w:style>
  <w:style w:type="character" w:customStyle="1" w:styleId="BodyTextFirstIndentChar">
    <w:name w:val="Body Text First Indent Char"/>
    <w:basedOn w:val="BodyTextChar"/>
    <w:link w:val="BodyTextFirstIndent"/>
    <w:semiHidden/>
    <w:rsid w:val="00E56A6F"/>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E56A6F"/>
    <w:pPr>
      <w:ind w:left="283"/>
    </w:pPr>
  </w:style>
  <w:style w:type="character" w:customStyle="1" w:styleId="BodyTextIndentChar">
    <w:name w:val="Body Text Indent Char"/>
    <w:basedOn w:val="DefaultParagraphFont"/>
    <w:link w:val="BodyTextIndent"/>
    <w:semiHidden/>
    <w:rsid w:val="00E56A6F"/>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E56A6F"/>
    <w:pPr>
      <w:ind w:firstLine="210"/>
    </w:pPr>
  </w:style>
  <w:style w:type="character" w:customStyle="1" w:styleId="BodyTextFirstIndent2Char">
    <w:name w:val="Body Text First Indent 2 Char"/>
    <w:basedOn w:val="BodyTextIndentChar"/>
    <w:link w:val="BodyTextFirstIndent2"/>
    <w:semiHidden/>
    <w:rsid w:val="00E56A6F"/>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E56A6F"/>
    <w:pPr>
      <w:spacing w:line="480" w:lineRule="auto"/>
      <w:ind w:left="283"/>
    </w:pPr>
  </w:style>
  <w:style w:type="character" w:customStyle="1" w:styleId="BodyTextIndent2Char">
    <w:name w:val="Body Text Indent 2 Char"/>
    <w:basedOn w:val="DefaultParagraphFont"/>
    <w:link w:val="BodyTextIndent2"/>
    <w:semiHidden/>
    <w:rsid w:val="00E56A6F"/>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E56A6F"/>
    <w:pPr>
      <w:ind w:left="283"/>
    </w:pPr>
    <w:rPr>
      <w:sz w:val="16"/>
      <w:szCs w:val="16"/>
    </w:rPr>
  </w:style>
  <w:style w:type="character" w:customStyle="1" w:styleId="BodyTextIndent3Char">
    <w:name w:val="Body Text Indent 3 Char"/>
    <w:basedOn w:val="DefaultParagraphFont"/>
    <w:link w:val="BodyTextIndent3"/>
    <w:semiHidden/>
    <w:rsid w:val="00E56A6F"/>
    <w:rPr>
      <w:rFonts w:ascii="Times New Roman" w:eastAsia="Times New Roman" w:hAnsi="Times New Roman" w:cs="Times New Roman"/>
      <w:sz w:val="16"/>
      <w:szCs w:val="16"/>
      <w:lang w:eastAsia="en-AU"/>
    </w:rPr>
  </w:style>
  <w:style w:type="character" w:customStyle="1" w:styleId="Bold">
    <w:name w:val="Bold"/>
    <w:basedOn w:val="DefaultParagraphFont"/>
    <w:rsid w:val="00E56A6F"/>
    <w:rPr>
      <w:b/>
    </w:rPr>
  </w:style>
  <w:style w:type="character" w:customStyle="1" w:styleId="BoldItalic">
    <w:name w:val="BoldItalic"/>
    <w:basedOn w:val="DefaultParagraphFont"/>
    <w:rsid w:val="00E56A6F"/>
    <w:rPr>
      <w:b/>
      <w:i/>
    </w:rPr>
  </w:style>
  <w:style w:type="paragraph" w:customStyle="1" w:styleId="BTPwithextraspacing">
    <w:name w:val="BTP with extra spacing"/>
    <w:basedOn w:val="Normal"/>
    <w:rsid w:val="00E56A6F"/>
    <w:pPr>
      <w:spacing w:before="360" w:after="360"/>
      <w:ind w:left="1134"/>
    </w:pPr>
  </w:style>
  <w:style w:type="paragraph" w:customStyle="1" w:styleId="ChapterHeading">
    <w:name w:val="Chapter Heading"/>
    <w:next w:val="Heading2"/>
    <w:rsid w:val="006A05D6"/>
    <w:pPr>
      <w:pBdr>
        <w:top w:val="single" w:sz="4" w:space="1" w:color="auto"/>
        <w:bottom w:val="single" w:sz="4" w:space="1" w:color="auto"/>
      </w:pBdr>
      <w:tabs>
        <w:tab w:val="num" w:pos="1134"/>
      </w:tabs>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6A05D6"/>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E56A6F"/>
    <w:pPr>
      <w:numPr>
        <w:numId w:val="9"/>
      </w:numPr>
    </w:pPr>
  </w:style>
  <w:style w:type="paragraph" w:styleId="Closing">
    <w:name w:val="Closing"/>
    <w:basedOn w:val="Normal"/>
    <w:link w:val="ClosingChar"/>
    <w:semiHidden/>
    <w:rsid w:val="00E56A6F"/>
    <w:pPr>
      <w:ind w:left="4252"/>
    </w:pPr>
  </w:style>
  <w:style w:type="character" w:customStyle="1" w:styleId="ClosingChar">
    <w:name w:val="Closing Char"/>
    <w:basedOn w:val="DefaultParagraphFont"/>
    <w:link w:val="Closing"/>
    <w:semiHidden/>
    <w:rsid w:val="00E56A6F"/>
    <w:rPr>
      <w:rFonts w:ascii="Times New Roman" w:eastAsia="Times New Roman" w:hAnsi="Times New Roman" w:cs="Times New Roman"/>
      <w:szCs w:val="20"/>
      <w:lang w:eastAsia="en-AU"/>
    </w:rPr>
  </w:style>
  <w:style w:type="paragraph" w:styleId="Date">
    <w:name w:val="Date"/>
    <w:basedOn w:val="Normal"/>
    <w:next w:val="Normal"/>
    <w:link w:val="DateChar"/>
    <w:semiHidden/>
    <w:rsid w:val="00E56A6F"/>
  </w:style>
  <w:style w:type="character" w:customStyle="1" w:styleId="DateChar">
    <w:name w:val="Date Char"/>
    <w:basedOn w:val="DefaultParagraphFont"/>
    <w:link w:val="Date"/>
    <w:semiHidden/>
    <w:rsid w:val="00E56A6F"/>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E56A6F"/>
    <w:pPr>
      <w:keepNext/>
      <w:spacing w:before="0" w:after="0"/>
      <w:ind w:left="1134"/>
    </w:pPr>
    <w:rPr>
      <w:b/>
    </w:rPr>
  </w:style>
  <w:style w:type="paragraph" w:customStyle="1" w:styleId="dotpoint">
    <w:name w:val="dot point"/>
    <w:basedOn w:val="Normal"/>
    <w:rsid w:val="00E56A6F"/>
    <w:pPr>
      <w:numPr>
        <w:numId w:val="11"/>
      </w:numPr>
    </w:pPr>
  </w:style>
  <w:style w:type="paragraph" w:customStyle="1" w:styleId="dotpoint2">
    <w:name w:val="dot point 2"/>
    <w:basedOn w:val="Normal"/>
    <w:rsid w:val="00E56A6F"/>
    <w:pPr>
      <w:numPr>
        <w:ilvl w:val="1"/>
        <w:numId w:val="13"/>
      </w:numPr>
    </w:pPr>
  </w:style>
  <w:style w:type="numbering" w:customStyle="1" w:styleId="DotPointList">
    <w:name w:val="Dot Point List"/>
    <w:uiPriority w:val="99"/>
    <w:rsid w:val="00E56A6F"/>
    <w:pPr>
      <w:numPr>
        <w:numId w:val="12"/>
      </w:numPr>
    </w:pPr>
  </w:style>
  <w:style w:type="paragraph" w:styleId="E-mailSignature">
    <w:name w:val="E-mail Signature"/>
    <w:basedOn w:val="Normal"/>
    <w:link w:val="E-mailSignatureChar"/>
    <w:semiHidden/>
    <w:rsid w:val="00E56A6F"/>
  </w:style>
  <w:style w:type="character" w:customStyle="1" w:styleId="E-mailSignatureChar">
    <w:name w:val="E-mail Signature Char"/>
    <w:basedOn w:val="DefaultParagraphFont"/>
    <w:link w:val="E-mailSignature"/>
    <w:semiHidden/>
    <w:rsid w:val="00E56A6F"/>
    <w:rPr>
      <w:rFonts w:ascii="Times New Roman" w:eastAsia="Times New Roman" w:hAnsi="Times New Roman" w:cs="Times New Roman"/>
      <w:szCs w:val="20"/>
      <w:lang w:eastAsia="en-AU"/>
    </w:rPr>
  </w:style>
  <w:style w:type="character" w:styleId="Emphasis">
    <w:name w:val="Emphasis"/>
    <w:basedOn w:val="DefaultParagraphFont"/>
    <w:qFormat/>
    <w:rsid w:val="00E56A6F"/>
    <w:rPr>
      <w:i/>
      <w:iCs/>
    </w:rPr>
  </w:style>
  <w:style w:type="paragraph" w:styleId="EnvelopeAddress">
    <w:name w:val="envelope address"/>
    <w:basedOn w:val="Normal"/>
    <w:semiHidden/>
    <w:rsid w:val="00E56A6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6A6F"/>
    <w:rPr>
      <w:rFonts w:ascii="Arial" w:hAnsi="Arial" w:cs="Arial"/>
      <w:sz w:val="20"/>
    </w:rPr>
  </w:style>
  <w:style w:type="paragraph" w:customStyle="1" w:styleId="exampletext">
    <w:name w:val="example text"/>
    <w:basedOn w:val="Normal"/>
    <w:rsid w:val="00E56A6F"/>
    <w:pPr>
      <w:ind w:left="1985"/>
    </w:pPr>
    <w:rPr>
      <w:sz w:val="20"/>
    </w:rPr>
  </w:style>
  <w:style w:type="paragraph" w:customStyle="1" w:styleId="exampledotpoint1">
    <w:name w:val="example dot point 1"/>
    <w:basedOn w:val="exampletext"/>
    <w:rsid w:val="006A05D6"/>
    <w:pPr>
      <w:numPr>
        <w:numId w:val="16"/>
      </w:numPr>
      <w:spacing w:before="200" w:after="200"/>
      <w:ind w:left="2269" w:hanging="284"/>
    </w:pPr>
  </w:style>
  <w:style w:type="paragraph" w:customStyle="1" w:styleId="exampledotpoint2">
    <w:name w:val="example dot point 2"/>
    <w:basedOn w:val="exampletext"/>
    <w:rsid w:val="006A05D6"/>
    <w:pPr>
      <w:numPr>
        <w:ilvl w:val="1"/>
        <w:numId w:val="16"/>
      </w:numPr>
      <w:spacing w:before="200" w:after="200"/>
    </w:pPr>
  </w:style>
  <w:style w:type="numbering" w:customStyle="1" w:styleId="ExampleDotPointList">
    <w:name w:val="Example Dot Point List"/>
    <w:uiPriority w:val="99"/>
    <w:rsid w:val="00E56A6F"/>
    <w:pPr>
      <w:numPr>
        <w:numId w:val="14"/>
      </w:numPr>
    </w:pPr>
  </w:style>
  <w:style w:type="paragraph" w:customStyle="1" w:styleId="ExampleHeading">
    <w:name w:val="Example Heading"/>
    <w:basedOn w:val="Normal"/>
    <w:next w:val="exampletext"/>
    <w:rsid w:val="00E56A6F"/>
    <w:pPr>
      <w:keepNext/>
      <w:ind w:left="1134"/>
    </w:pPr>
    <w:rPr>
      <w:b/>
    </w:rPr>
  </w:style>
  <w:style w:type="paragraph" w:customStyle="1" w:styleId="exampleindent">
    <w:name w:val="example indent"/>
    <w:basedOn w:val="exampletext"/>
    <w:rsid w:val="00E56A6F"/>
    <w:pPr>
      <w:ind w:left="2268"/>
    </w:pPr>
  </w:style>
  <w:style w:type="character" w:styleId="FollowedHyperlink">
    <w:name w:val="FollowedHyperlink"/>
    <w:basedOn w:val="DefaultParagraphFont"/>
    <w:rsid w:val="00E56A6F"/>
    <w:rPr>
      <w:color w:val="954F72" w:themeColor="followedHyperlink"/>
      <w:u w:val="single"/>
    </w:rPr>
  </w:style>
  <w:style w:type="character" w:customStyle="1" w:styleId="Font15point">
    <w:name w:val="Font 15 point"/>
    <w:basedOn w:val="DefaultParagraphFont"/>
    <w:rsid w:val="00E56A6F"/>
    <w:rPr>
      <w:sz w:val="30"/>
    </w:rPr>
  </w:style>
  <w:style w:type="character" w:customStyle="1" w:styleId="Font19point">
    <w:name w:val="Font 19 point"/>
    <w:basedOn w:val="DefaultParagraphFont"/>
    <w:rsid w:val="00E56A6F"/>
    <w:rPr>
      <w:sz w:val="38"/>
    </w:rPr>
  </w:style>
  <w:style w:type="character" w:customStyle="1" w:styleId="Font30point">
    <w:name w:val="Font 30 point"/>
    <w:basedOn w:val="DefaultParagraphFont"/>
    <w:rsid w:val="00E56A6F"/>
    <w:rPr>
      <w:sz w:val="60"/>
    </w:rPr>
  </w:style>
  <w:style w:type="paragraph" w:styleId="Footer">
    <w:name w:val="footer"/>
    <w:basedOn w:val="Normal"/>
    <w:link w:val="FooterChar"/>
    <w:semiHidden/>
    <w:rsid w:val="00E56A6F"/>
    <w:pPr>
      <w:tabs>
        <w:tab w:val="center" w:pos="4153"/>
        <w:tab w:val="right" w:pos="8306"/>
      </w:tabs>
    </w:pPr>
  </w:style>
  <w:style w:type="character" w:customStyle="1" w:styleId="FooterChar">
    <w:name w:val="Footer Char"/>
    <w:basedOn w:val="DefaultParagraphFont"/>
    <w:link w:val="Footer"/>
    <w:semiHidden/>
    <w:rsid w:val="00E56A6F"/>
    <w:rPr>
      <w:rFonts w:ascii="Times New Roman" w:eastAsia="Times New Roman" w:hAnsi="Times New Roman" w:cs="Times New Roman"/>
      <w:szCs w:val="20"/>
      <w:lang w:eastAsia="en-AU"/>
    </w:rPr>
  </w:style>
  <w:style w:type="paragraph" w:styleId="FootnoteText">
    <w:name w:val="footnote text"/>
    <w:basedOn w:val="Normal"/>
    <w:link w:val="FootnoteTextChar"/>
    <w:rsid w:val="00E56A6F"/>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E56A6F"/>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E56A6F"/>
    <w:pPr>
      <w:spacing w:before="60" w:after="60"/>
    </w:pPr>
    <w:rPr>
      <w:sz w:val="20"/>
    </w:rPr>
  </w:style>
  <w:style w:type="paragraph" w:styleId="Header">
    <w:name w:val="header"/>
    <w:basedOn w:val="Normal"/>
    <w:link w:val="HeaderChar"/>
    <w:semiHidden/>
    <w:rsid w:val="00E56A6F"/>
    <w:pPr>
      <w:tabs>
        <w:tab w:val="center" w:pos="4153"/>
        <w:tab w:val="right" w:pos="8306"/>
      </w:tabs>
    </w:pPr>
  </w:style>
  <w:style w:type="character" w:customStyle="1" w:styleId="HeaderChar">
    <w:name w:val="Header Char"/>
    <w:basedOn w:val="DefaultParagraphFont"/>
    <w:link w:val="Header"/>
    <w:semiHidden/>
    <w:rsid w:val="00E56A6F"/>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E56A6F"/>
    <w:pPr>
      <w:spacing w:after="360"/>
    </w:pPr>
  </w:style>
  <w:style w:type="paragraph" w:customStyle="1" w:styleId="Hiddentext">
    <w:name w:val="Hiddentext"/>
    <w:basedOn w:val="Normal"/>
    <w:rsid w:val="00E56A6F"/>
    <w:rPr>
      <w:vanish/>
    </w:rPr>
  </w:style>
  <w:style w:type="character" w:styleId="HTMLAcronym">
    <w:name w:val="HTML Acronym"/>
    <w:basedOn w:val="DefaultParagraphFont"/>
    <w:semiHidden/>
    <w:rsid w:val="00E56A6F"/>
  </w:style>
  <w:style w:type="paragraph" w:styleId="HTMLAddress">
    <w:name w:val="HTML Address"/>
    <w:basedOn w:val="Normal"/>
    <w:link w:val="HTMLAddressChar"/>
    <w:semiHidden/>
    <w:rsid w:val="00E56A6F"/>
    <w:rPr>
      <w:i/>
      <w:iCs/>
    </w:rPr>
  </w:style>
  <w:style w:type="character" w:customStyle="1" w:styleId="HTMLAddressChar">
    <w:name w:val="HTML Address Char"/>
    <w:basedOn w:val="DefaultParagraphFont"/>
    <w:link w:val="HTMLAddress"/>
    <w:semiHidden/>
    <w:rsid w:val="00E56A6F"/>
    <w:rPr>
      <w:rFonts w:ascii="Times New Roman" w:eastAsia="Times New Roman" w:hAnsi="Times New Roman" w:cs="Times New Roman"/>
      <w:i/>
      <w:iCs/>
      <w:szCs w:val="20"/>
      <w:lang w:eastAsia="en-AU"/>
    </w:rPr>
  </w:style>
  <w:style w:type="character" w:styleId="HTMLCite">
    <w:name w:val="HTML Cite"/>
    <w:basedOn w:val="DefaultParagraphFont"/>
    <w:semiHidden/>
    <w:rsid w:val="00E56A6F"/>
    <w:rPr>
      <w:i/>
      <w:iCs/>
    </w:rPr>
  </w:style>
  <w:style w:type="character" w:styleId="HTMLCode">
    <w:name w:val="HTML Code"/>
    <w:basedOn w:val="DefaultParagraphFont"/>
    <w:semiHidden/>
    <w:rsid w:val="00E56A6F"/>
    <w:rPr>
      <w:rFonts w:ascii="Courier New" w:hAnsi="Courier New" w:cs="Courier New"/>
      <w:sz w:val="20"/>
      <w:szCs w:val="20"/>
    </w:rPr>
  </w:style>
  <w:style w:type="character" w:styleId="HTMLDefinition">
    <w:name w:val="HTML Definition"/>
    <w:basedOn w:val="DefaultParagraphFont"/>
    <w:semiHidden/>
    <w:rsid w:val="00E56A6F"/>
    <w:rPr>
      <w:i/>
      <w:iCs/>
    </w:rPr>
  </w:style>
  <w:style w:type="character" w:styleId="HTMLKeyboard">
    <w:name w:val="HTML Keyboard"/>
    <w:basedOn w:val="DefaultParagraphFont"/>
    <w:semiHidden/>
    <w:rsid w:val="00E56A6F"/>
    <w:rPr>
      <w:rFonts w:ascii="Courier New" w:hAnsi="Courier New" w:cs="Courier New"/>
      <w:sz w:val="20"/>
      <w:szCs w:val="20"/>
    </w:rPr>
  </w:style>
  <w:style w:type="paragraph" w:styleId="HTMLPreformatted">
    <w:name w:val="HTML Preformatted"/>
    <w:basedOn w:val="Normal"/>
    <w:link w:val="HTMLPreformattedChar"/>
    <w:semiHidden/>
    <w:rsid w:val="00E56A6F"/>
    <w:rPr>
      <w:rFonts w:ascii="Courier New" w:hAnsi="Courier New" w:cs="Courier New"/>
      <w:sz w:val="20"/>
    </w:rPr>
  </w:style>
  <w:style w:type="character" w:customStyle="1" w:styleId="HTMLPreformattedChar">
    <w:name w:val="HTML Preformatted Char"/>
    <w:basedOn w:val="DefaultParagraphFont"/>
    <w:link w:val="HTMLPreformatted"/>
    <w:semiHidden/>
    <w:rsid w:val="00E56A6F"/>
    <w:rPr>
      <w:rFonts w:ascii="Courier New" w:eastAsia="Times New Roman" w:hAnsi="Courier New" w:cs="Courier New"/>
      <w:sz w:val="20"/>
      <w:szCs w:val="20"/>
      <w:lang w:eastAsia="en-AU"/>
    </w:rPr>
  </w:style>
  <w:style w:type="character" w:styleId="HTMLSample">
    <w:name w:val="HTML Sample"/>
    <w:basedOn w:val="DefaultParagraphFont"/>
    <w:semiHidden/>
    <w:rsid w:val="00E56A6F"/>
    <w:rPr>
      <w:rFonts w:ascii="Courier New" w:hAnsi="Courier New" w:cs="Courier New"/>
    </w:rPr>
  </w:style>
  <w:style w:type="character" w:styleId="HTMLTypewriter">
    <w:name w:val="HTML Typewriter"/>
    <w:basedOn w:val="DefaultParagraphFont"/>
    <w:semiHidden/>
    <w:rsid w:val="00E56A6F"/>
    <w:rPr>
      <w:rFonts w:ascii="Courier New" w:hAnsi="Courier New" w:cs="Courier New"/>
      <w:sz w:val="20"/>
      <w:szCs w:val="20"/>
    </w:rPr>
  </w:style>
  <w:style w:type="character" w:styleId="HTMLVariable">
    <w:name w:val="HTML Variable"/>
    <w:basedOn w:val="DefaultParagraphFont"/>
    <w:semiHidden/>
    <w:rsid w:val="00E56A6F"/>
    <w:rPr>
      <w:i/>
      <w:iCs/>
    </w:rPr>
  </w:style>
  <w:style w:type="character" w:styleId="Hyperlink">
    <w:name w:val="Hyperlink"/>
    <w:basedOn w:val="DefaultParagraphFont"/>
    <w:uiPriority w:val="99"/>
    <w:rsid w:val="00E56A6F"/>
    <w:rPr>
      <w:color w:val="0563C1" w:themeColor="hyperlink"/>
      <w:u w:val="single"/>
    </w:rPr>
  </w:style>
  <w:style w:type="character" w:customStyle="1" w:styleId="Italic">
    <w:name w:val="Italic"/>
    <w:basedOn w:val="DefaultParagraphFont"/>
    <w:rsid w:val="00E56A6F"/>
    <w:rPr>
      <w:i/>
    </w:rPr>
  </w:style>
  <w:style w:type="paragraph" w:customStyle="1" w:styleId="leftfooter">
    <w:name w:val="left footer"/>
    <w:basedOn w:val="Normal"/>
    <w:rsid w:val="00E56A6F"/>
    <w:pPr>
      <w:pBdr>
        <w:top w:val="single" w:sz="4" w:space="1" w:color="auto"/>
      </w:pBdr>
      <w:spacing w:before="240" w:after="0"/>
    </w:pPr>
    <w:rPr>
      <w:i/>
      <w:sz w:val="20"/>
    </w:rPr>
  </w:style>
  <w:style w:type="paragraph" w:customStyle="1" w:styleId="leftheader">
    <w:name w:val="left header"/>
    <w:basedOn w:val="Normal"/>
    <w:rsid w:val="00E56A6F"/>
    <w:pPr>
      <w:pBdr>
        <w:bottom w:val="single" w:sz="4" w:space="1" w:color="auto"/>
      </w:pBdr>
    </w:pPr>
    <w:rPr>
      <w:i/>
      <w:sz w:val="20"/>
    </w:rPr>
  </w:style>
  <w:style w:type="character" w:styleId="LineNumber">
    <w:name w:val="line number"/>
    <w:basedOn w:val="DefaultParagraphFont"/>
    <w:semiHidden/>
    <w:rsid w:val="00E56A6F"/>
  </w:style>
  <w:style w:type="paragraph" w:styleId="List">
    <w:name w:val="List"/>
    <w:basedOn w:val="Normal"/>
    <w:semiHidden/>
    <w:rsid w:val="00E56A6F"/>
    <w:pPr>
      <w:ind w:left="283" w:hanging="283"/>
    </w:pPr>
  </w:style>
  <w:style w:type="paragraph" w:styleId="List2">
    <w:name w:val="List 2"/>
    <w:basedOn w:val="Normal"/>
    <w:semiHidden/>
    <w:rsid w:val="00E56A6F"/>
    <w:pPr>
      <w:ind w:left="566" w:hanging="283"/>
    </w:pPr>
  </w:style>
  <w:style w:type="paragraph" w:styleId="List3">
    <w:name w:val="List 3"/>
    <w:basedOn w:val="Normal"/>
    <w:semiHidden/>
    <w:rsid w:val="00E56A6F"/>
    <w:pPr>
      <w:ind w:left="849" w:hanging="283"/>
    </w:pPr>
  </w:style>
  <w:style w:type="paragraph" w:styleId="List4">
    <w:name w:val="List 4"/>
    <w:basedOn w:val="Normal"/>
    <w:semiHidden/>
    <w:rsid w:val="00E56A6F"/>
    <w:pPr>
      <w:ind w:left="1132" w:hanging="283"/>
    </w:pPr>
  </w:style>
  <w:style w:type="paragraph" w:styleId="List5">
    <w:name w:val="List 5"/>
    <w:basedOn w:val="Normal"/>
    <w:semiHidden/>
    <w:rsid w:val="00E56A6F"/>
    <w:pPr>
      <w:ind w:left="1415" w:hanging="283"/>
    </w:pPr>
  </w:style>
  <w:style w:type="paragraph" w:styleId="ListBullet">
    <w:name w:val="List Bullet"/>
    <w:basedOn w:val="Normal"/>
    <w:semiHidden/>
    <w:rsid w:val="00E56A6F"/>
    <w:pPr>
      <w:numPr>
        <w:numId w:val="19"/>
      </w:numPr>
    </w:pPr>
  </w:style>
  <w:style w:type="paragraph" w:styleId="ListBullet2">
    <w:name w:val="List Bullet 2"/>
    <w:basedOn w:val="Normal"/>
    <w:semiHidden/>
    <w:rsid w:val="00E56A6F"/>
    <w:pPr>
      <w:numPr>
        <w:numId w:val="21"/>
      </w:numPr>
    </w:pPr>
  </w:style>
  <w:style w:type="paragraph" w:styleId="ListBullet3">
    <w:name w:val="List Bullet 3"/>
    <w:basedOn w:val="Normal"/>
    <w:semiHidden/>
    <w:rsid w:val="00E56A6F"/>
    <w:pPr>
      <w:numPr>
        <w:numId w:val="23"/>
      </w:numPr>
    </w:pPr>
  </w:style>
  <w:style w:type="paragraph" w:styleId="ListBullet4">
    <w:name w:val="List Bullet 4"/>
    <w:basedOn w:val="Normal"/>
    <w:semiHidden/>
    <w:rsid w:val="00E56A6F"/>
    <w:pPr>
      <w:numPr>
        <w:numId w:val="25"/>
      </w:numPr>
    </w:pPr>
  </w:style>
  <w:style w:type="paragraph" w:styleId="ListBullet5">
    <w:name w:val="List Bullet 5"/>
    <w:basedOn w:val="Normal"/>
    <w:semiHidden/>
    <w:rsid w:val="00E56A6F"/>
    <w:pPr>
      <w:numPr>
        <w:numId w:val="27"/>
      </w:numPr>
    </w:pPr>
  </w:style>
  <w:style w:type="paragraph" w:styleId="ListContinue">
    <w:name w:val="List Continue"/>
    <w:basedOn w:val="Normal"/>
    <w:semiHidden/>
    <w:rsid w:val="00E56A6F"/>
    <w:pPr>
      <w:ind w:left="283"/>
    </w:pPr>
  </w:style>
  <w:style w:type="paragraph" w:styleId="ListContinue2">
    <w:name w:val="List Continue 2"/>
    <w:basedOn w:val="Normal"/>
    <w:semiHidden/>
    <w:rsid w:val="00E56A6F"/>
    <w:pPr>
      <w:ind w:left="566"/>
    </w:pPr>
  </w:style>
  <w:style w:type="paragraph" w:styleId="ListContinue3">
    <w:name w:val="List Continue 3"/>
    <w:basedOn w:val="Normal"/>
    <w:semiHidden/>
    <w:rsid w:val="00E56A6F"/>
    <w:pPr>
      <w:ind w:left="849"/>
    </w:pPr>
  </w:style>
  <w:style w:type="paragraph" w:styleId="ListContinue4">
    <w:name w:val="List Continue 4"/>
    <w:basedOn w:val="Normal"/>
    <w:semiHidden/>
    <w:rsid w:val="00E56A6F"/>
    <w:pPr>
      <w:ind w:left="1132"/>
    </w:pPr>
  </w:style>
  <w:style w:type="paragraph" w:styleId="ListContinue5">
    <w:name w:val="List Continue 5"/>
    <w:basedOn w:val="Normal"/>
    <w:semiHidden/>
    <w:rsid w:val="00E56A6F"/>
    <w:pPr>
      <w:ind w:left="1415"/>
    </w:pPr>
  </w:style>
  <w:style w:type="paragraph" w:styleId="ListNumber">
    <w:name w:val="List Number"/>
    <w:basedOn w:val="Normal"/>
    <w:semiHidden/>
    <w:rsid w:val="00E56A6F"/>
    <w:pPr>
      <w:numPr>
        <w:numId w:val="29"/>
      </w:numPr>
    </w:pPr>
  </w:style>
  <w:style w:type="paragraph" w:styleId="ListNumber2">
    <w:name w:val="List Number 2"/>
    <w:basedOn w:val="Normal"/>
    <w:semiHidden/>
    <w:rsid w:val="00E56A6F"/>
    <w:pPr>
      <w:numPr>
        <w:numId w:val="31"/>
      </w:numPr>
    </w:pPr>
  </w:style>
  <w:style w:type="paragraph" w:styleId="ListNumber3">
    <w:name w:val="List Number 3"/>
    <w:basedOn w:val="Normal"/>
    <w:semiHidden/>
    <w:rsid w:val="00E56A6F"/>
    <w:pPr>
      <w:numPr>
        <w:numId w:val="33"/>
      </w:numPr>
    </w:pPr>
  </w:style>
  <w:style w:type="paragraph" w:styleId="ListNumber4">
    <w:name w:val="List Number 4"/>
    <w:basedOn w:val="Normal"/>
    <w:semiHidden/>
    <w:rsid w:val="00E56A6F"/>
    <w:pPr>
      <w:numPr>
        <w:numId w:val="35"/>
      </w:numPr>
    </w:pPr>
  </w:style>
  <w:style w:type="paragraph" w:styleId="ListNumber5">
    <w:name w:val="List Number 5"/>
    <w:basedOn w:val="Normal"/>
    <w:semiHidden/>
    <w:rsid w:val="00E56A6F"/>
    <w:pPr>
      <w:tabs>
        <w:tab w:val="num" w:pos="643"/>
      </w:tabs>
      <w:ind w:left="643" w:hanging="360"/>
    </w:pPr>
  </w:style>
  <w:style w:type="paragraph" w:styleId="ListParagraph">
    <w:name w:val="List Paragraph"/>
    <w:basedOn w:val="Normal"/>
    <w:uiPriority w:val="34"/>
    <w:qFormat/>
    <w:rsid w:val="00E56A6F"/>
    <w:pPr>
      <w:ind w:left="720"/>
      <w:contextualSpacing/>
    </w:pPr>
  </w:style>
  <w:style w:type="paragraph" w:styleId="MessageHeader">
    <w:name w:val="Message Header"/>
    <w:basedOn w:val="Normal"/>
    <w:link w:val="MessageHeaderChar"/>
    <w:semiHidden/>
    <w:rsid w:val="00E56A6F"/>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E56A6F"/>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E56A6F"/>
    <w:rPr>
      <w:sz w:val="24"/>
      <w:szCs w:val="24"/>
    </w:rPr>
  </w:style>
  <w:style w:type="paragraph" w:styleId="NormalIndent">
    <w:name w:val="Normal Indent"/>
    <w:basedOn w:val="Normal"/>
    <w:semiHidden/>
    <w:rsid w:val="00E56A6F"/>
    <w:pPr>
      <w:ind w:left="720"/>
    </w:pPr>
  </w:style>
  <w:style w:type="paragraph" w:styleId="NoteHeading">
    <w:name w:val="Note Heading"/>
    <w:basedOn w:val="Normal"/>
    <w:next w:val="Normal"/>
    <w:link w:val="NoteHeadingChar"/>
    <w:semiHidden/>
    <w:rsid w:val="00E56A6F"/>
  </w:style>
  <w:style w:type="character" w:customStyle="1" w:styleId="NoteHeadingChar">
    <w:name w:val="Note Heading Char"/>
    <w:basedOn w:val="DefaultParagraphFont"/>
    <w:link w:val="NoteHeading"/>
    <w:semiHidden/>
    <w:rsid w:val="00E56A6F"/>
    <w:rPr>
      <w:rFonts w:ascii="Times New Roman" w:eastAsia="Times New Roman" w:hAnsi="Times New Roman" w:cs="Times New Roman"/>
      <w:szCs w:val="20"/>
      <w:lang w:eastAsia="en-AU"/>
    </w:rPr>
  </w:style>
  <w:style w:type="character" w:styleId="PageNumber">
    <w:name w:val="page number"/>
    <w:basedOn w:val="DefaultParagraphFont"/>
    <w:semiHidden/>
    <w:rsid w:val="00E56A6F"/>
  </w:style>
  <w:style w:type="paragraph" w:styleId="PlainText">
    <w:name w:val="Plain Text"/>
    <w:basedOn w:val="Normal"/>
    <w:link w:val="PlainTextChar"/>
    <w:semiHidden/>
    <w:rsid w:val="00E56A6F"/>
    <w:rPr>
      <w:rFonts w:ascii="Courier New" w:hAnsi="Courier New" w:cs="Courier New"/>
      <w:sz w:val="20"/>
    </w:rPr>
  </w:style>
  <w:style w:type="character" w:customStyle="1" w:styleId="PlainTextChar">
    <w:name w:val="Plain Text Char"/>
    <w:basedOn w:val="DefaultParagraphFont"/>
    <w:link w:val="PlainText"/>
    <w:semiHidden/>
    <w:rsid w:val="00E56A6F"/>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E56A6F"/>
    <w:rPr>
      <w:b/>
      <w:i/>
      <w:sz w:val="18"/>
    </w:rPr>
  </w:style>
  <w:style w:type="paragraph" w:customStyle="1" w:styleId="rightfooter">
    <w:name w:val="right footer"/>
    <w:basedOn w:val="Normal"/>
    <w:rsid w:val="00E56A6F"/>
    <w:pPr>
      <w:pBdr>
        <w:top w:val="single" w:sz="4" w:space="1" w:color="auto"/>
      </w:pBdr>
      <w:spacing w:before="240" w:after="0"/>
      <w:jc w:val="right"/>
    </w:pPr>
    <w:rPr>
      <w:i/>
      <w:sz w:val="20"/>
    </w:rPr>
  </w:style>
  <w:style w:type="paragraph" w:customStyle="1" w:styleId="rightheader">
    <w:name w:val="right header"/>
    <w:basedOn w:val="Normal"/>
    <w:rsid w:val="00E56A6F"/>
    <w:pPr>
      <w:pBdr>
        <w:bottom w:val="single" w:sz="4" w:space="1" w:color="auto"/>
      </w:pBdr>
      <w:jc w:val="right"/>
    </w:pPr>
    <w:rPr>
      <w:i/>
      <w:sz w:val="20"/>
    </w:rPr>
  </w:style>
  <w:style w:type="paragraph" w:styleId="Salutation">
    <w:name w:val="Salutation"/>
    <w:basedOn w:val="Normal"/>
    <w:next w:val="Normal"/>
    <w:link w:val="SalutationChar"/>
    <w:semiHidden/>
    <w:rsid w:val="00E56A6F"/>
  </w:style>
  <w:style w:type="character" w:customStyle="1" w:styleId="SalutationChar">
    <w:name w:val="Salutation Char"/>
    <w:basedOn w:val="DefaultParagraphFont"/>
    <w:link w:val="Salutation"/>
    <w:semiHidden/>
    <w:rsid w:val="00E56A6F"/>
    <w:rPr>
      <w:rFonts w:ascii="Times New Roman" w:eastAsia="Times New Roman" w:hAnsi="Times New Roman" w:cs="Times New Roman"/>
      <w:szCs w:val="20"/>
      <w:lang w:eastAsia="en-AU"/>
    </w:rPr>
  </w:style>
  <w:style w:type="paragraph" w:styleId="Signature">
    <w:name w:val="Signature"/>
    <w:basedOn w:val="Normal"/>
    <w:link w:val="SignatureChar"/>
    <w:semiHidden/>
    <w:rsid w:val="00E56A6F"/>
    <w:pPr>
      <w:ind w:left="4252"/>
    </w:pPr>
  </w:style>
  <w:style w:type="character" w:customStyle="1" w:styleId="SignatureChar">
    <w:name w:val="Signature Char"/>
    <w:basedOn w:val="DefaultParagraphFont"/>
    <w:link w:val="Signature"/>
    <w:semiHidden/>
    <w:rsid w:val="00E56A6F"/>
    <w:rPr>
      <w:rFonts w:ascii="Times New Roman" w:eastAsia="Times New Roman" w:hAnsi="Times New Roman" w:cs="Times New Roman"/>
      <w:szCs w:val="20"/>
      <w:lang w:eastAsia="en-AU"/>
    </w:rPr>
  </w:style>
  <w:style w:type="paragraph" w:customStyle="1" w:styleId="SingleParagraph">
    <w:name w:val="Single Paragraph"/>
    <w:basedOn w:val="Normal"/>
    <w:rsid w:val="00E56A6F"/>
    <w:pPr>
      <w:spacing w:after="0"/>
    </w:pPr>
  </w:style>
  <w:style w:type="character" w:styleId="Strong">
    <w:name w:val="Strong"/>
    <w:basedOn w:val="DefaultParagraphFont"/>
    <w:qFormat/>
    <w:rsid w:val="00E56A6F"/>
    <w:rPr>
      <w:b/>
      <w:bCs/>
    </w:rPr>
  </w:style>
  <w:style w:type="paragraph" w:styleId="Subtitle">
    <w:name w:val="Subtitle"/>
    <w:basedOn w:val="Normal"/>
    <w:link w:val="SubtitleChar"/>
    <w:qFormat/>
    <w:rsid w:val="00E56A6F"/>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E56A6F"/>
    <w:rPr>
      <w:rFonts w:ascii="Arial" w:eastAsia="Times New Roman" w:hAnsi="Arial" w:cs="Arial"/>
      <w:sz w:val="24"/>
      <w:szCs w:val="24"/>
      <w:lang w:eastAsia="en-AU"/>
    </w:rPr>
  </w:style>
  <w:style w:type="table" w:styleId="Table3Deffects1">
    <w:name w:val="Table 3D effects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56A6F"/>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56A6F"/>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E56A6F"/>
    <w:pPr>
      <w:spacing w:before="40" w:after="40"/>
    </w:pPr>
    <w:rPr>
      <w:sz w:val="20"/>
    </w:rPr>
  </w:style>
  <w:style w:type="paragraph" w:customStyle="1" w:styleId="tabledotpoint">
    <w:name w:val="table dot point"/>
    <w:basedOn w:val="tabletext"/>
    <w:rsid w:val="00E56A6F"/>
    <w:pPr>
      <w:numPr>
        <w:numId w:val="40"/>
      </w:numPr>
    </w:pPr>
  </w:style>
  <w:style w:type="paragraph" w:customStyle="1" w:styleId="tabledotpoint2">
    <w:name w:val="table dot point 2"/>
    <w:basedOn w:val="tabletext"/>
    <w:rsid w:val="00E56A6F"/>
    <w:pPr>
      <w:numPr>
        <w:ilvl w:val="1"/>
        <w:numId w:val="40"/>
      </w:numPr>
    </w:pPr>
  </w:style>
  <w:style w:type="numbering" w:customStyle="1" w:styleId="TableDotPointList">
    <w:name w:val="Table Dot Point List"/>
    <w:uiPriority w:val="99"/>
    <w:rsid w:val="00E56A6F"/>
    <w:pPr>
      <w:numPr>
        <w:numId w:val="40"/>
      </w:numPr>
    </w:pPr>
  </w:style>
  <w:style w:type="table" w:styleId="TableElegant">
    <w:name w:val="Table Elegant"/>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E56A6F"/>
    <w:pPr>
      <w:spacing w:before="60" w:after="60"/>
      <w:ind w:left="0"/>
      <w:jc w:val="center"/>
    </w:pPr>
    <w:rPr>
      <w:sz w:val="20"/>
    </w:rPr>
  </w:style>
  <w:style w:type="paragraph" w:customStyle="1" w:styleId="TableHeadingoutsidetable">
    <w:name w:val="Table Heading (outside table)"/>
    <w:basedOn w:val="Heading4"/>
    <w:rsid w:val="00E56A6F"/>
    <w:pPr>
      <w:tabs>
        <w:tab w:val="num" w:pos="360"/>
      </w:tabs>
    </w:pPr>
    <w:rPr>
      <w:i w:val="0"/>
    </w:rPr>
  </w:style>
  <w:style w:type="table" w:styleId="TableList1">
    <w:name w:val="Table List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56A6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56A6F"/>
    <w:rPr>
      <w:rFonts w:ascii="Arial" w:eastAsia="Times New Roman" w:hAnsi="Arial" w:cs="Arial"/>
      <w:b/>
      <w:bCs/>
      <w:kern w:val="28"/>
      <w:sz w:val="32"/>
      <w:szCs w:val="32"/>
      <w:lang w:eastAsia="en-AU"/>
    </w:rPr>
  </w:style>
  <w:style w:type="paragraph" w:styleId="TOC1">
    <w:name w:val="toc 1"/>
    <w:basedOn w:val="Heading2"/>
    <w:next w:val="TOC2"/>
    <w:uiPriority w:val="39"/>
    <w:rsid w:val="00E5385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E5385B"/>
    <w:pPr>
      <w:ind w:left="0" w:firstLine="0"/>
    </w:pPr>
    <w:rPr>
      <w:noProof/>
    </w:rPr>
  </w:style>
  <w:style w:type="paragraph" w:styleId="TOCHeading">
    <w:name w:val="TOC Heading"/>
    <w:basedOn w:val="Normal"/>
    <w:next w:val="base-text-paragraphnonumbers"/>
    <w:qFormat/>
    <w:rsid w:val="00E56A6F"/>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9D7ECD"/>
    <w:rPr>
      <w:color w:val="808080"/>
    </w:rPr>
  </w:style>
  <w:style w:type="paragraph" w:customStyle="1" w:styleId="ParaCentredNoSpacing">
    <w:name w:val="ParaCentredNoSpacing"/>
    <w:basedOn w:val="Baseparagraphcentred"/>
    <w:qFormat/>
    <w:rsid w:val="00773B68"/>
    <w:pPr>
      <w:spacing w:before="0" w:after="0"/>
    </w:pPr>
  </w:style>
  <w:style w:type="character" w:customStyle="1" w:styleId="ChapterNameOnly">
    <w:name w:val="ChapterNameOnly"/>
    <w:basedOn w:val="DefaultParagraphFont"/>
    <w:uiPriority w:val="1"/>
    <w:qFormat/>
    <w:rsid w:val="000C2A9D"/>
  </w:style>
  <w:style w:type="paragraph" w:styleId="TOC3">
    <w:name w:val="toc 3"/>
    <w:basedOn w:val="Normal"/>
    <w:next w:val="Normal"/>
    <w:autoRedefine/>
    <w:uiPriority w:val="39"/>
    <w:unhideWhenUsed/>
    <w:rsid w:val="00E5385B"/>
    <w:pPr>
      <w:tabs>
        <w:tab w:val="right" w:leader="dot" w:pos="7655"/>
      </w:tabs>
      <w:spacing w:after="100"/>
      <w:ind w:left="442"/>
    </w:pPr>
  </w:style>
  <w:style w:type="table" w:customStyle="1" w:styleId="EMTable">
    <w:name w:val="EMTable"/>
    <w:basedOn w:val="TableNormal"/>
    <w:uiPriority w:val="99"/>
    <w:rsid w:val="00107A5E"/>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paragraph" w:styleId="BalloonText">
    <w:name w:val="Balloon Text"/>
    <w:basedOn w:val="Normal"/>
    <w:link w:val="BalloonTextChar"/>
    <w:uiPriority w:val="99"/>
    <w:semiHidden/>
    <w:unhideWhenUsed/>
    <w:rsid w:val="007A39E0"/>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9E0"/>
    <w:rPr>
      <w:rFonts w:ascii="Tahoma" w:eastAsia="Times New Roman" w:hAnsi="Tahoma" w:cs="Tahoma"/>
      <w:sz w:val="16"/>
      <w:szCs w:val="16"/>
      <w:lang w:eastAsia="en-AU"/>
    </w:rPr>
  </w:style>
  <w:style w:type="paragraph" w:customStyle="1" w:styleId="OutlineNumbered1">
    <w:name w:val="Outline Numbered 1"/>
    <w:basedOn w:val="Normal"/>
    <w:rsid w:val="00334BD7"/>
    <w:pPr>
      <w:numPr>
        <w:numId w:val="47"/>
      </w:numPr>
      <w:spacing w:before="0" w:after="0" w:line="276" w:lineRule="auto"/>
    </w:pPr>
    <w:rPr>
      <w:rFonts w:eastAsiaTheme="minorHAnsi"/>
      <w:color w:val="000000"/>
      <w:sz w:val="20"/>
      <w:lang w:eastAsia="en-US"/>
    </w:rPr>
  </w:style>
  <w:style w:type="paragraph" w:customStyle="1" w:styleId="OutlineNumbered2">
    <w:name w:val="Outline Numbered 2"/>
    <w:basedOn w:val="Normal"/>
    <w:link w:val="OutlineNumbered2Char"/>
    <w:rsid w:val="00334BD7"/>
    <w:pPr>
      <w:numPr>
        <w:ilvl w:val="1"/>
        <w:numId w:val="47"/>
      </w:numPr>
      <w:spacing w:before="0" w:after="0" w:line="276" w:lineRule="auto"/>
    </w:pPr>
    <w:rPr>
      <w:rFonts w:eastAsiaTheme="minorHAnsi"/>
      <w:color w:val="000000"/>
      <w:sz w:val="20"/>
      <w:lang w:eastAsia="en-US"/>
    </w:rPr>
  </w:style>
  <w:style w:type="character" w:customStyle="1" w:styleId="OutlineNumbered2Char">
    <w:name w:val="Outline Numbered 2 Char"/>
    <w:basedOn w:val="DefaultParagraphFont"/>
    <w:link w:val="OutlineNumbered2"/>
    <w:rsid w:val="00334BD7"/>
    <w:rPr>
      <w:rFonts w:ascii="Times New Roman" w:hAnsi="Times New Roman" w:cs="Times New Roman"/>
      <w:color w:val="000000"/>
      <w:sz w:val="20"/>
      <w:szCs w:val="20"/>
    </w:rPr>
  </w:style>
  <w:style w:type="paragraph" w:customStyle="1" w:styleId="OutlineNumbered3">
    <w:name w:val="Outline Numbered 3"/>
    <w:basedOn w:val="Normal"/>
    <w:rsid w:val="00334BD7"/>
    <w:pPr>
      <w:numPr>
        <w:ilvl w:val="2"/>
        <w:numId w:val="47"/>
      </w:numPr>
      <w:spacing w:before="0" w:after="0" w:line="276" w:lineRule="auto"/>
    </w:pPr>
    <w:rPr>
      <w:rFonts w:eastAsiaTheme="minorHAnsi"/>
      <w:color w:val="000000"/>
      <w:sz w:val="20"/>
      <w:lang w:eastAsia="en-US"/>
    </w:rPr>
  </w:style>
  <w:style w:type="paragraph" w:styleId="Revision">
    <w:name w:val="Revision"/>
    <w:hidden/>
    <w:uiPriority w:val="99"/>
    <w:semiHidden/>
    <w:rsid w:val="0066124A"/>
    <w:pPr>
      <w:spacing w:after="0" w:line="240" w:lineRule="auto"/>
    </w:pPr>
    <w:rPr>
      <w:rFonts w:ascii="Times New Roman" w:eastAsia="Times New Roman" w:hAnsi="Times New Roman" w:cs="Times New Roman"/>
      <w:szCs w:val="20"/>
      <w:lang w:eastAsia="en-AU"/>
    </w:rPr>
  </w:style>
  <w:style w:type="character" w:styleId="CommentReference">
    <w:name w:val="annotation reference"/>
    <w:basedOn w:val="DefaultParagraphFont"/>
    <w:uiPriority w:val="99"/>
    <w:semiHidden/>
    <w:unhideWhenUsed/>
    <w:rsid w:val="00AD2EED"/>
    <w:rPr>
      <w:sz w:val="16"/>
      <w:szCs w:val="16"/>
    </w:rPr>
  </w:style>
  <w:style w:type="paragraph" w:styleId="CommentText">
    <w:name w:val="annotation text"/>
    <w:basedOn w:val="Normal"/>
    <w:link w:val="CommentTextChar"/>
    <w:uiPriority w:val="99"/>
    <w:semiHidden/>
    <w:unhideWhenUsed/>
    <w:rsid w:val="00AD2EED"/>
    <w:rPr>
      <w:sz w:val="20"/>
    </w:rPr>
  </w:style>
  <w:style w:type="character" w:customStyle="1" w:styleId="CommentTextChar">
    <w:name w:val="Comment Text Char"/>
    <w:basedOn w:val="DefaultParagraphFont"/>
    <w:link w:val="CommentText"/>
    <w:uiPriority w:val="99"/>
    <w:semiHidden/>
    <w:rsid w:val="00AD2EED"/>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AD2EED"/>
    <w:rPr>
      <w:b/>
      <w:bCs/>
    </w:rPr>
  </w:style>
  <w:style w:type="character" w:customStyle="1" w:styleId="CommentSubjectChar">
    <w:name w:val="Comment Subject Char"/>
    <w:basedOn w:val="CommentTextChar"/>
    <w:link w:val="CommentSubject"/>
    <w:uiPriority w:val="99"/>
    <w:semiHidden/>
    <w:rsid w:val="00AD2EED"/>
    <w:rPr>
      <w:rFonts w:ascii="Times New Roman" w:eastAsia="Times New Roman" w:hAnsi="Times New Roman" w:cs="Times New Roman"/>
      <w:b/>
      <w:bCs/>
      <w:sz w:val="20"/>
      <w:szCs w:val="20"/>
      <w:lang w:eastAsia="en-AU"/>
    </w:rPr>
  </w:style>
  <w:style w:type="paragraph" w:customStyle="1" w:styleId="ActHead9">
    <w:name w:val="ActHead 9"/>
    <w:aliases w:val="aat"/>
    <w:basedOn w:val="Normal"/>
    <w:next w:val="Normal"/>
    <w:qFormat/>
    <w:rsid w:val="00F22893"/>
    <w:pPr>
      <w:keepNext/>
      <w:keepLines/>
      <w:spacing w:before="280" w:after="0"/>
      <w:ind w:left="1134" w:hanging="1134"/>
      <w:outlineLvl w:val="8"/>
    </w:pPr>
    <w:rPr>
      <w:b/>
      <w:i/>
      <w:kern w:val="28"/>
      <w:sz w:val="28"/>
    </w:rPr>
  </w:style>
  <w:style w:type="paragraph" w:customStyle="1" w:styleId="Bullet">
    <w:name w:val="Bullet"/>
    <w:basedOn w:val="Normal"/>
    <w:link w:val="BulletChar"/>
    <w:rsid w:val="001D2FE5"/>
    <w:pPr>
      <w:numPr>
        <w:numId w:val="50"/>
      </w:numPr>
    </w:pPr>
  </w:style>
  <w:style w:type="character" w:customStyle="1" w:styleId="BulletChar">
    <w:name w:val="Bullet Char"/>
    <w:basedOn w:val="base-text-paragraphChar"/>
    <w:link w:val="Bullet"/>
    <w:rsid w:val="001D2FE5"/>
    <w:rPr>
      <w:rFonts w:ascii="Times New Roman" w:eastAsia="Times New Roman" w:hAnsi="Times New Roman" w:cs="Times New Roman"/>
      <w:szCs w:val="20"/>
      <w:lang w:eastAsia="en-AU"/>
    </w:rPr>
  </w:style>
  <w:style w:type="paragraph" w:customStyle="1" w:styleId="Dash">
    <w:name w:val="Dash"/>
    <w:basedOn w:val="Normal"/>
    <w:link w:val="DashChar"/>
    <w:rsid w:val="001D2FE5"/>
    <w:pPr>
      <w:numPr>
        <w:ilvl w:val="1"/>
        <w:numId w:val="50"/>
      </w:numPr>
    </w:pPr>
  </w:style>
  <w:style w:type="character" w:customStyle="1" w:styleId="DashChar">
    <w:name w:val="Dash Char"/>
    <w:basedOn w:val="base-text-paragraphChar"/>
    <w:link w:val="Dash"/>
    <w:rsid w:val="001D2FE5"/>
    <w:rPr>
      <w:rFonts w:ascii="Times New Roman" w:eastAsia="Times New Roman" w:hAnsi="Times New Roman" w:cs="Times New Roman"/>
      <w:szCs w:val="20"/>
      <w:lang w:eastAsia="en-AU"/>
    </w:rPr>
  </w:style>
  <w:style w:type="paragraph" w:customStyle="1" w:styleId="DoubleDot">
    <w:name w:val="Double Dot"/>
    <w:basedOn w:val="Normal"/>
    <w:link w:val="DoubleDotChar"/>
    <w:rsid w:val="001D2FE5"/>
    <w:pPr>
      <w:numPr>
        <w:ilvl w:val="2"/>
        <w:numId w:val="50"/>
      </w:numPr>
    </w:pPr>
  </w:style>
  <w:style w:type="character" w:customStyle="1" w:styleId="DoubleDotChar">
    <w:name w:val="Double Dot Char"/>
    <w:basedOn w:val="base-text-paragraphChar"/>
    <w:link w:val="DoubleDot"/>
    <w:rsid w:val="001D2FE5"/>
    <w:rPr>
      <w:rFonts w:ascii="Times New Roman" w:eastAsia="Times New Roman" w:hAnsi="Times New Roman" w:cs="Times New Roman"/>
      <w:szCs w:val="20"/>
      <w:lang w:eastAsia="en-AU"/>
    </w:rPr>
  </w:style>
  <w:style w:type="paragraph" w:customStyle="1" w:styleId="Default">
    <w:name w:val="Default"/>
    <w:rsid w:val="002B6B0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458368">
      <w:bodyDiv w:val="1"/>
      <w:marLeft w:val="0"/>
      <w:marRight w:val="0"/>
      <w:marTop w:val="0"/>
      <w:marBottom w:val="0"/>
      <w:divBdr>
        <w:top w:val="none" w:sz="0" w:space="0" w:color="auto"/>
        <w:left w:val="none" w:sz="0" w:space="0" w:color="auto"/>
        <w:bottom w:val="none" w:sz="0" w:space="0" w:color="auto"/>
        <w:right w:val="none" w:sz="0" w:space="0" w:color="auto"/>
      </w:divBdr>
      <w:divsChild>
        <w:div w:id="1163928669">
          <w:marLeft w:val="0"/>
          <w:marRight w:val="0"/>
          <w:marTop w:val="0"/>
          <w:marBottom w:val="0"/>
          <w:divBdr>
            <w:top w:val="single" w:sz="6" w:space="8" w:color="B8B8B8"/>
            <w:left w:val="none" w:sz="0" w:space="0" w:color="auto"/>
            <w:bottom w:val="none" w:sz="0" w:space="0" w:color="auto"/>
            <w:right w:val="none" w:sz="0" w:space="0" w:color="auto"/>
          </w:divBdr>
          <w:divsChild>
            <w:div w:id="2147116001">
              <w:marLeft w:val="2"/>
              <w:marRight w:val="2"/>
              <w:marTop w:val="0"/>
              <w:marBottom w:val="0"/>
              <w:divBdr>
                <w:top w:val="single" w:sz="6" w:space="8" w:color="CDCCD4"/>
                <w:left w:val="single" w:sz="6" w:space="8" w:color="CDCCD4"/>
                <w:bottom w:val="single" w:sz="6" w:space="8" w:color="CDCCD4"/>
                <w:right w:val="single" w:sz="6" w:space="4" w:color="CDCCD4"/>
              </w:divBdr>
              <w:divsChild>
                <w:div w:id="228200129">
                  <w:marLeft w:val="0"/>
                  <w:marRight w:val="0"/>
                  <w:marTop w:val="0"/>
                  <w:marBottom w:val="240"/>
                  <w:divBdr>
                    <w:top w:val="single" w:sz="6" w:space="4" w:color="CDCCD4"/>
                    <w:left w:val="single" w:sz="6" w:space="4" w:color="CDCCD4"/>
                    <w:bottom w:val="single" w:sz="6" w:space="0" w:color="CDCCD4"/>
                    <w:right w:val="single" w:sz="6" w:space="4" w:color="CDCCD4"/>
                  </w:divBdr>
                  <w:divsChild>
                    <w:div w:id="810444884">
                      <w:marLeft w:val="0"/>
                      <w:marRight w:val="0"/>
                      <w:marTop w:val="0"/>
                      <w:marBottom w:val="0"/>
                      <w:divBdr>
                        <w:top w:val="single" w:sz="2" w:space="0" w:color="FFFF00"/>
                        <w:left w:val="single" w:sz="2" w:space="0" w:color="FFFF00"/>
                        <w:bottom w:val="single" w:sz="2" w:space="0" w:color="FFFF00"/>
                        <w:right w:val="single" w:sz="2" w:space="0" w:color="FFFF00"/>
                      </w:divBdr>
                      <w:divsChild>
                        <w:div w:id="1115246559">
                          <w:marLeft w:val="0"/>
                          <w:marRight w:val="0"/>
                          <w:marTop w:val="0"/>
                          <w:marBottom w:val="0"/>
                          <w:divBdr>
                            <w:top w:val="none" w:sz="0" w:space="0" w:color="auto"/>
                            <w:left w:val="none" w:sz="0" w:space="0" w:color="auto"/>
                            <w:bottom w:val="none" w:sz="0" w:space="0" w:color="auto"/>
                            <w:right w:val="none" w:sz="0" w:space="0" w:color="auto"/>
                          </w:divBdr>
                          <w:divsChild>
                            <w:div w:id="145806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2402378">
      <w:bodyDiv w:val="1"/>
      <w:marLeft w:val="0"/>
      <w:marRight w:val="0"/>
      <w:marTop w:val="0"/>
      <w:marBottom w:val="0"/>
      <w:divBdr>
        <w:top w:val="none" w:sz="0" w:space="0" w:color="auto"/>
        <w:left w:val="none" w:sz="0" w:space="0" w:color="auto"/>
        <w:bottom w:val="none" w:sz="0" w:space="0" w:color="auto"/>
        <w:right w:val="none" w:sz="0" w:space="0" w:color="auto"/>
      </w:divBdr>
    </w:div>
    <w:div w:id="104883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footer" Target="footer10.xml"/><Relationship Id="rId10" Type="http://schemas.openxmlformats.org/officeDocument/2006/relationships/webSettings" Target="webSettings.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footer" Target="footer9.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AD614E3FF758BD46BB6A91BF499E7E08" ma:contentTypeVersion="22458" ma:contentTypeDescription="" ma:contentTypeScope="" ma:versionID="f013482150543062669fd530878e590f">
  <xsd:schema xmlns:xsd="http://www.w3.org/2001/XMLSchema" xmlns:xs="http://www.w3.org/2001/XMLSchema" xmlns:p="http://schemas.microsoft.com/office/2006/metadata/properties" xmlns:ns1="http://schemas.microsoft.com/sharepoint/v3" xmlns:ns2="0f563589-9cf9-4143-b1eb-fb0534803d38" xmlns:ns3="9f7bc583-7cbe-45b9-a2bd-8bbb6543b37e" xmlns:ns4="687b78b0-2ddd-4441-8a8b-c9638c2a1939" xmlns:ns5="http://schemas.microsoft.com/sharepoint/v4" targetNamespace="http://schemas.microsoft.com/office/2006/metadata/properties" ma:root="true" ma:fieldsID="ae8a8f80a0e5dd7c07b24e5121665e94" ns1:_="" ns2:_="" ns3:_="" ns4:_="" ns5:_="">
    <xsd:import namespace="http://schemas.microsoft.com/sharepoint/v3"/>
    <xsd:import namespace="0f563589-9cf9-4143-b1eb-fb0534803d38"/>
    <xsd:import namespace="9f7bc583-7cbe-45b9-a2bd-8bbb6543b37e"/>
    <xsd:import namespace="687b78b0-2ddd-4441-8a8b-c9638c2a1939"/>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element ref="ns4:LMU_x0020_Number" minOccurs="0"/>
                <xsd:element ref="ns4:Status" minOccurs="0"/>
                <xsd:element ref="ns4:Number_x0020_version" minOccurs="0"/>
                <xsd:element ref="ns4:NAture_x0020_of_x0020_documents1" minOccurs="0"/>
                <xsd:element ref="ns4:Parliamentary_x0020_session" minOccurs="0"/>
                <xsd:element ref="ns4:Responsible_x0020_LDO_x0020_Offic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TSY RA-9236 - Retain as national archives|c6a225b4-6b93-473e-bcbb-6bc6ab25b62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7b78b0-2ddd-4441-8a8b-c9638c2a1939" elementFormDefault="qualified">
    <xsd:import namespace="http://schemas.microsoft.com/office/2006/documentManagement/types"/>
    <xsd:import namespace="http://schemas.microsoft.com/office/infopath/2007/PartnerControls"/>
    <xsd:element name="LMU_x0020_Number" ma:index="18" nillable="true" ma:displayName="LMU Number" ma:internalName="LMU_x0020_Number">
      <xsd:simpleType>
        <xsd:restriction base="dms:Text">
          <xsd:maxLength value="255"/>
        </xsd:restriction>
      </xsd:simpleType>
    </xsd:element>
    <xsd:element name="Status" ma:index="19" nillable="true" ma:displayName="Status" ma:default="Current" ma:internalName="Status">
      <xsd:complexType>
        <xsd:complexContent>
          <xsd:extension base="dms:MultiChoice">
            <xsd:sequence>
              <xsd:element name="Value" maxOccurs="unbounded" minOccurs="0" nillable="true">
                <xsd:simpleType>
                  <xsd:restriction base="dms:Choice">
                    <xsd:enumeration value="Current"/>
                    <xsd:enumeration value="Completed"/>
                    <xsd:enumeration value="Deferred"/>
                    <xsd:enumeration value="Not progressing"/>
                    <xsd:enumeration value="Archived"/>
                  </xsd:restriction>
                </xsd:simpleType>
              </xsd:element>
            </xsd:sequence>
          </xsd:extension>
        </xsd:complexContent>
      </xsd:complexType>
    </xsd:element>
    <xsd:element name="Number_x0020_version" ma:index="20" nillable="true" ma:displayName="Number version" ma:internalName="Number_x0020_version">
      <xsd:simpleType>
        <xsd:restriction base="dms:Text">
          <xsd:maxLength value="255"/>
        </xsd:restriction>
      </xsd:simpleType>
    </xsd:element>
    <xsd:element name="NAture_x0020_of_x0020_documents1" ma:index="21" nillable="true" ma:displayName="Nature of documents" ma:internalName="NAture_x0020_of_x0020_documents1">
      <xsd:complexType>
        <xsd:complexContent>
          <xsd:extension base="dms:MultiChoice">
            <xsd:sequence>
              <xsd:element name="Value" maxOccurs="unbounded" minOccurs="0" nillable="true">
                <xsd:simpleType>
                  <xsd:restriction base="dms:Choice">
                    <xsd:enumeration value="ATO correspondence"/>
                    <xsd:enumeration value="BID"/>
                    <xsd:enumeration value="Drafting instructions"/>
                    <xsd:enumeration value="Explanatory memorandum/statement"/>
                    <xsd:enumeration value="Exposure Draft"/>
                    <xsd:enumeration value="Legal Advice"/>
                    <xsd:enumeration value="Legislation"/>
                    <xsd:enumeration value="Ministerial Correspondence"/>
                    <xsd:enumeration value="Other"/>
                    <xsd:enumeration value="Parliamentary"/>
                    <xsd:enumeration value="Policy"/>
                    <xsd:enumeration value="QA"/>
                    <xsd:enumeration value="Regulations"/>
                    <xsd:enumeration value="RIS"/>
                    <xsd:enumeration value="Stakeholder Correspondence"/>
                    <xsd:enumeration value="Submission"/>
                  </xsd:restriction>
                </xsd:simpleType>
              </xsd:element>
            </xsd:sequence>
          </xsd:extension>
        </xsd:complexContent>
      </xsd:complexType>
    </xsd:element>
    <xsd:element name="Parliamentary_x0020_session" ma:index="22" nillable="true" ma:displayName="Parliamentary session" ma:internalName="Parliamentary_x0020_session">
      <xsd:complexType>
        <xsd:complexContent>
          <xsd:extension base="dms:MultiChoice">
            <xsd:sequence>
              <xsd:element name="Value" maxOccurs="unbounded" minOccurs="0" nillable="true">
                <xsd:simpleType>
                  <xsd:restriction base="dms:Choice">
                    <xsd:enumeration value="TBD"/>
                    <xsd:enumeration value="46th"/>
                    <xsd:enumeration value="45th"/>
                    <xsd:enumeration value="44th"/>
                    <xsd:enumeration value="43rd"/>
                    <xsd:enumeration value="NA"/>
                  </xsd:restriction>
                </xsd:simpleType>
              </xsd:element>
            </xsd:sequence>
          </xsd:extension>
        </xsd:complexContent>
      </xsd:complexType>
    </xsd:element>
    <xsd:element name="Responsible_x0020_LDO_x0020_Officer" ma:index="23" nillable="true" ma:displayName="Responsible LDO Officer" ma:list="UserInfo" ma:SharePointGroup="0" ma:internalName="Responsible_x0020_LDO_x0020_Offic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IconOverlay xmlns="http://schemas.microsoft.com/sharepoint/v4" xsi:nil="true"/>
    <_dlc_DocId xmlns="0f563589-9cf9-4143-b1eb-fb0534803d38">2019RG-136-45724</_dlc_DocId>
    <TaxCatchAll xmlns="0f563589-9cf9-4143-b1eb-fb0534803d38">
      <Value>7</Value>
    </TaxCatchAll>
    <_dlc_DocIdUrl xmlns="0f563589-9cf9-4143-b1eb-fb0534803d38">
      <Url>http://tweb/sites/rg/ldp/_layouts/15/DocIdRedir.aspx?ID=2019RG-136-45724</Url>
      <Description>2019RG-136-45724</Description>
    </_dlc_DocIdUrl>
    <LMU_x0020_Number xmlns="687b78b0-2ddd-4441-8a8b-c9638c2a1939" xsi:nil="true"/>
    <Responsible_x0020_LDO_x0020_Officer xmlns="687b78b0-2ddd-4441-8a8b-c9638c2a1939">
      <UserInfo>
        <DisplayName/>
        <AccountId xsi:nil="true"/>
        <AccountType/>
      </UserInfo>
    </Responsible_x0020_LDO_x0020_Officer>
    <Parliamentary_x0020_session xmlns="687b78b0-2ddd-4441-8a8b-c9638c2a1939"/>
    <Number_x0020_version xmlns="687b78b0-2ddd-4441-8a8b-c9638c2a1939" xsi:nil="true"/>
    <Status xmlns="687b78b0-2ddd-4441-8a8b-c9638c2a1939">
      <Value>Current</Value>
    </Status>
    <NAture_x0020_of_x0020_documents1 xmlns="687b78b0-2ddd-4441-8a8b-c9638c2a1939"/>
  </documentManagement>
</p:propertie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8094C-2D3D-4272-B5EA-E449287194DD}">
  <ds:schemaRefs>
    <ds:schemaRef ds:uri="http://schemas.microsoft.com/sharepoint/events"/>
  </ds:schemaRefs>
</ds:datastoreItem>
</file>

<file path=customXml/itemProps2.xml><?xml version="1.0" encoding="utf-8"?>
<ds:datastoreItem xmlns:ds="http://schemas.openxmlformats.org/officeDocument/2006/customXml" ds:itemID="{B634D63E-A5A6-4EA5-B5AC-70A54A4BA1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687b78b0-2ddd-4441-8a8b-c9638c2a193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84BCE1-B00C-45BB-B3CA-CEE712E03F53}">
  <ds:schemaRefs>
    <ds:schemaRef ds:uri="http://purl.org/dc/dcmitype/"/>
    <ds:schemaRef ds:uri="687b78b0-2ddd-4441-8a8b-c9638c2a1939"/>
    <ds:schemaRef ds:uri="9f7bc583-7cbe-45b9-a2bd-8bbb6543b37e"/>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http://schemas.microsoft.com/office/2006/documentManagement/types"/>
    <ds:schemaRef ds:uri="http://schemas.microsoft.com/sharepoint/v4"/>
    <ds:schemaRef ds:uri="0f563589-9cf9-4143-b1eb-fb0534803d38"/>
    <ds:schemaRef ds:uri="http://schemas.microsoft.com/sharepoint/v3"/>
    <ds:schemaRef ds:uri="http://www.w3.org/XML/1998/namespace"/>
    <ds:schemaRef ds:uri="http://purl.org/dc/terms/"/>
  </ds:schemaRefs>
</ds:datastoreItem>
</file>

<file path=customXml/itemProps4.xml><?xml version="1.0" encoding="utf-8"?>
<ds:datastoreItem xmlns:ds="http://schemas.openxmlformats.org/officeDocument/2006/customXml" ds:itemID="{1EEF8C7A-6F56-4C4D-B51C-8D77D5ADF651}">
  <ds:schemaRefs>
    <ds:schemaRef ds:uri="office.server.policy"/>
  </ds:schemaRefs>
</ds:datastoreItem>
</file>

<file path=customXml/itemProps5.xml><?xml version="1.0" encoding="utf-8"?>
<ds:datastoreItem xmlns:ds="http://schemas.openxmlformats.org/officeDocument/2006/customXml" ds:itemID="{5581620C-90D2-41D3-81BF-E59E92C75C12}">
  <ds:schemaRefs>
    <ds:schemaRef ds:uri="http://schemas.microsoft.com/sharepoint/v3/contenttype/forms"/>
  </ds:schemaRefs>
</ds:datastoreItem>
</file>

<file path=customXml/itemProps6.xml><?xml version="1.0" encoding="utf-8"?>
<ds:datastoreItem xmlns:ds="http://schemas.openxmlformats.org/officeDocument/2006/customXml" ds:itemID="{FF2D3BF6-3E8F-4F6C-ADC0-1528A644F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Pri-EM.dotx</Template>
  <TotalTime>0</TotalTime>
  <Pages>36</Pages>
  <Words>10911</Words>
  <Characters>62197</Characters>
  <Application>Microsoft Office Word</Application>
  <DocSecurity>0</DocSecurity>
  <Lines>518</Lines>
  <Paragraphs>145</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72963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Vivek Raj</dc:creator>
  <cp:lastModifiedBy>Bentwood, Sophie</cp:lastModifiedBy>
  <cp:revision>2</cp:revision>
  <cp:lastPrinted>2019-08-22T00:40:00Z</cp:lastPrinted>
  <dcterms:created xsi:type="dcterms:W3CDTF">2019-08-30T05:38:00Z</dcterms:created>
  <dcterms:modified xsi:type="dcterms:W3CDTF">2019-08-30T05:38:00Z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178c5d49-d0a1-435b-bb68-6bee65246252</vt:lpwstr>
  </property>
  <property fmtid="{D5CDD505-2E9C-101B-9397-08002B2CF9AE}" pid="3" name="ContentTypeId">
    <vt:lpwstr>0x01010036BB8DE7EC542E42A8B2E98CC20CB69700AD614E3FF758BD46BB6A91BF499E7E08</vt:lpwstr>
  </property>
  <property fmtid="{D5CDD505-2E9C-101B-9397-08002B2CF9AE}" pid="4" name="TSYRecordClass">
    <vt:lpwstr>7;#TSY RA-9236 - Retain as national archives|c6a225b4-6b93-473e-bcbb-6bc6ab25b623</vt:lpwstr>
  </property>
  <property fmtid="{D5CDD505-2E9C-101B-9397-08002B2CF9AE}" pid="5" name="RecordPoint_WorkflowType">
    <vt:lpwstr>ActiveSubmitStub</vt:lpwstr>
  </property>
  <property fmtid="{D5CDD505-2E9C-101B-9397-08002B2CF9AE}" pid="6" name="RecordPoint_ActiveItemSiteId">
    <vt:lpwstr>{5b52b9a5-e5b2-4521-8814-a1e24ca2869d}</vt:lpwstr>
  </property>
  <property fmtid="{D5CDD505-2E9C-101B-9397-08002B2CF9AE}" pid="7" name="RecordPoint_ActiveItemListId">
    <vt:lpwstr>{687b78b0-2ddd-4441-8a8b-c9638c2a1939}</vt:lpwstr>
  </property>
  <property fmtid="{D5CDD505-2E9C-101B-9397-08002B2CF9AE}" pid="8" name="RecordPoint_ActiveItemUniqueId">
    <vt:lpwstr>{99d7e61a-8548-4418-a12c-05429855c5df}</vt:lpwstr>
  </property>
  <property fmtid="{D5CDD505-2E9C-101B-9397-08002B2CF9AE}" pid="9" name="RecordPoint_ActiveItemWebId">
    <vt:lpwstr>{09392e0d-4618-463d-b4d2-50a90b9447cf}</vt:lpwstr>
  </property>
  <property fmtid="{D5CDD505-2E9C-101B-9397-08002B2CF9AE}" pid="10" name="RecordPoint_RecordNumberSubmitted">
    <vt:lpwstr>R0001962857</vt:lpwstr>
  </property>
  <property fmtid="{D5CDD505-2E9C-101B-9397-08002B2CF9AE}" pid="11" name="RecordPoint_SubmissionCompleted">
    <vt:lpwstr>2019-08-29T22:16:45.3453727+10:00</vt:lpwstr>
  </property>
  <property fmtid="{D5CDD505-2E9C-101B-9397-08002B2CF9AE}" pid="12" name="_AdHocReviewCycleID">
    <vt:i4>-1093322194</vt:i4>
  </property>
  <property fmtid="{D5CDD505-2E9C-101B-9397-08002B2CF9AE}" pid="13" name="_NewReviewCycle">
    <vt:lpwstr/>
  </property>
  <property fmtid="{D5CDD505-2E9C-101B-9397-08002B2CF9AE}" pid="14" name="_EmailSubject">
    <vt:lpwstr>Consultation Miscellaneous amendments to Treasury portfolio laws 2019</vt:lpwstr>
  </property>
  <property fmtid="{D5CDD505-2E9C-101B-9397-08002B2CF9AE}" pid="15" name="_AuthorEmail">
    <vt:lpwstr>Aidan.Zellner@TREASURY.GOV.AU</vt:lpwstr>
  </property>
  <property fmtid="{D5CDD505-2E9C-101B-9397-08002B2CF9AE}" pid="16" name="_AuthorEmailDisplayName">
    <vt:lpwstr>Zellner, Aidan</vt:lpwstr>
  </property>
</Properties>
</file>