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7C111" w14:textId="77777777" w:rsidR="000E0B74" w:rsidRPr="006D0240" w:rsidRDefault="000E0B74" w:rsidP="00C72318">
      <w:pPr>
        <w:pStyle w:val="Crest"/>
        <w:spacing w:after="3000"/>
        <w:jc w:val="right"/>
      </w:pPr>
      <w:bookmarkStart w:id="0" w:name="_GoBack"/>
      <w:bookmarkEnd w:id="0"/>
    </w:p>
    <w:p w14:paraId="315679BA" w14:textId="77777777" w:rsidR="00D8620B" w:rsidRDefault="00A93779" w:rsidP="00D8620B">
      <w:pPr>
        <w:pStyle w:val="Title"/>
        <w:rPr>
          <w:iCs/>
        </w:rPr>
      </w:pPr>
      <w:r w:rsidRPr="00A93779">
        <w:rPr>
          <w:iCs/>
        </w:rPr>
        <w:t>Government response</w:t>
      </w:r>
      <w:r>
        <w:rPr>
          <w:iCs/>
        </w:rPr>
        <w:br/>
      </w:r>
      <w:r w:rsidRPr="00A93779">
        <w:rPr>
          <w:iCs/>
        </w:rPr>
        <w:t xml:space="preserve"> to the</w:t>
      </w:r>
      <w:r>
        <w:rPr>
          <w:iCs/>
        </w:rPr>
        <w:br/>
      </w:r>
      <w:r w:rsidRPr="00A93779">
        <w:rPr>
          <w:iCs/>
        </w:rPr>
        <w:t>APRA Capability Review</w:t>
      </w:r>
    </w:p>
    <w:p w14:paraId="5D889229" w14:textId="77777777" w:rsidR="002F617F" w:rsidRDefault="002F617F"/>
    <w:p w14:paraId="5B5C1492" w14:textId="77777777" w:rsidR="000E0B74" w:rsidRDefault="000E0B74" w:rsidP="000E0B74">
      <w:pPr>
        <w:rPr>
          <w:rFonts w:cs="Calibri"/>
          <w:sz w:val="20"/>
        </w:rPr>
      </w:pPr>
    </w:p>
    <w:p w14:paraId="768E1188" w14:textId="77777777" w:rsidR="000E0B74" w:rsidRDefault="000E0B74" w:rsidP="000E0B74">
      <w:pPr>
        <w:sectPr w:rsidR="000E0B74" w:rsidSect="000B225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20"/>
          <w:docGrid w:linePitch="299"/>
        </w:sectPr>
      </w:pPr>
    </w:p>
    <w:p w14:paraId="43438F35" w14:textId="77777777" w:rsidR="00A93779" w:rsidRDefault="00A93779" w:rsidP="00031411">
      <w:pPr>
        <w:spacing w:after="240"/>
        <w:rPr>
          <w:rFonts w:cs="Arial"/>
          <w:b/>
          <w:color w:val="003150" w:themeColor="accent3"/>
          <w:kern w:val="32"/>
          <w:sz w:val="40"/>
          <w:szCs w:val="36"/>
        </w:rPr>
      </w:pPr>
      <w:r w:rsidRPr="00A93779">
        <w:rPr>
          <w:rFonts w:cs="Arial"/>
          <w:b/>
          <w:color w:val="003150" w:themeColor="accent3"/>
          <w:kern w:val="32"/>
          <w:sz w:val="40"/>
          <w:szCs w:val="36"/>
        </w:rPr>
        <w:lastRenderedPageBreak/>
        <w:t>Government response to the APRA Capability Review</w:t>
      </w:r>
    </w:p>
    <w:p w14:paraId="11D9C763" w14:textId="77777777" w:rsidR="00A93779" w:rsidRDefault="00A93779" w:rsidP="00A93779">
      <w:r>
        <w:t xml:space="preserve">On 11 February 2019, the Government announced a review to consider the capabilities of the Australian Prudential Regulation Authority (APRA). </w:t>
      </w:r>
    </w:p>
    <w:p w14:paraId="6AC2E05A" w14:textId="77777777" w:rsidR="00A93779" w:rsidRDefault="00A93779" w:rsidP="00A93779">
      <w:r>
        <w:t xml:space="preserve">Importantly, since the review was announced, the Government has legislated to give APRA stronger powers to take action to ensure that superannuation funds act in the best interests of members and improved its legislative powers over the authorisation process for </w:t>
      </w:r>
      <w:proofErr w:type="spellStart"/>
      <w:r>
        <w:t>MySuper</w:t>
      </w:r>
      <w:proofErr w:type="spellEnd"/>
      <w:r>
        <w:t xml:space="preserve"> products. The Government also provided APRA with more than $150 million in additional funding in the 2019-20 Budget.</w:t>
      </w:r>
    </w:p>
    <w:p w14:paraId="5125D029" w14:textId="77777777" w:rsidR="00A93779" w:rsidRDefault="00A93779" w:rsidP="00A93779">
      <w:r>
        <w:t xml:space="preserve">The APRA Capability Review formed part of the Government’s response to the Hayne Royal Commission. Recommendation 6.13 of the final report of the Hayne Royal Commission called for capability reviews of APRA and ASIC to occur at least every four years and for a capability review of APRA to be completed as soon as reasonably practicable. </w:t>
      </w:r>
    </w:p>
    <w:p w14:paraId="32AF8B37" w14:textId="77777777" w:rsidR="00A93779" w:rsidRDefault="00A93779" w:rsidP="00A93779">
      <w:r>
        <w:t>The Hayne Royal Commission recommendation followed a previous Productivity Commission recommendation arising out of its final report Superannuation: Assessing the Efficiency and Competitiveness in December 2018 that the Government initiate an independent capability review of APRA. The Productivity Commission called for the review to be completed and published during</w:t>
      </w:r>
      <w:r w:rsidR="009060E8">
        <w:t> </w:t>
      </w:r>
      <w:r>
        <w:t>2019.</w:t>
      </w:r>
    </w:p>
    <w:p w14:paraId="137C7A0D" w14:textId="77777777" w:rsidR="00A93779" w:rsidRDefault="00A93779" w:rsidP="00A93779">
      <w:r>
        <w:t>The APRA Capability Review was led by an expert panel chaired by Mr Graeme Samuel AC, with Ms Diane Smith-Gander AO and Mr Grant Spencer as members. Mr Samuel was formerly the Chairman of the Australian Competition and Consumer Commission and President of the National Competition Council. Ms Smith-Gander has previously been a senior executive at Westpac and partner at McKinsey &amp; Company and is currently an adjunct professor in corporate governance at the University of Western Australia. Mr Spencer was the former Deputy Governor and Head of Financial Stability, and former Acting Governor, at the Reserve Bank of New Zealand and has previously held senior roles at the International Monetary Fund.</w:t>
      </w:r>
    </w:p>
    <w:p w14:paraId="2962F9A0" w14:textId="77777777" w:rsidR="00A93779" w:rsidRDefault="00A93779" w:rsidP="00A93779">
      <w:r>
        <w:t>Terms of Reference for the Review were released on 13 March 2019 and submissions were due by 10</w:t>
      </w:r>
      <w:r w:rsidR="005D78BE">
        <w:t> </w:t>
      </w:r>
      <w:r>
        <w:t>April 2019.</w:t>
      </w:r>
    </w:p>
    <w:p w14:paraId="550F2BBE" w14:textId="77777777" w:rsidR="00A93779" w:rsidRDefault="00A93779" w:rsidP="00A93779">
      <w:r>
        <w:t>The Panel provided its Review to the Government on 28 June 2019. The Panel made 24</w:t>
      </w:r>
      <w:r w:rsidR="005D78BE">
        <w:t> </w:t>
      </w:r>
      <w:r>
        <w:t xml:space="preserve">recommendations, with 19 directed to APRA. The remaining five recommendations were directed to the Government.  </w:t>
      </w:r>
    </w:p>
    <w:p w14:paraId="420DEFD7" w14:textId="77777777" w:rsidR="00A93779" w:rsidRDefault="00A93779" w:rsidP="00A93779">
      <w:r>
        <w:t xml:space="preserve">The Review found that APRA is an impressive and forceful regulator in matters of traditional financial risk. However, the Review has also identified important changes to ensure that APRA is well positioned to respond to an environment of growing complexity and emerging risks for APRA’s regulated sectors. </w:t>
      </w:r>
    </w:p>
    <w:p w14:paraId="2BB6E073" w14:textId="77777777" w:rsidR="00475085" w:rsidRDefault="00A93779" w:rsidP="00A93779">
      <w:r>
        <w:t>APRA has indicated to Government that it supports all 19 recommendations directed to it.  The Government notes that APRA is already implementing a number of the recommendations, and will promptly begin initiatives to implement the remainder. The Government will consider the need for any additional funding as part of the 2020-21 Budget process.</w:t>
      </w:r>
    </w:p>
    <w:p w14:paraId="21CD7159" w14:textId="77777777" w:rsidR="00475085" w:rsidRDefault="00475085" w:rsidP="00475085"/>
    <w:p w14:paraId="61822771" w14:textId="77777777" w:rsidR="003C24B4" w:rsidRPr="00A93779" w:rsidRDefault="003C24B4" w:rsidP="00475085">
      <w:pPr>
        <w:pStyle w:val="SingleParagraph"/>
        <w:rPr>
          <w:rFonts w:cs="Calibri"/>
          <w:b/>
        </w:rPr>
        <w:sectPr w:rsidR="003C24B4" w:rsidRPr="00A93779" w:rsidSect="000B225E">
          <w:headerReference w:type="default" r:id="rId14"/>
          <w:pgSz w:w="11906" w:h="16838" w:code="9"/>
          <w:pgMar w:top="1418" w:right="1418" w:bottom="1418" w:left="1418" w:header="709" w:footer="709" w:gutter="0"/>
          <w:pgNumType w:start="1"/>
          <w:cols w:space="708"/>
          <w:titlePg/>
          <w:docGrid w:linePitch="360"/>
        </w:sectPr>
      </w:pPr>
    </w:p>
    <w:p w14:paraId="592FF829" w14:textId="77777777" w:rsidR="007F5B01" w:rsidRDefault="00A93779" w:rsidP="00A93779">
      <w:pPr>
        <w:pStyle w:val="Heading1"/>
      </w:pPr>
      <w:r w:rsidRPr="00A93779">
        <w:lastRenderedPageBreak/>
        <w:t>Government response to recommendations</w:t>
      </w:r>
    </w:p>
    <w:p w14:paraId="20501C21" w14:textId="77777777" w:rsidR="00A93779" w:rsidRDefault="00A93779" w:rsidP="005D78BE">
      <w:pPr>
        <w:pStyle w:val="Heading2"/>
      </w:pPr>
      <w:r>
        <w:t xml:space="preserve">Recommendation 2.5 — APS Workplace Bargaining Framework </w:t>
      </w:r>
    </w:p>
    <w:tbl>
      <w:tblPr>
        <w:tblW w:w="0" w:type="auto"/>
        <w:tblBorders>
          <w:top w:val="single" w:sz="4" w:space="0" w:color="5F6163" w:themeColor="accent4" w:themeShade="BF"/>
          <w:left w:val="single" w:sz="4" w:space="0" w:color="5F6163" w:themeColor="accent4" w:themeShade="BF"/>
          <w:bottom w:val="single" w:sz="4" w:space="0" w:color="5F6163" w:themeColor="accent4" w:themeShade="BF"/>
          <w:right w:val="single" w:sz="4" w:space="0" w:color="5F6163" w:themeColor="accent4" w:themeShade="BF"/>
        </w:tblBorders>
        <w:shd w:val="clear" w:color="auto" w:fill="F2F2F2" w:themeFill="background1" w:themeFillShade="F2"/>
        <w:tblLook w:val="04A0" w:firstRow="1" w:lastRow="0" w:firstColumn="1" w:lastColumn="0" w:noHBand="0" w:noVBand="1"/>
      </w:tblPr>
      <w:tblGrid>
        <w:gridCol w:w="9060"/>
      </w:tblGrid>
      <w:tr w:rsidR="005D78BE" w14:paraId="03EB1BE0" w14:textId="77777777" w:rsidTr="00031411">
        <w:tc>
          <w:tcPr>
            <w:tcW w:w="9286" w:type="dxa"/>
            <w:shd w:val="clear" w:color="auto" w:fill="F2F2F2" w:themeFill="background1" w:themeFillShade="F2"/>
          </w:tcPr>
          <w:p w14:paraId="3C53F2A8" w14:textId="77777777" w:rsidR="005D78BE" w:rsidRDefault="005D78BE" w:rsidP="005D78BE">
            <w:r>
              <w:t xml:space="preserve">To help facilitate a number of recommendations in the Review, the Government should remove APRA from the application of the APS Workplace Bargaining Policy. </w:t>
            </w:r>
          </w:p>
          <w:p w14:paraId="7B90FA9C" w14:textId="77777777" w:rsidR="005D78BE" w:rsidRDefault="005D78BE" w:rsidP="005D78BE">
            <w:r>
              <w:t>APRA should engage with the Government to consider ways to enable greater variation in remuneration levels.</w:t>
            </w:r>
          </w:p>
        </w:tc>
      </w:tr>
    </w:tbl>
    <w:p w14:paraId="6D9914BF" w14:textId="77777777" w:rsidR="00A93779" w:rsidRDefault="00A93779" w:rsidP="00A93779">
      <w:r>
        <w:t xml:space="preserve">The Government agrees APRA should have the flexibility to attract and retain the staff it needs to deliver its mandate.  </w:t>
      </w:r>
    </w:p>
    <w:p w14:paraId="24BDE251" w14:textId="77777777" w:rsidR="00A93779" w:rsidRDefault="00A93779" w:rsidP="00A93779">
      <w:r>
        <w:t xml:space="preserve">The Government will work with APRA and the Australian Public Service Commission (APSC) to better understand and address any restrictions within the current APS Bargaining Framework in order to ensure that APRA can attract and retain high skilled staff, particularly in niche areas subject to high market demand. </w:t>
      </w:r>
    </w:p>
    <w:p w14:paraId="23A00BE1" w14:textId="77777777" w:rsidR="00A93779" w:rsidRDefault="00A93779" w:rsidP="005D78BE">
      <w:pPr>
        <w:pStyle w:val="Heading2"/>
      </w:pPr>
      <w:r>
        <w:t>Recommendation 4.3 – Non-objections power</w:t>
      </w:r>
    </w:p>
    <w:tbl>
      <w:tblPr>
        <w:tblW w:w="0" w:type="auto"/>
        <w:tblBorders>
          <w:top w:val="single" w:sz="4" w:space="0" w:color="5F6163" w:themeColor="accent4" w:themeShade="BF"/>
          <w:left w:val="single" w:sz="4" w:space="0" w:color="5F6163" w:themeColor="accent4" w:themeShade="BF"/>
          <w:bottom w:val="single" w:sz="4" w:space="0" w:color="5F6163" w:themeColor="accent4" w:themeShade="BF"/>
          <w:right w:val="single" w:sz="4" w:space="0" w:color="5F6163" w:themeColor="accent4" w:themeShade="BF"/>
        </w:tblBorders>
        <w:shd w:val="clear" w:color="auto" w:fill="F2F2F2" w:themeFill="background1" w:themeFillShade="F2"/>
        <w:tblLook w:val="04A0" w:firstRow="1" w:lastRow="0" w:firstColumn="1" w:lastColumn="0" w:noHBand="0" w:noVBand="1"/>
      </w:tblPr>
      <w:tblGrid>
        <w:gridCol w:w="9060"/>
      </w:tblGrid>
      <w:tr w:rsidR="005D78BE" w14:paraId="35A125E2" w14:textId="77777777" w:rsidTr="00031411">
        <w:tc>
          <w:tcPr>
            <w:tcW w:w="9286" w:type="dxa"/>
            <w:shd w:val="clear" w:color="auto" w:fill="F2F2F2" w:themeFill="background1" w:themeFillShade="F2"/>
          </w:tcPr>
          <w:p w14:paraId="4DF47108" w14:textId="77777777" w:rsidR="005D78BE" w:rsidRDefault="005D78BE" w:rsidP="005D78BE">
            <w:r w:rsidRPr="005D78BE">
              <w:t>The Government should consider providing APRA with a non-objections power to veto the appointment or reappointment of directors and senior executives of regulated entities. This would bring it into line with international regulators and strengthen its capacity to pre-emptively regulate GCA risks. The power should be available to APRA only where the risks associated with the entity, including but not limited to member outcomes for superannuation funds, warrant it.</w:t>
            </w:r>
          </w:p>
        </w:tc>
      </w:tr>
    </w:tbl>
    <w:p w14:paraId="0237311D" w14:textId="77777777" w:rsidR="00A93779" w:rsidRDefault="00A93779" w:rsidP="00A93779">
      <w:r>
        <w:t>The Government will ensure that APRA has sufficient powers and flexibility to prevent inappropriate directors and senior executives from being appointed or re-appointed to regulated entities, as part of extending the Banking Executive Accountability Regime.</w:t>
      </w:r>
    </w:p>
    <w:p w14:paraId="1A63C921" w14:textId="77777777" w:rsidR="00A93779" w:rsidRDefault="00A93779" w:rsidP="005D78BE">
      <w:pPr>
        <w:pStyle w:val="Heading2"/>
      </w:pPr>
      <w:r>
        <w:t>Recommendation 5.3 – APRA Mandate</w:t>
      </w:r>
    </w:p>
    <w:tbl>
      <w:tblPr>
        <w:tblW w:w="0" w:type="auto"/>
        <w:tblBorders>
          <w:top w:val="single" w:sz="4" w:space="0" w:color="5F6163" w:themeColor="accent4" w:themeShade="BF"/>
          <w:left w:val="single" w:sz="4" w:space="0" w:color="5F6163" w:themeColor="accent4" w:themeShade="BF"/>
          <w:bottom w:val="single" w:sz="4" w:space="0" w:color="5F6163" w:themeColor="accent4" w:themeShade="BF"/>
          <w:right w:val="single" w:sz="4" w:space="0" w:color="5F6163" w:themeColor="accent4" w:themeShade="BF"/>
        </w:tblBorders>
        <w:tblLook w:val="04A0" w:firstRow="1" w:lastRow="0" w:firstColumn="1" w:lastColumn="0" w:noHBand="0" w:noVBand="1"/>
      </w:tblPr>
      <w:tblGrid>
        <w:gridCol w:w="9060"/>
      </w:tblGrid>
      <w:tr w:rsidR="005D78BE" w14:paraId="6B5E8D69" w14:textId="77777777" w:rsidTr="00031411">
        <w:tc>
          <w:tcPr>
            <w:tcW w:w="9286" w:type="dxa"/>
            <w:shd w:val="clear" w:color="auto" w:fill="F2F2F2" w:themeFill="background1" w:themeFillShade="F2"/>
          </w:tcPr>
          <w:p w14:paraId="0127B52F" w14:textId="77777777" w:rsidR="005D78BE" w:rsidRDefault="005D78BE" w:rsidP="005D78BE">
            <w:r w:rsidRPr="005D78BE">
              <w:t>In accordance with recommendation 23 of the Productivity Commission’s Superannuation Inquiry, the Government should legislate to make APRA’s member outcomes mandate more explicit. The Government should clearly outline its expectations for APRA on superannuation in its next Statement of Expectations.</w:t>
            </w:r>
          </w:p>
        </w:tc>
      </w:tr>
    </w:tbl>
    <w:p w14:paraId="2563DDF9" w14:textId="77777777" w:rsidR="00A93779" w:rsidRDefault="00A93779" w:rsidP="00A93779">
      <w:r>
        <w:t xml:space="preserve">The Government agrees that it will outline its expectations for APRA on superannuation in its next Statement of Expectations. The financial </w:t>
      </w:r>
      <w:proofErr w:type="spellStart"/>
      <w:r>
        <w:t>regulator</w:t>
      </w:r>
      <w:proofErr w:type="spellEnd"/>
      <w:r>
        <w:t xml:space="preserve"> oversight authority will be tasked with monitoring APRA’s performance against the Government’s expectations.</w:t>
      </w:r>
    </w:p>
    <w:p w14:paraId="03475CF9" w14:textId="77777777" w:rsidR="00A93779" w:rsidRDefault="00A93779" w:rsidP="005D78BE">
      <w:pPr>
        <w:pStyle w:val="Heading2"/>
      </w:pPr>
      <w:r>
        <w:lastRenderedPageBreak/>
        <w:t>Recommendation 6.2 – APRA’s regulatory tools</w:t>
      </w:r>
    </w:p>
    <w:tbl>
      <w:tblPr>
        <w:tblW w:w="0" w:type="auto"/>
        <w:tblBorders>
          <w:top w:val="single" w:sz="4" w:space="0" w:color="5F6163" w:themeColor="accent4" w:themeShade="BF"/>
          <w:left w:val="single" w:sz="4" w:space="0" w:color="5F6163" w:themeColor="accent4" w:themeShade="BF"/>
          <w:bottom w:val="single" w:sz="4" w:space="0" w:color="5F6163" w:themeColor="accent4" w:themeShade="BF"/>
          <w:right w:val="single" w:sz="4" w:space="0" w:color="5F6163" w:themeColor="accent4" w:themeShade="BF"/>
        </w:tblBorders>
        <w:tblLook w:val="04A0" w:firstRow="1" w:lastRow="0" w:firstColumn="1" w:lastColumn="0" w:noHBand="0" w:noVBand="1"/>
      </w:tblPr>
      <w:tblGrid>
        <w:gridCol w:w="9060"/>
      </w:tblGrid>
      <w:tr w:rsidR="005D78BE" w14:paraId="003C9CAF" w14:textId="77777777" w:rsidTr="00031411">
        <w:trPr>
          <w:cantSplit/>
        </w:trPr>
        <w:tc>
          <w:tcPr>
            <w:tcW w:w="9286" w:type="dxa"/>
            <w:shd w:val="clear" w:color="auto" w:fill="F2F2F2" w:themeFill="background1" w:themeFillShade="F2"/>
          </w:tcPr>
          <w:p w14:paraId="63C662D2" w14:textId="77777777" w:rsidR="005D78BE" w:rsidRDefault="005D78BE" w:rsidP="005D78BE">
            <w:r>
              <w:t xml:space="preserve">While APRA’s regulatory tools are generally fit-for-purpose, the Government should consider: </w:t>
            </w:r>
          </w:p>
          <w:p w14:paraId="4CC9EC21" w14:textId="77777777" w:rsidR="005D78BE" w:rsidRDefault="005D78BE" w:rsidP="005D78BE">
            <w:pPr>
              <w:ind w:left="738" w:hanging="454"/>
            </w:pPr>
            <w:r>
              <w:t>a)</w:t>
            </w:r>
            <w:r>
              <w:tab/>
              <w:t xml:space="preserve">reviewing the adequacy of penalties across APRA's legislative framework; </w:t>
            </w:r>
          </w:p>
          <w:p w14:paraId="797496A9" w14:textId="77777777" w:rsidR="005D78BE" w:rsidRDefault="005D78BE" w:rsidP="005D78BE">
            <w:pPr>
              <w:ind w:left="738" w:hanging="454"/>
            </w:pPr>
            <w:r>
              <w:t>b)</w:t>
            </w:r>
            <w:r>
              <w:tab/>
              <w:t xml:space="preserve">providing APRA with the power to appoint a skilled person to undertake a review of a regulated entity; and </w:t>
            </w:r>
          </w:p>
          <w:p w14:paraId="08C4C816" w14:textId="77777777" w:rsidR="005D78BE" w:rsidRDefault="005D78BE" w:rsidP="005D78BE">
            <w:pPr>
              <w:ind w:left="738" w:hanging="454"/>
            </w:pPr>
            <w:r>
              <w:t>c)</w:t>
            </w:r>
            <w:r>
              <w:tab/>
            </w:r>
            <w:proofErr w:type="gramStart"/>
            <w:r>
              <w:t>enhancing</w:t>
            </w:r>
            <w:proofErr w:type="gramEnd"/>
            <w:r>
              <w:t xml:space="preserve"> its private health insurance licensing powers.</w:t>
            </w:r>
          </w:p>
        </w:tc>
      </w:tr>
    </w:tbl>
    <w:p w14:paraId="30538AE4" w14:textId="77777777" w:rsidR="00A93779" w:rsidRDefault="00A93779" w:rsidP="00A93779">
      <w:r>
        <w:t xml:space="preserve">The Government agrees to consider a review of APRA’s penalties, providing a power to appoint a person to undertake a review of an entity, and enhancing private health insurance licensing powers. </w:t>
      </w:r>
    </w:p>
    <w:p w14:paraId="100411D8" w14:textId="77777777" w:rsidR="00A93779" w:rsidRDefault="00A93779" w:rsidP="005D78BE">
      <w:pPr>
        <w:pStyle w:val="Heading2"/>
      </w:pPr>
      <w:r>
        <w:t>Recommendation 6.5 – External Accountability</w:t>
      </w:r>
    </w:p>
    <w:tbl>
      <w:tblPr>
        <w:tblW w:w="0" w:type="auto"/>
        <w:tblBorders>
          <w:top w:val="single" w:sz="4" w:space="0" w:color="5F6163" w:themeColor="accent4" w:themeShade="BF"/>
          <w:left w:val="single" w:sz="4" w:space="0" w:color="5F6163" w:themeColor="accent4" w:themeShade="BF"/>
          <w:bottom w:val="single" w:sz="4" w:space="0" w:color="5F6163" w:themeColor="accent4" w:themeShade="BF"/>
          <w:right w:val="single" w:sz="4" w:space="0" w:color="5F6163" w:themeColor="accent4" w:themeShade="BF"/>
        </w:tblBorders>
        <w:tblLook w:val="04A0" w:firstRow="1" w:lastRow="0" w:firstColumn="1" w:lastColumn="0" w:noHBand="0" w:noVBand="1"/>
      </w:tblPr>
      <w:tblGrid>
        <w:gridCol w:w="9060"/>
      </w:tblGrid>
      <w:tr w:rsidR="005D78BE" w14:paraId="6BE911B3" w14:textId="77777777" w:rsidTr="00031411">
        <w:tc>
          <w:tcPr>
            <w:tcW w:w="9286" w:type="dxa"/>
            <w:shd w:val="clear" w:color="auto" w:fill="F2F2F2" w:themeFill="background1" w:themeFillShade="F2"/>
          </w:tcPr>
          <w:p w14:paraId="072D3223" w14:textId="77777777" w:rsidR="005D78BE" w:rsidRDefault="005D78BE" w:rsidP="005D78BE">
            <w:r w:rsidRPr="005D78BE">
              <w:t xml:space="preserve">The Government should consider streamlining and improving the effectiveness of existing accountability arrangements when establishing the financial </w:t>
            </w:r>
            <w:proofErr w:type="spellStart"/>
            <w:r w:rsidRPr="005D78BE">
              <w:t>regulator</w:t>
            </w:r>
            <w:proofErr w:type="spellEnd"/>
            <w:r w:rsidRPr="005D78BE">
              <w:t xml:space="preserve"> oversight authority.</w:t>
            </w:r>
          </w:p>
        </w:tc>
      </w:tr>
    </w:tbl>
    <w:p w14:paraId="6758E794" w14:textId="77777777" w:rsidR="00A93779" w:rsidRPr="00A93779" w:rsidRDefault="00A93779" w:rsidP="00A93779">
      <w:r>
        <w:t xml:space="preserve">The Government agrees that as part of establishing the financial </w:t>
      </w:r>
      <w:proofErr w:type="spellStart"/>
      <w:r>
        <w:t>regulator</w:t>
      </w:r>
      <w:proofErr w:type="spellEnd"/>
      <w:r>
        <w:t xml:space="preserve"> oversight authority, it will seek to streamline and improve the effectiveness of both APRA and ASIC’s accountability arrangements.</w:t>
      </w:r>
    </w:p>
    <w:sectPr w:rsidR="00A93779" w:rsidRPr="00A93779" w:rsidSect="006014D2">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57088" w14:textId="77777777" w:rsidR="00A93779" w:rsidRDefault="00A93779">
      <w:pPr>
        <w:spacing w:before="0" w:after="0"/>
      </w:pPr>
      <w:r>
        <w:separator/>
      </w:r>
    </w:p>
  </w:endnote>
  <w:endnote w:type="continuationSeparator" w:id="0">
    <w:p w14:paraId="22D66476" w14:textId="77777777" w:rsidR="00A93779" w:rsidRDefault="00A93779">
      <w:pPr>
        <w:spacing w:before="0" w:after="0"/>
      </w:pPr>
      <w:r>
        <w:continuationSeparator/>
      </w:r>
    </w:p>
  </w:endnote>
  <w:endnote w:type="continuationNotice" w:id="1">
    <w:p w14:paraId="3A8C8974" w14:textId="77777777" w:rsidR="00A93779" w:rsidRDefault="00A937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4E647" w14:textId="77777777" w:rsidR="004131CF" w:rsidRDefault="004131CF" w:rsidP="003C24B4">
    <w:pPr>
      <w:pStyle w:val="FooterEven"/>
    </w:pPr>
    <w:r>
      <w:rPr>
        <w:noProof w:val="0"/>
      </w:rPr>
      <w:fldChar w:fldCharType="begin"/>
    </w:r>
    <w:r>
      <w:instrText xml:space="preserve"> PAGE   \* MERGEFORMAT </w:instrText>
    </w:r>
    <w:r>
      <w:rPr>
        <w:noProof w:val="0"/>
      </w:rPr>
      <w:fldChar w:fldCharType="separate"/>
    </w:r>
    <w:r w:rsidR="00A93779">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95CB9" w14:textId="77777777" w:rsidR="00A25F08" w:rsidRDefault="00A25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0FCE4" w14:textId="434E12EB" w:rsidR="000B225E" w:rsidRDefault="000B225E" w:rsidP="000B225E">
    <w:pPr>
      <w:pStyle w:val="FooterOdd"/>
    </w:pPr>
    <w:r>
      <w:fldChar w:fldCharType="begin"/>
    </w:r>
    <w:r>
      <w:instrText xml:space="preserve"> PAGE   \* MERGEFORMAT </w:instrText>
    </w:r>
    <w:r>
      <w:fldChar w:fldCharType="separate"/>
    </w:r>
    <w:r w:rsidR="00A25F08">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575A" w14:textId="576DD5E8" w:rsidR="004131CF" w:rsidRPr="00E77C89" w:rsidRDefault="004131CF" w:rsidP="009060E8">
    <w:pPr>
      <w:pStyle w:val="FooterOdd"/>
    </w:pPr>
    <w:r>
      <w:fldChar w:fldCharType="begin"/>
    </w:r>
    <w:r>
      <w:instrText xml:space="preserve"> PAGE  \* Arabic  \* MERGEFORMAT </w:instrText>
    </w:r>
    <w:r>
      <w:fldChar w:fldCharType="separate"/>
    </w:r>
    <w:r w:rsidR="000B225E">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2FB14" w14:textId="156F2531" w:rsidR="004131CF" w:rsidRDefault="004131CF" w:rsidP="006C5B73">
    <w:pPr>
      <w:pStyle w:val="FooterOdd"/>
    </w:pPr>
    <w:r>
      <w:fldChar w:fldCharType="begin"/>
    </w:r>
    <w:r>
      <w:instrText xml:space="preserve"> PAGE   \* MERGEFORMAT </w:instrText>
    </w:r>
    <w:r>
      <w:fldChar w:fldCharType="separate"/>
    </w:r>
    <w:r w:rsidR="00A25F08">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81E1E" w14:textId="77777777" w:rsidR="004131CF" w:rsidRDefault="00413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4C0B8" w14:textId="77777777" w:rsidR="00A93779" w:rsidRDefault="00A93779">
      <w:pPr>
        <w:spacing w:before="0" w:after="0"/>
      </w:pPr>
      <w:r>
        <w:separator/>
      </w:r>
    </w:p>
  </w:footnote>
  <w:footnote w:type="continuationSeparator" w:id="0">
    <w:p w14:paraId="49DA86C9" w14:textId="77777777" w:rsidR="00A93779" w:rsidRDefault="00A93779">
      <w:pPr>
        <w:spacing w:before="0" w:after="0"/>
      </w:pPr>
      <w:r>
        <w:continuationSeparator/>
      </w:r>
    </w:p>
  </w:footnote>
  <w:footnote w:type="continuationNotice" w:id="1">
    <w:p w14:paraId="264075EA" w14:textId="77777777" w:rsidR="00A93779" w:rsidRDefault="00A9377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4B225" w14:textId="77777777" w:rsidR="00A25F08" w:rsidRDefault="00A25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CD047" w14:textId="77777777" w:rsidR="004131CF" w:rsidRDefault="00C067E2" w:rsidP="00D8620B">
    <w:pPr>
      <w:pStyle w:val="Header"/>
      <w:spacing w:before="1080"/>
    </w:pPr>
    <w:r>
      <w:rPr>
        <w:noProof/>
      </w:rPr>
      <w:drawing>
        <wp:inline distT="0" distB="0" distL="0" distR="0" wp14:anchorId="6850AC2C" wp14:editId="79E9F3BD">
          <wp:extent cx="2203708" cy="53644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4C093" w14:textId="77777777" w:rsidR="00A25F08" w:rsidRDefault="00A25F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48D7" w14:textId="77777777" w:rsidR="004131CF" w:rsidRPr="005D78BE" w:rsidRDefault="004131CF" w:rsidP="005D78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EDE1" w14:textId="77777777" w:rsidR="004131CF" w:rsidRPr="00A93779" w:rsidRDefault="004131CF" w:rsidP="00A937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4FA56" w14:textId="77777777" w:rsidR="004131CF" w:rsidRPr="005D78BE" w:rsidRDefault="004131CF" w:rsidP="005D78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589F" w14:textId="77777777" w:rsidR="004131CF" w:rsidRDefault="00413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72F8140E"/>
    <w:numStyleLink w:val="OutlineList"/>
  </w:abstractNum>
  <w:abstractNum w:abstractNumId="13" w15:restartNumberingAfterBreak="0">
    <w:nsid w:val="5DF71FF7"/>
    <w:multiLevelType w:val="multilevel"/>
    <w:tmpl w:val="C6FAFD1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14"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4534A8"/>
    <w:multiLevelType w:val="hybridMultilevel"/>
    <w:tmpl w:val="AD40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8"/>
  </w:num>
  <w:num w:numId="2">
    <w:abstractNumId w:val="0"/>
  </w:num>
  <w:num w:numId="3">
    <w:abstractNumId w:val="10"/>
  </w:num>
  <w:num w:numId="4">
    <w:abstractNumId w:val="2"/>
  </w:num>
  <w:num w:numId="5">
    <w:abstractNumId w:val="3"/>
  </w:num>
  <w:num w:numId="6">
    <w:abstractNumId w:val="12"/>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7"/>
  </w:num>
  <w:num w:numId="11">
    <w:abstractNumId w:val="17"/>
  </w:num>
  <w:num w:numId="12">
    <w:abstractNumId w:val="12"/>
  </w:num>
  <w:num w:numId="13">
    <w:abstractNumId w:val="18"/>
  </w:num>
  <w:num w:numId="14">
    <w:abstractNumId w:val="11"/>
  </w:num>
  <w:num w:numId="15">
    <w:abstractNumId w:val="6"/>
  </w:num>
  <w:num w:numId="16">
    <w:abstractNumId w:val="14"/>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5"/>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79"/>
    <w:rsid w:val="00011725"/>
    <w:rsid w:val="00012C62"/>
    <w:rsid w:val="000138B5"/>
    <w:rsid w:val="00022440"/>
    <w:rsid w:val="0002544D"/>
    <w:rsid w:val="00031411"/>
    <w:rsid w:val="0004274D"/>
    <w:rsid w:val="00043348"/>
    <w:rsid w:val="0004483F"/>
    <w:rsid w:val="00044C63"/>
    <w:rsid w:val="0005138B"/>
    <w:rsid w:val="000522B7"/>
    <w:rsid w:val="00056880"/>
    <w:rsid w:val="00057304"/>
    <w:rsid w:val="000675D1"/>
    <w:rsid w:val="00073521"/>
    <w:rsid w:val="000749A6"/>
    <w:rsid w:val="000775DE"/>
    <w:rsid w:val="00087FAF"/>
    <w:rsid w:val="000B225E"/>
    <w:rsid w:val="000C571D"/>
    <w:rsid w:val="000C5F40"/>
    <w:rsid w:val="000D3584"/>
    <w:rsid w:val="000E0B74"/>
    <w:rsid w:val="000E465B"/>
    <w:rsid w:val="000E7901"/>
    <w:rsid w:val="001219B3"/>
    <w:rsid w:val="00131DC3"/>
    <w:rsid w:val="00135E4C"/>
    <w:rsid w:val="001373F5"/>
    <w:rsid w:val="001606CF"/>
    <w:rsid w:val="0016128D"/>
    <w:rsid w:val="0017089D"/>
    <w:rsid w:val="0019101A"/>
    <w:rsid w:val="001972D2"/>
    <w:rsid w:val="001A479D"/>
    <w:rsid w:val="001C358D"/>
    <w:rsid w:val="001E3996"/>
    <w:rsid w:val="001F02A4"/>
    <w:rsid w:val="001F1B27"/>
    <w:rsid w:val="00221EC0"/>
    <w:rsid w:val="00231049"/>
    <w:rsid w:val="002314D2"/>
    <w:rsid w:val="0023305C"/>
    <w:rsid w:val="002372BC"/>
    <w:rsid w:val="002407A3"/>
    <w:rsid w:val="00241881"/>
    <w:rsid w:val="0024294C"/>
    <w:rsid w:val="0025652F"/>
    <w:rsid w:val="00263B6C"/>
    <w:rsid w:val="002700FB"/>
    <w:rsid w:val="00272939"/>
    <w:rsid w:val="0027590B"/>
    <w:rsid w:val="00285969"/>
    <w:rsid w:val="00292CB2"/>
    <w:rsid w:val="002A5782"/>
    <w:rsid w:val="002A74EF"/>
    <w:rsid w:val="002B3829"/>
    <w:rsid w:val="002C22EF"/>
    <w:rsid w:val="002E4239"/>
    <w:rsid w:val="002E454C"/>
    <w:rsid w:val="002F617F"/>
    <w:rsid w:val="00300109"/>
    <w:rsid w:val="0030300C"/>
    <w:rsid w:val="0030408A"/>
    <w:rsid w:val="00306894"/>
    <w:rsid w:val="003122F4"/>
    <w:rsid w:val="003268D5"/>
    <w:rsid w:val="0033100A"/>
    <w:rsid w:val="003448F6"/>
    <w:rsid w:val="00350759"/>
    <w:rsid w:val="00354AFB"/>
    <w:rsid w:val="00354B61"/>
    <w:rsid w:val="00354D27"/>
    <w:rsid w:val="0035738A"/>
    <w:rsid w:val="003858A6"/>
    <w:rsid w:val="00392DCC"/>
    <w:rsid w:val="003A5B36"/>
    <w:rsid w:val="003C24B4"/>
    <w:rsid w:val="003E20D6"/>
    <w:rsid w:val="003E4D87"/>
    <w:rsid w:val="00401082"/>
    <w:rsid w:val="004131CF"/>
    <w:rsid w:val="00416762"/>
    <w:rsid w:val="00416E55"/>
    <w:rsid w:val="0042518A"/>
    <w:rsid w:val="00427E71"/>
    <w:rsid w:val="00445265"/>
    <w:rsid w:val="004559CE"/>
    <w:rsid w:val="00460E1A"/>
    <w:rsid w:val="0046140F"/>
    <w:rsid w:val="00463DF8"/>
    <w:rsid w:val="00475085"/>
    <w:rsid w:val="00476CF6"/>
    <w:rsid w:val="00477AA8"/>
    <w:rsid w:val="0049281C"/>
    <w:rsid w:val="00492FCB"/>
    <w:rsid w:val="00497ABD"/>
    <w:rsid w:val="004A0F11"/>
    <w:rsid w:val="004A3EAA"/>
    <w:rsid w:val="004A7D97"/>
    <w:rsid w:val="004B5133"/>
    <w:rsid w:val="004B5F92"/>
    <w:rsid w:val="004C41B6"/>
    <w:rsid w:val="004D4D7E"/>
    <w:rsid w:val="004D6E37"/>
    <w:rsid w:val="004E00EA"/>
    <w:rsid w:val="004F4B92"/>
    <w:rsid w:val="00516785"/>
    <w:rsid w:val="0052419D"/>
    <w:rsid w:val="005301F8"/>
    <w:rsid w:val="005312FC"/>
    <w:rsid w:val="0053569E"/>
    <w:rsid w:val="0053603D"/>
    <w:rsid w:val="0053742A"/>
    <w:rsid w:val="00537C85"/>
    <w:rsid w:val="005403C0"/>
    <w:rsid w:val="00541D29"/>
    <w:rsid w:val="0056171D"/>
    <w:rsid w:val="00562F17"/>
    <w:rsid w:val="0056582C"/>
    <w:rsid w:val="005868DE"/>
    <w:rsid w:val="00594A99"/>
    <w:rsid w:val="005966B7"/>
    <w:rsid w:val="005A462A"/>
    <w:rsid w:val="005B435E"/>
    <w:rsid w:val="005B5E2A"/>
    <w:rsid w:val="005C02A4"/>
    <w:rsid w:val="005C20D2"/>
    <w:rsid w:val="005C32FE"/>
    <w:rsid w:val="005D024A"/>
    <w:rsid w:val="005D2F63"/>
    <w:rsid w:val="005D4FD4"/>
    <w:rsid w:val="005D66F4"/>
    <w:rsid w:val="005D6D64"/>
    <w:rsid w:val="005D78BE"/>
    <w:rsid w:val="005E17DC"/>
    <w:rsid w:val="006014D2"/>
    <w:rsid w:val="00601650"/>
    <w:rsid w:val="00605AFD"/>
    <w:rsid w:val="006123D4"/>
    <w:rsid w:val="0061445B"/>
    <w:rsid w:val="00621493"/>
    <w:rsid w:val="00624C4B"/>
    <w:rsid w:val="00631902"/>
    <w:rsid w:val="00661588"/>
    <w:rsid w:val="00682677"/>
    <w:rsid w:val="00685CF7"/>
    <w:rsid w:val="00686165"/>
    <w:rsid w:val="00691CB5"/>
    <w:rsid w:val="006A37F5"/>
    <w:rsid w:val="006C1892"/>
    <w:rsid w:val="006C5B73"/>
    <w:rsid w:val="006C645D"/>
    <w:rsid w:val="006E3CC3"/>
    <w:rsid w:val="00702E19"/>
    <w:rsid w:val="007042A8"/>
    <w:rsid w:val="00706E8E"/>
    <w:rsid w:val="00722B53"/>
    <w:rsid w:val="00736270"/>
    <w:rsid w:val="00737069"/>
    <w:rsid w:val="007509DD"/>
    <w:rsid w:val="00763474"/>
    <w:rsid w:val="00766EAF"/>
    <w:rsid w:val="0077504E"/>
    <w:rsid w:val="00780F39"/>
    <w:rsid w:val="00784C0A"/>
    <w:rsid w:val="00794B40"/>
    <w:rsid w:val="007A1079"/>
    <w:rsid w:val="007A3927"/>
    <w:rsid w:val="007B76AB"/>
    <w:rsid w:val="007D0E90"/>
    <w:rsid w:val="007D183D"/>
    <w:rsid w:val="007D4BDA"/>
    <w:rsid w:val="007D4E1E"/>
    <w:rsid w:val="007D592B"/>
    <w:rsid w:val="007D5AA6"/>
    <w:rsid w:val="007D7A91"/>
    <w:rsid w:val="007E24FD"/>
    <w:rsid w:val="007E5EF3"/>
    <w:rsid w:val="007E6456"/>
    <w:rsid w:val="007F5B01"/>
    <w:rsid w:val="008031B7"/>
    <w:rsid w:val="00811943"/>
    <w:rsid w:val="00813DF2"/>
    <w:rsid w:val="008311B8"/>
    <w:rsid w:val="00834243"/>
    <w:rsid w:val="00843BB9"/>
    <w:rsid w:val="00857969"/>
    <w:rsid w:val="0087211C"/>
    <w:rsid w:val="00882CC4"/>
    <w:rsid w:val="00886399"/>
    <w:rsid w:val="008C7F71"/>
    <w:rsid w:val="008D339F"/>
    <w:rsid w:val="008E3527"/>
    <w:rsid w:val="008E6292"/>
    <w:rsid w:val="009060E8"/>
    <w:rsid w:val="00917815"/>
    <w:rsid w:val="0092002E"/>
    <w:rsid w:val="00925AA5"/>
    <w:rsid w:val="00926443"/>
    <w:rsid w:val="009308B6"/>
    <w:rsid w:val="0093540D"/>
    <w:rsid w:val="0094019D"/>
    <w:rsid w:val="00942C11"/>
    <w:rsid w:val="0094351F"/>
    <w:rsid w:val="00947169"/>
    <w:rsid w:val="009547F8"/>
    <w:rsid w:val="009570EC"/>
    <w:rsid w:val="0096255E"/>
    <w:rsid w:val="009729D4"/>
    <w:rsid w:val="009817B0"/>
    <w:rsid w:val="009821CE"/>
    <w:rsid w:val="0099242E"/>
    <w:rsid w:val="009A012D"/>
    <w:rsid w:val="009A277C"/>
    <w:rsid w:val="009A658F"/>
    <w:rsid w:val="009C009A"/>
    <w:rsid w:val="009E171B"/>
    <w:rsid w:val="00A015E8"/>
    <w:rsid w:val="00A07D47"/>
    <w:rsid w:val="00A12F62"/>
    <w:rsid w:val="00A14FE9"/>
    <w:rsid w:val="00A22F34"/>
    <w:rsid w:val="00A238E5"/>
    <w:rsid w:val="00A25F08"/>
    <w:rsid w:val="00A268E4"/>
    <w:rsid w:val="00A319FE"/>
    <w:rsid w:val="00A3749B"/>
    <w:rsid w:val="00A37D87"/>
    <w:rsid w:val="00A50D88"/>
    <w:rsid w:val="00A56923"/>
    <w:rsid w:val="00A62E42"/>
    <w:rsid w:val="00A64A71"/>
    <w:rsid w:val="00A72960"/>
    <w:rsid w:val="00A72D8F"/>
    <w:rsid w:val="00A91F9A"/>
    <w:rsid w:val="00A93401"/>
    <w:rsid w:val="00A93779"/>
    <w:rsid w:val="00A96E69"/>
    <w:rsid w:val="00AC3196"/>
    <w:rsid w:val="00AC351F"/>
    <w:rsid w:val="00AD1D33"/>
    <w:rsid w:val="00AD21EB"/>
    <w:rsid w:val="00AE2F90"/>
    <w:rsid w:val="00AE718E"/>
    <w:rsid w:val="00B0047E"/>
    <w:rsid w:val="00B03DD6"/>
    <w:rsid w:val="00B159BA"/>
    <w:rsid w:val="00B168C7"/>
    <w:rsid w:val="00B3583B"/>
    <w:rsid w:val="00B36A4C"/>
    <w:rsid w:val="00B37A8F"/>
    <w:rsid w:val="00B60CC1"/>
    <w:rsid w:val="00B65347"/>
    <w:rsid w:val="00B7518E"/>
    <w:rsid w:val="00B75C80"/>
    <w:rsid w:val="00B83734"/>
    <w:rsid w:val="00B87927"/>
    <w:rsid w:val="00BA1627"/>
    <w:rsid w:val="00BA70BC"/>
    <w:rsid w:val="00BD26AA"/>
    <w:rsid w:val="00BD454F"/>
    <w:rsid w:val="00C01DCC"/>
    <w:rsid w:val="00C067E2"/>
    <w:rsid w:val="00C14F23"/>
    <w:rsid w:val="00C154DE"/>
    <w:rsid w:val="00C1777F"/>
    <w:rsid w:val="00C202B3"/>
    <w:rsid w:val="00C2187E"/>
    <w:rsid w:val="00C21EE0"/>
    <w:rsid w:val="00C30297"/>
    <w:rsid w:val="00C42E66"/>
    <w:rsid w:val="00C52A1C"/>
    <w:rsid w:val="00C72318"/>
    <w:rsid w:val="00C724E6"/>
    <w:rsid w:val="00C747A5"/>
    <w:rsid w:val="00C85314"/>
    <w:rsid w:val="00CA0116"/>
    <w:rsid w:val="00CA1C96"/>
    <w:rsid w:val="00CA4BC0"/>
    <w:rsid w:val="00CA5CA8"/>
    <w:rsid w:val="00CB0157"/>
    <w:rsid w:val="00CB5205"/>
    <w:rsid w:val="00CC559D"/>
    <w:rsid w:val="00CD654B"/>
    <w:rsid w:val="00CE223E"/>
    <w:rsid w:val="00CE3854"/>
    <w:rsid w:val="00CF3F0D"/>
    <w:rsid w:val="00D0414F"/>
    <w:rsid w:val="00D145F5"/>
    <w:rsid w:val="00D14F2A"/>
    <w:rsid w:val="00D34D6C"/>
    <w:rsid w:val="00D355F0"/>
    <w:rsid w:val="00D43AC8"/>
    <w:rsid w:val="00D56113"/>
    <w:rsid w:val="00D602F4"/>
    <w:rsid w:val="00D833D9"/>
    <w:rsid w:val="00D83BD9"/>
    <w:rsid w:val="00D8620B"/>
    <w:rsid w:val="00D94DCF"/>
    <w:rsid w:val="00D94EAE"/>
    <w:rsid w:val="00DA586F"/>
    <w:rsid w:val="00DB08DA"/>
    <w:rsid w:val="00DB3B11"/>
    <w:rsid w:val="00DB7F09"/>
    <w:rsid w:val="00DC00E8"/>
    <w:rsid w:val="00DC1C56"/>
    <w:rsid w:val="00DC4756"/>
    <w:rsid w:val="00DC6379"/>
    <w:rsid w:val="00DE030A"/>
    <w:rsid w:val="00DE3C77"/>
    <w:rsid w:val="00DE53C0"/>
    <w:rsid w:val="00DF6F61"/>
    <w:rsid w:val="00E101C6"/>
    <w:rsid w:val="00E10E60"/>
    <w:rsid w:val="00E22D51"/>
    <w:rsid w:val="00E42654"/>
    <w:rsid w:val="00E50E7C"/>
    <w:rsid w:val="00E51545"/>
    <w:rsid w:val="00E51D9E"/>
    <w:rsid w:val="00E537D1"/>
    <w:rsid w:val="00E567E6"/>
    <w:rsid w:val="00E56971"/>
    <w:rsid w:val="00E61484"/>
    <w:rsid w:val="00E711D7"/>
    <w:rsid w:val="00E815E1"/>
    <w:rsid w:val="00E902B0"/>
    <w:rsid w:val="00E902E8"/>
    <w:rsid w:val="00EA23AC"/>
    <w:rsid w:val="00EA4E53"/>
    <w:rsid w:val="00EA7C3D"/>
    <w:rsid w:val="00EB359F"/>
    <w:rsid w:val="00EB67EA"/>
    <w:rsid w:val="00EB6878"/>
    <w:rsid w:val="00EC1E0E"/>
    <w:rsid w:val="00EC236D"/>
    <w:rsid w:val="00EC6B16"/>
    <w:rsid w:val="00EE1447"/>
    <w:rsid w:val="00EF145E"/>
    <w:rsid w:val="00EF2BBB"/>
    <w:rsid w:val="00F0082D"/>
    <w:rsid w:val="00F015AB"/>
    <w:rsid w:val="00F0355E"/>
    <w:rsid w:val="00F077E8"/>
    <w:rsid w:val="00F07C90"/>
    <w:rsid w:val="00F26A41"/>
    <w:rsid w:val="00F57BED"/>
    <w:rsid w:val="00F7613A"/>
    <w:rsid w:val="00F82746"/>
    <w:rsid w:val="00F8335D"/>
    <w:rsid w:val="00F836F9"/>
    <w:rsid w:val="00F845D7"/>
    <w:rsid w:val="00F92279"/>
    <w:rsid w:val="00FA67B3"/>
    <w:rsid w:val="00FB4D21"/>
    <w:rsid w:val="00FB762B"/>
    <w:rsid w:val="00FC4C5D"/>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E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F26A41"/>
    <w:pPr>
      <w:spacing w:before="240"/>
      <w:outlineLvl w:val="0"/>
    </w:pPr>
    <w:rPr>
      <w:b/>
      <w:bCs w:val="0"/>
      <w:color w:val="003150" w:themeColor="accent3"/>
      <w:sz w:val="40"/>
    </w:rPr>
  </w:style>
  <w:style w:type="paragraph" w:styleId="Heading2">
    <w:name w:val="heading 2"/>
    <w:basedOn w:val="HeadingBase"/>
    <w:next w:val="Normal"/>
    <w:link w:val="Heading2Char"/>
    <w:qFormat/>
    <w:rsid w:val="00F26A41"/>
    <w:pPr>
      <w:spacing w:before="360"/>
      <w:outlineLvl w:val="1"/>
    </w:pPr>
    <w:rPr>
      <w:bCs w:val="0"/>
      <w:iCs/>
      <w:color w:val="0084BC" w:themeColor="accent1"/>
      <w:sz w:val="32"/>
      <w:szCs w:val="28"/>
    </w:rPr>
  </w:style>
  <w:style w:type="paragraph" w:styleId="Heading3">
    <w:name w:val="heading 3"/>
    <w:basedOn w:val="HeadingBase"/>
    <w:next w:val="Normal"/>
    <w:link w:val="Heading3Char"/>
    <w:qFormat/>
    <w:rsid w:val="007F5B01"/>
    <w:pPr>
      <w:spacing w:before="240"/>
      <w:outlineLvl w:val="2"/>
    </w:pPr>
    <w:rPr>
      <w:bCs w:val="0"/>
      <w:color w:val="7F7F7F"/>
      <w:sz w:val="28"/>
      <w:szCs w:val="26"/>
    </w:rPr>
  </w:style>
  <w:style w:type="paragraph" w:styleId="Heading4">
    <w:name w:val="heading 4"/>
    <w:basedOn w:val="HeadingBase"/>
    <w:next w:val="Normal"/>
    <w:link w:val="Heading4Char"/>
    <w:qFormat/>
    <w:rsid w:val="007F5B01"/>
    <w:pPr>
      <w:outlineLvl w:val="3"/>
    </w:pPr>
    <w:rPr>
      <w:bCs w:val="0"/>
      <w:color w:val="396984"/>
      <w:sz w:val="24"/>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A41"/>
    <w:rPr>
      <w:rFonts w:ascii="Calibri" w:eastAsia="Times New Roman" w:hAnsi="Calibri" w:cs="Arial"/>
      <w:b/>
      <w:color w:val="003150" w:themeColor="accent3"/>
      <w:kern w:val="32"/>
      <w:sz w:val="40"/>
      <w:szCs w:val="36"/>
      <w:lang w:eastAsia="en-AU"/>
    </w:rPr>
  </w:style>
  <w:style w:type="character" w:customStyle="1" w:styleId="Heading2Char">
    <w:name w:val="Heading 2 Char"/>
    <w:basedOn w:val="DefaultParagraphFont"/>
    <w:link w:val="Heading2"/>
    <w:rsid w:val="00F26A41"/>
    <w:rPr>
      <w:rFonts w:ascii="Calibri" w:eastAsia="Times New Roman" w:hAnsi="Calibri" w:cs="Arial"/>
      <w:iCs/>
      <w:color w:val="0084BC" w:themeColor="accent1"/>
      <w:kern w:val="32"/>
      <w:sz w:val="32"/>
      <w:szCs w:val="28"/>
      <w:lang w:eastAsia="en-AU"/>
    </w:rPr>
  </w:style>
  <w:style w:type="character" w:customStyle="1" w:styleId="Heading3Char">
    <w:name w:val="Heading 3 Char"/>
    <w:basedOn w:val="DefaultParagraphFont"/>
    <w:link w:val="Heading3"/>
    <w:rsid w:val="007F5B01"/>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7F5B01"/>
    <w:rPr>
      <w:rFonts w:ascii="Calibri" w:eastAsia="Times New Roman" w:hAnsi="Calibri" w:cs="Arial"/>
      <w:color w:val="396984"/>
      <w:kern w:val="32"/>
      <w:sz w:val="24"/>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qFormat/>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87211C"/>
    <w:pPr>
      <w:keepNext/>
      <w:spacing w:before="1080" w:after="360"/>
      <w:jc w:val="right"/>
    </w:pPr>
    <w:rPr>
      <w:color w:val="0084BC" w:themeColor="accent1"/>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87211C"/>
    <w:pPr>
      <w:keepNext/>
      <w:tabs>
        <w:tab w:val="clear" w:pos="4513"/>
        <w:tab w:val="clear" w:pos="9026"/>
      </w:tabs>
      <w:jc w:val="left"/>
    </w:pPr>
    <w:rPr>
      <w:noProof/>
      <w:color w:val="0084BC" w:themeColor="accent1"/>
    </w:rPr>
  </w:style>
  <w:style w:type="paragraph" w:customStyle="1" w:styleId="FooterOdd">
    <w:name w:val="Footer Odd"/>
    <w:basedOn w:val="Footer"/>
    <w:rsid w:val="0087211C"/>
    <w:pPr>
      <w:keepNext/>
      <w:tabs>
        <w:tab w:val="clear" w:pos="4513"/>
        <w:tab w:val="clear" w:pos="9026"/>
      </w:tabs>
      <w:jc w:val="right"/>
    </w:pPr>
    <w:rPr>
      <w:color w:val="0084BC" w:themeColor="accent1"/>
    </w:rPr>
  </w:style>
  <w:style w:type="character" w:styleId="Hyperlink">
    <w:name w:val="Hyperlink"/>
    <w:basedOn w:val="DefaultParagraphFont"/>
    <w:uiPriority w:val="99"/>
    <w:rsid w:val="00FC4C5D"/>
    <w:rPr>
      <w:color w:val="396984"/>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7F5B01"/>
    <w:pPr>
      <w:keepNext/>
      <w:spacing w:before="0" w:after="20"/>
    </w:pPr>
    <w:rPr>
      <w:b/>
      <w:color w:val="396984"/>
    </w:rPr>
  </w:style>
  <w:style w:type="paragraph" w:customStyle="1" w:styleId="TableColumnHeadingCentred">
    <w:name w:val="Table Column Heading Centred"/>
    <w:basedOn w:val="TableTextLeft"/>
    <w:rsid w:val="002700FB"/>
    <w:pPr>
      <w:jc w:val="center"/>
    </w:pPr>
    <w:rPr>
      <w:b/>
      <w:color w:val="FFFFFF" w:themeColor="background1"/>
      <w:sz w:val="24"/>
    </w:rPr>
  </w:style>
  <w:style w:type="paragraph" w:customStyle="1" w:styleId="TableColumnHeadingLeft">
    <w:name w:val="Table Column Heading Left"/>
    <w:basedOn w:val="TableTextLeft"/>
    <w:rsid w:val="002700FB"/>
    <w:rPr>
      <w:b/>
      <w:color w:val="FFFFFF" w:themeColor="background1"/>
      <w:sz w:val="24"/>
    </w:rPr>
  </w:style>
  <w:style w:type="paragraph" w:customStyle="1" w:styleId="TableColumnHeadingRight">
    <w:name w:val="Table Column Heading Right"/>
    <w:basedOn w:val="TableTextLeft"/>
    <w:rsid w:val="002700FB"/>
    <w:pPr>
      <w:jc w:val="right"/>
    </w:pPr>
    <w:rPr>
      <w:b/>
      <w:color w:val="FFFFFF" w:themeColor="background1"/>
      <w:sz w:val="24"/>
    </w:rPr>
  </w:style>
  <w:style w:type="table" w:styleId="TableGrid">
    <w:name w:val="Table Grid"/>
    <w:basedOn w:val="TableNormal"/>
    <w:rsid w:val="002700FB"/>
    <w:pPr>
      <w:spacing w:before="120" w:after="120" w:line="240" w:lineRule="auto"/>
    </w:pPr>
    <w:rPr>
      <w:rFonts w:eastAsia="Times New Roman" w:cs="Times New Roman"/>
      <w:szCs w:val="20"/>
      <w:lang w:eastAsia="en-AU"/>
    </w:rPr>
    <w:tblPr>
      <w:tblBorders>
        <w:top w:val="single" w:sz="4" w:space="0" w:color="396984"/>
        <w:left w:val="single" w:sz="4" w:space="0" w:color="396984"/>
        <w:bottom w:val="single" w:sz="4" w:space="0" w:color="396984"/>
        <w:right w:val="single" w:sz="4" w:space="0" w:color="396984"/>
        <w:insideH w:val="single" w:sz="4" w:space="0" w:color="396984"/>
        <w:insideV w:val="single" w:sz="4" w:space="0" w:color="396984"/>
      </w:tblBorders>
    </w:tblPr>
    <w:tcPr>
      <w:shd w:val="clear" w:color="auto" w:fill="auto"/>
    </w:tcPr>
    <w:tblStylePr w:type="firstRow">
      <w:pPr>
        <w:jc w:val="left"/>
      </w:pPr>
      <w:rPr>
        <w:rFonts w:asciiTheme="minorHAnsi" w:hAnsiTheme="minorHAnsi"/>
        <w:b/>
        <w:color w:val="FFFFFF" w:themeColor="background1"/>
        <w:sz w:val="24"/>
      </w:rPr>
      <w:tblPr/>
      <w:tcPr>
        <w:shd w:val="clear" w:color="auto" w:fill="396984"/>
        <w:vAlign w:val="center"/>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7F5B01"/>
    <w:pPr>
      <w:jc w:val="left"/>
    </w:pPr>
  </w:style>
  <w:style w:type="paragraph" w:customStyle="1" w:styleId="TableTextRight">
    <w:name w:val="Table Text Right"/>
    <w:basedOn w:val="Normal"/>
    <w:rsid w:val="007F5B01"/>
    <w:pPr>
      <w:spacing w:before="40" w:after="40"/>
      <w:jc w:val="right"/>
    </w:pPr>
    <w:rPr>
      <w:color w:val="000000"/>
      <w:sz w:val="20"/>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87211C"/>
    <w:pPr>
      <w:spacing w:before="0"/>
      <w:contextualSpacing/>
      <w:jc w:val="right"/>
    </w:pPr>
    <w:rPr>
      <w:rFonts w:eastAsiaTheme="majorEastAsia" w:cstheme="majorBidi"/>
      <w:b/>
      <w:caps/>
      <w:color w:val="003150" w:themeColor="accent3"/>
      <w:spacing w:val="5"/>
      <w:kern w:val="28"/>
      <w:sz w:val="52"/>
      <w:szCs w:val="68"/>
    </w:rPr>
  </w:style>
  <w:style w:type="character" w:customStyle="1" w:styleId="TitleChar">
    <w:name w:val="Title Char"/>
    <w:basedOn w:val="DefaultParagraphFont"/>
    <w:link w:val="Title"/>
    <w:uiPriority w:val="10"/>
    <w:rsid w:val="0087211C"/>
    <w:rPr>
      <w:rFonts w:ascii="Calibri" w:eastAsiaTheme="majorEastAsia" w:hAnsi="Calibri" w:cstheme="majorBidi"/>
      <w:b/>
      <w:caps/>
      <w:color w:val="003150" w:themeColor="accent3"/>
      <w:spacing w:val="5"/>
      <w:kern w:val="28"/>
      <w:sz w:val="52"/>
      <w:szCs w:val="68"/>
      <w:lang w:eastAsia="en-AU"/>
    </w:rPr>
  </w:style>
  <w:style w:type="paragraph" w:styleId="Subtitle">
    <w:name w:val="Subtitle"/>
    <w:basedOn w:val="Normal"/>
    <w:next w:val="Normal"/>
    <w:link w:val="SubtitleChar"/>
    <w:uiPriority w:val="11"/>
    <w:qFormat/>
    <w:rsid w:val="00C067E2"/>
    <w:pPr>
      <w:numPr>
        <w:ilvl w:val="1"/>
      </w:numPr>
      <w:jc w:val="right"/>
    </w:pPr>
    <w:rPr>
      <w:rFonts w:eastAsiaTheme="majorEastAsia" w:cstheme="majorBidi"/>
      <w:iCs/>
      <w:color w:val="7F7F7F" w:themeColor="text1" w:themeTint="80"/>
      <w:sz w:val="32"/>
      <w:szCs w:val="44"/>
    </w:rPr>
  </w:style>
  <w:style w:type="character" w:customStyle="1" w:styleId="SubtitleChar">
    <w:name w:val="Subtitle Char"/>
    <w:basedOn w:val="DefaultParagraphFont"/>
    <w:link w:val="Subtitle"/>
    <w:uiPriority w:val="11"/>
    <w:rsid w:val="00C067E2"/>
    <w:rPr>
      <w:rFonts w:ascii="Calibri" w:eastAsiaTheme="majorEastAsia" w:hAnsi="Calibri" w:cstheme="majorBidi"/>
      <w:iCs/>
      <w:color w:val="7F7F7F" w:themeColor="text1" w:themeTint="80"/>
      <w:sz w:val="32"/>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FC4C5D"/>
    <w:pPr>
      <w:keepNext/>
      <w:spacing w:after="120" w:line="240" w:lineRule="auto"/>
    </w:pPr>
    <w:rPr>
      <w:rFonts w:ascii="Calibri" w:eastAsia="Times New Roman" w:hAnsi="Calibri" w:cs="Arial"/>
      <w:bCs/>
      <w:color w:val="2D4B6E"/>
      <w:kern w:val="32"/>
      <w:sz w:val="48"/>
      <w:szCs w:val="36"/>
      <w:lang w:eastAsia="en-AU"/>
    </w:rPr>
  </w:style>
  <w:style w:type="character" w:customStyle="1" w:styleId="ReportDateChar">
    <w:name w:val="Report Date Char"/>
    <w:basedOn w:val="DefaultParagraphFont"/>
    <w:link w:val="ReportDate"/>
    <w:rsid w:val="0087211C"/>
    <w:rPr>
      <w:rFonts w:ascii="Calibri" w:eastAsia="Times New Roman" w:hAnsi="Calibri" w:cs="Times New Roman"/>
      <w:color w:val="0084BC" w:themeColor="accent1"/>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000000"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000000" w:themeColor="text2"/>
      <w:sz w:val="36"/>
      <w:szCs w:val="36"/>
    </w:rPr>
  </w:style>
  <w:style w:type="paragraph" w:customStyle="1" w:styleId="Divider">
    <w:name w:val="Divider"/>
    <w:basedOn w:val="ReportDate"/>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87211C"/>
    <w:pPr>
      <w:jc w:val="left"/>
    </w:pPr>
    <w:rPr>
      <w:color w:val="0084BC" w:themeColor="accent1"/>
    </w:rPr>
  </w:style>
  <w:style w:type="paragraph" w:customStyle="1" w:styleId="HeaderOdd">
    <w:name w:val="Header Odd"/>
    <w:basedOn w:val="Header"/>
    <w:qFormat/>
    <w:rsid w:val="00F26A41"/>
    <w:rPr>
      <w:color w:val="0084BC" w:themeColor="accent1"/>
    </w:rPr>
  </w:style>
  <w:style w:type="paragraph" w:styleId="FootnoteText">
    <w:name w:val="footnote text"/>
    <w:basedOn w:val="Normal"/>
    <w:link w:val="FootnoteTextChar"/>
    <w:uiPriority w:val="99"/>
    <w:rsid w:val="002700FB"/>
    <w:pPr>
      <w:tabs>
        <w:tab w:val="left" w:pos="284"/>
      </w:tabs>
      <w:spacing w:before="0" w:after="0"/>
    </w:pPr>
    <w:rPr>
      <w:sz w:val="20"/>
    </w:rPr>
  </w:style>
  <w:style w:type="character" w:customStyle="1" w:styleId="FootnoteTextChar">
    <w:name w:val="Footnote Text Char"/>
    <w:basedOn w:val="DefaultParagraphFont"/>
    <w:link w:val="FootnoteText"/>
    <w:uiPriority w:val="99"/>
    <w:rsid w:val="002700FB"/>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2700FB"/>
    <w:rPr>
      <w:rFonts w:ascii="Calibri" w:hAnsi="Calibri"/>
      <w:sz w:val="20"/>
      <w:vertAlign w:val="baseline"/>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NoSpacing">
    <w:name w:val="No Spacing"/>
    <w:uiPriority w:val="1"/>
    <w:qFormat/>
    <w:rsid w:val="00AE718E"/>
    <w:pPr>
      <w:spacing w:after="0" w:line="240" w:lineRule="auto"/>
    </w:pPr>
    <w:rPr>
      <w:rFonts w:ascii="Calibri" w:eastAsia="Times New Roman" w:hAnsi="Calibri" w:cs="Times New Roman"/>
      <w:szCs w:val="20"/>
      <w:lang w:eastAsia="en-AU"/>
    </w:rPr>
  </w:style>
  <w:style w:type="paragraph" w:styleId="IntenseQuote">
    <w:name w:val="Intense Quote"/>
    <w:basedOn w:val="Normal"/>
    <w:next w:val="Normal"/>
    <w:link w:val="IntenseQuoteChar"/>
    <w:uiPriority w:val="30"/>
    <w:qFormat/>
    <w:rsid w:val="00AE718E"/>
    <w:pPr>
      <w:pBdr>
        <w:bottom w:val="single" w:sz="4" w:space="4" w:color="0084BC" w:themeColor="accent1"/>
      </w:pBdr>
      <w:spacing w:before="200" w:after="280"/>
      <w:ind w:left="936" w:right="936"/>
    </w:pPr>
    <w:rPr>
      <w:b/>
      <w:bCs/>
      <w:i/>
      <w:iCs/>
      <w:color w:val="0084BC" w:themeColor="accent1"/>
    </w:rPr>
  </w:style>
  <w:style w:type="character" w:customStyle="1" w:styleId="IntenseQuoteChar">
    <w:name w:val="Intense Quote Char"/>
    <w:basedOn w:val="DefaultParagraphFont"/>
    <w:link w:val="IntenseQuote"/>
    <w:uiPriority w:val="30"/>
    <w:rsid w:val="00AE718E"/>
    <w:rPr>
      <w:rFonts w:ascii="Calibri" w:eastAsia="Times New Roman" w:hAnsi="Calibri" w:cs="Times New Roman"/>
      <w:b/>
      <w:bCs/>
      <w:i/>
      <w:iCs/>
      <w:color w:val="0084BC" w:themeColor="accent1"/>
      <w:szCs w:val="20"/>
      <w:lang w:eastAsia="en-AU"/>
    </w:rPr>
  </w:style>
  <w:style w:type="character" w:styleId="IntenseEmphasis">
    <w:name w:val="Intense Emphasis"/>
    <w:basedOn w:val="DefaultParagraphFont"/>
    <w:uiPriority w:val="21"/>
    <w:qFormat/>
    <w:rsid w:val="00AE718E"/>
    <w:rPr>
      <w:b/>
      <w:bCs/>
      <w:i/>
      <w:iCs/>
      <w:color w:val="0084BC" w:themeColor="accent1"/>
    </w:rPr>
  </w:style>
  <w:style w:type="numbering" w:customStyle="1" w:styleId="Bulletlist">
    <w:name w:val="Bullet list"/>
    <w:uiPriority w:val="99"/>
    <w:rsid w:val="0030300C"/>
    <w:pPr>
      <w:numPr>
        <w:numId w:val="20"/>
      </w:numPr>
    </w:pPr>
  </w:style>
  <w:style w:type="character" w:customStyle="1" w:styleId="BulletChar">
    <w:name w:val="Bullet Char"/>
    <w:basedOn w:val="DefaultParagraphFont"/>
    <w:link w:val="Bullet"/>
    <w:rsid w:val="0030300C"/>
    <w:rPr>
      <w:rFonts w:ascii="Calibri" w:eastAsia="Times New Roman" w:hAnsi="Calibri" w:cs="Times New Roman"/>
      <w:szCs w:val="20"/>
      <w:lang w:eastAsia="en-AU"/>
    </w:rPr>
  </w:style>
  <w:style w:type="table" w:customStyle="1" w:styleId="LightList-Accent51">
    <w:name w:val="Light List - Accent 51"/>
    <w:basedOn w:val="TableNormal"/>
    <w:next w:val="LightList-Accent5"/>
    <w:uiPriority w:val="61"/>
    <w:rsid w:val="0030300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CommentReference">
    <w:name w:val="annotation reference"/>
    <w:basedOn w:val="DefaultParagraphFont"/>
    <w:uiPriority w:val="99"/>
    <w:semiHidden/>
    <w:unhideWhenUsed/>
    <w:rsid w:val="0030300C"/>
    <w:rPr>
      <w:sz w:val="16"/>
      <w:szCs w:val="16"/>
    </w:rPr>
  </w:style>
  <w:style w:type="paragraph" w:styleId="CommentText">
    <w:name w:val="annotation text"/>
    <w:basedOn w:val="Normal"/>
    <w:link w:val="CommentTextChar"/>
    <w:uiPriority w:val="99"/>
    <w:semiHidden/>
    <w:unhideWhenUsed/>
    <w:rsid w:val="0030300C"/>
    <w:rPr>
      <w:rFonts w:ascii="Arial" w:eastAsiaTheme="minorHAnsi" w:hAnsi="Arial" w:cstheme="minorBidi"/>
      <w:sz w:val="20"/>
      <w:lang w:eastAsia="en-US"/>
    </w:rPr>
  </w:style>
  <w:style w:type="character" w:customStyle="1" w:styleId="CommentTextChar">
    <w:name w:val="Comment Text Char"/>
    <w:basedOn w:val="DefaultParagraphFont"/>
    <w:link w:val="CommentText"/>
    <w:uiPriority w:val="99"/>
    <w:semiHidden/>
    <w:rsid w:val="0030300C"/>
    <w:rPr>
      <w:rFonts w:ascii="Arial" w:hAnsi="Arial"/>
      <w:sz w:val="20"/>
      <w:szCs w:val="20"/>
    </w:rPr>
  </w:style>
  <w:style w:type="table" w:styleId="LightList-Accent5">
    <w:name w:val="Light List Accent 5"/>
    <w:basedOn w:val="TableNormal"/>
    <w:uiPriority w:val="61"/>
    <w:rsid w:val="0030300C"/>
    <w:pPr>
      <w:spacing w:after="0" w:line="240" w:lineRule="auto"/>
    </w:pPr>
    <w:tblPr>
      <w:tblStyleRowBandSize w:val="1"/>
      <w:tblStyleColBandSize w:val="1"/>
      <w:tblBorders>
        <w:top w:val="single" w:sz="8" w:space="0" w:color="99CEE4" w:themeColor="accent5"/>
        <w:left w:val="single" w:sz="8" w:space="0" w:color="99CEE4" w:themeColor="accent5"/>
        <w:bottom w:val="single" w:sz="8" w:space="0" w:color="99CEE4" w:themeColor="accent5"/>
        <w:right w:val="single" w:sz="8" w:space="0" w:color="99CEE4" w:themeColor="accent5"/>
      </w:tblBorders>
    </w:tblPr>
    <w:tblStylePr w:type="firstRow">
      <w:pPr>
        <w:spacing w:before="0" w:after="0" w:line="240" w:lineRule="auto"/>
      </w:pPr>
      <w:rPr>
        <w:b/>
        <w:bCs/>
        <w:color w:val="FFFFFF" w:themeColor="background1"/>
      </w:rPr>
      <w:tblPr/>
      <w:tcPr>
        <w:shd w:val="clear" w:color="auto" w:fill="99CEE4" w:themeFill="accent5"/>
      </w:tcPr>
    </w:tblStylePr>
    <w:tblStylePr w:type="lastRow">
      <w:pPr>
        <w:spacing w:before="0" w:after="0" w:line="240" w:lineRule="auto"/>
      </w:pPr>
      <w:rPr>
        <w:b/>
        <w:bCs/>
      </w:rPr>
      <w:tblPr/>
      <w:tcPr>
        <w:tcBorders>
          <w:top w:val="double" w:sz="6" w:space="0" w:color="99CEE4" w:themeColor="accent5"/>
          <w:left w:val="single" w:sz="8" w:space="0" w:color="99CEE4" w:themeColor="accent5"/>
          <w:bottom w:val="single" w:sz="8" w:space="0" w:color="99CEE4" w:themeColor="accent5"/>
          <w:right w:val="single" w:sz="8" w:space="0" w:color="99CEE4" w:themeColor="accent5"/>
        </w:tcBorders>
      </w:tcPr>
    </w:tblStylePr>
    <w:tblStylePr w:type="firstCol">
      <w:rPr>
        <w:b/>
        <w:bCs/>
      </w:rPr>
    </w:tblStylePr>
    <w:tblStylePr w:type="lastCol">
      <w:rPr>
        <w:b/>
        <w:bCs/>
      </w:rPr>
    </w:tblStylePr>
    <w:tblStylePr w:type="band1Vert">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tblStylePr w:type="band1Horz">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style>
  <w:style w:type="paragraph" w:styleId="CommentSubject">
    <w:name w:val="annotation subject"/>
    <w:basedOn w:val="CommentText"/>
    <w:next w:val="CommentText"/>
    <w:link w:val="CommentSubjectChar"/>
    <w:uiPriority w:val="99"/>
    <w:semiHidden/>
    <w:unhideWhenUsed/>
    <w:rsid w:val="00C2187E"/>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C2187E"/>
    <w:rPr>
      <w:rFonts w:ascii="Calibri" w:eastAsia="Times New Roman" w:hAnsi="Calibri" w:cs="Times New Roman"/>
      <w:b/>
      <w:bCs/>
      <w:sz w:val="20"/>
      <w:szCs w:val="20"/>
      <w:lang w:eastAsia="en-AU"/>
    </w:rPr>
  </w:style>
  <w:style w:type="table" w:styleId="LightList-Accent3">
    <w:name w:val="Light List Accent 3"/>
    <w:basedOn w:val="TableNormal"/>
    <w:uiPriority w:val="61"/>
    <w:rsid w:val="007F5B01"/>
    <w:pPr>
      <w:spacing w:after="0" w:line="240" w:lineRule="auto"/>
    </w:pPr>
    <w:tblPr>
      <w:tblStyleRowBandSize w:val="1"/>
      <w:tblStyleColBandSize w:val="1"/>
      <w:tblBorders>
        <w:top w:val="single" w:sz="8" w:space="0" w:color="003150" w:themeColor="accent3"/>
        <w:left w:val="single" w:sz="8" w:space="0" w:color="003150" w:themeColor="accent3"/>
        <w:bottom w:val="single" w:sz="8" w:space="0" w:color="003150" w:themeColor="accent3"/>
        <w:right w:val="single" w:sz="8" w:space="0" w:color="003150" w:themeColor="accent3"/>
      </w:tblBorders>
    </w:tblPr>
    <w:tblStylePr w:type="firstRow">
      <w:pPr>
        <w:spacing w:before="0" w:after="0" w:line="240" w:lineRule="auto"/>
      </w:pPr>
      <w:rPr>
        <w:b/>
        <w:bCs/>
        <w:color w:val="FFFFFF" w:themeColor="background1"/>
      </w:rPr>
      <w:tblPr/>
      <w:tcPr>
        <w:shd w:val="clear" w:color="auto" w:fill="003150" w:themeFill="accent3"/>
      </w:tcPr>
    </w:tblStylePr>
    <w:tblStylePr w:type="lastRow">
      <w:pPr>
        <w:spacing w:before="0" w:after="0" w:line="240" w:lineRule="auto"/>
      </w:pPr>
      <w:rPr>
        <w:b/>
        <w:bCs/>
      </w:rPr>
      <w:tblPr/>
      <w:tcPr>
        <w:tcBorders>
          <w:top w:val="double" w:sz="6" w:space="0" w:color="003150" w:themeColor="accent3"/>
          <w:left w:val="single" w:sz="8" w:space="0" w:color="003150" w:themeColor="accent3"/>
          <w:bottom w:val="single" w:sz="8" w:space="0" w:color="003150" w:themeColor="accent3"/>
          <w:right w:val="single" w:sz="8" w:space="0" w:color="003150" w:themeColor="accent3"/>
        </w:tcBorders>
      </w:tcPr>
    </w:tblStylePr>
    <w:tblStylePr w:type="firstCol">
      <w:rPr>
        <w:b/>
        <w:bCs/>
      </w:rPr>
    </w:tblStylePr>
    <w:tblStylePr w:type="lastCol">
      <w:rPr>
        <w:b/>
        <w:bCs/>
      </w:rPr>
    </w:tblStylePr>
    <w:tblStylePr w:type="band1Vert">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tblStylePr w:type="band1Horz">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style>
  <w:style w:type="paragraph" w:styleId="TOCHeading">
    <w:name w:val="TOC Heading"/>
    <w:basedOn w:val="Heading1"/>
    <w:next w:val="Normal"/>
    <w:uiPriority w:val="39"/>
    <w:semiHidden/>
    <w:unhideWhenUsed/>
    <w:qFormat/>
    <w:rsid w:val="00661588"/>
    <w:pPr>
      <w:keepLines/>
      <w:spacing w:before="480" w:after="0" w:line="276" w:lineRule="auto"/>
      <w:outlineLvl w:val="9"/>
    </w:pPr>
    <w:rPr>
      <w:rFonts w:asciiTheme="majorHAnsi" w:eastAsiaTheme="majorEastAsia" w:hAnsiTheme="majorHAnsi" w:cstheme="majorBidi"/>
      <w:bCs/>
      <w:color w:val="00628C" w:themeColor="accent1" w:themeShade="BF"/>
      <w:kern w:val="0"/>
      <w:sz w:val="28"/>
      <w:szCs w:val="28"/>
      <w:lang w:val="en-US" w:eastAsia="ja-JP"/>
    </w:rPr>
  </w:style>
  <w:style w:type="paragraph" w:customStyle="1" w:styleId="RecommendationHedaing">
    <w:name w:val="Recommendation Hedaing"/>
    <w:basedOn w:val="Heading3"/>
    <w:qFormat/>
    <w:rsid w:val="002700FB"/>
    <w:rPr>
      <w:color w:val="396984"/>
      <w:sz w:val="24"/>
    </w:rPr>
  </w:style>
  <w:style w:type="character" w:customStyle="1" w:styleId="Bluebold">
    <w:name w:val="Blue bold"/>
    <w:basedOn w:val="DefaultParagraphFont"/>
    <w:uiPriority w:val="1"/>
    <w:qFormat/>
    <w:rsid w:val="002700FB"/>
    <w:rPr>
      <w:b/>
      <w:color w:val="3969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1631401037">
      <w:bodyDiv w:val="1"/>
      <w:marLeft w:val="0"/>
      <w:marRight w:val="0"/>
      <w:marTop w:val="0"/>
      <w:marBottom w:val="0"/>
      <w:divBdr>
        <w:top w:val="none" w:sz="0" w:space="0" w:color="auto"/>
        <w:left w:val="none" w:sz="0" w:space="0" w:color="auto"/>
        <w:bottom w:val="none" w:sz="0" w:space="0" w:color="auto"/>
        <w:right w:val="none" w:sz="0" w:space="0" w:color="auto"/>
      </w:divBdr>
      <w:divsChild>
        <w:div w:id="698698425">
          <w:marLeft w:val="1080"/>
          <w:marRight w:val="0"/>
          <w:marTop w:val="0"/>
          <w:marBottom w:val="0"/>
          <w:divBdr>
            <w:top w:val="none" w:sz="0" w:space="0" w:color="auto"/>
            <w:left w:val="none" w:sz="0" w:space="0" w:color="auto"/>
            <w:bottom w:val="none" w:sz="0" w:space="0" w:color="auto"/>
            <w:right w:val="none" w:sz="0" w:space="0" w:color="auto"/>
          </w:divBdr>
        </w:div>
        <w:div w:id="1895726735">
          <w:marLeft w:val="1080"/>
          <w:marRight w:val="0"/>
          <w:marTop w:val="0"/>
          <w:marBottom w:val="0"/>
          <w:divBdr>
            <w:top w:val="none" w:sz="0" w:space="0" w:color="auto"/>
            <w:left w:val="none" w:sz="0" w:space="0" w:color="auto"/>
            <w:bottom w:val="none" w:sz="0" w:space="0" w:color="auto"/>
            <w:right w:val="none" w:sz="0" w:space="0" w:color="auto"/>
          </w:divBdr>
        </w:div>
        <w:div w:id="1089698009">
          <w:marLeft w:val="1080"/>
          <w:marRight w:val="0"/>
          <w:marTop w:val="0"/>
          <w:marBottom w:val="0"/>
          <w:divBdr>
            <w:top w:val="none" w:sz="0" w:space="0" w:color="auto"/>
            <w:left w:val="none" w:sz="0" w:space="0" w:color="auto"/>
            <w:bottom w:val="none" w:sz="0" w:space="0" w:color="auto"/>
            <w:right w:val="none" w:sz="0" w:space="0" w:color="auto"/>
          </w:divBdr>
        </w:div>
        <w:div w:id="1444375799">
          <w:marLeft w:val="1080"/>
          <w:marRight w:val="0"/>
          <w:marTop w:val="0"/>
          <w:marBottom w:val="0"/>
          <w:divBdr>
            <w:top w:val="none" w:sz="0" w:space="0" w:color="auto"/>
            <w:left w:val="none" w:sz="0" w:space="0" w:color="auto"/>
            <w:bottom w:val="none" w:sz="0" w:space="0" w:color="auto"/>
            <w:right w:val="none" w:sz="0" w:space="0" w:color="auto"/>
          </w:divBdr>
        </w:div>
        <w:div w:id="2003317034">
          <w:marLeft w:val="1080"/>
          <w:marRight w:val="0"/>
          <w:marTop w:val="0"/>
          <w:marBottom w:val="0"/>
          <w:divBdr>
            <w:top w:val="none" w:sz="0" w:space="0" w:color="auto"/>
            <w:left w:val="none" w:sz="0" w:space="0" w:color="auto"/>
            <w:bottom w:val="none" w:sz="0" w:space="0" w:color="auto"/>
            <w:right w:val="none" w:sz="0" w:space="0" w:color="auto"/>
          </w:divBdr>
        </w:div>
        <w:div w:id="765031620">
          <w:marLeft w:val="1080"/>
          <w:marRight w:val="0"/>
          <w:marTop w:val="0"/>
          <w:marBottom w:val="0"/>
          <w:divBdr>
            <w:top w:val="none" w:sz="0" w:space="0" w:color="auto"/>
            <w:left w:val="none" w:sz="0" w:space="0" w:color="auto"/>
            <w:bottom w:val="none" w:sz="0" w:space="0" w:color="auto"/>
            <w:right w:val="none" w:sz="0" w:space="0" w:color="auto"/>
          </w:divBdr>
        </w:div>
        <w:div w:id="6357474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lossy - Health">
  <a:themeElements>
    <a:clrScheme name="Glossy - Health">
      <a:dk1>
        <a:sysClr val="windowText" lastClr="000000"/>
      </a:dk1>
      <a:lt1>
        <a:sysClr val="window" lastClr="FFFFFF"/>
      </a:lt1>
      <a:dk2>
        <a:srgbClr val="000000"/>
      </a:dk2>
      <a:lt2>
        <a:srgbClr val="EEECE1"/>
      </a:lt2>
      <a:accent1>
        <a:srgbClr val="0084BC"/>
      </a:accent1>
      <a:accent2>
        <a:srgbClr val="FCAF17"/>
      </a:accent2>
      <a:accent3>
        <a:srgbClr val="003150"/>
      </a:accent3>
      <a:accent4>
        <a:srgbClr val="808285"/>
      </a:accent4>
      <a:accent5>
        <a:srgbClr val="99CEE4"/>
      </a:accent5>
      <a:accent6>
        <a:srgbClr val="FEDFA2"/>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B5FDF-8A9B-4EA4-81A2-924AABBF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Government Response to the Australian Prudential Regulation Authority (APRA) Capability Review Report</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Australian Prudential Regulation Authority (APRA) Capability Review Report</dc:title>
  <dc:subject/>
  <dc:creator/>
  <cp:keywords/>
  <cp:lastModifiedBy/>
  <cp:revision>1</cp:revision>
  <dcterms:created xsi:type="dcterms:W3CDTF">2019-07-16T00:13:00Z</dcterms:created>
  <dcterms:modified xsi:type="dcterms:W3CDTF">2019-07-16T00:14:00Z</dcterms:modified>
</cp:coreProperties>
</file>