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15D552" w14:textId="1A142E8E" w:rsidR="00761C0E" w:rsidRDefault="00761C0E" w:rsidP="00761C0E">
      <w:pPr>
        <w:spacing w:after="0" w:line="240" w:lineRule="atLeast"/>
        <w:rPr>
          <w:rFonts w:ascii="Arial" w:hAnsi="Arial" w:cs="Arial"/>
          <w:sz w:val="24"/>
          <w:szCs w:val="24"/>
          <w:shd w:val="clear" w:color="auto" w:fill="FFFFFF"/>
        </w:rPr>
      </w:pPr>
      <w:r>
        <w:rPr>
          <w:rFonts w:ascii="Arial" w:hAnsi="Arial" w:cs="Arial"/>
          <w:sz w:val="24"/>
          <w:szCs w:val="24"/>
          <w:shd w:val="clear" w:color="auto" w:fill="FFFFFF"/>
        </w:rPr>
        <w:t>T</w:t>
      </w:r>
      <w:r w:rsidR="00BA4DBD" w:rsidRPr="00761C0E">
        <w:rPr>
          <w:rFonts w:ascii="Arial" w:hAnsi="Arial" w:cs="Arial"/>
          <w:sz w:val="24"/>
          <w:szCs w:val="24"/>
          <w:shd w:val="clear" w:color="auto" w:fill="FFFFFF"/>
        </w:rPr>
        <w:t xml:space="preserve">he Hon </w:t>
      </w:r>
      <w:r w:rsidR="00DE2073">
        <w:rPr>
          <w:rFonts w:ascii="Arial" w:hAnsi="Arial" w:cs="Arial"/>
          <w:sz w:val="24"/>
          <w:szCs w:val="24"/>
          <w:shd w:val="clear" w:color="auto" w:fill="FFFFFF"/>
        </w:rPr>
        <w:t>Josh Frydenberg</w:t>
      </w:r>
      <w:r w:rsidR="00BA4DBD" w:rsidRPr="00761C0E">
        <w:rPr>
          <w:rFonts w:ascii="Arial" w:hAnsi="Arial" w:cs="Arial"/>
          <w:sz w:val="24"/>
          <w:szCs w:val="24"/>
          <w:shd w:val="clear" w:color="auto" w:fill="FFFFFF"/>
        </w:rPr>
        <w:t xml:space="preserve"> MP</w:t>
      </w:r>
      <w:r>
        <w:rPr>
          <w:rFonts w:ascii="Arial" w:hAnsi="Arial" w:cs="Arial"/>
          <w:sz w:val="24"/>
          <w:szCs w:val="24"/>
          <w:shd w:val="clear" w:color="auto" w:fill="FFFFFF"/>
        </w:rPr>
        <w:t>, Treasurer</w:t>
      </w:r>
      <w:bookmarkStart w:id="0" w:name="_GoBack"/>
      <w:bookmarkEnd w:id="0"/>
    </w:p>
    <w:p w14:paraId="03A5B603" w14:textId="77777777" w:rsidR="005A3E06" w:rsidRPr="00761C0E" w:rsidRDefault="005A3E06" w:rsidP="00761C0E">
      <w:pPr>
        <w:spacing w:after="0" w:line="240" w:lineRule="atLeast"/>
        <w:rPr>
          <w:rFonts w:ascii="Arial" w:hAnsi="Arial" w:cs="Arial"/>
          <w:sz w:val="24"/>
          <w:szCs w:val="24"/>
        </w:rPr>
      </w:pPr>
      <w:r w:rsidRPr="00761C0E">
        <w:rPr>
          <w:rFonts w:ascii="Arial" w:hAnsi="Arial" w:cs="Arial"/>
          <w:bCs/>
          <w:sz w:val="24"/>
          <w:szCs w:val="24"/>
        </w:rPr>
        <w:t>Paul McCullough</w:t>
      </w:r>
      <w:r w:rsidR="00761C0E">
        <w:rPr>
          <w:rFonts w:ascii="Arial" w:hAnsi="Arial" w:cs="Arial"/>
          <w:sz w:val="24"/>
          <w:szCs w:val="24"/>
        </w:rPr>
        <w:t xml:space="preserve">, </w:t>
      </w:r>
      <w:r w:rsidRPr="00761C0E">
        <w:rPr>
          <w:rFonts w:ascii="Arial" w:hAnsi="Arial" w:cs="Arial"/>
          <w:sz w:val="24"/>
          <w:szCs w:val="24"/>
        </w:rPr>
        <w:t>First Assistant Secretary, Structural Reform Group</w:t>
      </w:r>
    </w:p>
    <w:p w14:paraId="07443117" w14:textId="77777777" w:rsidR="00761C0E" w:rsidRDefault="005A3E06" w:rsidP="00761C0E">
      <w:pPr>
        <w:spacing w:after="0" w:line="240" w:lineRule="atLeast"/>
        <w:rPr>
          <w:rFonts w:ascii="Arial" w:hAnsi="Arial" w:cs="Arial"/>
          <w:sz w:val="24"/>
          <w:szCs w:val="24"/>
        </w:rPr>
      </w:pPr>
      <w:r w:rsidRPr="00761C0E">
        <w:rPr>
          <w:rFonts w:ascii="Arial" w:hAnsi="Arial" w:cs="Arial"/>
          <w:sz w:val="24"/>
          <w:szCs w:val="24"/>
        </w:rPr>
        <w:t xml:space="preserve">The Treasury, </w:t>
      </w:r>
    </w:p>
    <w:p w14:paraId="5E1BE1F9" w14:textId="77777777" w:rsidR="005A3E06" w:rsidRPr="00761C0E" w:rsidRDefault="005A3E06" w:rsidP="00761C0E">
      <w:pPr>
        <w:spacing w:after="0" w:line="240" w:lineRule="atLeast"/>
        <w:rPr>
          <w:rFonts w:ascii="Arial" w:hAnsi="Arial" w:cs="Arial"/>
          <w:sz w:val="24"/>
          <w:szCs w:val="24"/>
        </w:rPr>
      </w:pPr>
      <w:r w:rsidRPr="00761C0E">
        <w:rPr>
          <w:rFonts w:ascii="Arial" w:hAnsi="Arial" w:cs="Arial"/>
          <w:sz w:val="24"/>
          <w:szCs w:val="24"/>
        </w:rPr>
        <w:t>Langton Crescent, Parkes ACT 2600</w:t>
      </w:r>
    </w:p>
    <w:p w14:paraId="6EB8E426" w14:textId="77777777" w:rsidR="00761C0E" w:rsidRDefault="00761C0E" w:rsidP="00761C0E">
      <w:pPr>
        <w:spacing w:after="0" w:line="240" w:lineRule="atLeast"/>
        <w:rPr>
          <w:rFonts w:ascii="Arial" w:hAnsi="Arial" w:cs="Arial"/>
          <w:sz w:val="24"/>
          <w:szCs w:val="24"/>
        </w:rPr>
      </w:pPr>
    </w:p>
    <w:p w14:paraId="461565B6" w14:textId="77777777" w:rsidR="006F6E77" w:rsidRPr="00761C0E" w:rsidRDefault="00BA4DBD" w:rsidP="00761C0E">
      <w:pPr>
        <w:spacing w:after="0" w:line="240" w:lineRule="atLeast"/>
        <w:rPr>
          <w:rFonts w:ascii="Arial" w:hAnsi="Arial" w:cs="Arial"/>
          <w:b/>
          <w:sz w:val="24"/>
          <w:szCs w:val="24"/>
        </w:rPr>
      </w:pPr>
      <w:r w:rsidRPr="00761C0E">
        <w:rPr>
          <w:rFonts w:ascii="Arial" w:hAnsi="Arial" w:cs="Arial"/>
          <w:b/>
          <w:sz w:val="24"/>
          <w:szCs w:val="24"/>
        </w:rPr>
        <w:t>By email: data@treasury.gov.au</w:t>
      </w:r>
    </w:p>
    <w:p w14:paraId="3DEBE423" w14:textId="77777777" w:rsidR="00DB6C0E" w:rsidRDefault="00DB6C0E">
      <w:pPr>
        <w:rPr>
          <w:rFonts w:ascii="Arial" w:hAnsi="Arial" w:cs="Arial"/>
        </w:rPr>
      </w:pPr>
    </w:p>
    <w:p w14:paraId="1D9BF792" w14:textId="77777777" w:rsidR="00DB6C0E" w:rsidRDefault="00DB6C0E" w:rsidP="00DB6C0E">
      <w:pPr>
        <w:jc w:val="center"/>
        <w:rPr>
          <w:rFonts w:ascii="Arial" w:hAnsi="Arial" w:cs="Arial"/>
          <w:b/>
          <w:sz w:val="28"/>
          <w:szCs w:val="28"/>
        </w:rPr>
      </w:pPr>
      <w:r>
        <w:rPr>
          <w:rFonts w:ascii="Arial" w:hAnsi="Arial" w:cs="Arial"/>
          <w:b/>
          <w:sz w:val="28"/>
          <w:szCs w:val="28"/>
        </w:rPr>
        <w:t>Verifier Pty Ltd</w:t>
      </w:r>
    </w:p>
    <w:p w14:paraId="03756240" w14:textId="2E95288F" w:rsidR="00DB6C0E" w:rsidRDefault="00047E26" w:rsidP="00DB6C0E">
      <w:pPr>
        <w:jc w:val="center"/>
        <w:rPr>
          <w:rFonts w:ascii="Arial" w:hAnsi="Arial" w:cs="Arial"/>
          <w:b/>
          <w:sz w:val="28"/>
          <w:szCs w:val="28"/>
        </w:rPr>
      </w:pPr>
      <w:r>
        <w:rPr>
          <w:rFonts w:ascii="Arial" w:hAnsi="Arial" w:cs="Arial"/>
          <w:b/>
          <w:sz w:val="28"/>
          <w:szCs w:val="28"/>
        </w:rPr>
        <w:t>S</w:t>
      </w:r>
      <w:r w:rsidR="00DB6C0E">
        <w:rPr>
          <w:rFonts w:ascii="Arial" w:hAnsi="Arial" w:cs="Arial"/>
          <w:b/>
          <w:sz w:val="28"/>
          <w:szCs w:val="28"/>
        </w:rPr>
        <w:t xml:space="preserve">ubmission to The Treasury on </w:t>
      </w:r>
      <w:r w:rsidR="00DE2073">
        <w:rPr>
          <w:rFonts w:ascii="Arial" w:hAnsi="Arial" w:cs="Arial"/>
          <w:b/>
          <w:sz w:val="28"/>
          <w:szCs w:val="28"/>
        </w:rPr>
        <w:t xml:space="preserve">Exposure Draft </w:t>
      </w:r>
      <w:r w:rsidR="00925D6F" w:rsidRPr="00925D6F">
        <w:rPr>
          <w:rFonts w:ascii="Arial" w:hAnsi="Arial" w:cs="Arial"/>
          <w:b/>
          <w:sz w:val="28"/>
          <w:szCs w:val="28"/>
        </w:rPr>
        <w:t>Treasury Laws Amendment (Consumer Data Right) Bill 2018</w:t>
      </w:r>
    </w:p>
    <w:p w14:paraId="4946EC4B" w14:textId="77777777" w:rsidR="00BA4DBD" w:rsidRDefault="00BA4DBD" w:rsidP="00A9350D">
      <w:pPr>
        <w:pBdr>
          <w:top w:val="single" w:sz="12" w:space="1" w:color="auto"/>
        </w:pBdr>
        <w:spacing w:before="120" w:line="240" w:lineRule="atLeast"/>
        <w:rPr>
          <w:rFonts w:ascii="Arial" w:hAnsi="Arial" w:cs="Arial"/>
          <w:b/>
          <w:sz w:val="28"/>
          <w:szCs w:val="28"/>
        </w:rPr>
      </w:pPr>
    </w:p>
    <w:p w14:paraId="31AAA7B7" w14:textId="77777777" w:rsidR="00A9350D" w:rsidRDefault="00A9350D" w:rsidP="00A9350D">
      <w:pPr>
        <w:pBdr>
          <w:top w:val="single" w:sz="12" w:space="1" w:color="auto"/>
        </w:pBdr>
        <w:spacing w:line="240" w:lineRule="atLeast"/>
        <w:rPr>
          <w:rFonts w:ascii="Arial" w:hAnsi="Arial" w:cs="Arial"/>
          <w:b/>
          <w:sz w:val="28"/>
          <w:szCs w:val="28"/>
        </w:rPr>
      </w:pPr>
      <w:r>
        <w:rPr>
          <w:rFonts w:ascii="Arial" w:hAnsi="Arial" w:cs="Arial"/>
          <w:b/>
          <w:sz w:val="28"/>
          <w:szCs w:val="28"/>
        </w:rPr>
        <w:t>About Verifier</w:t>
      </w:r>
    </w:p>
    <w:p w14:paraId="7AF0D8E4" w14:textId="77777777" w:rsidR="00A9350D" w:rsidRPr="001A5416" w:rsidRDefault="00A9350D" w:rsidP="00A9350D">
      <w:pPr>
        <w:spacing w:after="120" w:line="240" w:lineRule="auto"/>
        <w:rPr>
          <w:rFonts w:ascii="Arial" w:hAnsi="Arial" w:cs="Arial"/>
          <w:sz w:val="24"/>
          <w:szCs w:val="24"/>
        </w:rPr>
      </w:pPr>
      <w:r w:rsidRPr="001A5416">
        <w:rPr>
          <w:rFonts w:ascii="Arial" w:hAnsi="Arial" w:cs="Arial"/>
          <w:sz w:val="24"/>
          <w:szCs w:val="24"/>
        </w:rPr>
        <w:t xml:space="preserve">Verifier is a permission-based </w:t>
      </w:r>
      <w:r w:rsidRPr="001A5416">
        <w:rPr>
          <w:rFonts w:ascii="Arial" w:eastAsiaTheme="majorEastAsia" w:hAnsi="Arial" w:cs="Arial"/>
          <w:sz w:val="24"/>
          <w:szCs w:val="24"/>
        </w:rPr>
        <w:t>private data exchange platform for regulated markets that applies</w:t>
      </w:r>
      <w:r w:rsidRPr="001A5416">
        <w:rPr>
          <w:rFonts w:ascii="Arial" w:hAnsi="Arial" w:cs="Arial"/>
          <w:sz w:val="24"/>
          <w:szCs w:val="24"/>
        </w:rPr>
        <w:t xml:space="preserve"> renowned Privacy-by-Design principles, respecting the information security needs of consumers and income data providers. </w:t>
      </w:r>
      <w:r w:rsidR="001A5416" w:rsidRPr="001A5416">
        <w:rPr>
          <w:rFonts w:ascii="Arial" w:hAnsi="Arial" w:cs="Arial"/>
          <w:sz w:val="24"/>
          <w:szCs w:val="24"/>
        </w:rPr>
        <w:t xml:space="preserve"> Our clients include</w:t>
      </w:r>
      <w:r w:rsidR="0033501E" w:rsidRPr="001A5416">
        <w:rPr>
          <w:rFonts w:ascii="Arial" w:hAnsi="Arial" w:cs="Arial"/>
          <w:sz w:val="24"/>
          <w:szCs w:val="24"/>
        </w:rPr>
        <w:t xml:space="preserve"> banks and </w:t>
      </w:r>
      <w:r w:rsidR="00BE416C">
        <w:rPr>
          <w:rFonts w:ascii="Arial" w:hAnsi="Arial" w:cs="Arial"/>
          <w:sz w:val="24"/>
          <w:szCs w:val="24"/>
        </w:rPr>
        <w:t>no</w:t>
      </w:r>
      <w:r w:rsidR="001A5416" w:rsidRPr="001A5416">
        <w:rPr>
          <w:rFonts w:ascii="Arial" w:hAnsi="Arial" w:cs="Arial"/>
          <w:sz w:val="24"/>
          <w:szCs w:val="24"/>
        </w:rPr>
        <w:t xml:space="preserve">n-bank </w:t>
      </w:r>
      <w:r w:rsidR="0033501E" w:rsidRPr="001A5416">
        <w:rPr>
          <w:rFonts w:ascii="Arial" w:hAnsi="Arial" w:cs="Arial"/>
          <w:sz w:val="24"/>
          <w:szCs w:val="24"/>
        </w:rPr>
        <w:t>financial institutions</w:t>
      </w:r>
      <w:r w:rsidR="001A5416" w:rsidRPr="001A5416">
        <w:rPr>
          <w:rFonts w:ascii="Arial" w:hAnsi="Arial" w:cs="Arial"/>
          <w:sz w:val="24"/>
          <w:szCs w:val="24"/>
        </w:rPr>
        <w:t>.</w:t>
      </w:r>
    </w:p>
    <w:p w14:paraId="04BD92A0" w14:textId="77777777" w:rsidR="001A5416" w:rsidRPr="001A5416" w:rsidRDefault="00957FB2" w:rsidP="00A9350D">
      <w:pPr>
        <w:spacing w:after="120"/>
        <w:rPr>
          <w:rFonts w:ascii="Arial" w:hAnsi="Arial" w:cs="Arial"/>
          <w:sz w:val="24"/>
          <w:szCs w:val="24"/>
        </w:rPr>
      </w:pPr>
      <w:r w:rsidRPr="001A5416">
        <w:rPr>
          <w:rFonts w:ascii="Arial" w:hAnsi="Arial" w:cs="Arial"/>
          <w:sz w:val="24"/>
          <w:szCs w:val="24"/>
        </w:rPr>
        <w:t xml:space="preserve">Lisa Schutz is Verifier’s founder and CEO.  Lisa </w:t>
      </w:r>
      <w:r w:rsidR="00A9350D" w:rsidRPr="001A5416">
        <w:rPr>
          <w:rFonts w:ascii="Arial" w:hAnsi="Arial" w:cs="Arial"/>
          <w:sz w:val="24"/>
          <w:szCs w:val="24"/>
        </w:rPr>
        <w:t>was instrumental in founding the RegTech Association</w:t>
      </w:r>
      <w:r w:rsidRPr="001A5416">
        <w:rPr>
          <w:rFonts w:ascii="Arial" w:hAnsi="Arial" w:cs="Arial"/>
          <w:sz w:val="24"/>
          <w:szCs w:val="24"/>
        </w:rPr>
        <w:t xml:space="preserve"> in 2017 (</w:t>
      </w:r>
      <w:r w:rsidR="00A9350D" w:rsidRPr="001A5416">
        <w:rPr>
          <w:rFonts w:ascii="Arial" w:hAnsi="Arial" w:cs="Arial"/>
          <w:sz w:val="24"/>
          <w:szCs w:val="24"/>
        </w:rPr>
        <w:t>a sister organisation to the FinTech Association</w:t>
      </w:r>
      <w:r w:rsidRPr="001A5416">
        <w:rPr>
          <w:rFonts w:ascii="Arial" w:hAnsi="Arial" w:cs="Arial"/>
          <w:sz w:val="24"/>
          <w:szCs w:val="24"/>
        </w:rPr>
        <w:t>) and is currently a director of that Association.   She</w:t>
      </w:r>
      <w:r w:rsidR="00A9350D" w:rsidRPr="001A5416">
        <w:rPr>
          <w:rFonts w:ascii="Arial" w:hAnsi="Arial" w:cs="Arial"/>
          <w:sz w:val="24"/>
          <w:szCs w:val="24"/>
        </w:rPr>
        <w:t xml:space="preserve"> was awarded the </w:t>
      </w:r>
      <w:r w:rsidRPr="001A5416">
        <w:rPr>
          <w:rFonts w:ascii="Arial" w:hAnsi="Arial" w:cs="Arial"/>
          <w:sz w:val="24"/>
          <w:szCs w:val="24"/>
        </w:rPr>
        <w:t>inaugural</w:t>
      </w:r>
      <w:r w:rsidR="00A9350D" w:rsidRPr="001A5416">
        <w:rPr>
          <w:rFonts w:ascii="Arial" w:hAnsi="Arial" w:cs="Arial"/>
          <w:sz w:val="24"/>
          <w:szCs w:val="24"/>
        </w:rPr>
        <w:t xml:space="preserve"> </w:t>
      </w:r>
      <w:r w:rsidR="00A9350D" w:rsidRPr="001A5416">
        <w:rPr>
          <w:rFonts w:ascii="Arial" w:hAnsi="Arial" w:cs="Arial"/>
          <w:i/>
          <w:sz w:val="24"/>
          <w:szCs w:val="24"/>
        </w:rPr>
        <w:t>FinTech Leader of the Year</w:t>
      </w:r>
      <w:r w:rsidR="00A9350D" w:rsidRPr="001A5416">
        <w:rPr>
          <w:rFonts w:ascii="Arial" w:hAnsi="Arial" w:cs="Arial"/>
          <w:sz w:val="24"/>
          <w:szCs w:val="24"/>
        </w:rPr>
        <w:t xml:space="preserve"> in the Women in Finance Awards</w:t>
      </w:r>
      <w:r w:rsidRPr="001A5416">
        <w:rPr>
          <w:rFonts w:ascii="Arial" w:hAnsi="Arial" w:cs="Arial"/>
          <w:sz w:val="24"/>
          <w:szCs w:val="24"/>
        </w:rPr>
        <w:t xml:space="preserve"> of 2017</w:t>
      </w:r>
      <w:r w:rsidR="00A9350D" w:rsidRPr="001A5416">
        <w:rPr>
          <w:rFonts w:ascii="Arial" w:hAnsi="Arial" w:cs="Arial"/>
          <w:sz w:val="24"/>
          <w:szCs w:val="24"/>
        </w:rPr>
        <w:t>.</w:t>
      </w:r>
    </w:p>
    <w:p w14:paraId="77AEB7E6" w14:textId="77777777" w:rsidR="00A9350D" w:rsidRPr="00A9350D" w:rsidRDefault="00A9350D" w:rsidP="00A9350D">
      <w:pPr>
        <w:spacing w:after="120" w:line="240" w:lineRule="auto"/>
        <w:rPr>
          <w:rFonts w:ascii="Arial" w:hAnsi="Arial" w:cs="Arial"/>
          <w:sz w:val="24"/>
          <w:szCs w:val="24"/>
        </w:rPr>
      </w:pPr>
    </w:p>
    <w:p w14:paraId="49275AAF" w14:textId="77777777" w:rsidR="00BE416C" w:rsidRPr="00EC136B" w:rsidRDefault="00BE416C" w:rsidP="00EC136B">
      <w:pPr>
        <w:spacing w:line="240" w:lineRule="atLeast"/>
        <w:rPr>
          <w:rFonts w:ascii="Arial" w:hAnsi="Arial" w:cs="Arial"/>
          <w:b/>
          <w:sz w:val="28"/>
          <w:szCs w:val="28"/>
        </w:rPr>
      </w:pPr>
      <w:r w:rsidRPr="00EC136B">
        <w:rPr>
          <w:rFonts w:ascii="Arial" w:hAnsi="Arial" w:cs="Arial"/>
          <w:b/>
          <w:sz w:val="28"/>
          <w:szCs w:val="28"/>
        </w:rPr>
        <w:t>Purpose of Verifier’s submission</w:t>
      </w:r>
    </w:p>
    <w:p w14:paraId="05CEC99D" w14:textId="36EDD519" w:rsidR="00BE416C" w:rsidRDefault="00BE416C" w:rsidP="00BE416C">
      <w:pPr>
        <w:spacing w:after="120" w:line="240" w:lineRule="auto"/>
        <w:rPr>
          <w:rFonts w:ascii="Arial" w:hAnsi="Arial" w:cs="Arial"/>
          <w:sz w:val="24"/>
          <w:szCs w:val="24"/>
        </w:rPr>
      </w:pPr>
      <w:r w:rsidRPr="001A5416">
        <w:rPr>
          <w:rFonts w:ascii="Arial" w:hAnsi="Arial" w:cs="Arial"/>
          <w:sz w:val="24"/>
          <w:szCs w:val="24"/>
        </w:rPr>
        <w:t xml:space="preserve">Verifier </w:t>
      </w:r>
      <w:r>
        <w:rPr>
          <w:rFonts w:ascii="Arial" w:hAnsi="Arial" w:cs="Arial"/>
          <w:sz w:val="24"/>
          <w:szCs w:val="24"/>
        </w:rPr>
        <w:t xml:space="preserve">welcomes the opportunity to make this submission </w:t>
      </w:r>
      <w:r w:rsidR="00DE2073">
        <w:rPr>
          <w:rFonts w:ascii="Arial" w:hAnsi="Arial" w:cs="Arial"/>
          <w:sz w:val="24"/>
          <w:szCs w:val="24"/>
        </w:rPr>
        <w:t>in respect of the</w:t>
      </w:r>
      <w:r>
        <w:rPr>
          <w:rFonts w:ascii="Arial" w:hAnsi="Arial" w:cs="Arial"/>
          <w:sz w:val="24"/>
          <w:szCs w:val="24"/>
        </w:rPr>
        <w:t xml:space="preserve"> </w:t>
      </w:r>
      <w:r w:rsidR="00DE2073">
        <w:rPr>
          <w:rFonts w:ascii="Arial" w:hAnsi="Arial" w:cs="Arial"/>
          <w:sz w:val="24"/>
          <w:szCs w:val="24"/>
        </w:rPr>
        <w:t xml:space="preserve">Exposure Draft </w:t>
      </w:r>
      <w:r w:rsidR="00DE2073" w:rsidRPr="00DE2073">
        <w:rPr>
          <w:rFonts w:ascii="Arial" w:hAnsi="Arial" w:cs="Arial"/>
          <w:sz w:val="24"/>
          <w:szCs w:val="24"/>
        </w:rPr>
        <w:t xml:space="preserve">Treasury Laws Amendment (Consumer Data Right) Bill 2018 </w:t>
      </w:r>
      <w:r w:rsidR="0085329E">
        <w:rPr>
          <w:rFonts w:ascii="Arial" w:hAnsi="Arial" w:cs="Arial"/>
          <w:sz w:val="24"/>
          <w:szCs w:val="24"/>
        </w:rPr>
        <w:t xml:space="preserve">(the </w:t>
      </w:r>
      <w:r w:rsidR="004521E1">
        <w:rPr>
          <w:rFonts w:ascii="Arial" w:hAnsi="Arial" w:cs="Arial"/>
          <w:b/>
          <w:sz w:val="24"/>
          <w:szCs w:val="24"/>
        </w:rPr>
        <w:t>Exposure Draft</w:t>
      </w:r>
      <w:r w:rsidR="0085329E">
        <w:rPr>
          <w:rFonts w:ascii="Arial" w:hAnsi="Arial" w:cs="Arial"/>
          <w:sz w:val="24"/>
          <w:szCs w:val="24"/>
        </w:rPr>
        <w:t>)</w:t>
      </w:r>
      <w:r>
        <w:rPr>
          <w:rFonts w:ascii="Arial" w:hAnsi="Arial" w:cs="Arial"/>
          <w:sz w:val="24"/>
          <w:szCs w:val="24"/>
        </w:rPr>
        <w:t>.</w:t>
      </w:r>
      <w:r w:rsidR="00EB1B78">
        <w:rPr>
          <w:rFonts w:ascii="Arial" w:hAnsi="Arial" w:cs="Arial"/>
          <w:sz w:val="24"/>
          <w:szCs w:val="24"/>
        </w:rPr>
        <w:t xml:space="preserve">  </w:t>
      </w:r>
    </w:p>
    <w:p w14:paraId="69193DEF" w14:textId="4C73BBC0" w:rsidR="00EB1B78" w:rsidRPr="00EB1B78" w:rsidRDefault="00EB1B78" w:rsidP="00EB1B78">
      <w:pPr>
        <w:spacing w:after="240"/>
        <w:rPr>
          <w:rFonts w:ascii="Arial" w:hAnsi="Arial" w:cs="Arial"/>
          <w:sz w:val="24"/>
          <w:szCs w:val="24"/>
        </w:rPr>
      </w:pPr>
      <w:r w:rsidRPr="00EB1B78">
        <w:rPr>
          <w:rFonts w:ascii="Arial" w:hAnsi="Arial" w:cs="Arial"/>
          <w:sz w:val="24"/>
          <w:szCs w:val="24"/>
        </w:rPr>
        <w:t xml:space="preserve">We note specifically the goals </w:t>
      </w:r>
      <w:r w:rsidR="004521E1">
        <w:rPr>
          <w:rFonts w:ascii="Arial" w:hAnsi="Arial" w:cs="Arial"/>
          <w:sz w:val="24"/>
          <w:szCs w:val="24"/>
        </w:rPr>
        <w:t xml:space="preserve">expressed in the </w:t>
      </w:r>
      <w:r w:rsidR="004521E1" w:rsidRPr="001A5416">
        <w:rPr>
          <w:rFonts w:ascii="Arial" w:hAnsi="Arial" w:cs="Arial"/>
          <w:i/>
          <w:sz w:val="24"/>
          <w:szCs w:val="24"/>
        </w:rPr>
        <w:t xml:space="preserve">Final Report </w:t>
      </w:r>
      <w:r w:rsidR="004521E1">
        <w:rPr>
          <w:rFonts w:ascii="Arial" w:hAnsi="Arial" w:cs="Arial"/>
          <w:sz w:val="24"/>
          <w:szCs w:val="24"/>
        </w:rPr>
        <w:t xml:space="preserve">of the </w:t>
      </w:r>
      <w:r w:rsidR="004521E1" w:rsidRPr="001A5416">
        <w:rPr>
          <w:rFonts w:ascii="Arial" w:hAnsi="Arial" w:cs="Arial"/>
          <w:sz w:val="24"/>
          <w:szCs w:val="24"/>
        </w:rPr>
        <w:t>Review into Open Banking in Australia</w:t>
      </w:r>
      <w:r w:rsidR="004521E1">
        <w:rPr>
          <w:rFonts w:ascii="Arial" w:hAnsi="Arial" w:cs="Arial"/>
          <w:sz w:val="24"/>
          <w:szCs w:val="24"/>
        </w:rPr>
        <w:t>, published on 9 February 2018</w:t>
      </w:r>
      <w:r w:rsidR="00534C4F">
        <w:rPr>
          <w:rFonts w:ascii="Arial" w:hAnsi="Arial" w:cs="Arial"/>
          <w:sz w:val="24"/>
          <w:szCs w:val="24"/>
        </w:rPr>
        <w:t xml:space="preserve">, being the </w:t>
      </w:r>
      <w:r w:rsidRPr="00EB1B78">
        <w:rPr>
          <w:rFonts w:ascii="Arial" w:hAnsi="Arial" w:cs="Arial"/>
          <w:sz w:val="24"/>
          <w:szCs w:val="24"/>
        </w:rPr>
        <w:t>creation of a system that:</w:t>
      </w:r>
    </w:p>
    <w:p w14:paraId="0869F8FB" w14:textId="77777777" w:rsidR="00EB1B78" w:rsidRPr="00EB1B78" w:rsidRDefault="00EB1B78" w:rsidP="00EB1B78">
      <w:pPr>
        <w:numPr>
          <w:ilvl w:val="0"/>
          <w:numId w:val="2"/>
        </w:numPr>
        <w:spacing w:after="0" w:line="240" w:lineRule="auto"/>
        <w:rPr>
          <w:rFonts w:ascii="Arial" w:eastAsia="Times New Roman" w:hAnsi="Arial" w:cs="Arial"/>
          <w:sz w:val="24"/>
          <w:szCs w:val="24"/>
        </w:rPr>
      </w:pPr>
      <w:r w:rsidRPr="00EB1B78">
        <w:rPr>
          <w:rFonts w:ascii="Arial" w:eastAsia="Times New Roman" w:hAnsi="Arial" w:cs="Arial"/>
          <w:sz w:val="24"/>
          <w:szCs w:val="24"/>
        </w:rPr>
        <w:t>is customer focussed</w:t>
      </w:r>
    </w:p>
    <w:p w14:paraId="64817206" w14:textId="77777777" w:rsidR="00EB1B78" w:rsidRPr="00EB1B78" w:rsidRDefault="00EB1B78" w:rsidP="00EB1B78">
      <w:pPr>
        <w:numPr>
          <w:ilvl w:val="0"/>
          <w:numId w:val="2"/>
        </w:numPr>
        <w:spacing w:after="0" w:line="240" w:lineRule="auto"/>
        <w:rPr>
          <w:rFonts w:ascii="Arial" w:eastAsia="Times New Roman" w:hAnsi="Arial" w:cs="Arial"/>
          <w:sz w:val="24"/>
          <w:szCs w:val="24"/>
        </w:rPr>
      </w:pPr>
      <w:r w:rsidRPr="00EB1B78">
        <w:rPr>
          <w:rFonts w:ascii="Arial" w:eastAsia="Times New Roman" w:hAnsi="Arial" w:cs="Arial"/>
          <w:sz w:val="24"/>
          <w:szCs w:val="24"/>
        </w:rPr>
        <w:t xml:space="preserve">promotes competition </w:t>
      </w:r>
    </w:p>
    <w:p w14:paraId="55003CE6" w14:textId="77777777" w:rsidR="00EB1B78" w:rsidRPr="00EB1B78" w:rsidRDefault="00EB1B78" w:rsidP="00EB1B78">
      <w:pPr>
        <w:numPr>
          <w:ilvl w:val="0"/>
          <w:numId w:val="2"/>
        </w:numPr>
        <w:spacing w:after="0" w:line="240" w:lineRule="auto"/>
        <w:rPr>
          <w:rFonts w:ascii="Arial" w:eastAsia="Times New Roman" w:hAnsi="Arial" w:cs="Arial"/>
          <w:sz w:val="24"/>
          <w:szCs w:val="24"/>
        </w:rPr>
      </w:pPr>
      <w:r w:rsidRPr="00EB1B78">
        <w:rPr>
          <w:rFonts w:ascii="Arial" w:eastAsia="Times New Roman" w:hAnsi="Arial" w:cs="Arial"/>
          <w:sz w:val="24"/>
          <w:szCs w:val="24"/>
        </w:rPr>
        <w:t xml:space="preserve">encourages innovation, and </w:t>
      </w:r>
    </w:p>
    <w:p w14:paraId="052D32E7" w14:textId="77777777" w:rsidR="00EB1B78" w:rsidRPr="00EB1B78" w:rsidRDefault="00EB1B78" w:rsidP="00EB1B78">
      <w:pPr>
        <w:numPr>
          <w:ilvl w:val="0"/>
          <w:numId w:val="2"/>
        </w:numPr>
        <w:spacing w:after="0" w:line="240" w:lineRule="auto"/>
        <w:rPr>
          <w:rFonts w:ascii="Arial" w:eastAsia="Times New Roman" w:hAnsi="Arial" w:cs="Arial"/>
          <w:sz w:val="24"/>
          <w:szCs w:val="24"/>
        </w:rPr>
      </w:pPr>
      <w:r w:rsidRPr="00EB1B78">
        <w:rPr>
          <w:rFonts w:ascii="Arial" w:eastAsia="Times New Roman" w:hAnsi="Arial" w:cs="Arial"/>
          <w:sz w:val="24"/>
          <w:szCs w:val="24"/>
        </w:rPr>
        <w:t>is efficient and fair.</w:t>
      </w:r>
    </w:p>
    <w:p w14:paraId="3206783F" w14:textId="2E11B468" w:rsidR="00BE416C" w:rsidRDefault="00BE416C" w:rsidP="00EC136B">
      <w:pPr>
        <w:spacing w:before="240" w:after="120" w:line="240" w:lineRule="auto"/>
        <w:rPr>
          <w:rFonts w:ascii="Arial" w:hAnsi="Arial" w:cs="Arial"/>
          <w:sz w:val="24"/>
          <w:szCs w:val="24"/>
        </w:rPr>
      </w:pPr>
      <w:r>
        <w:rPr>
          <w:rFonts w:ascii="Arial" w:hAnsi="Arial" w:cs="Arial"/>
          <w:sz w:val="24"/>
          <w:szCs w:val="24"/>
        </w:rPr>
        <w:t>The purpose of our submission (and therefore the focus</w:t>
      </w:r>
      <w:r w:rsidR="00EB1B78">
        <w:rPr>
          <w:rFonts w:ascii="Arial" w:hAnsi="Arial" w:cs="Arial"/>
          <w:sz w:val="24"/>
          <w:szCs w:val="24"/>
        </w:rPr>
        <w:t xml:space="preserve"> of </w:t>
      </w:r>
      <w:r w:rsidR="00BD3575">
        <w:rPr>
          <w:rFonts w:ascii="Arial" w:hAnsi="Arial" w:cs="Arial"/>
          <w:sz w:val="24"/>
          <w:szCs w:val="24"/>
        </w:rPr>
        <w:t>our submission</w:t>
      </w:r>
      <w:r w:rsidR="00EB1B78">
        <w:rPr>
          <w:rFonts w:ascii="Arial" w:hAnsi="Arial" w:cs="Arial"/>
          <w:sz w:val="24"/>
          <w:szCs w:val="24"/>
        </w:rPr>
        <w:t>)</w:t>
      </w:r>
      <w:r>
        <w:rPr>
          <w:rFonts w:ascii="Arial" w:hAnsi="Arial" w:cs="Arial"/>
          <w:sz w:val="24"/>
          <w:szCs w:val="24"/>
        </w:rPr>
        <w:t xml:space="preserve"> is to advocate for the implementation of regulation that is efficient and fair and which embodies competitive neutrality.</w:t>
      </w:r>
    </w:p>
    <w:p w14:paraId="3D3FE8CC" w14:textId="54CA3C3F" w:rsidR="00EB1B78" w:rsidRPr="00EC136B" w:rsidRDefault="0085329E" w:rsidP="00EC136B">
      <w:pPr>
        <w:spacing w:line="240" w:lineRule="atLeast"/>
        <w:rPr>
          <w:rFonts w:ascii="Arial" w:hAnsi="Arial" w:cs="Arial"/>
          <w:b/>
          <w:sz w:val="28"/>
          <w:szCs w:val="28"/>
        </w:rPr>
      </w:pPr>
      <w:r>
        <w:rPr>
          <w:rFonts w:ascii="Arial" w:hAnsi="Arial" w:cs="Arial"/>
          <w:b/>
          <w:sz w:val="28"/>
          <w:szCs w:val="28"/>
        </w:rPr>
        <w:lastRenderedPageBreak/>
        <w:t>Verifier’s s</w:t>
      </w:r>
      <w:r w:rsidR="003745BB" w:rsidRPr="00EC136B">
        <w:rPr>
          <w:rFonts w:ascii="Arial" w:hAnsi="Arial" w:cs="Arial"/>
          <w:b/>
          <w:sz w:val="28"/>
          <w:szCs w:val="28"/>
        </w:rPr>
        <w:t>pecific recommendation</w:t>
      </w:r>
      <w:r w:rsidR="00EE326F">
        <w:rPr>
          <w:rFonts w:ascii="Arial" w:hAnsi="Arial" w:cs="Arial"/>
          <w:b/>
          <w:sz w:val="28"/>
          <w:szCs w:val="28"/>
        </w:rPr>
        <w:t>: prohibit screen-scraping</w:t>
      </w:r>
    </w:p>
    <w:p w14:paraId="466E640E" w14:textId="4169A887" w:rsidR="001169F3" w:rsidRDefault="00534C4F" w:rsidP="001169F3">
      <w:pPr>
        <w:spacing w:after="120" w:line="240" w:lineRule="auto"/>
        <w:ind w:left="360"/>
        <w:rPr>
          <w:rFonts w:ascii="Arial" w:hAnsi="Arial" w:cs="Arial"/>
          <w:sz w:val="24"/>
          <w:szCs w:val="24"/>
        </w:rPr>
      </w:pPr>
      <w:r>
        <w:rPr>
          <w:rFonts w:ascii="Arial" w:hAnsi="Arial" w:cs="Arial"/>
          <w:sz w:val="24"/>
          <w:szCs w:val="24"/>
        </w:rPr>
        <w:t>A fundamental shortfall of the Exposure Draft is that it does not address the practice of “screen-scraping</w:t>
      </w:r>
      <w:r w:rsidR="0040711E">
        <w:rPr>
          <w:rFonts w:ascii="Arial" w:hAnsi="Arial" w:cs="Arial"/>
          <w:sz w:val="24"/>
          <w:szCs w:val="24"/>
        </w:rPr>
        <w:t>”.</w:t>
      </w:r>
    </w:p>
    <w:p w14:paraId="140159A9" w14:textId="1CEF018D" w:rsidR="00D65CAB" w:rsidRDefault="0040711E" w:rsidP="003745BB">
      <w:pPr>
        <w:spacing w:after="120" w:line="240" w:lineRule="auto"/>
        <w:ind w:left="360"/>
        <w:rPr>
          <w:rFonts w:ascii="Arial" w:hAnsi="Arial" w:cs="Arial"/>
          <w:sz w:val="24"/>
          <w:szCs w:val="24"/>
        </w:rPr>
      </w:pPr>
      <w:r>
        <w:rPr>
          <w:rFonts w:ascii="Arial" w:hAnsi="Arial" w:cs="Arial"/>
          <w:sz w:val="24"/>
          <w:szCs w:val="24"/>
        </w:rPr>
        <w:t xml:space="preserve">Our </w:t>
      </w:r>
      <w:r w:rsidR="00D65CAB">
        <w:rPr>
          <w:rFonts w:ascii="Arial" w:hAnsi="Arial" w:cs="Arial"/>
          <w:sz w:val="24"/>
          <w:szCs w:val="24"/>
        </w:rPr>
        <w:t xml:space="preserve">strong </w:t>
      </w:r>
      <w:r>
        <w:rPr>
          <w:rFonts w:ascii="Arial" w:hAnsi="Arial" w:cs="Arial"/>
          <w:sz w:val="24"/>
          <w:szCs w:val="24"/>
        </w:rPr>
        <w:t>view is that the government should follow the lead of the European Commission’s revised Payment Services Directive (PSD2)</w:t>
      </w:r>
      <w:r w:rsidR="00D65CAB">
        <w:rPr>
          <w:rFonts w:ascii="Arial" w:hAnsi="Arial" w:cs="Arial"/>
          <w:sz w:val="24"/>
          <w:szCs w:val="24"/>
        </w:rPr>
        <w:t>, which (from mid 2019) prohibits accessing data through the use of screen</w:t>
      </w:r>
      <w:r w:rsidR="00317113">
        <w:rPr>
          <w:rFonts w:ascii="Arial" w:hAnsi="Arial" w:cs="Arial"/>
          <w:sz w:val="24"/>
          <w:szCs w:val="24"/>
        </w:rPr>
        <w:t>-</w:t>
      </w:r>
      <w:r w:rsidR="00D65CAB">
        <w:rPr>
          <w:rFonts w:ascii="Arial" w:hAnsi="Arial" w:cs="Arial"/>
          <w:sz w:val="24"/>
          <w:szCs w:val="24"/>
        </w:rPr>
        <w:t>scraping techniques.</w:t>
      </w:r>
      <w:r w:rsidR="002E1C02">
        <w:rPr>
          <w:rStyle w:val="FootnoteReference"/>
          <w:rFonts w:ascii="Arial" w:hAnsi="Arial" w:cs="Arial"/>
          <w:sz w:val="24"/>
          <w:szCs w:val="24"/>
        </w:rPr>
        <w:footnoteReference w:id="1"/>
      </w:r>
      <w:r w:rsidR="00D65CAB">
        <w:rPr>
          <w:rFonts w:ascii="Arial" w:hAnsi="Arial" w:cs="Arial"/>
          <w:sz w:val="24"/>
          <w:szCs w:val="24"/>
        </w:rPr>
        <w:t xml:space="preserve">  </w:t>
      </w:r>
      <w:r w:rsidR="00EC136B">
        <w:rPr>
          <w:rFonts w:ascii="Arial" w:hAnsi="Arial" w:cs="Arial"/>
          <w:sz w:val="24"/>
          <w:szCs w:val="24"/>
        </w:rPr>
        <w:t>France</w:t>
      </w:r>
      <w:r w:rsidR="00EE326F">
        <w:rPr>
          <w:rFonts w:ascii="Arial" w:hAnsi="Arial" w:cs="Arial"/>
          <w:sz w:val="24"/>
          <w:szCs w:val="24"/>
        </w:rPr>
        <w:t xml:space="preserve">, </w:t>
      </w:r>
      <w:r w:rsidR="00EC136B">
        <w:rPr>
          <w:rFonts w:ascii="Arial" w:hAnsi="Arial" w:cs="Arial"/>
          <w:sz w:val="24"/>
          <w:szCs w:val="24"/>
        </w:rPr>
        <w:t>the UK</w:t>
      </w:r>
      <w:r w:rsidR="00EE326F">
        <w:rPr>
          <w:rFonts w:ascii="Arial" w:hAnsi="Arial" w:cs="Arial"/>
          <w:sz w:val="24"/>
          <w:szCs w:val="24"/>
        </w:rPr>
        <w:t xml:space="preserve">, Germany, Luxembourg and Poland </w:t>
      </w:r>
      <w:r w:rsidR="00EC136B">
        <w:rPr>
          <w:rFonts w:ascii="Arial" w:hAnsi="Arial" w:cs="Arial"/>
          <w:sz w:val="24"/>
          <w:szCs w:val="24"/>
        </w:rPr>
        <w:t>have finalised implementation of PSD2 and a number of other EU member states are working towards implementation.</w:t>
      </w:r>
      <w:r w:rsidR="00EC136B">
        <w:rPr>
          <w:rStyle w:val="FootnoteReference"/>
          <w:rFonts w:ascii="Arial" w:hAnsi="Arial" w:cs="Arial"/>
          <w:sz w:val="24"/>
          <w:szCs w:val="24"/>
        </w:rPr>
        <w:footnoteReference w:id="2"/>
      </w:r>
    </w:p>
    <w:p w14:paraId="38C89E9F" w14:textId="77777777" w:rsidR="00A41398" w:rsidRPr="00A41398" w:rsidRDefault="00A41398" w:rsidP="00406EF5">
      <w:pPr>
        <w:keepNext/>
        <w:spacing w:after="120" w:line="240" w:lineRule="auto"/>
        <w:ind w:left="357"/>
        <w:rPr>
          <w:rFonts w:ascii="Arial" w:hAnsi="Arial" w:cs="Arial"/>
          <w:b/>
          <w:sz w:val="24"/>
          <w:szCs w:val="24"/>
        </w:rPr>
      </w:pPr>
      <w:r w:rsidRPr="00A41398">
        <w:rPr>
          <w:rFonts w:ascii="Arial" w:hAnsi="Arial" w:cs="Arial"/>
          <w:b/>
          <w:sz w:val="24"/>
          <w:szCs w:val="24"/>
        </w:rPr>
        <w:t>Competitive neutrality:</w:t>
      </w:r>
    </w:p>
    <w:p w14:paraId="037A18ED" w14:textId="77777777" w:rsidR="00A41398" w:rsidRDefault="00EC136B" w:rsidP="00406EF5">
      <w:pPr>
        <w:keepNext/>
        <w:spacing w:after="120" w:line="240" w:lineRule="auto"/>
        <w:ind w:left="357"/>
        <w:rPr>
          <w:rFonts w:ascii="Arial" w:hAnsi="Arial" w:cs="Arial"/>
          <w:sz w:val="24"/>
          <w:szCs w:val="24"/>
        </w:rPr>
      </w:pPr>
      <w:r>
        <w:rPr>
          <w:rFonts w:ascii="Arial" w:hAnsi="Arial" w:cs="Arial"/>
          <w:sz w:val="24"/>
          <w:szCs w:val="24"/>
        </w:rPr>
        <w:t>There is a</w:t>
      </w:r>
      <w:r w:rsidR="00A41398">
        <w:rPr>
          <w:rFonts w:ascii="Arial" w:hAnsi="Arial" w:cs="Arial"/>
          <w:sz w:val="24"/>
          <w:szCs w:val="24"/>
        </w:rPr>
        <w:t xml:space="preserve"> compelling public policy basis for our recommendation that screen scraping be prohibited.  That is, in order to facilitate market efficiency, regulation should not create a competitive bias in favour of particular products or providers within a given market segment.</w:t>
      </w:r>
    </w:p>
    <w:p w14:paraId="7E1AE36E" w14:textId="42F76624" w:rsidR="00EC136B" w:rsidRDefault="00A41398" w:rsidP="00BD3575">
      <w:pPr>
        <w:spacing w:after="120" w:line="240" w:lineRule="auto"/>
        <w:ind w:left="360"/>
        <w:rPr>
          <w:rFonts w:ascii="Arial" w:hAnsi="Arial" w:cs="Arial"/>
          <w:sz w:val="24"/>
          <w:szCs w:val="24"/>
        </w:rPr>
      </w:pPr>
      <w:r>
        <w:rPr>
          <w:rFonts w:ascii="Arial" w:hAnsi="Arial" w:cs="Arial"/>
          <w:sz w:val="24"/>
          <w:szCs w:val="24"/>
        </w:rPr>
        <w:t xml:space="preserve">One of the principles of “good” regulation is that it should not impose competitive </w:t>
      </w:r>
      <w:r w:rsidRPr="00EE326F">
        <w:rPr>
          <w:rFonts w:ascii="Arial" w:hAnsi="Arial" w:cs="Arial"/>
          <w:sz w:val="24"/>
          <w:szCs w:val="24"/>
        </w:rPr>
        <w:t>disadvantages – it should embody competitive neutrality</w:t>
      </w:r>
      <w:r w:rsidR="00377CC2" w:rsidRPr="00EE326F">
        <w:rPr>
          <w:rFonts w:ascii="Arial" w:hAnsi="Arial" w:cs="Arial"/>
          <w:sz w:val="24"/>
          <w:szCs w:val="24"/>
        </w:rPr>
        <w:t xml:space="preserve">.  </w:t>
      </w:r>
      <w:r w:rsidR="00BD3575" w:rsidRPr="00EE326F">
        <w:rPr>
          <w:rFonts w:ascii="Arial" w:eastAsia="Times New Roman" w:hAnsi="Arial" w:cs="Arial"/>
          <w:sz w:val="24"/>
          <w:szCs w:val="24"/>
        </w:rPr>
        <w:t xml:space="preserve">If screen-scraping is not prohibited by legislation, there </w:t>
      </w:r>
      <w:r w:rsidR="00EE326F">
        <w:rPr>
          <w:rFonts w:ascii="Arial" w:eastAsia="Times New Roman" w:hAnsi="Arial" w:cs="Arial"/>
          <w:sz w:val="24"/>
          <w:szCs w:val="24"/>
        </w:rPr>
        <w:t>will</w:t>
      </w:r>
      <w:r w:rsidR="00BD3575" w:rsidRPr="00EE326F">
        <w:rPr>
          <w:rFonts w:ascii="Arial" w:eastAsia="Times New Roman" w:hAnsi="Arial" w:cs="Arial"/>
          <w:sz w:val="24"/>
          <w:szCs w:val="24"/>
        </w:rPr>
        <w:t xml:space="preserve"> be a “race to the bottom” by those who use the “back door” to avoid the significant regulatory burden (including costs) of accessing and sharing CDR data in the transparent and informed consent driven model contemplated by the data right.  A consequence of this would be to create a data access and sharing environment that lacks both competitive neutrality and appropriate protections for CDR data.</w:t>
      </w:r>
    </w:p>
    <w:p w14:paraId="10F82C02" w14:textId="77777777" w:rsidR="00406EF5" w:rsidRPr="00406EF5" w:rsidRDefault="00406EF5" w:rsidP="00406EF5">
      <w:pPr>
        <w:spacing w:after="120" w:line="240" w:lineRule="auto"/>
        <w:ind w:left="357"/>
        <w:rPr>
          <w:rFonts w:ascii="Arial" w:hAnsi="Arial" w:cs="Arial"/>
          <w:b/>
          <w:sz w:val="24"/>
          <w:szCs w:val="24"/>
        </w:rPr>
      </w:pPr>
      <w:r w:rsidRPr="00406EF5">
        <w:rPr>
          <w:rFonts w:ascii="Arial" w:hAnsi="Arial" w:cs="Arial"/>
          <w:b/>
          <w:sz w:val="24"/>
          <w:szCs w:val="24"/>
        </w:rPr>
        <w:t>Verifier’s recommendation:</w:t>
      </w:r>
    </w:p>
    <w:p w14:paraId="03B42D3E" w14:textId="324F5D98" w:rsidR="00317113" w:rsidRDefault="00406EF5" w:rsidP="00317113">
      <w:pPr>
        <w:spacing w:after="240" w:line="240" w:lineRule="auto"/>
        <w:ind w:left="357"/>
        <w:rPr>
          <w:rFonts w:ascii="Arial" w:hAnsi="Arial" w:cs="Arial"/>
          <w:sz w:val="24"/>
          <w:szCs w:val="24"/>
        </w:rPr>
      </w:pPr>
      <w:r>
        <w:rPr>
          <w:rFonts w:ascii="Arial" w:hAnsi="Arial" w:cs="Arial"/>
          <w:sz w:val="24"/>
          <w:szCs w:val="24"/>
        </w:rPr>
        <w:t>We</w:t>
      </w:r>
      <w:r w:rsidR="0053734E">
        <w:rPr>
          <w:rFonts w:ascii="Arial" w:hAnsi="Arial" w:cs="Arial"/>
          <w:sz w:val="24"/>
          <w:szCs w:val="24"/>
        </w:rPr>
        <w:t xml:space="preserve"> strongly</w:t>
      </w:r>
      <w:r>
        <w:rPr>
          <w:rFonts w:ascii="Arial" w:hAnsi="Arial" w:cs="Arial"/>
          <w:sz w:val="24"/>
          <w:szCs w:val="24"/>
        </w:rPr>
        <w:t xml:space="preserve"> recommend that screen scraping be prohibited by the </w:t>
      </w:r>
      <w:r w:rsidR="0053734E">
        <w:rPr>
          <w:rFonts w:ascii="Arial" w:hAnsi="Arial" w:cs="Arial"/>
          <w:sz w:val="24"/>
          <w:szCs w:val="24"/>
        </w:rPr>
        <w:t>Exposure Draft</w:t>
      </w:r>
      <w:r>
        <w:rPr>
          <w:rFonts w:ascii="Arial" w:hAnsi="Arial" w:cs="Arial"/>
          <w:sz w:val="24"/>
          <w:szCs w:val="24"/>
        </w:rPr>
        <w:t>.</w:t>
      </w:r>
    </w:p>
    <w:p w14:paraId="4D362C53" w14:textId="32648F64" w:rsidR="00317113" w:rsidRDefault="00317113" w:rsidP="00317113">
      <w:pPr>
        <w:pStyle w:val="ListParagraph"/>
        <w:ind w:left="0"/>
        <w:rPr>
          <w:rFonts w:ascii="Arial" w:hAnsi="Arial" w:cs="Arial"/>
          <w:sz w:val="24"/>
          <w:szCs w:val="24"/>
        </w:rPr>
      </w:pPr>
      <w:r>
        <w:rPr>
          <w:rFonts w:ascii="Arial" w:hAnsi="Arial" w:cs="Arial"/>
          <w:b/>
          <w:sz w:val="28"/>
          <w:szCs w:val="28"/>
        </w:rPr>
        <w:t>Other matters</w:t>
      </w:r>
      <w:r w:rsidRPr="00C01EF0">
        <w:rPr>
          <w:rFonts w:ascii="Arial" w:hAnsi="Arial" w:cs="Arial"/>
          <w:sz w:val="24"/>
          <w:szCs w:val="24"/>
        </w:rPr>
        <w:t xml:space="preserve"> </w:t>
      </w:r>
    </w:p>
    <w:p w14:paraId="712AD03F" w14:textId="26889D45" w:rsidR="007075D4" w:rsidRPr="00317113" w:rsidRDefault="00317113" w:rsidP="007075D4">
      <w:pPr>
        <w:rPr>
          <w:rFonts w:ascii="Arial" w:hAnsi="Arial" w:cs="Arial"/>
          <w:sz w:val="24"/>
          <w:szCs w:val="24"/>
        </w:rPr>
      </w:pPr>
      <w:r>
        <w:rPr>
          <w:rFonts w:ascii="Arial" w:hAnsi="Arial" w:cs="Arial"/>
          <w:sz w:val="24"/>
          <w:szCs w:val="24"/>
        </w:rPr>
        <w:t xml:space="preserve">We </w:t>
      </w:r>
      <w:r w:rsidR="007075D4" w:rsidRPr="00317113">
        <w:rPr>
          <w:rFonts w:ascii="Arial" w:hAnsi="Arial" w:cs="Arial"/>
          <w:sz w:val="24"/>
          <w:szCs w:val="24"/>
        </w:rPr>
        <w:t xml:space="preserve">note that there is very little of the detail about the data right and the access to and sharing of CDR data in </w:t>
      </w:r>
      <w:r>
        <w:rPr>
          <w:rFonts w:ascii="Arial" w:hAnsi="Arial" w:cs="Arial"/>
          <w:sz w:val="24"/>
          <w:szCs w:val="24"/>
        </w:rPr>
        <w:t>the Exposure Draft</w:t>
      </w:r>
      <w:r w:rsidR="007075D4" w:rsidRPr="00317113">
        <w:rPr>
          <w:rFonts w:ascii="Arial" w:hAnsi="Arial" w:cs="Arial"/>
          <w:sz w:val="24"/>
          <w:szCs w:val="24"/>
        </w:rPr>
        <w:t xml:space="preserve">.  The detail is left to the “rules” and the “data standards” to be made under the legislation.  Therefore, </w:t>
      </w:r>
      <w:r>
        <w:rPr>
          <w:rFonts w:ascii="Arial" w:hAnsi="Arial" w:cs="Arial"/>
          <w:sz w:val="24"/>
          <w:szCs w:val="24"/>
        </w:rPr>
        <w:t>our</w:t>
      </w:r>
      <w:r w:rsidR="007075D4" w:rsidRPr="00317113">
        <w:rPr>
          <w:rFonts w:ascii="Arial" w:hAnsi="Arial" w:cs="Arial"/>
          <w:sz w:val="24"/>
          <w:szCs w:val="24"/>
        </w:rPr>
        <w:t xml:space="preserve"> comments are high level, as follows:</w:t>
      </w:r>
    </w:p>
    <w:p w14:paraId="68B57484" w14:textId="7C8AC505" w:rsidR="007075D4" w:rsidRPr="00317113" w:rsidRDefault="00317113" w:rsidP="007C74A7">
      <w:pPr>
        <w:pStyle w:val="ListParagraph"/>
        <w:numPr>
          <w:ilvl w:val="0"/>
          <w:numId w:val="8"/>
        </w:numPr>
        <w:spacing w:after="240" w:line="240" w:lineRule="auto"/>
        <w:contextualSpacing w:val="0"/>
        <w:rPr>
          <w:rFonts w:ascii="Arial" w:eastAsia="Times New Roman" w:hAnsi="Arial" w:cs="Arial"/>
          <w:sz w:val="24"/>
          <w:szCs w:val="24"/>
        </w:rPr>
      </w:pPr>
      <w:r>
        <w:rPr>
          <w:rFonts w:ascii="Arial" w:eastAsia="Times New Roman" w:hAnsi="Arial" w:cs="Arial"/>
          <w:sz w:val="24"/>
          <w:szCs w:val="24"/>
        </w:rPr>
        <w:t>D</w:t>
      </w:r>
      <w:r w:rsidR="007075D4" w:rsidRPr="00317113">
        <w:rPr>
          <w:rFonts w:ascii="Arial" w:eastAsia="Times New Roman" w:hAnsi="Arial" w:cs="Arial"/>
          <w:sz w:val="24"/>
          <w:szCs w:val="24"/>
        </w:rPr>
        <w:t xml:space="preserve">raft rules and data standards (at least the initial minimum set) should be published </w:t>
      </w:r>
      <w:r>
        <w:rPr>
          <w:rFonts w:ascii="Arial" w:eastAsia="Times New Roman" w:hAnsi="Arial" w:cs="Arial"/>
          <w:sz w:val="24"/>
          <w:szCs w:val="24"/>
        </w:rPr>
        <w:t xml:space="preserve">for </w:t>
      </w:r>
      <w:r w:rsidR="007075D4" w:rsidRPr="00317113">
        <w:rPr>
          <w:rFonts w:ascii="Arial" w:eastAsia="Times New Roman" w:hAnsi="Arial" w:cs="Arial"/>
          <w:sz w:val="24"/>
          <w:szCs w:val="24"/>
        </w:rPr>
        <w:t>consultation</w:t>
      </w:r>
      <w:r>
        <w:rPr>
          <w:rFonts w:ascii="Arial" w:eastAsia="Times New Roman" w:hAnsi="Arial" w:cs="Arial"/>
          <w:sz w:val="24"/>
          <w:szCs w:val="24"/>
        </w:rPr>
        <w:t xml:space="preserve"> as soon as possible.</w:t>
      </w:r>
    </w:p>
    <w:p w14:paraId="0CC4AC56" w14:textId="07641380" w:rsidR="007075D4" w:rsidRPr="00317113" w:rsidRDefault="007075D4" w:rsidP="007C74A7">
      <w:pPr>
        <w:pStyle w:val="ListParagraph"/>
        <w:numPr>
          <w:ilvl w:val="0"/>
          <w:numId w:val="8"/>
        </w:numPr>
        <w:spacing w:after="240" w:line="240" w:lineRule="auto"/>
        <w:contextualSpacing w:val="0"/>
        <w:rPr>
          <w:rFonts w:ascii="Arial" w:eastAsia="Times New Roman" w:hAnsi="Arial" w:cs="Arial"/>
          <w:sz w:val="24"/>
          <w:szCs w:val="24"/>
        </w:rPr>
      </w:pPr>
      <w:r w:rsidRPr="00317113">
        <w:rPr>
          <w:rFonts w:ascii="Arial" w:eastAsia="Times New Roman" w:hAnsi="Arial" w:cs="Arial"/>
          <w:sz w:val="24"/>
          <w:szCs w:val="24"/>
        </w:rPr>
        <w:lastRenderedPageBreak/>
        <w:t>There are a number of matters that should</w:t>
      </w:r>
      <w:r w:rsidR="00047E26">
        <w:rPr>
          <w:rFonts w:ascii="Arial" w:eastAsia="Times New Roman" w:hAnsi="Arial" w:cs="Arial"/>
          <w:sz w:val="24"/>
          <w:szCs w:val="24"/>
        </w:rPr>
        <w:t xml:space="preserve"> be</w:t>
      </w:r>
      <w:r w:rsidRPr="00317113">
        <w:rPr>
          <w:rFonts w:ascii="Arial" w:eastAsia="Times New Roman" w:hAnsi="Arial" w:cs="Arial"/>
          <w:sz w:val="24"/>
          <w:szCs w:val="24"/>
        </w:rPr>
        <w:t xml:space="preserve"> clarified and enshrined in</w:t>
      </w:r>
      <w:r w:rsidR="00CD741A">
        <w:rPr>
          <w:rFonts w:ascii="Arial" w:eastAsia="Times New Roman" w:hAnsi="Arial" w:cs="Arial"/>
          <w:sz w:val="24"/>
          <w:szCs w:val="24"/>
        </w:rPr>
        <w:t xml:space="preserve"> the</w:t>
      </w:r>
      <w:r w:rsidRPr="00317113">
        <w:rPr>
          <w:rFonts w:ascii="Arial" w:eastAsia="Times New Roman" w:hAnsi="Arial" w:cs="Arial"/>
          <w:sz w:val="24"/>
          <w:szCs w:val="24"/>
        </w:rPr>
        <w:t xml:space="preserve"> </w:t>
      </w:r>
      <w:r w:rsidR="00317113">
        <w:rPr>
          <w:rFonts w:ascii="Arial" w:eastAsia="Times New Roman" w:hAnsi="Arial" w:cs="Arial"/>
          <w:sz w:val="24"/>
          <w:szCs w:val="24"/>
        </w:rPr>
        <w:t>legislation</w:t>
      </w:r>
      <w:r w:rsidRPr="00317113">
        <w:rPr>
          <w:rFonts w:ascii="Arial" w:eastAsia="Times New Roman" w:hAnsi="Arial" w:cs="Arial"/>
          <w:sz w:val="24"/>
          <w:szCs w:val="24"/>
        </w:rPr>
        <w:t xml:space="preserve"> itself (not left to the rules or standards) in a way that is simple and unambiguous.  The matters </w:t>
      </w:r>
      <w:r w:rsidR="00047E26">
        <w:rPr>
          <w:rFonts w:ascii="Arial" w:eastAsia="Times New Roman" w:hAnsi="Arial" w:cs="Arial"/>
          <w:sz w:val="24"/>
          <w:szCs w:val="24"/>
        </w:rPr>
        <w:t>that should</w:t>
      </w:r>
      <w:r w:rsidRPr="00317113">
        <w:rPr>
          <w:rFonts w:ascii="Arial" w:eastAsia="Times New Roman" w:hAnsi="Arial" w:cs="Arial"/>
          <w:sz w:val="24"/>
          <w:szCs w:val="24"/>
        </w:rPr>
        <w:t xml:space="preserve"> be clarified and simplified include:</w:t>
      </w:r>
    </w:p>
    <w:p w14:paraId="52108547" w14:textId="046032AB" w:rsidR="00CD741A" w:rsidRPr="00CD741A" w:rsidRDefault="007075D4" w:rsidP="007C74A7">
      <w:pPr>
        <w:pStyle w:val="ListParagraph"/>
        <w:numPr>
          <w:ilvl w:val="0"/>
          <w:numId w:val="9"/>
        </w:numPr>
        <w:spacing w:after="240" w:line="240" w:lineRule="auto"/>
        <w:ind w:left="1440"/>
        <w:contextualSpacing w:val="0"/>
        <w:rPr>
          <w:rFonts w:ascii="Arial" w:eastAsia="Times New Roman" w:hAnsi="Arial" w:cs="Arial"/>
          <w:sz w:val="24"/>
          <w:szCs w:val="24"/>
        </w:rPr>
      </w:pPr>
      <w:r w:rsidRPr="00317113">
        <w:rPr>
          <w:rFonts w:ascii="Arial" w:eastAsia="Times New Roman" w:hAnsi="Arial" w:cs="Arial"/>
          <w:sz w:val="24"/>
          <w:szCs w:val="24"/>
        </w:rPr>
        <w:t>The right for “persons</w:t>
      </w:r>
      <w:r w:rsidR="00CD741A">
        <w:rPr>
          <w:rFonts w:ascii="Arial" w:eastAsia="Times New Roman" w:hAnsi="Arial" w:cs="Arial"/>
          <w:sz w:val="24"/>
          <w:szCs w:val="24"/>
        </w:rPr>
        <w:t>”</w:t>
      </w:r>
      <w:r w:rsidRPr="00317113">
        <w:rPr>
          <w:rFonts w:ascii="Arial" w:eastAsia="Times New Roman" w:hAnsi="Arial" w:cs="Arial"/>
          <w:sz w:val="24"/>
          <w:szCs w:val="24"/>
        </w:rPr>
        <w:t xml:space="preserve"> </w:t>
      </w:r>
      <w:r w:rsidR="00CD741A">
        <w:rPr>
          <w:rFonts w:ascii="Arial" w:eastAsia="Times New Roman" w:hAnsi="Arial" w:cs="Arial"/>
          <w:sz w:val="24"/>
          <w:szCs w:val="24"/>
        </w:rPr>
        <w:t>other than</w:t>
      </w:r>
      <w:r w:rsidRPr="00317113">
        <w:rPr>
          <w:rFonts w:ascii="Arial" w:eastAsia="Times New Roman" w:hAnsi="Arial" w:cs="Arial"/>
          <w:sz w:val="24"/>
          <w:szCs w:val="24"/>
        </w:rPr>
        <w:t xml:space="preserve"> natural persons to access their CDR data.  To aid clarity, </w:t>
      </w:r>
      <w:r w:rsidR="00CD741A">
        <w:rPr>
          <w:rFonts w:ascii="Arial" w:eastAsia="Times New Roman" w:hAnsi="Arial" w:cs="Arial"/>
          <w:sz w:val="24"/>
          <w:szCs w:val="24"/>
        </w:rPr>
        <w:t>our view is that</w:t>
      </w:r>
      <w:r w:rsidRPr="00317113">
        <w:rPr>
          <w:rFonts w:ascii="Arial" w:eastAsia="Times New Roman" w:hAnsi="Arial" w:cs="Arial"/>
          <w:sz w:val="24"/>
          <w:szCs w:val="24"/>
        </w:rPr>
        <w:t xml:space="preserve"> references to “consumer” in the </w:t>
      </w:r>
      <w:r w:rsidR="00CD741A">
        <w:rPr>
          <w:rFonts w:ascii="Arial" w:eastAsia="Times New Roman" w:hAnsi="Arial" w:cs="Arial"/>
          <w:sz w:val="24"/>
          <w:szCs w:val="24"/>
        </w:rPr>
        <w:t>Exposure Draft</w:t>
      </w:r>
      <w:r w:rsidRPr="00317113">
        <w:rPr>
          <w:rFonts w:ascii="Arial" w:eastAsia="Times New Roman" w:hAnsi="Arial" w:cs="Arial"/>
          <w:sz w:val="24"/>
          <w:szCs w:val="24"/>
        </w:rPr>
        <w:t xml:space="preserve"> (including all of the definition</w:t>
      </w:r>
      <w:r w:rsidR="00CD741A">
        <w:rPr>
          <w:rFonts w:ascii="Arial" w:eastAsia="Times New Roman" w:hAnsi="Arial" w:cs="Arial"/>
          <w:sz w:val="24"/>
          <w:szCs w:val="24"/>
        </w:rPr>
        <w:t>s</w:t>
      </w:r>
      <w:r w:rsidRPr="00317113">
        <w:rPr>
          <w:rFonts w:ascii="Arial" w:eastAsia="Times New Roman" w:hAnsi="Arial" w:cs="Arial"/>
          <w:sz w:val="24"/>
          <w:szCs w:val="24"/>
        </w:rPr>
        <w:t>) should be changed to “customer”</w:t>
      </w:r>
      <w:r w:rsidR="00CD741A">
        <w:rPr>
          <w:rFonts w:ascii="Arial" w:eastAsia="Times New Roman" w:hAnsi="Arial" w:cs="Arial"/>
          <w:sz w:val="24"/>
          <w:szCs w:val="24"/>
        </w:rPr>
        <w:t>.</w:t>
      </w:r>
    </w:p>
    <w:p w14:paraId="5A4F41E3" w14:textId="20AC4B47" w:rsidR="007075D4" w:rsidRPr="00317113" w:rsidRDefault="007075D4" w:rsidP="007C74A7">
      <w:pPr>
        <w:pStyle w:val="ListParagraph"/>
        <w:numPr>
          <w:ilvl w:val="0"/>
          <w:numId w:val="9"/>
        </w:numPr>
        <w:spacing w:after="240" w:line="240" w:lineRule="auto"/>
        <w:ind w:left="1440"/>
        <w:contextualSpacing w:val="0"/>
        <w:rPr>
          <w:rFonts w:ascii="Arial" w:eastAsia="Times New Roman" w:hAnsi="Arial" w:cs="Arial"/>
          <w:sz w:val="24"/>
          <w:szCs w:val="24"/>
        </w:rPr>
      </w:pPr>
      <w:r w:rsidRPr="00317113">
        <w:rPr>
          <w:rFonts w:ascii="Arial" w:eastAsia="Times New Roman" w:hAnsi="Arial" w:cs="Arial"/>
          <w:sz w:val="24"/>
          <w:szCs w:val="24"/>
        </w:rPr>
        <w:t xml:space="preserve">A positive obligation on CDR data holders to provide CDR data on request by the data subject – and to provide </w:t>
      </w:r>
      <w:r w:rsidR="00047E26">
        <w:rPr>
          <w:rFonts w:ascii="Arial" w:eastAsia="Times New Roman" w:hAnsi="Arial" w:cs="Arial"/>
          <w:sz w:val="24"/>
          <w:szCs w:val="24"/>
        </w:rPr>
        <w:t xml:space="preserve">it </w:t>
      </w:r>
      <w:r w:rsidRPr="00317113">
        <w:rPr>
          <w:rFonts w:ascii="Arial" w:eastAsia="Times New Roman" w:hAnsi="Arial" w:cs="Arial"/>
          <w:sz w:val="24"/>
          <w:szCs w:val="24"/>
        </w:rPr>
        <w:t xml:space="preserve">to the subject or an accredited third party in machine readable form if requested.  This seems to be a matter that has been left to be dealt with by the “rules”.  </w:t>
      </w:r>
    </w:p>
    <w:p w14:paraId="4B1288BD" w14:textId="38776CF9" w:rsidR="007075D4" w:rsidRPr="00317113" w:rsidRDefault="007075D4" w:rsidP="007C74A7">
      <w:pPr>
        <w:pStyle w:val="ListParagraph"/>
        <w:numPr>
          <w:ilvl w:val="0"/>
          <w:numId w:val="8"/>
        </w:numPr>
        <w:spacing w:after="240" w:line="240" w:lineRule="auto"/>
        <w:contextualSpacing w:val="0"/>
        <w:rPr>
          <w:rFonts w:ascii="Arial" w:eastAsia="Times New Roman" w:hAnsi="Arial" w:cs="Arial"/>
          <w:sz w:val="24"/>
          <w:szCs w:val="24"/>
          <w:lang w:eastAsia="en-AU"/>
        </w:rPr>
      </w:pPr>
      <w:r w:rsidRPr="00317113">
        <w:rPr>
          <w:rFonts w:ascii="Arial" w:eastAsia="Times New Roman" w:hAnsi="Arial" w:cs="Arial"/>
          <w:sz w:val="24"/>
          <w:szCs w:val="24"/>
        </w:rPr>
        <w:t xml:space="preserve">The </w:t>
      </w:r>
      <w:r w:rsidR="00DE5E61">
        <w:rPr>
          <w:rFonts w:ascii="Arial" w:eastAsia="Times New Roman" w:hAnsi="Arial" w:cs="Arial"/>
          <w:sz w:val="24"/>
          <w:szCs w:val="24"/>
        </w:rPr>
        <w:t>Exposure Draft</w:t>
      </w:r>
      <w:r w:rsidRPr="00317113">
        <w:rPr>
          <w:rFonts w:ascii="Arial" w:eastAsia="Times New Roman" w:hAnsi="Arial" w:cs="Arial"/>
          <w:sz w:val="24"/>
          <w:szCs w:val="24"/>
        </w:rPr>
        <w:t xml:space="preserve"> requires CDR data recipients to be accredited. </w:t>
      </w:r>
      <w:r w:rsidR="00047E26">
        <w:rPr>
          <w:rFonts w:ascii="Arial" w:eastAsia="Times New Roman" w:hAnsi="Arial" w:cs="Arial"/>
          <w:sz w:val="24"/>
          <w:szCs w:val="24"/>
        </w:rPr>
        <w:t xml:space="preserve"> </w:t>
      </w:r>
      <w:r w:rsidR="00DE5E61">
        <w:rPr>
          <w:rFonts w:ascii="Arial" w:eastAsia="Times New Roman" w:hAnsi="Arial" w:cs="Arial"/>
          <w:sz w:val="24"/>
          <w:szCs w:val="24"/>
        </w:rPr>
        <w:t>The Exposure Draft</w:t>
      </w:r>
      <w:r w:rsidRPr="00317113">
        <w:rPr>
          <w:rFonts w:ascii="Arial" w:eastAsia="Times New Roman" w:hAnsi="Arial" w:cs="Arial"/>
          <w:sz w:val="24"/>
          <w:szCs w:val="24"/>
        </w:rPr>
        <w:t xml:space="preserve"> creates a Data Recipient Accreditor that is a government body or a monopoly (if a single private entity </w:t>
      </w:r>
      <w:r w:rsidR="00047E26">
        <w:rPr>
          <w:rFonts w:ascii="Arial" w:eastAsia="Times New Roman" w:hAnsi="Arial" w:cs="Arial"/>
          <w:sz w:val="24"/>
          <w:szCs w:val="24"/>
        </w:rPr>
        <w:t>were to be</w:t>
      </w:r>
      <w:r w:rsidRPr="00317113">
        <w:rPr>
          <w:rFonts w:ascii="Arial" w:eastAsia="Times New Roman" w:hAnsi="Arial" w:cs="Arial"/>
          <w:sz w:val="24"/>
          <w:szCs w:val="24"/>
        </w:rPr>
        <w:t xml:space="preserve"> appointed).  </w:t>
      </w:r>
      <w:r w:rsidR="00047E26" w:rsidRPr="00317113">
        <w:rPr>
          <w:rFonts w:ascii="Arial" w:eastAsia="Times New Roman" w:hAnsi="Arial" w:cs="Arial"/>
          <w:sz w:val="24"/>
          <w:szCs w:val="24"/>
        </w:rPr>
        <w:t xml:space="preserve">Accreditation </w:t>
      </w:r>
      <w:r w:rsidR="00047E26">
        <w:rPr>
          <w:rFonts w:ascii="Arial" w:eastAsia="Times New Roman" w:hAnsi="Arial" w:cs="Arial"/>
          <w:sz w:val="24"/>
          <w:szCs w:val="24"/>
        </w:rPr>
        <w:t xml:space="preserve">can be </w:t>
      </w:r>
      <w:r w:rsidR="00047E26" w:rsidRPr="00317113">
        <w:rPr>
          <w:rFonts w:ascii="Arial" w:eastAsia="Times New Roman" w:hAnsi="Arial" w:cs="Arial"/>
          <w:sz w:val="24"/>
          <w:szCs w:val="24"/>
        </w:rPr>
        <w:t>a lengthy process</w:t>
      </w:r>
      <w:r w:rsidR="00047E26">
        <w:rPr>
          <w:rFonts w:ascii="Arial" w:eastAsia="Times New Roman" w:hAnsi="Arial" w:cs="Arial"/>
          <w:sz w:val="24"/>
          <w:szCs w:val="24"/>
        </w:rPr>
        <w:t xml:space="preserve">, </w:t>
      </w:r>
      <w:r w:rsidR="00047E26" w:rsidRPr="00317113">
        <w:rPr>
          <w:rFonts w:ascii="Arial" w:eastAsia="Times New Roman" w:hAnsi="Arial" w:cs="Arial"/>
          <w:sz w:val="24"/>
          <w:szCs w:val="24"/>
        </w:rPr>
        <w:t>and potentially a bottleneck</w:t>
      </w:r>
      <w:r w:rsidR="00493BCA">
        <w:rPr>
          <w:rFonts w:ascii="Arial" w:eastAsia="Times New Roman" w:hAnsi="Arial" w:cs="Arial"/>
          <w:sz w:val="24"/>
          <w:szCs w:val="24"/>
        </w:rPr>
        <w:t xml:space="preserve">. </w:t>
      </w:r>
      <w:r w:rsidR="00DE5E61">
        <w:rPr>
          <w:rFonts w:ascii="Arial" w:eastAsia="Times New Roman" w:hAnsi="Arial" w:cs="Arial"/>
          <w:sz w:val="24"/>
          <w:szCs w:val="24"/>
        </w:rPr>
        <w:t>This may not be</w:t>
      </w:r>
      <w:r w:rsidRPr="00317113">
        <w:rPr>
          <w:rFonts w:ascii="Arial" w:eastAsia="Times New Roman" w:hAnsi="Arial" w:cs="Arial"/>
          <w:sz w:val="24"/>
          <w:szCs w:val="24"/>
        </w:rPr>
        <w:t xml:space="preserve"> conducive to facilitating access to and sharing of CDR data.   </w:t>
      </w:r>
      <w:r w:rsidR="00DE5E61">
        <w:rPr>
          <w:rFonts w:ascii="Arial" w:eastAsia="Times New Roman" w:hAnsi="Arial" w:cs="Arial"/>
          <w:sz w:val="24"/>
          <w:szCs w:val="24"/>
        </w:rPr>
        <w:t>In our view, c</w:t>
      </w:r>
      <w:r w:rsidRPr="00317113">
        <w:rPr>
          <w:rFonts w:ascii="Arial" w:eastAsia="Times New Roman" w:hAnsi="Arial" w:cs="Arial"/>
          <w:sz w:val="24"/>
          <w:szCs w:val="24"/>
        </w:rPr>
        <w:t>onsideration should be given to a federated model, under which multiple</w:t>
      </w:r>
      <w:r w:rsidR="00DE5E61">
        <w:rPr>
          <w:rFonts w:ascii="Arial" w:eastAsia="Times New Roman" w:hAnsi="Arial" w:cs="Arial"/>
          <w:sz w:val="24"/>
          <w:szCs w:val="24"/>
        </w:rPr>
        <w:t xml:space="preserve"> (and </w:t>
      </w:r>
      <w:r w:rsidRPr="00317113">
        <w:rPr>
          <w:rFonts w:ascii="Arial" w:eastAsia="Times New Roman" w:hAnsi="Arial" w:cs="Arial"/>
          <w:sz w:val="24"/>
          <w:szCs w:val="24"/>
        </w:rPr>
        <w:t>compet</w:t>
      </w:r>
      <w:r w:rsidR="00DE5E61">
        <w:rPr>
          <w:rFonts w:ascii="Arial" w:eastAsia="Times New Roman" w:hAnsi="Arial" w:cs="Arial"/>
          <w:sz w:val="24"/>
          <w:szCs w:val="24"/>
        </w:rPr>
        <w:t>ing)</w:t>
      </w:r>
      <w:r w:rsidRPr="00317113">
        <w:rPr>
          <w:rFonts w:ascii="Arial" w:eastAsia="Times New Roman" w:hAnsi="Arial" w:cs="Arial"/>
          <w:sz w:val="24"/>
          <w:szCs w:val="24"/>
        </w:rPr>
        <w:t xml:space="preserve"> </w:t>
      </w:r>
      <w:r w:rsidR="00DE5E61">
        <w:rPr>
          <w:rFonts w:ascii="Arial" w:eastAsia="Times New Roman" w:hAnsi="Arial" w:cs="Arial"/>
          <w:sz w:val="24"/>
          <w:szCs w:val="24"/>
        </w:rPr>
        <w:t xml:space="preserve">accreditation </w:t>
      </w:r>
      <w:r w:rsidRPr="00317113">
        <w:rPr>
          <w:rFonts w:ascii="Arial" w:eastAsia="Times New Roman" w:hAnsi="Arial" w:cs="Arial"/>
          <w:sz w:val="24"/>
          <w:szCs w:val="24"/>
        </w:rPr>
        <w:t>registries would update one central register, rather than creating a</w:t>
      </w:r>
      <w:r w:rsidR="00DE5E61">
        <w:rPr>
          <w:rFonts w:ascii="Arial" w:eastAsia="Times New Roman" w:hAnsi="Arial" w:cs="Arial"/>
          <w:sz w:val="24"/>
          <w:szCs w:val="24"/>
        </w:rPr>
        <w:t xml:space="preserve">n accreditation </w:t>
      </w:r>
      <w:r w:rsidRPr="00317113">
        <w:rPr>
          <w:rFonts w:ascii="Arial" w:eastAsia="Times New Roman" w:hAnsi="Arial" w:cs="Arial"/>
          <w:sz w:val="24"/>
          <w:szCs w:val="24"/>
        </w:rPr>
        <w:t>bottleneck.</w:t>
      </w:r>
    </w:p>
    <w:p w14:paraId="49D6A43E" w14:textId="77777777" w:rsidR="00317113" w:rsidRDefault="00317113" w:rsidP="00317113">
      <w:pPr>
        <w:pStyle w:val="ListParagraph"/>
        <w:ind w:left="0"/>
        <w:rPr>
          <w:rFonts w:ascii="Arial" w:hAnsi="Arial" w:cs="Arial"/>
          <w:sz w:val="24"/>
          <w:szCs w:val="24"/>
        </w:rPr>
      </w:pPr>
      <w:r w:rsidRPr="00C01EF0">
        <w:rPr>
          <w:rFonts w:ascii="Arial" w:hAnsi="Arial" w:cs="Arial"/>
          <w:sz w:val="24"/>
          <w:szCs w:val="24"/>
        </w:rPr>
        <w:t xml:space="preserve">Finally, we would be happy to </w:t>
      </w:r>
      <w:r>
        <w:rPr>
          <w:rFonts w:ascii="Arial" w:hAnsi="Arial" w:cs="Arial"/>
          <w:sz w:val="24"/>
          <w:szCs w:val="24"/>
        </w:rPr>
        <w:t>discuss any aspect of our submission with you or your staff.  Please contact me in the first instance.</w:t>
      </w:r>
    </w:p>
    <w:p w14:paraId="4A67AB8D" w14:textId="77777777" w:rsidR="00317113" w:rsidRDefault="00317113" w:rsidP="00317113">
      <w:pPr>
        <w:pStyle w:val="ListParagraph"/>
        <w:ind w:left="284"/>
        <w:rPr>
          <w:rFonts w:ascii="Arial" w:hAnsi="Arial" w:cs="Arial"/>
          <w:sz w:val="24"/>
          <w:szCs w:val="24"/>
        </w:rPr>
      </w:pPr>
    </w:p>
    <w:p w14:paraId="062D0F93" w14:textId="77777777" w:rsidR="00317113" w:rsidRDefault="00317113" w:rsidP="007C74A7">
      <w:pPr>
        <w:pStyle w:val="ListParagraph"/>
        <w:ind w:left="0"/>
        <w:rPr>
          <w:rFonts w:ascii="Arial" w:hAnsi="Arial" w:cs="Arial"/>
          <w:sz w:val="24"/>
          <w:szCs w:val="24"/>
        </w:rPr>
      </w:pPr>
      <w:r>
        <w:rPr>
          <w:rFonts w:ascii="Arial" w:hAnsi="Arial" w:cs="Arial"/>
          <w:sz w:val="24"/>
          <w:szCs w:val="24"/>
        </w:rPr>
        <w:t>Sincerely</w:t>
      </w:r>
    </w:p>
    <w:p w14:paraId="09BB3B98" w14:textId="77777777" w:rsidR="00317113" w:rsidRDefault="00317113" w:rsidP="007C74A7">
      <w:pPr>
        <w:pStyle w:val="ListParagraph"/>
        <w:ind w:left="0"/>
        <w:rPr>
          <w:rFonts w:ascii="Arial" w:hAnsi="Arial" w:cs="Arial"/>
          <w:sz w:val="24"/>
          <w:szCs w:val="24"/>
        </w:rPr>
      </w:pPr>
      <w:r>
        <w:rPr>
          <w:rFonts w:ascii="Arial" w:hAnsi="Arial" w:cs="Arial"/>
          <w:sz w:val="24"/>
          <w:szCs w:val="24"/>
        </w:rPr>
        <w:t>Lisa Schutz, CEO</w:t>
      </w:r>
    </w:p>
    <w:p w14:paraId="2FBDDAA4" w14:textId="2B1D0518" w:rsidR="00DF1D75" w:rsidRPr="007C74A7" w:rsidRDefault="00317113" w:rsidP="007C74A7">
      <w:pPr>
        <w:pStyle w:val="ListParagraph"/>
        <w:ind w:left="0"/>
        <w:rPr>
          <w:rFonts w:ascii="Arial" w:hAnsi="Arial" w:cs="Arial"/>
          <w:b/>
          <w:sz w:val="24"/>
          <w:szCs w:val="24"/>
        </w:rPr>
      </w:pPr>
      <w:r>
        <w:rPr>
          <w:rFonts w:ascii="Arial" w:hAnsi="Arial" w:cs="Arial"/>
          <w:sz w:val="24"/>
          <w:szCs w:val="24"/>
        </w:rPr>
        <w:t>Verifier</w:t>
      </w:r>
    </w:p>
    <w:sectPr w:rsidR="00DF1D75" w:rsidRPr="007C74A7" w:rsidSect="007C74A7">
      <w:headerReference w:type="default" r:id="rId11"/>
      <w:footerReference w:type="default" r:id="rId12"/>
      <w:pgSz w:w="11906" w:h="16838"/>
      <w:pgMar w:top="1440" w:right="1440" w:bottom="1440" w:left="1440"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7DCFF1" w14:textId="77777777" w:rsidR="006D2AD9" w:rsidRDefault="006D2AD9" w:rsidP="00DB6C0E">
      <w:pPr>
        <w:spacing w:after="0" w:line="240" w:lineRule="auto"/>
      </w:pPr>
      <w:r>
        <w:separator/>
      </w:r>
    </w:p>
  </w:endnote>
  <w:endnote w:type="continuationSeparator" w:id="0">
    <w:p w14:paraId="245E5034" w14:textId="77777777" w:rsidR="006D2AD9" w:rsidRDefault="006D2AD9" w:rsidP="00DB6C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949149"/>
      <w:docPartObj>
        <w:docPartGallery w:val="Page Numbers (Bottom of Page)"/>
        <w:docPartUnique/>
      </w:docPartObj>
    </w:sdtPr>
    <w:sdtEndPr/>
    <w:sdtContent>
      <w:sdt>
        <w:sdtPr>
          <w:id w:val="673690433"/>
          <w:docPartObj>
            <w:docPartGallery w:val="Page Numbers (Top of Page)"/>
            <w:docPartUnique/>
          </w:docPartObj>
        </w:sdtPr>
        <w:sdtEndPr/>
        <w:sdtContent>
          <w:p w14:paraId="19E1C310" w14:textId="77777777" w:rsidR="003337ED" w:rsidRDefault="003337E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504F16B" w14:textId="77777777" w:rsidR="003337ED" w:rsidRDefault="003337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6FF0B9" w14:textId="77777777" w:rsidR="006D2AD9" w:rsidRDefault="006D2AD9" w:rsidP="00DB6C0E">
      <w:pPr>
        <w:spacing w:after="0" w:line="240" w:lineRule="auto"/>
      </w:pPr>
      <w:r>
        <w:separator/>
      </w:r>
    </w:p>
  </w:footnote>
  <w:footnote w:type="continuationSeparator" w:id="0">
    <w:p w14:paraId="27006D9F" w14:textId="77777777" w:rsidR="006D2AD9" w:rsidRDefault="006D2AD9" w:rsidP="00DB6C0E">
      <w:pPr>
        <w:spacing w:after="0" w:line="240" w:lineRule="auto"/>
      </w:pPr>
      <w:r>
        <w:continuationSeparator/>
      </w:r>
    </w:p>
  </w:footnote>
  <w:footnote w:id="1">
    <w:p w14:paraId="467D5F67" w14:textId="77777777" w:rsidR="002E1C02" w:rsidRDefault="002E1C02">
      <w:pPr>
        <w:pStyle w:val="FootnoteText"/>
      </w:pPr>
      <w:r>
        <w:rPr>
          <w:rStyle w:val="FootnoteReference"/>
        </w:rPr>
        <w:footnoteRef/>
      </w:r>
      <w:r>
        <w:t xml:space="preserve"> European Commission – Fact Sheet.  </w:t>
      </w:r>
      <w:r>
        <w:rPr>
          <w:i/>
        </w:rPr>
        <w:t xml:space="preserve">Payment Services Directive (PSD2): Regulatory Technical Standards (RTS) enabling customers to benefit from safer and more innovative electronic payments </w:t>
      </w:r>
      <w:r w:rsidRPr="002E1C02">
        <w:rPr>
          <w:rFonts w:cstheme="minorHAnsi"/>
        </w:rPr>
        <w:t>MEMO/17/4961</w:t>
      </w:r>
      <w:r>
        <w:rPr>
          <w:rFonts w:cstheme="minorHAnsi"/>
        </w:rPr>
        <w:t>, Brussels 27 November 2017</w:t>
      </w:r>
    </w:p>
  </w:footnote>
  <w:footnote w:id="2">
    <w:p w14:paraId="52C1D8FE" w14:textId="77777777" w:rsidR="00EC136B" w:rsidRDefault="00EC136B">
      <w:pPr>
        <w:pStyle w:val="FootnoteText"/>
      </w:pPr>
      <w:r>
        <w:rPr>
          <w:rStyle w:val="FootnoteReference"/>
        </w:rPr>
        <w:footnoteRef/>
      </w:r>
      <w:r>
        <w:t xml:space="preserve"> </w:t>
      </w:r>
      <w:r w:rsidRPr="00EC136B">
        <w:t>http://www.hoganlovellspayments.com/PSD2#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A79B1" w14:textId="7A9CF9AD" w:rsidR="00096F07" w:rsidRDefault="00096F07" w:rsidP="00096F07">
    <w:pPr>
      <w:pStyle w:val="Header"/>
      <w:jc w:val="right"/>
      <w:rPr>
        <w:rFonts w:ascii="Arial" w:hAnsi="Arial" w:cs="Arial"/>
        <w:b/>
        <w:i/>
      </w:rPr>
    </w:pPr>
    <w:r>
      <w:rPr>
        <w:rFonts w:ascii="Arial" w:hAnsi="Arial" w:cs="Arial"/>
        <w:noProof/>
      </w:rPr>
      <w:drawing>
        <wp:inline distT="0" distB="0" distL="0" distR="0" wp14:anchorId="0F03FB80" wp14:editId="26D412C7">
          <wp:extent cx="1152000" cy="687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erifier Logo 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1152000" cy="687600"/>
                  </a:xfrm>
                  <a:prstGeom prst="rect">
                    <a:avLst/>
                  </a:prstGeom>
                </pic:spPr>
              </pic:pic>
            </a:graphicData>
          </a:graphic>
        </wp:inline>
      </w:drawing>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t>Verifier Submission</w:t>
    </w:r>
  </w:p>
  <w:p w14:paraId="79AC4FD1" w14:textId="7636742D" w:rsidR="00096F07" w:rsidRDefault="00893FEB" w:rsidP="00096F07">
    <w:pPr>
      <w:pStyle w:val="Header"/>
      <w:jc w:val="right"/>
      <w:rPr>
        <w:rFonts w:ascii="Arial" w:hAnsi="Arial" w:cs="Arial"/>
        <w:b/>
        <w:i/>
      </w:rPr>
    </w:pPr>
    <w:r>
      <w:rPr>
        <w:rFonts w:ascii="Arial" w:hAnsi="Arial" w:cs="Arial"/>
        <w:b/>
        <w:i/>
      </w:rPr>
      <w:t>4</w:t>
    </w:r>
    <w:r w:rsidR="00096F07">
      <w:rPr>
        <w:rFonts w:ascii="Arial" w:hAnsi="Arial" w:cs="Arial"/>
        <w:b/>
        <w:i/>
      </w:rPr>
      <w:t xml:space="preserve"> September 2018</w:t>
    </w:r>
  </w:p>
  <w:p w14:paraId="2427C6D4" w14:textId="247F3CD5" w:rsidR="00096F07" w:rsidRDefault="00096F07" w:rsidP="00047E26">
    <w:pPr>
      <w:pBdr>
        <w:bottom w:val="single" w:sz="4" w:space="1" w:color="auto"/>
      </w:pBdr>
      <w:spacing w:after="0"/>
      <w:jc w:val="right"/>
      <w:rPr>
        <w:rFonts w:ascii="Arial" w:hAnsi="Arial" w:cs="Arial"/>
        <w:b/>
        <w:i/>
      </w:rPr>
    </w:pPr>
    <w:r w:rsidRPr="00096F07">
      <w:rPr>
        <w:rFonts w:ascii="Arial" w:hAnsi="Arial" w:cs="Arial"/>
        <w:b/>
        <w:i/>
      </w:rPr>
      <w:t xml:space="preserve">Exposure Draft Treasury Laws Amendment (Consumer Data Right) Bill 2018 </w:t>
    </w:r>
  </w:p>
  <w:p w14:paraId="492ECA46" w14:textId="77777777" w:rsidR="007C74A7" w:rsidRDefault="007C74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24E00"/>
    <w:multiLevelType w:val="hybridMultilevel"/>
    <w:tmpl w:val="586C948E"/>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1" w15:restartNumberingAfterBreak="0">
    <w:nsid w:val="1AED3579"/>
    <w:multiLevelType w:val="hybridMultilevel"/>
    <w:tmpl w:val="8C169168"/>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5143301"/>
    <w:multiLevelType w:val="hybridMultilevel"/>
    <w:tmpl w:val="8C169168"/>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0022444"/>
    <w:multiLevelType w:val="hybridMultilevel"/>
    <w:tmpl w:val="6F4C3B78"/>
    <w:lvl w:ilvl="0" w:tplc="04090005">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15:restartNumberingAfterBreak="0">
    <w:nsid w:val="51C534B2"/>
    <w:multiLevelType w:val="hybridMultilevel"/>
    <w:tmpl w:val="68E0F91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520609CD"/>
    <w:multiLevelType w:val="hybridMultilevel"/>
    <w:tmpl w:val="68D87D52"/>
    <w:lvl w:ilvl="0" w:tplc="5B90108E">
      <w:start w:val="1"/>
      <w:numFmt w:val="decimal"/>
      <w:lvlText w:val="%1."/>
      <w:lvlJc w:val="left"/>
      <w:pPr>
        <w:ind w:left="720" w:hanging="360"/>
      </w:p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66D418B3"/>
    <w:multiLevelType w:val="hybridMultilevel"/>
    <w:tmpl w:val="F482E52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7E781C3B"/>
    <w:multiLevelType w:val="hybridMultilevel"/>
    <w:tmpl w:val="81FAD19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
  </w:num>
  <w:num w:numId="4">
    <w:abstractNumId w:val="6"/>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 w:numId="8">
    <w:abstractNumId w:val="5"/>
    <w:lvlOverride w:ilvl="0">
      <w:startOverride w:val="1"/>
    </w:lvlOverride>
    <w:lvlOverride w:ilvl="1"/>
    <w:lvlOverride w:ilvl="2"/>
    <w:lvlOverride w:ilvl="3"/>
    <w:lvlOverride w:ilvl="4"/>
    <w:lvlOverride w:ilvl="5"/>
    <w:lvlOverride w:ilvl="6"/>
    <w:lvlOverride w:ilvl="7"/>
    <w:lvlOverride w:ilvl="8"/>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9F3"/>
    <w:rsid w:val="00012EF2"/>
    <w:rsid w:val="00026991"/>
    <w:rsid w:val="00047E26"/>
    <w:rsid w:val="00050D43"/>
    <w:rsid w:val="00057C48"/>
    <w:rsid w:val="00077E07"/>
    <w:rsid w:val="0009494C"/>
    <w:rsid w:val="00096F07"/>
    <w:rsid w:val="00097DD1"/>
    <w:rsid w:val="000C106D"/>
    <w:rsid w:val="000C1F8F"/>
    <w:rsid w:val="000E3DED"/>
    <w:rsid w:val="000F5D6A"/>
    <w:rsid w:val="00110CB9"/>
    <w:rsid w:val="00110F2E"/>
    <w:rsid w:val="001169F3"/>
    <w:rsid w:val="00155BBE"/>
    <w:rsid w:val="0017103C"/>
    <w:rsid w:val="0017756A"/>
    <w:rsid w:val="00182D1F"/>
    <w:rsid w:val="00191E60"/>
    <w:rsid w:val="001A5416"/>
    <w:rsid w:val="001C3456"/>
    <w:rsid w:val="001E3023"/>
    <w:rsid w:val="001F3C01"/>
    <w:rsid w:val="002607C1"/>
    <w:rsid w:val="002658C1"/>
    <w:rsid w:val="00271E33"/>
    <w:rsid w:val="0029596E"/>
    <w:rsid w:val="002C52D6"/>
    <w:rsid w:val="002E1C02"/>
    <w:rsid w:val="00317113"/>
    <w:rsid w:val="003337ED"/>
    <w:rsid w:val="0033501E"/>
    <w:rsid w:val="00336C55"/>
    <w:rsid w:val="00361DA8"/>
    <w:rsid w:val="003745BB"/>
    <w:rsid w:val="00377CC2"/>
    <w:rsid w:val="0038610B"/>
    <w:rsid w:val="0039342F"/>
    <w:rsid w:val="003A4E28"/>
    <w:rsid w:val="003D298B"/>
    <w:rsid w:val="00406EF5"/>
    <w:rsid w:val="0040711E"/>
    <w:rsid w:val="004418C3"/>
    <w:rsid w:val="004521E1"/>
    <w:rsid w:val="00452242"/>
    <w:rsid w:val="004719AE"/>
    <w:rsid w:val="00493BCA"/>
    <w:rsid w:val="004B79DA"/>
    <w:rsid w:val="004C2A7A"/>
    <w:rsid w:val="004C6E8E"/>
    <w:rsid w:val="004F5A0C"/>
    <w:rsid w:val="00534C4F"/>
    <w:rsid w:val="0053734E"/>
    <w:rsid w:val="00543572"/>
    <w:rsid w:val="005A3E06"/>
    <w:rsid w:val="005C203A"/>
    <w:rsid w:val="00621353"/>
    <w:rsid w:val="00635DA3"/>
    <w:rsid w:val="00664DAE"/>
    <w:rsid w:val="006D2AD9"/>
    <w:rsid w:val="006E7D3B"/>
    <w:rsid w:val="006F6E77"/>
    <w:rsid w:val="007075D4"/>
    <w:rsid w:val="007243EA"/>
    <w:rsid w:val="00732A2C"/>
    <w:rsid w:val="00752A06"/>
    <w:rsid w:val="00761C0E"/>
    <w:rsid w:val="007A5138"/>
    <w:rsid w:val="007C0E2C"/>
    <w:rsid w:val="007C74A7"/>
    <w:rsid w:val="007F0EF2"/>
    <w:rsid w:val="00813FCE"/>
    <w:rsid w:val="00815F07"/>
    <w:rsid w:val="008305B9"/>
    <w:rsid w:val="008436D1"/>
    <w:rsid w:val="00846988"/>
    <w:rsid w:val="0085329E"/>
    <w:rsid w:val="00893FEB"/>
    <w:rsid w:val="00894579"/>
    <w:rsid w:val="008C08EC"/>
    <w:rsid w:val="008C1C3D"/>
    <w:rsid w:val="008C246E"/>
    <w:rsid w:val="0090268E"/>
    <w:rsid w:val="0092205F"/>
    <w:rsid w:val="00925D6F"/>
    <w:rsid w:val="00931DA1"/>
    <w:rsid w:val="009568CD"/>
    <w:rsid w:val="00957FB2"/>
    <w:rsid w:val="009640E5"/>
    <w:rsid w:val="00982329"/>
    <w:rsid w:val="0098454A"/>
    <w:rsid w:val="00984ECD"/>
    <w:rsid w:val="009B15B9"/>
    <w:rsid w:val="009B6E5E"/>
    <w:rsid w:val="009D541C"/>
    <w:rsid w:val="009F5072"/>
    <w:rsid w:val="00A00219"/>
    <w:rsid w:val="00A002B8"/>
    <w:rsid w:val="00A06E72"/>
    <w:rsid w:val="00A232BC"/>
    <w:rsid w:val="00A34D6F"/>
    <w:rsid w:val="00A41398"/>
    <w:rsid w:val="00A47D27"/>
    <w:rsid w:val="00A9000F"/>
    <w:rsid w:val="00A9350D"/>
    <w:rsid w:val="00AC0F34"/>
    <w:rsid w:val="00B01034"/>
    <w:rsid w:val="00B02F4C"/>
    <w:rsid w:val="00B03533"/>
    <w:rsid w:val="00B05EB0"/>
    <w:rsid w:val="00B319DD"/>
    <w:rsid w:val="00B83802"/>
    <w:rsid w:val="00BA4DBD"/>
    <w:rsid w:val="00BB1873"/>
    <w:rsid w:val="00BC0E78"/>
    <w:rsid w:val="00BC4D75"/>
    <w:rsid w:val="00BD3575"/>
    <w:rsid w:val="00BE04CB"/>
    <w:rsid w:val="00BE3CC9"/>
    <w:rsid w:val="00BE416C"/>
    <w:rsid w:val="00BF0417"/>
    <w:rsid w:val="00C007DD"/>
    <w:rsid w:val="00C01EF0"/>
    <w:rsid w:val="00CB1D22"/>
    <w:rsid w:val="00CC0D59"/>
    <w:rsid w:val="00CD741A"/>
    <w:rsid w:val="00CF1776"/>
    <w:rsid w:val="00D1526A"/>
    <w:rsid w:val="00D34310"/>
    <w:rsid w:val="00D40EDA"/>
    <w:rsid w:val="00D43D05"/>
    <w:rsid w:val="00D47DE5"/>
    <w:rsid w:val="00D57534"/>
    <w:rsid w:val="00D60CEF"/>
    <w:rsid w:val="00D65CAB"/>
    <w:rsid w:val="00D96553"/>
    <w:rsid w:val="00DB6C0E"/>
    <w:rsid w:val="00DC134A"/>
    <w:rsid w:val="00DE2073"/>
    <w:rsid w:val="00DE5E61"/>
    <w:rsid w:val="00DF1D75"/>
    <w:rsid w:val="00E169F3"/>
    <w:rsid w:val="00E16C5F"/>
    <w:rsid w:val="00E264C2"/>
    <w:rsid w:val="00E43F5D"/>
    <w:rsid w:val="00E62BC7"/>
    <w:rsid w:val="00E732C7"/>
    <w:rsid w:val="00EB1B78"/>
    <w:rsid w:val="00EB1C96"/>
    <w:rsid w:val="00EB31F1"/>
    <w:rsid w:val="00EC136B"/>
    <w:rsid w:val="00EC7DDA"/>
    <w:rsid w:val="00ED2574"/>
    <w:rsid w:val="00EE326F"/>
    <w:rsid w:val="00F00702"/>
    <w:rsid w:val="00F47CA6"/>
    <w:rsid w:val="00F55B88"/>
    <w:rsid w:val="00FB456C"/>
    <w:rsid w:val="00FC20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9D0B6E"/>
  <w15:chartTrackingRefBased/>
  <w15:docId w15:val="{D8B5BD0E-A48B-49B4-967F-EB16C23B1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6C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6C0E"/>
  </w:style>
  <w:style w:type="paragraph" w:styleId="Footer">
    <w:name w:val="footer"/>
    <w:basedOn w:val="Normal"/>
    <w:link w:val="FooterChar"/>
    <w:uiPriority w:val="99"/>
    <w:unhideWhenUsed/>
    <w:rsid w:val="00DB6C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6C0E"/>
  </w:style>
  <w:style w:type="character" w:styleId="CommentReference">
    <w:name w:val="annotation reference"/>
    <w:basedOn w:val="DefaultParagraphFont"/>
    <w:uiPriority w:val="99"/>
    <w:semiHidden/>
    <w:unhideWhenUsed/>
    <w:rsid w:val="00A9350D"/>
    <w:rPr>
      <w:sz w:val="16"/>
      <w:szCs w:val="16"/>
    </w:rPr>
  </w:style>
  <w:style w:type="paragraph" w:styleId="CommentText">
    <w:name w:val="annotation text"/>
    <w:basedOn w:val="Normal"/>
    <w:link w:val="CommentTextChar"/>
    <w:uiPriority w:val="99"/>
    <w:semiHidden/>
    <w:unhideWhenUsed/>
    <w:rsid w:val="00A9350D"/>
    <w:pPr>
      <w:spacing w:line="240" w:lineRule="auto"/>
    </w:pPr>
    <w:rPr>
      <w:sz w:val="20"/>
      <w:szCs w:val="20"/>
      <w:lang w:val="en-GB"/>
    </w:rPr>
  </w:style>
  <w:style w:type="character" w:customStyle="1" w:styleId="CommentTextChar">
    <w:name w:val="Comment Text Char"/>
    <w:basedOn w:val="DefaultParagraphFont"/>
    <w:link w:val="CommentText"/>
    <w:uiPriority w:val="99"/>
    <w:semiHidden/>
    <w:rsid w:val="00A9350D"/>
    <w:rPr>
      <w:sz w:val="20"/>
      <w:szCs w:val="20"/>
      <w:lang w:val="en-GB"/>
    </w:rPr>
  </w:style>
  <w:style w:type="paragraph" w:styleId="BalloonText">
    <w:name w:val="Balloon Text"/>
    <w:basedOn w:val="Normal"/>
    <w:link w:val="BalloonTextChar"/>
    <w:uiPriority w:val="99"/>
    <w:semiHidden/>
    <w:unhideWhenUsed/>
    <w:rsid w:val="00A935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350D"/>
    <w:rPr>
      <w:rFonts w:ascii="Segoe UI" w:hAnsi="Segoe UI" w:cs="Segoe UI"/>
      <w:sz w:val="18"/>
      <w:szCs w:val="18"/>
    </w:rPr>
  </w:style>
  <w:style w:type="paragraph" w:styleId="ListParagraph">
    <w:name w:val="List Paragraph"/>
    <w:basedOn w:val="Normal"/>
    <w:uiPriority w:val="34"/>
    <w:qFormat/>
    <w:rsid w:val="00BE416C"/>
    <w:pPr>
      <w:ind w:left="720"/>
      <w:contextualSpacing/>
    </w:pPr>
  </w:style>
  <w:style w:type="paragraph" w:styleId="FootnoteText">
    <w:name w:val="footnote text"/>
    <w:basedOn w:val="Normal"/>
    <w:link w:val="FootnoteTextChar"/>
    <w:uiPriority w:val="99"/>
    <w:semiHidden/>
    <w:unhideWhenUsed/>
    <w:rsid w:val="0040711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0711E"/>
    <w:rPr>
      <w:sz w:val="20"/>
      <w:szCs w:val="20"/>
    </w:rPr>
  </w:style>
  <w:style w:type="character" w:styleId="FootnoteReference">
    <w:name w:val="footnote reference"/>
    <w:basedOn w:val="DefaultParagraphFont"/>
    <w:uiPriority w:val="99"/>
    <w:semiHidden/>
    <w:unhideWhenUsed/>
    <w:rsid w:val="0040711E"/>
    <w:rPr>
      <w:vertAlign w:val="superscript"/>
    </w:rPr>
  </w:style>
  <w:style w:type="paragraph" w:styleId="CommentSubject">
    <w:name w:val="annotation subject"/>
    <w:basedOn w:val="CommentText"/>
    <w:next w:val="CommentText"/>
    <w:link w:val="CommentSubjectChar"/>
    <w:uiPriority w:val="99"/>
    <w:semiHidden/>
    <w:unhideWhenUsed/>
    <w:rsid w:val="00E62BC7"/>
    <w:rPr>
      <w:b/>
      <w:bCs/>
      <w:lang w:val="en-AU"/>
    </w:rPr>
  </w:style>
  <w:style w:type="character" w:customStyle="1" w:styleId="CommentSubjectChar">
    <w:name w:val="Comment Subject Char"/>
    <w:basedOn w:val="CommentTextChar"/>
    <w:link w:val="CommentSubject"/>
    <w:uiPriority w:val="99"/>
    <w:semiHidden/>
    <w:rsid w:val="00E62BC7"/>
    <w:rPr>
      <w:b/>
      <w:bCs/>
      <w:sz w:val="20"/>
      <w:szCs w:val="20"/>
      <w:lang w:val="en-GB"/>
    </w:rPr>
  </w:style>
  <w:style w:type="paragraph" w:styleId="NormalWeb">
    <w:name w:val="Normal (Web)"/>
    <w:basedOn w:val="Normal"/>
    <w:uiPriority w:val="99"/>
    <w:semiHidden/>
    <w:unhideWhenUsed/>
    <w:rsid w:val="00C007DD"/>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92213">
      <w:bodyDiv w:val="1"/>
      <w:marLeft w:val="0"/>
      <w:marRight w:val="0"/>
      <w:marTop w:val="0"/>
      <w:marBottom w:val="0"/>
      <w:divBdr>
        <w:top w:val="none" w:sz="0" w:space="0" w:color="auto"/>
        <w:left w:val="none" w:sz="0" w:space="0" w:color="auto"/>
        <w:bottom w:val="none" w:sz="0" w:space="0" w:color="auto"/>
        <w:right w:val="none" w:sz="0" w:space="0" w:color="auto"/>
      </w:divBdr>
    </w:div>
    <w:div w:id="38090402">
      <w:bodyDiv w:val="1"/>
      <w:marLeft w:val="0"/>
      <w:marRight w:val="0"/>
      <w:marTop w:val="0"/>
      <w:marBottom w:val="0"/>
      <w:divBdr>
        <w:top w:val="none" w:sz="0" w:space="0" w:color="auto"/>
        <w:left w:val="none" w:sz="0" w:space="0" w:color="auto"/>
        <w:bottom w:val="none" w:sz="0" w:space="0" w:color="auto"/>
        <w:right w:val="none" w:sz="0" w:space="0" w:color="auto"/>
      </w:divBdr>
    </w:div>
    <w:div w:id="259879391">
      <w:bodyDiv w:val="1"/>
      <w:marLeft w:val="0"/>
      <w:marRight w:val="0"/>
      <w:marTop w:val="0"/>
      <w:marBottom w:val="0"/>
      <w:divBdr>
        <w:top w:val="none" w:sz="0" w:space="0" w:color="auto"/>
        <w:left w:val="none" w:sz="0" w:space="0" w:color="auto"/>
        <w:bottom w:val="none" w:sz="0" w:space="0" w:color="auto"/>
        <w:right w:val="none" w:sz="0" w:space="0" w:color="auto"/>
      </w:divBdr>
    </w:div>
    <w:div w:id="744768982">
      <w:bodyDiv w:val="1"/>
      <w:marLeft w:val="0"/>
      <w:marRight w:val="0"/>
      <w:marTop w:val="0"/>
      <w:marBottom w:val="0"/>
      <w:divBdr>
        <w:top w:val="none" w:sz="0" w:space="0" w:color="auto"/>
        <w:left w:val="none" w:sz="0" w:space="0" w:color="auto"/>
        <w:bottom w:val="none" w:sz="0" w:space="0" w:color="auto"/>
        <w:right w:val="none" w:sz="0" w:space="0" w:color="auto"/>
      </w:divBdr>
    </w:div>
    <w:div w:id="1461992263">
      <w:bodyDiv w:val="1"/>
      <w:marLeft w:val="0"/>
      <w:marRight w:val="0"/>
      <w:marTop w:val="0"/>
      <w:marBottom w:val="0"/>
      <w:divBdr>
        <w:top w:val="none" w:sz="0" w:space="0" w:color="auto"/>
        <w:left w:val="none" w:sz="0" w:space="0" w:color="auto"/>
        <w:bottom w:val="none" w:sz="0" w:space="0" w:color="auto"/>
        <w:right w:val="none" w:sz="0" w:space="0" w:color="auto"/>
      </w:divBdr>
    </w:div>
    <w:div w:id="1749770270">
      <w:bodyDiv w:val="1"/>
      <w:marLeft w:val="0"/>
      <w:marRight w:val="0"/>
      <w:marTop w:val="0"/>
      <w:marBottom w:val="0"/>
      <w:divBdr>
        <w:top w:val="none" w:sz="0" w:space="0" w:color="auto"/>
        <w:left w:val="none" w:sz="0" w:space="0" w:color="auto"/>
        <w:bottom w:val="none" w:sz="0" w:space="0" w:color="auto"/>
        <w:right w:val="none" w:sz="0" w:space="0" w:color="auto"/>
      </w:divBdr>
    </w:div>
    <w:div w:id="2053269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0f563589-9cf9-4143-b1eb-fb0534803d38">
      <Value>2</Value>
    </TaxCatchAll>
    <TaxKeywordTaxHTField xmlns="0f563589-9cf9-4143-b1eb-fb0534803d38">
      <Terms xmlns="http://schemas.microsoft.com/office/infopath/2007/PartnerControls"/>
    </TaxKeywordTaxHTField>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RA-9081 - Retain as national archives</TermName>
          <TermId xmlns="http://schemas.microsoft.com/office/infopath/2007/PartnerControls">bbf0bcde-1687-4ff2-bc57-f31b5d545d4b</TermId>
        </TermInfo>
      </Terms>
    </lb508a4dc5e84436a0fe496b536466aa>
    <_dlc_DocId xmlns="0f563589-9cf9-4143-b1eb-fb0534803d38">2018MG-133-34858</_dlc_DocId>
    <_dlc_DocIdUrl xmlns="0f563589-9cf9-4143-b1eb-fb0534803d38">
      <Url>http://tweb/sites/mg/sbccpd/_layouts/15/DocIdRedir.aspx?ID=2018MG-133-34858</Url>
      <Description>2018MG-133-34858</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DDAFF7E1A29DE64F981B4EA50562BA75" ma:contentTypeVersion="14258" ma:contentTypeDescription="" ma:contentTypeScope="" ma:versionID="be6ff70404880fcef315cf05a6fd465c">
  <xsd:schema xmlns:xsd="http://www.w3.org/2001/XMLSchema" xmlns:xs="http://www.w3.org/2001/XMLSchema" xmlns:p="http://schemas.microsoft.com/office/2006/metadata/properties" xmlns:ns1="http://schemas.microsoft.com/sharepoint/v3" xmlns:ns2="0f563589-9cf9-4143-b1eb-fb0534803d38" xmlns:ns3="d4dd4adf-ddb3-46a3-8d7c-fab3fb2a6bc7" xmlns:ns5="http://schemas.microsoft.com/sharepoint/v4" targetNamespace="http://schemas.microsoft.com/office/2006/metadata/properties" ma:root="true" ma:fieldsID="16f59817d12c356334f63fdd4cbf933c" ns1:_="" ns2:_="" ns3:_="" ns5:_="">
    <xsd:import namespace="http://schemas.microsoft.com/sharepoint/v3"/>
    <xsd:import namespace="0f563589-9cf9-4143-b1eb-fb0534803d38"/>
    <xsd:import namespace="d4dd4adf-ddb3-46a3-8d7c-fab3fb2a6bc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5:IconOverlay" minOccurs="0"/>
                <xsd:element ref="ns1:_dlc_Exempt"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KeywordTaxHTField" ma:index="19" nillable="true" ma:taxonomy="true" ma:internalName="TaxKeywordTaxHTField" ma:taxonomyFieldName="TaxKeyword" ma:displayName="Enterprise Keywords" ma:fieldId="{23f27201-bee3-471e-b2e7-b64fd8b7ca38}" ma:taxonomyMulti="true" ma:sspId="77b7a547-5880-464f-83f8-cefe583c3af4"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2;#TSY RA-9081 - Retain as national archives|bbf0bcde-1687-4ff2-bc57-f31b5d545d4b"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6.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Props1.xml><?xml version="1.0" encoding="utf-8"?>
<ds:datastoreItem xmlns:ds="http://schemas.openxmlformats.org/officeDocument/2006/customXml" ds:itemID="{CBB02EEB-06DE-467B-8421-0E1C61BD660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1B0D8D5-D6E6-43D2-9BAB-1105EFAFE65E}">
  <ds:schemaRefs>
    <ds:schemaRef ds:uri="http://schemas.microsoft.com/sharepoint/v3/contenttype/forms"/>
  </ds:schemaRefs>
</ds:datastoreItem>
</file>

<file path=customXml/itemProps3.xml><?xml version="1.0" encoding="utf-8"?>
<ds:datastoreItem xmlns:ds="http://schemas.openxmlformats.org/officeDocument/2006/customXml" ds:itemID="{44C25C1B-051C-4701-81D2-7694FA10CF52}"/>
</file>

<file path=customXml/itemProps4.xml><?xml version="1.0" encoding="utf-8"?>
<ds:datastoreItem xmlns:ds="http://schemas.openxmlformats.org/officeDocument/2006/customXml" ds:itemID="{1F902461-0A52-4AAA-B80B-247182E4BC27}">
  <ds:schemaRefs>
    <ds:schemaRef ds:uri="http://schemas.openxmlformats.org/officeDocument/2006/bibliography"/>
  </ds:schemaRefs>
</ds:datastoreItem>
</file>

<file path=customXml/itemProps5.xml><?xml version="1.0" encoding="utf-8"?>
<ds:datastoreItem xmlns:ds="http://schemas.openxmlformats.org/officeDocument/2006/customXml" ds:itemID="{2E74DF75-CD5D-439C-97D0-5A4BB64B1B50}"/>
</file>

<file path=customXml/itemProps6.xml><?xml version="1.0" encoding="utf-8"?>
<ds:datastoreItem xmlns:ds="http://schemas.openxmlformats.org/officeDocument/2006/customXml" ds:itemID="{ADF16C25-3AFE-45DF-B640-5CD785613CA8}"/>
</file>

<file path=docProps/app.xml><?xml version="1.0" encoding="utf-8"?>
<Properties xmlns="http://schemas.openxmlformats.org/officeDocument/2006/extended-properties" xmlns:vt="http://schemas.openxmlformats.org/officeDocument/2006/docPropsVTypes">
  <Template>Normal</Template>
  <TotalTime>2</TotalTime>
  <Pages>3</Pages>
  <Words>755</Words>
  <Characters>4306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Kruse</dc:creator>
  <cp:keywords/>
  <dc:description/>
  <cp:lastModifiedBy>Lisa Schutz</cp:lastModifiedBy>
  <cp:revision>3</cp:revision>
  <cp:lastPrinted>2018-09-04T03:26:00Z</cp:lastPrinted>
  <dcterms:created xsi:type="dcterms:W3CDTF">2018-09-04T03:25:00Z</dcterms:created>
  <dcterms:modified xsi:type="dcterms:W3CDTF">2018-09-04T03:26:00Z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0x010100E95D40E5DFEA714B90E88DB5CE07A6B500DDAFF7E1A29DE64F981B4EA50562BA75</vt:lpwstr>
  </property>
  <property fmtid="{D5CDD505-2E9C-101B-9397-08002B2CF9AE}" pid="3" name="_dlc_DocIdItemGuid">
    <vt:lpwstr>2645df37-8f85-4052-917e-c08f9eb9d9e1</vt:lpwstr>
  </property>
  <property fmtid="{D5CDD505-2E9C-101B-9397-08002B2CF9AE}" pid="4" name="TSYRecordClass">
    <vt:lpwstr>2;#TSY RA-9081 - Retain as national archives|bbf0bcde-1687-4ff2-bc57-f31b5d545d4b</vt:lpwstr>
  </property>
  <property fmtid="{D5CDD505-2E9C-101B-9397-08002B2CF9AE}" pid="5" name="TaxKeyword">
    <vt:lpwstr/>
  </property>
  <property fmtid="{D5CDD505-2E9C-101B-9397-08002B2CF9AE}" pid="6" name="RecordPoint_WorkflowType">
    <vt:lpwstr>ActiveSubmitStub</vt:lpwstr>
  </property>
  <property fmtid="{D5CDD505-2E9C-101B-9397-08002B2CF9AE}" pid="7" name="RecordPoint_ActiveItemSiteId">
    <vt:lpwstr>{08cedf7d-7ad2-4b81-a81f-47e3ec332c41}</vt:lpwstr>
  </property>
  <property fmtid="{D5CDD505-2E9C-101B-9397-08002B2CF9AE}" pid="8" name="RecordPoint_ActiveItemListId">
    <vt:lpwstr>{020b99f8-d659-456c-88bf-b1c791ab809a}</vt:lpwstr>
  </property>
  <property fmtid="{D5CDD505-2E9C-101B-9397-08002B2CF9AE}" pid="9" name="RecordPoint_ActiveItemUniqueId">
    <vt:lpwstr>{2645df37-8f85-4052-917e-c08f9eb9d9e1}</vt:lpwstr>
  </property>
  <property fmtid="{D5CDD505-2E9C-101B-9397-08002B2CF9AE}" pid="10" name="RecordPoint_ActiveItemWebId">
    <vt:lpwstr>{682871c2-4073-4158-957a-6d924b9ba0a6}</vt:lpwstr>
  </property>
  <property fmtid="{D5CDD505-2E9C-101B-9397-08002B2CF9AE}" pid="11" name="RecordPoint_RecordNumberSubmitted">
    <vt:lpwstr>R0001863411</vt:lpwstr>
  </property>
  <property fmtid="{D5CDD505-2E9C-101B-9397-08002B2CF9AE}" pid="12" name="RecordPoint_SubmissionCompleted">
    <vt:lpwstr>2018-09-06T18:00:11.1694138+10:00</vt:lpwstr>
  </property>
  <property fmtid="{D5CDD505-2E9C-101B-9397-08002B2CF9AE}" pid="13" name="_AdHocReviewCycleID">
    <vt:i4>1433879656</vt:i4>
  </property>
  <property fmtid="{D5CDD505-2E9C-101B-9397-08002B2CF9AE}" pid="14" name="_NewReviewCycle">
    <vt:lpwstr/>
  </property>
  <property fmtid="{D5CDD505-2E9C-101B-9397-08002B2CF9AE}" pid="15" name="_EmailSubject">
    <vt:lpwstr>#S79744 has been logged with the Publishing &amp; Design Team. [SEC=UNCLASSIFIED]</vt:lpwstr>
  </property>
  <property fmtid="{D5CDD505-2E9C-101B-9397-08002B2CF9AE}" pid="16" name="_AuthorEmail">
    <vt:lpwstr>Kathryn.Wardell@TREASURY.GOV.AU</vt:lpwstr>
  </property>
  <property fmtid="{D5CDD505-2E9C-101B-9397-08002B2CF9AE}" pid="17" name="_AuthorEmailDisplayName">
    <vt:lpwstr>Wardell, Kathryn</vt:lpwstr>
  </property>
</Properties>
</file>