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AEA" w:rsidRPr="00DD0AEA" w:rsidRDefault="00211FFD" w:rsidP="00DD0AEA">
      <w:pPr>
        <w:spacing w:before="2040" w:after="120" w:line="240" w:lineRule="auto"/>
        <w:contextualSpacing/>
        <w:jc w:val="center"/>
        <w:rPr>
          <w:rFonts w:ascii="Calibri" w:eastAsiaTheme="majorEastAsia" w:hAnsi="Calibri" w:cstheme="majorBidi"/>
          <w:b/>
          <w:spacing w:val="5"/>
          <w:kern w:val="28"/>
          <w:sz w:val="52"/>
          <w:szCs w:val="52"/>
          <w:lang w:val="en-AU"/>
        </w:rPr>
      </w:pPr>
      <w:r>
        <w:rPr>
          <w:rFonts w:ascii="Calibri" w:eastAsiaTheme="majorEastAsia" w:hAnsi="Calibri" w:cstheme="majorBidi"/>
          <w:b/>
          <w:spacing w:val="5"/>
          <w:kern w:val="28"/>
          <w:sz w:val="52"/>
          <w:szCs w:val="52"/>
          <w:lang w:val="en-AU"/>
        </w:rPr>
        <w:t>Treasury Laws Amendment (</w:t>
      </w:r>
      <w:r w:rsidR="00653E10">
        <w:rPr>
          <w:rFonts w:ascii="Calibri" w:eastAsiaTheme="majorEastAsia" w:hAnsi="Calibri" w:cstheme="majorBidi"/>
          <w:b/>
          <w:spacing w:val="5"/>
          <w:kern w:val="28"/>
          <w:sz w:val="52"/>
          <w:szCs w:val="52"/>
          <w:lang w:val="en-AU"/>
        </w:rPr>
        <w:t>Consumer Data Right</w:t>
      </w:r>
      <w:r>
        <w:rPr>
          <w:rFonts w:ascii="Calibri" w:eastAsiaTheme="majorEastAsia" w:hAnsi="Calibri" w:cstheme="majorBidi"/>
          <w:b/>
          <w:spacing w:val="5"/>
          <w:kern w:val="28"/>
          <w:sz w:val="52"/>
          <w:szCs w:val="52"/>
          <w:lang w:val="en-AU"/>
        </w:rPr>
        <w:t>)</w:t>
      </w:r>
      <w:r w:rsidR="00C077BF">
        <w:rPr>
          <w:rFonts w:ascii="Calibri" w:eastAsiaTheme="majorEastAsia" w:hAnsi="Calibri" w:cstheme="majorBidi"/>
          <w:b/>
          <w:spacing w:val="5"/>
          <w:kern w:val="28"/>
          <w:sz w:val="52"/>
          <w:szCs w:val="52"/>
          <w:lang w:val="en-AU"/>
        </w:rPr>
        <w:t xml:space="preserve"> </w:t>
      </w:r>
      <w:r w:rsidR="00F46A19">
        <w:rPr>
          <w:rFonts w:ascii="Calibri" w:eastAsiaTheme="majorEastAsia" w:hAnsi="Calibri" w:cstheme="majorBidi"/>
          <w:b/>
          <w:spacing w:val="5"/>
          <w:kern w:val="28"/>
          <w:sz w:val="52"/>
          <w:szCs w:val="52"/>
          <w:lang w:val="en-AU"/>
        </w:rPr>
        <w:t xml:space="preserve">Bill </w:t>
      </w:r>
      <w:r>
        <w:rPr>
          <w:rFonts w:ascii="Calibri" w:eastAsiaTheme="majorEastAsia" w:hAnsi="Calibri" w:cstheme="majorBidi"/>
          <w:b/>
          <w:spacing w:val="5"/>
          <w:kern w:val="28"/>
          <w:sz w:val="52"/>
          <w:szCs w:val="52"/>
          <w:lang w:val="en-AU"/>
        </w:rPr>
        <w:t>2018 Consultation</w:t>
      </w:r>
      <w:r w:rsidR="00F46A19">
        <w:rPr>
          <w:rFonts w:ascii="Calibri" w:eastAsiaTheme="majorEastAsia" w:hAnsi="Calibri" w:cstheme="majorBidi"/>
          <w:b/>
          <w:spacing w:val="5"/>
          <w:kern w:val="28"/>
          <w:sz w:val="52"/>
          <w:szCs w:val="52"/>
          <w:lang w:val="en-AU"/>
        </w:rPr>
        <w:t xml:space="preserve"> </w:t>
      </w:r>
    </w:p>
    <w:p w:rsidR="00DD0AEA" w:rsidRPr="00DD0AEA" w:rsidRDefault="00DD0AEA" w:rsidP="00DD0AEA">
      <w:pPr>
        <w:spacing w:before="360" w:after="360" w:line="240" w:lineRule="auto"/>
        <w:jc w:val="center"/>
        <w:rPr>
          <w:rFonts w:ascii="Calibri" w:eastAsiaTheme="minorEastAsia" w:hAnsi="Calibri"/>
          <w:sz w:val="32"/>
          <w:szCs w:val="32"/>
          <w:lang w:val="en-AU"/>
        </w:rPr>
      </w:pPr>
      <w:r w:rsidRPr="00DD0AEA">
        <w:rPr>
          <w:rFonts w:ascii="Calibri" w:eastAsiaTheme="minorEastAsia" w:hAnsi="Calibri"/>
          <w:sz w:val="32"/>
          <w:szCs w:val="32"/>
          <w:lang w:val="en-AU"/>
        </w:rPr>
        <w:t>Submission by the Australian Communications Consumer Action Network</w:t>
      </w:r>
    </w:p>
    <w:p w:rsidR="00DD0AEA" w:rsidRPr="00DD0AEA" w:rsidRDefault="00C3799F" w:rsidP="00DD0AEA">
      <w:pPr>
        <w:spacing w:before="360" w:after="360" w:line="240" w:lineRule="auto"/>
        <w:jc w:val="center"/>
        <w:rPr>
          <w:rFonts w:ascii="Calibri" w:eastAsiaTheme="minorEastAsia" w:hAnsi="Calibri"/>
          <w:sz w:val="32"/>
          <w:szCs w:val="32"/>
          <w:lang w:val="en-AU"/>
        </w:rPr>
      </w:pPr>
      <w:r>
        <w:rPr>
          <w:rFonts w:ascii="Calibri" w:eastAsiaTheme="minorEastAsia" w:hAnsi="Calibri"/>
          <w:sz w:val="32"/>
          <w:szCs w:val="32"/>
          <w:lang w:val="en-AU"/>
        </w:rPr>
        <w:t>10</w:t>
      </w:r>
      <w:r w:rsidR="009325F6">
        <w:rPr>
          <w:rFonts w:ascii="Calibri" w:eastAsiaTheme="minorEastAsia" w:hAnsi="Calibri"/>
          <w:sz w:val="32"/>
          <w:szCs w:val="32"/>
          <w:lang w:val="en-AU"/>
        </w:rPr>
        <w:t xml:space="preserve"> September </w:t>
      </w:r>
      <w:r w:rsidR="00DD0AEA" w:rsidRPr="00DD0AEA">
        <w:rPr>
          <w:rFonts w:ascii="Calibri" w:eastAsiaTheme="minorEastAsia" w:hAnsi="Calibri"/>
          <w:sz w:val="32"/>
          <w:szCs w:val="32"/>
          <w:lang w:val="en-AU"/>
        </w:rPr>
        <w:t>2018</w:t>
      </w:r>
    </w:p>
    <w:p w:rsidR="00DD0AEA" w:rsidRPr="00DD0AEA" w:rsidRDefault="00DD0AEA" w:rsidP="00DD0AEA">
      <w:pPr>
        <w:spacing w:before="100" w:beforeAutospacing="1" w:after="100" w:afterAutospacing="1" w:line="240" w:lineRule="auto"/>
        <w:jc w:val="both"/>
        <w:rPr>
          <w:rFonts w:eastAsiaTheme="minorEastAsia" w:cstheme="minorHAnsi"/>
          <w:sz w:val="24"/>
          <w:szCs w:val="24"/>
          <w:lang w:val="en-AU"/>
        </w:rPr>
      </w:pPr>
      <w:r w:rsidRPr="00DD0AEA">
        <w:rPr>
          <w:rFonts w:eastAsiaTheme="minorEastAsia" w:cstheme="minorHAnsi"/>
          <w:sz w:val="24"/>
          <w:szCs w:val="24"/>
          <w:lang w:val="en-AU"/>
        </w:rPr>
        <w:br w:type="page"/>
      </w:r>
    </w:p>
    <w:p w:rsidR="00DD0AEA" w:rsidRPr="00DD0AEA" w:rsidRDefault="00DD0AEA" w:rsidP="00DD0AEA">
      <w:pPr>
        <w:spacing w:before="100" w:beforeAutospacing="1" w:after="100" w:afterAutospacing="1" w:line="240" w:lineRule="auto"/>
        <w:jc w:val="both"/>
        <w:rPr>
          <w:rFonts w:ascii="Times New Roman" w:eastAsiaTheme="minorEastAsia" w:hAnsi="Times New Roman" w:cs="Times New Roman"/>
          <w:b/>
          <w:sz w:val="24"/>
          <w:lang w:val="en-AU" w:eastAsia="en-AU"/>
        </w:rPr>
      </w:pPr>
      <w:r w:rsidRPr="00DD0AEA">
        <w:rPr>
          <w:rFonts w:ascii="Times New Roman" w:eastAsiaTheme="minorEastAsia" w:hAnsi="Times New Roman" w:cs="Times New Roman"/>
          <w:b/>
          <w:sz w:val="24"/>
          <w:lang w:val="en-AU" w:eastAsia="en-AU"/>
        </w:rPr>
        <w:lastRenderedPageBreak/>
        <w:t xml:space="preserve">About ACCAN </w:t>
      </w:r>
    </w:p>
    <w:p w:rsidR="00DD0AEA" w:rsidRPr="00DD0AEA" w:rsidRDefault="00DD0AEA" w:rsidP="00DD0AEA">
      <w:pPr>
        <w:spacing w:before="100" w:beforeAutospacing="1" w:after="100" w:afterAutospacing="1" w:line="240" w:lineRule="auto"/>
        <w:jc w:val="both"/>
        <w:rPr>
          <w:rFonts w:ascii="Times New Roman" w:eastAsiaTheme="minorEastAsia" w:hAnsi="Times New Roman" w:cs="Times New Roman"/>
          <w:sz w:val="24"/>
          <w:szCs w:val="24"/>
          <w:lang w:val="en-AU" w:eastAsia="en-AU"/>
        </w:rPr>
      </w:pPr>
      <w:r w:rsidRPr="00DD0AEA">
        <w:rPr>
          <w:rFonts w:ascii="Times New Roman" w:eastAsiaTheme="minorEastAsia" w:hAnsi="Times New Roman" w:cs="Times New Roman"/>
          <w:sz w:val="24"/>
          <w:szCs w:val="24"/>
          <w:lang w:val="en-AU" w:eastAsia="en-AU"/>
        </w:rPr>
        <w:t>The Australian Communications Consumer Action Network (ACCAN) is the peak body that represents all consumers on communications issues including telecommunications, broadband and emerging new services. ACCAN provides a strong unified voice to industry and government as consumers work towards availability, accessibility and affordability of communications services for all Australians.</w:t>
      </w:r>
    </w:p>
    <w:p w:rsidR="00DD0AEA" w:rsidRPr="00DD0AEA" w:rsidRDefault="00DD0AEA" w:rsidP="00DD0AEA">
      <w:pPr>
        <w:spacing w:before="100" w:beforeAutospacing="1" w:after="100" w:afterAutospacing="1" w:line="240" w:lineRule="auto"/>
        <w:jc w:val="both"/>
        <w:rPr>
          <w:rFonts w:ascii="Times New Roman" w:eastAsiaTheme="minorEastAsia" w:hAnsi="Times New Roman" w:cs="Times New Roman"/>
          <w:sz w:val="24"/>
          <w:szCs w:val="24"/>
          <w:lang w:val="en-AU" w:eastAsia="en-AU"/>
        </w:rPr>
      </w:pPr>
      <w:r w:rsidRPr="00DD0AEA">
        <w:rPr>
          <w:rFonts w:ascii="Times New Roman" w:eastAsiaTheme="minorEastAsia" w:hAnsi="Times New Roman" w:cs="Times New Roman"/>
          <w:sz w:val="24"/>
          <w:szCs w:val="24"/>
          <w:lang w:val="en-AU" w:eastAsia="en-AU"/>
        </w:rPr>
        <w:t>Consumers need ACCAN to promote better consumer protection outcomes ensuring speedy responses to complaints and issues. ACCAN aims to empower consumers so that they are well informed and can make good choices about products and services. As a peak body, ACCAN will represent the views of its broad and diverse membership base to policy makers, government and industry to get better outcomes for all communications consumers. </w:t>
      </w:r>
    </w:p>
    <w:p w:rsidR="00DD0AEA" w:rsidRPr="00DD0AEA" w:rsidRDefault="00DD0AEA" w:rsidP="00DD0AEA">
      <w:pPr>
        <w:spacing w:before="100" w:beforeAutospacing="1" w:after="100" w:afterAutospacing="1" w:line="240" w:lineRule="auto"/>
        <w:jc w:val="both"/>
        <w:rPr>
          <w:rFonts w:ascii="Times New Roman" w:eastAsiaTheme="minorEastAsia" w:hAnsi="Times New Roman" w:cs="Times New Roman"/>
          <w:b/>
          <w:sz w:val="24"/>
          <w:lang w:val="en-AU" w:eastAsia="en-AU"/>
        </w:rPr>
      </w:pPr>
      <w:r w:rsidRPr="00DD0AEA">
        <w:rPr>
          <w:rFonts w:ascii="Times New Roman" w:eastAsiaTheme="minorEastAsia" w:hAnsi="Times New Roman" w:cs="Times New Roman"/>
          <w:b/>
          <w:sz w:val="24"/>
          <w:lang w:val="en-AU" w:eastAsia="en-AU"/>
        </w:rPr>
        <w:t>Contact</w:t>
      </w:r>
    </w:p>
    <w:p w:rsidR="00543616" w:rsidRDefault="00DD0AEA" w:rsidP="00543616">
      <w:pPr>
        <w:spacing w:after="0" w:line="240" w:lineRule="auto"/>
        <w:rPr>
          <w:rFonts w:ascii="Times New Roman" w:eastAsiaTheme="minorEastAsia" w:hAnsi="Times New Roman" w:cs="Times New Roman"/>
          <w:sz w:val="24"/>
          <w:szCs w:val="24"/>
          <w:lang w:val="en-AU" w:eastAsia="en-AU"/>
        </w:rPr>
      </w:pPr>
      <w:r w:rsidRPr="00DD0AEA">
        <w:rPr>
          <w:rFonts w:ascii="Times New Roman" w:eastAsiaTheme="minorEastAsia" w:hAnsi="Times New Roman" w:cs="Times New Roman"/>
          <w:sz w:val="24"/>
          <w:szCs w:val="24"/>
          <w:lang w:val="en-AU" w:eastAsia="en-AU"/>
        </w:rPr>
        <w:t xml:space="preserve">Gareth Downing </w:t>
      </w:r>
    </w:p>
    <w:p w:rsidR="00DD0AEA" w:rsidRPr="00DD0AEA" w:rsidRDefault="00DD0AEA" w:rsidP="00543616">
      <w:pPr>
        <w:spacing w:after="0" w:line="240" w:lineRule="auto"/>
        <w:rPr>
          <w:rFonts w:ascii="Times New Roman" w:eastAsiaTheme="minorEastAsia" w:hAnsi="Times New Roman" w:cs="Times New Roman"/>
          <w:sz w:val="24"/>
          <w:szCs w:val="24"/>
          <w:lang w:val="en-AU" w:eastAsia="en-AU"/>
        </w:rPr>
      </w:pPr>
      <w:r w:rsidRPr="00DD0AEA">
        <w:rPr>
          <w:rFonts w:ascii="Times New Roman" w:eastAsiaTheme="minorEastAsia" w:hAnsi="Times New Roman" w:cs="Times New Roman"/>
          <w:sz w:val="24"/>
          <w:szCs w:val="24"/>
          <w:lang w:val="en-AU" w:eastAsia="en-AU"/>
        </w:rPr>
        <w:br/>
        <w:t>Senior Policy Analyst</w:t>
      </w:r>
    </w:p>
    <w:p w:rsidR="00DD0AEA" w:rsidRPr="00DD0AEA" w:rsidRDefault="00DD0AEA" w:rsidP="00DD0AEA">
      <w:pPr>
        <w:spacing w:before="100" w:beforeAutospacing="1" w:after="100" w:afterAutospacing="1" w:line="240" w:lineRule="auto"/>
        <w:rPr>
          <w:rFonts w:ascii="Times New Roman" w:eastAsiaTheme="minorEastAsia" w:hAnsi="Times New Roman" w:cs="Times New Roman"/>
          <w:sz w:val="24"/>
          <w:szCs w:val="24"/>
          <w:lang w:val="en-AU" w:eastAsia="en-AU"/>
        </w:rPr>
      </w:pPr>
      <w:r w:rsidRPr="00DD0AEA">
        <w:rPr>
          <w:rFonts w:ascii="Times New Roman" w:eastAsiaTheme="minorEastAsia" w:hAnsi="Times New Roman" w:cs="Times New Roman"/>
          <w:sz w:val="24"/>
          <w:szCs w:val="24"/>
          <w:lang w:val="en-AU" w:eastAsia="en-AU"/>
        </w:rPr>
        <w:t>Suite 402, Level 4</w:t>
      </w:r>
      <w:r w:rsidRPr="00DD0AEA">
        <w:rPr>
          <w:rFonts w:ascii="Times New Roman" w:eastAsiaTheme="minorEastAsia" w:hAnsi="Times New Roman" w:cs="Times New Roman"/>
          <w:sz w:val="24"/>
          <w:szCs w:val="24"/>
          <w:lang w:val="en-AU" w:eastAsia="en-AU"/>
        </w:rPr>
        <w:br/>
        <w:t>55 Mountain Street</w:t>
      </w:r>
      <w:r w:rsidRPr="00DD0AEA">
        <w:rPr>
          <w:rFonts w:ascii="Times New Roman" w:eastAsiaTheme="minorEastAsia" w:hAnsi="Times New Roman" w:cs="Times New Roman"/>
          <w:sz w:val="24"/>
          <w:szCs w:val="24"/>
          <w:lang w:val="en-AU" w:eastAsia="en-AU"/>
        </w:rPr>
        <w:br/>
        <w:t>Ultimo NSW, 2007</w:t>
      </w:r>
      <w:r w:rsidRPr="00DD0AEA">
        <w:rPr>
          <w:rFonts w:ascii="Times New Roman" w:eastAsiaTheme="minorEastAsia" w:hAnsi="Times New Roman" w:cs="Times New Roman"/>
          <w:sz w:val="24"/>
          <w:szCs w:val="24"/>
          <w:lang w:val="en-AU" w:eastAsia="en-AU"/>
        </w:rPr>
        <w:br/>
        <w:t xml:space="preserve">Email: </w:t>
      </w:r>
      <w:hyperlink r:id="rId9" w:history="1">
        <w:r w:rsidRPr="00DD0AEA">
          <w:rPr>
            <w:rFonts w:ascii="Times New Roman" w:eastAsiaTheme="minorEastAsia" w:hAnsi="Times New Roman" w:cs="Times New Roman"/>
            <w:color w:val="0000FF" w:themeColor="hyperlink"/>
            <w:sz w:val="24"/>
            <w:szCs w:val="24"/>
            <w:u w:val="single"/>
            <w:lang w:val="en-AU" w:eastAsia="en-AU"/>
          </w:rPr>
          <w:t>info@accan.org.au</w:t>
        </w:r>
      </w:hyperlink>
      <w:r w:rsidRPr="00DD0AEA">
        <w:rPr>
          <w:rFonts w:ascii="Times New Roman" w:eastAsiaTheme="minorEastAsia" w:hAnsi="Times New Roman" w:cs="Times New Roman"/>
          <w:color w:val="0000FF" w:themeColor="hyperlink"/>
          <w:sz w:val="24"/>
          <w:szCs w:val="24"/>
          <w:u w:val="single"/>
          <w:lang w:val="en-AU" w:eastAsia="en-AU"/>
        </w:rPr>
        <w:br/>
      </w:r>
      <w:r w:rsidRPr="00DD0AEA">
        <w:rPr>
          <w:rFonts w:ascii="Times New Roman" w:eastAsiaTheme="minorEastAsia" w:hAnsi="Times New Roman" w:cs="Times New Roman"/>
          <w:sz w:val="24"/>
          <w:szCs w:val="24"/>
          <w:lang w:val="en-AU" w:eastAsia="en-AU"/>
        </w:rPr>
        <w:t>Phone: (02) 9288 4000</w:t>
      </w:r>
      <w:r w:rsidRPr="00DD0AEA">
        <w:rPr>
          <w:rFonts w:ascii="Times New Roman" w:eastAsiaTheme="minorEastAsia" w:hAnsi="Times New Roman" w:cs="Times New Roman"/>
          <w:sz w:val="24"/>
          <w:szCs w:val="24"/>
          <w:lang w:val="en-AU" w:eastAsia="en-AU"/>
        </w:rPr>
        <w:br/>
        <w:t>Fax: (02) 9288 4019</w:t>
      </w:r>
      <w:r w:rsidRPr="00DD0AEA">
        <w:rPr>
          <w:rFonts w:ascii="Times New Roman" w:eastAsiaTheme="minorEastAsia" w:hAnsi="Times New Roman" w:cs="Times New Roman"/>
          <w:sz w:val="24"/>
          <w:szCs w:val="24"/>
          <w:lang w:val="en-AU" w:eastAsia="en-AU"/>
        </w:rPr>
        <w:br/>
        <w:t>TTY: 9281 5322</w:t>
      </w:r>
    </w:p>
    <w:p w:rsidR="00DD0AEA" w:rsidRPr="00DD0AEA" w:rsidRDefault="00DD0AEA" w:rsidP="00DD0AEA">
      <w:pPr>
        <w:spacing w:before="100" w:beforeAutospacing="1" w:after="100" w:afterAutospacing="1" w:line="240" w:lineRule="auto"/>
        <w:jc w:val="both"/>
        <w:rPr>
          <w:rFonts w:ascii="Times New Roman" w:eastAsiaTheme="minorEastAsia" w:hAnsi="Times New Roman" w:cs="Times New Roman"/>
          <w:sz w:val="24"/>
          <w:szCs w:val="24"/>
          <w:lang w:val="en-AU" w:eastAsia="en-AU"/>
        </w:rPr>
      </w:pPr>
    </w:p>
    <w:p w:rsidR="00DD0AEA" w:rsidRPr="00DD0AEA" w:rsidRDefault="00DD0AEA" w:rsidP="00DD0AEA">
      <w:pPr>
        <w:spacing w:before="100" w:beforeAutospacing="1" w:after="100" w:afterAutospacing="1" w:line="240" w:lineRule="auto"/>
        <w:jc w:val="both"/>
        <w:rPr>
          <w:rFonts w:ascii="Times New Roman" w:eastAsiaTheme="minorEastAsia" w:hAnsi="Times New Roman" w:cs="Times New Roman"/>
          <w:sz w:val="24"/>
          <w:szCs w:val="24"/>
          <w:lang w:val="en-AU" w:eastAsia="en-AU"/>
        </w:rPr>
      </w:pPr>
    </w:p>
    <w:p w:rsidR="00DD0AEA" w:rsidRPr="00DD0AEA" w:rsidRDefault="00DD0AEA" w:rsidP="00CB7501">
      <w:pPr>
        <w:spacing w:before="100" w:beforeAutospacing="1" w:after="100" w:afterAutospacing="1" w:line="240" w:lineRule="auto"/>
        <w:jc w:val="both"/>
        <w:rPr>
          <w:rFonts w:ascii="Times New Roman" w:eastAsiaTheme="minorEastAsia" w:hAnsi="Times New Roman" w:cs="Times New Roman"/>
          <w:sz w:val="24"/>
          <w:szCs w:val="24"/>
          <w:lang w:val="en-AU" w:eastAsia="en-AU"/>
        </w:rPr>
      </w:pPr>
    </w:p>
    <w:p w:rsidR="00DD0AEA" w:rsidRPr="00DD0AEA" w:rsidRDefault="00DD0AEA" w:rsidP="00DD0AEA">
      <w:pPr>
        <w:spacing w:before="100" w:beforeAutospacing="1" w:after="100" w:afterAutospacing="1" w:line="240" w:lineRule="auto"/>
        <w:jc w:val="both"/>
        <w:rPr>
          <w:rFonts w:ascii="Times New Roman" w:eastAsiaTheme="minorEastAsia" w:hAnsi="Times New Roman" w:cs="Times New Roman"/>
          <w:sz w:val="24"/>
          <w:szCs w:val="24"/>
          <w:lang w:val="en-AU" w:eastAsia="en-AU"/>
        </w:rPr>
      </w:pPr>
    </w:p>
    <w:p w:rsidR="00DD0AEA" w:rsidRPr="00DD0AEA" w:rsidRDefault="00DD0AEA" w:rsidP="00DD0AEA">
      <w:pPr>
        <w:spacing w:before="100" w:beforeAutospacing="1" w:after="100" w:afterAutospacing="1" w:line="240" w:lineRule="auto"/>
        <w:jc w:val="both"/>
        <w:rPr>
          <w:rFonts w:ascii="Times New Roman" w:eastAsiaTheme="minorEastAsia" w:hAnsi="Times New Roman" w:cs="Times New Roman"/>
          <w:sz w:val="24"/>
          <w:szCs w:val="24"/>
          <w:lang w:val="en-AU" w:eastAsia="en-AU"/>
        </w:rPr>
      </w:pPr>
    </w:p>
    <w:p w:rsidR="00DD0AEA" w:rsidRPr="00DD0AEA" w:rsidRDefault="00DD0AEA" w:rsidP="00DD0AEA">
      <w:pPr>
        <w:spacing w:before="100" w:beforeAutospacing="1" w:after="100" w:afterAutospacing="1" w:line="240" w:lineRule="auto"/>
        <w:jc w:val="both"/>
        <w:rPr>
          <w:rFonts w:ascii="Times New Roman" w:eastAsiaTheme="minorEastAsia" w:hAnsi="Times New Roman" w:cs="Times New Roman"/>
          <w:sz w:val="24"/>
          <w:szCs w:val="24"/>
          <w:lang w:val="en-AU" w:eastAsia="en-AU"/>
        </w:rPr>
      </w:pPr>
    </w:p>
    <w:p w:rsidR="00DD0AEA" w:rsidRPr="00DD0AEA" w:rsidRDefault="00DD0AEA" w:rsidP="00DD0AEA">
      <w:pPr>
        <w:spacing w:before="100" w:beforeAutospacing="1" w:after="100" w:afterAutospacing="1" w:line="240" w:lineRule="auto"/>
        <w:jc w:val="both"/>
        <w:rPr>
          <w:rFonts w:ascii="Times New Roman" w:eastAsiaTheme="minorEastAsia" w:hAnsi="Times New Roman" w:cs="Times New Roman"/>
          <w:sz w:val="24"/>
          <w:szCs w:val="24"/>
          <w:lang w:val="en-AU" w:eastAsia="en-AU"/>
        </w:rPr>
      </w:pPr>
    </w:p>
    <w:p w:rsidR="00DD0AEA" w:rsidRPr="00DD0AEA" w:rsidRDefault="00DD0AEA" w:rsidP="00DD0AEA">
      <w:pPr>
        <w:tabs>
          <w:tab w:val="left" w:pos="3686"/>
        </w:tabs>
        <w:spacing w:before="100" w:beforeAutospacing="1" w:after="100" w:afterAutospacing="1" w:line="240" w:lineRule="auto"/>
        <w:jc w:val="both"/>
        <w:rPr>
          <w:rFonts w:ascii="Times New Roman" w:eastAsiaTheme="minorEastAsia" w:hAnsi="Times New Roman" w:cs="Times New Roman"/>
          <w:sz w:val="24"/>
          <w:szCs w:val="24"/>
          <w:lang w:val="en-AU" w:eastAsia="en-AU"/>
        </w:rPr>
      </w:pPr>
      <w:r w:rsidRPr="00DD0AEA">
        <w:rPr>
          <w:rFonts w:ascii="Times New Roman" w:eastAsiaTheme="minorEastAsia" w:hAnsi="Times New Roman" w:cs="Times New Roman"/>
          <w:sz w:val="24"/>
          <w:szCs w:val="24"/>
          <w:lang w:val="en-AU" w:eastAsia="en-AU"/>
        </w:rPr>
        <w:tab/>
      </w:r>
    </w:p>
    <w:p w:rsidR="00DD0AEA" w:rsidRPr="00DD0AEA" w:rsidRDefault="00DD0AEA" w:rsidP="00DD0AEA">
      <w:pPr>
        <w:spacing w:before="100" w:beforeAutospacing="1" w:after="100" w:afterAutospacing="1" w:line="240" w:lineRule="auto"/>
        <w:jc w:val="both"/>
        <w:rPr>
          <w:rFonts w:ascii="Times New Roman" w:eastAsiaTheme="minorEastAsia" w:hAnsi="Times New Roman" w:cs="Times New Roman"/>
          <w:sz w:val="24"/>
          <w:szCs w:val="24"/>
          <w:lang w:val="en-AU" w:eastAsia="en-AU"/>
        </w:rPr>
      </w:pPr>
    </w:p>
    <w:p w:rsidR="00DD0AEA" w:rsidRPr="00DD0AEA" w:rsidRDefault="00DD0AEA" w:rsidP="00DD0AEA">
      <w:pPr>
        <w:spacing w:before="100" w:beforeAutospacing="1" w:after="100" w:afterAutospacing="1" w:line="240" w:lineRule="auto"/>
        <w:jc w:val="both"/>
        <w:rPr>
          <w:rFonts w:ascii="Times New Roman" w:eastAsiaTheme="minorEastAsia" w:hAnsi="Times New Roman" w:cs="Times New Roman"/>
          <w:sz w:val="24"/>
          <w:szCs w:val="24"/>
          <w:lang w:val="en-AU" w:eastAsia="en-AU"/>
        </w:rPr>
      </w:pPr>
    </w:p>
    <w:sdt>
      <w:sdtPr>
        <w:rPr>
          <w:rFonts w:ascii="Calibri" w:eastAsiaTheme="minorEastAsia" w:hAnsi="Calibri"/>
          <w:sz w:val="24"/>
          <w:lang w:val="en-AU" w:eastAsia="en-AU"/>
        </w:rPr>
        <w:id w:val="-332999839"/>
        <w:docPartObj>
          <w:docPartGallery w:val="Table of Contents"/>
          <w:docPartUnique/>
        </w:docPartObj>
      </w:sdtPr>
      <w:sdtEndPr>
        <w:rPr>
          <w:b/>
          <w:noProof/>
        </w:rPr>
      </w:sdtEndPr>
      <w:sdtContent>
        <w:p w:rsidR="00DD0AEA" w:rsidRPr="00DD0AEA" w:rsidRDefault="00DD0AEA" w:rsidP="00DD0AEA">
          <w:pPr>
            <w:keepNext/>
            <w:keepLines/>
            <w:pageBreakBefore/>
            <w:spacing w:before="100" w:beforeAutospacing="1" w:after="240"/>
            <w:rPr>
              <w:rFonts w:ascii="Calibri" w:eastAsiaTheme="majorEastAsia" w:hAnsi="Calibri" w:cstheme="majorBidi"/>
              <w:bCs/>
              <w:sz w:val="48"/>
              <w:szCs w:val="28"/>
              <w:lang w:val="en-AU"/>
            </w:rPr>
          </w:pPr>
          <w:r w:rsidRPr="00DD0AEA">
            <w:rPr>
              <w:rFonts w:ascii="Calibri" w:eastAsiaTheme="majorEastAsia" w:hAnsi="Calibri" w:cstheme="majorBidi"/>
              <w:bCs/>
              <w:sz w:val="48"/>
              <w:szCs w:val="28"/>
              <w:lang w:val="en-AU"/>
            </w:rPr>
            <w:t>Contents</w:t>
          </w:r>
        </w:p>
        <w:p w:rsidR="00DD5468" w:rsidRDefault="00DD0AEA">
          <w:pPr>
            <w:pStyle w:val="TOC1"/>
            <w:rPr>
              <w:rFonts w:asciiTheme="minorHAnsi" w:hAnsiTheme="minorHAnsi"/>
              <w:noProof/>
              <w:sz w:val="22"/>
              <w:lang w:val="en-US" w:eastAsia="en-US"/>
            </w:rPr>
          </w:pPr>
          <w:r w:rsidRPr="00DD0AEA">
            <w:fldChar w:fldCharType="begin"/>
          </w:r>
          <w:r w:rsidRPr="00DD0AEA">
            <w:instrText xml:space="preserve"> TOC \o "1-3" \h \z \u </w:instrText>
          </w:r>
          <w:r w:rsidRPr="00DD0AEA">
            <w:fldChar w:fldCharType="separate"/>
          </w:r>
          <w:hyperlink w:anchor="_Toc524350286" w:history="1">
            <w:r w:rsidR="00DD5468" w:rsidRPr="00CF585A">
              <w:rPr>
                <w:rStyle w:val="Hyperlink"/>
                <w:rFonts w:eastAsia="Arial Unicode MS" w:cs="font331"/>
                <w:bCs/>
                <w:noProof/>
                <w:kern w:val="1"/>
                <w:lang w:val="en-IE" w:eastAsia="hi-IN" w:bidi="hi-IN"/>
              </w:rPr>
              <w:t>Executive Summary</w:t>
            </w:r>
            <w:r w:rsidR="00DD5468">
              <w:rPr>
                <w:noProof/>
                <w:webHidden/>
              </w:rPr>
              <w:tab/>
            </w:r>
            <w:r w:rsidR="00DD5468">
              <w:rPr>
                <w:noProof/>
                <w:webHidden/>
              </w:rPr>
              <w:fldChar w:fldCharType="begin"/>
            </w:r>
            <w:r w:rsidR="00DD5468">
              <w:rPr>
                <w:noProof/>
                <w:webHidden/>
              </w:rPr>
              <w:instrText xml:space="preserve"> PAGEREF _Toc524350286 \h </w:instrText>
            </w:r>
            <w:r w:rsidR="00DD5468">
              <w:rPr>
                <w:noProof/>
                <w:webHidden/>
              </w:rPr>
            </w:r>
            <w:r w:rsidR="00DD5468">
              <w:rPr>
                <w:noProof/>
                <w:webHidden/>
              </w:rPr>
              <w:fldChar w:fldCharType="separate"/>
            </w:r>
            <w:r w:rsidR="00FA5EBA">
              <w:rPr>
                <w:noProof/>
                <w:webHidden/>
              </w:rPr>
              <w:t>4</w:t>
            </w:r>
            <w:r w:rsidR="00DD5468">
              <w:rPr>
                <w:noProof/>
                <w:webHidden/>
              </w:rPr>
              <w:fldChar w:fldCharType="end"/>
            </w:r>
          </w:hyperlink>
        </w:p>
        <w:p w:rsidR="00DD5468" w:rsidRDefault="00A27D7E">
          <w:pPr>
            <w:pStyle w:val="TOC1"/>
            <w:rPr>
              <w:rFonts w:asciiTheme="minorHAnsi" w:hAnsiTheme="minorHAnsi"/>
              <w:noProof/>
              <w:sz w:val="22"/>
              <w:lang w:val="en-US" w:eastAsia="en-US"/>
            </w:rPr>
          </w:pPr>
          <w:hyperlink w:anchor="_Toc524350287" w:history="1">
            <w:r w:rsidR="00DD5468" w:rsidRPr="00CF585A">
              <w:rPr>
                <w:rStyle w:val="Hyperlink"/>
                <w:rFonts w:eastAsia="Arial Unicode MS" w:cs="font331"/>
                <w:bCs/>
                <w:noProof/>
                <w:kern w:val="1"/>
                <w:lang w:val="en-IE" w:eastAsia="hi-IN" w:bidi="hi-IN"/>
              </w:rPr>
              <w:t>Recommendations</w:t>
            </w:r>
            <w:r w:rsidR="00DD5468">
              <w:rPr>
                <w:noProof/>
                <w:webHidden/>
              </w:rPr>
              <w:tab/>
            </w:r>
            <w:r w:rsidR="00DD5468">
              <w:rPr>
                <w:noProof/>
                <w:webHidden/>
              </w:rPr>
              <w:fldChar w:fldCharType="begin"/>
            </w:r>
            <w:r w:rsidR="00DD5468">
              <w:rPr>
                <w:noProof/>
                <w:webHidden/>
              </w:rPr>
              <w:instrText xml:space="preserve"> PAGEREF _Toc524350287 \h </w:instrText>
            </w:r>
            <w:r w:rsidR="00DD5468">
              <w:rPr>
                <w:noProof/>
                <w:webHidden/>
              </w:rPr>
            </w:r>
            <w:r w:rsidR="00DD5468">
              <w:rPr>
                <w:noProof/>
                <w:webHidden/>
              </w:rPr>
              <w:fldChar w:fldCharType="separate"/>
            </w:r>
            <w:r w:rsidR="00FA5EBA">
              <w:rPr>
                <w:noProof/>
                <w:webHidden/>
              </w:rPr>
              <w:t>5</w:t>
            </w:r>
            <w:r w:rsidR="00DD5468">
              <w:rPr>
                <w:noProof/>
                <w:webHidden/>
              </w:rPr>
              <w:fldChar w:fldCharType="end"/>
            </w:r>
          </w:hyperlink>
        </w:p>
        <w:p w:rsidR="00DD5468" w:rsidRDefault="00A27D7E">
          <w:pPr>
            <w:pStyle w:val="TOC1"/>
            <w:rPr>
              <w:rFonts w:asciiTheme="minorHAnsi" w:hAnsiTheme="minorHAnsi"/>
              <w:noProof/>
              <w:sz w:val="22"/>
              <w:lang w:val="en-US" w:eastAsia="en-US"/>
            </w:rPr>
          </w:pPr>
          <w:hyperlink w:anchor="_Toc524350288" w:history="1">
            <w:r w:rsidR="00DD5468" w:rsidRPr="00CF585A">
              <w:rPr>
                <w:rStyle w:val="Hyperlink"/>
                <w:rFonts w:eastAsia="Arial Unicode MS" w:cs="font331"/>
                <w:bCs/>
                <w:noProof/>
                <w:kern w:val="1"/>
                <w:lang w:val="en-IE" w:eastAsia="hi-IN" w:bidi="hi-IN"/>
              </w:rPr>
              <w:t>First principles regulation</w:t>
            </w:r>
            <w:r w:rsidR="00DD5468">
              <w:rPr>
                <w:noProof/>
                <w:webHidden/>
              </w:rPr>
              <w:tab/>
            </w:r>
            <w:r w:rsidR="00DD5468">
              <w:rPr>
                <w:noProof/>
                <w:webHidden/>
              </w:rPr>
              <w:fldChar w:fldCharType="begin"/>
            </w:r>
            <w:r w:rsidR="00DD5468">
              <w:rPr>
                <w:noProof/>
                <w:webHidden/>
              </w:rPr>
              <w:instrText xml:space="preserve"> PAGEREF _Toc524350288 \h </w:instrText>
            </w:r>
            <w:r w:rsidR="00DD5468">
              <w:rPr>
                <w:noProof/>
                <w:webHidden/>
              </w:rPr>
            </w:r>
            <w:r w:rsidR="00DD5468">
              <w:rPr>
                <w:noProof/>
                <w:webHidden/>
              </w:rPr>
              <w:fldChar w:fldCharType="separate"/>
            </w:r>
            <w:r w:rsidR="00FA5EBA">
              <w:rPr>
                <w:noProof/>
                <w:webHidden/>
              </w:rPr>
              <w:t>7</w:t>
            </w:r>
            <w:r w:rsidR="00DD5468">
              <w:rPr>
                <w:noProof/>
                <w:webHidden/>
              </w:rPr>
              <w:fldChar w:fldCharType="end"/>
            </w:r>
          </w:hyperlink>
        </w:p>
        <w:p w:rsidR="00DD5468" w:rsidRDefault="00A27D7E">
          <w:pPr>
            <w:pStyle w:val="TOC1"/>
            <w:rPr>
              <w:rFonts w:asciiTheme="minorHAnsi" w:hAnsiTheme="minorHAnsi"/>
              <w:noProof/>
              <w:sz w:val="22"/>
              <w:lang w:val="en-US" w:eastAsia="en-US"/>
            </w:rPr>
          </w:pPr>
          <w:hyperlink w:anchor="_Toc524350289" w:history="1">
            <w:r w:rsidR="00DD5468" w:rsidRPr="00CF585A">
              <w:rPr>
                <w:rStyle w:val="Hyperlink"/>
                <w:rFonts w:eastAsia="Arial Unicode MS" w:cs="font331"/>
                <w:bCs/>
                <w:noProof/>
                <w:kern w:val="1"/>
                <w:lang w:val="en-IE" w:eastAsia="hi-IN" w:bidi="hi-IN"/>
              </w:rPr>
              <w:t>Privacy</w:t>
            </w:r>
            <w:r w:rsidR="00DD5468">
              <w:rPr>
                <w:noProof/>
                <w:webHidden/>
              </w:rPr>
              <w:tab/>
            </w:r>
            <w:r w:rsidR="00DD5468">
              <w:rPr>
                <w:noProof/>
                <w:webHidden/>
              </w:rPr>
              <w:fldChar w:fldCharType="begin"/>
            </w:r>
            <w:r w:rsidR="00DD5468">
              <w:rPr>
                <w:noProof/>
                <w:webHidden/>
              </w:rPr>
              <w:instrText xml:space="preserve"> PAGEREF _Toc524350289 \h </w:instrText>
            </w:r>
            <w:r w:rsidR="00DD5468">
              <w:rPr>
                <w:noProof/>
                <w:webHidden/>
              </w:rPr>
            </w:r>
            <w:r w:rsidR="00DD5468">
              <w:rPr>
                <w:noProof/>
                <w:webHidden/>
              </w:rPr>
              <w:fldChar w:fldCharType="separate"/>
            </w:r>
            <w:r w:rsidR="00FA5EBA">
              <w:rPr>
                <w:noProof/>
                <w:webHidden/>
              </w:rPr>
              <w:t>17</w:t>
            </w:r>
            <w:r w:rsidR="00DD5468">
              <w:rPr>
                <w:noProof/>
                <w:webHidden/>
              </w:rPr>
              <w:fldChar w:fldCharType="end"/>
            </w:r>
          </w:hyperlink>
        </w:p>
        <w:p w:rsidR="00DD5468" w:rsidRDefault="00A27D7E">
          <w:pPr>
            <w:pStyle w:val="TOC1"/>
            <w:rPr>
              <w:rFonts w:asciiTheme="minorHAnsi" w:hAnsiTheme="minorHAnsi"/>
              <w:noProof/>
              <w:sz w:val="22"/>
              <w:lang w:val="en-US" w:eastAsia="en-US"/>
            </w:rPr>
          </w:pPr>
          <w:hyperlink w:anchor="_Toc524350290" w:history="1">
            <w:r w:rsidR="00DD5468" w:rsidRPr="00CF585A">
              <w:rPr>
                <w:rStyle w:val="Hyperlink"/>
                <w:rFonts w:eastAsia="Arial Unicode MS" w:cs="font331"/>
                <w:bCs/>
                <w:noProof/>
                <w:kern w:val="1"/>
                <w:lang w:val="en-IE" w:eastAsia="hi-IN" w:bidi="hi-IN"/>
              </w:rPr>
              <w:t>Consent</w:t>
            </w:r>
            <w:r w:rsidR="00DD5468">
              <w:rPr>
                <w:noProof/>
                <w:webHidden/>
              </w:rPr>
              <w:tab/>
            </w:r>
            <w:r w:rsidR="00DD5468">
              <w:rPr>
                <w:noProof/>
                <w:webHidden/>
              </w:rPr>
              <w:fldChar w:fldCharType="begin"/>
            </w:r>
            <w:r w:rsidR="00DD5468">
              <w:rPr>
                <w:noProof/>
                <w:webHidden/>
              </w:rPr>
              <w:instrText xml:space="preserve"> PAGEREF _Toc524350290 \h </w:instrText>
            </w:r>
            <w:r w:rsidR="00DD5468">
              <w:rPr>
                <w:noProof/>
                <w:webHidden/>
              </w:rPr>
            </w:r>
            <w:r w:rsidR="00DD5468">
              <w:rPr>
                <w:noProof/>
                <w:webHidden/>
              </w:rPr>
              <w:fldChar w:fldCharType="separate"/>
            </w:r>
            <w:r w:rsidR="00FA5EBA">
              <w:rPr>
                <w:noProof/>
                <w:webHidden/>
              </w:rPr>
              <w:t>24</w:t>
            </w:r>
            <w:r w:rsidR="00DD5468">
              <w:rPr>
                <w:noProof/>
                <w:webHidden/>
              </w:rPr>
              <w:fldChar w:fldCharType="end"/>
            </w:r>
          </w:hyperlink>
        </w:p>
        <w:p w:rsidR="00DD5468" w:rsidRDefault="00A27D7E">
          <w:pPr>
            <w:pStyle w:val="TOC1"/>
            <w:rPr>
              <w:rFonts w:asciiTheme="minorHAnsi" w:hAnsiTheme="minorHAnsi"/>
              <w:noProof/>
              <w:sz w:val="22"/>
              <w:lang w:val="en-US" w:eastAsia="en-US"/>
            </w:rPr>
          </w:pPr>
          <w:hyperlink w:anchor="_Toc524350291" w:history="1">
            <w:r w:rsidR="00DD5468" w:rsidRPr="00CF585A">
              <w:rPr>
                <w:rStyle w:val="Hyperlink"/>
                <w:rFonts w:eastAsia="Arial Unicode MS" w:cs="font331"/>
                <w:bCs/>
                <w:noProof/>
                <w:kern w:val="1"/>
                <w:lang w:val="en-IE" w:eastAsia="hi-IN" w:bidi="hi-IN"/>
              </w:rPr>
              <w:t>Competition</w:t>
            </w:r>
            <w:r w:rsidR="00DD5468">
              <w:rPr>
                <w:noProof/>
                <w:webHidden/>
              </w:rPr>
              <w:tab/>
            </w:r>
            <w:r w:rsidR="00DD5468">
              <w:rPr>
                <w:noProof/>
                <w:webHidden/>
              </w:rPr>
              <w:fldChar w:fldCharType="begin"/>
            </w:r>
            <w:r w:rsidR="00DD5468">
              <w:rPr>
                <w:noProof/>
                <w:webHidden/>
              </w:rPr>
              <w:instrText xml:space="preserve"> PAGEREF _Toc524350291 \h </w:instrText>
            </w:r>
            <w:r w:rsidR="00DD5468">
              <w:rPr>
                <w:noProof/>
                <w:webHidden/>
              </w:rPr>
            </w:r>
            <w:r w:rsidR="00DD5468">
              <w:rPr>
                <w:noProof/>
                <w:webHidden/>
              </w:rPr>
              <w:fldChar w:fldCharType="separate"/>
            </w:r>
            <w:r w:rsidR="00FA5EBA">
              <w:rPr>
                <w:noProof/>
                <w:webHidden/>
              </w:rPr>
              <w:t>26</w:t>
            </w:r>
            <w:r w:rsidR="00DD5468">
              <w:rPr>
                <w:noProof/>
                <w:webHidden/>
              </w:rPr>
              <w:fldChar w:fldCharType="end"/>
            </w:r>
          </w:hyperlink>
        </w:p>
        <w:p w:rsidR="00DD5468" w:rsidRDefault="00A27D7E">
          <w:pPr>
            <w:pStyle w:val="TOC1"/>
            <w:rPr>
              <w:rFonts w:asciiTheme="minorHAnsi" w:hAnsiTheme="minorHAnsi"/>
              <w:noProof/>
              <w:sz w:val="22"/>
              <w:lang w:val="en-US" w:eastAsia="en-US"/>
            </w:rPr>
          </w:pPr>
          <w:hyperlink w:anchor="_Toc524350292" w:history="1">
            <w:r w:rsidR="00DD5468" w:rsidRPr="00CF585A">
              <w:rPr>
                <w:rStyle w:val="Hyperlink"/>
                <w:rFonts w:eastAsia="Arial Unicode MS" w:cs="font331"/>
                <w:bCs/>
                <w:noProof/>
                <w:kern w:val="1"/>
                <w:lang w:val="en-IE" w:eastAsia="hi-IN" w:bidi="hi-IN"/>
              </w:rPr>
              <w:t>Questions raised at roundtables</w:t>
            </w:r>
            <w:r w:rsidR="00DD5468">
              <w:rPr>
                <w:noProof/>
                <w:webHidden/>
              </w:rPr>
              <w:tab/>
            </w:r>
            <w:r w:rsidR="00DD5468">
              <w:rPr>
                <w:noProof/>
                <w:webHidden/>
              </w:rPr>
              <w:fldChar w:fldCharType="begin"/>
            </w:r>
            <w:r w:rsidR="00DD5468">
              <w:rPr>
                <w:noProof/>
                <w:webHidden/>
              </w:rPr>
              <w:instrText xml:space="preserve"> PAGEREF _Toc524350292 \h </w:instrText>
            </w:r>
            <w:r w:rsidR="00DD5468">
              <w:rPr>
                <w:noProof/>
                <w:webHidden/>
              </w:rPr>
            </w:r>
            <w:r w:rsidR="00DD5468">
              <w:rPr>
                <w:noProof/>
                <w:webHidden/>
              </w:rPr>
              <w:fldChar w:fldCharType="separate"/>
            </w:r>
            <w:r w:rsidR="00FA5EBA">
              <w:rPr>
                <w:noProof/>
                <w:webHidden/>
              </w:rPr>
              <w:t>31</w:t>
            </w:r>
            <w:r w:rsidR="00DD5468">
              <w:rPr>
                <w:noProof/>
                <w:webHidden/>
              </w:rPr>
              <w:fldChar w:fldCharType="end"/>
            </w:r>
          </w:hyperlink>
        </w:p>
        <w:p w:rsidR="00DD5468" w:rsidRDefault="00A27D7E">
          <w:pPr>
            <w:pStyle w:val="TOC1"/>
            <w:rPr>
              <w:rFonts w:asciiTheme="minorHAnsi" w:hAnsiTheme="minorHAnsi"/>
              <w:noProof/>
              <w:sz w:val="22"/>
              <w:lang w:val="en-US" w:eastAsia="en-US"/>
            </w:rPr>
          </w:pPr>
          <w:hyperlink w:anchor="_Toc524350293" w:history="1">
            <w:r w:rsidR="00DD5468" w:rsidRPr="00CF585A">
              <w:rPr>
                <w:rStyle w:val="Hyperlink"/>
                <w:rFonts w:eastAsia="Arial Unicode MS" w:cs="font331"/>
                <w:bCs/>
                <w:noProof/>
                <w:kern w:val="1"/>
                <w:lang w:val="en-IE" w:eastAsia="hi-IN" w:bidi="hi-IN"/>
              </w:rPr>
              <w:t>Reference List</w:t>
            </w:r>
            <w:r w:rsidR="00DD5468">
              <w:rPr>
                <w:noProof/>
                <w:webHidden/>
              </w:rPr>
              <w:tab/>
            </w:r>
            <w:r w:rsidR="00DD5468">
              <w:rPr>
                <w:noProof/>
                <w:webHidden/>
              </w:rPr>
              <w:fldChar w:fldCharType="begin"/>
            </w:r>
            <w:r w:rsidR="00DD5468">
              <w:rPr>
                <w:noProof/>
                <w:webHidden/>
              </w:rPr>
              <w:instrText xml:space="preserve"> PAGEREF _Toc524350293 \h </w:instrText>
            </w:r>
            <w:r w:rsidR="00DD5468">
              <w:rPr>
                <w:noProof/>
                <w:webHidden/>
              </w:rPr>
            </w:r>
            <w:r w:rsidR="00DD5468">
              <w:rPr>
                <w:noProof/>
                <w:webHidden/>
              </w:rPr>
              <w:fldChar w:fldCharType="separate"/>
            </w:r>
            <w:r w:rsidR="00FA5EBA">
              <w:rPr>
                <w:noProof/>
                <w:webHidden/>
              </w:rPr>
              <w:t>33</w:t>
            </w:r>
            <w:r w:rsidR="00DD5468">
              <w:rPr>
                <w:noProof/>
                <w:webHidden/>
              </w:rPr>
              <w:fldChar w:fldCharType="end"/>
            </w:r>
          </w:hyperlink>
        </w:p>
        <w:p w:rsidR="00DD0AEA" w:rsidRPr="00DD0AEA" w:rsidRDefault="00DD0AEA" w:rsidP="00DD0AEA">
          <w:pPr>
            <w:spacing w:before="100" w:beforeAutospacing="1" w:after="100" w:afterAutospacing="1" w:line="240" w:lineRule="auto"/>
            <w:jc w:val="both"/>
            <w:rPr>
              <w:rFonts w:ascii="Calibri" w:eastAsiaTheme="minorEastAsia" w:hAnsi="Calibri"/>
              <w:sz w:val="24"/>
              <w:lang w:val="en-AU" w:eastAsia="en-AU"/>
            </w:rPr>
          </w:pPr>
          <w:r w:rsidRPr="00DD0AEA">
            <w:rPr>
              <w:rFonts w:ascii="Calibri" w:eastAsiaTheme="minorEastAsia" w:hAnsi="Calibri"/>
              <w:b/>
              <w:bCs/>
              <w:noProof/>
              <w:sz w:val="24"/>
              <w:lang w:val="en-AU" w:eastAsia="en-AU"/>
            </w:rPr>
            <w:fldChar w:fldCharType="end"/>
          </w:r>
        </w:p>
      </w:sdtContent>
    </w:sdt>
    <w:p w:rsidR="00DD0AEA" w:rsidRPr="00DD0AEA" w:rsidRDefault="00DD0AEA" w:rsidP="00CB7501">
      <w:pPr>
        <w:spacing w:before="100" w:beforeAutospacing="1" w:after="100" w:afterAutospacing="1" w:line="240" w:lineRule="auto"/>
        <w:jc w:val="both"/>
        <w:rPr>
          <w:rFonts w:eastAsiaTheme="minorEastAsia" w:cstheme="minorHAnsi"/>
          <w:sz w:val="24"/>
          <w:szCs w:val="24"/>
          <w:lang w:val="en-AU" w:eastAsia="en-AU"/>
        </w:rPr>
      </w:pPr>
    </w:p>
    <w:p w:rsidR="00DD0AEA" w:rsidRPr="00DD0AEA" w:rsidRDefault="00DD0AEA" w:rsidP="00DD0AEA">
      <w:pPr>
        <w:keepNext/>
        <w:keepLines/>
        <w:pageBreakBefore/>
        <w:suppressAutoHyphens/>
        <w:spacing w:before="28" w:after="240" w:line="240" w:lineRule="auto"/>
        <w:ind w:left="851" w:hanging="851"/>
        <w:jc w:val="both"/>
        <w:outlineLvl w:val="0"/>
        <w:rPr>
          <w:rFonts w:ascii="Calibri" w:eastAsia="Arial Unicode MS" w:hAnsi="Calibri" w:cs="font331"/>
          <w:bCs/>
          <w:kern w:val="1"/>
          <w:sz w:val="44"/>
          <w:szCs w:val="28"/>
          <w:lang w:val="en-IE" w:eastAsia="hi-IN" w:bidi="hi-IN"/>
        </w:rPr>
      </w:pPr>
      <w:bookmarkStart w:id="0" w:name="_Toc524350286"/>
      <w:bookmarkStart w:id="1" w:name="_Toc424112265"/>
      <w:r w:rsidRPr="00DD0AEA">
        <w:rPr>
          <w:rFonts w:ascii="Calibri" w:eastAsia="Arial Unicode MS" w:hAnsi="Calibri" w:cs="font331"/>
          <w:bCs/>
          <w:kern w:val="1"/>
          <w:sz w:val="44"/>
          <w:szCs w:val="28"/>
          <w:lang w:val="en-IE" w:eastAsia="hi-IN" w:bidi="hi-IN"/>
        </w:rPr>
        <w:lastRenderedPageBreak/>
        <w:t>Executive Summary</w:t>
      </w:r>
      <w:bookmarkEnd w:id="0"/>
      <w:r w:rsidRPr="00DD0AEA">
        <w:rPr>
          <w:rFonts w:ascii="Calibri" w:eastAsia="Arial Unicode MS" w:hAnsi="Calibri" w:cs="font331"/>
          <w:bCs/>
          <w:kern w:val="1"/>
          <w:sz w:val="44"/>
          <w:szCs w:val="28"/>
          <w:lang w:val="en-IE" w:eastAsia="hi-IN" w:bidi="hi-IN"/>
        </w:rPr>
        <w:t xml:space="preserve"> </w:t>
      </w:r>
      <w:bookmarkEnd w:id="1"/>
    </w:p>
    <w:p w:rsidR="009B6AC6" w:rsidRDefault="00E155E4" w:rsidP="00551903">
      <w:pPr>
        <w:spacing w:before="100" w:beforeAutospacing="1" w:after="100" w:afterAutospacing="1"/>
        <w:jc w:val="both"/>
        <w:rPr>
          <w:rFonts w:ascii="Times New Roman" w:hAnsi="Times New Roman" w:cs="Times New Roman"/>
          <w:color w:val="000000" w:themeColor="text1"/>
          <w:sz w:val="24"/>
          <w:szCs w:val="24"/>
          <w:lang w:val="en-AU"/>
        </w:rPr>
      </w:pPr>
      <w:r>
        <w:rPr>
          <w:rFonts w:ascii="Times New Roman" w:hAnsi="Times New Roman" w:cs="Times New Roman"/>
          <w:color w:val="000000" w:themeColor="text1"/>
          <w:sz w:val="24"/>
          <w:szCs w:val="24"/>
          <w:lang w:val="en-AU"/>
        </w:rPr>
        <w:t>ACCAN would like to thank the Treasury for the opportunity to submit to i</w:t>
      </w:r>
      <w:r w:rsidR="00DD0523">
        <w:rPr>
          <w:rFonts w:ascii="Times New Roman" w:hAnsi="Times New Roman" w:cs="Times New Roman"/>
          <w:color w:val="000000" w:themeColor="text1"/>
          <w:sz w:val="24"/>
          <w:szCs w:val="24"/>
          <w:lang w:val="en-AU"/>
        </w:rPr>
        <w:t xml:space="preserve">ts consultation on the exposure draft of the </w:t>
      </w:r>
      <w:r w:rsidR="00DD0523">
        <w:rPr>
          <w:rFonts w:ascii="Times New Roman" w:hAnsi="Times New Roman" w:cs="Times New Roman"/>
          <w:i/>
          <w:color w:val="000000" w:themeColor="text1"/>
          <w:sz w:val="24"/>
          <w:szCs w:val="24"/>
          <w:lang w:val="en-AU"/>
        </w:rPr>
        <w:t xml:space="preserve">Treasury Laws Amendment (Consumer Data Right) </w:t>
      </w:r>
      <w:r w:rsidR="00F46A19">
        <w:rPr>
          <w:rFonts w:ascii="Times New Roman" w:hAnsi="Times New Roman" w:cs="Times New Roman"/>
          <w:i/>
          <w:color w:val="000000" w:themeColor="text1"/>
          <w:sz w:val="24"/>
          <w:szCs w:val="24"/>
          <w:lang w:val="en-AU"/>
        </w:rPr>
        <w:t>Bill</w:t>
      </w:r>
      <w:r w:rsidR="00DD0523">
        <w:rPr>
          <w:rFonts w:ascii="Times New Roman" w:hAnsi="Times New Roman" w:cs="Times New Roman"/>
          <w:i/>
          <w:color w:val="000000" w:themeColor="text1"/>
          <w:sz w:val="24"/>
          <w:szCs w:val="24"/>
          <w:lang w:val="en-AU"/>
        </w:rPr>
        <w:t xml:space="preserve"> 2018.</w:t>
      </w:r>
      <w:r w:rsidR="00DD0523">
        <w:rPr>
          <w:rFonts w:ascii="Times New Roman" w:hAnsi="Times New Roman" w:cs="Times New Roman"/>
          <w:color w:val="000000" w:themeColor="text1"/>
          <w:sz w:val="24"/>
          <w:szCs w:val="24"/>
          <w:lang w:val="en-AU"/>
        </w:rPr>
        <w:t xml:space="preserve"> </w:t>
      </w:r>
      <w:r w:rsidR="00551903">
        <w:rPr>
          <w:rFonts w:ascii="Times New Roman" w:hAnsi="Times New Roman" w:cs="Times New Roman"/>
          <w:color w:val="000000" w:themeColor="text1"/>
          <w:sz w:val="24"/>
          <w:szCs w:val="24"/>
          <w:lang w:val="en-AU"/>
        </w:rPr>
        <w:t xml:space="preserve"> </w:t>
      </w:r>
    </w:p>
    <w:p w:rsidR="00FF3295" w:rsidRPr="003A3819" w:rsidRDefault="008D3D8E" w:rsidP="00551903">
      <w:pPr>
        <w:spacing w:before="100" w:beforeAutospacing="1" w:after="100" w:afterAutospacing="1"/>
        <w:jc w:val="both"/>
        <w:rPr>
          <w:rFonts w:ascii="Times New Roman" w:hAnsi="Times New Roman" w:cs="Times New Roman"/>
          <w:color w:val="FF0000"/>
          <w:sz w:val="24"/>
          <w:szCs w:val="24"/>
          <w:lang w:val="en-AU"/>
        </w:rPr>
      </w:pPr>
      <w:r w:rsidRPr="0077406C">
        <w:rPr>
          <w:rFonts w:ascii="Times New Roman" w:hAnsi="Times New Roman" w:cs="Times New Roman"/>
          <w:color w:val="000000" w:themeColor="text1"/>
          <w:sz w:val="24"/>
          <w:szCs w:val="24"/>
          <w:lang w:val="en-AU"/>
        </w:rPr>
        <w:t xml:space="preserve">Data and information </w:t>
      </w:r>
      <w:r w:rsidR="003A3819">
        <w:rPr>
          <w:rFonts w:ascii="Times New Roman" w:hAnsi="Times New Roman" w:cs="Times New Roman"/>
          <w:color w:val="000000" w:themeColor="text1"/>
          <w:sz w:val="24"/>
          <w:szCs w:val="24"/>
          <w:lang w:val="en-AU"/>
        </w:rPr>
        <w:t>can</w:t>
      </w:r>
      <w:r w:rsidRPr="0077406C">
        <w:rPr>
          <w:rFonts w:ascii="Times New Roman" w:hAnsi="Times New Roman" w:cs="Times New Roman"/>
          <w:color w:val="000000" w:themeColor="text1"/>
          <w:sz w:val="24"/>
          <w:szCs w:val="24"/>
          <w:lang w:val="en-AU"/>
        </w:rPr>
        <w:t xml:space="preserve"> be powerful transformative forces in markets, and ACCAN supports measures to harness</w:t>
      </w:r>
      <w:r w:rsidR="00C76CC9">
        <w:rPr>
          <w:rFonts w:ascii="Times New Roman" w:hAnsi="Times New Roman" w:cs="Times New Roman"/>
          <w:color w:val="000000" w:themeColor="text1"/>
          <w:sz w:val="24"/>
          <w:szCs w:val="24"/>
          <w:lang w:val="en-AU"/>
        </w:rPr>
        <w:t xml:space="preserve"> the collection and use of</w:t>
      </w:r>
      <w:r w:rsidRPr="0077406C">
        <w:rPr>
          <w:rFonts w:ascii="Times New Roman" w:hAnsi="Times New Roman" w:cs="Times New Roman"/>
          <w:color w:val="000000" w:themeColor="text1"/>
          <w:sz w:val="24"/>
          <w:szCs w:val="24"/>
          <w:lang w:val="en-AU"/>
        </w:rPr>
        <w:t xml:space="preserve"> data to provide better outcomes for consumers. </w:t>
      </w:r>
      <w:r w:rsidR="00DE2D2C">
        <w:rPr>
          <w:rFonts w:ascii="Times New Roman" w:hAnsi="Times New Roman" w:cs="Times New Roman"/>
          <w:color w:val="000000" w:themeColor="text1"/>
          <w:sz w:val="24"/>
          <w:szCs w:val="24"/>
          <w:lang w:val="en-AU"/>
        </w:rPr>
        <w:t>The proposed reforms have the potential to yield significant benefits for consumers, particularly in those markets characterised by high levels of concentration and weak competition.</w:t>
      </w:r>
      <w:r w:rsidR="00FF3295">
        <w:rPr>
          <w:rFonts w:ascii="Times New Roman" w:hAnsi="Times New Roman" w:cs="Times New Roman"/>
          <w:color w:val="000000" w:themeColor="text1"/>
          <w:sz w:val="24"/>
          <w:szCs w:val="24"/>
          <w:lang w:val="en-AU"/>
        </w:rPr>
        <w:t xml:space="preserve"> The benefits for </w:t>
      </w:r>
      <w:r w:rsidR="00BF1FA6">
        <w:rPr>
          <w:rFonts w:ascii="Times New Roman" w:hAnsi="Times New Roman" w:cs="Times New Roman"/>
          <w:color w:val="000000" w:themeColor="text1"/>
          <w:sz w:val="24"/>
          <w:szCs w:val="24"/>
          <w:lang w:val="en-AU"/>
        </w:rPr>
        <w:t>consumers</w:t>
      </w:r>
      <w:r w:rsidR="00FF3295">
        <w:rPr>
          <w:rFonts w:ascii="Times New Roman" w:hAnsi="Times New Roman" w:cs="Times New Roman"/>
          <w:color w:val="000000" w:themeColor="text1"/>
          <w:sz w:val="24"/>
          <w:szCs w:val="24"/>
          <w:lang w:val="en-AU"/>
        </w:rPr>
        <w:t xml:space="preserve"> may be material and the consumer data right framework will in principle enable consumers to benefit from their data through reduced prices and m</w:t>
      </w:r>
      <w:r w:rsidR="004206F6">
        <w:rPr>
          <w:rFonts w:ascii="Times New Roman" w:hAnsi="Times New Roman" w:cs="Times New Roman"/>
          <w:color w:val="000000" w:themeColor="text1"/>
          <w:sz w:val="24"/>
          <w:szCs w:val="24"/>
          <w:lang w:val="en-AU"/>
        </w:rPr>
        <w:t>ore tailored service offerings.</w:t>
      </w:r>
    </w:p>
    <w:p w:rsidR="00FF3295" w:rsidRPr="004206F6" w:rsidRDefault="004206F6" w:rsidP="00496EC4">
      <w:pPr>
        <w:spacing w:before="100" w:beforeAutospacing="1" w:after="100" w:afterAutospacing="1"/>
        <w:jc w:val="both"/>
        <w:rPr>
          <w:rFonts w:ascii="Times New Roman" w:hAnsi="Times New Roman" w:cs="Times New Roman"/>
          <w:sz w:val="24"/>
        </w:rPr>
      </w:pPr>
      <w:r w:rsidRPr="004206F6">
        <w:rPr>
          <w:rFonts w:ascii="Times New Roman" w:hAnsi="Times New Roman" w:cs="Times New Roman"/>
          <w:sz w:val="24"/>
          <w:szCs w:val="24"/>
          <w:lang w:val="en-AU"/>
        </w:rPr>
        <w:t>In the tele</w:t>
      </w:r>
      <w:r w:rsidR="00480D20">
        <w:rPr>
          <w:rFonts w:ascii="Times New Roman" w:hAnsi="Times New Roman" w:cs="Times New Roman"/>
          <w:sz w:val="24"/>
          <w:szCs w:val="24"/>
          <w:lang w:val="en-AU"/>
        </w:rPr>
        <w:t>communications marketplace, these reforms ha</w:t>
      </w:r>
      <w:r w:rsidR="00294DFD">
        <w:rPr>
          <w:rFonts w:ascii="Times New Roman" w:hAnsi="Times New Roman" w:cs="Times New Roman"/>
          <w:sz w:val="24"/>
          <w:szCs w:val="24"/>
          <w:lang w:val="en-AU"/>
        </w:rPr>
        <w:t>ve</w:t>
      </w:r>
      <w:r w:rsidRPr="004206F6">
        <w:rPr>
          <w:rFonts w:ascii="Times New Roman" w:hAnsi="Times New Roman" w:cs="Times New Roman"/>
          <w:sz w:val="24"/>
          <w:szCs w:val="24"/>
          <w:lang w:val="en-AU"/>
        </w:rPr>
        <w:t xml:space="preserve"> the potential to provide significant relief to those consumers on low incomes. </w:t>
      </w:r>
      <w:r w:rsidR="00FF3295" w:rsidRPr="004206F6">
        <w:rPr>
          <w:rFonts w:ascii="Times New Roman" w:hAnsi="Times New Roman" w:cs="Times New Roman"/>
          <w:sz w:val="24"/>
          <w:szCs w:val="24"/>
        </w:rPr>
        <w:t xml:space="preserve">Although the quality and variety of services on offer in Australia have increased significantly over time, and there have been improvements in affordability more generally, affordable communications continue to be a challenge for many consumers on low incomes </w:t>
      </w:r>
      <w:r w:rsidRPr="004206F6">
        <w:rPr>
          <w:rFonts w:ascii="Times New Roman" w:hAnsi="Times New Roman" w:cs="Times New Roman"/>
          <w:sz w:val="24"/>
        </w:rPr>
        <w:t>(PC 2017</w:t>
      </w:r>
      <w:r w:rsidRPr="004206F6">
        <w:rPr>
          <w:rFonts w:ascii="Times New Roman" w:hAnsi="Times New Roman" w:cs="Times New Roman"/>
          <w:noProof/>
          <w:sz w:val="24"/>
          <w:szCs w:val="24"/>
        </w:rPr>
        <w:t xml:space="preserve">, </w:t>
      </w:r>
      <w:r w:rsidRPr="004206F6">
        <w:rPr>
          <w:rFonts w:ascii="Times New Roman" w:hAnsi="Times New Roman" w:cs="Times New Roman"/>
          <w:sz w:val="24"/>
          <w:szCs w:val="24"/>
        </w:rPr>
        <w:t>p. 24</w:t>
      </w:r>
      <w:r w:rsidRPr="004206F6">
        <w:rPr>
          <w:rFonts w:ascii="Times New Roman" w:hAnsi="Times New Roman" w:cs="Times New Roman"/>
          <w:sz w:val="24"/>
        </w:rPr>
        <w:t>)</w:t>
      </w:r>
      <w:r w:rsidR="00FF3295" w:rsidRPr="004206F6">
        <w:rPr>
          <w:rFonts w:ascii="Times New Roman" w:hAnsi="Times New Roman" w:cs="Times New Roman"/>
          <w:sz w:val="24"/>
          <w:szCs w:val="24"/>
        </w:rPr>
        <w:t xml:space="preserve">. </w:t>
      </w:r>
    </w:p>
    <w:p w:rsidR="00551903" w:rsidRPr="0013687E" w:rsidRDefault="004206F6" w:rsidP="0013687E">
      <w:pPr>
        <w:jc w:val="both"/>
        <w:rPr>
          <w:rFonts w:ascii="Times New Roman" w:hAnsi="Times New Roman" w:cs="Times New Roman"/>
          <w:sz w:val="24"/>
        </w:rPr>
      </w:pPr>
      <w:r w:rsidRPr="0013687E">
        <w:rPr>
          <w:rFonts w:ascii="Times New Roman" w:hAnsi="Times New Roman" w:cs="Times New Roman"/>
          <w:sz w:val="24"/>
        </w:rPr>
        <w:t>Optimism concerning the potential benefits of the proposed reforms, sho</w:t>
      </w:r>
      <w:r w:rsidR="0013687E" w:rsidRPr="0013687E">
        <w:rPr>
          <w:rFonts w:ascii="Times New Roman" w:hAnsi="Times New Roman" w:cs="Times New Roman"/>
          <w:sz w:val="24"/>
        </w:rPr>
        <w:t xml:space="preserve">uld however be tempered with a considered examination of the potential costs and risks. Although ACCAN is in principle supportive of the intent of the proposed reforms, ACCAN has </w:t>
      </w:r>
      <w:r w:rsidR="00551903" w:rsidRPr="0013687E">
        <w:rPr>
          <w:rFonts w:ascii="Times New Roman" w:hAnsi="Times New Roman" w:cs="Times New Roman"/>
          <w:sz w:val="24"/>
          <w:szCs w:val="24"/>
          <w:lang w:val="en-AU"/>
        </w:rPr>
        <w:t xml:space="preserve">concerns that the current drafting of the </w:t>
      </w:r>
      <w:r w:rsidR="00F46A19">
        <w:rPr>
          <w:rFonts w:ascii="Times New Roman" w:hAnsi="Times New Roman" w:cs="Times New Roman"/>
          <w:sz w:val="24"/>
          <w:szCs w:val="24"/>
          <w:lang w:val="en-AU"/>
        </w:rPr>
        <w:t>Bill</w:t>
      </w:r>
      <w:r w:rsidR="00551903" w:rsidRPr="0013687E">
        <w:rPr>
          <w:rFonts w:ascii="Times New Roman" w:hAnsi="Times New Roman" w:cs="Times New Roman"/>
          <w:sz w:val="24"/>
          <w:szCs w:val="24"/>
          <w:lang w:val="en-AU"/>
        </w:rPr>
        <w:t xml:space="preserve"> does not adequate</w:t>
      </w:r>
      <w:r w:rsidR="00ED758E" w:rsidRPr="0013687E">
        <w:rPr>
          <w:rFonts w:ascii="Times New Roman" w:hAnsi="Times New Roman" w:cs="Times New Roman"/>
          <w:sz w:val="24"/>
          <w:szCs w:val="24"/>
          <w:lang w:val="en-AU"/>
        </w:rPr>
        <w:t>ly</w:t>
      </w:r>
      <w:r w:rsidR="00551903" w:rsidRPr="0013687E">
        <w:rPr>
          <w:rFonts w:ascii="Times New Roman" w:hAnsi="Times New Roman" w:cs="Times New Roman"/>
          <w:sz w:val="24"/>
          <w:szCs w:val="24"/>
          <w:lang w:val="en-AU"/>
        </w:rPr>
        <w:t xml:space="preserve"> address</w:t>
      </w:r>
      <w:r w:rsidR="000769D6">
        <w:rPr>
          <w:rFonts w:ascii="Times New Roman" w:hAnsi="Times New Roman" w:cs="Times New Roman"/>
          <w:sz w:val="24"/>
          <w:szCs w:val="24"/>
          <w:lang w:val="en-AU"/>
        </w:rPr>
        <w:t xml:space="preserve"> certain</w:t>
      </w:r>
      <w:r w:rsidR="00551903" w:rsidRPr="0013687E">
        <w:rPr>
          <w:rFonts w:ascii="Times New Roman" w:hAnsi="Times New Roman" w:cs="Times New Roman"/>
          <w:sz w:val="24"/>
          <w:szCs w:val="24"/>
          <w:lang w:val="en-AU"/>
        </w:rPr>
        <w:t xml:space="preserve"> issues including: </w:t>
      </w:r>
    </w:p>
    <w:p w:rsidR="00551903" w:rsidRDefault="00551903" w:rsidP="00116291">
      <w:pPr>
        <w:pStyle w:val="ListParagraph"/>
        <w:numPr>
          <w:ilvl w:val="0"/>
          <w:numId w:val="9"/>
        </w:numPr>
        <w:rPr>
          <w:rFonts w:ascii="Times New Roman" w:hAnsi="Times New Roman" w:cs="Times New Roman"/>
          <w:color w:val="000000" w:themeColor="text1"/>
          <w:szCs w:val="24"/>
        </w:rPr>
      </w:pPr>
      <w:r>
        <w:rPr>
          <w:rFonts w:ascii="Times New Roman" w:hAnsi="Times New Roman" w:cs="Times New Roman"/>
          <w:color w:val="000000" w:themeColor="text1"/>
          <w:szCs w:val="24"/>
        </w:rPr>
        <w:t>consumer privacy and protection of consumer data;</w:t>
      </w:r>
    </w:p>
    <w:p w:rsidR="00DD5468" w:rsidRDefault="00DD5468" w:rsidP="00116291">
      <w:pPr>
        <w:pStyle w:val="ListParagraph"/>
        <w:numPr>
          <w:ilvl w:val="0"/>
          <w:numId w:val="9"/>
        </w:numPr>
        <w:rPr>
          <w:rFonts w:ascii="Times New Roman" w:hAnsi="Times New Roman" w:cs="Times New Roman"/>
          <w:color w:val="000000" w:themeColor="text1"/>
          <w:szCs w:val="24"/>
        </w:rPr>
      </w:pPr>
      <w:r>
        <w:rPr>
          <w:rFonts w:ascii="Times New Roman" w:hAnsi="Times New Roman" w:cs="Times New Roman"/>
          <w:color w:val="000000" w:themeColor="text1"/>
          <w:szCs w:val="24"/>
        </w:rPr>
        <w:t>fundamental and entrenched information asymmetries;</w:t>
      </w:r>
    </w:p>
    <w:p w:rsidR="00551903" w:rsidRDefault="00633C30" w:rsidP="00116291">
      <w:pPr>
        <w:pStyle w:val="ListParagraph"/>
        <w:numPr>
          <w:ilvl w:val="0"/>
          <w:numId w:val="9"/>
        </w:numPr>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genuine and fully </w:t>
      </w:r>
      <w:r w:rsidR="00551903">
        <w:rPr>
          <w:rFonts w:ascii="Times New Roman" w:hAnsi="Times New Roman" w:cs="Times New Roman"/>
          <w:color w:val="000000" w:themeColor="text1"/>
          <w:szCs w:val="24"/>
        </w:rPr>
        <w:t xml:space="preserve">informed consent; and </w:t>
      </w:r>
    </w:p>
    <w:p w:rsidR="00551903" w:rsidRDefault="00551903" w:rsidP="00116291">
      <w:pPr>
        <w:pStyle w:val="ListParagraph"/>
        <w:numPr>
          <w:ilvl w:val="0"/>
          <w:numId w:val="9"/>
        </w:numPr>
        <w:rPr>
          <w:rFonts w:ascii="Times New Roman" w:hAnsi="Times New Roman" w:cs="Times New Roman"/>
          <w:color w:val="000000" w:themeColor="text1"/>
          <w:szCs w:val="24"/>
        </w:rPr>
      </w:pPr>
      <w:proofErr w:type="gramStart"/>
      <w:r>
        <w:rPr>
          <w:rFonts w:ascii="Times New Roman" w:hAnsi="Times New Roman" w:cs="Times New Roman"/>
          <w:color w:val="000000" w:themeColor="text1"/>
          <w:szCs w:val="24"/>
        </w:rPr>
        <w:t>the</w:t>
      </w:r>
      <w:proofErr w:type="gramEnd"/>
      <w:r>
        <w:rPr>
          <w:rFonts w:ascii="Times New Roman" w:hAnsi="Times New Roman" w:cs="Times New Roman"/>
          <w:color w:val="000000" w:themeColor="text1"/>
          <w:szCs w:val="24"/>
        </w:rPr>
        <w:t xml:space="preserve"> potential for consumer data</w:t>
      </w:r>
      <w:r w:rsidR="00342020">
        <w:rPr>
          <w:rFonts w:ascii="Times New Roman" w:hAnsi="Times New Roman" w:cs="Times New Roman"/>
          <w:color w:val="000000" w:themeColor="text1"/>
          <w:szCs w:val="24"/>
        </w:rPr>
        <w:t xml:space="preserve"> to be used</w:t>
      </w:r>
      <w:r>
        <w:rPr>
          <w:rFonts w:ascii="Times New Roman" w:hAnsi="Times New Roman" w:cs="Times New Roman"/>
          <w:color w:val="000000" w:themeColor="text1"/>
          <w:szCs w:val="24"/>
        </w:rPr>
        <w:t xml:space="preserve"> for anti-competitive conduct.</w:t>
      </w:r>
    </w:p>
    <w:p w:rsidR="001D5F76" w:rsidRDefault="00E31305" w:rsidP="00CB7501">
      <w:pPr>
        <w:spacing w:before="100" w:beforeAutospacing="1" w:after="100" w:afterAutospacing="1"/>
        <w:jc w:val="both"/>
        <w:rPr>
          <w:rFonts w:ascii="Times New Roman" w:hAnsi="Times New Roman" w:cs="Times New Roman"/>
          <w:sz w:val="24"/>
          <w:szCs w:val="24"/>
          <w:lang w:val="en-AU"/>
        </w:rPr>
      </w:pPr>
      <w:r w:rsidRPr="00C76CC9">
        <w:rPr>
          <w:rFonts w:ascii="Times New Roman" w:hAnsi="Times New Roman" w:cs="Times New Roman"/>
          <w:sz w:val="24"/>
          <w:szCs w:val="24"/>
          <w:lang w:val="en-AU"/>
        </w:rPr>
        <w:t xml:space="preserve">ACCAN strongly supports the refinement of the current legislation to ensure that the proposed </w:t>
      </w:r>
      <w:r w:rsidR="000769D6" w:rsidRPr="00C76CC9">
        <w:rPr>
          <w:rFonts w:ascii="Times New Roman" w:hAnsi="Times New Roman" w:cs="Times New Roman"/>
          <w:sz w:val="24"/>
          <w:szCs w:val="24"/>
          <w:lang w:val="en-AU"/>
        </w:rPr>
        <w:t>Consumer Data Right (</w:t>
      </w:r>
      <w:r w:rsidRPr="00C76CC9">
        <w:rPr>
          <w:rFonts w:ascii="Times New Roman" w:hAnsi="Times New Roman" w:cs="Times New Roman"/>
          <w:sz w:val="24"/>
          <w:szCs w:val="24"/>
          <w:lang w:val="en-AU"/>
        </w:rPr>
        <w:t>CDR</w:t>
      </w:r>
      <w:r w:rsidR="000769D6" w:rsidRPr="00C76CC9">
        <w:rPr>
          <w:rFonts w:ascii="Times New Roman" w:hAnsi="Times New Roman" w:cs="Times New Roman"/>
          <w:sz w:val="24"/>
          <w:szCs w:val="24"/>
          <w:lang w:val="en-AU"/>
        </w:rPr>
        <w:t>)</w:t>
      </w:r>
      <w:r w:rsidRPr="00C76CC9">
        <w:rPr>
          <w:rFonts w:ascii="Times New Roman" w:hAnsi="Times New Roman" w:cs="Times New Roman"/>
          <w:sz w:val="24"/>
          <w:szCs w:val="24"/>
          <w:lang w:val="en-AU"/>
        </w:rPr>
        <w:t xml:space="preserve"> framework maximises the potential benefits to consumers, while simultaneously addresses areas of </w:t>
      </w:r>
      <w:r w:rsidR="001E3DB6" w:rsidRPr="00C76CC9">
        <w:rPr>
          <w:rFonts w:ascii="Times New Roman" w:hAnsi="Times New Roman" w:cs="Times New Roman"/>
          <w:sz w:val="24"/>
          <w:szCs w:val="24"/>
          <w:lang w:val="en-AU"/>
        </w:rPr>
        <w:t>potential</w:t>
      </w:r>
      <w:r w:rsidRPr="00C76CC9">
        <w:rPr>
          <w:rFonts w:ascii="Times New Roman" w:hAnsi="Times New Roman" w:cs="Times New Roman"/>
          <w:sz w:val="24"/>
          <w:szCs w:val="24"/>
          <w:lang w:val="en-AU"/>
        </w:rPr>
        <w:t xml:space="preserve"> risk. </w:t>
      </w:r>
      <w:r w:rsidR="009D10CB" w:rsidRPr="00C76CC9">
        <w:rPr>
          <w:rFonts w:ascii="Times New Roman" w:hAnsi="Times New Roman" w:cs="Times New Roman"/>
          <w:sz w:val="24"/>
          <w:szCs w:val="24"/>
          <w:lang w:val="en-AU"/>
        </w:rPr>
        <w:t xml:space="preserve">These refinements entail </w:t>
      </w:r>
      <w:r w:rsidR="007F0AFE" w:rsidRPr="00C76CC9">
        <w:rPr>
          <w:rFonts w:ascii="Times New Roman" w:hAnsi="Times New Roman" w:cs="Times New Roman"/>
          <w:sz w:val="24"/>
          <w:szCs w:val="24"/>
          <w:lang w:val="en-AU"/>
        </w:rPr>
        <w:t xml:space="preserve">expanding the </w:t>
      </w:r>
      <w:r w:rsidR="0064008B" w:rsidRPr="00C76CC9">
        <w:rPr>
          <w:rFonts w:ascii="Times New Roman" w:hAnsi="Times New Roman" w:cs="Times New Roman"/>
          <w:sz w:val="24"/>
          <w:szCs w:val="24"/>
          <w:lang w:val="en-AU"/>
        </w:rPr>
        <w:t xml:space="preserve">scope of privacy protections for consumers, providing consumers </w:t>
      </w:r>
      <w:r w:rsidR="009968E8" w:rsidRPr="00C76CC9">
        <w:rPr>
          <w:rFonts w:ascii="Times New Roman" w:hAnsi="Times New Roman" w:cs="Times New Roman"/>
          <w:sz w:val="24"/>
          <w:szCs w:val="24"/>
          <w:lang w:val="en-AU"/>
        </w:rPr>
        <w:t xml:space="preserve">greater </w:t>
      </w:r>
      <w:r w:rsidR="0064008B" w:rsidRPr="00C76CC9">
        <w:rPr>
          <w:rFonts w:ascii="Times New Roman" w:hAnsi="Times New Roman" w:cs="Times New Roman"/>
          <w:sz w:val="24"/>
          <w:szCs w:val="24"/>
          <w:lang w:val="en-AU"/>
        </w:rPr>
        <w:t xml:space="preserve">control over </w:t>
      </w:r>
      <w:r w:rsidR="009968E8" w:rsidRPr="00C76CC9">
        <w:rPr>
          <w:rFonts w:ascii="Times New Roman" w:hAnsi="Times New Roman" w:cs="Times New Roman"/>
          <w:sz w:val="24"/>
          <w:szCs w:val="24"/>
          <w:lang w:val="en-AU"/>
        </w:rPr>
        <w:t>their information through a genuine consent requirement, and constraining the potential for data to be used to engage in anti-competitive behaviour.</w:t>
      </w:r>
      <w:r w:rsidR="00DD5468">
        <w:rPr>
          <w:rFonts w:ascii="Times New Roman" w:hAnsi="Times New Roman" w:cs="Times New Roman"/>
          <w:sz w:val="24"/>
          <w:szCs w:val="24"/>
          <w:lang w:val="en-AU"/>
        </w:rPr>
        <w:t xml:space="preserve"> </w:t>
      </w:r>
    </w:p>
    <w:p w:rsidR="005F4B20" w:rsidRPr="00C76CC9" w:rsidRDefault="00BF41DC" w:rsidP="00CB7501">
      <w:pPr>
        <w:spacing w:before="100" w:beforeAutospacing="1" w:after="100" w:afterAutospacing="1"/>
        <w:jc w:val="both"/>
        <w:rPr>
          <w:rFonts w:ascii="Times New Roman" w:hAnsi="Times New Roman" w:cs="Times New Roman"/>
          <w:sz w:val="24"/>
          <w:szCs w:val="24"/>
          <w:lang w:val="en-AU"/>
        </w:rPr>
      </w:pPr>
      <w:r>
        <w:rPr>
          <w:rFonts w:ascii="Times New Roman" w:hAnsi="Times New Roman" w:cs="Times New Roman"/>
          <w:sz w:val="24"/>
          <w:szCs w:val="24"/>
          <w:lang w:val="en-AU"/>
        </w:rPr>
        <w:t xml:space="preserve">The CDR is likely to reduce the cost of consumers communicating their information between providers (a transaction cost). Although this will provide some benefits, ACCAN has concerns that the CDR will not address the entrenched information advantages that service providers have over consumers, and the detriment that consumers face as a result. Unless these information asymmetries are addressed, the CDR and the benefits that it generates are unlikely to reach their potential. Accordingly we support further refinements to the CDR to address the material information asymmetries faced by consumers. </w:t>
      </w:r>
    </w:p>
    <w:p w:rsidR="00352240" w:rsidRDefault="00B10975" w:rsidP="006730E8">
      <w:pPr>
        <w:keepNext/>
        <w:keepLines/>
        <w:pageBreakBefore/>
        <w:suppressAutoHyphens/>
        <w:spacing w:before="28" w:after="0" w:line="240" w:lineRule="auto"/>
        <w:jc w:val="both"/>
        <w:outlineLvl w:val="0"/>
        <w:rPr>
          <w:rFonts w:ascii="Calibri" w:eastAsia="Arial Unicode MS" w:hAnsi="Calibri" w:cs="font331"/>
          <w:bCs/>
          <w:kern w:val="1"/>
          <w:sz w:val="44"/>
          <w:szCs w:val="28"/>
          <w:lang w:val="en-IE" w:eastAsia="hi-IN" w:bidi="hi-IN"/>
        </w:rPr>
      </w:pPr>
      <w:r>
        <w:rPr>
          <w:rFonts w:ascii="Calibri" w:eastAsia="Arial Unicode MS" w:hAnsi="Calibri" w:cs="font331"/>
          <w:bCs/>
          <w:kern w:val="1"/>
          <w:sz w:val="44"/>
          <w:szCs w:val="28"/>
          <w:lang w:val="en-IE" w:eastAsia="hi-IN" w:bidi="hi-IN"/>
        </w:rPr>
        <w:lastRenderedPageBreak/>
        <w:fldChar w:fldCharType="begin"/>
      </w:r>
      <w:r>
        <w:rPr>
          <w:rFonts w:ascii="Calibri" w:eastAsia="Arial Unicode MS" w:hAnsi="Calibri" w:cs="font331"/>
          <w:bCs/>
          <w:kern w:val="1"/>
          <w:sz w:val="44"/>
          <w:szCs w:val="28"/>
          <w:lang w:val="en-IE" w:eastAsia="hi-IN" w:bidi="hi-IN"/>
        </w:rPr>
        <w:instrText xml:space="preserve"> PRINTDATE  \* MERGEFORMAT </w:instrText>
      </w:r>
      <w:r>
        <w:rPr>
          <w:rFonts w:ascii="Calibri" w:eastAsia="Arial Unicode MS" w:hAnsi="Calibri" w:cs="font331"/>
          <w:bCs/>
          <w:kern w:val="1"/>
          <w:sz w:val="44"/>
          <w:szCs w:val="28"/>
          <w:lang w:val="en-IE" w:eastAsia="hi-IN" w:bidi="hi-IN"/>
        </w:rPr>
        <w:fldChar w:fldCharType="end"/>
      </w:r>
      <w:bookmarkStart w:id="2" w:name="_Toc524350287"/>
      <w:r w:rsidR="00352240">
        <w:rPr>
          <w:rFonts w:ascii="Calibri" w:eastAsia="Arial Unicode MS" w:hAnsi="Calibri" w:cs="font331"/>
          <w:bCs/>
          <w:kern w:val="1"/>
          <w:sz w:val="44"/>
          <w:szCs w:val="28"/>
          <w:lang w:val="en-IE" w:eastAsia="hi-IN" w:bidi="hi-IN"/>
        </w:rPr>
        <w:t>Recommendations</w:t>
      </w:r>
      <w:bookmarkEnd w:id="2"/>
      <w:r w:rsidR="00352240">
        <w:rPr>
          <w:rFonts w:ascii="Calibri" w:eastAsia="Arial Unicode MS" w:hAnsi="Calibri" w:cs="font331"/>
          <w:bCs/>
          <w:kern w:val="1"/>
          <w:sz w:val="44"/>
          <w:szCs w:val="28"/>
          <w:lang w:val="en-IE" w:eastAsia="hi-IN" w:bidi="hi-IN"/>
        </w:rPr>
        <w:t xml:space="preserve"> </w:t>
      </w:r>
    </w:p>
    <w:p w:rsidR="00F93DBE" w:rsidRDefault="00221EA5" w:rsidP="00FE7339">
      <w:pPr>
        <w:spacing w:before="100" w:beforeAutospacing="1" w:after="100" w:afterAutospacing="1"/>
        <w:jc w:val="both"/>
        <w:rPr>
          <w:rFonts w:ascii="Times New Roman" w:eastAsia="Arial Unicode MS" w:hAnsi="Times New Roman" w:cs="Times New Roman"/>
          <w:bCs/>
          <w:kern w:val="1"/>
          <w:sz w:val="24"/>
          <w:szCs w:val="24"/>
          <w:lang w:val="en-IE" w:eastAsia="hi-IN" w:bidi="hi-IN"/>
        </w:rPr>
      </w:pPr>
      <w:r w:rsidRPr="00DD0AEA">
        <w:rPr>
          <w:rFonts w:ascii="Calibri" w:eastAsiaTheme="minorEastAsia" w:hAnsi="Calibri"/>
          <w:noProof/>
          <w:color w:val="000000" w:themeColor="text1"/>
          <w:sz w:val="24"/>
        </w:rPr>
        <mc:AlternateContent>
          <mc:Choice Requires="wps">
            <w:drawing>
              <wp:anchor distT="0" distB="0" distL="114300" distR="114300" simplePos="0" relativeHeight="251758592" behindDoc="0" locked="0" layoutInCell="1" allowOverlap="1" wp14:anchorId="4DE79BEC" wp14:editId="49557B55">
                <wp:simplePos x="0" y="0"/>
                <wp:positionH relativeFrom="column">
                  <wp:posOffset>15875</wp:posOffset>
                </wp:positionH>
                <wp:positionV relativeFrom="paragraph">
                  <wp:posOffset>111125</wp:posOffset>
                </wp:positionV>
                <wp:extent cx="5720080" cy="975360"/>
                <wp:effectExtent l="0" t="0" r="13970" b="15240"/>
                <wp:wrapNone/>
                <wp:docPr id="31" name="Text Box 31"/>
                <wp:cNvGraphicFramePr/>
                <a:graphic xmlns:a="http://schemas.openxmlformats.org/drawingml/2006/main">
                  <a:graphicData uri="http://schemas.microsoft.com/office/word/2010/wordprocessingShape">
                    <wps:wsp>
                      <wps:cNvSpPr txBox="1"/>
                      <wps:spPr>
                        <a:xfrm>
                          <a:off x="0" y="0"/>
                          <a:ext cx="5720080" cy="975360"/>
                        </a:xfrm>
                        <a:prstGeom prst="rect">
                          <a:avLst/>
                        </a:prstGeom>
                        <a:solidFill>
                          <a:sysClr val="window" lastClr="FFFFFF"/>
                        </a:solidFill>
                        <a:ln w="6350">
                          <a:solidFill>
                            <a:srgbClr val="00B0F0"/>
                          </a:solidFill>
                        </a:ln>
                      </wps:spPr>
                      <wps:txbx>
                        <w:txbxContent>
                          <w:p w:rsidR="00DD5468" w:rsidRPr="00840306" w:rsidRDefault="00DD5468" w:rsidP="00221EA5">
                            <w:pPr>
                              <w:jc w:val="both"/>
                              <w:rPr>
                                <w:rFonts w:ascii="Times New Roman" w:hAnsi="Times New Roman" w:cs="Times New Roman"/>
                                <w:b/>
                              </w:rPr>
                            </w:pPr>
                            <w:r w:rsidRPr="00840306">
                              <w:rPr>
                                <w:rFonts w:ascii="Times New Roman" w:hAnsi="Times New Roman" w:cs="Times New Roman"/>
                                <w:b/>
                              </w:rPr>
                              <w:t xml:space="preserve">Recommendation 1 </w:t>
                            </w:r>
                          </w:p>
                          <w:p w:rsidR="00DD5468" w:rsidRPr="00840306" w:rsidRDefault="00DD5468" w:rsidP="00221EA5">
                            <w:pPr>
                              <w:jc w:val="both"/>
                              <w:rPr>
                                <w:rFonts w:ascii="Times New Roman" w:hAnsi="Times New Roman" w:cs="Times New Roman"/>
                                <w:i/>
                              </w:rPr>
                            </w:pPr>
                            <w:r w:rsidRPr="00840306">
                              <w:rPr>
                                <w:rFonts w:ascii="Times New Roman" w:hAnsi="Times New Roman" w:cs="Times New Roman"/>
                                <w:i/>
                              </w:rPr>
                              <w:t>Th</w:t>
                            </w:r>
                            <w:r>
                              <w:rPr>
                                <w:rFonts w:ascii="Times New Roman" w:hAnsi="Times New Roman" w:cs="Times New Roman"/>
                                <w:i/>
                              </w:rPr>
                              <w:t>at</w:t>
                            </w:r>
                            <w:r w:rsidRPr="00840306">
                              <w:rPr>
                                <w:rFonts w:ascii="Times New Roman" w:hAnsi="Times New Roman" w:cs="Times New Roman"/>
                                <w:i/>
                              </w:rPr>
                              <w:t xml:space="preserve"> Treasury embeds ongoing requirements for rigorous cost-benefit analyses that are publicly released and made available to stakeholders prior to sectors being declared and rules being made.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left:0;text-align:left;margin-left:1.25pt;margin-top:8.75pt;width:450.4pt;height:76.8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" fillcolor="window" strokecolor="#00b0f0" strokeweight=".5pt">
                <v:textbox>
                  <w:txbxContent>
                    <w:p w:rsidR="00DD5468" w:rsidRPr="00840306" w:rsidRDefault="00DD5468" w:rsidP="00221EA5">
                      <w:pPr>
                        <w:jc w:val="both"/>
                        <w:rPr>
                          <w:rFonts w:ascii="Times New Roman" w:hAnsi="Times New Roman" w:cs="Times New Roman"/>
                          <w:b/>
                        </w:rPr>
                      </w:pPr>
                      <w:r w:rsidRPr="00840306">
                        <w:rPr>
                          <w:rFonts w:ascii="Times New Roman" w:hAnsi="Times New Roman" w:cs="Times New Roman"/>
                          <w:b/>
                        </w:rPr>
                        <w:t xml:space="preserve">Recommendation 1 </w:t>
                      </w:r>
                    </w:p>
                    <w:p w:rsidR="00DD5468" w:rsidRPr="00840306" w:rsidRDefault="00DD5468" w:rsidP="00221EA5">
                      <w:pPr>
                        <w:jc w:val="both"/>
                        <w:rPr>
                          <w:rFonts w:ascii="Times New Roman" w:hAnsi="Times New Roman" w:cs="Times New Roman"/>
                          <w:i/>
                        </w:rPr>
                      </w:pPr>
                      <w:r w:rsidRPr="00840306">
                        <w:rPr>
                          <w:rFonts w:ascii="Times New Roman" w:hAnsi="Times New Roman" w:cs="Times New Roman"/>
                          <w:i/>
                        </w:rPr>
                        <w:t>Th</w:t>
                      </w:r>
                      <w:r>
                        <w:rPr>
                          <w:rFonts w:ascii="Times New Roman" w:hAnsi="Times New Roman" w:cs="Times New Roman"/>
                          <w:i/>
                        </w:rPr>
                        <w:t>at</w:t>
                      </w:r>
                      <w:r w:rsidRPr="00840306">
                        <w:rPr>
                          <w:rFonts w:ascii="Times New Roman" w:hAnsi="Times New Roman" w:cs="Times New Roman"/>
                          <w:i/>
                        </w:rPr>
                        <w:t xml:space="preserve"> Treasury embeds ongoing requirements for rigorous cost-benefit analyses that are publicly released and made available to stakeholders prior to sectors being declared and rules being made.</w:t>
                      </w:r>
                    </w:p>
                  </w:txbxContent>
                </v:textbox>
              </v:shape>
            </w:pict>
          </mc:Fallback>
        </mc:AlternateContent>
      </w:r>
    </w:p>
    <w:p w:rsidR="00887972" w:rsidRPr="00726243" w:rsidRDefault="00887972" w:rsidP="00FE7339">
      <w:pPr>
        <w:spacing w:before="100" w:beforeAutospacing="1" w:after="100" w:afterAutospacing="1"/>
        <w:jc w:val="both"/>
        <w:rPr>
          <w:rFonts w:ascii="Times New Roman" w:eastAsia="Arial Unicode MS" w:hAnsi="Times New Roman" w:cs="Times New Roman"/>
          <w:bCs/>
          <w:kern w:val="1"/>
          <w:sz w:val="24"/>
          <w:szCs w:val="24"/>
          <w:lang w:val="en-IE" w:eastAsia="hi-IN" w:bidi="hi-IN"/>
        </w:rPr>
      </w:pPr>
    </w:p>
    <w:p w:rsidR="00F93DBE" w:rsidRDefault="001717EA" w:rsidP="00F93DBE">
      <w:pPr>
        <w:rPr>
          <w:lang w:val="en-IE" w:eastAsia="hi-IN" w:bidi="hi-IN"/>
        </w:rPr>
      </w:pPr>
      <w:r w:rsidRPr="00DD0AEA">
        <w:rPr>
          <w:rFonts w:ascii="Calibri" w:eastAsiaTheme="minorEastAsia" w:hAnsi="Calibri"/>
          <w:noProof/>
          <w:color w:val="000000" w:themeColor="text1"/>
          <w:sz w:val="24"/>
        </w:rPr>
        <mc:AlternateContent>
          <mc:Choice Requires="wps">
            <w:drawing>
              <wp:anchor distT="0" distB="0" distL="114300" distR="114300" simplePos="0" relativeHeight="251701248" behindDoc="0" locked="0" layoutInCell="1" allowOverlap="1" wp14:anchorId="6F695A78" wp14:editId="37C0B1B1">
                <wp:simplePos x="0" y="0"/>
                <wp:positionH relativeFrom="column">
                  <wp:posOffset>6350</wp:posOffset>
                </wp:positionH>
                <wp:positionV relativeFrom="paragraph">
                  <wp:posOffset>216535</wp:posOffset>
                </wp:positionV>
                <wp:extent cx="5720080" cy="1035050"/>
                <wp:effectExtent l="0" t="0" r="13970" b="12700"/>
                <wp:wrapNone/>
                <wp:docPr id="11" name="Text Box 11"/>
                <wp:cNvGraphicFramePr/>
                <a:graphic xmlns:a="http://schemas.openxmlformats.org/drawingml/2006/main">
                  <a:graphicData uri="http://schemas.microsoft.com/office/word/2010/wordprocessingShape">
                    <wps:wsp>
                      <wps:cNvSpPr txBox="1"/>
                      <wps:spPr>
                        <a:xfrm>
                          <a:off x="0" y="0"/>
                          <a:ext cx="5720080" cy="1035050"/>
                        </a:xfrm>
                        <a:prstGeom prst="rect">
                          <a:avLst/>
                        </a:prstGeom>
                        <a:solidFill>
                          <a:sysClr val="window" lastClr="FFFFFF"/>
                        </a:solidFill>
                        <a:ln w="6350">
                          <a:solidFill>
                            <a:srgbClr val="00B0F0"/>
                          </a:solidFill>
                        </a:ln>
                      </wps:spPr>
                      <wps:txbx>
                        <w:txbxContent>
                          <w:p w:rsidR="00DD5468" w:rsidRPr="00C35DED" w:rsidRDefault="00DD5468" w:rsidP="007056F2">
                            <w:pPr>
                              <w:rPr>
                                <w:rFonts w:ascii="Times New Roman" w:hAnsi="Times New Roman" w:cs="Times New Roman"/>
                                <w:b/>
                              </w:rPr>
                            </w:pPr>
                            <w:r w:rsidRPr="00C35DED">
                              <w:rPr>
                                <w:rFonts w:ascii="Times New Roman" w:hAnsi="Times New Roman" w:cs="Times New Roman"/>
                                <w:b/>
                              </w:rPr>
                              <w:t>Recommendation 2</w:t>
                            </w:r>
                          </w:p>
                          <w:p w:rsidR="00DD5468" w:rsidRPr="00C35DED" w:rsidRDefault="00DD5468" w:rsidP="007056F2">
                            <w:pPr>
                              <w:jc w:val="both"/>
                              <w:rPr>
                                <w:rFonts w:ascii="Times New Roman" w:hAnsi="Times New Roman" w:cs="Times New Roman"/>
                                <w:i/>
                              </w:rPr>
                            </w:pPr>
                            <w:r w:rsidRPr="00C35DED">
                              <w:rPr>
                                <w:rFonts w:ascii="Times New Roman" w:hAnsi="Times New Roman" w:cs="Times New Roman"/>
                                <w:i/>
                              </w:rPr>
                              <w:t>That as part of a rigorous and public cost- benefit analysis Treasury articulate</w:t>
                            </w:r>
                            <w:r>
                              <w:rPr>
                                <w:rFonts w:ascii="Times New Roman" w:hAnsi="Times New Roman" w:cs="Times New Roman"/>
                                <w:i/>
                              </w:rPr>
                              <w:t>s</w:t>
                            </w:r>
                            <w:r w:rsidRPr="00C35DED">
                              <w:rPr>
                                <w:rFonts w:ascii="Times New Roman" w:hAnsi="Times New Roman" w:cs="Times New Roman"/>
                                <w:i/>
                              </w:rPr>
                              <w:t xml:space="preserve"> the fundamental problem that the consumer data right framework is aimed at addressing.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27" type="#_x0000_t202" style="position:absolute;margin-left:.5pt;margin-top:17.05pt;width:450.4pt;height:8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" fillcolor="window" strokecolor="#00b0f0" strokeweight=".5pt">
                <v:textbox>
                  <w:txbxContent>
                    <w:p w:rsidR="00DD5468" w:rsidRPr="00C35DED" w:rsidRDefault="00DD5468" w:rsidP="007056F2">
                      <w:pPr>
                        <w:rPr>
                          <w:rFonts w:ascii="Times New Roman" w:hAnsi="Times New Roman" w:cs="Times New Roman"/>
                          <w:b/>
                        </w:rPr>
                      </w:pPr>
                      <w:r w:rsidRPr="00C35DED">
                        <w:rPr>
                          <w:rFonts w:ascii="Times New Roman" w:hAnsi="Times New Roman" w:cs="Times New Roman"/>
                          <w:b/>
                        </w:rPr>
                        <w:t>Recommendation 2</w:t>
                      </w:r>
                    </w:p>
                    <w:p w:rsidR="00DD5468" w:rsidRPr="00C35DED" w:rsidRDefault="00DD5468" w:rsidP="007056F2">
                      <w:pPr>
                        <w:jc w:val="both"/>
                        <w:rPr>
                          <w:rFonts w:ascii="Times New Roman" w:hAnsi="Times New Roman" w:cs="Times New Roman"/>
                          <w:i/>
                        </w:rPr>
                      </w:pPr>
                      <w:r w:rsidRPr="00C35DED">
                        <w:rPr>
                          <w:rFonts w:ascii="Times New Roman" w:hAnsi="Times New Roman" w:cs="Times New Roman"/>
                          <w:i/>
                        </w:rPr>
                        <w:t>That as part of a rigorous and public cost- benefit analysis Treasury articulate</w:t>
                      </w:r>
                      <w:r>
                        <w:rPr>
                          <w:rFonts w:ascii="Times New Roman" w:hAnsi="Times New Roman" w:cs="Times New Roman"/>
                          <w:i/>
                        </w:rPr>
                        <w:t>s</w:t>
                      </w:r>
                      <w:r w:rsidRPr="00C35DED">
                        <w:rPr>
                          <w:rFonts w:ascii="Times New Roman" w:hAnsi="Times New Roman" w:cs="Times New Roman"/>
                          <w:i/>
                        </w:rPr>
                        <w:t xml:space="preserve"> the fundamental problem that the consumer data right framework is aimed at addressing.</w:t>
                      </w:r>
                    </w:p>
                  </w:txbxContent>
                </v:textbox>
              </v:shape>
            </w:pict>
          </mc:Fallback>
        </mc:AlternateContent>
      </w:r>
    </w:p>
    <w:p w:rsidR="00F93DBE" w:rsidRDefault="00F93DBE" w:rsidP="00F93DBE">
      <w:pPr>
        <w:rPr>
          <w:lang w:val="en-IE" w:eastAsia="hi-IN" w:bidi="hi-IN"/>
        </w:rPr>
      </w:pPr>
    </w:p>
    <w:p w:rsidR="00F93DBE" w:rsidRDefault="00F93DBE" w:rsidP="00F93DBE">
      <w:pPr>
        <w:rPr>
          <w:lang w:val="en-IE" w:eastAsia="hi-IN" w:bidi="hi-IN"/>
        </w:rPr>
      </w:pPr>
    </w:p>
    <w:p w:rsidR="00F93DBE" w:rsidRDefault="00F93DBE" w:rsidP="00F93DBE">
      <w:pPr>
        <w:rPr>
          <w:lang w:val="en-IE" w:eastAsia="hi-IN" w:bidi="hi-IN"/>
        </w:rPr>
      </w:pPr>
    </w:p>
    <w:p w:rsidR="00F93DBE" w:rsidRDefault="00221EA5" w:rsidP="00F93DBE">
      <w:pPr>
        <w:rPr>
          <w:lang w:val="en-IE" w:eastAsia="hi-IN" w:bidi="hi-IN"/>
        </w:rPr>
      </w:pPr>
      <w:r w:rsidRPr="00DD0AEA">
        <w:rPr>
          <w:rFonts w:ascii="Calibri" w:eastAsiaTheme="minorEastAsia" w:hAnsi="Calibri"/>
          <w:noProof/>
          <w:color w:val="000000" w:themeColor="text1"/>
          <w:sz w:val="24"/>
        </w:rPr>
        <mc:AlternateContent>
          <mc:Choice Requires="wps">
            <w:drawing>
              <wp:anchor distT="0" distB="0" distL="114300" distR="114300" simplePos="0" relativeHeight="251762688" behindDoc="0" locked="0" layoutInCell="1" allowOverlap="1" wp14:anchorId="766DB621" wp14:editId="69F1003B">
                <wp:simplePos x="0" y="0"/>
                <wp:positionH relativeFrom="column">
                  <wp:posOffset>0</wp:posOffset>
                </wp:positionH>
                <wp:positionV relativeFrom="paragraph">
                  <wp:posOffset>25400</wp:posOffset>
                </wp:positionV>
                <wp:extent cx="5720080" cy="1236980"/>
                <wp:effectExtent l="0" t="0" r="13970" b="20320"/>
                <wp:wrapNone/>
                <wp:docPr id="33" name="Text Box 33"/>
                <wp:cNvGraphicFramePr/>
                <a:graphic xmlns:a="http://schemas.openxmlformats.org/drawingml/2006/main">
                  <a:graphicData uri="http://schemas.microsoft.com/office/word/2010/wordprocessingShape">
                    <wps:wsp>
                      <wps:cNvSpPr txBox="1"/>
                      <wps:spPr>
                        <a:xfrm>
                          <a:off x="0" y="0"/>
                          <a:ext cx="5720080" cy="1236980"/>
                        </a:xfrm>
                        <a:prstGeom prst="rect">
                          <a:avLst/>
                        </a:prstGeom>
                        <a:solidFill>
                          <a:sysClr val="window" lastClr="FFFFFF"/>
                        </a:solidFill>
                        <a:ln w="6350">
                          <a:solidFill>
                            <a:srgbClr val="00B0F0"/>
                          </a:solidFill>
                        </a:ln>
                      </wps:spPr>
                      <wps:txbx>
                        <w:txbxContent>
                          <w:p w:rsidR="00DD5468" w:rsidRPr="00C35DED" w:rsidRDefault="00DD5468" w:rsidP="00221EA5">
                            <w:pPr>
                              <w:rPr>
                                <w:rFonts w:ascii="Times New Roman" w:hAnsi="Times New Roman" w:cs="Times New Roman"/>
                                <w:b/>
                              </w:rPr>
                            </w:pPr>
                            <w:r w:rsidRPr="00C35DED">
                              <w:rPr>
                                <w:rFonts w:ascii="Times New Roman" w:hAnsi="Times New Roman" w:cs="Times New Roman"/>
                                <w:b/>
                              </w:rPr>
                              <w:t>Recommendation 3</w:t>
                            </w:r>
                          </w:p>
                          <w:p w:rsidR="00DD5468" w:rsidRPr="00C35DED" w:rsidRDefault="00DD5468" w:rsidP="00221EA5">
                            <w:pPr>
                              <w:jc w:val="both"/>
                              <w:rPr>
                                <w:rFonts w:ascii="Times New Roman" w:hAnsi="Times New Roman" w:cs="Times New Roman"/>
                                <w:i/>
                              </w:rPr>
                            </w:pPr>
                            <w:r w:rsidRPr="00C35DED">
                              <w:rPr>
                                <w:rFonts w:ascii="Times New Roman" w:hAnsi="Times New Roman" w:cs="Times New Roman"/>
                                <w:i/>
                              </w:rPr>
                              <w:t>That as part of a rigorous and public cost benefit analysis, Treasury articulate the fundamental objectives the consumer data right framework is aimed at addressing, to ensure Treasury and stakeholders are able to assess whether the proposed framework has achieved its objectives as the reforms are implemented.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 o:spid="_x0000_s1028" type="#_x0000_t202" style="position:absolute;margin-left:0;margin-top:2pt;width:450.4pt;height:97.4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" fillcolor="window" strokecolor="#00b0f0" strokeweight=".5pt">
                <v:textbox>
                  <w:txbxContent>
                    <w:p w:rsidR="00DD5468" w:rsidRPr="00C35DED" w:rsidRDefault="00DD5468" w:rsidP="00221EA5">
                      <w:pPr>
                        <w:rPr>
                          <w:rFonts w:ascii="Times New Roman" w:hAnsi="Times New Roman" w:cs="Times New Roman"/>
                          <w:b/>
                        </w:rPr>
                      </w:pPr>
                      <w:r w:rsidRPr="00C35DED">
                        <w:rPr>
                          <w:rFonts w:ascii="Times New Roman" w:hAnsi="Times New Roman" w:cs="Times New Roman"/>
                          <w:b/>
                        </w:rPr>
                        <w:t>Recommendation 3</w:t>
                      </w:r>
                    </w:p>
                    <w:p w:rsidR="00DD5468" w:rsidRPr="00C35DED" w:rsidRDefault="00DD5468" w:rsidP="00221EA5">
                      <w:pPr>
                        <w:jc w:val="both"/>
                        <w:rPr>
                          <w:rFonts w:ascii="Times New Roman" w:hAnsi="Times New Roman" w:cs="Times New Roman"/>
                          <w:i/>
                        </w:rPr>
                      </w:pPr>
                      <w:r w:rsidRPr="00C35DED">
                        <w:rPr>
                          <w:rFonts w:ascii="Times New Roman" w:hAnsi="Times New Roman" w:cs="Times New Roman"/>
                          <w:i/>
                        </w:rPr>
                        <w:t>That as part of a rigorous and public cost benefit analysis, Treasury articulate the fundamental objectives the consumer data right framework is aimed at addressing, to ensure Treasury and stakeholders are able to assess whether the proposed framework has achieved its objectives as the reforms are implemented.</w:t>
                      </w:r>
                    </w:p>
                  </w:txbxContent>
                </v:textbox>
              </v:shape>
            </w:pict>
          </mc:Fallback>
        </mc:AlternateContent>
      </w:r>
    </w:p>
    <w:p w:rsidR="00F93DBE" w:rsidRDefault="00F93DBE" w:rsidP="00F93DBE">
      <w:pPr>
        <w:rPr>
          <w:lang w:val="en-IE" w:eastAsia="hi-IN" w:bidi="hi-IN"/>
        </w:rPr>
      </w:pPr>
    </w:p>
    <w:p w:rsidR="00F93DBE" w:rsidRDefault="00F93DBE" w:rsidP="00F93DBE">
      <w:pPr>
        <w:rPr>
          <w:lang w:val="en-IE" w:eastAsia="hi-IN" w:bidi="hi-IN"/>
        </w:rPr>
      </w:pPr>
    </w:p>
    <w:p w:rsidR="00F93DBE" w:rsidRDefault="00F93DBE" w:rsidP="00F93DBE">
      <w:pPr>
        <w:rPr>
          <w:lang w:val="en-IE" w:eastAsia="hi-IN" w:bidi="hi-IN"/>
        </w:rPr>
      </w:pPr>
    </w:p>
    <w:p w:rsidR="00F93DBE" w:rsidRDefault="00221EA5" w:rsidP="00F93DBE">
      <w:pPr>
        <w:rPr>
          <w:lang w:val="en-IE" w:eastAsia="hi-IN" w:bidi="hi-IN"/>
        </w:rPr>
      </w:pPr>
      <w:r w:rsidRPr="00DD0AEA">
        <w:rPr>
          <w:rFonts w:ascii="Calibri" w:eastAsiaTheme="minorEastAsia" w:hAnsi="Calibri"/>
          <w:noProof/>
          <w:color w:val="000000" w:themeColor="text1"/>
          <w:sz w:val="24"/>
        </w:rPr>
        <mc:AlternateContent>
          <mc:Choice Requires="wps">
            <w:drawing>
              <wp:anchor distT="0" distB="0" distL="114300" distR="114300" simplePos="0" relativeHeight="251764736" behindDoc="0" locked="0" layoutInCell="1" allowOverlap="1" wp14:anchorId="5DA2B504" wp14:editId="460755A3">
                <wp:simplePos x="0" y="0"/>
                <wp:positionH relativeFrom="column">
                  <wp:posOffset>-2540</wp:posOffset>
                </wp:positionH>
                <wp:positionV relativeFrom="paragraph">
                  <wp:posOffset>25400</wp:posOffset>
                </wp:positionV>
                <wp:extent cx="5720080" cy="998220"/>
                <wp:effectExtent l="0" t="0" r="13970" b="11430"/>
                <wp:wrapNone/>
                <wp:docPr id="40" name="Text Box 40"/>
                <wp:cNvGraphicFramePr/>
                <a:graphic xmlns:a="http://schemas.openxmlformats.org/drawingml/2006/main">
                  <a:graphicData uri="http://schemas.microsoft.com/office/word/2010/wordprocessingShape">
                    <wps:wsp>
                      <wps:cNvSpPr txBox="1"/>
                      <wps:spPr>
                        <a:xfrm>
                          <a:off x="0" y="0"/>
                          <a:ext cx="5720080" cy="998220"/>
                        </a:xfrm>
                        <a:prstGeom prst="rect">
                          <a:avLst/>
                        </a:prstGeom>
                        <a:solidFill>
                          <a:sysClr val="window" lastClr="FFFFFF"/>
                        </a:solidFill>
                        <a:ln w="6350">
                          <a:solidFill>
                            <a:srgbClr val="00B0F0"/>
                          </a:solidFill>
                        </a:ln>
                      </wps:spPr>
                      <wps:txbx>
                        <w:txbxContent>
                          <w:p w:rsidR="00DD5468" w:rsidRPr="00C35DED" w:rsidRDefault="00DD5468" w:rsidP="00221EA5">
                            <w:pPr>
                              <w:rPr>
                                <w:rFonts w:ascii="Times New Roman" w:hAnsi="Times New Roman" w:cs="Times New Roman"/>
                                <w:b/>
                              </w:rPr>
                            </w:pPr>
                            <w:r w:rsidRPr="00C35DED">
                              <w:rPr>
                                <w:rFonts w:ascii="Times New Roman" w:hAnsi="Times New Roman" w:cs="Times New Roman"/>
                                <w:b/>
                              </w:rPr>
                              <w:t>Recommendation 4</w:t>
                            </w:r>
                          </w:p>
                          <w:p w:rsidR="00DD5468" w:rsidRPr="00C35DED" w:rsidRDefault="00DD5468" w:rsidP="00221EA5">
                            <w:pPr>
                              <w:jc w:val="both"/>
                              <w:rPr>
                                <w:rFonts w:ascii="Times New Roman" w:hAnsi="Times New Roman" w:cs="Times New Roman"/>
                                <w:i/>
                              </w:rPr>
                            </w:pPr>
                            <w:r w:rsidRPr="00C35DED">
                              <w:rPr>
                                <w:rFonts w:ascii="Times New Roman" w:hAnsi="Times New Roman" w:cs="Times New Roman"/>
                                <w:i/>
                              </w:rPr>
                              <w:t>That as part of a rigorous and public cost benefit analysis</w:t>
                            </w:r>
                            <w:r>
                              <w:rPr>
                                <w:rFonts w:ascii="Times New Roman" w:hAnsi="Times New Roman" w:cs="Times New Roman"/>
                                <w:i/>
                              </w:rPr>
                              <w:t xml:space="preserve">, </w:t>
                            </w:r>
                            <w:r w:rsidRPr="00C35DED">
                              <w:rPr>
                                <w:rFonts w:ascii="Times New Roman" w:hAnsi="Times New Roman" w:cs="Times New Roman"/>
                                <w:i/>
                              </w:rPr>
                              <w:t>Treasury examine</w:t>
                            </w:r>
                            <w:r>
                              <w:rPr>
                                <w:rFonts w:ascii="Times New Roman" w:hAnsi="Times New Roman" w:cs="Times New Roman"/>
                                <w:i/>
                              </w:rPr>
                              <w:t>s</w:t>
                            </w:r>
                            <w:r w:rsidRPr="00C35DED">
                              <w:rPr>
                                <w:rFonts w:ascii="Times New Roman" w:hAnsi="Times New Roman" w:cs="Times New Roman"/>
                                <w:i/>
                              </w:rPr>
                              <w:t xml:space="preserve"> the costs and benefits of alternatives to the proposed consumer data right framework, to ensure that the policy option with the greatest net benefits is adopted and implemented.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0" o:spid="_x0000_s1029" type="#_x0000_t202" style="position:absolute;margin-left:-.2pt;margin-top:2pt;width:450.4pt;height:78.6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" fillcolor="window" strokecolor="#00b0f0" strokeweight=".5pt">
                <v:textbox>
                  <w:txbxContent>
                    <w:p w:rsidR="00DD5468" w:rsidRPr="00C35DED" w:rsidRDefault="00DD5468" w:rsidP="00221EA5">
                      <w:pPr>
                        <w:rPr>
                          <w:rFonts w:ascii="Times New Roman" w:hAnsi="Times New Roman" w:cs="Times New Roman"/>
                          <w:b/>
                        </w:rPr>
                      </w:pPr>
                      <w:r w:rsidRPr="00C35DED">
                        <w:rPr>
                          <w:rFonts w:ascii="Times New Roman" w:hAnsi="Times New Roman" w:cs="Times New Roman"/>
                          <w:b/>
                        </w:rPr>
                        <w:t>Recommendation 4</w:t>
                      </w:r>
                    </w:p>
                    <w:p w:rsidR="00DD5468" w:rsidRPr="00C35DED" w:rsidRDefault="00DD5468" w:rsidP="00221EA5">
                      <w:pPr>
                        <w:jc w:val="both"/>
                        <w:rPr>
                          <w:rFonts w:ascii="Times New Roman" w:hAnsi="Times New Roman" w:cs="Times New Roman"/>
                          <w:i/>
                        </w:rPr>
                      </w:pPr>
                      <w:r w:rsidRPr="00C35DED">
                        <w:rPr>
                          <w:rFonts w:ascii="Times New Roman" w:hAnsi="Times New Roman" w:cs="Times New Roman"/>
                          <w:i/>
                        </w:rPr>
                        <w:t>That as part of a rigorous and public cost benefit analysis</w:t>
                      </w:r>
                      <w:r>
                        <w:rPr>
                          <w:rFonts w:ascii="Times New Roman" w:hAnsi="Times New Roman" w:cs="Times New Roman"/>
                          <w:i/>
                        </w:rPr>
                        <w:t xml:space="preserve">, </w:t>
                      </w:r>
                      <w:r w:rsidRPr="00C35DED">
                        <w:rPr>
                          <w:rFonts w:ascii="Times New Roman" w:hAnsi="Times New Roman" w:cs="Times New Roman"/>
                          <w:i/>
                        </w:rPr>
                        <w:t>Treasury examine</w:t>
                      </w:r>
                      <w:r>
                        <w:rPr>
                          <w:rFonts w:ascii="Times New Roman" w:hAnsi="Times New Roman" w:cs="Times New Roman"/>
                          <w:i/>
                        </w:rPr>
                        <w:t>s</w:t>
                      </w:r>
                      <w:r w:rsidRPr="00C35DED">
                        <w:rPr>
                          <w:rFonts w:ascii="Times New Roman" w:hAnsi="Times New Roman" w:cs="Times New Roman"/>
                          <w:i/>
                        </w:rPr>
                        <w:t xml:space="preserve"> the costs and benefits of alternatives to the proposed consumer data right framework, to ensure that the policy option with the greatest net benefits is adopted and implemented. </w:t>
                      </w:r>
                    </w:p>
                  </w:txbxContent>
                </v:textbox>
              </v:shape>
            </w:pict>
          </mc:Fallback>
        </mc:AlternateContent>
      </w:r>
    </w:p>
    <w:p w:rsidR="00F93DBE" w:rsidRDefault="00F93DBE" w:rsidP="00F93DBE">
      <w:pPr>
        <w:rPr>
          <w:lang w:val="en-IE" w:eastAsia="hi-IN" w:bidi="hi-IN"/>
        </w:rPr>
      </w:pPr>
    </w:p>
    <w:p w:rsidR="00F93DBE" w:rsidRDefault="00F93DBE" w:rsidP="00F93DBE">
      <w:pPr>
        <w:rPr>
          <w:lang w:val="en-IE" w:eastAsia="hi-IN" w:bidi="hi-IN"/>
        </w:rPr>
      </w:pPr>
    </w:p>
    <w:p w:rsidR="00F93DBE" w:rsidRDefault="001717EA" w:rsidP="00F93DBE">
      <w:pPr>
        <w:rPr>
          <w:lang w:val="en-IE" w:eastAsia="hi-IN" w:bidi="hi-IN"/>
        </w:rPr>
      </w:pPr>
      <w:r w:rsidRPr="00DD0AEA">
        <w:rPr>
          <w:rFonts w:ascii="Calibri" w:eastAsiaTheme="minorEastAsia" w:hAnsi="Calibri"/>
          <w:noProof/>
          <w:color w:val="000000" w:themeColor="text1"/>
          <w:sz w:val="24"/>
        </w:rPr>
        <mc:AlternateContent>
          <mc:Choice Requires="wps">
            <w:drawing>
              <wp:anchor distT="0" distB="0" distL="114300" distR="114300" simplePos="0" relativeHeight="251715584" behindDoc="0" locked="0" layoutInCell="1" allowOverlap="1" wp14:anchorId="226D195F" wp14:editId="4E730C1B">
                <wp:simplePos x="0" y="0"/>
                <wp:positionH relativeFrom="column">
                  <wp:posOffset>15240</wp:posOffset>
                </wp:positionH>
                <wp:positionV relativeFrom="paragraph">
                  <wp:posOffset>110490</wp:posOffset>
                </wp:positionV>
                <wp:extent cx="5720080" cy="1024255"/>
                <wp:effectExtent l="0" t="0" r="13970" b="23495"/>
                <wp:wrapNone/>
                <wp:docPr id="17" name="Text Box 17"/>
                <wp:cNvGraphicFramePr/>
                <a:graphic xmlns:a="http://schemas.openxmlformats.org/drawingml/2006/main">
                  <a:graphicData uri="http://schemas.microsoft.com/office/word/2010/wordprocessingShape">
                    <wps:wsp>
                      <wps:cNvSpPr txBox="1"/>
                      <wps:spPr>
                        <a:xfrm>
                          <a:off x="0" y="0"/>
                          <a:ext cx="5720080" cy="1024255"/>
                        </a:xfrm>
                        <a:prstGeom prst="rect">
                          <a:avLst/>
                        </a:prstGeom>
                        <a:solidFill>
                          <a:sysClr val="window" lastClr="FFFFFF"/>
                        </a:solidFill>
                        <a:ln w="6350">
                          <a:solidFill>
                            <a:srgbClr val="00B0F0"/>
                          </a:solidFill>
                        </a:ln>
                      </wps:spPr>
                      <wps:txbx>
                        <w:txbxContent>
                          <w:p w:rsidR="00DD5468" w:rsidRPr="00C35DED" w:rsidRDefault="00DD5468" w:rsidP="00BB3661">
                            <w:pPr>
                              <w:rPr>
                                <w:rFonts w:ascii="Times New Roman" w:hAnsi="Times New Roman" w:cs="Times New Roman"/>
                                <w:b/>
                                <w:sz w:val="24"/>
                              </w:rPr>
                            </w:pPr>
                            <w:r w:rsidRPr="00C35DED">
                              <w:rPr>
                                <w:rFonts w:ascii="Times New Roman" w:hAnsi="Times New Roman" w:cs="Times New Roman"/>
                                <w:b/>
                                <w:sz w:val="24"/>
                              </w:rPr>
                              <w:t>Recommendation 5</w:t>
                            </w:r>
                          </w:p>
                          <w:p w:rsidR="00DD5468" w:rsidRPr="00C35DED" w:rsidRDefault="00DD5468" w:rsidP="00BB3661">
                            <w:pPr>
                              <w:jc w:val="both"/>
                              <w:rPr>
                                <w:rFonts w:ascii="Times New Roman" w:hAnsi="Times New Roman" w:cs="Times New Roman"/>
                                <w:i/>
                                <w:sz w:val="24"/>
                              </w:rPr>
                            </w:pPr>
                            <w:r w:rsidRPr="00C35DED">
                              <w:rPr>
                                <w:rFonts w:ascii="Times New Roman" w:hAnsi="Times New Roman" w:cs="Times New Roman"/>
                                <w:i/>
                                <w:sz w:val="24"/>
                              </w:rPr>
                              <w:t xml:space="preserve">That Treasury consider the potential for the CDR framework to both reduce transaction costs and resolve information asymmetries as part of a rigorous, and public cost-benefit analysis.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30" type="#_x0000_t202" style="position:absolute;margin-left:1.2pt;margin-top:8.7pt;width:450.4pt;height:80.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" fillcolor="window" strokecolor="#00b0f0" strokeweight=".5pt">
                <v:textbox>
                  <w:txbxContent>
                    <w:p w:rsidR="00DD5468" w:rsidRPr="00C35DED" w:rsidRDefault="00DD5468" w:rsidP="00BB3661">
                      <w:pPr>
                        <w:rPr>
                          <w:rFonts w:ascii="Times New Roman" w:hAnsi="Times New Roman" w:cs="Times New Roman"/>
                          <w:b/>
                          <w:sz w:val="24"/>
                        </w:rPr>
                      </w:pPr>
                      <w:r w:rsidRPr="00C35DED">
                        <w:rPr>
                          <w:rFonts w:ascii="Times New Roman" w:hAnsi="Times New Roman" w:cs="Times New Roman"/>
                          <w:b/>
                          <w:sz w:val="24"/>
                        </w:rPr>
                        <w:t>Recommendation 5</w:t>
                      </w:r>
                    </w:p>
                    <w:p w:rsidR="00DD5468" w:rsidRPr="00C35DED" w:rsidRDefault="00DD5468" w:rsidP="00BB3661">
                      <w:pPr>
                        <w:jc w:val="both"/>
                        <w:rPr>
                          <w:rFonts w:ascii="Times New Roman" w:hAnsi="Times New Roman" w:cs="Times New Roman"/>
                          <w:i/>
                          <w:sz w:val="24"/>
                        </w:rPr>
                      </w:pPr>
                      <w:r w:rsidRPr="00C35DED">
                        <w:rPr>
                          <w:rFonts w:ascii="Times New Roman" w:hAnsi="Times New Roman" w:cs="Times New Roman"/>
                          <w:i/>
                          <w:sz w:val="24"/>
                        </w:rPr>
                        <w:t xml:space="preserve">That Treasury consider the potential for the CDR framework to both reduce transaction costs and resolve information asymmetries as part of a rigorous, and public cost-benefit analysis. </w:t>
                      </w:r>
                    </w:p>
                  </w:txbxContent>
                </v:textbox>
              </v:shape>
            </w:pict>
          </mc:Fallback>
        </mc:AlternateContent>
      </w:r>
    </w:p>
    <w:p w:rsidR="00F93DBE" w:rsidRDefault="00F93DBE" w:rsidP="00F93DBE">
      <w:pPr>
        <w:rPr>
          <w:lang w:val="en-IE" w:eastAsia="hi-IN" w:bidi="hi-IN"/>
        </w:rPr>
      </w:pPr>
    </w:p>
    <w:p w:rsidR="00F93DBE" w:rsidRDefault="00F93DBE" w:rsidP="00F93DBE">
      <w:pPr>
        <w:rPr>
          <w:lang w:val="en-IE" w:eastAsia="hi-IN" w:bidi="hi-IN"/>
        </w:rPr>
      </w:pPr>
    </w:p>
    <w:p w:rsidR="00F93DBE" w:rsidRDefault="001717EA" w:rsidP="00F93DBE">
      <w:pPr>
        <w:rPr>
          <w:lang w:val="en-IE" w:eastAsia="hi-IN" w:bidi="hi-IN"/>
        </w:rPr>
      </w:pPr>
      <w:r w:rsidRPr="00DD0AEA">
        <w:rPr>
          <w:rFonts w:ascii="Calibri" w:eastAsiaTheme="minorEastAsia" w:hAnsi="Calibri"/>
          <w:noProof/>
          <w:color w:val="000000" w:themeColor="text1"/>
          <w:sz w:val="24"/>
        </w:rPr>
        <mc:AlternateContent>
          <mc:Choice Requires="wps">
            <w:drawing>
              <wp:anchor distT="0" distB="0" distL="114300" distR="114300" simplePos="0" relativeHeight="251731968" behindDoc="0" locked="0" layoutInCell="1" allowOverlap="1" wp14:anchorId="2EA4434C" wp14:editId="6EB68C21">
                <wp:simplePos x="0" y="0"/>
                <wp:positionH relativeFrom="column">
                  <wp:posOffset>24130</wp:posOffset>
                </wp:positionH>
                <wp:positionV relativeFrom="paragraph">
                  <wp:posOffset>227965</wp:posOffset>
                </wp:positionV>
                <wp:extent cx="5720080" cy="1034415"/>
                <wp:effectExtent l="0" t="0" r="13970" b="13335"/>
                <wp:wrapNone/>
                <wp:docPr id="25" name="Text Box 25"/>
                <wp:cNvGraphicFramePr/>
                <a:graphic xmlns:a="http://schemas.openxmlformats.org/drawingml/2006/main">
                  <a:graphicData uri="http://schemas.microsoft.com/office/word/2010/wordprocessingShape">
                    <wps:wsp>
                      <wps:cNvSpPr txBox="1"/>
                      <wps:spPr>
                        <a:xfrm>
                          <a:off x="0" y="0"/>
                          <a:ext cx="5720080" cy="1034415"/>
                        </a:xfrm>
                        <a:prstGeom prst="rect">
                          <a:avLst/>
                        </a:prstGeom>
                        <a:solidFill>
                          <a:sysClr val="window" lastClr="FFFFFF"/>
                        </a:solidFill>
                        <a:ln w="6350">
                          <a:solidFill>
                            <a:srgbClr val="00B0F0"/>
                          </a:solidFill>
                        </a:ln>
                      </wps:spPr>
                      <wps:txbx>
                        <w:txbxContent>
                          <w:p w:rsidR="00DD5468" w:rsidRPr="001410E8" w:rsidRDefault="00DD5468" w:rsidP="00F93DBE">
                            <w:pPr>
                              <w:rPr>
                                <w:rFonts w:ascii="Times New Roman" w:hAnsi="Times New Roman" w:cs="Times New Roman"/>
                                <w:b/>
                              </w:rPr>
                            </w:pPr>
                            <w:r w:rsidRPr="001410E8">
                              <w:rPr>
                                <w:rFonts w:ascii="Times New Roman" w:hAnsi="Times New Roman" w:cs="Times New Roman"/>
                                <w:b/>
                              </w:rPr>
                              <w:t>Recommendation 6</w:t>
                            </w:r>
                          </w:p>
                          <w:p w:rsidR="00DD5468" w:rsidRPr="001410E8" w:rsidRDefault="00DD5468" w:rsidP="00F93DBE">
                            <w:pPr>
                              <w:jc w:val="both"/>
                              <w:rPr>
                                <w:rFonts w:ascii="Times New Roman" w:hAnsi="Times New Roman" w:cs="Times New Roman"/>
                              </w:rPr>
                            </w:pPr>
                            <w:r w:rsidRPr="001410E8">
                              <w:rPr>
                                <w:rFonts w:ascii="Times New Roman" w:hAnsi="Times New Roman" w:cs="Times New Roman"/>
                                <w:i/>
                              </w:rPr>
                              <w:t>That Treasury considers the potential for the adoption of an economy wide principles-based framework for the regulation of consumer data and privacy as part of a rigorous and public cost benefit analysis.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31" type="#_x0000_t202" style="position:absolute;margin-left:1.9pt;margin-top:17.95pt;width:450.4pt;height:81.4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" fillcolor="window" strokecolor="#00b0f0" strokeweight=".5pt">
                <v:textbox>
                  <w:txbxContent>
                    <w:p w:rsidR="00DD5468" w:rsidRPr="001410E8" w:rsidRDefault="00DD5468" w:rsidP="00F93DBE">
                      <w:pPr>
                        <w:rPr>
                          <w:rFonts w:ascii="Times New Roman" w:hAnsi="Times New Roman" w:cs="Times New Roman"/>
                          <w:b/>
                        </w:rPr>
                      </w:pPr>
                      <w:r w:rsidRPr="001410E8">
                        <w:rPr>
                          <w:rFonts w:ascii="Times New Roman" w:hAnsi="Times New Roman" w:cs="Times New Roman"/>
                          <w:b/>
                        </w:rPr>
                        <w:t>Recommendation 6</w:t>
                      </w:r>
                    </w:p>
                    <w:p w:rsidR="00DD5468" w:rsidRPr="001410E8" w:rsidRDefault="00DD5468" w:rsidP="00F93DBE">
                      <w:pPr>
                        <w:jc w:val="both"/>
                        <w:rPr>
                          <w:rFonts w:ascii="Times New Roman" w:hAnsi="Times New Roman" w:cs="Times New Roman"/>
                        </w:rPr>
                      </w:pPr>
                      <w:r w:rsidRPr="001410E8">
                        <w:rPr>
                          <w:rFonts w:ascii="Times New Roman" w:hAnsi="Times New Roman" w:cs="Times New Roman"/>
                          <w:i/>
                        </w:rPr>
                        <w:t>That Treasury considers the potential for the adoption of an economy wide principles-based framework for the regulation of consumer data and privacy as part of a rigorous and public cost benefit analysis.</w:t>
                      </w:r>
                    </w:p>
                  </w:txbxContent>
                </v:textbox>
              </v:shape>
            </w:pict>
          </mc:Fallback>
        </mc:AlternateContent>
      </w:r>
    </w:p>
    <w:p w:rsidR="00F93DBE" w:rsidRDefault="00F93DBE" w:rsidP="00F93DBE">
      <w:pPr>
        <w:rPr>
          <w:lang w:val="en-IE" w:eastAsia="hi-IN" w:bidi="hi-IN"/>
        </w:rPr>
      </w:pPr>
    </w:p>
    <w:p w:rsidR="00F93DBE" w:rsidRDefault="00F93DBE" w:rsidP="00F93DBE">
      <w:pPr>
        <w:rPr>
          <w:lang w:val="en-IE" w:eastAsia="hi-IN" w:bidi="hi-IN"/>
        </w:rPr>
      </w:pPr>
    </w:p>
    <w:p w:rsidR="00F93DBE" w:rsidRDefault="00F93DBE" w:rsidP="00F93DBE">
      <w:pPr>
        <w:rPr>
          <w:lang w:val="en-IE" w:eastAsia="hi-IN" w:bidi="hi-IN"/>
        </w:rPr>
      </w:pPr>
    </w:p>
    <w:p w:rsidR="00F93DBE" w:rsidRDefault="001717EA" w:rsidP="00F93DBE">
      <w:pPr>
        <w:rPr>
          <w:lang w:val="en-IE" w:eastAsia="hi-IN" w:bidi="hi-IN"/>
        </w:rPr>
      </w:pPr>
      <w:r w:rsidRPr="00DD0AEA">
        <w:rPr>
          <w:rFonts w:ascii="Calibri" w:eastAsiaTheme="minorEastAsia" w:hAnsi="Calibri"/>
          <w:noProof/>
          <w:color w:val="000000" w:themeColor="text1"/>
          <w:sz w:val="24"/>
        </w:rPr>
        <mc:AlternateContent>
          <mc:Choice Requires="wps">
            <w:drawing>
              <wp:anchor distT="0" distB="0" distL="114300" distR="114300" simplePos="0" relativeHeight="251779072" behindDoc="0" locked="0" layoutInCell="1" allowOverlap="1" wp14:anchorId="6C2ABFCD" wp14:editId="3F0D1861">
                <wp:simplePos x="0" y="0"/>
                <wp:positionH relativeFrom="column">
                  <wp:posOffset>33655</wp:posOffset>
                </wp:positionH>
                <wp:positionV relativeFrom="paragraph">
                  <wp:posOffset>25400</wp:posOffset>
                </wp:positionV>
                <wp:extent cx="5720080" cy="995680"/>
                <wp:effectExtent l="0" t="0" r="13970" b="13970"/>
                <wp:wrapNone/>
                <wp:docPr id="47" name="Text Box 47"/>
                <wp:cNvGraphicFramePr/>
                <a:graphic xmlns:a="http://schemas.openxmlformats.org/drawingml/2006/main">
                  <a:graphicData uri="http://schemas.microsoft.com/office/word/2010/wordprocessingShape">
                    <wps:wsp>
                      <wps:cNvSpPr txBox="1"/>
                      <wps:spPr>
                        <a:xfrm>
                          <a:off x="0" y="0"/>
                          <a:ext cx="5720080" cy="995680"/>
                        </a:xfrm>
                        <a:prstGeom prst="rect">
                          <a:avLst/>
                        </a:prstGeom>
                        <a:solidFill>
                          <a:sysClr val="window" lastClr="FFFFFF"/>
                        </a:solidFill>
                        <a:ln w="6350">
                          <a:solidFill>
                            <a:srgbClr val="00B0F0"/>
                          </a:solidFill>
                        </a:ln>
                      </wps:spPr>
                      <wps:txbx>
                        <w:txbxContent>
                          <w:p w:rsidR="00DD5468" w:rsidRPr="001410E8" w:rsidRDefault="00DD5468" w:rsidP="001717EA">
                            <w:pPr>
                              <w:rPr>
                                <w:rFonts w:ascii="Times New Roman" w:hAnsi="Times New Roman" w:cs="Times New Roman"/>
                                <w:b/>
                              </w:rPr>
                            </w:pPr>
                            <w:r w:rsidRPr="001410E8">
                              <w:rPr>
                                <w:rFonts w:ascii="Times New Roman" w:hAnsi="Times New Roman" w:cs="Times New Roman"/>
                                <w:b/>
                              </w:rPr>
                              <w:t>Recomm</w:t>
                            </w:r>
                            <w:r>
                              <w:rPr>
                                <w:rFonts w:ascii="Times New Roman" w:hAnsi="Times New Roman" w:cs="Times New Roman"/>
                                <w:b/>
                              </w:rPr>
                              <w:t>endation 7</w:t>
                            </w:r>
                          </w:p>
                          <w:p w:rsidR="00DD5468" w:rsidRPr="00204433" w:rsidRDefault="00DD5468" w:rsidP="001717EA">
                            <w:pPr>
                              <w:jc w:val="both"/>
                              <w:rPr>
                                <w:rFonts w:ascii="Times New Roman" w:hAnsi="Times New Roman" w:cs="Times New Roman"/>
                                <w:i/>
                                <w:sz w:val="20"/>
                              </w:rPr>
                            </w:pPr>
                            <w:r>
                              <w:rPr>
                                <w:rFonts w:ascii="Times New Roman" w:hAnsi="Times New Roman" w:cs="Times New Roman"/>
                                <w:i/>
                              </w:rPr>
                              <w:t>That s56EF be amended to ensure that it protects consumers from the collection of their data without consent, and that collect and soliciting be appropriately defined so as to not place a general bar on the collection of 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7" o:spid="_x0000_s1032" type="#_x0000_t202" style="position:absolute;margin-left:2.65pt;margin-top:2pt;width:450.4pt;height:78.4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" fillcolor="window" strokecolor="#00b0f0" strokeweight=".5pt">
                <v:textbox>
                  <w:txbxContent>
                    <w:p w:rsidR="00DD5468" w:rsidRPr="001410E8" w:rsidRDefault="00DD5468" w:rsidP="001717EA">
                      <w:pPr>
                        <w:rPr>
                          <w:rFonts w:ascii="Times New Roman" w:hAnsi="Times New Roman" w:cs="Times New Roman"/>
                          <w:b/>
                        </w:rPr>
                      </w:pPr>
                      <w:r w:rsidRPr="001410E8">
                        <w:rPr>
                          <w:rFonts w:ascii="Times New Roman" w:hAnsi="Times New Roman" w:cs="Times New Roman"/>
                          <w:b/>
                        </w:rPr>
                        <w:t>Recomm</w:t>
                      </w:r>
                      <w:r>
                        <w:rPr>
                          <w:rFonts w:ascii="Times New Roman" w:hAnsi="Times New Roman" w:cs="Times New Roman"/>
                          <w:b/>
                        </w:rPr>
                        <w:t>endation 7</w:t>
                      </w:r>
                    </w:p>
                    <w:p w:rsidR="00DD5468" w:rsidRPr="00204433" w:rsidRDefault="00DD5468" w:rsidP="001717EA">
                      <w:pPr>
                        <w:jc w:val="both"/>
                        <w:rPr>
                          <w:rFonts w:ascii="Times New Roman" w:hAnsi="Times New Roman" w:cs="Times New Roman"/>
                          <w:i/>
                          <w:sz w:val="20"/>
                        </w:rPr>
                      </w:pPr>
                      <w:r>
                        <w:rPr>
                          <w:rFonts w:ascii="Times New Roman" w:hAnsi="Times New Roman" w:cs="Times New Roman"/>
                          <w:i/>
                        </w:rPr>
                        <w:t>That s56EF be amended to ensure that it protects consumers from the collection of their data without consent, and that collect and soliciting be appropriately defined so as to not place a general bar on the collection of data.</w:t>
                      </w:r>
                    </w:p>
                  </w:txbxContent>
                </v:textbox>
              </v:shape>
            </w:pict>
          </mc:Fallback>
        </mc:AlternateContent>
      </w:r>
    </w:p>
    <w:p w:rsidR="00F93DBE" w:rsidRDefault="00F93DBE" w:rsidP="00F93DBE">
      <w:pPr>
        <w:rPr>
          <w:lang w:val="en-IE" w:eastAsia="hi-IN" w:bidi="hi-IN"/>
        </w:rPr>
      </w:pPr>
    </w:p>
    <w:p w:rsidR="00F93DBE" w:rsidRDefault="00F93DBE" w:rsidP="00F93DBE">
      <w:pPr>
        <w:rPr>
          <w:lang w:val="en-IE" w:eastAsia="hi-IN" w:bidi="hi-IN"/>
        </w:rPr>
      </w:pPr>
    </w:p>
    <w:p w:rsidR="00F93DBE" w:rsidRDefault="001717EA" w:rsidP="00F93DBE">
      <w:pPr>
        <w:rPr>
          <w:lang w:val="en-IE" w:eastAsia="hi-IN" w:bidi="hi-IN"/>
        </w:rPr>
      </w:pPr>
      <w:r w:rsidRPr="00DD0AEA">
        <w:rPr>
          <w:rFonts w:ascii="Calibri" w:eastAsiaTheme="minorEastAsia" w:hAnsi="Calibri"/>
          <w:noProof/>
          <w:color w:val="000000" w:themeColor="text1"/>
          <w:sz w:val="24"/>
        </w:rPr>
        <mc:AlternateContent>
          <mc:Choice Requires="wps">
            <w:drawing>
              <wp:anchor distT="0" distB="0" distL="114300" distR="114300" simplePos="0" relativeHeight="251766784" behindDoc="0" locked="0" layoutInCell="1" allowOverlap="1" wp14:anchorId="746D1348" wp14:editId="1789AD64">
                <wp:simplePos x="0" y="0"/>
                <wp:positionH relativeFrom="column">
                  <wp:posOffset>41275</wp:posOffset>
                </wp:positionH>
                <wp:positionV relativeFrom="paragraph">
                  <wp:posOffset>116205</wp:posOffset>
                </wp:positionV>
                <wp:extent cx="5720080" cy="845820"/>
                <wp:effectExtent l="0" t="0" r="13970" b="11430"/>
                <wp:wrapNone/>
                <wp:docPr id="41" name="Text Box 41"/>
                <wp:cNvGraphicFramePr/>
                <a:graphic xmlns:a="http://schemas.openxmlformats.org/drawingml/2006/main">
                  <a:graphicData uri="http://schemas.microsoft.com/office/word/2010/wordprocessingShape">
                    <wps:wsp>
                      <wps:cNvSpPr txBox="1"/>
                      <wps:spPr>
                        <a:xfrm>
                          <a:off x="0" y="0"/>
                          <a:ext cx="5720080" cy="845820"/>
                        </a:xfrm>
                        <a:prstGeom prst="rect">
                          <a:avLst/>
                        </a:prstGeom>
                        <a:solidFill>
                          <a:sysClr val="window" lastClr="FFFFFF"/>
                        </a:solidFill>
                        <a:ln w="6350">
                          <a:solidFill>
                            <a:srgbClr val="00B0F0"/>
                          </a:solidFill>
                        </a:ln>
                      </wps:spPr>
                      <wps:txbx>
                        <w:txbxContent>
                          <w:p w:rsidR="00DD5468" w:rsidRPr="00C35DED" w:rsidRDefault="00DD5468" w:rsidP="00221EA5">
                            <w:pPr>
                              <w:rPr>
                                <w:rFonts w:ascii="Times New Roman" w:hAnsi="Times New Roman" w:cs="Times New Roman"/>
                                <w:b/>
                              </w:rPr>
                            </w:pPr>
                            <w:r w:rsidRPr="00C35DED">
                              <w:rPr>
                                <w:rFonts w:ascii="Times New Roman" w:hAnsi="Times New Roman" w:cs="Times New Roman"/>
                                <w:b/>
                              </w:rPr>
                              <w:t xml:space="preserve">Recommendation </w:t>
                            </w:r>
                            <w:r>
                              <w:rPr>
                                <w:rFonts w:ascii="Times New Roman" w:hAnsi="Times New Roman" w:cs="Times New Roman"/>
                                <w:b/>
                              </w:rPr>
                              <w:t>8</w:t>
                            </w:r>
                          </w:p>
                          <w:p w:rsidR="00DD5468" w:rsidRPr="00C35DED" w:rsidRDefault="00DD5468" w:rsidP="00221EA5">
                            <w:pPr>
                              <w:jc w:val="both"/>
                              <w:rPr>
                                <w:rFonts w:ascii="Times New Roman" w:hAnsi="Times New Roman" w:cs="Times New Roman"/>
                                <w:i/>
                              </w:rPr>
                            </w:pPr>
                            <w:r w:rsidRPr="00C35DED">
                              <w:rPr>
                                <w:rFonts w:ascii="Times New Roman" w:hAnsi="Times New Roman" w:cs="Times New Roman"/>
                                <w:i/>
                              </w:rPr>
                              <w:t xml:space="preserve">That the Bill be amended to impose requirements for compliance with the Privacy Safeguards under the principle of reciprocity, </w:t>
                            </w:r>
                          </w:p>
                          <w:p w:rsidR="00DD5468" w:rsidRPr="00204433" w:rsidRDefault="00DD5468" w:rsidP="00221EA5">
                            <w:pPr>
                              <w:jc w:val="both"/>
                              <w:rPr>
                                <w:rFonts w:ascii="Times New Roman" w:hAnsi="Times New Roman" w:cs="Times New Roman"/>
                                <w:i/>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1" o:spid="_x0000_s1033" type="#_x0000_t202" style="position:absolute;margin-left:3.25pt;margin-top:9.15pt;width:450.4pt;height:66.6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" fillcolor="window" strokecolor="#00b0f0" strokeweight=".5pt">
                <v:textbox>
                  <w:txbxContent>
                    <w:p w:rsidR="00DD5468" w:rsidRPr="00C35DED" w:rsidRDefault="00DD5468" w:rsidP="00221EA5">
                      <w:pPr>
                        <w:rPr>
                          <w:rFonts w:ascii="Times New Roman" w:hAnsi="Times New Roman" w:cs="Times New Roman"/>
                          <w:b/>
                        </w:rPr>
                      </w:pPr>
                      <w:r w:rsidRPr="00C35DED">
                        <w:rPr>
                          <w:rFonts w:ascii="Times New Roman" w:hAnsi="Times New Roman" w:cs="Times New Roman"/>
                          <w:b/>
                        </w:rPr>
                        <w:t xml:space="preserve">Recommendation </w:t>
                      </w:r>
                      <w:r>
                        <w:rPr>
                          <w:rFonts w:ascii="Times New Roman" w:hAnsi="Times New Roman" w:cs="Times New Roman"/>
                          <w:b/>
                        </w:rPr>
                        <w:t>8</w:t>
                      </w:r>
                    </w:p>
                    <w:p w:rsidR="00DD5468" w:rsidRPr="00C35DED" w:rsidRDefault="00DD5468" w:rsidP="00221EA5">
                      <w:pPr>
                        <w:jc w:val="both"/>
                        <w:rPr>
                          <w:rFonts w:ascii="Times New Roman" w:hAnsi="Times New Roman" w:cs="Times New Roman"/>
                          <w:i/>
                        </w:rPr>
                      </w:pPr>
                      <w:r w:rsidRPr="00C35DED">
                        <w:rPr>
                          <w:rFonts w:ascii="Times New Roman" w:hAnsi="Times New Roman" w:cs="Times New Roman"/>
                          <w:i/>
                        </w:rPr>
                        <w:t xml:space="preserve">That the Bill be amended to impose requirements for compliance with the Privacy Safeguards under the principle of reciprocity, </w:t>
                      </w:r>
                    </w:p>
                    <w:p w:rsidR="00DD5468" w:rsidRPr="00204433" w:rsidRDefault="00DD5468" w:rsidP="00221EA5">
                      <w:pPr>
                        <w:jc w:val="both"/>
                        <w:rPr>
                          <w:rFonts w:ascii="Times New Roman" w:hAnsi="Times New Roman" w:cs="Times New Roman"/>
                          <w:i/>
                          <w:sz w:val="20"/>
                        </w:rPr>
                      </w:pPr>
                    </w:p>
                  </w:txbxContent>
                </v:textbox>
              </v:shape>
            </w:pict>
          </mc:Fallback>
        </mc:AlternateContent>
      </w:r>
    </w:p>
    <w:p w:rsidR="00F93DBE" w:rsidRDefault="00F93DBE" w:rsidP="00F93DBE">
      <w:pPr>
        <w:rPr>
          <w:lang w:val="en-IE" w:eastAsia="hi-IN" w:bidi="hi-IN"/>
        </w:rPr>
      </w:pPr>
    </w:p>
    <w:p w:rsidR="00F93DBE" w:rsidRDefault="001717EA" w:rsidP="00F93DBE">
      <w:pPr>
        <w:rPr>
          <w:lang w:val="en-IE" w:eastAsia="hi-IN" w:bidi="hi-IN"/>
        </w:rPr>
      </w:pPr>
      <w:r w:rsidRPr="00DD0AEA">
        <w:rPr>
          <w:rFonts w:ascii="Calibri" w:eastAsiaTheme="minorEastAsia" w:hAnsi="Calibri"/>
          <w:noProof/>
          <w:color w:val="000000" w:themeColor="text1"/>
          <w:sz w:val="24"/>
        </w:rPr>
        <w:lastRenderedPageBreak/>
        <mc:AlternateContent>
          <mc:Choice Requires="wps">
            <w:drawing>
              <wp:anchor distT="0" distB="0" distL="114300" distR="114300" simplePos="0" relativeHeight="251748352" behindDoc="0" locked="0" layoutInCell="1" allowOverlap="1" wp14:anchorId="17CD8EF3" wp14:editId="43F1CDE7">
                <wp:simplePos x="0" y="0"/>
                <wp:positionH relativeFrom="column">
                  <wp:posOffset>15685</wp:posOffset>
                </wp:positionH>
                <wp:positionV relativeFrom="paragraph">
                  <wp:posOffset>454025</wp:posOffset>
                </wp:positionV>
                <wp:extent cx="5720080" cy="998220"/>
                <wp:effectExtent l="0" t="0" r="13970" b="11430"/>
                <wp:wrapNone/>
                <wp:docPr id="34" name="Text Box 34"/>
                <wp:cNvGraphicFramePr/>
                <a:graphic xmlns:a="http://schemas.openxmlformats.org/drawingml/2006/main">
                  <a:graphicData uri="http://schemas.microsoft.com/office/word/2010/wordprocessingShape">
                    <wps:wsp>
                      <wps:cNvSpPr txBox="1"/>
                      <wps:spPr>
                        <a:xfrm>
                          <a:off x="0" y="0"/>
                          <a:ext cx="5720080" cy="998220"/>
                        </a:xfrm>
                        <a:prstGeom prst="rect">
                          <a:avLst/>
                        </a:prstGeom>
                        <a:solidFill>
                          <a:sysClr val="window" lastClr="FFFFFF"/>
                        </a:solidFill>
                        <a:ln w="6350">
                          <a:solidFill>
                            <a:srgbClr val="00B0F0"/>
                          </a:solidFill>
                        </a:ln>
                      </wps:spPr>
                      <wps:txbx>
                        <w:txbxContent>
                          <w:p w:rsidR="00DD5468" w:rsidRPr="001410E8" w:rsidRDefault="00DD5468" w:rsidP="005D4709">
                            <w:pPr>
                              <w:rPr>
                                <w:rFonts w:ascii="Times New Roman" w:hAnsi="Times New Roman" w:cs="Times New Roman"/>
                                <w:b/>
                              </w:rPr>
                            </w:pPr>
                            <w:r w:rsidRPr="001410E8">
                              <w:rPr>
                                <w:rFonts w:ascii="Times New Roman" w:hAnsi="Times New Roman" w:cs="Times New Roman"/>
                                <w:b/>
                              </w:rPr>
                              <w:t xml:space="preserve">Recommendation </w:t>
                            </w:r>
                            <w:r>
                              <w:rPr>
                                <w:rFonts w:ascii="Times New Roman" w:hAnsi="Times New Roman" w:cs="Times New Roman"/>
                                <w:b/>
                              </w:rPr>
                              <w:t>10</w:t>
                            </w:r>
                          </w:p>
                          <w:p w:rsidR="00DD5468" w:rsidRPr="001410E8" w:rsidRDefault="00DD5468" w:rsidP="005D4709">
                            <w:pPr>
                              <w:jc w:val="both"/>
                              <w:rPr>
                                <w:rFonts w:ascii="Times New Roman" w:hAnsi="Times New Roman" w:cs="Times New Roman"/>
                                <w:i/>
                              </w:rPr>
                            </w:pPr>
                            <w:r w:rsidRPr="001410E8">
                              <w:rPr>
                                <w:rFonts w:ascii="Times New Roman" w:hAnsi="Times New Roman" w:cs="Times New Roman"/>
                                <w:i/>
                              </w:rPr>
                              <w:t>That attempts to use CDR data for the purposes of re-identifying individual consumers be explicitly banned, with criminal penalties imposed for attempted and successful re-identification of individuals.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 o:spid="_x0000_s1034" type="#_x0000_t202" style="position:absolute;margin-left:1.25pt;margin-top:35.75pt;width:450.4pt;height:78.6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" fillcolor="window" strokecolor="#00b0f0" strokeweight=".5pt">
                <v:textbox>
                  <w:txbxContent>
                    <w:p w:rsidR="00DD5468" w:rsidRPr="001410E8" w:rsidRDefault="00DD5468" w:rsidP="005D4709">
                      <w:pPr>
                        <w:rPr>
                          <w:rFonts w:ascii="Times New Roman" w:hAnsi="Times New Roman" w:cs="Times New Roman"/>
                          <w:b/>
                        </w:rPr>
                      </w:pPr>
                      <w:r w:rsidRPr="001410E8">
                        <w:rPr>
                          <w:rFonts w:ascii="Times New Roman" w:hAnsi="Times New Roman" w:cs="Times New Roman"/>
                          <w:b/>
                        </w:rPr>
                        <w:t xml:space="preserve">Recommendation </w:t>
                      </w:r>
                      <w:r>
                        <w:rPr>
                          <w:rFonts w:ascii="Times New Roman" w:hAnsi="Times New Roman" w:cs="Times New Roman"/>
                          <w:b/>
                        </w:rPr>
                        <w:t>10</w:t>
                      </w:r>
                    </w:p>
                    <w:p w:rsidR="00DD5468" w:rsidRPr="001410E8" w:rsidRDefault="00DD5468" w:rsidP="005D4709">
                      <w:pPr>
                        <w:jc w:val="both"/>
                        <w:rPr>
                          <w:rFonts w:ascii="Times New Roman" w:hAnsi="Times New Roman" w:cs="Times New Roman"/>
                          <w:i/>
                        </w:rPr>
                      </w:pPr>
                      <w:r w:rsidRPr="001410E8">
                        <w:rPr>
                          <w:rFonts w:ascii="Times New Roman" w:hAnsi="Times New Roman" w:cs="Times New Roman"/>
                          <w:i/>
                        </w:rPr>
                        <w:t>That attempts to use CDR data for the purposes of re-identifying individual consumers be explicitly banned, with criminal penalties imposed for attempted and successful re-identification of individuals.</w:t>
                      </w:r>
                    </w:p>
                  </w:txbxContent>
                </v:textbox>
              </v:shape>
            </w:pict>
          </mc:Fallback>
        </mc:AlternateContent>
      </w:r>
      <w:r w:rsidRPr="00DD0AEA">
        <w:rPr>
          <w:rFonts w:ascii="Calibri" w:eastAsiaTheme="minorEastAsia" w:hAnsi="Calibri"/>
          <w:noProof/>
          <w:color w:val="000000" w:themeColor="text1"/>
          <w:sz w:val="24"/>
        </w:rPr>
        <mc:AlternateContent>
          <mc:Choice Requires="wps">
            <w:drawing>
              <wp:anchor distT="0" distB="0" distL="114300" distR="114300" simplePos="0" relativeHeight="251752448" behindDoc="0" locked="0" layoutInCell="1" allowOverlap="1" wp14:anchorId="2E74F7A7" wp14:editId="584D8840">
                <wp:simplePos x="0" y="0"/>
                <wp:positionH relativeFrom="column">
                  <wp:posOffset>22225</wp:posOffset>
                </wp:positionH>
                <wp:positionV relativeFrom="paragraph">
                  <wp:posOffset>6085205</wp:posOffset>
                </wp:positionV>
                <wp:extent cx="5720080" cy="987425"/>
                <wp:effectExtent l="0" t="0" r="13970" b="22225"/>
                <wp:wrapNone/>
                <wp:docPr id="36" name="Text Box 36"/>
                <wp:cNvGraphicFramePr/>
                <a:graphic xmlns:a="http://schemas.openxmlformats.org/drawingml/2006/main">
                  <a:graphicData uri="http://schemas.microsoft.com/office/word/2010/wordprocessingShape">
                    <wps:wsp>
                      <wps:cNvSpPr txBox="1"/>
                      <wps:spPr>
                        <a:xfrm>
                          <a:off x="0" y="0"/>
                          <a:ext cx="5720080" cy="987425"/>
                        </a:xfrm>
                        <a:prstGeom prst="rect">
                          <a:avLst/>
                        </a:prstGeom>
                        <a:solidFill>
                          <a:sysClr val="window" lastClr="FFFFFF"/>
                        </a:solidFill>
                        <a:ln w="6350">
                          <a:solidFill>
                            <a:srgbClr val="00B0F0"/>
                          </a:solidFill>
                        </a:ln>
                      </wps:spPr>
                      <wps:txbx>
                        <w:txbxContent>
                          <w:p w:rsidR="00DD5468" w:rsidRPr="001410E8" w:rsidRDefault="00DD5468" w:rsidP="005E0670">
                            <w:pPr>
                              <w:rPr>
                                <w:rFonts w:ascii="Times New Roman" w:hAnsi="Times New Roman" w:cs="Times New Roman"/>
                                <w:b/>
                              </w:rPr>
                            </w:pPr>
                            <w:r w:rsidRPr="001410E8">
                              <w:rPr>
                                <w:rFonts w:ascii="Times New Roman" w:hAnsi="Times New Roman" w:cs="Times New Roman"/>
                                <w:b/>
                              </w:rPr>
                              <w:t>Recommendation 1</w:t>
                            </w:r>
                            <w:r>
                              <w:rPr>
                                <w:rFonts w:ascii="Times New Roman" w:hAnsi="Times New Roman" w:cs="Times New Roman"/>
                                <w:b/>
                              </w:rPr>
                              <w:t>6</w:t>
                            </w:r>
                          </w:p>
                          <w:p w:rsidR="00DD5468" w:rsidRPr="001410E8" w:rsidRDefault="00DD5468" w:rsidP="005E0670">
                            <w:pPr>
                              <w:rPr>
                                <w:rFonts w:ascii="Times New Roman" w:hAnsi="Times New Roman" w:cs="Times New Roman"/>
                                <w:i/>
                              </w:rPr>
                            </w:pPr>
                            <w:r w:rsidRPr="001410E8">
                              <w:rPr>
                                <w:rFonts w:ascii="Times New Roman" w:hAnsi="Times New Roman" w:cs="Times New Roman"/>
                                <w:i/>
                              </w:rPr>
                              <w:t>Th</w:t>
                            </w:r>
                            <w:r>
                              <w:rPr>
                                <w:rFonts w:ascii="Times New Roman" w:hAnsi="Times New Roman" w:cs="Times New Roman"/>
                                <w:i/>
                              </w:rPr>
                              <w:t>at</w:t>
                            </w:r>
                            <w:r w:rsidRPr="001410E8">
                              <w:rPr>
                                <w:rFonts w:ascii="Times New Roman" w:hAnsi="Times New Roman" w:cs="Times New Roman"/>
                                <w:i/>
                              </w:rPr>
                              <w:t xml:space="preserve"> Treasury take</w:t>
                            </w:r>
                            <w:r>
                              <w:rPr>
                                <w:rFonts w:ascii="Times New Roman" w:hAnsi="Times New Roman" w:cs="Times New Roman"/>
                                <w:i/>
                              </w:rPr>
                              <w:t>s</w:t>
                            </w:r>
                            <w:r w:rsidRPr="001410E8">
                              <w:rPr>
                                <w:rFonts w:ascii="Times New Roman" w:hAnsi="Times New Roman" w:cs="Times New Roman"/>
                                <w:i/>
                              </w:rPr>
                              <w:t xml:space="preserve"> steps to quantify the potential costs of, or risks to consumers in economic and social terms, as the use of CDR data to engage in price discrimination as part of a rigorous and public regulatory impact assessment.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 o:spid="_x0000_s1035" type="#_x0000_t202" style="position:absolute;margin-left:1.75pt;margin-top:479.15pt;width:450.4pt;height:77.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" fillcolor="window" strokecolor="#00b0f0" strokeweight=".5pt">
                <v:textbox>
                  <w:txbxContent>
                    <w:p w:rsidR="00DD5468" w:rsidRPr="001410E8" w:rsidRDefault="00DD5468" w:rsidP="005E0670">
                      <w:pPr>
                        <w:rPr>
                          <w:rFonts w:ascii="Times New Roman" w:hAnsi="Times New Roman" w:cs="Times New Roman"/>
                          <w:b/>
                        </w:rPr>
                      </w:pPr>
                      <w:r w:rsidRPr="001410E8">
                        <w:rPr>
                          <w:rFonts w:ascii="Times New Roman" w:hAnsi="Times New Roman" w:cs="Times New Roman"/>
                          <w:b/>
                        </w:rPr>
                        <w:t>Recommendation 1</w:t>
                      </w:r>
                      <w:r>
                        <w:rPr>
                          <w:rFonts w:ascii="Times New Roman" w:hAnsi="Times New Roman" w:cs="Times New Roman"/>
                          <w:b/>
                        </w:rPr>
                        <w:t>6</w:t>
                      </w:r>
                    </w:p>
                    <w:p w:rsidR="00DD5468" w:rsidRPr="001410E8" w:rsidRDefault="00DD5468" w:rsidP="005E0670">
                      <w:pPr>
                        <w:rPr>
                          <w:rFonts w:ascii="Times New Roman" w:hAnsi="Times New Roman" w:cs="Times New Roman"/>
                          <w:i/>
                        </w:rPr>
                      </w:pPr>
                      <w:r w:rsidRPr="001410E8">
                        <w:rPr>
                          <w:rFonts w:ascii="Times New Roman" w:hAnsi="Times New Roman" w:cs="Times New Roman"/>
                          <w:i/>
                        </w:rPr>
                        <w:t>Th</w:t>
                      </w:r>
                      <w:r>
                        <w:rPr>
                          <w:rFonts w:ascii="Times New Roman" w:hAnsi="Times New Roman" w:cs="Times New Roman"/>
                          <w:i/>
                        </w:rPr>
                        <w:t>at</w:t>
                      </w:r>
                      <w:r w:rsidRPr="001410E8">
                        <w:rPr>
                          <w:rFonts w:ascii="Times New Roman" w:hAnsi="Times New Roman" w:cs="Times New Roman"/>
                          <w:i/>
                        </w:rPr>
                        <w:t xml:space="preserve"> Treasury take</w:t>
                      </w:r>
                      <w:r>
                        <w:rPr>
                          <w:rFonts w:ascii="Times New Roman" w:hAnsi="Times New Roman" w:cs="Times New Roman"/>
                          <w:i/>
                        </w:rPr>
                        <w:t>s</w:t>
                      </w:r>
                      <w:r w:rsidRPr="001410E8">
                        <w:rPr>
                          <w:rFonts w:ascii="Times New Roman" w:hAnsi="Times New Roman" w:cs="Times New Roman"/>
                          <w:i/>
                        </w:rPr>
                        <w:t xml:space="preserve"> steps to quantify the potential costs of, or risks to consumers in economic and social terms, as the use of CDR data to engage in price discrimination as part of a rigorous and public regulatory impact assessment.</w:t>
                      </w:r>
                    </w:p>
                  </w:txbxContent>
                </v:textbox>
              </v:shape>
            </w:pict>
          </mc:Fallback>
        </mc:AlternateContent>
      </w:r>
      <w:r w:rsidRPr="00DD0AEA">
        <w:rPr>
          <w:rFonts w:ascii="Calibri" w:eastAsiaTheme="minorEastAsia" w:hAnsi="Calibri"/>
          <w:noProof/>
          <w:color w:val="000000" w:themeColor="text1"/>
          <w:sz w:val="24"/>
        </w:rPr>
        <mc:AlternateContent>
          <mc:Choice Requires="wps">
            <w:drawing>
              <wp:anchor distT="0" distB="0" distL="114300" distR="114300" simplePos="0" relativeHeight="251754496" behindDoc="0" locked="0" layoutInCell="1" allowOverlap="1" wp14:anchorId="3170DD23" wp14:editId="51E0520B">
                <wp:simplePos x="0" y="0"/>
                <wp:positionH relativeFrom="column">
                  <wp:posOffset>26035</wp:posOffset>
                </wp:positionH>
                <wp:positionV relativeFrom="paragraph">
                  <wp:posOffset>7153910</wp:posOffset>
                </wp:positionV>
                <wp:extent cx="5720080" cy="987425"/>
                <wp:effectExtent l="0" t="0" r="13970" b="22225"/>
                <wp:wrapNone/>
                <wp:docPr id="37" name="Text Box 37"/>
                <wp:cNvGraphicFramePr/>
                <a:graphic xmlns:a="http://schemas.openxmlformats.org/drawingml/2006/main">
                  <a:graphicData uri="http://schemas.microsoft.com/office/word/2010/wordprocessingShape">
                    <wps:wsp>
                      <wps:cNvSpPr txBox="1"/>
                      <wps:spPr>
                        <a:xfrm>
                          <a:off x="0" y="0"/>
                          <a:ext cx="5720080" cy="987425"/>
                        </a:xfrm>
                        <a:prstGeom prst="rect">
                          <a:avLst/>
                        </a:prstGeom>
                        <a:solidFill>
                          <a:sysClr val="window" lastClr="FFFFFF"/>
                        </a:solidFill>
                        <a:ln w="6350">
                          <a:solidFill>
                            <a:srgbClr val="00B0F0"/>
                          </a:solidFill>
                        </a:ln>
                      </wps:spPr>
                      <wps:txbx>
                        <w:txbxContent>
                          <w:p w:rsidR="00DD5468" w:rsidRPr="001410E8" w:rsidRDefault="00DD5468" w:rsidP="005E0670">
                            <w:pPr>
                              <w:rPr>
                                <w:rFonts w:ascii="Times New Roman" w:hAnsi="Times New Roman" w:cs="Times New Roman"/>
                                <w:b/>
                              </w:rPr>
                            </w:pPr>
                            <w:r w:rsidRPr="001410E8">
                              <w:rPr>
                                <w:rFonts w:ascii="Times New Roman" w:hAnsi="Times New Roman" w:cs="Times New Roman"/>
                                <w:b/>
                              </w:rPr>
                              <w:t>Recommendation 1</w:t>
                            </w:r>
                            <w:r>
                              <w:rPr>
                                <w:rFonts w:ascii="Times New Roman" w:hAnsi="Times New Roman" w:cs="Times New Roman"/>
                                <w:b/>
                              </w:rPr>
                              <w:t>7</w:t>
                            </w:r>
                          </w:p>
                          <w:p w:rsidR="00DD5468" w:rsidRPr="001410E8" w:rsidRDefault="00DD5468" w:rsidP="005E0670">
                            <w:pPr>
                              <w:rPr>
                                <w:rFonts w:ascii="Times New Roman" w:hAnsi="Times New Roman" w:cs="Times New Roman"/>
                                <w:i/>
                              </w:rPr>
                            </w:pPr>
                            <w:r w:rsidRPr="001410E8">
                              <w:rPr>
                                <w:rFonts w:ascii="Times New Roman" w:hAnsi="Times New Roman" w:cs="Times New Roman"/>
                                <w:i/>
                              </w:rPr>
                              <w:t>Th</w:t>
                            </w:r>
                            <w:r>
                              <w:rPr>
                                <w:rFonts w:ascii="Times New Roman" w:hAnsi="Times New Roman" w:cs="Times New Roman"/>
                                <w:i/>
                              </w:rPr>
                              <w:t>at</w:t>
                            </w:r>
                            <w:r w:rsidRPr="001410E8">
                              <w:rPr>
                                <w:rFonts w:ascii="Times New Roman" w:hAnsi="Times New Roman" w:cs="Times New Roman"/>
                                <w:i/>
                              </w:rPr>
                              <w:t xml:space="preserve"> Treasury take</w:t>
                            </w:r>
                            <w:r>
                              <w:rPr>
                                <w:rFonts w:ascii="Times New Roman" w:hAnsi="Times New Roman" w:cs="Times New Roman"/>
                                <w:i/>
                              </w:rPr>
                              <w:t>s</w:t>
                            </w:r>
                            <w:r w:rsidRPr="001410E8">
                              <w:rPr>
                                <w:rFonts w:ascii="Times New Roman" w:hAnsi="Times New Roman" w:cs="Times New Roman"/>
                                <w:i/>
                              </w:rPr>
                              <w:t xml:space="preserve"> steps to quantify the potential costs of, or risks to consumers from firms using consumer data to engaging in anti-competitive or collusive conduct within the identified markets.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 o:spid="_x0000_s1036" type="#_x0000_t202" style="position:absolute;margin-left:2.05pt;margin-top:563.3pt;width:450.4pt;height:77.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" fillcolor="window" strokecolor="#00b0f0" strokeweight=".5pt">
                <v:textbox>
                  <w:txbxContent>
                    <w:p w:rsidR="00DD5468" w:rsidRPr="001410E8" w:rsidRDefault="00DD5468" w:rsidP="005E0670">
                      <w:pPr>
                        <w:rPr>
                          <w:rFonts w:ascii="Times New Roman" w:hAnsi="Times New Roman" w:cs="Times New Roman"/>
                          <w:b/>
                        </w:rPr>
                      </w:pPr>
                      <w:r w:rsidRPr="001410E8">
                        <w:rPr>
                          <w:rFonts w:ascii="Times New Roman" w:hAnsi="Times New Roman" w:cs="Times New Roman"/>
                          <w:b/>
                        </w:rPr>
                        <w:t>Recommendation 1</w:t>
                      </w:r>
                      <w:r>
                        <w:rPr>
                          <w:rFonts w:ascii="Times New Roman" w:hAnsi="Times New Roman" w:cs="Times New Roman"/>
                          <w:b/>
                        </w:rPr>
                        <w:t>7</w:t>
                      </w:r>
                    </w:p>
                    <w:p w:rsidR="00DD5468" w:rsidRPr="001410E8" w:rsidRDefault="00DD5468" w:rsidP="005E0670">
                      <w:pPr>
                        <w:rPr>
                          <w:rFonts w:ascii="Times New Roman" w:hAnsi="Times New Roman" w:cs="Times New Roman"/>
                          <w:i/>
                        </w:rPr>
                      </w:pPr>
                      <w:r w:rsidRPr="001410E8">
                        <w:rPr>
                          <w:rFonts w:ascii="Times New Roman" w:hAnsi="Times New Roman" w:cs="Times New Roman"/>
                          <w:i/>
                        </w:rPr>
                        <w:t>Th</w:t>
                      </w:r>
                      <w:r>
                        <w:rPr>
                          <w:rFonts w:ascii="Times New Roman" w:hAnsi="Times New Roman" w:cs="Times New Roman"/>
                          <w:i/>
                        </w:rPr>
                        <w:t>at</w:t>
                      </w:r>
                      <w:r w:rsidRPr="001410E8">
                        <w:rPr>
                          <w:rFonts w:ascii="Times New Roman" w:hAnsi="Times New Roman" w:cs="Times New Roman"/>
                          <w:i/>
                        </w:rPr>
                        <w:t xml:space="preserve"> Treasury take</w:t>
                      </w:r>
                      <w:r>
                        <w:rPr>
                          <w:rFonts w:ascii="Times New Roman" w:hAnsi="Times New Roman" w:cs="Times New Roman"/>
                          <w:i/>
                        </w:rPr>
                        <w:t>s</w:t>
                      </w:r>
                      <w:r w:rsidRPr="001410E8">
                        <w:rPr>
                          <w:rFonts w:ascii="Times New Roman" w:hAnsi="Times New Roman" w:cs="Times New Roman"/>
                          <w:i/>
                        </w:rPr>
                        <w:t xml:space="preserve"> steps to quantify the potential costs of, or risks to consumers from firms using consumer data to engaging in anti-competitive or collusive conduct within the identified markets.</w:t>
                      </w:r>
                    </w:p>
                  </w:txbxContent>
                </v:textbox>
              </v:shape>
            </w:pict>
          </mc:Fallback>
        </mc:AlternateContent>
      </w:r>
      <w:r w:rsidRPr="00DD0AEA">
        <w:rPr>
          <w:rFonts w:ascii="Calibri" w:eastAsiaTheme="minorEastAsia" w:hAnsi="Calibri"/>
          <w:noProof/>
          <w:color w:val="000000" w:themeColor="text1"/>
          <w:sz w:val="24"/>
        </w:rPr>
        <mc:AlternateContent>
          <mc:Choice Requires="wps">
            <w:drawing>
              <wp:anchor distT="0" distB="0" distL="114300" distR="114300" simplePos="0" relativeHeight="251756544" behindDoc="0" locked="0" layoutInCell="1" allowOverlap="1" wp14:anchorId="25B85108" wp14:editId="2B095C00">
                <wp:simplePos x="0" y="0"/>
                <wp:positionH relativeFrom="column">
                  <wp:posOffset>31750</wp:posOffset>
                </wp:positionH>
                <wp:positionV relativeFrom="paragraph">
                  <wp:posOffset>8217535</wp:posOffset>
                </wp:positionV>
                <wp:extent cx="5720080" cy="888365"/>
                <wp:effectExtent l="0" t="0" r="13970" b="26035"/>
                <wp:wrapNone/>
                <wp:docPr id="38" name="Text Box 38"/>
                <wp:cNvGraphicFramePr/>
                <a:graphic xmlns:a="http://schemas.openxmlformats.org/drawingml/2006/main">
                  <a:graphicData uri="http://schemas.microsoft.com/office/word/2010/wordprocessingShape">
                    <wps:wsp>
                      <wps:cNvSpPr txBox="1"/>
                      <wps:spPr>
                        <a:xfrm>
                          <a:off x="0" y="0"/>
                          <a:ext cx="5720080" cy="888365"/>
                        </a:xfrm>
                        <a:prstGeom prst="rect">
                          <a:avLst/>
                        </a:prstGeom>
                        <a:solidFill>
                          <a:sysClr val="window" lastClr="FFFFFF"/>
                        </a:solidFill>
                        <a:ln w="6350">
                          <a:solidFill>
                            <a:srgbClr val="00B0F0"/>
                          </a:solidFill>
                        </a:ln>
                      </wps:spPr>
                      <wps:txbx>
                        <w:txbxContent>
                          <w:p w:rsidR="00DD5468" w:rsidRPr="001410E8" w:rsidRDefault="00DD5468" w:rsidP="005E0670">
                            <w:pPr>
                              <w:rPr>
                                <w:rFonts w:ascii="Times New Roman" w:hAnsi="Times New Roman" w:cs="Times New Roman"/>
                                <w:b/>
                              </w:rPr>
                            </w:pPr>
                            <w:r w:rsidRPr="001410E8">
                              <w:rPr>
                                <w:rFonts w:ascii="Times New Roman" w:hAnsi="Times New Roman" w:cs="Times New Roman"/>
                                <w:b/>
                              </w:rPr>
                              <w:t>Recommendation 1</w:t>
                            </w:r>
                            <w:r>
                              <w:rPr>
                                <w:rFonts w:ascii="Times New Roman" w:hAnsi="Times New Roman" w:cs="Times New Roman"/>
                                <w:b/>
                              </w:rPr>
                              <w:t>8</w:t>
                            </w:r>
                          </w:p>
                          <w:p w:rsidR="00DD5468" w:rsidRPr="001410E8" w:rsidRDefault="00DD5468" w:rsidP="005E0670">
                            <w:pPr>
                              <w:jc w:val="both"/>
                              <w:rPr>
                                <w:rFonts w:ascii="Times New Roman" w:hAnsi="Times New Roman" w:cs="Times New Roman"/>
                              </w:rPr>
                            </w:pPr>
                            <w:r w:rsidRPr="001410E8">
                              <w:rPr>
                                <w:rFonts w:ascii="Times New Roman" w:hAnsi="Times New Roman" w:cs="Times New Roman"/>
                                <w:i/>
                              </w:rPr>
                              <w:t xml:space="preserve">That Treasury </w:t>
                            </w:r>
                            <w:proofErr w:type="gramStart"/>
                            <w:r w:rsidRPr="001410E8">
                              <w:rPr>
                                <w:rFonts w:ascii="Times New Roman" w:hAnsi="Times New Roman" w:cs="Times New Roman"/>
                                <w:i/>
                              </w:rPr>
                              <w:t>amend</w:t>
                            </w:r>
                            <w:proofErr w:type="gramEnd"/>
                            <w:r w:rsidRPr="001410E8">
                              <w:rPr>
                                <w:rFonts w:ascii="Times New Roman" w:hAnsi="Times New Roman" w:cs="Times New Roman"/>
                                <w:i/>
                              </w:rPr>
                              <w:t xml:space="preserve"> the </w:t>
                            </w:r>
                            <w:r w:rsidRPr="001410E8">
                              <w:rPr>
                                <w:rFonts w:ascii="Times New Roman" w:hAnsi="Times New Roman" w:cs="Times New Roman"/>
                                <w:i/>
                                <w:sz w:val="24"/>
                                <w:szCs w:val="24"/>
                                <w:lang w:val="en-AU"/>
                              </w:rPr>
                              <w:t xml:space="preserve">Treasury Laws Amendment (Consumer Data Right) Bill 2018 to facilitate the initiation of class actions, by removing any potential cap on damages.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 o:spid="_x0000_s1037" type="#_x0000_t202" style="position:absolute;margin-left:2.5pt;margin-top:647.05pt;width:450.4pt;height:69.9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" fillcolor="window" strokecolor="#00b0f0" strokeweight=".5pt">
                <v:textbox>
                  <w:txbxContent>
                    <w:p w:rsidR="00DD5468" w:rsidRPr="001410E8" w:rsidRDefault="00DD5468" w:rsidP="005E0670">
                      <w:pPr>
                        <w:rPr>
                          <w:rFonts w:ascii="Times New Roman" w:hAnsi="Times New Roman" w:cs="Times New Roman"/>
                          <w:b/>
                        </w:rPr>
                      </w:pPr>
                      <w:r w:rsidRPr="001410E8">
                        <w:rPr>
                          <w:rFonts w:ascii="Times New Roman" w:hAnsi="Times New Roman" w:cs="Times New Roman"/>
                          <w:b/>
                        </w:rPr>
                        <w:t>Recommendation 1</w:t>
                      </w:r>
                      <w:r>
                        <w:rPr>
                          <w:rFonts w:ascii="Times New Roman" w:hAnsi="Times New Roman" w:cs="Times New Roman"/>
                          <w:b/>
                        </w:rPr>
                        <w:t>8</w:t>
                      </w:r>
                    </w:p>
                    <w:p w:rsidR="00DD5468" w:rsidRPr="001410E8" w:rsidRDefault="00DD5468" w:rsidP="005E0670">
                      <w:pPr>
                        <w:jc w:val="both"/>
                        <w:rPr>
                          <w:rFonts w:ascii="Times New Roman" w:hAnsi="Times New Roman" w:cs="Times New Roman"/>
                        </w:rPr>
                      </w:pPr>
                      <w:r w:rsidRPr="001410E8">
                        <w:rPr>
                          <w:rFonts w:ascii="Times New Roman" w:hAnsi="Times New Roman" w:cs="Times New Roman"/>
                          <w:i/>
                        </w:rPr>
                        <w:t xml:space="preserve">That Treasury </w:t>
                      </w:r>
                      <w:proofErr w:type="gramStart"/>
                      <w:r w:rsidRPr="001410E8">
                        <w:rPr>
                          <w:rFonts w:ascii="Times New Roman" w:hAnsi="Times New Roman" w:cs="Times New Roman"/>
                          <w:i/>
                        </w:rPr>
                        <w:t>amend</w:t>
                      </w:r>
                      <w:proofErr w:type="gramEnd"/>
                      <w:r w:rsidRPr="001410E8">
                        <w:rPr>
                          <w:rFonts w:ascii="Times New Roman" w:hAnsi="Times New Roman" w:cs="Times New Roman"/>
                          <w:i/>
                        </w:rPr>
                        <w:t xml:space="preserve"> the </w:t>
                      </w:r>
                      <w:r w:rsidRPr="001410E8">
                        <w:rPr>
                          <w:rFonts w:ascii="Times New Roman" w:hAnsi="Times New Roman" w:cs="Times New Roman"/>
                          <w:i/>
                          <w:sz w:val="24"/>
                          <w:szCs w:val="24"/>
                          <w:lang w:val="en-AU"/>
                        </w:rPr>
                        <w:t xml:space="preserve">Treasury Laws Amendment (Consumer Data Right) Bill 2018 to facilitate the initiation of class actions, by removing any potential cap on damages. </w:t>
                      </w:r>
                    </w:p>
                  </w:txbxContent>
                </v:textbox>
              </v:shape>
            </w:pict>
          </mc:Fallback>
        </mc:AlternateContent>
      </w:r>
      <w:r w:rsidRPr="00DD0AEA">
        <w:rPr>
          <w:rFonts w:ascii="Calibri" w:eastAsiaTheme="minorEastAsia" w:hAnsi="Calibri"/>
          <w:noProof/>
          <w:color w:val="000000" w:themeColor="text1"/>
          <w:sz w:val="24"/>
        </w:rPr>
        <mc:AlternateContent>
          <mc:Choice Requires="wps">
            <w:drawing>
              <wp:anchor distT="0" distB="0" distL="114300" distR="114300" simplePos="0" relativeHeight="251736064" behindDoc="0" locked="0" layoutInCell="1" allowOverlap="1" wp14:anchorId="211B3967" wp14:editId="2C75F03F">
                <wp:simplePos x="0" y="0"/>
                <wp:positionH relativeFrom="column">
                  <wp:posOffset>1270</wp:posOffset>
                </wp:positionH>
                <wp:positionV relativeFrom="paragraph">
                  <wp:posOffset>-461645</wp:posOffset>
                </wp:positionV>
                <wp:extent cx="5720080" cy="788035"/>
                <wp:effectExtent l="0" t="0" r="13970" b="12065"/>
                <wp:wrapNone/>
                <wp:docPr id="27" name="Text Box 27"/>
                <wp:cNvGraphicFramePr/>
                <a:graphic xmlns:a="http://schemas.openxmlformats.org/drawingml/2006/main">
                  <a:graphicData uri="http://schemas.microsoft.com/office/word/2010/wordprocessingShape">
                    <wps:wsp>
                      <wps:cNvSpPr txBox="1"/>
                      <wps:spPr>
                        <a:xfrm>
                          <a:off x="0" y="0"/>
                          <a:ext cx="5720080" cy="788035"/>
                        </a:xfrm>
                        <a:prstGeom prst="rect">
                          <a:avLst/>
                        </a:prstGeom>
                        <a:solidFill>
                          <a:sysClr val="window" lastClr="FFFFFF"/>
                        </a:solidFill>
                        <a:ln w="6350">
                          <a:solidFill>
                            <a:srgbClr val="00B0F0"/>
                          </a:solidFill>
                        </a:ln>
                      </wps:spPr>
                      <wps:txbx>
                        <w:txbxContent>
                          <w:p w:rsidR="00DD5468" w:rsidRPr="001410E8" w:rsidRDefault="00DD5468" w:rsidP="005D4709">
                            <w:pPr>
                              <w:rPr>
                                <w:rFonts w:ascii="Times New Roman" w:hAnsi="Times New Roman" w:cs="Times New Roman"/>
                                <w:b/>
                              </w:rPr>
                            </w:pPr>
                            <w:r w:rsidRPr="001410E8">
                              <w:rPr>
                                <w:rFonts w:ascii="Times New Roman" w:hAnsi="Times New Roman" w:cs="Times New Roman"/>
                                <w:b/>
                              </w:rPr>
                              <w:t xml:space="preserve">Recommendation </w:t>
                            </w:r>
                            <w:r>
                              <w:rPr>
                                <w:rFonts w:ascii="Times New Roman" w:hAnsi="Times New Roman" w:cs="Times New Roman"/>
                                <w:b/>
                              </w:rPr>
                              <w:t>9</w:t>
                            </w:r>
                          </w:p>
                          <w:p w:rsidR="00DD5468" w:rsidRPr="00327A98" w:rsidRDefault="00DD5468" w:rsidP="005D4709">
                            <w:pPr>
                              <w:rPr>
                                <w:rFonts w:ascii="Times New Roman" w:hAnsi="Times New Roman" w:cs="Times New Roman"/>
                                <w:i/>
                              </w:rPr>
                            </w:pPr>
                            <w:r w:rsidRPr="001410E8">
                              <w:rPr>
                                <w:rFonts w:ascii="Times New Roman" w:hAnsi="Times New Roman" w:cs="Times New Roman"/>
                                <w:i/>
                              </w:rPr>
                              <w:t>That the Bill be amended to allow for the ACCC to develop regulations for the imposition of reciprocal duties for data recipients.</w:t>
                            </w:r>
                          </w:p>
                          <w:p w:rsidR="00DD5468" w:rsidRPr="001410E8" w:rsidRDefault="00DD5468" w:rsidP="00174078">
                            <w:pPr>
                              <w:jc w:val="both"/>
                              <w:rPr>
                                <w:rFonts w:ascii="Times New Roman" w:hAnsi="Times New Roman" w:cs="Times New Roman"/>
                                <w:i/>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38" type="#_x0000_t202" style="position:absolute;margin-left:.1pt;margin-top:-36.35pt;width:450.4pt;height:62.0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" fillcolor="window" strokecolor="#00b0f0" strokeweight=".5pt">
                <v:textbox>
                  <w:txbxContent>
                    <w:p w:rsidR="00DD5468" w:rsidRPr="001410E8" w:rsidRDefault="00DD5468" w:rsidP="005D4709">
                      <w:pPr>
                        <w:rPr>
                          <w:rFonts w:ascii="Times New Roman" w:hAnsi="Times New Roman" w:cs="Times New Roman"/>
                          <w:b/>
                        </w:rPr>
                      </w:pPr>
                      <w:r w:rsidRPr="001410E8">
                        <w:rPr>
                          <w:rFonts w:ascii="Times New Roman" w:hAnsi="Times New Roman" w:cs="Times New Roman"/>
                          <w:b/>
                        </w:rPr>
                        <w:t xml:space="preserve">Recommendation </w:t>
                      </w:r>
                      <w:r>
                        <w:rPr>
                          <w:rFonts w:ascii="Times New Roman" w:hAnsi="Times New Roman" w:cs="Times New Roman"/>
                          <w:b/>
                        </w:rPr>
                        <w:t>9</w:t>
                      </w:r>
                    </w:p>
                    <w:p w:rsidR="00DD5468" w:rsidRPr="00327A98" w:rsidRDefault="00DD5468" w:rsidP="005D4709">
                      <w:pPr>
                        <w:rPr>
                          <w:rFonts w:ascii="Times New Roman" w:hAnsi="Times New Roman" w:cs="Times New Roman"/>
                          <w:i/>
                        </w:rPr>
                      </w:pPr>
                      <w:r w:rsidRPr="001410E8">
                        <w:rPr>
                          <w:rFonts w:ascii="Times New Roman" w:hAnsi="Times New Roman" w:cs="Times New Roman"/>
                          <w:i/>
                        </w:rPr>
                        <w:t>That the Bill be amended to allow for the ACCC to develop regulations for the imposition of reciprocal duties for data recipients.</w:t>
                      </w:r>
                    </w:p>
                    <w:p w:rsidR="00DD5468" w:rsidRPr="001410E8" w:rsidRDefault="00DD5468" w:rsidP="00174078">
                      <w:pPr>
                        <w:jc w:val="both"/>
                        <w:rPr>
                          <w:rFonts w:ascii="Times New Roman" w:hAnsi="Times New Roman" w:cs="Times New Roman"/>
                          <w:i/>
                          <w:sz w:val="20"/>
                        </w:rPr>
                      </w:pPr>
                    </w:p>
                  </w:txbxContent>
                </v:textbox>
              </v:shape>
            </w:pict>
          </mc:Fallback>
        </mc:AlternateContent>
      </w:r>
      <w:r w:rsidRPr="00DD0AEA">
        <w:rPr>
          <w:rFonts w:ascii="Calibri" w:eastAsiaTheme="minorEastAsia" w:hAnsi="Calibri"/>
          <w:noProof/>
          <w:color w:val="000000" w:themeColor="text1"/>
          <w:sz w:val="24"/>
        </w:rPr>
        <mc:AlternateContent>
          <mc:Choice Requires="wps">
            <w:drawing>
              <wp:anchor distT="0" distB="0" distL="114300" distR="114300" simplePos="0" relativeHeight="251738112" behindDoc="0" locked="0" layoutInCell="1" allowOverlap="1" wp14:anchorId="438E73D5" wp14:editId="4AFE8F24">
                <wp:simplePos x="0" y="0"/>
                <wp:positionH relativeFrom="column">
                  <wp:posOffset>12700</wp:posOffset>
                </wp:positionH>
                <wp:positionV relativeFrom="paragraph">
                  <wp:posOffset>1547495</wp:posOffset>
                </wp:positionV>
                <wp:extent cx="5720080" cy="709295"/>
                <wp:effectExtent l="0" t="0" r="13970" b="14605"/>
                <wp:wrapNone/>
                <wp:docPr id="28" name="Text Box 28"/>
                <wp:cNvGraphicFramePr/>
                <a:graphic xmlns:a="http://schemas.openxmlformats.org/drawingml/2006/main">
                  <a:graphicData uri="http://schemas.microsoft.com/office/word/2010/wordprocessingShape">
                    <wps:wsp>
                      <wps:cNvSpPr txBox="1"/>
                      <wps:spPr>
                        <a:xfrm>
                          <a:off x="0" y="0"/>
                          <a:ext cx="5720080" cy="709295"/>
                        </a:xfrm>
                        <a:prstGeom prst="rect">
                          <a:avLst/>
                        </a:prstGeom>
                        <a:solidFill>
                          <a:sysClr val="window" lastClr="FFFFFF"/>
                        </a:solidFill>
                        <a:ln w="6350">
                          <a:solidFill>
                            <a:srgbClr val="00B0F0"/>
                          </a:solidFill>
                        </a:ln>
                      </wps:spPr>
                      <wps:txbx>
                        <w:txbxContent>
                          <w:p w:rsidR="00DD5468" w:rsidRPr="001410E8" w:rsidRDefault="00DD5468" w:rsidP="00174078">
                            <w:pPr>
                              <w:rPr>
                                <w:rFonts w:ascii="Times New Roman" w:hAnsi="Times New Roman" w:cs="Times New Roman"/>
                                <w:b/>
                              </w:rPr>
                            </w:pPr>
                            <w:r w:rsidRPr="001410E8">
                              <w:rPr>
                                <w:rFonts w:ascii="Times New Roman" w:hAnsi="Times New Roman" w:cs="Times New Roman"/>
                                <w:b/>
                              </w:rPr>
                              <w:t>Recommendation 1</w:t>
                            </w:r>
                            <w:r>
                              <w:rPr>
                                <w:rFonts w:ascii="Times New Roman" w:hAnsi="Times New Roman" w:cs="Times New Roman"/>
                                <w:b/>
                              </w:rPr>
                              <w:t>1</w:t>
                            </w:r>
                          </w:p>
                          <w:p w:rsidR="00DD5468" w:rsidRPr="001410E8" w:rsidRDefault="00DD5468" w:rsidP="00174078">
                            <w:pPr>
                              <w:jc w:val="both"/>
                              <w:rPr>
                                <w:rFonts w:ascii="Times New Roman" w:hAnsi="Times New Roman" w:cs="Times New Roman"/>
                                <w:i/>
                              </w:rPr>
                            </w:pPr>
                            <w:r w:rsidRPr="001410E8">
                              <w:rPr>
                                <w:rFonts w:ascii="Times New Roman" w:hAnsi="Times New Roman" w:cs="Times New Roman"/>
                                <w:i/>
                              </w:rPr>
                              <w:t>That all of the Privacy Safeguards set out within the draft legislation are applied to data holders.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 o:spid="_x0000_s1039" type="#_x0000_t202" style="position:absolute;margin-left:1pt;margin-top:121.85pt;width:450.4pt;height:55.8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" fillcolor="window" strokecolor="#00b0f0" strokeweight=".5pt">
                <v:textbox>
                  <w:txbxContent>
                    <w:p w:rsidR="00DD5468" w:rsidRPr="001410E8" w:rsidRDefault="00DD5468" w:rsidP="00174078">
                      <w:pPr>
                        <w:rPr>
                          <w:rFonts w:ascii="Times New Roman" w:hAnsi="Times New Roman" w:cs="Times New Roman"/>
                          <w:b/>
                        </w:rPr>
                      </w:pPr>
                      <w:r w:rsidRPr="001410E8">
                        <w:rPr>
                          <w:rFonts w:ascii="Times New Roman" w:hAnsi="Times New Roman" w:cs="Times New Roman"/>
                          <w:b/>
                        </w:rPr>
                        <w:t>Recommendation 1</w:t>
                      </w:r>
                      <w:r>
                        <w:rPr>
                          <w:rFonts w:ascii="Times New Roman" w:hAnsi="Times New Roman" w:cs="Times New Roman"/>
                          <w:b/>
                        </w:rPr>
                        <w:t>1</w:t>
                      </w:r>
                    </w:p>
                    <w:p w:rsidR="00DD5468" w:rsidRPr="001410E8" w:rsidRDefault="00DD5468" w:rsidP="00174078">
                      <w:pPr>
                        <w:jc w:val="both"/>
                        <w:rPr>
                          <w:rFonts w:ascii="Times New Roman" w:hAnsi="Times New Roman" w:cs="Times New Roman"/>
                          <w:i/>
                        </w:rPr>
                      </w:pPr>
                      <w:r w:rsidRPr="001410E8">
                        <w:rPr>
                          <w:rFonts w:ascii="Times New Roman" w:hAnsi="Times New Roman" w:cs="Times New Roman"/>
                          <w:i/>
                        </w:rPr>
                        <w:t>That all of the Privacy Safeguards set out within the draft legislation are applied to data holders.</w:t>
                      </w:r>
                    </w:p>
                  </w:txbxContent>
                </v:textbox>
              </v:shape>
            </w:pict>
          </mc:Fallback>
        </mc:AlternateContent>
      </w:r>
      <w:r w:rsidRPr="00DD0AEA">
        <w:rPr>
          <w:rFonts w:ascii="Calibri" w:eastAsiaTheme="minorEastAsia" w:hAnsi="Calibri"/>
          <w:noProof/>
          <w:color w:val="000000" w:themeColor="text1"/>
          <w:sz w:val="24"/>
        </w:rPr>
        <mc:AlternateContent>
          <mc:Choice Requires="wps">
            <w:drawing>
              <wp:anchor distT="0" distB="0" distL="114300" distR="114300" simplePos="0" relativeHeight="251740160" behindDoc="0" locked="0" layoutInCell="1" allowOverlap="1" wp14:anchorId="22C62CF9" wp14:editId="27B81E95">
                <wp:simplePos x="0" y="0"/>
                <wp:positionH relativeFrom="column">
                  <wp:posOffset>24765</wp:posOffset>
                </wp:positionH>
                <wp:positionV relativeFrom="paragraph">
                  <wp:posOffset>2327275</wp:posOffset>
                </wp:positionV>
                <wp:extent cx="5720080" cy="713740"/>
                <wp:effectExtent l="0" t="0" r="13970" b="10160"/>
                <wp:wrapNone/>
                <wp:docPr id="29" name="Text Box 29"/>
                <wp:cNvGraphicFramePr/>
                <a:graphic xmlns:a="http://schemas.openxmlformats.org/drawingml/2006/main">
                  <a:graphicData uri="http://schemas.microsoft.com/office/word/2010/wordprocessingShape">
                    <wps:wsp>
                      <wps:cNvSpPr txBox="1"/>
                      <wps:spPr>
                        <a:xfrm>
                          <a:off x="0" y="0"/>
                          <a:ext cx="5720080" cy="713740"/>
                        </a:xfrm>
                        <a:prstGeom prst="rect">
                          <a:avLst/>
                        </a:prstGeom>
                        <a:solidFill>
                          <a:sysClr val="window" lastClr="FFFFFF"/>
                        </a:solidFill>
                        <a:ln w="6350">
                          <a:solidFill>
                            <a:srgbClr val="00B0F0"/>
                          </a:solidFill>
                        </a:ln>
                      </wps:spPr>
                      <wps:txbx>
                        <w:txbxContent>
                          <w:p w:rsidR="00DD5468" w:rsidRPr="001410E8" w:rsidRDefault="00DD5468" w:rsidP="00B11CDF">
                            <w:pPr>
                              <w:rPr>
                                <w:rFonts w:ascii="Times New Roman" w:hAnsi="Times New Roman" w:cs="Times New Roman"/>
                                <w:b/>
                              </w:rPr>
                            </w:pPr>
                            <w:r w:rsidRPr="001410E8">
                              <w:rPr>
                                <w:rFonts w:ascii="Times New Roman" w:hAnsi="Times New Roman" w:cs="Times New Roman"/>
                                <w:b/>
                              </w:rPr>
                              <w:t>Recommendation 1</w:t>
                            </w:r>
                            <w:r>
                              <w:rPr>
                                <w:rFonts w:ascii="Times New Roman" w:hAnsi="Times New Roman" w:cs="Times New Roman"/>
                                <w:b/>
                              </w:rPr>
                              <w:t>2</w:t>
                            </w:r>
                          </w:p>
                          <w:p w:rsidR="00DD5468" w:rsidRPr="001410E8" w:rsidRDefault="00DD5468" w:rsidP="00B11CDF">
                            <w:pPr>
                              <w:rPr>
                                <w:rFonts w:ascii="Times New Roman" w:hAnsi="Times New Roman" w:cs="Times New Roman"/>
                                <w:i/>
                              </w:rPr>
                            </w:pPr>
                            <w:r w:rsidRPr="001410E8">
                              <w:rPr>
                                <w:rFonts w:ascii="Times New Roman" w:hAnsi="Times New Roman" w:cs="Times New Roman"/>
                                <w:i/>
                              </w:rPr>
                              <w:t>That the Privacy Safeguards apply in parallel, or addition to the Australian Privacy Principles.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 o:spid="_x0000_s1040" type="#_x0000_t202" style="position:absolute;margin-left:1.95pt;margin-top:183.25pt;width:450.4pt;height:56.2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" fillcolor="window" strokecolor="#00b0f0" strokeweight=".5pt">
                <v:textbox>
                  <w:txbxContent>
                    <w:p w:rsidR="00DD5468" w:rsidRPr="001410E8" w:rsidRDefault="00DD5468" w:rsidP="00B11CDF">
                      <w:pPr>
                        <w:rPr>
                          <w:rFonts w:ascii="Times New Roman" w:hAnsi="Times New Roman" w:cs="Times New Roman"/>
                          <w:b/>
                        </w:rPr>
                      </w:pPr>
                      <w:r w:rsidRPr="001410E8">
                        <w:rPr>
                          <w:rFonts w:ascii="Times New Roman" w:hAnsi="Times New Roman" w:cs="Times New Roman"/>
                          <w:b/>
                        </w:rPr>
                        <w:t>Recommendation 1</w:t>
                      </w:r>
                      <w:r>
                        <w:rPr>
                          <w:rFonts w:ascii="Times New Roman" w:hAnsi="Times New Roman" w:cs="Times New Roman"/>
                          <w:b/>
                        </w:rPr>
                        <w:t>2</w:t>
                      </w:r>
                    </w:p>
                    <w:p w:rsidR="00DD5468" w:rsidRPr="001410E8" w:rsidRDefault="00DD5468" w:rsidP="00B11CDF">
                      <w:pPr>
                        <w:rPr>
                          <w:rFonts w:ascii="Times New Roman" w:hAnsi="Times New Roman" w:cs="Times New Roman"/>
                          <w:i/>
                        </w:rPr>
                      </w:pPr>
                      <w:r w:rsidRPr="001410E8">
                        <w:rPr>
                          <w:rFonts w:ascii="Times New Roman" w:hAnsi="Times New Roman" w:cs="Times New Roman"/>
                          <w:i/>
                        </w:rPr>
                        <w:t>That the Privacy Safeguards apply in parallel, or addition to the Australian Privacy Principles.</w:t>
                      </w:r>
                    </w:p>
                  </w:txbxContent>
                </v:textbox>
              </v:shape>
            </w:pict>
          </mc:Fallback>
        </mc:AlternateContent>
      </w:r>
      <w:r w:rsidRPr="00DD0AEA">
        <w:rPr>
          <w:rFonts w:ascii="Calibri" w:eastAsiaTheme="minorEastAsia" w:hAnsi="Calibri"/>
          <w:noProof/>
          <w:color w:val="000000" w:themeColor="text1"/>
          <w:sz w:val="24"/>
        </w:rPr>
        <mc:AlternateContent>
          <mc:Choice Requires="wps">
            <w:drawing>
              <wp:anchor distT="0" distB="0" distL="114300" distR="114300" simplePos="0" relativeHeight="251742208" behindDoc="0" locked="0" layoutInCell="1" allowOverlap="1" wp14:anchorId="5D79F09A" wp14:editId="2A101FCF">
                <wp:simplePos x="0" y="0"/>
                <wp:positionH relativeFrom="column">
                  <wp:posOffset>28575</wp:posOffset>
                </wp:positionH>
                <wp:positionV relativeFrom="paragraph">
                  <wp:posOffset>3135630</wp:posOffset>
                </wp:positionV>
                <wp:extent cx="5720080" cy="987425"/>
                <wp:effectExtent l="0" t="0" r="13970" b="22225"/>
                <wp:wrapNone/>
                <wp:docPr id="30" name="Text Box 30"/>
                <wp:cNvGraphicFramePr/>
                <a:graphic xmlns:a="http://schemas.openxmlformats.org/drawingml/2006/main">
                  <a:graphicData uri="http://schemas.microsoft.com/office/word/2010/wordprocessingShape">
                    <wps:wsp>
                      <wps:cNvSpPr txBox="1"/>
                      <wps:spPr>
                        <a:xfrm>
                          <a:off x="0" y="0"/>
                          <a:ext cx="5720080" cy="987425"/>
                        </a:xfrm>
                        <a:prstGeom prst="rect">
                          <a:avLst/>
                        </a:prstGeom>
                        <a:solidFill>
                          <a:sysClr val="window" lastClr="FFFFFF"/>
                        </a:solidFill>
                        <a:ln w="6350">
                          <a:solidFill>
                            <a:srgbClr val="00B0F0"/>
                          </a:solidFill>
                        </a:ln>
                      </wps:spPr>
                      <wps:txbx>
                        <w:txbxContent>
                          <w:p w:rsidR="00DD5468" w:rsidRPr="001410E8" w:rsidRDefault="00DD5468" w:rsidP="00046608">
                            <w:pPr>
                              <w:rPr>
                                <w:rFonts w:ascii="Times New Roman" w:hAnsi="Times New Roman" w:cs="Times New Roman"/>
                                <w:b/>
                              </w:rPr>
                            </w:pPr>
                            <w:r w:rsidRPr="001410E8">
                              <w:rPr>
                                <w:rFonts w:ascii="Times New Roman" w:hAnsi="Times New Roman" w:cs="Times New Roman"/>
                                <w:b/>
                              </w:rPr>
                              <w:t>Recommendation 1</w:t>
                            </w:r>
                            <w:r>
                              <w:rPr>
                                <w:rFonts w:ascii="Times New Roman" w:hAnsi="Times New Roman" w:cs="Times New Roman"/>
                                <w:b/>
                              </w:rPr>
                              <w:t>3</w:t>
                            </w:r>
                          </w:p>
                          <w:p w:rsidR="00DD5468" w:rsidRPr="001410E8" w:rsidRDefault="00DD5468" w:rsidP="00046608">
                            <w:pPr>
                              <w:rPr>
                                <w:rFonts w:ascii="Times New Roman" w:hAnsi="Times New Roman" w:cs="Times New Roman"/>
                                <w:i/>
                              </w:rPr>
                            </w:pPr>
                            <w:r w:rsidRPr="001410E8">
                              <w:rPr>
                                <w:rFonts w:ascii="Times New Roman" w:hAnsi="Times New Roman" w:cs="Times New Roman"/>
                                <w:i/>
                              </w:rPr>
                              <w:t>Th</w:t>
                            </w:r>
                            <w:r>
                              <w:rPr>
                                <w:rFonts w:ascii="Times New Roman" w:hAnsi="Times New Roman" w:cs="Times New Roman"/>
                                <w:i/>
                              </w:rPr>
                              <w:t>at</w:t>
                            </w:r>
                            <w:r w:rsidRPr="001410E8">
                              <w:rPr>
                                <w:rFonts w:ascii="Times New Roman" w:hAnsi="Times New Roman" w:cs="Times New Roman"/>
                                <w:i/>
                              </w:rPr>
                              <w:t xml:space="preserve"> Treasury take</w:t>
                            </w:r>
                            <w:r>
                              <w:rPr>
                                <w:rFonts w:ascii="Times New Roman" w:hAnsi="Times New Roman" w:cs="Times New Roman"/>
                                <w:i/>
                              </w:rPr>
                              <w:t>s</w:t>
                            </w:r>
                            <w:r w:rsidRPr="001410E8">
                              <w:rPr>
                                <w:rFonts w:ascii="Times New Roman" w:hAnsi="Times New Roman" w:cs="Times New Roman"/>
                                <w:i/>
                              </w:rPr>
                              <w:t xml:space="preserve"> steps to quantify the potential costs of, or risks to consumers in economic and social terms, as a result of losses of privacy, as part of a rigorous and public regulatory impact assessment.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 o:spid="_x0000_s1041" type="#_x0000_t202" style="position:absolute;margin-left:2.25pt;margin-top:246.9pt;width:450.4pt;height:77.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" fillcolor="window" strokecolor="#00b0f0" strokeweight=".5pt">
                <v:textbox>
                  <w:txbxContent>
                    <w:p w:rsidR="00DD5468" w:rsidRPr="001410E8" w:rsidRDefault="00DD5468" w:rsidP="00046608">
                      <w:pPr>
                        <w:rPr>
                          <w:rFonts w:ascii="Times New Roman" w:hAnsi="Times New Roman" w:cs="Times New Roman"/>
                          <w:b/>
                        </w:rPr>
                      </w:pPr>
                      <w:r w:rsidRPr="001410E8">
                        <w:rPr>
                          <w:rFonts w:ascii="Times New Roman" w:hAnsi="Times New Roman" w:cs="Times New Roman"/>
                          <w:b/>
                        </w:rPr>
                        <w:t>Recommendation 1</w:t>
                      </w:r>
                      <w:r>
                        <w:rPr>
                          <w:rFonts w:ascii="Times New Roman" w:hAnsi="Times New Roman" w:cs="Times New Roman"/>
                          <w:b/>
                        </w:rPr>
                        <w:t>3</w:t>
                      </w:r>
                    </w:p>
                    <w:p w:rsidR="00DD5468" w:rsidRPr="001410E8" w:rsidRDefault="00DD5468" w:rsidP="00046608">
                      <w:pPr>
                        <w:rPr>
                          <w:rFonts w:ascii="Times New Roman" w:hAnsi="Times New Roman" w:cs="Times New Roman"/>
                          <w:i/>
                        </w:rPr>
                      </w:pPr>
                      <w:r w:rsidRPr="001410E8">
                        <w:rPr>
                          <w:rFonts w:ascii="Times New Roman" w:hAnsi="Times New Roman" w:cs="Times New Roman"/>
                          <w:i/>
                        </w:rPr>
                        <w:t>Th</w:t>
                      </w:r>
                      <w:r>
                        <w:rPr>
                          <w:rFonts w:ascii="Times New Roman" w:hAnsi="Times New Roman" w:cs="Times New Roman"/>
                          <w:i/>
                        </w:rPr>
                        <w:t>at</w:t>
                      </w:r>
                      <w:r w:rsidRPr="001410E8">
                        <w:rPr>
                          <w:rFonts w:ascii="Times New Roman" w:hAnsi="Times New Roman" w:cs="Times New Roman"/>
                          <w:i/>
                        </w:rPr>
                        <w:t xml:space="preserve"> Treasury take</w:t>
                      </w:r>
                      <w:r>
                        <w:rPr>
                          <w:rFonts w:ascii="Times New Roman" w:hAnsi="Times New Roman" w:cs="Times New Roman"/>
                          <w:i/>
                        </w:rPr>
                        <w:t>s</w:t>
                      </w:r>
                      <w:r w:rsidRPr="001410E8">
                        <w:rPr>
                          <w:rFonts w:ascii="Times New Roman" w:hAnsi="Times New Roman" w:cs="Times New Roman"/>
                          <w:i/>
                        </w:rPr>
                        <w:t xml:space="preserve"> steps to quantify the potential costs of, or risks to consumers in economic and social terms, as a result of losses of privacy, as part of a rigorous and public regulatory impact assessment.</w:t>
                      </w:r>
                    </w:p>
                  </w:txbxContent>
                </v:textbox>
              </v:shape>
            </w:pict>
          </mc:Fallback>
        </mc:AlternateContent>
      </w:r>
      <w:r w:rsidRPr="00DD0AEA">
        <w:rPr>
          <w:rFonts w:ascii="Calibri" w:eastAsiaTheme="minorEastAsia" w:hAnsi="Calibri"/>
          <w:noProof/>
          <w:color w:val="000000" w:themeColor="text1"/>
          <w:sz w:val="24"/>
        </w:rPr>
        <mc:AlternateContent>
          <mc:Choice Requires="wps">
            <w:drawing>
              <wp:anchor distT="0" distB="0" distL="114300" distR="114300" simplePos="0" relativeHeight="251770880" behindDoc="0" locked="0" layoutInCell="1" allowOverlap="1" wp14:anchorId="47A11633" wp14:editId="09DD7FBE">
                <wp:simplePos x="0" y="0"/>
                <wp:positionH relativeFrom="column">
                  <wp:posOffset>27268</wp:posOffset>
                </wp:positionH>
                <wp:positionV relativeFrom="paragraph">
                  <wp:posOffset>4218940</wp:posOffset>
                </wp:positionV>
                <wp:extent cx="5720080" cy="777875"/>
                <wp:effectExtent l="0" t="0" r="13970" b="22225"/>
                <wp:wrapNone/>
                <wp:docPr id="43" name="Text Box 43"/>
                <wp:cNvGraphicFramePr/>
                <a:graphic xmlns:a="http://schemas.openxmlformats.org/drawingml/2006/main">
                  <a:graphicData uri="http://schemas.microsoft.com/office/word/2010/wordprocessingShape">
                    <wps:wsp>
                      <wps:cNvSpPr txBox="1"/>
                      <wps:spPr>
                        <a:xfrm>
                          <a:off x="0" y="0"/>
                          <a:ext cx="5720080" cy="777875"/>
                        </a:xfrm>
                        <a:prstGeom prst="rect">
                          <a:avLst/>
                        </a:prstGeom>
                        <a:solidFill>
                          <a:sysClr val="window" lastClr="FFFFFF"/>
                        </a:solidFill>
                        <a:ln w="6350">
                          <a:solidFill>
                            <a:srgbClr val="00B0F0"/>
                          </a:solidFill>
                        </a:ln>
                      </wps:spPr>
                      <wps:txbx>
                        <w:txbxContent>
                          <w:p w:rsidR="00DD5468" w:rsidRPr="00C8710B" w:rsidRDefault="00DD5468" w:rsidP="00C8710B">
                            <w:pPr>
                              <w:rPr>
                                <w:rFonts w:ascii="Times New Roman" w:hAnsi="Times New Roman" w:cs="Times New Roman"/>
                                <w:b/>
                              </w:rPr>
                            </w:pPr>
                            <w:r w:rsidRPr="00C8710B">
                              <w:rPr>
                                <w:rFonts w:ascii="Times New Roman" w:hAnsi="Times New Roman" w:cs="Times New Roman"/>
                                <w:b/>
                              </w:rPr>
                              <w:t>Recommendation 1</w:t>
                            </w:r>
                            <w:r>
                              <w:rPr>
                                <w:rFonts w:ascii="Times New Roman" w:hAnsi="Times New Roman" w:cs="Times New Roman"/>
                                <w:b/>
                              </w:rPr>
                              <w:t>4</w:t>
                            </w:r>
                          </w:p>
                          <w:p w:rsidR="00DD5468" w:rsidRPr="00C8710B" w:rsidRDefault="00DD5468" w:rsidP="00C8710B">
                            <w:pPr>
                              <w:jc w:val="both"/>
                              <w:rPr>
                                <w:rFonts w:ascii="Times New Roman" w:hAnsi="Times New Roman" w:cs="Times New Roman"/>
                                <w:i/>
                              </w:rPr>
                            </w:pPr>
                            <w:r w:rsidRPr="00C8710B">
                              <w:rPr>
                                <w:rFonts w:ascii="Times New Roman" w:hAnsi="Times New Roman" w:cs="Times New Roman"/>
                                <w:i/>
                              </w:rPr>
                              <w:t xml:space="preserve">That the Bill be amended to require genuine consent from consumers for the transfer of their data under the CDR framework. </w:t>
                            </w:r>
                          </w:p>
                          <w:p w:rsidR="00DD5468" w:rsidRPr="00E15E43" w:rsidRDefault="00DD5468" w:rsidP="00C8710B">
                            <w:pPr>
                              <w:jc w:val="both"/>
                              <w:rPr>
                                <w:rFonts w:ascii="Times New Roman" w:hAnsi="Times New Roman" w:cs="Times New Roman"/>
                                <w: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3" o:spid="_x0000_s1042" type="#_x0000_t202" style="position:absolute;margin-left:2.15pt;margin-top:332.2pt;width:450.4pt;height:61.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" fillcolor="window" strokecolor="#00b0f0" strokeweight=".5pt">
                <v:textbox>
                  <w:txbxContent>
                    <w:p w:rsidR="00DD5468" w:rsidRPr="00C8710B" w:rsidRDefault="00DD5468" w:rsidP="00C8710B">
                      <w:pPr>
                        <w:rPr>
                          <w:rFonts w:ascii="Times New Roman" w:hAnsi="Times New Roman" w:cs="Times New Roman"/>
                          <w:b/>
                        </w:rPr>
                      </w:pPr>
                      <w:r w:rsidRPr="00C8710B">
                        <w:rPr>
                          <w:rFonts w:ascii="Times New Roman" w:hAnsi="Times New Roman" w:cs="Times New Roman"/>
                          <w:b/>
                        </w:rPr>
                        <w:t>Recommendation 1</w:t>
                      </w:r>
                      <w:r>
                        <w:rPr>
                          <w:rFonts w:ascii="Times New Roman" w:hAnsi="Times New Roman" w:cs="Times New Roman"/>
                          <w:b/>
                        </w:rPr>
                        <w:t>4</w:t>
                      </w:r>
                    </w:p>
                    <w:p w:rsidR="00DD5468" w:rsidRPr="00C8710B" w:rsidRDefault="00DD5468" w:rsidP="00C8710B">
                      <w:pPr>
                        <w:jc w:val="both"/>
                        <w:rPr>
                          <w:rFonts w:ascii="Times New Roman" w:hAnsi="Times New Roman" w:cs="Times New Roman"/>
                          <w:i/>
                        </w:rPr>
                      </w:pPr>
                      <w:r w:rsidRPr="00C8710B">
                        <w:rPr>
                          <w:rFonts w:ascii="Times New Roman" w:hAnsi="Times New Roman" w:cs="Times New Roman"/>
                          <w:i/>
                        </w:rPr>
                        <w:t xml:space="preserve">That the Bill be amended to require genuine consent from consumers for the transfer of their data under the CDR framework. </w:t>
                      </w:r>
                    </w:p>
                    <w:p w:rsidR="00DD5468" w:rsidRPr="00E15E43" w:rsidRDefault="00DD5468" w:rsidP="00C8710B">
                      <w:pPr>
                        <w:jc w:val="both"/>
                        <w:rPr>
                          <w:rFonts w:ascii="Times New Roman" w:hAnsi="Times New Roman" w:cs="Times New Roman"/>
                          <w:i/>
                          <w:color w:val="FF0000"/>
                        </w:rPr>
                      </w:pPr>
                    </w:p>
                  </w:txbxContent>
                </v:textbox>
              </v:shape>
            </w:pict>
          </mc:Fallback>
        </mc:AlternateContent>
      </w:r>
      <w:r w:rsidRPr="00DD0AEA">
        <w:rPr>
          <w:rFonts w:ascii="Calibri" w:eastAsiaTheme="minorEastAsia" w:hAnsi="Calibri"/>
          <w:noProof/>
          <w:color w:val="000000" w:themeColor="text1"/>
          <w:sz w:val="24"/>
        </w:rPr>
        <mc:AlternateContent>
          <mc:Choice Requires="wps">
            <w:drawing>
              <wp:anchor distT="0" distB="0" distL="114300" distR="114300" simplePos="0" relativeHeight="251772928" behindDoc="0" locked="0" layoutInCell="1" allowOverlap="1" wp14:anchorId="117A4E01" wp14:editId="1C0F35C3">
                <wp:simplePos x="0" y="0"/>
                <wp:positionH relativeFrom="column">
                  <wp:posOffset>23495</wp:posOffset>
                </wp:positionH>
                <wp:positionV relativeFrom="paragraph">
                  <wp:posOffset>5063490</wp:posOffset>
                </wp:positionV>
                <wp:extent cx="5720080" cy="949960"/>
                <wp:effectExtent l="0" t="0" r="13970" b="21590"/>
                <wp:wrapNone/>
                <wp:docPr id="44" name="Text Box 44"/>
                <wp:cNvGraphicFramePr/>
                <a:graphic xmlns:a="http://schemas.openxmlformats.org/drawingml/2006/main">
                  <a:graphicData uri="http://schemas.microsoft.com/office/word/2010/wordprocessingShape">
                    <wps:wsp>
                      <wps:cNvSpPr txBox="1"/>
                      <wps:spPr>
                        <a:xfrm>
                          <a:off x="0" y="0"/>
                          <a:ext cx="5720080" cy="949960"/>
                        </a:xfrm>
                        <a:prstGeom prst="rect">
                          <a:avLst/>
                        </a:prstGeom>
                        <a:solidFill>
                          <a:sysClr val="window" lastClr="FFFFFF"/>
                        </a:solidFill>
                        <a:ln w="6350">
                          <a:solidFill>
                            <a:srgbClr val="00B0F0"/>
                          </a:solidFill>
                        </a:ln>
                      </wps:spPr>
                      <wps:txbx>
                        <w:txbxContent>
                          <w:p w:rsidR="00DD5468" w:rsidRPr="00C8710B" w:rsidRDefault="00DD5468" w:rsidP="00C8710B">
                            <w:pPr>
                              <w:rPr>
                                <w:rFonts w:ascii="Times New Roman" w:hAnsi="Times New Roman" w:cs="Times New Roman"/>
                                <w:i/>
                              </w:rPr>
                            </w:pPr>
                            <w:r w:rsidRPr="00C8710B">
                              <w:rPr>
                                <w:rFonts w:ascii="Times New Roman" w:hAnsi="Times New Roman" w:cs="Times New Roman"/>
                                <w:b/>
                              </w:rPr>
                              <w:t>Recommendation 1</w:t>
                            </w:r>
                            <w:r>
                              <w:rPr>
                                <w:rFonts w:ascii="Times New Roman" w:hAnsi="Times New Roman" w:cs="Times New Roman"/>
                                <w:b/>
                              </w:rPr>
                              <w:t>5</w:t>
                            </w:r>
                          </w:p>
                          <w:p w:rsidR="00DD5468" w:rsidRPr="00C8710B" w:rsidRDefault="00DD5468" w:rsidP="00C8710B">
                            <w:pPr>
                              <w:jc w:val="both"/>
                              <w:rPr>
                                <w:rFonts w:ascii="Times New Roman" w:hAnsi="Times New Roman" w:cs="Times New Roman"/>
                                <w:i/>
                              </w:rPr>
                            </w:pPr>
                            <w:r w:rsidRPr="00C8710B">
                              <w:rPr>
                                <w:rFonts w:ascii="Times New Roman" w:hAnsi="Times New Roman" w:cs="Times New Roman"/>
                                <w:i/>
                              </w:rPr>
                              <w:t xml:space="preserve">That </w:t>
                            </w:r>
                            <w:proofErr w:type="gramStart"/>
                            <w:r w:rsidRPr="00C8710B">
                              <w:rPr>
                                <w:rFonts w:ascii="Times New Roman" w:hAnsi="Times New Roman" w:cs="Times New Roman"/>
                                <w:i/>
                              </w:rPr>
                              <w:t>s56BG(</w:t>
                            </w:r>
                            <w:proofErr w:type="gramEnd"/>
                            <w:r w:rsidRPr="00C8710B">
                              <w:rPr>
                                <w:rFonts w:ascii="Times New Roman" w:hAnsi="Times New Roman" w:cs="Times New Roman"/>
                                <w:i/>
                              </w:rPr>
                              <w:t>a) be amended to allow for the transfer of data concerning consumer consents, and to require that consumers be notified of their existing consents when such information is to be transferred.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4" o:spid="_x0000_s1043" type="#_x0000_t202" style="position:absolute;margin-left:1.85pt;margin-top:398.7pt;width:450.4pt;height:74.8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" fillcolor="window" strokecolor="#00b0f0" strokeweight=".5pt">
                <v:textbox>
                  <w:txbxContent>
                    <w:p w:rsidR="00DD5468" w:rsidRPr="00C8710B" w:rsidRDefault="00DD5468" w:rsidP="00C8710B">
                      <w:pPr>
                        <w:rPr>
                          <w:rFonts w:ascii="Times New Roman" w:hAnsi="Times New Roman" w:cs="Times New Roman"/>
                          <w:i/>
                        </w:rPr>
                      </w:pPr>
                      <w:r w:rsidRPr="00C8710B">
                        <w:rPr>
                          <w:rFonts w:ascii="Times New Roman" w:hAnsi="Times New Roman" w:cs="Times New Roman"/>
                          <w:b/>
                        </w:rPr>
                        <w:t>Recommendation 1</w:t>
                      </w:r>
                      <w:r>
                        <w:rPr>
                          <w:rFonts w:ascii="Times New Roman" w:hAnsi="Times New Roman" w:cs="Times New Roman"/>
                          <w:b/>
                        </w:rPr>
                        <w:t>5</w:t>
                      </w:r>
                    </w:p>
                    <w:p w:rsidR="00DD5468" w:rsidRPr="00C8710B" w:rsidRDefault="00DD5468" w:rsidP="00C8710B">
                      <w:pPr>
                        <w:jc w:val="both"/>
                        <w:rPr>
                          <w:rFonts w:ascii="Times New Roman" w:hAnsi="Times New Roman" w:cs="Times New Roman"/>
                          <w:i/>
                        </w:rPr>
                      </w:pPr>
                      <w:r w:rsidRPr="00C8710B">
                        <w:rPr>
                          <w:rFonts w:ascii="Times New Roman" w:hAnsi="Times New Roman" w:cs="Times New Roman"/>
                          <w:i/>
                        </w:rPr>
                        <w:t xml:space="preserve">That </w:t>
                      </w:r>
                      <w:proofErr w:type="gramStart"/>
                      <w:r w:rsidRPr="00C8710B">
                        <w:rPr>
                          <w:rFonts w:ascii="Times New Roman" w:hAnsi="Times New Roman" w:cs="Times New Roman"/>
                          <w:i/>
                        </w:rPr>
                        <w:t>s56BG(</w:t>
                      </w:r>
                      <w:proofErr w:type="gramEnd"/>
                      <w:r w:rsidRPr="00C8710B">
                        <w:rPr>
                          <w:rFonts w:ascii="Times New Roman" w:hAnsi="Times New Roman" w:cs="Times New Roman"/>
                          <w:i/>
                        </w:rPr>
                        <w:t>a) be amended to allow for the transfer of data concerning consumer consents, and to require that consumers be notified of their existing consents when such information is to be transferred.</w:t>
                      </w:r>
                    </w:p>
                  </w:txbxContent>
                </v:textbox>
              </v:shape>
            </w:pict>
          </mc:Fallback>
        </mc:AlternateContent>
      </w:r>
    </w:p>
    <w:p w:rsidR="006730E8" w:rsidRPr="006730E8" w:rsidRDefault="00B2284C" w:rsidP="006730E8">
      <w:pPr>
        <w:keepNext/>
        <w:keepLines/>
        <w:pageBreakBefore/>
        <w:suppressAutoHyphens/>
        <w:spacing w:before="28" w:after="0" w:line="240" w:lineRule="auto"/>
        <w:jc w:val="both"/>
        <w:outlineLvl w:val="0"/>
        <w:rPr>
          <w:rFonts w:ascii="Calibri" w:eastAsia="Arial Unicode MS" w:hAnsi="Calibri" w:cs="font331"/>
          <w:bCs/>
          <w:kern w:val="1"/>
          <w:sz w:val="44"/>
          <w:szCs w:val="28"/>
          <w:lang w:val="en-IE" w:eastAsia="hi-IN" w:bidi="hi-IN"/>
        </w:rPr>
      </w:pPr>
      <w:bookmarkStart w:id="3" w:name="_Toc524350288"/>
      <w:r>
        <w:rPr>
          <w:rFonts w:ascii="Calibri" w:eastAsia="Arial Unicode MS" w:hAnsi="Calibri" w:cs="font331"/>
          <w:bCs/>
          <w:kern w:val="1"/>
          <w:sz w:val="44"/>
          <w:szCs w:val="28"/>
          <w:lang w:val="en-IE" w:eastAsia="hi-IN" w:bidi="hi-IN"/>
        </w:rPr>
        <w:lastRenderedPageBreak/>
        <w:t>First principles regulation</w:t>
      </w:r>
      <w:bookmarkEnd w:id="3"/>
    </w:p>
    <w:p w:rsidR="006730E8" w:rsidRPr="00303ECE" w:rsidRDefault="006730E8" w:rsidP="00303ECE">
      <w:pPr>
        <w:spacing w:before="100" w:beforeAutospacing="1" w:after="100" w:afterAutospacing="1"/>
        <w:jc w:val="both"/>
        <w:rPr>
          <w:rFonts w:ascii="Times New Roman" w:hAnsi="Times New Roman" w:cs="Times New Roman"/>
          <w:color w:val="000000" w:themeColor="text1"/>
          <w:sz w:val="24"/>
          <w:szCs w:val="24"/>
          <w:lang w:val="en-AU"/>
        </w:rPr>
      </w:pPr>
      <w:r>
        <w:rPr>
          <w:rFonts w:ascii="Times New Roman" w:hAnsi="Times New Roman" w:cs="Times New Roman"/>
          <w:color w:val="000000" w:themeColor="text1"/>
          <w:sz w:val="24"/>
          <w:szCs w:val="24"/>
          <w:lang w:val="en-AU"/>
        </w:rPr>
        <w:t>ACCAN supports best practice regulation, and the develop</w:t>
      </w:r>
      <w:r w:rsidR="00303ECE">
        <w:rPr>
          <w:rFonts w:ascii="Times New Roman" w:hAnsi="Times New Roman" w:cs="Times New Roman"/>
          <w:color w:val="000000" w:themeColor="text1"/>
          <w:sz w:val="24"/>
          <w:szCs w:val="24"/>
          <w:lang w:val="en-AU"/>
        </w:rPr>
        <w:t xml:space="preserve">ment of targeted and proportionate regulatory interventions to address material policy problems. </w:t>
      </w:r>
      <w:r w:rsidRPr="007217E6">
        <w:rPr>
          <w:rFonts w:ascii="Times New Roman" w:hAnsi="Times New Roman" w:cs="Times New Roman"/>
          <w:sz w:val="24"/>
          <w:szCs w:val="24"/>
        </w:rPr>
        <w:t xml:space="preserve">The principles of best practice regulation are well established and have been outlined by the </w:t>
      </w:r>
      <w:proofErr w:type="spellStart"/>
      <w:r w:rsidR="00685C3D">
        <w:rPr>
          <w:rFonts w:ascii="Times New Roman" w:hAnsi="Times New Roman" w:cs="Times New Roman"/>
          <w:sz w:val="24"/>
          <w:szCs w:val="24"/>
        </w:rPr>
        <w:t>Organisation</w:t>
      </w:r>
      <w:proofErr w:type="spellEnd"/>
      <w:r w:rsidR="00685C3D">
        <w:rPr>
          <w:rFonts w:ascii="Times New Roman" w:hAnsi="Times New Roman" w:cs="Times New Roman"/>
          <w:sz w:val="24"/>
          <w:szCs w:val="24"/>
        </w:rPr>
        <w:t xml:space="preserve"> for Economic Cooperation and Development</w:t>
      </w:r>
      <w:r>
        <w:rPr>
          <w:rFonts w:ascii="Times New Roman" w:hAnsi="Times New Roman" w:cs="Times New Roman"/>
          <w:sz w:val="24"/>
          <w:szCs w:val="24"/>
        </w:rPr>
        <w:t xml:space="preserve"> </w:t>
      </w:r>
      <w:r w:rsidRPr="00B2284C">
        <w:rPr>
          <w:rFonts w:ascii="Times New Roman" w:hAnsi="Times New Roman" w:cs="Times New Roman"/>
          <w:sz w:val="24"/>
        </w:rPr>
        <w:t>(2012)</w:t>
      </w:r>
      <w:r w:rsidRPr="007217E6">
        <w:rPr>
          <w:rFonts w:ascii="Times New Roman" w:hAnsi="Times New Roman" w:cs="Times New Roman"/>
          <w:sz w:val="24"/>
          <w:szCs w:val="24"/>
        </w:rPr>
        <w:t xml:space="preserve"> and the Department of Prime </w:t>
      </w:r>
      <w:r>
        <w:rPr>
          <w:rFonts w:ascii="Times New Roman" w:hAnsi="Times New Roman" w:cs="Times New Roman"/>
          <w:sz w:val="24"/>
          <w:szCs w:val="24"/>
        </w:rPr>
        <w:t xml:space="preserve">Minister </w:t>
      </w:r>
      <w:r w:rsidRPr="007217E6">
        <w:rPr>
          <w:rFonts w:ascii="Times New Roman" w:hAnsi="Times New Roman" w:cs="Times New Roman"/>
          <w:sz w:val="24"/>
          <w:szCs w:val="24"/>
        </w:rPr>
        <w:t>and Cabinet</w:t>
      </w:r>
      <w:r>
        <w:rPr>
          <w:rFonts w:ascii="Times New Roman" w:hAnsi="Times New Roman" w:cs="Times New Roman"/>
          <w:sz w:val="24"/>
          <w:szCs w:val="24"/>
        </w:rPr>
        <w:t xml:space="preserve"> </w:t>
      </w:r>
      <w:r w:rsidRPr="00B2284C">
        <w:rPr>
          <w:rFonts w:ascii="Times New Roman" w:hAnsi="Times New Roman" w:cs="Times New Roman"/>
          <w:sz w:val="24"/>
        </w:rPr>
        <w:t>(2014)</w:t>
      </w:r>
      <w:r w:rsidRPr="007217E6">
        <w:rPr>
          <w:rFonts w:ascii="Times New Roman" w:hAnsi="Times New Roman" w:cs="Times New Roman"/>
          <w:sz w:val="24"/>
          <w:szCs w:val="24"/>
        </w:rPr>
        <w:t xml:space="preserve">.  </w:t>
      </w:r>
    </w:p>
    <w:p w:rsidR="00BB4586" w:rsidRDefault="00303ECE" w:rsidP="007F0558">
      <w:pPr>
        <w:jc w:val="both"/>
        <w:rPr>
          <w:rFonts w:ascii="Times New Roman" w:hAnsi="Times New Roman" w:cs="Times New Roman"/>
          <w:sz w:val="24"/>
          <w:szCs w:val="24"/>
        </w:rPr>
      </w:pPr>
      <w:r>
        <w:rPr>
          <w:rFonts w:ascii="Times New Roman" w:hAnsi="Times New Roman" w:cs="Times New Roman"/>
          <w:sz w:val="24"/>
          <w:szCs w:val="24"/>
        </w:rPr>
        <w:t xml:space="preserve">As the current consultation has been undertaken with a view to informing the creation of a regulatory impact statement to accompany the draft legislation, ACCAN has crafted its submission with this in mind. </w:t>
      </w:r>
      <w:r w:rsidR="00A428C2">
        <w:rPr>
          <w:rFonts w:ascii="Times New Roman" w:hAnsi="Times New Roman" w:cs="Times New Roman"/>
          <w:sz w:val="24"/>
          <w:szCs w:val="24"/>
        </w:rPr>
        <w:t xml:space="preserve">ACCAN notes that full consideration of the costs and benefits of the proposed reforms are essential, and that care should be taken to ensure that sufficient evidence has been obtained to inform the development and implementation of the consumer data right framework. </w:t>
      </w:r>
    </w:p>
    <w:p w:rsidR="00B25D20" w:rsidRDefault="00B55327" w:rsidP="007F0558">
      <w:pPr>
        <w:jc w:val="both"/>
        <w:rPr>
          <w:rFonts w:ascii="Times New Roman" w:hAnsi="Times New Roman" w:cs="Times New Roman"/>
          <w:sz w:val="24"/>
        </w:rPr>
      </w:pPr>
      <w:r>
        <w:rPr>
          <w:rFonts w:ascii="Times New Roman" w:hAnsi="Times New Roman" w:cs="Times New Roman"/>
          <w:sz w:val="24"/>
        </w:rPr>
        <w:t xml:space="preserve">As ACCAN is the peak </w:t>
      </w:r>
      <w:proofErr w:type="spellStart"/>
      <w:r>
        <w:rPr>
          <w:rFonts w:ascii="Times New Roman" w:hAnsi="Times New Roman" w:cs="Times New Roman"/>
          <w:sz w:val="24"/>
        </w:rPr>
        <w:t>organisation</w:t>
      </w:r>
      <w:proofErr w:type="spellEnd"/>
      <w:r>
        <w:rPr>
          <w:rFonts w:ascii="Times New Roman" w:hAnsi="Times New Roman" w:cs="Times New Roman"/>
          <w:sz w:val="24"/>
        </w:rPr>
        <w:t xml:space="preserve"> representing telecommunications consumers, our approach is framed by this perspective. </w:t>
      </w:r>
      <w:r w:rsidR="00A428C2" w:rsidRPr="00A428C2">
        <w:rPr>
          <w:rFonts w:ascii="Times New Roman" w:hAnsi="Times New Roman" w:cs="Times New Roman"/>
          <w:sz w:val="24"/>
        </w:rPr>
        <w:t>In</w:t>
      </w:r>
      <w:r w:rsidR="00BB4586" w:rsidRPr="00A428C2">
        <w:rPr>
          <w:rFonts w:ascii="Times New Roman" w:hAnsi="Times New Roman" w:cs="Times New Roman"/>
          <w:sz w:val="24"/>
        </w:rPr>
        <w:t xml:space="preserve">adequate information when developing </w:t>
      </w:r>
      <w:r w:rsidR="00A428C2" w:rsidRPr="00A428C2">
        <w:rPr>
          <w:rFonts w:ascii="Times New Roman" w:hAnsi="Times New Roman" w:cs="Times New Roman"/>
          <w:sz w:val="24"/>
        </w:rPr>
        <w:t>regulatory frameworks</w:t>
      </w:r>
      <w:r w:rsidR="00BB4586" w:rsidRPr="00A428C2">
        <w:rPr>
          <w:rFonts w:ascii="Times New Roman" w:hAnsi="Times New Roman" w:cs="Times New Roman"/>
          <w:sz w:val="24"/>
        </w:rPr>
        <w:t xml:space="preserve"> is </w:t>
      </w:r>
      <w:r>
        <w:rPr>
          <w:rFonts w:ascii="Times New Roman" w:hAnsi="Times New Roman" w:cs="Times New Roman"/>
          <w:sz w:val="24"/>
        </w:rPr>
        <w:t xml:space="preserve">a well-established </w:t>
      </w:r>
      <w:r w:rsidR="00044C24">
        <w:rPr>
          <w:rFonts w:ascii="Times New Roman" w:hAnsi="Times New Roman" w:cs="Times New Roman"/>
          <w:sz w:val="24"/>
        </w:rPr>
        <w:t>challenge</w:t>
      </w:r>
      <w:r w:rsidR="00BB4586" w:rsidRPr="00A428C2">
        <w:rPr>
          <w:rFonts w:ascii="Times New Roman" w:hAnsi="Times New Roman" w:cs="Times New Roman"/>
          <w:sz w:val="24"/>
        </w:rPr>
        <w:t xml:space="preserve">, </w:t>
      </w:r>
      <w:r>
        <w:rPr>
          <w:rFonts w:ascii="Times New Roman" w:hAnsi="Times New Roman" w:cs="Times New Roman"/>
          <w:sz w:val="24"/>
        </w:rPr>
        <w:t>and not</w:t>
      </w:r>
      <w:r w:rsidR="00BB4586" w:rsidRPr="00A428C2">
        <w:rPr>
          <w:rFonts w:ascii="Times New Roman" w:hAnsi="Times New Roman" w:cs="Times New Roman"/>
          <w:sz w:val="24"/>
        </w:rPr>
        <w:t xml:space="preserve"> one that is unique to the field of telecommunications regulation. The problem of poor information and the absence of essential economic information when assessing the merits of regulation  has been well documented internationally (</w:t>
      </w:r>
      <w:proofErr w:type="spellStart"/>
      <w:r w:rsidR="00BB4586" w:rsidRPr="00A428C2">
        <w:rPr>
          <w:rFonts w:ascii="Times New Roman" w:hAnsi="Times New Roman" w:cs="Times New Roman"/>
          <w:sz w:val="24"/>
        </w:rPr>
        <w:t>Cecot</w:t>
      </w:r>
      <w:proofErr w:type="spellEnd"/>
      <w:r w:rsidR="00BB4586" w:rsidRPr="00A428C2">
        <w:rPr>
          <w:rFonts w:ascii="Times New Roman" w:hAnsi="Times New Roman" w:cs="Times New Roman"/>
          <w:sz w:val="24"/>
        </w:rPr>
        <w:t xml:space="preserve"> et al. 2008; Hahn &amp; </w:t>
      </w:r>
      <w:proofErr w:type="spellStart"/>
      <w:r w:rsidR="00BB4586" w:rsidRPr="00A428C2">
        <w:rPr>
          <w:rFonts w:ascii="Times New Roman" w:hAnsi="Times New Roman" w:cs="Times New Roman"/>
          <w:sz w:val="24"/>
        </w:rPr>
        <w:t>Hird</w:t>
      </w:r>
      <w:proofErr w:type="spellEnd"/>
      <w:r w:rsidR="00BB4586" w:rsidRPr="00A428C2">
        <w:rPr>
          <w:rFonts w:ascii="Times New Roman" w:hAnsi="Times New Roman" w:cs="Times New Roman"/>
          <w:sz w:val="24"/>
        </w:rPr>
        <w:t xml:space="preserve"> 1991; Hahn 1998; Hahn et al. 2000; Hahn &amp; Dudley 2007; Hahn &amp; </w:t>
      </w:r>
      <w:proofErr w:type="spellStart"/>
      <w:r w:rsidR="00BB4586" w:rsidRPr="00A428C2">
        <w:rPr>
          <w:rFonts w:ascii="Times New Roman" w:hAnsi="Times New Roman" w:cs="Times New Roman"/>
          <w:sz w:val="24"/>
        </w:rPr>
        <w:t>Tetlock</w:t>
      </w:r>
      <w:proofErr w:type="spellEnd"/>
      <w:r w:rsidR="00BB4586" w:rsidRPr="00A428C2">
        <w:rPr>
          <w:rFonts w:ascii="Times New Roman" w:hAnsi="Times New Roman" w:cs="Times New Roman"/>
          <w:sz w:val="24"/>
        </w:rPr>
        <w:t xml:space="preserve"> 2008) and in Australia (PC 2012, p. 11). </w:t>
      </w:r>
    </w:p>
    <w:p w:rsidR="00480D20" w:rsidRDefault="00A428C2" w:rsidP="007F0558">
      <w:pPr>
        <w:jc w:val="both"/>
        <w:rPr>
          <w:rFonts w:ascii="Times New Roman" w:hAnsi="Times New Roman" w:cs="Times New Roman"/>
          <w:sz w:val="24"/>
        </w:rPr>
      </w:pPr>
      <w:r w:rsidRPr="00A428C2">
        <w:rPr>
          <w:rFonts w:ascii="Times New Roman" w:hAnsi="Times New Roman" w:cs="Times New Roman"/>
          <w:sz w:val="24"/>
        </w:rPr>
        <w:t>Given the significance of these proposed reforms, ACCAN believes that it is appropriate that a full cost-benefit analysis and regulatory impact analysis is unde</w:t>
      </w:r>
      <w:r w:rsidR="00480D20">
        <w:rPr>
          <w:rFonts w:ascii="Times New Roman" w:hAnsi="Times New Roman" w:cs="Times New Roman"/>
          <w:sz w:val="24"/>
        </w:rPr>
        <w:t>rtaken concerning the proposal, and that the results of this cost-benefit analysis be made available for scrutiny.</w:t>
      </w:r>
    </w:p>
    <w:p w:rsidR="0013687E" w:rsidRDefault="0013687E" w:rsidP="007F0558">
      <w:pPr>
        <w:jc w:val="both"/>
        <w:rPr>
          <w:rFonts w:ascii="Times New Roman" w:hAnsi="Times New Roman" w:cs="Times New Roman"/>
          <w:sz w:val="24"/>
        </w:rPr>
      </w:pPr>
      <w:r w:rsidRPr="00DD0AEA">
        <w:rPr>
          <w:rFonts w:ascii="Calibri" w:eastAsiaTheme="minorEastAsia" w:hAnsi="Calibri"/>
          <w:noProof/>
          <w:color w:val="000000" w:themeColor="text1"/>
          <w:sz w:val="24"/>
        </w:rPr>
        <mc:AlternateContent>
          <mc:Choice Requires="wps">
            <w:drawing>
              <wp:anchor distT="0" distB="0" distL="114300" distR="114300" simplePos="0" relativeHeight="251699200" behindDoc="0" locked="0" layoutInCell="1" allowOverlap="1" wp14:anchorId="0E8E3290" wp14:editId="0036850D">
                <wp:simplePos x="0" y="0"/>
                <wp:positionH relativeFrom="column">
                  <wp:posOffset>0</wp:posOffset>
                </wp:positionH>
                <wp:positionV relativeFrom="paragraph">
                  <wp:posOffset>135255</wp:posOffset>
                </wp:positionV>
                <wp:extent cx="5720080" cy="975360"/>
                <wp:effectExtent l="0" t="0" r="7620" b="15240"/>
                <wp:wrapNone/>
                <wp:docPr id="2" name="Text Box 2"/>
                <wp:cNvGraphicFramePr/>
                <a:graphic xmlns:a="http://schemas.openxmlformats.org/drawingml/2006/main">
                  <a:graphicData uri="http://schemas.microsoft.com/office/word/2010/wordprocessingShape">
                    <wps:wsp>
                      <wps:cNvSpPr txBox="1"/>
                      <wps:spPr>
                        <a:xfrm>
                          <a:off x="0" y="0"/>
                          <a:ext cx="5720080" cy="975360"/>
                        </a:xfrm>
                        <a:prstGeom prst="rect">
                          <a:avLst/>
                        </a:prstGeom>
                        <a:solidFill>
                          <a:sysClr val="window" lastClr="FFFFFF"/>
                        </a:solidFill>
                        <a:ln w="6350">
                          <a:solidFill>
                            <a:srgbClr val="00B0F0"/>
                          </a:solidFill>
                        </a:ln>
                      </wps:spPr>
                      <wps:txbx>
                        <w:txbxContent>
                          <w:p w:rsidR="00DD5468" w:rsidRPr="00840306" w:rsidRDefault="00DD5468" w:rsidP="00FF5C58">
                            <w:pPr>
                              <w:jc w:val="both"/>
                              <w:rPr>
                                <w:rFonts w:ascii="Times New Roman" w:hAnsi="Times New Roman" w:cs="Times New Roman"/>
                                <w:b/>
                              </w:rPr>
                            </w:pPr>
                            <w:r w:rsidRPr="00840306">
                              <w:rPr>
                                <w:rFonts w:ascii="Times New Roman" w:hAnsi="Times New Roman" w:cs="Times New Roman"/>
                                <w:b/>
                              </w:rPr>
                              <w:t xml:space="preserve">Recommendation 1 </w:t>
                            </w:r>
                          </w:p>
                          <w:p w:rsidR="00DD5468" w:rsidRPr="00840306" w:rsidRDefault="00DD5468" w:rsidP="00FF5C58">
                            <w:pPr>
                              <w:jc w:val="both"/>
                              <w:rPr>
                                <w:rFonts w:ascii="Times New Roman" w:hAnsi="Times New Roman" w:cs="Times New Roman"/>
                                <w:i/>
                              </w:rPr>
                            </w:pPr>
                            <w:r>
                              <w:rPr>
                                <w:rFonts w:ascii="Times New Roman" w:hAnsi="Times New Roman" w:cs="Times New Roman"/>
                                <w:i/>
                              </w:rPr>
                              <w:t>That</w:t>
                            </w:r>
                            <w:r w:rsidRPr="00840306">
                              <w:rPr>
                                <w:rFonts w:ascii="Times New Roman" w:hAnsi="Times New Roman" w:cs="Times New Roman"/>
                                <w:i/>
                              </w:rPr>
                              <w:t xml:space="preserve"> Treasury embeds ongoing requirements for rigorous cost-benefit analyses that are publicly released and made available to stakeholders prior to sectors being declared and rules being made.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44" type="#_x0000_t202" style="position:absolute;left:0;text-align:left;margin-left:0;margin-top:10.65pt;width:450.4pt;height:76.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" fillcolor="window" strokecolor="#00b0f0" strokeweight=".5pt">
                <v:textbox>
                  <w:txbxContent>
                    <w:p w:rsidR="00DD5468" w:rsidRPr="00840306" w:rsidRDefault="00DD5468" w:rsidP="00FF5C58">
                      <w:pPr>
                        <w:jc w:val="both"/>
                        <w:rPr>
                          <w:rFonts w:ascii="Times New Roman" w:hAnsi="Times New Roman" w:cs="Times New Roman"/>
                          <w:b/>
                        </w:rPr>
                      </w:pPr>
                      <w:r w:rsidRPr="00840306">
                        <w:rPr>
                          <w:rFonts w:ascii="Times New Roman" w:hAnsi="Times New Roman" w:cs="Times New Roman"/>
                          <w:b/>
                        </w:rPr>
                        <w:t xml:space="preserve">Recommendation 1 </w:t>
                      </w:r>
                    </w:p>
                    <w:p w:rsidR="00DD5468" w:rsidRPr="00840306" w:rsidRDefault="00DD5468" w:rsidP="00FF5C58">
                      <w:pPr>
                        <w:jc w:val="both"/>
                        <w:rPr>
                          <w:rFonts w:ascii="Times New Roman" w:hAnsi="Times New Roman" w:cs="Times New Roman"/>
                          <w:i/>
                        </w:rPr>
                      </w:pPr>
                      <w:r>
                        <w:rPr>
                          <w:rFonts w:ascii="Times New Roman" w:hAnsi="Times New Roman" w:cs="Times New Roman"/>
                          <w:i/>
                        </w:rPr>
                        <w:t>That</w:t>
                      </w:r>
                      <w:r w:rsidRPr="00840306">
                        <w:rPr>
                          <w:rFonts w:ascii="Times New Roman" w:hAnsi="Times New Roman" w:cs="Times New Roman"/>
                          <w:i/>
                        </w:rPr>
                        <w:t xml:space="preserve"> Treasury embeds ongoing requirements for rigorous cost-benefit analyses that are publicly released and made available to stakeholders prior to sectors being declared and rules being made.</w:t>
                      </w:r>
                    </w:p>
                  </w:txbxContent>
                </v:textbox>
              </v:shape>
            </w:pict>
          </mc:Fallback>
        </mc:AlternateContent>
      </w:r>
    </w:p>
    <w:p w:rsidR="0013687E" w:rsidRDefault="0013687E" w:rsidP="007F0558">
      <w:pPr>
        <w:jc w:val="both"/>
        <w:rPr>
          <w:rFonts w:ascii="Times New Roman" w:hAnsi="Times New Roman" w:cs="Times New Roman"/>
          <w:sz w:val="24"/>
        </w:rPr>
      </w:pPr>
    </w:p>
    <w:p w:rsidR="0013687E" w:rsidRDefault="0013687E" w:rsidP="007F0558">
      <w:pPr>
        <w:jc w:val="both"/>
        <w:rPr>
          <w:rFonts w:ascii="Times New Roman" w:hAnsi="Times New Roman" w:cs="Times New Roman"/>
          <w:sz w:val="24"/>
        </w:rPr>
      </w:pPr>
    </w:p>
    <w:p w:rsidR="00480D20" w:rsidRPr="00A428C2" w:rsidRDefault="00480D20" w:rsidP="007F0558">
      <w:pPr>
        <w:jc w:val="both"/>
        <w:rPr>
          <w:rFonts w:ascii="Times New Roman" w:hAnsi="Times New Roman" w:cs="Times New Roman"/>
          <w:sz w:val="24"/>
        </w:rPr>
      </w:pPr>
    </w:p>
    <w:p w:rsidR="00101782" w:rsidRPr="00101782" w:rsidRDefault="00101782" w:rsidP="00CB7501">
      <w:pPr>
        <w:spacing w:before="100" w:beforeAutospacing="1" w:after="100" w:afterAutospacing="1" w:line="240" w:lineRule="auto"/>
        <w:jc w:val="both"/>
        <w:rPr>
          <w:rFonts w:ascii="Arial" w:eastAsiaTheme="minorEastAsia" w:hAnsi="Arial" w:cs="Arial"/>
          <w:b/>
          <w:sz w:val="32"/>
          <w:szCs w:val="32"/>
          <w:lang w:val="en-AU" w:eastAsia="en-AU"/>
        </w:rPr>
      </w:pPr>
      <w:r>
        <w:rPr>
          <w:rFonts w:ascii="Arial" w:eastAsiaTheme="minorEastAsia" w:hAnsi="Arial" w:cs="Arial"/>
          <w:b/>
          <w:sz w:val="32"/>
          <w:szCs w:val="32"/>
          <w:lang w:val="en-AU" w:eastAsia="en-AU"/>
        </w:rPr>
        <w:t>What is the problem?</w:t>
      </w:r>
    </w:p>
    <w:p w:rsidR="00303ECE" w:rsidRDefault="007F0558" w:rsidP="00303ECE">
      <w:pPr>
        <w:spacing w:before="100" w:beforeAutospacing="1" w:after="100" w:afterAutospacing="1"/>
        <w:jc w:val="both"/>
        <w:rPr>
          <w:rFonts w:ascii="Times New Roman" w:hAnsi="Times New Roman" w:cs="Times New Roman"/>
          <w:color w:val="000000" w:themeColor="text1"/>
          <w:sz w:val="24"/>
          <w:szCs w:val="24"/>
          <w:lang w:val="en-AU"/>
        </w:rPr>
      </w:pPr>
      <w:r>
        <w:rPr>
          <w:rFonts w:ascii="Times New Roman" w:hAnsi="Times New Roman" w:cs="Times New Roman"/>
          <w:color w:val="000000" w:themeColor="text1"/>
          <w:sz w:val="24"/>
          <w:szCs w:val="24"/>
          <w:lang w:val="en-AU"/>
        </w:rPr>
        <w:t xml:space="preserve">The first question, in the assessment of any regulatory proposal, is what is the fundamental problem that needs to be addressed by government intervention?  </w:t>
      </w:r>
      <w:r w:rsidR="00303ECE">
        <w:rPr>
          <w:rFonts w:ascii="Times New Roman" w:hAnsi="Times New Roman" w:cs="Times New Roman"/>
          <w:color w:val="000000" w:themeColor="text1"/>
          <w:sz w:val="24"/>
          <w:szCs w:val="24"/>
          <w:lang w:val="en-AU"/>
        </w:rPr>
        <w:t>At an economic level, there are sever</w:t>
      </w:r>
      <w:r>
        <w:rPr>
          <w:rFonts w:ascii="Times New Roman" w:hAnsi="Times New Roman" w:cs="Times New Roman"/>
          <w:color w:val="000000" w:themeColor="text1"/>
          <w:sz w:val="24"/>
          <w:szCs w:val="24"/>
          <w:lang w:val="en-AU"/>
        </w:rPr>
        <w:t>al problems that currently exi</w:t>
      </w:r>
      <w:r w:rsidR="00E97C49">
        <w:rPr>
          <w:rFonts w:ascii="Times New Roman" w:hAnsi="Times New Roman" w:cs="Times New Roman"/>
          <w:color w:val="000000" w:themeColor="text1"/>
          <w:sz w:val="24"/>
          <w:szCs w:val="24"/>
          <w:lang w:val="en-AU"/>
        </w:rPr>
        <w:t xml:space="preserve">st within the </w:t>
      </w:r>
      <w:r w:rsidR="006B1F2C">
        <w:rPr>
          <w:rFonts w:ascii="Times New Roman" w:hAnsi="Times New Roman" w:cs="Times New Roman"/>
          <w:color w:val="000000" w:themeColor="text1"/>
          <w:sz w:val="24"/>
          <w:szCs w:val="24"/>
          <w:lang w:val="en-AU"/>
        </w:rPr>
        <w:t>markets (</w:t>
      </w:r>
      <w:r w:rsidR="00E06A1A">
        <w:rPr>
          <w:rFonts w:ascii="Times New Roman" w:hAnsi="Times New Roman" w:cs="Times New Roman"/>
          <w:color w:val="000000" w:themeColor="text1"/>
          <w:sz w:val="24"/>
          <w:szCs w:val="24"/>
          <w:lang w:val="en-AU"/>
        </w:rPr>
        <w:t>banking, energy and telecommunications</w:t>
      </w:r>
      <w:r w:rsidR="006B1F2C">
        <w:rPr>
          <w:rFonts w:ascii="Times New Roman" w:hAnsi="Times New Roman" w:cs="Times New Roman"/>
          <w:color w:val="000000" w:themeColor="text1"/>
          <w:sz w:val="24"/>
          <w:szCs w:val="24"/>
          <w:lang w:val="en-AU"/>
        </w:rPr>
        <w:t>)</w:t>
      </w:r>
      <w:r w:rsidR="00E97C49">
        <w:rPr>
          <w:rFonts w:ascii="Times New Roman" w:hAnsi="Times New Roman" w:cs="Times New Roman"/>
          <w:color w:val="000000" w:themeColor="text1"/>
          <w:sz w:val="24"/>
          <w:szCs w:val="24"/>
          <w:lang w:val="en-AU"/>
        </w:rPr>
        <w:t xml:space="preserve"> </w:t>
      </w:r>
      <w:r>
        <w:rPr>
          <w:rFonts w:ascii="Times New Roman" w:hAnsi="Times New Roman" w:cs="Times New Roman"/>
          <w:color w:val="000000" w:themeColor="text1"/>
          <w:sz w:val="24"/>
          <w:szCs w:val="24"/>
          <w:lang w:val="en-AU"/>
        </w:rPr>
        <w:t>that may justify consideration of regulatory intervention to address them.</w:t>
      </w:r>
    </w:p>
    <w:p w:rsidR="00335E19" w:rsidRDefault="004454E9" w:rsidP="004454E9">
      <w:pPr>
        <w:jc w:val="both"/>
        <w:rPr>
          <w:rFonts w:ascii="Times New Roman" w:hAnsi="Times New Roman" w:cs="Times New Roman"/>
          <w:sz w:val="24"/>
        </w:rPr>
      </w:pPr>
      <w:r w:rsidRPr="007217E6">
        <w:rPr>
          <w:rFonts w:ascii="Times New Roman" w:hAnsi="Times New Roman" w:cs="Times New Roman"/>
          <w:sz w:val="24"/>
        </w:rPr>
        <w:t xml:space="preserve">The problem in the telecommunications sector is </w:t>
      </w:r>
      <w:r>
        <w:rPr>
          <w:rFonts w:ascii="Times New Roman" w:hAnsi="Times New Roman" w:cs="Times New Roman"/>
          <w:sz w:val="24"/>
        </w:rPr>
        <w:t xml:space="preserve">that </w:t>
      </w:r>
      <w:r w:rsidRPr="007217E6">
        <w:rPr>
          <w:rFonts w:ascii="Times New Roman" w:hAnsi="Times New Roman" w:cs="Times New Roman"/>
          <w:sz w:val="24"/>
        </w:rPr>
        <w:t>an abundance of market failures</w:t>
      </w:r>
      <w:r>
        <w:rPr>
          <w:rFonts w:ascii="Times New Roman" w:hAnsi="Times New Roman" w:cs="Times New Roman"/>
          <w:sz w:val="24"/>
        </w:rPr>
        <w:t xml:space="preserve"> exist</w:t>
      </w:r>
      <w:r w:rsidRPr="007217E6">
        <w:rPr>
          <w:rFonts w:ascii="Times New Roman" w:hAnsi="Times New Roman" w:cs="Times New Roman"/>
          <w:sz w:val="24"/>
        </w:rPr>
        <w:t xml:space="preserve"> which provide a strong rationale for regulatory intervention. </w:t>
      </w:r>
      <w:r>
        <w:rPr>
          <w:rFonts w:ascii="Times New Roman" w:hAnsi="Times New Roman" w:cs="Times New Roman"/>
          <w:sz w:val="24"/>
        </w:rPr>
        <w:t xml:space="preserve">Market failure arises when the free market does not deliver efficient allocation of goods and resources. </w:t>
      </w:r>
    </w:p>
    <w:p w:rsidR="00303ECE" w:rsidRPr="004454E9" w:rsidRDefault="007F0558" w:rsidP="004454E9">
      <w:pPr>
        <w:jc w:val="both"/>
        <w:rPr>
          <w:rFonts w:ascii="Times New Roman" w:hAnsi="Times New Roman" w:cs="Times New Roman"/>
          <w:sz w:val="24"/>
        </w:rPr>
      </w:pPr>
      <w:r>
        <w:rPr>
          <w:rFonts w:ascii="Times New Roman" w:hAnsi="Times New Roman" w:cs="Times New Roman"/>
          <w:color w:val="000000" w:themeColor="text1"/>
          <w:sz w:val="24"/>
          <w:szCs w:val="24"/>
          <w:lang w:val="en-AU"/>
        </w:rPr>
        <w:lastRenderedPageBreak/>
        <w:t xml:space="preserve">In this instance, the problems that are relevant to the assessment of the </w:t>
      </w:r>
      <w:r w:rsidR="00F46A19">
        <w:rPr>
          <w:rFonts w:ascii="Times New Roman" w:hAnsi="Times New Roman" w:cs="Times New Roman"/>
          <w:color w:val="000000" w:themeColor="text1"/>
          <w:sz w:val="24"/>
          <w:szCs w:val="24"/>
          <w:lang w:val="en-AU"/>
        </w:rPr>
        <w:t>Bill</w:t>
      </w:r>
      <w:r>
        <w:rPr>
          <w:rFonts w:ascii="Times New Roman" w:hAnsi="Times New Roman" w:cs="Times New Roman"/>
          <w:color w:val="000000" w:themeColor="text1"/>
          <w:sz w:val="24"/>
          <w:szCs w:val="24"/>
          <w:lang w:val="en-AU"/>
        </w:rPr>
        <w:t xml:space="preserve"> are:</w:t>
      </w:r>
    </w:p>
    <w:p w:rsidR="00E96A8D" w:rsidRDefault="007F0558" w:rsidP="00116291">
      <w:pPr>
        <w:pStyle w:val="ListParagraph"/>
        <w:numPr>
          <w:ilvl w:val="0"/>
          <w:numId w:val="10"/>
        </w:numPr>
        <w:spacing w:line="276" w:lineRule="auto"/>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the potentially significant distortions associated with information asymmetries that exist within the identified markets </w:t>
      </w:r>
      <w:r w:rsidRPr="007F0558">
        <w:rPr>
          <w:rFonts w:ascii="Times New Roman" w:hAnsi="Times New Roman" w:cs="Times New Roman"/>
        </w:rPr>
        <w:t>(</w:t>
      </w:r>
      <w:proofErr w:type="spellStart"/>
      <w:r w:rsidRPr="007F0558">
        <w:rPr>
          <w:rFonts w:ascii="Times New Roman" w:hAnsi="Times New Roman" w:cs="Times New Roman"/>
        </w:rPr>
        <w:t>Akerlof</w:t>
      </w:r>
      <w:proofErr w:type="spellEnd"/>
      <w:r w:rsidRPr="007F0558">
        <w:rPr>
          <w:rFonts w:ascii="Times New Roman" w:hAnsi="Times New Roman" w:cs="Times New Roman"/>
        </w:rPr>
        <w:t xml:space="preserve"> 1970)</w:t>
      </w:r>
      <w:r>
        <w:rPr>
          <w:rFonts w:ascii="Times New Roman" w:hAnsi="Times New Roman" w:cs="Times New Roman"/>
          <w:color w:val="000000" w:themeColor="text1"/>
          <w:szCs w:val="24"/>
        </w:rPr>
        <w:t>;</w:t>
      </w:r>
    </w:p>
    <w:p w:rsidR="007F0558" w:rsidRDefault="007F0558" w:rsidP="00116291">
      <w:pPr>
        <w:pStyle w:val="ListParagraph"/>
        <w:numPr>
          <w:ilvl w:val="0"/>
          <w:numId w:val="10"/>
        </w:numPr>
        <w:spacing w:line="276" w:lineRule="auto"/>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the existence of potentially material transaction costs </w:t>
      </w:r>
      <w:r w:rsidRPr="009B42DF">
        <w:rPr>
          <w:rFonts w:ascii="Times New Roman" w:hAnsi="Times New Roman" w:cs="Times New Roman"/>
        </w:rPr>
        <w:t>(Coase 1937)</w:t>
      </w:r>
      <w:r>
        <w:rPr>
          <w:rFonts w:ascii="Times New Roman" w:hAnsi="Times New Roman" w:cs="Times New Roman"/>
          <w:color w:val="000000" w:themeColor="text1"/>
          <w:szCs w:val="24"/>
        </w:rPr>
        <w:t>, that may be impeding the efficient operation of the market;</w:t>
      </w:r>
    </w:p>
    <w:p w:rsidR="007F0558" w:rsidRDefault="007F0558" w:rsidP="00116291">
      <w:pPr>
        <w:pStyle w:val="ListParagraph"/>
        <w:numPr>
          <w:ilvl w:val="0"/>
          <w:numId w:val="10"/>
        </w:numPr>
        <w:spacing w:line="276" w:lineRule="auto"/>
        <w:rPr>
          <w:rFonts w:ascii="Times New Roman" w:hAnsi="Times New Roman" w:cs="Times New Roman"/>
          <w:color w:val="000000" w:themeColor="text1"/>
          <w:szCs w:val="24"/>
        </w:rPr>
      </w:pPr>
      <w:proofErr w:type="gramStart"/>
      <w:r>
        <w:rPr>
          <w:rFonts w:ascii="Times New Roman" w:hAnsi="Times New Roman" w:cs="Times New Roman"/>
          <w:color w:val="000000" w:themeColor="text1"/>
          <w:szCs w:val="24"/>
        </w:rPr>
        <w:t>the</w:t>
      </w:r>
      <w:proofErr w:type="gramEnd"/>
      <w:r>
        <w:rPr>
          <w:rFonts w:ascii="Times New Roman" w:hAnsi="Times New Roman" w:cs="Times New Roman"/>
          <w:color w:val="000000" w:themeColor="text1"/>
          <w:szCs w:val="24"/>
        </w:rPr>
        <w:t xml:space="preserve"> extent to which incumbent operators may be able to avoid competitive pressures by exercising market power and increasing switching costs for consumers.</w:t>
      </w:r>
    </w:p>
    <w:p w:rsidR="00101782" w:rsidRDefault="007F0558" w:rsidP="00116291">
      <w:pPr>
        <w:pStyle w:val="ListParagraph"/>
        <w:numPr>
          <w:ilvl w:val="0"/>
          <w:numId w:val="10"/>
        </w:numPr>
        <w:spacing w:line="276" w:lineRule="auto"/>
        <w:rPr>
          <w:rFonts w:ascii="Times New Roman" w:hAnsi="Times New Roman" w:cs="Times New Roman"/>
          <w:color w:val="000000" w:themeColor="text1"/>
          <w:szCs w:val="24"/>
        </w:rPr>
      </w:pPr>
      <w:proofErr w:type="gramStart"/>
      <w:r>
        <w:rPr>
          <w:rFonts w:ascii="Times New Roman" w:hAnsi="Times New Roman" w:cs="Times New Roman"/>
          <w:color w:val="000000" w:themeColor="text1"/>
          <w:szCs w:val="24"/>
        </w:rPr>
        <w:t>the</w:t>
      </w:r>
      <w:proofErr w:type="gramEnd"/>
      <w:r>
        <w:rPr>
          <w:rFonts w:ascii="Times New Roman" w:hAnsi="Times New Roman" w:cs="Times New Roman"/>
          <w:color w:val="000000" w:themeColor="text1"/>
          <w:szCs w:val="24"/>
        </w:rPr>
        <w:t xml:space="preserve"> risks associated with the use of lower quality information proxies, as a substitute for direct customer information.</w:t>
      </w:r>
    </w:p>
    <w:p w:rsidR="004454E9" w:rsidRPr="004454E9" w:rsidRDefault="004454E9" w:rsidP="00335E19">
      <w:pPr>
        <w:rPr>
          <w:rFonts w:ascii="Arial" w:eastAsia="Arial Unicode MS" w:hAnsi="Arial" w:cs="Arial"/>
          <w:sz w:val="28"/>
          <w:lang w:val="en-IE" w:eastAsia="en-AU" w:bidi="hi-IN"/>
        </w:rPr>
      </w:pPr>
      <w:r>
        <w:rPr>
          <w:rFonts w:ascii="Arial" w:eastAsia="Arial Unicode MS" w:hAnsi="Arial" w:cs="Arial"/>
          <w:sz w:val="28"/>
          <w:lang w:val="en-IE" w:eastAsia="en-AU" w:bidi="hi-IN"/>
        </w:rPr>
        <w:t xml:space="preserve">Information asymmetries </w:t>
      </w:r>
    </w:p>
    <w:p w:rsidR="004454E9" w:rsidRDefault="004454E9" w:rsidP="00335E19">
      <w:pPr>
        <w:jc w:val="both"/>
        <w:rPr>
          <w:rFonts w:ascii="Times New Roman" w:hAnsi="Times New Roman" w:cs="Times New Roman"/>
          <w:sz w:val="24"/>
        </w:rPr>
      </w:pPr>
      <w:r w:rsidRPr="007217E6">
        <w:rPr>
          <w:rFonts w:ascii="Times New Roman" w:hAnsi="Times New Roman" w:cs="Times New Roman"/>
          <w:sz w:val="24"/>
        </w:rPr>
        <w:t xml:space="preserve">The telecommunications marketplace is </w:t>
      </w:r>
      <w:r w:rsidR="00B31249" w:rsidRPr="007217E6">
        <w:rPr>
          <w:rFonts w:ascii="Times New Roman" w:hAnsi="Times New Roman" w:cs="Times New Roman"/>
          <w:sz w:val="24"/>
        </w:rPr>
        <w:t>characteri</w:t>
      </w:r>
      <w:r w:rsidR="00B31249">
        <w:rPr>
          <w:rFonts w:ascii="Times New Roman" w:hAnsi="Times New Roman" w:cs="Times New Roman"/>
          <w:sz w:val="24"/>
        </w:rPr>
        <w:t>z</w:t>
      </w:r>
      <w:r w:rsidR="00B31249" w:rsidRPr="007217E6">
        <w:rPr>
          <w:rFonts w:ascii="Times New Roman" w:hAnsi="Times New Roman" w:cs="Times New Roman"/>
          <w:sz w:val="24"/>
        </w:rPr>
        <w:t>ed</w:t>
      </w:r>
      <w:r w:rsidRPr="007217E6">
        <w:rPr>
          <w:rFonts w:ascii="Times New Roman" w:hAnsi="Times New Roman" w:cs="Times New Roman"/>
          <w:sz w:val="24"/>
        </w:rPr>
        <w:t xml:space="preserve"> by a number of information asymmetries between consumers and service providers. These asymmetries stem in part from the incentives that service providers have to raise the complexity or cost of information in areas such as contracting as well as the genuinely higher information costs for consumers that arise due to the technical complexity associated with providing services. The existence of information asymmetries in the telecommunications and digital sphere are well documented in both Australia and internationally</w:t>
      </w:r>
      <w:r>
        <w:rPr>
          <w:rFonts w:ascii="Times New Roman" w:hAnsi="Times New Roman" w:cs="Times New Roman"/>
          <w:sz w:val="24"/>
        </w:rPr>
        <w:t xml:space="preserve"> </w:t>
      </w:r>
      <w:r w:rsidRPr="004454E9">
        <w:rPr>
          <w:rFonts w:ascii="Times New Roman" w:hAnsi="Times New Roman" w:cs="Times New Roman"/>
          <w:sz w:val="24"/>
        </w:rPr>
        <w:t>(OECD 2018)</w:t>
      </w:r>
      <w:r w:rsidRPr="007217E6">
        <w:rPr>
          <w:rFonts w:ascii="Times New Roman" w:hAnsi="Times New Roman" w:cs="Times New Roman"/>
          <w:sz w:val="24"/>
        </w:rPr>
        <w:t>.</w:t>
      </w:r>
    </w:p>
    <w:p w:rsidR="004454E9" w:rsidRDefault="004454E9" w:rsidP="00335E19">
      <w:pPr>
        <w:rPr>
          <w:rFonts w:ascii="Arial" w:eastAsia="Arial Unicode MS" w:hAnsi="Arial" w:cs="Arial"/>
          <w:sz w:val="28"/>
          <w:lang w:val="en-IE" w:eastAsia="en-AU" w:bidi="hi-IN"/>
        </w:rPr>
      </w:pPr>
      <w:r>
        <w:rPr>
          <w:rFonts w:ascii="Arial" w:eastAsia="Arial Unicode MS" w:hAnsi="Arial" w:cs="Arial"/>
          <w:sz w:val="28"/>
          <w:lang w:val="en-IE" w:eastAsia="en-AU" w:bidi="hi-IN"/>
        </w:rPr>
        <w:t>Transaction costs</w:t>
      </w:r>
    </w:p>
    <w:p w:rsidR="004454E9" w:rsidRDefault="00232EF3" w:rsidP="00335E19">
      <w:pPr>
        <w:rPr>
          <w:rFonts w:ascii="Times New Roman" w:eastAsia="Arial Unicode MS" w:hAnsi="Times New Roman" w:cs="Times New Roman"/>
          <w:sz w:val="24"/>
          <w:lang w:val="en-IE" w:eastAsia="en-AU" w:bidi="hi-IN"/>
        </w:rPr>
      </w:pPr>
      <w:r>
        <w:rPr>
          <w:rFonts w:ascii="Times New Roman" w:eastAsia="Arial Unicode MS" w:hAnsi="Times New Roman" w:cs="Times New Roman"/>
          <w:sz w:val="24"/>
          <w:lang w:val="en-IE" w:eastAsia="en-AU" w:bidi="hi-IN"/>
        </w:rPr>
        <w:t xml:space="preserve">Transaction costs refer to the costs entailed in using the market, and may include a variety of costs including those associated with information, formation and enforcement of a contractual agreement </w:t>
      </w:r>
      <w:r w:rsidRPr="00232EF3">
        <w:rPr>
          <w:rFonts w:ascii="Times New Roman" w:hAnsi="Times New Roman" w:cs="Times New Roman"/>
          <w:sz w:val="24"/>
        </w:rPr>
        <w:t>(Coase 1937</w:t>
      </w:r>
      <w:r w:rsidRPr="00840306">
        <w:rPr>
          <w:rFonts w:ascii="Times New Roman" w:hAnsi="Times New Roman" w:cs="Times New Roman"/>
          <w:sz w:val="24"/>
        </w:rPr>
        <w:t>)</w:t>
      </w:r>
      <w:r w:rsidRPr="00840306">
        <w:rPr>
          <w:rFonts w:ascii="Times New Roman" w:eastAsia="Arial Unicode MS" w:hAnsi="Times New Roman" w:cs="Times New Roman"/>
          <w:sz w:val="24"/>
          <w:lang w:val="en-IE" w:eastAsia="en-AU" w:bidi="hi-IN"/>
        </w:rPr>
        <w:t xml:space="preserve">. Transactions costs are considerably broader than ‘ink </w:t>
      </w:r>
      <w:r w:rsidR="002D1D18" w:rsidRPr="00840306">
        <w:rPr>
          <w:rFonts w:ascii="Times New Roman" w:eastAsia="Arial Unicode MS" w:hAnsi="Times New Roman" w:cs="Times New Roman"/>
          <w:sz w:val="24"/>
          <w:lang w:val="en-IE" w:eastAsia="en-AU" w:bidi="hi-IN"/>
        </w:rPr>
        <w:t xml:space="preserve">costs’ </w:t>
      </w:r>
      <w:r w:rsidR="002D1D18">
        <w:rPr>
          <w:rFonts w:ascii="Times New Roman" w:eastAsia="Arial Unicode MS" w:hAnsi="Times New Roman" w:cs="Times New Roman"/>
          <w:sz w:val="24"/>
          <w:lang w:val="en-IE" w:eastAsia="en-AU" w:bidi="hi-IN"/>
        </w:rPr>
        <w:t>-</w:t>
      </w:r>
      <w:r w:rsidR="0089787C">
        <w:rPr>
          <w:rFonts w:ascii="Times New Roman" w:eastAsia="Arial Unicode MS" w:hAnsi="Times New Roman" w:cs="Times New Roman"/>
          <w:sz w:val="24"/>
          <w:lang w:val="en-IE" w:eastAsia="en-AU" w:bidi="hi-IN"/>
        </w:rPr>
        <w:t xml:space="preserve"> </w:t>
      </w:r>
      <w:r w:rsidR="00840306" w:rsidRPr="00840306">
        <w:rPr>
          <w:rFonts w:ascii="Times New Roman" w:eastAsia="Arial Unicode MS" w:hAnsi="Times New Roman" w:cs="Times New Roman"/>
          <w:sz w:val="24"/>
          <w:lang w:val="en-IE" w:eastAsia="en-AU" w:bidi="hi-IN"/>
        </w:rPr>
        <w:t xml:space="preserve">the cost of drafting contracts </w:t>
      </w:r>
      <w:r w:rsidR="00840306">
        <w:rPr>
          <w:rFonts w:ascii="Times New Roman" w:eastAsia="Arial Unicode MS" w:hAnsi="Times New Roman" w:cs="Times New Roman"/>
          <w:sz w:val="24"/>
          <w:lang w:val="en-IE" w:eastAsia="en-AU" w:bidi="hi-IN"/>
        </w:rPr>
        <w:t xml:space="preserve">- </w:t>
      </w:r>
      <w:r w:rsidRPr="00840306">
        <w:rPr>
          <w:rFonts w:ascii="Times New Roman" w:eastAsia="Arial Unicode MS" w:hAnsi="Times New Roman" w:cs="Times New Roman"/>
          <w:sz w:val="24"/>
          <w:lang w:val="en-IE" w:eastAsia="en-AU" w:bidi="hi-IN"/>
        </w:rPr>
        <w:t>and can be a barrier to the efficient operation of markets.</w:t>
      </w:r>
    </w:p>
    <w:p w:rsidR="00480D20" w:rsidRPr="004454E9" w:rsidRDefault="00232EF3" w:rsidP="00335E19">
      <w:pPr>
        <w:jc w:val="both"/>
        <w:rPr>
          <w:rFonts w:ascii="Times New Roman" w:eastAsia="Arial Unicode MS" w:hAnsi="Times New Roman" w:cs="Times New Roman"/>
          <w:sz w:val="24"/>
          <w:lang w:val="en-IE" w:eastAsia="en-AU" w:bidi="hi-IN"/>
        </w:rPr>
      </w:pPr>
      <w:r>
        <w:rPr>
          <w:rFonts w:ascii="Times New Roman" w:eastAsia="Arial Unicode MS" w:hAnsi="Times New Roman" w:cs="Times New Roman"/>
          <w:sz w:val="24"/>
          <w:lang w:val="en-IE" w:eastAsia="en-AU" w:bidi="hi-IN"/>
        </w:rPr>
        <w:t>The existence of transaction costs may provide incentives for consumers to remain with existing service providers, despite facing detriment through higher prices or worse services. For consumers and markets the existence of significant transaction costs may result in poor outcomes, and consequently measures to reduce transaction costs should promote consumer welfare.</w:t>
      </w:r>
    </w:p>
    <w:p w:rsidR="004454E9" w:rsidRDefault="004454E9" w:rsidP="00335E19">
      <w:pPr>
        <w:rPr>
          <w:rFonts w:ascii="Arial" w:eastAsia="Arial Unicode MS" w:hAnsi="Arial" w:cs="Arial"/>
          <w:sz w:val="28"/>
          <w:lang w:val="en-IE" w:eastAsia="en-AU" w:bidi="hi-IN"/>
        </w:rPr>
      </w:pPr>
      <w:r>
        <w:rPr>
          <w:rFonts w:ascii="Arial" w:eastAsia="Arial Unicode MS" w:hAnsi="Arial" w:cs="Arial"/>
          <w:sz w:val="28"/>
          <w:lang w:val="en-IE" w:eastAsia="en-AU" w:bidi="hi-IN"/>
        </w:rPr>
        <w:t>Market power and competition</w:t>
      </w:r>
    </w:p>
    <w:p w:rsidR="004454E9" w:rsidRDefault="004454E9" w:rsidP="00335E19">
      <w:pPr>
        <w:jc w:val="both"/>
        <w:rPr>
          <w:rFonts w:ascii="Times New Roman" w:hAnsi="Times New Roman" w:cs="Times New Roman"/>
          <w:sz w:val="24"/>
          <w:szCs w:val="24"/>
        </w:rPr>
      </w:pPr>
      <w:r w:rsidRPr="00E06A1A">
        <w:rPr>
          <w:rFonts w:ascii="Times New Roman" w:hAnsi="Times New Roman" w:cs="Times New Roman"/>
          <w:sz w:val="24"/>
          <w:szCs w:val="24"/>
        </w:rPr>
        <w:t xml:space="preserve">Australia has a highly concentrated communications market with three entities accounting for almost 100% of the market </w:t>
      </w:r>
      <w:r w:rsidRPr="00E06A1A">
        <w:rPr>
          <w:rFonts w:ascii="Times New Roman" w:eastAsia="Arial Unicode MS" w:hAnsi="Times New Roman" w:cs="Times New Roman"/>
          <w:noProof/>
          <w:sz w:val="24"/>
          <w:szCs w:val="24"/>
          <w:lang w:val="en-IE" w:bidi="hi-IN"/>
        </w:rPr>
        <w:t>(Grattan Institute 2017)</w:t>
      </w:r>
      <w:r w:rsidRPr="00E06A1A">
        <w:rPr>
          <w:rFonts w:ascii="Times New Roman" w:hAnsi="Times New Roman" w:cs="Times New Roman"/>
          <w:sz w:val="24"/>
          <w:szCs w:val="24"/>
        </w:rPr>
        <w:t xml:space="preserve">. Although concentration is but one of many indicators relevant in assessing the potential for anti-competitive activity, it is accepted </w:t>
      </w:r>
      <w:r w:rsidR="006B1F2C" w:rsidRPr="00E06A1A">
        <w:rPr>
          <w:rFonts w:ascii="Times New Roman" w:hAnsi="Times New Roman" w:cs="Times New Roman"/>
          <w:sz w:val="24"/>
          <w:szCs w:val="24"/>
        </w:rPr>
        <w:t xml:space="preserve">that </w:t>
      </w:r>
      <w:r w:rsidRPr="00E06A1A">
        <w:rPr>
          <w:rFonts w:ascii="Times New Roman" w:hAnsi="Times New Roman" w:cs="Times New Roman"/>
          <w:sz w:val="24"/>
          <w:szCs w:val="24"/>
        </w:rPr>
        <w:t>the level of concentration in the Australian communications market is well in excess of those observed in competitive markets that work well (ACCC 2018a).</w:t>
      </w:r>
    </w:p>
    <w:p w:rsidR="003F6545" w:rsidRDefault="003F6545" w:rsidP="00335E19">
      <w:pPr>
        <w:jc w:val="both"/>
        <w:rPr>
          <w:rFonts w:ascii="Times New Roman" w:hAnsi="Times New Roman" w:cs="Times New Roman"/>
          <w:sz w:val="24"/>
          <w:szCs w:val="24"/>
        </w:rPr>
      </w:pPr>
    </w:p>
    <w:p w:rsidR="003F6545" w:rsidRPr="00E06A1A" w:rsidRDefault="003F6545" w:rsidP="00335E19">
      <w:pPr>
        <w:jc w:val="both"/>
        <w:rPr>
          <w:rFonts w:ascii="Times New Roman" w:eastAsia="Arial Unicode MS" w:hAnsi="Times New Roman" w:cs="Times New Roman"/>
          <w:sz w:val="24"/>
          <w:szCs w:val="24"/>
          <w:lang w:val="en-IE" w:bidi="hi-IN"/>
        </w:rPr>
      </w:pPr>
    </w:p>
    <w:p w:rsidR="004454E9" w:rsidRPr="00E06A1A" w:rsidRDefault="004454E9" w:rsidP="00335E19">
      <w:pPr>
        <w:rPr>
          <w:rFonts w:ascii="Times New Roman" w:hAnsi="Times New Roman" w:cs="Times New Roman"/>
          <w:color w:val="000000" w:themeColor="text1"/>
          <w:sz w:val="24"/>
          <w:szCs w:val="24"/>
        </w:rPr>
      </w:pPr>
      <w:r w:rsidRPr="00E06A1A">
        <w:rPr>
          <w:rFonts w:ascii="Times New Roman" w:hAnsi="Times New Roman" w:cs="Times New Roman"/>
          <w:color w:val="000000" w:themeColor="text1"/>
          <w:sz w:val="24"/>
          <w:szCs w:val="24"/>
        </w:rPr>
        <w:lastRenderedPageBreak/>
        <w:t>The way in which concentration affects market functioning and consumer outcomes is best described by Professor Stephen King:</w:t>
      </w:r>
    </w:p>
    <w:p w:rsidR="004454E9" w:rsidRPr="00E06A1A" w:rsidRDefault="004454E9" w:rsidP="004454E9">
      <w:pPr>
        <w:ind w:left="720"/>
        <w:jc w:val="both"/>
        <w:rPr>
          <w:rFonts w:ascii="Times New Roman" w:hAnsi="Times New Roman" w:cs="Times New Roman"/>
          <w:color w:val="000000" w:themeColor="text1"/>
          <w:sz w:val="24"/>
          <w:szCs w:val="24"/>
        </w:rPr>
      </w:pPr>
      <w:r w:rsidRPr="00E06A1A">
        <w:rPr>
          <w:rFonts w:ascii="Times New Roman" w:hAnsi="Times New Roman" w:cs="Times New Roman"/>
          <w:color w:val="000000" w:themeColor="text1"/>
          <w:sz w:val="24"/>
          <w:szCs w:val="24"/>
        </w:rPr>
        <w:t xml:space="preserve">Market shares and concentration interact with competition through the structure of the market. All other things being equal, increased concentration due to an increase in the market share of a single firm will tend to increase that firm’s ability to raise its profits by raising its own prices, lowering its service levels or otherwise engaging in less competitive activity.  </w:t>
      </w:r>
      <w:r w:rsidRPr="00E06A1A">
        <w:rPr>
          <w:rFonts w:ascii="Times New Roman" w:hAnsi="Times New Roman" w:cs="Times New Roman"/>
          <w:color w:val="000000" w:themeColor="text1"/>
          <w:sz w:val="24"/>
          <w:szCs w:val="24"/>
        </w:rPr>
        <w:tab/>
      </w:r>
      <w:r w:rsidRPr="00E06A1A">
        <w:rPr>
          <w:rFonts w:ascii="Times New Roman" w:hAnsi="Times New Roman" w:cs="Times New Roman"/>
          <w:color w:val="000000" w:themeColor="text1"/>
          <w:sz w:val="24"/>
          <w:szCs w:val="24"/>
        </w:rPr>
        <w:tab/>
      </w:r>
    </w:p>
    <w:p w:rsidR="00E82DEE" w:rsidRPr="00E06A1A" w:rsidRDefault="004454E9" w:rsidP="00480D20">
      <w:pPr>
        <w:jc w:val="right"/>
        <w:rPr>
          <w:rFonts w:ascii="Times New Roman" w:eastAsia="Arial Unicode MS" w:hAnsi="Times New Roman" w:cs="Times New Roman"/>
          <w:color w:val="FF0000"/>
          <w:sz w:val="24"/>
          <w:szCs w:val="24"/>
          <w:lang w:val="en-IE" w:bidi="hi-IN"/>
        </w:rPr>
      </w:pPr>
      <w:r w:rsidRPr="00E06A1A">
        <w:rPr>
          <w:rFonts w:ascii="Times New Roman" w:hAnsi="Times New Roman" w:cs="Times New Roman"/>
          <w:color w:val="000000" w:themeColor="text1"/>
          <w:sz w:val="24"/>
          <w:szCs w:val="24"/>
        </w:rPr>
        <w:tab/>
      </w:r>
      <w:r w:rsidRPr="00E06A1A">
        <w:rPr>
          <w:rFonts w:ascii="Times New Roman" w:hAnsi="Times New Roman" w:cs="Times New Roman"/>
          <w:color w:val="000000" w:themeColor="text1"/>
          <w:sz w:val="24"/>
          <w:szCs w:val="24"/>
        </w:rPr>
        <w:tab/>
      </w:r>
      <w:r w:rsidRPr="00E06A1A">
        <w:rPr>
          <w:rFonts w:ascii="Times New Roman" w:hAnsi="Times New Roman" w:cs="Times New Roman"/>
          <w:color w:val="000000" w:themeColor="text1"/>
          <w:sz w:val="24"/>
          <w:szCs w:val="24"/>
        </w:rPr>
        <w:tab/>
      </w:r>
      <w:r w:rsidRPr="00E06A1A">
        <w:rPr>
          <w:rFonts w:ascii="Times New Roman" w:hAnsi="Times New Roman" w:cs="Times New Roman"/>
          <w:color w:val="000000" w:themeColor="text1"/>
          <w:sz w:val="24"/>
          <w:szCs w:val="24"/>
        </w:rPr>
        <w:tab/>
      </w:r>
      <w:r w:rsidRPr="00E06A1A">
        <w:rPr>
          <w:rFonts w:ascii="Times New Roman" w:hAnsi="Times New Roman" w:cs="Times New Roman"/>
          <w:color w:val="000000" w:themeColor="text1"/>
          <w:sz w:val="24"/>
          <w:szCs w:val="24"/>
        </w:rPr>
        <w:tab/>
      </w:r>
      <w:r w:rsidRPr="00E06A1A">
        <w:rPr>
          <w:rFonts w:ascii="Times New Roman" w:hAnsi="Times New Roman" w:cs="Times New Roman"/>
          <w:color w:val="000000" w:themeColor="text1"/>
          <w:sz w:val="24"/>
          <w:szCs w:val="24"/>
        </w:rPr>
        <w:tab/>
      </w:r>
      <w:r w:rsidRPr="00E06A1A">
        <w:rPr>
          <w:rFonts w:ascii="Times New Roman" w:hAnsi="Times New Roman" w:cs="Times New Roman"/>
          <w:color w:val="000000" w:themeColor="text1"/>
          <w:sz w:val="24"/>
          <w:szCs w:val="24"/>
        </w:rPr>
        <w:tab/>
      </w:r>
      <w:r w:rsidRPr="00E06A1A">
        <w:rPr>
          <w:rFonts w:ascii="Times New Roman" w:hAnsi="Times New Roman" w:cs="Times New Roman"/>
          <w:color w:val="000000" w:themeColor="text1"/>
          <w:sz w:val="24"/>
          <w:szCs w:val="24"/>
        </w:rPr>
        <w:tab/>
      </w:r>
      <w:r w:rsidRPr="00E06A1A">
        <w:rPr>
          <w:rFonts w:ascii="Times New Roman" w:hAnsi="Times New Roman" w:cs="Times New Roman"/>
          <w:color w:val="FF0000"/>
          <w:sz w:val="24"/>
          <w:szCs w:val="24"/>
        </w:rPr>
        <w:t xml:space="preserve">  </w:t>
      </w:r>
      <w:r w:rsidRPr="00E06A1A">
        <w:rPr>
          <w:rFonts w:ascii="Times New Roman" w:hAnsi="Times New Roman" w:cs="Times New Roman"/>
          <w:sz w:val="24"/>
          <w:szCs w:val="24"/>
        </w:rPr>
        <w:t>(King 2009, p. 265)</w:t>
      </w:r>
    </w:p>
    <w:p w:rsidR="004454E9" w:rsidRDefault="004454E9" w:rsidP="004454E9">
      <w:pPr>
        <w:jc w:val="both"/>
        <w:rPr>
          <w:rFonts w:ascii="Times New Roman" w:eastAsia="Arial Unicode MS" w:hAnsi="Times New Roman" w:cs="Times New Roman"/>
          <w:color w:val="000000" w:themeColor="text1"/>
          <w:sz w:val="24"/>
          <w:szCs w:val="24"/>
          <w:lang w:val="en-IE" w:bidi="hi-IN"/>
        </w:rPr>
      </w:pPr>
      <w:r w:rsidRPr="00E06A1A">
        <w:rPr>
          <w:rFonts w:ascii="Times New Roman" w:hAnsi="Times New Roman" w:cs="Times New Roman"/>
          <w:color w:val="000000" w:themeColor="text1"/>
          <w:sz w:val="24"/>
          <w:szCs w:val="24"/>
        </w:rPr>
        <w:t>The lack of competitive pressure associated with this market structure has been identified as a potential driver of excess prices for</w:t>
      </w:r>
      <w:r w:rsidR="00D57947">
        <w:rPr>
          <w:rFonts w:ascii="Times New Roman" w:hAnsi="Times New Roman" w:cs="Times New Roman"/>
          <w:color w:val="000000" w:themeColor="text1"/>
          <w:sz w:val="24"/>
          <w:szCs w:val="24"/>
        </w:rPr>
        <w:t xml:space="preserve"> telecommunications</w:t>
      </w:r>
      <w:r w:rsidRPr="00E06A1A">
        <w:rPr>
          <w:rFonts w:ascii="Times New Roman" w:hAnsi="Times New Roman" w:cs="Times New Roman"/>
          <w:color w:val="000000" w:themeColor="text1"/>
          <w:sz w:val="24"/>
          <w:szCs w:val="24"/>
        </w:rPr>
        <w:t xml:space="preserve"> data and voice services and led to ‘extraordinarily high’ returns being achieved (Grattan 2017, p. 31). A lack of competition has also been reflected in poor service quality outcomes and a high incidence of complaints from consumers who have faced poorer outcomes than could be reasonably expected in a competitive market (ACMA 2018; TIO 2018)</w:t>
      </w:r>
      <w:r w:rsidRPr="00E06A1A">
        <w:rPr>
          <w:rFonts w:ascii="Times New Roman" w:eastAsia="Arial Unicode MS" w:hAnsi="Times New Roman" w:cs="Times New Roman"/>
          <w:color w:val="000000" w:themeColor="text1"/>
          <w:sz w:val="24"/>
          <w:szCs w:val="24"/>
          <w:lang w:val="en-IE" w:bidi="hi-IN"/>
        </w:rPr>
        <w:t>.</w:t>
      </w:r>
    </w:p>
    <w:p w:rsidR="004454E9" w:rsidRPr="00B31249" w:rsidRDefault="004454E9" w:rsidP="00232EF3">
      <w:pPr>
        <w:jc w:val="both"/>
        <w:rPr>
          <w:rFonts w:ascii="Times New Roman" w:eastAsia="Arial Unicode MS" w:hAnsi="Times New Roman" w:cs="Times New Roman"/>
          <w:sz w:val="24"/>
          <w:szCs w:val="24"/>
          <w:lang w:val="en-IE" w:bidi="hi-IN"/>
        </w:rPr>
      </w:pPr>
      <w:r w:rsidRPr="0071770B">
        <w:rPr>
          <w:rFonts w:ascii="Times New Roman" w:eastAsia="Arial Unicode MS" w:hAnsi="Times New Roman" w:cs="Times New Roman"/>
          <w:sz w:val="24"/>
          <w:szCs w:val="24"/>
          <w:lang w:val="en-IE" w:bidi="hi-IN"/>
        </w:rPr>
        <w:t>The concentration of the communications sector results in individual firms having significant market power, and the ability to potentially set prices in excess of competitive levels. The</w:t>
      </w:r>
      <w:r w:rsidR="0071770B">
        <w:rPr>
          <w:rFonts w:ascii="Times New Roman" w:eastAsia="Arial Unicode MS" w:hAnsi="Times New Roman" w:cs="Times New Roman"/>
          <w:sz w:val="24"/>
          <w:szCs w:val="24"/>
          <w:lang w:val="en-IE" w:bidi="hi-IN"/>
        </w:rPr>
        <w:t xml:space="preserve"> markets identified for initial rollout of the consumer data right are characterised by high levels of concentration and comparatively low levels of competition. As a consequence the benefits of reforming these sector</w:t>
      </w:r>
      <w:r w:rsidR="006B1F2C">
        <w:rPr>
          <w:rFonts w:ascii="Times New Roman" w:eastAsia="Arial Unicode MS" w:hAnsi="Times New Roman" w:cs="Times New Roman"/>
          <w:sz w:val="24"/>
          <w:szCs w:val="24"/>
          <w:lang w:val="en-IE" w:bidi="hi-IN"/>
        </w:rPr>
        <w:t>s</w:t>
      </w:r>
      <w:r w:rsidR="0071770B">
        <w:rPr>
          <w:rFonts w:ascii="Times New Roman" w:eastAsia="Arial Unicode MS" w:hAnsi="Times New Roman" w:cs="Times New Roman"/>
          <w:sz w:val="24"/>
          <w:szCs w:val="24"/>
          <w:lang w:val="en-IE" w:bidi="hi-IN"/>
        </w:rPr>
        <w:t xml:space="preserve"> may be material, but inversely the risks that firms may use </w:t>
      </w:r>
      <w:r w:rsidR="0071770B" w:rsidRPr="00B31249">
        <w:rPr>
          <w:rFonts w:ascii="Times New Roman" w:eastAsia="Arial Unicode MS" w:hAnsi="Times New Roman" w:cs="Times New Roman"/>
          <w:sz w:val="24"/>
          <w:szCs w:val="24"/>
          <w:lang w:val="en-IE" w:bidi="hi-IN"/>
        </w:rPr>
        <w:t xml:space="preserve">consumer data to engage in anti-competitive conduct is similarly material. </w:t>
      </w:r>
      <w:r w:rsidRPr="00B31249">
        <w:rPr>
          <w:rFonts w:ascii="Times New Roman" w:eastAsia="Arial Unicode MS" w:hAnsi="Times New Roman" w:cs="Times New Roman"/>
          <w:sz w:val="24"/>
          <w:szCs w:val="24"/>
          <w:lang w:val="en-IE" w:bidi="hi-IN"/>
        </w:rPr>
        <w:t xml:space="preserve"> </w:t>
      </w:r>
    </w:p>
    <w:p w:rsidR="00E82DEE" w:rsidRPr="00B31249" w:rsidRDefault="00E82DEE" w:rsidP="00232EF3">
      <w:pPr>
        <w:jc w:val="both"/>
        <w:rPr>
          <w:rFonts w:ascii="Times New Roman" w:eastAsia="Arial Unicode MS" w:hAnsi="Times New Roman" w:cs="Times New Roman"/>
          <w:sz w:val="24"/>
          <w:lang w:val="en-IE" w:bidi="hi-IN"/>
        </w:rPr>
      </w:pPr>
      <w:r w:rsidRPr="00FE456E">
        <w:rPr>
          <w:rFonts w:ascii="Times New Roman" w:eastAsia="Arial Unicode MS" w:hAnsi="Times New Roman" w:cs="Times New Roman"/>
          <w:sz w:val="24"/>
          <w:lang w:val="en-IE" w:bidi="hi-IN"/>
        </w:rPr>
        <w:t xml:space="preserve">ACCAN is not suggesting </w:t>
      </w:r>
      <w:r w:rsidR="00454507" w:rsidRPr="00FE456E">
        <w:rPr>
          <w:rFonts w:ascii="Times New Roman" w:eastAsia="Arial Unicode MS" w:hAnsi="Times New Roman" w:cs="Times New Roman"/>
          <w:sz w:val="24"/>
          <w:lang w:val="en-IE" w:bidi="hi-IN"/>
        </w:rPr>
        <w:t>that there</w:t>
      </w:r>
      <w:r w:rsidRPr="00FE456E">
        <w:rPr>
          <w:rFonts w:ascii="Times New Roman" w:eastAsia="Arial Unicode MS" w:hAnsi="Times New Roman" w:cs="Times New Roman"/>
          <w:sz w:val="24"/>
          <w:lang w:val="en-IE" w:bidi="hi-IN"/>
        </w:rPr>
        <w:t xml:space="preserve"> is</w:t>
      </w:r>
      <w:r w:rsidR="00211FFD">
        <w:rPr>
          <w:rFonts w:ascii="Times New Roman" w:eastAsia="Arial Unicode MS" w:hAnsi="Times New Roman" w:cs="Times New Roman"/>
          <w:sz w:val="24"/>
          <w:lang w:val="en-IE" w:bidi="hi-IN"/>
        </w:rPr>
        <w:t xml:space="preserve"> currently</w:t>
      </w:r>
      <w:r w:rsidRPr="00FE456E">
        <w:rPr>
          <w:rFonts w:ascii="Times New Roman" w:eastAsia="Arial Unicode MS" w:hAnsi="Times New Roman" w:cs="Times New Roman"/>
          <w:sz w:val="24"/>
          <w:lang w:val="en-IE" w:bidi="hi-IN"/>
        </w:rPr>
        <w:t xml:space="preserve"> clear conduct that would amount to anti-competitive behaviour in the telecommunications market, but rather that limited competitive pressures are leading to less than ideal outcomes for consumers. Moreover, a concentrated market reflects a level of risk that merits appropriate and ongoing regulatory scrutiny as well as sector-specific regulation to curtail the potentially significant losses that would accrue from anti-competitive conduct or less than perfect competition.</w:t>
      </w:r>
      <w:r w:rsidRPr="00B31249">
        <w:rPr>
          <w:rFonts w:ascii="Times New Roman" w:eastAsia="Arial Unicode MS" w:hAnsi="Times New Roman" w:cs="Times New Roman"/>
          <w:sz w:val="24"/>
          <w:lang w:val="en-IE" w:bidi="hi-IN"/>
        </w:rPr>
        <w:t xml:space="preserve"> </w:t>
      </w:r>
    </w:p>
    <w:p w:rsidR="004454E9" w:rsidRDefault="004454E9" w:rsidP="004454E9">
      <w:pPr>
        <w:spacing w:line="360" w:lineRule="auto"/>
        <w:rPr>
          <w:rFonts w:ascii="Arial" w:eastAsia="Arial Unicode MS" w:hAnsi="Arial" w:cs="Arial"/>
          <w:sz w:val="28"/>
          <w:lang w:val="en-IE" w:eastAsia="en-AU" w:bidi="hi-IN"/>
        </w:rPr>
      </w:pPr>
      <w:r>
        <w:rPr>
          <w:rFonts w:ascii="Arial" w:eastAsia="Arial Unicode MS" w:hAnsi="Arial" w:cs="Arial"/>
          <w:sz w:val="28"/>
          <w:lang w:val="en-IE" w:eastAsia="en-AU" w:bidi="hi-IN"/>
        </w:rPr>
        <w:t>Proxies</w:t>
      </w:r>
    </w:p>
    <w:p w:rsidR="00CD1B6E" w:rsidRDefault="004454E9" w:rsidP="007F6B53">
      <w:pPr>
        <w:jc w:val="both"/>
        <w:rPr>
          <w:rFonts w:ascii="Times New Roman" w:eastAsia="Arial Unicode MS" w:hAnsi="Times New Roman" w:cs="Times New Roman"/>
          <w:sz w:val="24"/>
          <w:lang w:val="en-IE" w:eastAsia="en-AU" w:bidi="hi-IN"/>
        </w:rPr>
      </w:pPr>
      <w:r>
        <w:rPr>
          <w:rFonts w:ascii="Times New Roman" w:eastAsia="Arial Unicode MS" w:hAnsi="Times New Roman" w:cs="Times New Roman"/>
          <w:sz w:val="24"/>
          <w:lang w:val="en-IE" w:eastAsia="en-AU" w:bidi="hi-IN"/>
        </w:rPr>
        <w:t xml:space="preserve">The emergence of </w:t>
      </w:r>
      <w:r w:rsidR="007F6B53">
        <w:rPr>
          <w:rFonts w:ascii="Times New Roman" w:eastAsia="Arial Unicode MS" w:hAnsi="Times New Roman" w:cs="Times New Roman"/>
          <w:sz w:val="24"/>
          <w:lang w:val="en-IE" w:eastAsia="en-AU" w:bidi="hi-IN"/>
        </w:rPr>
        <w:t>proxies</w:t>
      </w:r>
      <w:r>
        <w:rPr>
          <w:rFonts w:ascii="Times New Roman" w:eastAsia="Arial Unicode MS" w:hAnsi="Times New Roman" w:cs="Times New Roman"/>
          <w:sz w:val="24"/>
          <w:lang w:val="en-IE" w:eastAsia="en-AU" w:bidi="hi-IN"/>
        </w:rPr>
        <w:t xml:space="preserve"> is a new</w:t>
      </w:r>
      <w:r w:rsidR="000B3ABA">
        <w:rPr>
          <w:rFonts w:ascii="Times New Roman" w:eastAsia="Arial Unicode MS" w:hAnsi="Times New Roman" w:cs="Times New Roman"/>
          <w:sz w:val="24"/>
          <w:lang w:val="en-IE" w:eastAsia="en-AU" w:bidi="hi-IN"/>
        </w:rPr>
        <w:t xml:space="preserve"> form of</w:t>
      </w:r>
      <w:r>
        <w:rPr>
          <w:rFonts w:ascii="Times New Roman" w:eastAsia="Arial Unicode MS" w:hAnsi="Times New Roman" w:cs="Times New Roman"/>
          <w:sz w:val="24"/>
          <w:lang w:val="en-IE" w:eastAsia="en-AU" w:bidi="hi-IN"/>
        </w:rPr>
        <w:t xml:space="preserve"> market failure, which arises when consumers or firms are assessed by reference to information that is not directly relevant to a transaction. </w:t>
      </w:r>
      <w:r w:rsidR="007F6B53">
        <w:rPr>
          <w:rFonts w:ascii="Times New Roman" w:eastAsia="Arial Unicode MS" w:hAnsi="Times New Roman" w:cs="Times New Roman"/>
          <w:sz w:val="24"/>
          <w:lang w:val="en-IE" w:eastAsia="en-AU" w:bidi="hi-IN"/>
        </w:rPr>
        <w:t>ACCAN is particularly concerned about the emergence of proxies to asses</w:t>
      </w:r>
      <w:r w:rsidR="0071770B">
        <w:rPr>
          <w:rFonts w:ascii="Times New Roman" w:eastAsia="Arial Unicode MS" w:hAnsi="Times New Roman" w:cs="Times New Roman"/>
          <w:sz w:val="24"/>
          <w:lang w:val="en-IE" w:eastAsia="en-AU" w:bidi="hi-IN"/>
        </w:rPr>
        <w:t>s</w:t>
      </w:r>
      <w:r w:rsidR="007F6B53">
        <w:rPr>
          <w:rFonts w:ascii="Times New Roman" w:eastAsia="Arial Unicode MS" w:hAnsi="Times New Roman" w:cs="Times New Roman"/>
          <w:sz w:val="24"/>
          <w:lang w:val="en-IE" w:eastAsia="en-AU" w:bidi="hi-IN"/>
        </w:rPr>
        <w:t xml:space="preserve"> consumers and profile consumer market segments </w:t>
      </w:r>
      <w:r w:rsidR="00B137FC">
        <w:rPr>
          <w:rFonts w:ascii="Times New Roman" w:eastAsia="Arial Unicode MS" w:hAnsi="Times New Roman" w:cs="Times New Roman"/>
          <w:sz w:val="24"/>
          <w:lang w:val="en-IE" w:eastAsia="en-AU" w:bidi="hi-IN"/>
        </w:rPr>
        <w:t xml:space="preserve">for the purpose of setting prices at </w:t>
      </w:r>
      <w:r w:rsidR="00342020">
        <w:rPr>
          <w:rFonts w:ascii="Times New Roman" w:eastAsia="Arial Unicode MS" w:hAnsi="Times New Roman" w:cs="Times New Roman"/>
          <w:sz w:val="24"/>
          <w:lang w:val="en-IE" w:eastAsia="en-AU" w:bidi="hi-IN"/>
        </w:rPr>
        <w:t>consumers’</w:t>
      </w:r>
      <w:r w:rsidR="00B137FC">
        <w:rPr>
          <w:rFonts w:ascii="Times New Roman" w:eastAsia="Arial Unicode MS" w:hAnsi="Times New Roman" w:cs="Times New Roman"/>
          <w:sz w:val="24"/>
          <w:lang w:val="en-IE" w:eastAsia="en-AU" w:bidi="hi-IN"/>
        </w:rPr>
        <w:t xml:space="preserve"> maximum willingness to pay. </w:t>
      </w:r>
    </w:p>
    <w:p w:rsidR="000F47F3" w:rsidRDefault="00CD1B6E" w:rsidP="007F6B53">
      <w:pPr>
        <w:jc w:val="both"/>
        <w:rPr>
          <w:rFonts w:ascii="Times New Roman" w:eastAsia="Arial Unicode MS" w:hAnsi="Times New Roman" w:cs="Times New Roman"/>
          <w:sz w:val="24"/>
          <w:lang w:val="en-IE" w:eastAsia="en-AU" w:bidi="hi-IN"/>
        </w:rPr>
      </w:pPr>
      <w:r>
        <w:rPr>
          <w:rFonts w:ascii="Times New Roman" w:eastAsia="Arial Unicode MS" w:hAnsi="Times New Roman" w:cs="Times New Roman"/>
          <w:sz w:val="24"/>
          <w:lang w:val="en-IE" w:eastAsia="en-AU" w:bidi="hi-IN"/>
        </w:rPr>
        <w:t>A proxy, in simple terms refers to the use of a piece of data that may be correlated with, but not causally linked to a consumer characteristic. For example, estimating the income and therefore capacity to pay f</w:t>
      </w:r>
      <w:r w:rsidR="000F47F3">
        <w:rPr>
          <w:rFonts w:ascii="Times New Roman" w:eastAsia="Arial Unicode MS" w:hAnsi="Times New Roman" w:cs="Times New Roman"/>
          <w:sz w:val="24"/>
          <w:lang w:val="en-IE" w:eastAsia="en-AU" w:bidi="hi-IN"/>
        </w:rPr>
        <w:t>or an individual may difficult</w:t>
      </w:r>
      <w:r>
        <w:rPr>
          <w:rFonts w:ascii="Times New Roman" w:eastAsia="Arial Unicode MS" w:hAnsi="Times New Roman" w:cs="Times New Roman"/>
          <w:sz w:val="24"/>
          <w:lang w:val="en-IE" w:eastAsia="en-AU" w:bidi="hi-IN"/>
        </w:rPr>
        <w:t xml:space="preserve">, but </w:t>
      </w:r>
      <w:r w:rsidR="000F47F3">
        <w:rPr>
          <w:rFonts w:ascii="Times New Roman" w:eastAsia="Arial Unicode MS" w:hAnsi="Times New Roman" w:cs="Times New Roman"/>
          <w:sz w:val="24"/>
          <w:lang w:val="en-IE" w:eastAsia="en-AU" w:bidi="hi-IN"/>
        </w:rPr>
        <w:t>average</w:t>
      </w:r>
      <w:r>
        <w:rPr>
          <w:rFonts w:ascii="Times New Roman" w:eastAsia="Arial Unicode MS" w:hAnsi="Times New Roman" w:cs="Times New Roman"/>
          <w:sz w:val="24"/>
          <w:lang w:val="en-IE" w:eastAsia="en-AU" w:bidi="hi-IN"/>
        </w:rPr>
        <w:t xml:space="preserve"> income information for a postcode, may be readily obtainable. </w:t>
      </w:r>
    </w:p>
    <w:p w:rsidR="00C35DED" w:rsidRDefault="00840306" w:rsidP="007F6B53">
      <w:pPr>
        <w:jc w:val="both"/>
        <w:rPr>
          <w:rFonts w:ascii="Times New Roman" w:eastAsia="Arial Unicode MS" w:hAnsi="Times New Roman" w:cs="Times New Roman"/>
          <w:sz w:val="24"/>
          <w:lang w:val="en-IE" w:eastAsia="en-AU" w:bidi="hi-IN"/>
        </w:rPr>
      </w:pPr>
      <w:r>
        <w:rPr>
          <w:rFonts w:ascii="Times New Roman" w:eastAsia="Arial Unicode MS" w:hAnsi="Times New Roman" w:cs="Times New Roman"/>
          <w:sz w:val="24"/>
          <w:lang w:val="en-IE" w:eastAsia="en-AU" w:bidi="hi-IN"/>
        </w:rPr>
        <w:lastRenderedPageBreak/>
        <w:t>However, average income by postcodes does</w:t>
      </w:r>
      <w:r w:rsidR="00CD1B6E">
        <w:rPr>
          <w:rFonts w:ascii="Times New Roman" w:eastAsia="Arial Unicode MS" w:hAnsi="Times New Roman" w:cs="Times New Roman"/>
          <w:sz w:val="24"/>
          <w:lang w:val="en-IE" w:eastAsia="en-AU" w:bidi="hi-IN"/>
        </w:rPr>
        <w:t xml:space="preserve"> not reflect the disparities in income across a postcode area – and as a consequence reliance on this data would result in mispricing and loss for low income consumers residing in the </w:t>
      </w:r>
      <w:r>
        <w:rPr>
          <w:rFonts w:ascii="Times New Roman" w:eastAsia="Arial Unicode MS" w:hAnsi="Times New Roman" w:cs="Times New Roman"/>
          <w:sz w:val="24"/>
          <w:lang w:val="en-IE" w:eastAsia="en-AU" w:bidi="hi-IN"/>
        </w:rPr>
        <w:t>area</w:t>
      </w:r>
      <w:r w:rsidR="00CD1B6E">
        <w:rPr>
          <w:rFonts w:ascii="Times New Roman" w:eastAsia="Arial Unicode MS" w:hAnsi="Times New Roman" w:cs="Times New Roman"/>
          <w:sz w:val="24"/>
          <w:lang w:val="en-IE" w:eastAsia="en-AU" w:bidi="hi-IN"/>
        </w:rPr>
        <w:t xml:space="preserve">. </w:t>
      </w:r>
      <w:r>
        <w:rPr>
          <w:rFonts w:ascii="Times New Roman" w:eastAsia="Arial Unicode MS" w:hAnsi="Times New Roman" w:cs="Times New Roman"/>
          <w:sz w:val="24"/>
          <w:lang w:val="en-IE" w:eastAsia="en-AU" w:bidi="hi-IN"/>
        </w:rPr>
        <w:t>The use of proxies as a substitute for accurate consumer data may in the future lead to material consumer detriment, depending on how proxy data is used, the robustness of algorithms</w:t>
      </w:r>
      <w:r w:rsidR="00A65083">
        <w:rPr>
          <w:rFonts w:ascii="Times New Roman" w:eastAsia="Arial Unicode MS" w:hAnsi="Times New Roman" w:cs="Times New Roman"/>
          <w:sz w:val="24"/>
          <w:lang w:val="en-IE" w:eastAsia="en-AU" w:bidi="hi-IN"/>
        </w:rPr>
        <w:t>, the quality of the underlying data</w:t>
      </w:r>
      <w:r>
        <w:rPr>
          <w:rFonts w:ascii="Times New Roman" w:eastAsia="Arial Unicode MS" w:hAnsi="Times New Roman" w:cs="Times New Roman"/>
          <w:sz w:val="24"/>
          <w:lang w:val="en-IE" w:eastAsia="en-AU" w:bidi="hi-IN"/>
        </w:rPr>
        <w:t xml:space="preserve"> and the inferences drawn.</w:t>
      </w:r>
    </w:p>
    <w:p w:rsidR="00480D20" w:rsidRDefault="00840306" w:rsidP="007F6B53">
      <w:pPr>
        <w:jc w:val="both"/>
        <w:rPr>
          <w:rFonts w:ascii="Times New Roman" w:eastAsia="Arial Unicode MS" w:hAnsi="Times New Roman" w:cs="Times New Roman"/>
          <w:sz w:val="24"/>
          <w:lang w:val="en-IE" w:eastAsia="en-AU" w:bidi="hi-IN"/>
        </w:rPr>
      </w:pPr>
      <w:r>
        <w:rPr>
          <w:rFonts w:ascii="Times New Roman" w:eastAsia="Arial Unicode MS" w:hAnsi="Times New Roman" w:cs="Times New Roman"/>
          <w:sz w:val="24"/>
          <w:lang w:val="en-IE" w:eastAsia="en-AU" w:bidi="hi-IN"/>
        </w:rPr>
        <w:t xml:space="preserve"> </w:t>
      </w:r>
      <w:r w:rsidR="005156B8">
        <w:rPr>
          <w:rFonts w:ascii="Times New Roman" w:eastAsia="Arial Unicode MS" w:hAnsi="Times New Roman" w:cs="Times New Roman"/>
          <w:sz w:val="24"/>
          <w:lang w:val="en-IE" w:eastAsia="en-AU" w:bidi="hi-IN"/>
        </w:rPr>
        <w:t xml:space="preserve">The use of proxies to inform </w:t>
      </w:r>
      <w:r w:rsidR="00B137FC">
        <w:rPr>
          <w:rFonts w:ascii="Times New Roman" w:eastAsia="Arial Unicode MS" w:hAnsi="Times New Roman" w:cs="Times New Roman"/>
          <w:sz w:val="24"/>
          <w:lang w:val="en-IE" w:eastAsia="en-AU" w:bidi="hi-IN"/>
        </w:rPr>
        <w:t xml:space="preserve">pricing and market strategy is of concern, as these proxies often do not have an appropriate causal relationship to consumers and can result in </w:t>
      </w:r>
      <w:r w:rsidR="00F46A19">
        <w:rPr>
          <w:rFonts w:ascii="Times New Roman" w:eastAsia="Arial Unicode MS" w:hAnsi="Times New Roman" w:cs="Times New Roman"/>
          <w:sz w:val="24"/>
          <w:lang w:val="en-IE" w:eastAsia="en-AU" w:bidi="hi-IN"/>
        </w:rPr>
        <w:t>consumers</w:t>
      </w:r>
      <w:r w:rsidR="00B137FC">
        <w:rPr>
          <w:rFonts w:ascii="Times New Roman" w:eastAsia="Arial Unicode MS" w:hAnsi="Times New Roman" w:cs="Times New Roman"/>
          <w:sz w:val="24"/>
          <w:lang w:val="en-IE" w:eastAsia="en-AU" w:bidi="hi-IN"/>
        </w:rPr>
        <w:t xml:space="preserve"> facing higher prices or poorer access to services based on </w:t>
      </w:r>
      <w:r w:rsidR="00FE456E">
        <w:rPr>
          <w:rFonts w:ascii="Times New Roman" w:eastAsia="Arial Unicode MS" w:hAnsi="Times New Roman" w:cs="Times New Roman"/>
          <w:sz w:val="24"/>
          <w:lang w:val="en-IE" w:eastAsia="en-AU" w:bidi="hi-IN"/>
        </w:rPr>
        <w:t xml:space="preserve">flawed </w:t>
      </w:r>
      <w:r w:rsidR="00B137FC">
        <w:rPr>
          <w:rFonts w:ascii="Times New Roman" w:eastAsia="Arial Unicode MS" w:hAnsi="Times New Roman" w:cs="Times New Roman"/>
          <w:sz w:val="24"/>
          <w:lang w:val="en-IE" w:eastAsia="en-AU" w:bidi="hi-IN"/>
        </w:rPr>
        <w:t xml:space="preserve">models. Although a greater problem for consumers seeking access to financial services or credit, it is important to note that many consumers in the communications marketplace similarly face issues with respect to access to credit for communications </w:t>
      </w:r>
      <w:r w:rsidR="00F46A19">
        <w:rPr>
          <w:rFonts w:ascii="Times New Roman" w:eastAsia="Arial Unicode MS" w:hAnsi="Times New Roman" w:cs="Times New Roman"/>
          <w:sz w:val="24"/>
          <w:lang w:val="en-IE" w:eastAsia="en-AU" w:bidi="hi-IN"/>
        </w:rPr>
        <w:t xml:space="preserve">products and </w:t>
      </w:r>
      <w:r w:rsidR="00B137FC">
        <w:rPr>
          <w:rFonts w:ascii="Times New Roman" w:eastAsia="Arial Unicode MS" w:hAnsi="Times New Roman" w:cs="Times New Roman"/>
          <w:sz w:val="24"/>
          <w:lang w:val="en-IE" w:eastAsia="en-AU" w:bidi="hi-IN"/>
        </w:rPr>
        <w:t xml:space="preserve">services. </w:t>
      </w:r>
    </w:p>
    <w:p w:rsidR="00677387" w:rsidRPr="00677387" w:rsidRDefault="00677387" w:rsidP="00677387">
      <w:pPr>
        <w:spacing w:line="360" w:lineRule="auto"/>
        <w:rPr>
          <w:rFonts w:ascii="Arial" w:eastAsia="Arial Unicode MS" w:hAnsi="Arial" w:cs="Arial"/>
          <w:sz w:val="28"/>
          <w:lang w:val="en-IE" w:eastAsia="en-AU" w:bidi="hi-IN"/>
        </w:rPr>
      </w:pPr>
      <w:r w:rsidRPr="00677387">
        <w:rPr>
          <w:rFonts w:ascii="Arial" w:eastAsia="Arial Unicode MS" w:hAnsi="Arial" w:cs="Arial"/>
          <w:sz w:val="28"/>
          <w:lang w:val="en-IE" w:eastAsia="en-AU" w:bidi="hi-IN"/>
        </w:rPr>
        <w:t>What is the test for intervention?</w:t>
      </w:r>
    </w:p>
    <w:p w:rsidR="00721B19" w:rsidRDefault="002D1D18" w:rsidP="007F6B53">
      <w:pPr>
        <w:jc w:val="both"/>
        <w:rPr>
          <w:rFonts w:ascii="Times New Roman" w:hAnsi="Times New Roman" w:cs="Times New Roman"/>
          <w:sz w:val="24"/>
          <w:szCs w:val="24"/>
        </w:rPr>
      </w:pPr>
      <w:r w:rsidRPr="00DD0AEA">
        <w:rPr>
          <w:rFonts w:ascii="Calibri" w:eastAsiaTheme="minorEastAsia" w:hAnsi="Calibri"/>
          <w:noProof/>
          <w:color w:val="000000" w:themeColor="text1"/>
          <w:sz w:val="24"/>
        </w:rPr>
        <mc:AlternateContent>
          <mc:Choice Requires="wps">
            <w:drawing>
              <wp:anchor distT="0" distB="0" distL="114300" distR="114300" simplePos="0" relativeHeight="251760640" behindDoc="0" locked="0" layoutInCell="1" allowOverlap="1" wp14:anchorId="469AE2D1" wp14:editId="3EFC5461">
                <wp:simplePos x="0" y="0"/>
                <wp:positionH relativeFrom="column">
                  <wp:posOffset>0</wp:posOffset>
                </wp:positionH>
                <wp:positionV relativeFrom="paragraph">
                  <wp:posOffset>1102360</wp:posOffset>
                </wp:positionV>
                <wp:extent cx="5720080" cy="832485"/>
                <wp:effectExtent l="0" t="0" r="13970" b="24765"/>
                <wp:wrapNone/>
                <wp:docPr id="32" name="Text Box 32"/>
                <wp:cNvGraphicFramePr/>
                <a:graphic xmlns:a="http://schemas.openxmlformats.org/drawingml/2006/main">
                  <a:graphicData uri="http://schemas.microsoft.com/office/word/2010/wordprocessingShape">
                    <wps:wsp>
                      <wps:cNvSpPr txBox="1"/>
                      <wps:spPr>
                        <a:xfrm>
                          <a:off x="0" y="0"/>
                          <a:ext cx="5720080" cy="832485"/>
                        </a:xfrm>
                        <a:prstGeom prst="rect">
                          <a:avLst/>
                        </a:prstGeom>
                        <a:solidFill>
                          <a:sysClr val="window" lastClr="FFFFFF"/>
                        </a:solidFill>
                        <a:ln w="6350">
                          <a:solidFill>
                            <a:srgbClr val="00B0F0"/>
                          </a:solidFill>
                        </a:ln>
                      </wps:spPr>
                      <wps:txbx>
                        <w:txbxContent>
                          <w:p w:rsidR="00DD5468" w:rsidRPr="00C35DED" w:rsidRDefault="00DD5468" w:rsidP="00221EA5">
                            <w:pPr>
                              <w:rPr>
                                <w:rFonts w:ascii="Times New Roman" w:hAnsi="Times New Roman" w:cs="Times New Roman"/>
                                <w:b/>
                              </w:rPr>
                            </w:pPr>
                            <w:r w:rsidRPr="00C35DED">
                              <w:rPr>
                                <w:rFonts w:ascii="Times New Roman" w:hAnsi="Times New Roman" w:cs="Times New Roman"/>
                                <w:b/>
                              </w:rPr>
                              <w:t>Recommendation 2</w:t>
                            </w:r>
                          </w:p>
                          <w:p w:rsidR="00DD5468" w:rsidRPr="00C35DED" w:rsidRDefault="00DD5468" w:rsidP="00221EA5">
                            <w:pPr>
                              <w:jc w:val="both"/>
                              <w:rPr>
                                <w:rFonts w:ascii="Times New Roman" w:hAnsi="Times New Roman" w:cs="Times New Roman"/>
                                <w:i/>
                              </w:rPr>
                            </w:pPr>
                            <w:r w:rsidRPr="00C35DED">
                              <w:rPr>
                                <w:rFonts w:ascii="Times New Roman" w:hAnsi="Times New Roman" w:cs="Times New Roman"/>
                                <w:i/>
                              </w:rPr>
                              <w:t>That as part of a rigorous and public cost- benefit analysi</w:t>
                            </w:r>
                            <w:r>
                              <w:rPr>
                                <w:rFonts w:ascii="Times New Roman" w:hAnsi="Times New Roman" w:cs="Times New Roman"/>
                                <w:i/>
                              </w:rPr>
                              <w:t>s</w:t>
                            </w:r>
                            <w:r w:rsidRPr="00C35DED">
                              <w:rPr>
                                <w:rFonts w:ascii="Times New Roman" w:hAnsi="Times New Roman" w:cs="Times New Roman"/>
                                <w:i/>
                              </w:rPr>
                              <w:t xml:space="preserve"> Treasury articulate</w:t>
                            </w:r>
                            <w:r>
                              <w:rPr>
                                <w:rFonts w:ascii="Times New Roman" w:hAnsi="Times New Roman" w:cs="Times New Roman"/>
                                <w:i/>
                              </w:rPr>
                              <w:t>s</w:t>
                            </w:r>
                            <w:r w:rsidRPr="00C35DED">
                              <w:rPr>
                                <w:rFonts w:ascii="Times New Roman" w:hAnsi="Times New Roman" w:cs="Times New Roman"/>
                                <w:i/>
                              </w:rPr>
                              <w:t xml:space="preserve"> the fundamental problem that the consumer data right framework is aimed at addressing.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 o:spid="_x0000_s1045" type="#_x0000_t202" style="position:absolute;left:0;text-align:left;margin-left:0;margin-top:86.8pt;width:450.4pt;height:65.5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" fillcolor="window" strokecolor="#00b0f0" strokeweight=".5pt">
                <v:textbox>
                  <w:txbxContent>
                    <w:p w:rsidR="00DD5468" w:rsidRPr="00C35DED" w:rsidRDefault="00DD5468" w:rsidP="00221EA5">
                      <w:pPr>
                        <w:rPr>
                          <w:rFonts w:ascii="Times New Roman" w:hAnsi="Times New Roman" w:cs="Times New Roman"/>
                          <w:b/>
                        </w:rPr>
                      </w:pPr>
                      <w:r w:rsidRPr="00C35DED">
                        <w:rPr>
                          <w:rFonts w:ascii="Times New Roman" w:hAnsi="Times New Roman" w:cs="Times New Roman"/>
                          <w:b/>
                        </w:rPr>
                        <w:t>Recommendation 2</w:t>
                      </w:r>
                    </w:p>
                    <w:p w:rsidR="00DD5468" w:rsidRPr="00C35DED" w:rsidRDefault="00DD5468" w:rsidP="00221EA5">
                      <w:pPr>
                        <w:jc w:val="both"/>
                        <w:rPr>
                          <w:rFonts w:ascii="Times New Roman" w:hAnsi="Times New Roman" w:cs="Times New Roman"/>
                          <w:i/>
                        </w:rPr>
                      </w:pPr>
                      <w:r w:rsidRPr="00C35DED">
                        <w:rPr>
                          <w:rFonts w:ascii="Times New Roman" w:hAnsi="Times New Roman" w:cs="Times New Roman"/>
                          <w:i/>
                        </w:rPr>
                        <w:t>That as part of a rigorous and public cost- benefit analysi</w:t>
                      </w:r>
                      <w:r>
                        <w:rPr>
                          <w:rFonts w:ascii="Times New Roman" w:hAnsi="Times New Roman" w:cs="Times New Roman"/>
                          <w:i/>
                        </w:rPr>
                        <w:t>s</w:t>
                      </w:r>
                      <w:r w:rsidRPr="00C35DED">
                        <w:rPr>
                          <w:rFonts w:ascii="Times New Roman" w:hAnsi="Times New Roman" w:cs="Times New Roman"/>
                          <w:i/>
                        </w:rPr>
                        <w:t xml:space="preserve"> Treasury articulate</w:t>
                      </w:r>
                      <w:r>
                        <w:rPr>
                          <w:rFonts w:ascii="Times New Roman" w:hAnsi="Times New Roman" w:cs="Times New Roman"/>
                          <w:i/>
                        </w:rPr>
                        <w:t>s</w:t>
                      </w:r>
                      <w:r w:rsidRPr="00C35DED">
                        <w:rPr>
                          <w:rFonts w:ascii="Times New Roman" w:hAnsi="Times New Roman" w:cs="Times New Roman"/>
                          <w:i/>
                        </w:rPr>
                        <w:t xml:space="preserve"> the fundamental problem that the consumer data right framework is aimed at addressing.</w:t>
                      </w:r>
                    </w:p>
                  </w:txbxContent>
                </v:textbox>
              </v:shape>
            </w:pict>
          </mc:Fallback>
        </mc:AlternateContent>
      </w:r>
      <w:r w:rsidR="00677387" w:rsidRPr="00677387">
        <w:rPr>
          <w:rFonts w:ascii="Times New Roman" w:hAnsi="Times New Roman" w:cs="Times New Roman"/>
          <w:sz w:val="24"/>
          <w:szCs w:val="24"/>
        </w:rPr>
        <w:t>Each of these</w:t>
      </w:r>
      <w:r w:rsidR="00F46A19">
        <w:rPr>
          <w:rFonts w:ascii="Times New Roman" w:hAnsi="Times New Roman" w:cs="Times New Roman"/>
          <w:sz w:val="24"/>
          <w:szCs w:val="24"/>
        </w:rPr>
        <w:t xml:space="preserve"> above four</w:t>
      </w:r>
      <w:r w:rsidR="00677387" w:rsidRPr="00677387">
        <w:rPr>
          <w:rFonts w:ascii="Times New Roman" w:hAnsi="Times New Roman" w:cs="Times New Roman"/>
          <w:sz w:val="24"/>
          <w:szCs w:val="24"/>
        </w:rPr>
        <w:t xml:space="preserve"> issues may result in less than desirable levels of competition and overall worse outcomes for consumers. However, in order for the proposed </w:t>
      </w:r>
      <w:r w:rsidR="00724C9D">
        <w:rPr>
          <w:rFonts w:ascii="Times New Roman" w:hAnsi="Times New Roman" w:cs="Times New Roman"/>
          <w:sz w:val="24"/>
          <w:szCs w:val="24"/>
        </w:rPr>
        <w:t xml:space="preserve">CDR </w:t>
      </w:r>
      <w:r w:rsidR="00677387" w:rsidRPr="00677387">
        <w:rPr>
          <w:rFonts w:ascii="Times New Roman" w:hAnsi="Times New Roman" w:cs="Times New Roman"/>
          <w:sz w:val="24"/>
          <w:szCs w:val="24"/>
        </w:rPr>
        <w:t xml:space="preserve">framework to be justified </w:t>
      </w:r>
      <w:r w:rsidR="00724C9D">
        <w:rPr>
          <w:rFonts w:ascii="Times New Roman" w:hAnsi="Times New Roman" w:cs="Times New Roman"/>
          <w:sz w:val="24"/>
          <w:szCs w:val="24"/>
        </w:rPr>
        <w:t>there</w:t>
      </w:r>
      <w:r w:rsidR="00677387" w:rsidRPr="00677387">
        <w:rPr>
          <w:rFonts w:ascii="Times New Roman" w:hAnsi="Times New Roman" w:cs="Times New Roman"/>
          <w:sz w:val="24"/>
          <w:szCs w:val="24"/>
        </w:rPr>
        <w:t xml:space="preserve"> must be evidence that the </w:t>
      </w:r>
      <w:r w:rsidR="00F46A19">
        <w:rPr>
          <w:rFonts w:ascii="Times New Roman" w:hAnsi="Times New Roman" w:cs="Times New Roman"/>
          <w:sz w:val="24"/>
          <w:szCs w:val="24"/>
        </w:rPr>
        <w:t>Bill</w:t>
      </w:r>
      <w:r w:rsidR="00677387" w:rsidRPr="00677387">
        <w:rPr>
          <w:rFonts w:ascii="Times New Roman" w:hAnsi="Times New Roman" w:cs="Times New Roman"/>
          <w:sz w:val="24"/>
          <w:szCs w:val="24"/>
        </w:rPr>
        <w:t xml:space="preserve"> identifies a clear objective that targets or addresses each of these issues, and that the proposed intervention provides greater benefits to society than costs </w:t>
      </w:r>
      <w:r w:rsidR="00677387" w:rsidRPr="00677387">
        <w:rPr>
          <w:rFonts w:ascii="Times New Roman" w:hAnsi="Times New Roman" w:cs="Times New Roman"/>
          <w:sz w:val="24"/>
        </w:rPr>
        <w:t>(</w:t>
      </w:r>
      <w:proofErr w:type="spellStart"/>
      <w:r w:rsidR="00677387" w:rsidRPr="00677387">
        <w:rPr>
          <w:rFonts w:ascii="Times New Roman" w:hAnsi="Times New Roman" w:cs="Times New Roman"/>
          <w:sz w:val="24"/>
        </w:rPr>
        <w:t>Kaldor</w:t>
      </w:r>
      <w:proofErr w:type="spellEnd"/>
      <w:r w:rsidR="00677387" w:rsidRPr="00677387">
        <w:rPr>
          <w:rFonts w:ascii="Times New Roman" w:hAnsi="Times New Roman" w:cs="Times New Roman"/>
          <w:sz w:val="24"/>
        </w:rPr>
        <w:t xml:space="preserve"> 1939; Hicks 1939)</w:t>
      </w:r>
      <w:r w:rsidR="00677387" w:rsidRPr="00677387">
        <w:rPr>
          <w:rFonts w:ascii="Times New Roman" w:hAnsi="Times New Roman" w:cs="Times New Roman"/>
          <w:sz w:val="24"/>
          <w:szCs w:val="24"/>
        </w:rPr>
        <w:t xml:space="preserve">. </w:t>
      </w:r>
    </w:p>
    <w:p w:rsidR="002D1D18" w:rsidRDefault="002D1D18" w:rsidP="007F6B53">
      <w:pPr>
        <w:jc w:val="both"/>
        <w:rPr>
          <w:rFonts w:ascii="Times New Roman" w:hAnsi="Times New Roman" w:cs="Times New Roman"/>
          <w:sz w:val="24"/>
          <w:szCs w:val="24"/>
        </w:rPr>
      </w:pPr>
    </w:p>
    <w:p w:rsidR="002D1D18" w:rsidRDefault="002D1D18" w:rsidP="007F6B53">
      <w:pPr>
        <w:jc w:val="both"/>
        <w:rPr>
          <w:rFonts w:ascii="Times New Roman" w:hAnsi="Times New Roman" w:cs="Times New Roman"/>
          <w:sz w:val="24"/>
          <w:szCs w:val="24"/>
        </w:rPr>
      </w:pPr>
    </w:p>
    <w:p w:rsidR="002D1D18" w:rsidRDefault="002D1D18" w:rsidP="007F6B53">
      <w:pPr>
        <w:jc w:val="both"/>
        <w:rPr>
          <w:rFonts w:ascii="Times New Roman" w:hAnsi="Times New Roman" w:cs="Times New Roman"/>
          <w:sz w:val="24"/>
          <w:szCs w:val="24"/>
        </w:rPr>
      </w:pPr>
    </w:p>
    <w:p w:rsidR="007F0558" w:rsidRPr="00AC201E" w:rsidRDefault="00101782" w:rsidP="0091280A">
      <w:pPr>
        <w:spacing w:before="100" w:beforeAutospacing="1" w:after="100" w:afterAutospacing="1" w:line="360" w:lineRule="auto"/>
        <w:jc w:val="both"/>
        <w:rPr>
          <w:rFonts w:ascii="Arial" w:eastAsiaTheme="minorEastAsia" w:hAnsi="Arial" w:cs="Arial"/>
          <w:b/>
          <w:sz w:val="32"/>
          <w:szCs w:val="32"/>
          <w:lang w:val="en-AU" w:eastAsia="en-AU"/>
        </w:rPr>
      </w:pPr>
      <w:r w:rsidRPr="00AC201E">
        <w:rPr>
          <w:rFonts w:ascii="Arial" w:eastAsiaTheme="minorEastAsia" w:hAnsi="Arial" w:cs="Arial"/>
          <w:b/>
          <w:sz w:val="32"/>
          <w:szCs w:val="32"/>
          <w:lang w:val="en-AU" w:eastAsia="en-AU"/>
        </w:rPr>
        <w:t>What is the objective?</w:t>
      </w:r>
    </w:p>
    <w:p w:rsidR="004454E9" w:rsidRDefault="004454E9" w:rsidP="004454E9">
      <w:pPr>
        <w:jc w:val="both"/>
        <w:rPr>
          <w:rFonts w:ascii="Times New Roman" w:hAnsi="Times New Roman" w:cs="Times New Roman"/>
          <w:sz w:val="24"/>
          <w:szCs w:val="24"/>
        </w:rPr>
      </w:pPr>
      <w:r w:rsidRPr="00AC201E">
        <w:rPr>
          <w:rFonts w:ascii="Times New Roman" w:hAnsi="Times New Roman" w:cs="Times New Roman"/>
          <w:sz w:val="24"/>
          <w:szCs w:val="24"/>
        </w:rPr>
        <w:t xml:space="preserve">The objective of regulatory intervention should be to </w:t>
      </w:r>
      <w:r w:rsidR="00AC201E" w:rsidRPr="00AC201E">
        <w:rPr>
          <w:rFonts w:ascii="Times New Roman" w:hAnsi="Times New Roman" w:cs="Times New Roman"/>
          <w:sz w:val="24"/>
          <w:szCs w:val="24"/>
        </w:rPr>
        <w:t>maximize</w:t>
      </w:r>
      <w:r w:rsidRPr="00AC201E">
        <w:rPr>
          <w:rFonts w:ascii="Times New Roman" w:hAnsi="Times New Roman" w:cs="Times New Roman"/>
          <w:sz w:val="24"/>
          <w:szCs w:val="24"/>
        </w:rPr>
        <w:t xml:space="preserve"> social </w:t>
      </w:r>
      <w:r w:rsidR="009507BA">
        <w:rPr>
          <w:rFonts w:ascii="Times New Roman" w:hAnsi="Times New Roman" w:cs="Times New Roman"/>
          <w:sz w:val="24"/>
          <w:szCs w:val="24"/>
        </w:rPr>
        <w:t>benefits</w:t>
      </w:r>
      <w:r w:rsidRPr="00AC201E">
        <w:rPr>
          <w:rFonts w:ascii="Times New Roman" w:hAnsi="Times New Roman" w:cs="Times New Roman"/>
          <w:sz w:val="24"/>
          <w:szCs w:val="24"/>
        </w:rPr>
        <w:t>, which ACCAN believes is best achieved by improving consumer outcomes and providing incentives to service providers to offer competitive services and products. Achieving this objective entails implementing tailored policy interventions that address the fundamental sources of market failure and consumer detriment.</w:t>
      </w:r>
    </w:p>
    <w:p w:rsidR="009A3FE1" w:rsidRDefault="009A3FE1" w:rsidP="004454E9">
      <w:pPr>
        <w:jc w:val="both"/>
        <w:rPr>
          <w:rFonts w:ascii="Times New Roman" w:hAnsi="Times New Roman" w:cs="Times New Roman"/>
          <w:sz w:val="24"/>
          <w:szCs w:val="24"/>
        </w:rPr>
      </w:pPr>
      <w:r>
        <w:rPr>
          <w:rFonts w:ascii="Times New Roman" w:hAnsi="Times New Roman" w:cs="Times New Roman"/>
          <w:sz w:val="24"/>
          <w:szCs w:val="24"/>
        </w:rPr>
        <w:t>In the context of the consumer data right, there has been little guidance given concerning the fundamental objectives of reform, beyond a broad statement of intent to address existing market failures and enhance competition. As part of the ongoing work of drafting</w:t>
      </w:r>
      <w:r w:rsidR="00724C9D">
        <w:rPr>
          <w:rFonts w:ascii="Times New Roman" w:hAnsi="Times New Roman" w:cs="Times New Roman"/>
          <w:sz w:val="24"/>
          <w:szCs w:val="24"/>
        </w:rPr>
        <w:t>,</w:t>
      </w:r>
      <w:r>
        <w:rPr>
          <w:rFonts w:ascii="Times New Roman" w:hAnsi="Times New Roman" w:cs="Times New Roman"/>
          <w:sz w:val="24"/>
          <w:szCs w:val="24"/>
        </w:rPr>
        <w:t xml:space="preserve"> </w:t>
      </w:r>
      <w:r w:rsidR="00344CDC">
        <w:rPr>
          <w:rFonts w:ascii="Times New Roman" w:hAnsi="Times New Roman" w:cs="Times New Roman"/>
          <w:sz w:val="24"/>
          <w:szCs w:val="24"/>
        </w:rPr>
        <w:t>ACCAN supports</w:t>
      </w:r>
      <w:r>
        <w:rPr>
          <w:rFonts w:ascii="Times New Roman" w:hAnsi="Times New Roman" w:cs="Times New Roman"/>
          <w:sz w:val="24"/>
          <w:szCs w:val="24"/>
        </w:rPr>
        <w:t xml:space="preserve"> consideration of what the core objectives of the reforms are, to ensure that the legislation is drafted with </w:t>
      </w:r>
      <w:r w:rsidR="00451699">
        <w:rPr>
          <w:rFonts w:ascii="Times New Roman" w:hAnsi="Times New Roman" w:cs="Times New Roman"/>
          <w:sz w:val="24"/>
          <w:szCs w:val="24"/>
        </w:rPr>
        <w:t>targeting</w:t>
      </w:r>
      <w:r>
        <w:rPr>
          <w:rFonts w:ascii="Times New Roman" w:hAnsi="Times New Roman" w:cs="Times New Roman"/>
          <w:sz w:val="24"/>
          <w:szCs w:val="24"/>
        </w:rPr>
        <w:t xml:space="preserve"> of these goals in mind. </w:t>
      </w:r>
    </w:p>
    <w:p w:rsidR="0015743E" w:rsidRDefault="0015743E" w:rsidP="004454E9">
      <w:pPr>
        <w:jc w:val="both"/>
        <w:rPr>
          <w:rFonts w:ascii="Times New Roman" w:hAnsi="Times New Roman" w:cs="Times New Roman"/>
          <w:sz w:val="24"/>
          <w:szCs w:val="24"/>
        </w:rPr>
      </w:pPr>
    </w:p>
    <w:p w:rsidR="0015743E" w:rsidRDefault="0015743E" w:rsidP="004454E9">
      <w:pPr>
        <w:jc w:val="both"/>
        <w:rPr>
          <w:rFonts w:ascii="Times New Roman" w:hAnsi="Times New Roman" w:cs="Times New Roman"/>
          <w:sz w:val="24"/>
          <w:szCs w:val="24"/>
        </w:rPr>
      </w:pPr>
    </w:p>
    <w:p w:rsidR="00C16C96" w:rsidRDefault="00C16C96" w:rsidP="004454E9">
      <w:pPr>
        <w:jc w:val="both"/>
        <w:rPr>
          <w:rFonts w:ascii="Times New Roman" w:hAnsi="Times New Roman" w:cs="Times New Roman"/>
          <w:sz w:val="24"/>
          <w:szCs w:val="24"/>
        </w:rPr>
      </w:pPr>
      <w:r>
        <w:rPr>
          <w:rFonts w:ascii="Times New Roman" w:hAnsi="Times New Roman" w:cs="Times New Roman"/>
          <w:sz w:val="24"/>
          <w:szCs w:val="24"/>
        </w:rPr>
        <w:lastRenderedPageBreak/>
        <w:t>This is important</w:t>
      </w:r>
      <w:r w:rsidR="009507BA">
        <w:rPr>
          <w:rFonts w:ascii="Times New Roman" w:hAnsi="Times New Roman" w:cs="Times New Roman"/>
          <w:sz w:val="24"/>
          <w:szCs w:val="24"/>
        </w:rPr>
        <w:t>. A</w:t>
      </w:r>
      <w:r>
        <w:rPr>
          <w:rFonts w:ascii="Times New Roman" w:hAnsi="Times New Roman" w:cs="Times New Roman"/>
          <w:sz w:val="24"/>
          <w:szCs w:val="24"/>
        </w:rPr>
        <w:t xml:space="preserve">lthough the CDR framework may in part facilitate the eliciting of better offers </w:t>
      </w:r>
      <w:r w:rsidR="008A3A53">
        <w:rPr>
          <w:rFonts w:ascii="Times New Roman" w:hAnsi="Times New Roman" w:cs="Times New Roman"/>
          <w:sz w:val="24"/>
          <w:szCs w:val="24"/>
        </w:rPr>
        <w:t>for</w:t>
      </w:r>
      <w:r>
        <w:rPr>
          <w:rFonts w:ascii="Times New Roman" w:hAnsi="Times New Roman" w:cs="Times New Roman"/>
          <w:sz w:val="24"/>
          <w:szCs w:val="24"/>
        </w:rPr>
        <w:t xml:space="preserve"> consumers, and a reduction in transaction costs</w:t>
      </w:r>
      <w:r w:rsidR="009507BA">
        <w:rPr>
          <w:rFonts w:ascii="Times New Roman" w:hAnsi="Times New Roman" w:cs="Times New Roman"/>
          <w:sz w:val="24"/>
          <w:szCs w:val="24"/>
        </w:rPr>
        <w:t>, i</w:t>
      </w:r>
      <w:r>
        <w:rPr>
          <w:rFonts w:ascii="Times New Roman" w:hAnsi="Times New Roman" w:cs="Times New Roman"/>
          <w:sz w:val="24"/>
          <w:szCs w:val="24"/>
        </w:rPr>
        <w:t>t is not clear that</w:t>
      </w:r>
      <w:r w:rsidR="009507BA">
        <w:rPr>
          <w:rFonts w:ascii="Times New Roman" w:hAnsi="Times New Roman" w:cs="Times New Roman"/>
          <w:sz w:val="24"/>
          <w:szCs w:val="24"/>
        </w:rPr>
        <w:t xml:space="preserve"> it </w:t>
      </w:r>
      <w:r>
        <w:rPr>
          <w:rFonts w:ascii="Times New Roman" w:hAnsi="Times New Roman" w:cs="Times New Roman"/>
          <w:sz w:val="24"/>
          <w:szCs w:val="24"/>
        </w:rPr>
        <w:t xml:space="preserve">will be an effective measure in </w:t>
      </w:r>
      <w:r w:rsidR="008A3A53">
        <w:rPr>
          <w:rFonts w:ascii="Times New Roman" w:hAnsi="Times New Roman" w:cs="Times New Roman"/>
          <w:sz w:val="24"/>
          <w:szCs w:val="24"/>
        </w:rPr>
        <w:t xml:space="preserve">improving </w:t>
      </w:r>
      <w:r>
        <w:rPr>
          <w:rFonts w:ascii="Times New Roman" w:hAnsi="Times New Roman" w:cs="Times New Roman"/>
          <w:sz w:val="24"/>
          <w:szCs w:val="24"/>
        </w:rPr>
        <w:t>information asymmetries in relevant markets</w:t>
      </w:r>
      <w:r w:rsidR="009507BA">
        <w:rPr>
          <w:rFonts w:ascii="Times New Roman" w:hAnsi="Times New Roman" w:cs="Times New Roman"/>
          <w:sz w:val="24"/>
          <w:szCs w:val="24"/>
        </w:rPr>
        <w:t xml:space="preserve">. </w:t>
      </w:r>
      <w:r w:rsidR="00DF2D9A">
        <w:rPr>
          <w:rFonts w:ascii="Times New Roman" w:hAnsi="Times New Roman" w:cs="Times New Roman"/>
          <w:sz w:val="24"/>
          <w:szCs w:val="24"/>
        </w:rPr>
        <w:t>This is because a</w:t>
      </w:r>
      <w:r>
        <w:rPr>
          <w:rFonts w:ascii="Times New Roman" w:hAnsi="Times New Roman" w:cs="Times New Roman"/>
          <w:sz w:val="24"/>
          <w:szCs w:val="24"/>
        </w:rPr>
        <w:t xml:space="preserve"> consumer </w:t>
      </w:r>
      <w:r w:rsidR="009507BA">
        <w:rPr>
          <w:rFonts w:ascii="Times New Roman" w:hAnsi="Times New Roman" w:cs="Times New Roman"/>
          <w:sz w:val="24"/>
          <w:szCs w:val="24"/>
        </w:rPr>
        <w:t xml:space="preserve">who </w:t>
      </w:r>
      <w:r>
        <w:rPr>
          <w:rFonts w:ascii="Times New Roman" w:hAnsi="Times New Roman" w:cs="Times New Roman"/>
          <w:sz w:val="24"/>
          <w:szCs w:val="24"/>
        </w:rPr>
        <w:t xml:space="preserve"> has transferred or offered their data to a service provider may still</w:t>
      </w:r>
      <w:r w:rsidR="00B91934">
        <w:rPr>
          <w:rFonts w:ascii="Times New Roman" w:hAnsi="Times New Roman" w:cs="Times New Roman"/>
          <w:sz w:val="24"/>
          <w:szCs w:val="24"/>
        </w:rPr>
        <w:t xml:space="preserve"> face information asymmetries, and</w:t>
      </w:r>
      <w:r>
        <w:rPr>
          <w:rFonts w:ascii="Times New Roman" w:hAnsi="Times New Roman" w:cs="Times New Roman"/>
          <w:sz w:val="24"/>
          <w:szCs w:val="24"/>
        </w:rPr>
        <w:t xml:space="preserve"> get a less than optimal deal, albeit one that is more attractive on the face of it than existing arrangements. </w:t>
      </w:r>
    </w:p>
    <w:p w:rsidR="003020AB" w:rsidRDefault="00940B68" w:rsidP="004454E9">
      <w:pPr>
        <w:jc w:val="both"/>
        <w:rPr>
          <w:rFonts w:ascii="Times New Roman" w:hAnsi="Times New Roman" w:cs="Times New Roman"/>
          <w:color w:val="FF0000"/>
          <w:sz w:val="24"/>
          <w:szCs w:val="24"/>
        </w:rPr>
      </w:pPr>
      <w:r w:rsidRPr="00DD0AEA">
        <w:rPr>
          <w:rFonts w:ascii="Calibri" w:eastAsiaTheme="minorEastAsia" w:hAnsi="Calibri"/>
          <w:noProof/>
          <w:color w:val="000000" w:themeColor="text1"/>
          <w:sz w:val="24"/>
        </w:rPr>
        <mc:AlternateContent>
          <mc:Choice Requires="wps">
            <w:drawing>
              <wp:anchor distT="0" distB="0" distL="114300" distR="114300" simplePos="0" relativeHeight="251660800" behindDoc="0" locked="0" layoutInCell="1" allowOverlap="1" wp14:anchorId="713DD70A" wp14:editId="6C6F979C">
                <wp:simplePos x="0" y="0"/>
                <wp:positionH relativeFrom="column">
                  <wp:posOffset>0</wp:posOffset>
                </wp:positionH>
                <wp:positionV relativeFrom="paragraph">
                  <wp:posOffset>168568</wp:posOffset>
                </wp:positionV>
                <wp:extent cx="5720080" cy="1236980"/>
                <wp:effectExtent l="0" t="0" r="7620" b="7620"/>
                <wp:wrapNone/>
                <wp:docPr id="8" name="Text Box 8"/>
                <wp:cNvGraphicFramePr/>
                <a:graphic xmlns:a="http://schemas.openxmlformats.org/drawingml/2006/main">
                  <a:graphicData uri="http://schemas.microsoft.com/office/word/2010/wordprocessingShape">
                    <wps:wsp>
                      <wps:cNvSpPr txBox="1"/>
                      <wps:spPr>
                        <a:xfrm>
                          <a:off x="0" y="0"/>
                          <a:ext cx="5720080" cy="1236980"/>
                        </a:xfrm>
                        <a:prstGeom prst="rect">
                          <a:avLst/>
                        </a:prstGeom>
                        <a:solidFill>
                          <a:sysClr val="window" lastClr="FFFFFF"/>
                        </a:solidFill>
                        <a:ln w="6350">
                          <a:solidFill>
                            <a:srgbClr val="00B0F0"/>
                          </a:solidFill>
                        </a:ln>
                      </wps:spPr>
                      <wps:txbx>
                        <w:txbxContent>
                          <w:p w:rsidR="00DD5468" w:rsidRPr="001410E8" w:rsidRDefault="00DD5468" w:rsidP="00DB1513">
                            <w:pPr>
                              <w:rPr>
                                <w:rFonts w:ascii="Times New Roman" w:hAnsi="Times New Roman" w:cs="Times New Roman"/>
                                <w:b/>
                              </w:rPr>
                            </w:pPr>
                            <w:r w:rsidRPr="001410E8">
                              <w:rPr>
                                <w:rFonts w:ascii="Times New Roman" w:hAnsi="Times New Roman" w:cs="Times New Roman"/>
                                <w:b/>
                              </w:rPr>
                              <w:t>Recommendation 3</w:t>
                            </w:r>
                          </w:p>
                          <w:p w:rsidR="00DD5468" w:rsidRPr="001410E8" w:rsidRDefault="00DD5468" w:rsidP="00DB1513">
                            <w:pPr>
                              <w:jc w:val="both"/>
                              <w:rPr>
                                <w:rFonts w:ascii="Times New Roman" w:hAnsi="Times New Roman" w:cs="Times New Roman"/>
                                <w:i/>
                              </w:rPr>
                            </w:pPr>
                            <w:r w:rsidRPr="001410E8">
                              <w:rPr>
                                <w:rFonts w:ascii="Times New Roman" w:hAnsi="Times New Roman" w:cs="Times New Roman"/>
                                <w:i/>
                              </w:rPr>
                              <w:t>That as part of a rigorous and public cost benefit analysis, Treasury articulate the fundamental objectives the consumer data right framework is aimed at addressing, to ensure Treasury and stakeholders are able to assess whether the proposed framework has achieved its objectives as the reforms are implemented.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46" type="#_x0000_t202" style="position:absolute;left:0;text-align:left;margin-left:0;margin-top:13.25pt;width:450.4pt;height:97.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" fillcolor="window" strokecolor="#00b0f0" strokeweight=".5pt">
                <v:textbox>
                  <w:txbxContent>
                    <w:p w:rsidR="00DD5468" w:rsidRPr="001410E8" w:rsidRDefault="00DD5468" w:rsidP="00DB1513">
                      <w:pPr>
                        <w:rPr>
                          <w:rFonts w:ascii="Times New Roman" w:hAnsi="Times New Roman" w:cs="Times New Roman"/>
                          <w:b/>
                        </w:rPr>
                      </w:pPr>
                      <w:r w:rsidRPr="001410E8">
                        <w:rPr>
                          <w:rFonts w:ascii="Times New Roman" w:hAnsi="Times New Roman" w:cs="Times New Roman"/>
                          <w:b/>
                        </w:rPr>
                        <w:t>Recommendation 3</w:t>
                      </w:r>
                    </w:p>
                    <w:p w:rsidR="00DD5468" w:rsidRPr="001410E8" w:rsidRDefault="00DD5468" w:rsidP="00DB1513">
                      <w:pPr>
                        <w:jc w:val="both"/>
                        <w:rPr>
                          <w:rFonts w:ascii="Times New Roman" w:hAnsi="Times New Roman" w:cs="Times New Roman"/>
                          <w:i/>
                        </w:rPr>
                      </w:pPr>
                      <w:r w:rsidRPr="001410E8">
                        <w:rPr>
                          <w:rFonts w:ascii="Times New Roman" w:hAnsi="Times New Roman" w:cs="Times New Roman"/>
                          <w:i/>
                        </w:rPr>
                        <w:t>That as part of a rigorous and public cost benefit analysis, Treasury articulate the fundamental objectives the consumer data right framework is aimed at addressing, to ensure Treasury and stakeholders are able to assess whether the proposed framework has achieved its objectives as the reforms are implemented.</w:t>
                      </w:r>
                    </w:p>
                  </w:txbxContent>
                </v:textbox>
              </v:shape>
            </w:pict>
          </mc:Fallback>
        </mc:AlternateContent>
      </w:r>
    </w:p>
    <w:p w:rsidR="00DB1513" w:rsidRDefault="00DB1513" w:rsidP="004454E9">
      <w:pPr>
        <w:jc w:val="both"/>
        <w:rPr>
          <w:rFonts w:ascii="Times New Roman" w:hAnsi="Times New Roman" w:cs="Times New Roman"/>
          <w:color w:val="FF0000"/>
          <w:sz w:val="24"/>
          <w:szCs w:val="24"/>
        </w:rPr>
      </w:pPr>
    </w:p>
    <w:p w:rsidR="00DB1513" w:rsidRDefault="00DB1513" w:rsidP="004454E9">
      <w:pPr>
        <w:jc w:val="both"/>
        <w:rPr>
          <w:rFonts w:ascii="Times New Roman" w:hAnsi="Times New Roman" w:cs="Times New Roman"/>
          <w:color w:val="FF0000"/>
          <w:sz w:val="24"/>
          <w:szCs w:val="24"/>
        </w:rPr>
      </w:pPr>
    </w:p>
    <w:p w:rsidR="00642EAC" w:rsidRDefault="00101782" w:rsidP="00C35DED">
      <w:pPr>
        <w:spacing w:before="100" w:beforeAutospacing="1" w:after="100" w:afterAutospacing="1" w:line="360" w:lineRule="auto"/>
        <w:rPr>
          <w:rFonts w:ascii="Times New Roman" w:hAnsi="Times New Roman" w:cs="Times New Roman"/>
          <w:sz w:val="24"/>
          <w:szCs w:val="24"/>
          <w:lang w:val="en-AU"/>
        </w:rPr>
      </w:pPr>
      <w:r>
        <w:rPr>
          <w:rFonts w:ascii="Arial" w:eastAsiaTheme="minorEastAsia" w:hAnsi="Arial" w:cs="Arial"/>
          <w:b/>
          <w:sz w:val="32"/>
          <w:szCs w:val="32"/>
          <w:lang w:val="en-AU" w:eastAsia="en-AU"/>
        </w:rPr>
        <w:t>What are the options?</w:t>
      </w:r>
    </w:p>
    <w:p w:rsidR="0091280A" w:rsidRPr="00677387" w:rsidRDefault="0091280A" w:rsidP="00327750">
      <w:pPr>
        <w:spacing w:before="100" w:beforeAutospacing="1" w:after="100" w:afterAutospacing="1"/>
        <w:jc w:val="both"/>
        <w:rPr>
          <w:rFonts w:ascii="Times New Roman" w:hAnsi="Times New Roman" w:cs="Times New Roman"/>
          <w:sz w:val="24"/>
          <w:szCs w:val="24"/>
          <w:lang w:val="en-AU"/>
        </w:rPr>
      </w:pPr>
      <w:r w:rsidRPr="00677387">
        <w:rPr>
          <w:rFonts w:ascii="Times New Roman" w:hAnsi="Times New Roman" w:cs="Times New Roman"/>
          <w:sz w:val="24"/>
          <w:szCs w:val="24"/>
          <w:lang w:val="en-AU"/>
        </w:rPr>
        <w:t>There are several alternative options available including:</w:t>
      </w:r>
    </w:p>
    <w:p w:rsidR="0091280A" w:rsidRPr="00677387" w:rsidRDefault="0091280A" w:rsidP="00116291">
      <w:pPr>
        <w:pStyle w:val="ListParagraph"/>
        <w:numPr>
          <w:ilvl w:val="0"/>
          <w:numId w:val="11"/>
        </w:numPr>
        <w:spacing w:line="276" w:lineRule="auto"/>
        <w:rPr>
          <w:rFonts w:ascii="Times New Roman" w:hAnsi="Times New Roman" w:cs="Times New Roman"/>
          <w:szCs w:val="24"/>
        </w:rPr>
      </w:pPr>
      <w:r w:rsidRPr="00677387">
        <w:rPr>
          <w:rFonts w:ascii="Times New Roman" w:hAnsi="Times New Roman" w:cs="Times New Roman"/>
          <w:szCs w:val="24"/>
        </w:rPr>
        <w:t>doing nothing and implementing no reforms to consumer data;</w:t>
      </w:r>
    </w:p>
    <w:p w:rsidR="004454E9" w:rsidRPr="00677387" w:rsidRDefault="002F42FE" w:rsidP="00116291">
      <w:pPr>
        <w:pStyle w:val="ListParagraph"/>
        <w:numPr>
          <w:ilvl w:val="0"/>
          <w:numId w:val="11"/>
        </w:numPr>
        <w:spacing w:line="276" w:lineRule="auto"/>
        <w:rPr>
          <w:rFonts w:ascii="Times New Roman" w:hAnsi="Times New Roman" w:cs="Times New Roman"/>
          <w:szCs w:val="24"/>
        </w:rPr>
      </w:pPr>
      <w:r w:rsidRPr="00677387">
        <w:rPr>
          <w:rFonts w:ascii="Times New Roman" w:hAnsi="Times New Roman" w:cs="Times New Roman"/>
          <w:szCs w:val="24"/>
        </w:rPr>
        <w:t xml:space="preserve">implementing the </w:t>
      </w:r>
      <w:r w:rsidR="008A3A53">
        <w:rPr>
          <w:rFonts w:ascii="Times New Roman" w:hAnsi="Times New Roman" w:cs="Times New Roman"/>
          <w:szCs w:val="24"/>
        </w:rPr>
        <w:t>CDR</w:t>
      </w:r>
      <w:r w:rsidRPr="00677387">
        <w:rPr>
          <w:rFonts w:ascii="Times New Roman" w:hAnsi="Times New Roman" w:cs="Times New Roman"/>
          <w:szCs w:val="24"/>
        </w:rPr>
        <w:t xml:space="preserve"> framework as drafted;</w:t>
      </w:r>
    </w:p>
    <w:p w:rsidR="002F42FE" w:rsidRPr="00677387" w:rsidRDefault="002F42FE" w:rsidP="00116291">
      <w:pPr>
        <w:pStyle w:val="ListParagraph"/>
        <w:numPr>
          <w:ilvl w:val="0"/>
          <w:numId w:val="11"/>
        </w:numPr>
        <w:spacing w:line="276" w:lineRule="auto"/>
        <w:rPr>
          <w:rFonts w:ascii="Times New Roman" w:hAnsi="Times New Roman" w:cs="Times New Roman"/>
          <w:szCs w:val="24"/>
        </w:rPr>
      </w:pPr>
      <w:r w:rsidRPr="00677387">
        <w:rPr>
          <w:rFonts w:ascii="Times New Roman" w:hAnsi="Times New Roman" w:cs="Times New Roman"/>
          <w:szCs w:val="24"/>
        </w:rPr>
        <w:t>reforming elements of the proposed framework;</w:t>
      </w:r>
    </w:p>
    <w:p w:rsidR="00526DC0" w:rsidRPr="000413C9" w:rsidRDefault="002F42FE" w:rsidP="000413C9">
      <w:pPr>
        <w:pStyle w:val="ListParagraph"/>
        <w:numPr>
          <w:ilvl w:val="0"/>
          <w:numId w:val="11"/>
        </w:numPr>
        <w:spacing w:line="276" w:lineRule="auto"/>
        <w:rPr>
          <w:rFonts w:ascii="Times New Roman" w:hAnsi="Times New Roman" w:cs="Times New Roman"/>
          <w:szCs w:val="24"/>
        </w:rPr>
      </w:pPr>
      <w:proofErr w:type="gramStart"/>
      <w:r w:rsidRPr="00677387">
        <w:rPr>
          <w:rFonts w:ascii="Times New Roman" w:hAnsi="Times New Roman" w:cs="Times New Roman"/>
          <w:szCs w:val="24"/>
        </w:rPr>
        <w:t>adopting</w:t>
      </w:r>
      <w:proofErr w:type="gramEnd"/>
      <w:r w:rsidRPr="00677387">
        <w:rPr>
          <w:rFonts w:ascii="Times New Roman" w:hAnsi="Times New Roman" w:cs="Times New Roman"/>
          <w:szCs w:val="24"/>
        </w:rPr>
        <w:t xml:space="preserve"> a comprehensive approach to the management of individuals</w:t>
      </w:r>
      <w:r w:rsidR="00DF2D9A">
        <w:rPr>
          <w:rFonts w:ascii="Times New Roman" w:hAnsi="Times New Roman" w:cs="Times New Roman"/>
          <w:szCs w:val="24"/>
        </w:rPr>
        <w:t>’</w:t>
      </w:r>
      <w:r w:rsidRPr="00677387">
        <w:rPr>
          <w:rFonts w:ascii="Times New Roman" w:hAnsi="Times New Roman" w:cs="Times New Roman"/>
          <w:szCs w:val="24"/>
        </w:rPr>
        <w:t xml:space="preserve"> data.</w:t>
      </w:r>
    </w:p>
    <w:p w:rsidR="002F42FE" w:rsidRPr="002F42FE" w:rsidRDefault="002F42FE" w:rsidP="002F42FE">
      <w:pPr>
        <w:spacing w:line="360" w:lineRule="auto"/>
        <w:rPr>
          <w:rFonts w:ascii="Arial" w:eastAsia="Arial Unicode MS" w:hAnsi="Arial" w:cs="Arial"/>
          <w:sz w:val="28"/>
          <w:lang w:val="en-IE" w:eastAsia="en-AU" w:bidi="hi-IN"/>
        </w:rPr>
      </w:pPr>
      <w:r>
        <w:rPr>
          <w:rFonts w:ascii="Arial" w:eastAsia="Arial Unicode MS" w:hAnsi="Arial" w:cs="Arial"/>
          <w:sz w:val="28"/>
          <w:lang w:val="en-IE" w:eastAsia="en-AU" w:bidi="hi-IN"/>
        </w:rPr>
        <w:t xml:space="preserve">Maintain the status quo – do nothing </w:t>
      </w:r>
    </w:p>
    <w:p w:rsidR="00056795" w:rsidRPr="007D6A9F" w:rsidRDefault="00056795" w:rsidP="004454E9">
      <w:pPr>
        <w:jc w:val="both"/>
        <w:rPr>
          <w:rFonts w:ascii="Times New Roman" w:hAnsi="Times New Roman" w:cs="Times New Roman"/>
          <w:sz w:val="24"/>
          <w:szCs w:val="24"/>
        </w:rPr>
      </w:pPr>
      <w:r w:rsidRPr="007D6A9F">
        <w:rPr>
          <w:rFonts w:ascii="Times New Roman" w:hAnsi="Times New Roman" w:cs="Times New Roman"/>
          <w:sz w:val="24"/>
          <w:szCs w:val="24"/>
        </w:rPr>
        <w:t>One option in any first principles assessment of regulatory reform is to do nothing and leave regulatory settings in place</w:t>
      </w:r>
      <w:r w:rsidR="007D6A9F" w:rsidRPr="007D6A9F">
        <w:rPr>
          <w:rFonts w:ascii="Times New Roman" w:hAnsi="Times New Roman" w:cs="Times New Roman"/>
          <w:sz w:val="24"/>
          <w:szCs w:val="24"/>
        </w:rPr>
        <w:t xml:space="preserve"> </w:t>
      </w:r>
      <w:r w:rsidR="007D6A9F" w:rsidRPr="007D6A9F">
        <w:rPr>
          <w:rFonts w:ascii="Times New Roman" w:hAnsi="Times New Roman" w:cs="Times New Roman"/>
          <w:sz w:val="24"/>
        </w:rPr>
        <w:t>(DPMC 2014)</w:t>
      </w:r>
      <w:r w:rsidRPr="007D6A9F">
        <w:rPr>
          <w:rFonts w:ascii="Times New Roman" w:hAnsi="Times New Roman" w:cs="Times New Roman"/>
          <w:sz w:val="24"/>
          <w:szCs w:val="24"/>
        </w:rPr>
        <w:t>.</w:t>
      </w:r>
      <w:r w:rsidR="007D6A9F" w:rsidRPr="007D6A9F">
        <w:rPr>
          <w:rFonts w:ascii="Times New Roman" w:hAnsi="Times New Roman" w:cs="Times New Roman"/>
          <w:sz w:val="24"/>
          <w:szCs w:val="24"/>
        </w:rPr>
        <w:t xml:space="preserve"> </w:t>
      </w:r>
      <w:r w:rsidRPr="007D6A9F">
        <w:rPr>
          <w:rFonts w:ascii="Times New Roman" w:hAnsi="Times New Roman" w:cs="Times New Roman"/>
          <w:sz w:val="24"/>
          <w:szCs w:val="24"/>
        </w:rPr>
        <w:t xml:space="preserve">Often the hardest option for government, doing nothing may represent the best response where the costs associated with government intervention in any form are likely to exceed the benefits of government action. </w:t>
      </w:r>
    </w:p>
    <w:p w:rsidR="004454E9" w:rsidRPr="003464DD" w:rsidRDefault="004454E9" w:rsidP="004454E9">
      <w:pPr>
        <w:jc w:val="both"/>
        <w:rPr>
          <w:rFonts w:ascii="Times New Roman" w:hAnsi="Times New Roman" w:cs="Times New Roman"/>
          <w:color w:val="000000" w:themeColor="text1"/>
          <w:sz w:val="24"/>
          <w:szCs w:val="24"/>
        </w:rPr>
      </w:pPr>
      <w:r w:rsidRPr="003464DD">
        <w:rPr>
          <w:rFonts w:ascii="Times New Roman" w:hAnsi="Times New Roman" w:cs="Times New Roman"/>
          <w:color w:val="000000" w:themeColor="text1"/>
          <w:sz w:val="24"/>
          <w:szCs w:val="24"/>
        </w:rPr>
        <w:t>In some instances this may represent the best option given that costs are inherently entailed in changing existing regulatory settings and transitioning to a new form of regulation</w:t>
      </w:r>
      <w:r w:rsidR="00766A18" w:rsidRPr="003464DD">
        <w:rPr>
          <w:rFonts w:ascii="Times New Roman" w:hAnsi="Times New Roman" w:cs="Times New Roman"/>
          <w:color w:val="000000" w:themeColor="text1"/>
          <w:sz w:val="24"/>
          <w:szCs w:val="24"/>
        </w:rPr>
        <w:t xml:space="preserve"> </w:t>
      </w:r>
      <w:r w:rsidR="00766A18" w:rsidRPr="003464DD">
        <w:rPr>
          <w:rFonts w:ascii="Times New Roman" w:hAnsi="Times New Roman" w:cs="Times New Roman"/>
          <w:noProof/>
          <w:color w:val="000000" w:themeColor="text1"/>
          <w:sz w:val="24"/>
          <w:szCs w:val="24"/>
        </w:rPr>
        <w:t>(Marneffe &amp; Vereeck 2011)</w:t>
      </w:r>
      <w:r w:rsidRPr="003464DD">
        <w:rPr>
          <w:rFonts w:ascii="Times New Roman" w:hAnsi="Times New Roman" w:cs="Times New Roman"/>
          <w:color w:val="000000" w:themeColor="text1"/>
          <w:sz w:val="24"/>
          <w:szCs w:val="24"/>
        </w:rPr>
        <w:t>. As part of considering this option, it is important to examine the suitability of existing settings.</w:t>
      </w:r>
    </w:p>
    <w:p w:rsidR="0003141F" w:rsidRDefault="00056795" w:rsidP="00DC436F">
      <w:pPr>
        <w:jc w:val="both"/>
        <w:rPr>
          <w:rFonts w:ascii="Times New Roman" w:hAnsi="Times New Roman" w:cs="Times New Roman"/>
          <w:sz w:val="24"/>
          <w:szCs w:val="24"/>
        </w:rPr>
      </w:pPr>
      <w:r w:rsidRPr="00056795">
        <w:rPr>
          <w:rFonts w:ascii="Times New Roman" w:hAnsi="Times New Roman" w:cs="Times New Roman"/>
          <w:sz w:val="24"/>
          <w:szCs w:val="24"/>
        </w:rPr>
        <w:t xml:space="preserve">On the </w:t>
      </w:r>
      <w:r w:rsidR="00E400FD">
        <w:rPr>
          <w:rFonts w:ascii="Times New Roman" w:hAnsi="Times New Roman" w:cs="Times New Roman"/>
          <w:sz w:val="24"/>
          <w:szCs w:val="24"/>
        </w:rPr>
        <w:t>basis</w:t>
      </w:r>
      <w:r w:rsidRPr="00056795">
        <w:rPr>
          <w:rFonts w:ascii="Times New Roman" w:hAnsi="Times New Roman" w:cs="Times New Roman"/>
          <w:sz w:val="24"/>
          <w:szCs w:val="24"/>
        </w:rPr>
        <w:t xml:space="preserve"> of the market failures outlined above, it is clear that doing nothing is unlikely to be an appropriate option to address the significant </w:t>
      </w:r>
      <w:r w:rsidR="0045005F">
        <w:rPr>
          <w:rFonts w:ascii="Times New Roman" w:hAnsi="Times New Roman" w:cs="Times New Roman"/>
          <w:sz w:val="24"/>
          <w:szCs w:val="24"/>
        </w:rPr>
        <w:t>challenges</w:t>
      </w:r>
      <w:r w:rsidRPr="00056795">
        <w:rPr>
          <w:rFonts w:ascii="Times New Roman" w:hAnsi="Times New Roman" w:cs="Times New Roman"/>
          <w:sz w:val="24"/>
          <w:szCs w:val="24"/>
        </w:rPr>
        <w:t xml:space="preserve"> that exist within the </w:t>
      </w:r>
      <w:r w:rsidR="0045005F">
        <w:rPr>
          <w:rFonts w:ascii="Times New Roman" w:hAnsi="Times New Roman" w:cs="Times New Roman"/>
          <w:sz w:val="24"/>
          <w:szCs w:val="24"/>
        </w:rPr>
        <w:t>identified</w:t>
      </w:r>
      <w:r w:rsidRPr="00056795">
        <w:rPr>
          <w:rFonts w:ascii="Times New Roman" w:hAnsi="Times New Roman" w:cs="Times New Roman"/>
          <w:sz w:val="24"/>
          <w:szCs w:val="24"/>
        </w:rPr>
        <w:t xml:space="preserve"> markets. </w:t>
      </w:r>
      <w:r w:rsidR="007D6A9F">
        <w:rPr>
          <w:rFonts w:ascii="Times New Roman" w:hAnsi="Times New Roman" w:cs="Times New Roman"/>
          <w:sz w:val="24"/>
          <w:szCs w:val="24"/>
        </w:rPr>
        <w:t xml:space="preserve">In particular the emerging use of proxy information within markets is unlikely to be addressed by the maintenance of the status quo, where such information would remain entirely unregulated. </w:t>
      </w:r>
      <w:r>
        <w:rPr>
          <w:rFonts w:ascii="Times New Roman" w:hAnsi="Times New Roman" w:cs="Times New Roman"/>
          <w:sz w:val="24"/>
          <w:szCs w:val="24"/>
        </w:rPr>
        <w:t>However, this is not to say that the</w:t>
      </w:r>
      <w:r w:rsidR="007D6A9F">
        <w:rPr>
          <w:rFonts w:ascii="Times New Roman" w:hAnsi="Times New Roman" w:cs="Times New Roman"/>
          <w:sz w:val="24"/>
          <w:szCs w:val="24"/>
        </w:rPr>
        <w:t xml:space="preserve"> current proposal as drafted necessarily represents the best option.</w:t>
      </w:r>
    </w:p>
    <w:p w:rsidR="0015743E" w:rsidRDefault="0015743E" w:rsidP="00DC436F">
      <w:pPr>
        <w:jc w:val="both"/>
        <w:rPr>
          <w:rFonts w:ascii="Times New Roman" w:hAnsi="Times New Roman" w:cs="Times New Roman"/>
          <w:sz w:val="24"/>
          <w:szCs w:val="24"/>
        </w:rPr>
      </w:pPr>
    </w:p>
    <w:p w:rsidR="0015743E" w:rsidRDefault="0015743E" w:rsidP="00DC436F">
      <w:pPr>
        <w:jc w:val="both"/>
        <w:rPr>
          <w:rFonts w:ascii="Times New Roman" w:hAnsi="Times New Roman" w:cs="Times New Roman"/>
          <w:sz w:val="24"/>
          <w:szCs w:val="24"/>
        </w:rPr>
      </w:pPr>
    </w:p>
    <w:p w:rsidR="0015743E" w:rsidRPr="00451699" w:rsidRDefault="0015743E" w:rsidP="00DC436F">
      <w:pPr>
        <w:jc w:val="both"/>
        <w:rPr>
          <w:rFonts w:ascii="Times New Roman" w:hAnsi="Times New Roman" w:cs="Times New Roman"/>
          <w:sz w:val="24"/>
          <w:szCs w:val="24"/>
        </w:rPr>
      </w:pPr>
    </w:p>
    <w:p w:rsidR="002F42FE" w:rsidRDefault="007D6A9F" w:rsidP="006C23E7">
      <w:pPr>
        <w:spacing w:line="360" w:lineRule="auto"/>
        <w:rPr>
          <w:rFonts w:ascii="Arial" w:eastAsia="Arial Unicode MS" w:hAnsi="Arial" w:cs="Arial"/>
          <w:sz w:val="28"/>
          <w:lang w:val="en-IE" w:eastAsia="en-AU" w:bidi="hi-IN"/>
        </w:rPr>
      </w:pPr>
      <w:r>
        <w:rPr>
          <w:rFonts w:ascii="Arial" w:eastAsia="Arial Unicode MS" w:hAnsi="Arial" w:cs="Arial"/>
          <w:sz w:val="28"/>
          <w:lang w:val="en-IE" w:eastAsia="en-AU" w:bidi="hi-IN"/>
        </w:rPr>
        <w:lastRenderedPageBreak/>
        <w:t>Adopting the consumer data right framework as drafted</w:t>
      </w:r>
    </w:p>
    <w:p w:rsidR="006C23E7" w:rsidRPr="008F69A1" w:rsidRDefault="00831EE3" w:rsidP="000658C0">
      <w:pPr>
        <w:jc w:val="both"/>
        <w:rPr>
          <w:rFonts w:ascii="Times New Roman" w:eastAsia="Arial Unicode MS" w:hAnsi="Times New Roman" w:cs="Times New Roman"/>
          <w:color w:val="000000" w:themeColor="text1"/>
          <w:sz w:val="24"/>
          <w:szCs w:val="24"/>
          <w:lang w:val="en-IE" w:eastAsia="en-AU" w:bidi="hi-IN"/>
        </w:rPr>
      </w:pPr>
      <w:r w:rsidRPr="008F69A1">
        <w:rPr>
          <w:rFonts w:ascii="Times New Roman" w:eastAsia="Arial Unicode MS" w:hAnsi="Times New Roman" w:cs="Times New Roman"/>
          <w:color w:val="000000" w:themeColor="text1"/>
          <w:sz w:val="24"/>
          <w:szCs w:val="24"/>
          <w:lang w:val="en-IE" w:eastAsia="en-AU" w:bidi="hi-IN"/>
        </w:rPr>
        <w:t xml:space="preserve">This option would entail adopting the framework as currently drafted. </w:t>
      </w:r>
      <w:r w:rsidR="007D1B98" w:rsidRPr="008F69A1">
        <w:rPr>
          <w:rFonts w:ascii="Times New Roman" w:eastAsia="Arial Unicode MS" w:hAnsi="Times New Roman" w:cs="Times New Roman"/>
          <w:color w:val="000000" w:themeColor="text1"/>
          <w:sz w:val="24"/>
          <w:szCs w:val="24"/>
          <w:lang w:val="en-IE" w:eastAsia="en-AU" w:bidi="hi-IN"/>
        </w:rPr>
        <w:t xml:space="preserve">ACCAN has concerns </w:t>
      </w:r>
      <w:r w:rsidR="004502CA" w:rsidRPr="008F69A1">
        <w:rPr>
          <w:rFonts w:ascii="Times New Roman" w:eastAsia="Arial Unicode MS" w:hAnsi="Times New Roman" w:cs="Times New Roman"/>
          <w:color w:val="000000" w:themeColor="text1"/>
          <w:sz w:val="24"/>
          <w:szCs w:val="24"/>
          <w:lang w:val="en-IE" w:eastAsia="en-AU" w:bidi="hi-IN"/>
        </w:rPr>
        <w:t>that this</w:t>
      </w:r>
      <w:r w:rsidR="007D1B98" w:rsidRPr="008F69A1">
        <w:rPr>
          <w:rFonts w:ascii="Times New Roman" w:eastAsia="Arial Unicode MS" w:hAnsi="Times New Roman" w:cs="Times New Roman"/>
          <w:color w:val="000000" w:themeColor="text1"/>
          <w:sz w:val="24"/>
          <w:szCs w:val="24"/>
          <w:lang w:val="en-IE" w:eastAsia="en-AU" w:bidi="hi-IN"/>
        </w:rPr>
        <w:t xml:space="preserve"> would not adequately address issues of consent, privacy and the potential for data to be used for anti-competitive purposes. </w:t>
      </w:r>
    </w:p>
    <w:p w:rsidR="001547AF" w:rsidRDefault="0019149E" w:rsidP="000658C0">
      <w:pPr>
        <w:jc w:val="both"/>
        <w:rPr>
          <w:rFonts w:ascii="Times New Roman" w:hAnsi="Times New Roman" w:cs="Times New Roman"/>
          <w:color w:val="000000" w:themeColor="text1"/>
          <w:sz w:val="24"/>
          <w:szCs w:val="24"/>
        </w:rPr>
      </w:pPr>
      <w:r w:rsidRPr="008F69A1">
        <w:rPr>
          <w:rFonts w:ascii="Times New Roman" w:hAnsi="Times New Roman" w:cs="Times New Roman"/>
          <w:color w:val="000000" w:themeColor="text1"/>
          <w:sz w:val="24"/>
          <w:szCs w:val="24"/>
        </w:rPr>
        <w:t xml:space="preserve">On the basis of available evidence, it is not clear that the proposal as drafted would provide sufficient protections for consumers, such that they could have confidence and trust in the CDR system. </w:t>
      </w:r>
      <w:r w:rsidR="00CB67A0" w:rsidRPr="008F69A1">
        <w:rPr>
          <w:rFonts w:ascii="Times New Roman" w:hAnsi="Times New Roman" w:cs="Times New Roman"/>
          <w:color w:val="000000" w:themeColor="text1"/>
          <w:sz w:val="24"/>
          <w:szCs w:val="24"/>
        </w:rPr>
        <w:t>If co</w:t>
      </w:r>
      <w:r w:rsidR="00742CF5" w:rsidRPr="008F69A1">
        <w:rPr>
          <w:rFonts w:ascii="Times New Roman" w:hAnsi="Times New Roman" w:cs="Times New Roman"/>
          <w:color w:val="000000" w:themeColor="text1"/>
          <w:sz w:val="24"/>
          <w:szCs w:val="24"/>
        </w:rPr>
        <w:t xml:space="preserve">nsumers lack confidence in the framework, uptake is likely to be low, and as a </w:t>
      </w:r>
      <w:r w:rsidRPr="008F69A1">
        <w:rPr>
          <w:rFonts w:ascii="Times New Roman" w:hAnsi="Times New Roman" w:cs="Times New Roman"/>
          <w:color w:val="000000" w:themeColor="text1"/>
          <w:sz w:val="24"/>
          <w:szCs w:val="24"/>
        </w:rPr>
        <w:t xml:space="preserve">consequence, the </w:t>
      </w:r>
      <w:r w:rsidR="001547AF" w:rsidRPr="008F69A1">
        <w:rPr>
          <w:rFonts w:ascii="Times New Roman" w:hAnsi="Times New Roman" w:cs="Times New Roman"/>
          <w:color w:val="000000" w:themeColor="text1"/>
          <w:sz w:val="24"/>
          <w:szCs w:val="24"/>
        </w:rPr>
        <w:t xml:space="preserve">estimated </w:t>
      </w:r>
      <w:r w:rsidRPr="008F69A1">
        <w:rPr>
          <w:rFonts w:ascii="Times New Roman" w:hAnsi="Times New Roman" w:cs="Times New Roman"/>
          <w:color w:val="000000" w:themeColor="text1"/>
          <w:sz w:val="24"/>
          <w:szCs w:val="24"/>
        </w:rPr>
        <w:t xml:space="preserve">benefits associated with the framework may </w:t>
      </w:r>
      <w:r w:rsidR="001547AF" w:rsidRPr="008F69A1">
        <w:rPr>
          <w:rFonts w:ascii="Times New Roman" w:hAnsi="Times New Roman" w:cs="Times New Roman"/>
          <w:color w:val="000000" w:themeColor="text1"/>
          <w:sz w:val="24"/>
          <w:szCs w:val="24"/>
        </w:rPr>
        <w:t xml:space="preserve">not meet </w:t>
      </w:r>
      <w:r w:rsidR="00121F80" w:rsidRPr="008F69A1">
        <w:rPr>
          <w:rFonts w:ascii="Times New Roman" w:hAnsi="Times New Roman" w:cs="Times New Roman"/>
          <w:color w:val="000000" w:themeColor="text1"/>
          <w:sz w:val="24"/>
          <w:szCs w:val="24"/>
        </w:rPr>
        <w:t>expectations or</w:t>
      </w:r>
      <w:r w:rsidR="00742CF5" w:rsidRPr="008F69A1">
        <w:rPr>
          <w:rFonts w:ascii="Times New Roman" w:hAnsi="Times New Roman" w:cs="Times New Roman"/>
          <w:color w:val="000000" w:themeColor="text1"/>
          <w:sz w:val="24"/>
          <w:szCs w:val="24"/>
        </w:rPr>
        <w:t xml:space="preserve"> be sustained. </w:t>
      </w:r>
    </w:p>
    <w:p w:rsidR="00526DC0" w:rsidRPr="008F69A1" w:rsidRDefault="00E46BFD" w:rsidP="000658C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ACCAN submits that as drafted, the legislation is unlikely to pass a cost benefit test. </w:t>
      </w:r>
      <w:r w:rsidR="005D05BE">
        <w:rPr>
          <w:rFonts w:ascii="Times New Roman" w:hAnsi="Times New Roman" w:cs="Times New Roman"/>
          <w:color w:val="000000" w:themeColor="text1"/>
          <w:sz w:val="24"/>
          <w:szCs w:val="24"/>
        </w:rPr>
        <w:t xml:space="preserve"> Identifiable costs are</w:t>
      </w:r>
      <w:r w:rsidR="00451699">
        <w:rPr>
          <w:rFonts w:ascii="Times New Roman" w:hAnsi="Times New Roman" w:cs="Times New Roman"/>
          <w:color w:val="000000" w:themeColor="text1"/>
          <w:sz w:val="24"/>
          <w:szCs w:val="24"/>
        </w:rPr>
        <w:t xml:space="preserve"> the drafting of the legislation and significant ongoing regulatory costs, risks to consumer privacy and potential for anti-competitive </w:t>
      </w:r>
      <w:proofErr w:type="spellStart"/>
      <w:r w:rsidR="00451699">
        <w:rPr>
          <w:rFonts w:ascii="Times New Roman" w:hAnsi="Times New Roman" w:cs="Times New Roman"/>
          <w:color w:val="000000" w:themeColor="text1"/>
          <w:sz w:val="24"/>
          <w:szCs w:val="24"/>
        </w:rPr>
        <w:t>behavio</w:t>
      </w:r>
      <w:r w:rsidR="005D05BE">
        <w:rPr>
          <w:rFonts w:ascii="Times New Roman" w:hAnsi="Times New Roman" w:cs="Times New Roman"/>
          <w:color w:val="000000" w:themeColor="text1"/>
          <w:sz w:val="24"/>
          <w:szCs w:val="24"/>
        </w:rPr>
        <w:t>u</w:t>
      </w:r>
      <w:r w:rsidR="00451699">
        <w:rPr>
          <w:rFonts w:ascii="Times New Roman" w:hAnsi="Times New Roman" w:cs="Times New Roman"/>
          <w:color w:val="000000" w:themeColor="text1"/>
          <w:sz w:val="24"/>
          <w:szCs w:val="24"/>
        </w:rPr>
        <w:t>r</w:t>
      </w:r>
      <w:proofErr w:type="spellEnd"/>
      <w:r w:rsidR="005D05BE">
        <w:rPr>
          <w:rFonts w:ascii="Times New Roman" w:hAnsi="Times New Roman" w:cs="Times New Roman"/>
          <w:color w:val="000000" w:themeColor="text1"/>
          <w:sz w:val="24"/>
          <w:szCs w:val="24"/>
        </w:rPr>
        <w:t>.</w:t>
      </w:r>
      <w:r w:rsidR="00451699">
        <w:rPr>
          <w:rFonts w:ascii="Times New Roman" w:hAnsi="Times New Roman" w:cs="Times New Roman"/>
          <w:color w:val="000000" w:themeColor="text1"/>
          <w:sz w:val="24"/>
          <w:szCs w:val="24"/>
        </w:rPr>
        <w:t xml:space="preserve"> Although </w:t>
      </w:r>
      <w:r w:rsidR="00526DC0">
        <w:rPr>
          <w:rFonts w:ascii="Times New Roman" w:hAnsi="Times New Roman" w:cs="Times New Roman"/>
          <w:color w:val="000000" w:themeColor="text1"/>
          <w:sz w:val="24"/>
          <w:szCs w:val="24"/>
        </w:rPr>
        <w:t xml:space="preserve">the CDR will </w:t>
      </w:r>
      <w:r w:rsidR="00FE456E">
        <w:rPr>
          <w:rFonts w:ascii="Times New Roman" w:hAnsi="Times New Roman" w:cs="Times New Roman"/>
          <w:color w:val="000000" w:themeColor="text1"/>
          <w:sz w:val="24"/>
          <w:szCs w:val="24"/>
        </w:rPr>
        <w:t>provide</w:t>
      </w:r>
      <w:r w:rsidR="00526DC0">
        <w:rPr>
          <w:rFonts w:ascii="Times New Roman" w:hAnsi="Times New Roman" w:cs="Times New Roman"/>
          <w:color w:val="000000" w:themeColor="text1"/>
          <w:sz w:val="24"/>
          <w:szCs w:val="24"/>
        </w:rPr>
        <w:t xml:space="preserve"> net benefits insofar </w:t>
      </w:r>
      <w:r w:rsidR="00454507">
        <w:rPr>
          <w:rFonts w:ascii="Times New Roman" w:hAnsi="Times New Roman" w:cs="Times New Roman"/>
          <w:color w:val="000000" w:themeColor="text1"/>
          <w:sz w:val="24"/>
          <w:szCs w:val="24"/>
        </w:rPr>
        <w:t>as it</w:t>
      </w:r>
      <w:r w:rsidR="00526DC0">
        <w:rPr>
          <w:rFonts w:ascii="Times New Roman" w:hAnsi="Times New Roman" w:cs="Times New Roman"/>
          <w:color w:val="000000" w:themeColor="text1"/>
          <w:sz w:val="24"/>
          <w:szCs w:val="24"/>
        </w:rPr>
        <w:t xml:space="preserve"> reduces the transaction costs associated with switching, the sharing of consumer data </w:t>
      </w:r>
      <w:r w:rsidR="008F601D">
        <w:rPr>
          <w:rFonts w:ascii="Times New Roman" w:hAnsi="Times New Roman" w:cs="Times New Roman"/>
          <w:color w:val="000000" w:themeColor="text1"/>
          <w:sz w:val="24"/>
          <w:szCs w:val="24"/>
        </w:rPr>
        <w:t>will not</w:t>
      </w:r>
      <w:r w:rsidR="00526DC0">
        <w:rPr>
          <w:rFonts w:ascii="Times New Roman" w:hAnsi="Times New Roman" w:cs="Times New Roman"/>
          <w:color w:val="000000" w:themeColor="text1"/>
          <w:sz w:val="24"/>
          <w:szCs w:val="24"/>
        </w:rPr>
        <w:t xml:space="preserve"> sufficient</w:t>
      </w:r>
      <w:r w:rsidR="005D05BE">
        <w:rPr>
          <w:rFonts w:ascii="Times New Roman" w:hAnsi="Times New Roman" w:cs="Times New Roman"/>
          <w:color w:val="000000" w:themeColor="text1"/>
          <w:sz w:val="24"/>
          <w:szCs w:val="24"/>
        </w:rPr>
        <w:t>ly</w:t>
      </w:r>
      <w:r w:rsidR="00526DC0">
        <w:rPr>
          <w:rFonts w:ascii="Times New Roman" w:hAnsi="Times New Roman" w:cs="Times New Roman"/>
          <w:color w:val="000000" w:themeColor="text1"/>
          <w:sz w:val="24"/>
          <w:szCs w:val="24"/>
        </w:rPr>
        <w:t xml:space="preserve"> rectify information asymmetries present across the identified sectors. As a consequence, much of the purported </w:t>
      </w:r>
      <w:r w:rsidR="00A60CD9">
        <w:rPr>
          <w:rFonts w:ascii="Times New Roman" w:hAnsi="Times New Roman" w:cs="Times New Roman"/>
          <w:color w:val="000000" w:themeColor="text1"/>
          <w:sz w:val="24"/>
          <w:szCs w:val="24"/>
        </w:rPr>
        <w:t>benefits</w:t>
      </w:r>
      <w:r w:rsidR="00526DC0">
        <w:rPr>
          <w:rFonts w:ascii="Times New Roman" w:hAnsi="Times New Roman" w:cs="Times New Roman"/>
          <w:color w:val="000000" w:themeColor="text1"/>
          <w:sz w:val="24"/>
          <w:szCs w:val="24"/>
        </w:rPr>
        <w:t xml:space="preserve"> may not be realized as the reduction in transaction costs will be marginal against the costs of implementation and existing alternatives available to consumers. Accordingly given the risks of anti-competitive </w:t>
      </w:r>
      <w:proofErr w:type="spellStart"/>
      <w:r w:rsidR="00526DC0">
        <w:rPr>
          <w:rFonts w:ascii="Times New Roman" w:hAnsi="Times New Roman" w:cs="Times New Roman"/>
          <w:color w:val="000000" w:themeColor="text1"/>
          <w:sz w:val="24"/>
          <w:szCs w:val="24"/>
        </w:rPr>
        <w:t>behavio</w:t>
      </w:r>
      <w:r w:rsidR="00734E67">
        <w:rPr>
          <w:rFonts w:ascii="Times New Roman" w:hAnsi="Times New Roman" w:cs="Times New Roman"/>
          <w:color w:val="000000" w:themeColor="text1"/>
          <w:sz w:val="24"/>
          <w:szCs w:val="24"/>
        </w:rPr>
        <w:t>u</w:t>
      </w:r>
      <w:r w:rsidR="00526DC0">
        <w:rPr>
          <w:rFonts w:ascii="Times New Roman" w:hAnsi="Times New Roman" w:cs="Times New Roman"/>
          <w:color w:val="000000" w:themeColor="text1"/>
          <w:sz w:val="24"/>
          <w:szCs w:val="24"/>
        </w:rPr>
        <w:t>r</w:t>
      </w:r>
      <w:proofErr w:type="spellEnd"/>
      <w:r w:rsidR="00526DC0">
        <w:rPr>
          <w:rFonts w:ascii="Times New Roman" w:hAnsi="Times New Roman" w:cs="Times New Roman"/>
          <w:color w:val="000000" w:themeColor="text1"/>
          <w:sz w:val="24"/>
          <w:szCs w:val="24"/>
        </w:rPr>
        <w:t>, the framework is unlikely to pass a rigorous cost-benefit analysis.</w:t>
      </w:r>
    </w:p>
    <w:p w:rsidR="007D6A9F" w:rsidRPr="002F42FE" w:rsidRDefault="007D6A9F" w:rsidP="007D6A9F">
      <w:pPr>
        <w:spacing w:line="360" w:lineRule="auto"/>
        <w:rPr>
          <w:rFonts w:ascii="Arial" w:eastAsia="Arial Unicode MS" w:hAnsi="Arial" w:cs="Arial"/>
          <w:sz w:val="28"/>
          <w:lang w:val="en-IE" w:eastAsia="en-AU" w:bidi="hi-IN"/>
        </w:rPr>
      </w:pPr>
      <w:r>
        <w:rPr>
          <w:rFonts w:ascii="Arial" w:eastAsia="Arial Unicode MS" w:hAnsi="Arial" w:cs="Arial"/>
          <w:sz w:val="28"/>
          <w:lang w:val="en-IE" w:eastAsia="en-AU" w:bidi="hi-IN"/>
        </w:rPr>
        <w:t>An enhanced consumer data right framework</w:t>
      </w:r>
    </w:p>
    <w:p w:rsidR="00FC2163" w:rsidRPr="00B96C46" w:rsidRDefault="00FC2163" w:rsidP="004454E9">
      <w:pPr>
        <w:jc w:val="both"/>
        <w:rPr>
          <w:rFonts w:ascii="Times New Roman" w:hAnsi="Times New Roman" w:cs="Times New Roman"/>
          <w:color w:val="000000" w:themeColor="text1"/>
          <w:sz w:val="24"/>
          <w:szCs w:val="24"/>
        </w:rPr>
      </w:pPr>
      <w:r w:rsidRPr="00B96C46">
        <w:rPr>
          <w:rFonts w:ascii="Times New Roman" w:hAnsi="Times New Roman" w:cs="Times New Roman"/>
          <w:color w:val="000000" w:themeColor="text1"/>
          <w:sz w:val="24"/>
          <w:szCs w:val="24"/>
        </w:rPr>
        <w:t>The third option would be to refine the proposed framework to provide explicit protections for consumers’ data. An enhanced framework would include elements such as:</w:t>
      </w:r>
    </w:p>
    <w:p w:rsidR="00FC2163" w:rsidRPr="00B96C46" w:rsidRDefault="00964D63" w:rsidP="00116291">
      <w:pPr>
        <w:pStyle w:val="ListParagraph"/>
        <w:numPr>
          <w:ilvl w:val="0"/>
          <w:numId w:val="12"/>
        </w:numPr>
        <w:spacing w:line="276" w:lineRule="auto"/>
        <w:rPr>
          <w:rFonts w:ascii="Times New Roman" w:hAnsi="Times New Roman" w:cs="Times New Roman"/>
          <w:color w:val="000000" w:themeColor="text1"/>
          <w:szCs w:val="24"/>
        </w:rPr>
      </w:pPr>
      <w:r w:rsidRPr="00B96C46">
        <w:rPr>
          <w:rFonts w:ascii="Times New Roman" w:hAnsi="Times New Roman" w:cs="Times New Roman"/>
          <w:color w:val="000000" w:themeColor="text1"/>
          <w:szCs w:val="24"/>
        </w:rPr>
        <w:t>greater privacy protections;</w:t>
      </w:r>
    </w:p>
    <w:p w:rsidR="00FC2163" w:rsidRDefault="00964D63" w:rsidP="00116291">
      <w:pPr>
        <w:pStyle w:val="ListParagraph"/>
        <w:numPr>
          <w:ilvl w:val="0"/>
          <w:numId w:val="12"/>
        </w:numPr>
        <w:spacing w:line="276" w:lineRule="auto"/>
        <w:rPr>
          <w:rFonts w:ascii="Times New Roman" w:hAnsi="Times New Roman" w:cs="Times New Roman"/>
          <w:color w:val="000000" w:themeColor="text1"/>
          <w:szCs w:val="24"/>
        </w:rPr>
      </w:pPr>
      <w:r w:rsidRPr="00B96C46">
        <w:rPr>
          <w:rFonts w:ascii="Times New Roman" w:hAnsi="Times New Roman" w:cs="Times New Roman"/>
          <w:color w:val="000000" w:themeColor="text1"/>
          <w:szCs w:val="24"/>
        </w:rPr>
        <w:t>strict requirements for consent;</w:t>
      </w:r>
    </w:p>
    <w:p w:rsidR="00FE17A9" w:rsidRPr="00B96C46" w:rsidRDefault="00FE17A9" w:rsidP="00116291">
      <w:pPr>
        <w:pStyle w:val="ListParagraph"/>
        <w:numPr>
          <w:ilvl w:val="0"/>
          <w:numId w:val="12"/>
        </w:numPr>
        <w:spacing w:line="276" w:lineRule="auto"/>
        <w:rPr>
          <w:rFonts w:ascii="Times New Roman" w:hAnsi="Times New Roman" w:cs="Times New Roman"/>
          <w:color w:val="000000" w:themeColor="text1"/>
          <w:szCs w:val="24"/>
        </w:rPr>
      </w:pPr>
    </w:p>
    <w:p w:rsidR="00FC2163" w:rsidRPr="00B96C46" w:rsidRDefault="00FC2163" w:rsidP="00116291">
      <w:pPr>
        <w:pStyle w:val="ListParagraph"/>
        <w:numPr>
          <w:ilvl w:val="0"/>
          <w:numId w:val="12"/>
        </w:numPr>
        <w:spacing w:line="276" w:lineRule="auto"/>
        <w:rPr>
          <w:rFonts w:ascii="Times New Roman" w:hAnsi="Times New Roman" w:cs="Times New Roman"/>
          <w:color w:val="000000" w:themeColor="text1"/>
          <w:szCs w:val="24"/>
        </w:rPr>
      </w:pPr>
      <w:r w:rsidRPr="00B96C46">
        <w:rPr>
          <w:rFonts w:ascii="Times New Roman" w:hAnsi="Times New Roman" w:cs="Times New Roman"/>
          <w:color w:val="000000" w:themeColor="text1"/>
          <w:szCs w:val="24"/>
        </w:rPr>
        <w:t xml:space="preserve">rights for </w:t>
      </w:r>
      <w:r w:rsidR="00327750" w:rsidRPr="00B96C46">
        <w:rPr>
          <w:rFonts w:ascii="Times New Roman" w:hAnsi="Times New Roman" w:cs="Times New Roman"/>
          <w:color w:val="000000" w:themeColor="text1"/>
          <w:szCs w:val="24"/>
        </w:rPr>
        <w:t>consumers</w:t>
      </w:r>
      <w:r w:rsidRPr="00B96C46">
        <w:rPr>
          <w:rFonts w:ascii="Times New Roman" w:hAnsi="Times New Roman" w:cs="Times New Roman"/>
          <w:color w:val="000000" w:themeColor="text1"/>
          <w:szCs w:val="24"/>
        </w:rPr>
        <w:t xml:space="preserve"> to request the deletion of their data</w:t>
      </w:r>
      <w:r w:rsidR="00DF4880">
        <w:rPr>
          <w:rFonts w:ascii="Times New Roman" w:hAnsi="Times New Roman" w:cs="Times New Roman"/>
          <w:color w:val="000000" w:themeColor="text1"/>
          <w:szCs w:val="24"/>
        </w:rPr>
        <w:t>;</w:t>
      </w:r>
      <w:r w:rsidRPr="00B96C46">
        <w:rPr>
          <w:rFonts w:ascii="Times New Roman" w:hAnsi="Times New Roman" w:cs="Times New Roman"/>
          <w:color w:val="000000" w:themeColor="text1"/>
          <w:szCs w:val="24"/>
        </w:rPr>
        <w:t xml:space="preserve"> </w:t>
      </w:r>
    </w:p>
    <w:p w:rsidR="00FC2163" w:rsidRPr="00B96C46" w:rsidRDefault="00FC2163" w:rsidP="00116291">
      <w:pPr>
        <w:pStyle w:val="ListParagraph"/>
        <w:numPr>
          <w:ilvl w:val="0"/>
          <w:numId w:val="12"/>
        </w:numPr>
        <w:spacing w:line="276" w:lineRule="auto"/>
        <w:rPr>
          <w:rFonts w:ascii="Times New Roman" w:hAnsi="Times New Roman" w:cs="Times New Roman"/>
          <w:color w:val="000000" w:themeColor="text1"/>
          <w:szCs w:val="24"/>
        </w:rPr>
      </w:pPr>
      <w:r w:rsidRPr="00B96C46">
        <w:rPr>
          <w:rFonts w:ascii="Times New Roman" w:hAnsi="Times New Roman" w:cs="Times New Roman"/>
          <w:color w:val="000000" w:themeColor="text1"/>
          <w:szCs w:val="24"/>
        </w:rPr>
        <w:t xml:space="preserve">constraints on the use of CDR data within the accreditation framework and outside the </w:t>
      </w:r>
      <w:r w:rsidR="00327750" w:rsidRPr="00B96C46">
        <w:rPr>
          <w:rFonts w:ascii="Times New Roman" w:hAnsi="Times New Roman" w:cs="Times New Roman"/>
          <w:color w:val="000000" w:themeColor="text1"/>
          <w:szCs w:val="24"/>
        </w:rPr>
        <w:t>accreditation</w:t>
      </w:r>
      <w:r w:rsidR="00964D63" w:rsidRPr="00B96C46">
        <w:rPr>
          <w:rFonts w:ascii="Times New Roman" w:hAnsi="Times New Roman" w:cs="Times New Roman"/>
          <w:color w:val="000000" w:themeColor="text1"/>
          <w:szCs w:val="24"/>
        </w:rPr>
        <w:t xml:space="preserve"> framework;</w:t>
      </w:r>
    </w:p>
    <w:p w:rsidR="00FC2163" w:rsidRPr="00B96C46" w:rsidRDefault="00FC2163" w:rsidP="00116291">
      <w:pPr>
        <w:pStyle w:val="ListParagraph"/>
        <w:numPr>
          <w:ilvl w:val="0"/>
          <w:numId w:val="12"/>
        </w:numPr>
        <w:spacing w:line="276" w:lineRule="auto"/>
        <w:rPr>
          <w:rFonts w:ascii="Times New Roman" w:hAnsi="Times New Roman" w:cs="Times New Roman"/>
          <w:color w:val="000000" w:themeColor="text1"/>
          <w:szCs w:val="24"/>
        </w:rPr>
      </w:pPr>
      <w:r w:rsidRPr="00B96C46">
        <w:rPr>
          <w:rFonts w:ascii="Times New Roman" w:hAnsi="Times New Roman" w:cs="Times New Roman"/>
          <w:color w:val="000000" w:themeColor="text1"/>
          <w:szCs w:val="24"/>
        </w:rPr>
        <w:t>sanctions for use of data outsi</w:t>
      </w:r>
      <w:r w:rsidR="00DF4880">
        <w:rPr>
          <w:rFonts w:ascii="Times New Roman" w:hAnsi="Times New Roman" w:cs="Times New Roman"/>
          <w:color w:val="000000" w:themeColor="text1"/>
          <w:szCs w:val="24"/>
        </w:rPr>
        <w:t>de the accredited system for inappropriate</w:t>
      </w:r>
      <w:r w:rsidRPr="00B96C46">
        <w:rPr>
          <w:rFonts w:ascii="Times New Roman" w:hAnsi="Times New Roman" w:cs="Times New Roman"/>
          <w:color w:val="000000" w:themeColor="text1"/>
          <w:szCs w:val="24"/>
        </w:rPr>
        <w:t xml:space="preserve"> </w:t>
      </w:r>
      <w:r w:rsidR="00964D63" w:rsidRPr="00B96C46">
        <w:rPr>
          <w:rFonts w:ascii="Times New Roman" w:hAnsi="Times New Roman" w:cs="Times New Roman"/>
          <w:color w:val="000000" w:themeColor="text1"/>
          <w:szCs w:val="24"/>
        </w:rPr>
        <w:t>purpose</w:t>
      </w:r>
      <w:r w:rsidR="00DF4880">
        <w:rPr>
          <w:rFonts w:ascii="Times New Roman" w:hAnsi="Times New Roman" w:cs="Times New Roman"/>
          <w:color w:val="000000" w:themeColor="text1"/>
          <w:szCs w:val="24"/>
        </w:rPr>
        <w:t>s</w:t>
      </w:r>
      <w:r w:rsidR="00964D63" w:rsidRPr="00B96C46">
        <w:rPr>
          <w:rFonts w:ascii="Times New Roman" w:hAnsi="Times New Roman" w:cs="Times New Roman"/>
          <w:color w:val="000000" w:themeColor="text1"/>
          <w:szCs w:val="24"/>
        </w:rPr>
        <w:t>;</w:t>
      </w:r>
    </w:p>
    <w:p w:rsidR="00FC2163" w:rsidRDefault="00FC2163" w:rsidP="00116291">
      <w:pPr>
        <w:pStyle w:val="ListParagraph"/>
        <w:numPr>
          <w:ilvl w:val="0"/>
          <w:numId w:val="12"/>
        </w:numPr>
        <w:spacing w:line="276" w:lineRule="auto"/>
        <w:rPr>
          <w:rFonts w:ascii="Times New Roman" w:hAnsi="Times New Roman" w:cs="Times New Roman"/>
          <w:color w:val="000000" w:themeColor="text1"/>
          <w:szCs w:val="24"/>
        </w:rPr>
      </w:pPr>
      <w:r w:rsidRPr="00B96C46">
        <w:rPr>
          <w:rFonts w:ascii="Times New Roman" w:hAnsi="Times New Roman" w:cs="Times New Roman"/>
          <w:color w:val="000000" w:themeColor="text1"/>
          <w:szCs w:val="24"/>
        </w:rPr>
        <w:t>increased powers for the A</w:t>
      </w:r>
      <w:r w:rsidR="00964D63" w:rsidRPr="00B96C46">
        <w:rPr>
          <w:rFonts w:ascii="Times New Roman" w:hAnsi="Times New Roman" w:cs="Times New Roman"/>
          <w:color w:val="000000" w:themeColor="text1"/>
          <w:szCs w:val="24"/>
        </w:rPr>
        <w:t>CCC to monitor market behaviour;</w:t>
      </w:r>
    </w:p>
    <w:p w:rsidR="00097123" w:rsidRPr="00B96C46" w:rsidRDefault="00097123" w:rsidP="00116291">
      <w:pPr>
        <w:pStyle w:val="ListParagraph"/>
        <w:numPr>
          <w:ilvl w:val="0"/>
          <w:numId w:val="12"/>
        </w:numPr>
        <w:spacing w:line="276" w:lineRule="auto"/>
        <w:rPr>
          <w:rFonts w:ascii="Times New Roman" w:hAnsi="Times New Roman" w:cs="Times New Roman"/>
          <w:color w:val="000000" w:themeColor="text1"/>
          <w:szCs w:val="24"/>
        </w:rPr>
      </w:pPr>
      <w:r>
        <w:rPr>
          <w:rFonts w:ascii="Times New Roman" w:hAnsi="Times New Roman" w:cs="Times New Roman"/>
          <w:color w:val="000000" w:themeColor="text1"/>
          <w:szCs w:val="24"/>
        </w:rPr>
        <w:t>exceptional penalties for seeking to use or using CDR data for re-identification of individuals;</w:t>
      </w:r>
    </w:p>
    <w:p w:rsidR="00CC79EF" w:rsidRPr="00B96C46" w:rsidRDefault="00FC2163" w:rsidP="00116291">
      <w:pPr>
        <w:pStyle w:val="ListParagraph"/>
        <w:numPr>
          <w:ilvl w:val="0"/>
          <w:numId w:val="12"/>
        </w:numPr>
        <w:spacing w:line="276" w:lineRule="auto"/>
        <w:rPr>
          <w:rFonts w:ascii="Times New Roman" w:hAnsi="Times New Roman" w:cs="Times New Roman"/>
          <w:color w:val="000000" w:themeColor="text1"/>
          <w:szCs w:val="24"/>
        </w:rPr>
      </w:pPr>
      <w:proofErr w:type="gramStart"/>
      <w:r w:rsidRPr="00B96C46">
        <w:rPr>
          <w:rFonts w:ascii="Times New Roman" w:hAnsi="Times New Roman" w:cs="Times New Roman"/>
          <w:color w:val="000000" w:themeColor="text1"/>
          <w:szCs w:val="24"/>
        </w:rPr>
        <w:t>exceptional</w:t>
      </w:r>
      <w:proofErr w:type="gramEnd"/>
      <w:r w:rsidRPr="00B96C46">
        <w:rPr>
          <w:rFonts w:ascii="Times New Roman" w:hAnsi="Times New Roman" w:cs="Times New Roman"/>
          <w:color w:val="000000" w:themeColor="text1"/>
          <w:szCs w:val="24"/>
        </w:rPr>
        <w:t xml:space="preserve"> penalties including deregistration of entities that attempt to or use consumer data right information for the purposes of price fixing or cartel formation.</w:t>
      </w:r>
    </w:p>
    <w:p w:rsidR="00712139" w:rsidRDefault="009B0813" w:rsidP="00370F61">
      <w:pPr>
        <w:jc w:val="both"/>
        <w:rPr>
          <w:rFonts w:ascii="Times New Roman" w:hAnsi="Times New Roman" w:cs="Times New Roman"/>
          <w:color w:val="000000" w:themeColor="text1"/>
          <w:sz w:val="24"/>
          <w:szCs w:val="24"/>
        </w:rPr>
      </w:pPr>
      <w:r w:rsidRPr="00974DE3">
        <w:rPr>
          <w:rFonts w:ascii="Times New Roman" w:hAnsi="Times New Roman" w:cs="Times New Roman"/>
          <w:color w:val="000000" w:themeColor="text1"/>
          <w:sz w:val="24"/>
          <w:szCs w:val="24"/>
        </w:rPr>
        <w:t>ACCAN considers that refinements of the existing</w:t>
      </w:r>
      <w:r w:rsidR="002624D9" w:rsidRPr="00974DE3">
        <w:rPr>
          <w:rFonts w:ascii="Times New Roman" w:hAnsi="Times New Roman" w:cs="Times New Roman"/>
          <w:color w:val="000000" w:themeColor="text1"/>
          <w:sz w:val="24"/>
          <w:szCs w:val="24"/>
        </w:rPr>
        <w:t xml:space="preserve"> draft legislation are necessary to ensure that the predicted benefits of the framework are achieved, and that consumers have appropriate protections and incentives to engage with the CDR. </w:t>
      </w:r>
      <w:r w:rsidR="00DF4880">
        <w:rPr>
          <w:rFonts w:ascii="Times New Roman" w:hAnsi="Times New Roman" w:cs="Times New Roman"/>
          <w:color w:val="000000" w:themeColor="text1"/>
          <w:sz w:val="24"/>
          <w:szCs w:val="24"/>
        </w:rPr>
        <w:t xml:space="preserve">Should the revisions set out </w:t>
      </w:r>
      <w:r w:rsidR="00DF4880">
        <w:rPr>
          <w:rFonts w:ascii="Times New Roman" w:hAnsi="Times New Roman" w:cs="Times New Roman"/>
          <w:color w:val="000000" w:themeColor="text1"/>
          <w:sz w:val="24"/>
          <w:szCs w:val="24"/>
        </w:rPr>
        <w:lastRenderedPageBreak/>
        <w:t xml:space="preserve">above be adequately implemented into the final CDR framework, it is likely that the CDR would result in net benefits for consumers. </w:t>
      </w:r>
    </w:p>
    <w:p w:rsidR="00C35DED" w:rsidRPr="00370F61" w:rsidRDefault="00370F61" w:rsidP="00370F6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the absence of these reforms the risk of material detriment to consumers is in excess of the potential benefits. </w:t>
      </w:r>
      <w:r w:rsidR="00A602C9">
        <w:rPr>
          <w:rFonts w:ascii="Times New Roman" w:hAnsi="Times New Roman" w:cs="Times New Roman"/>
          <w:color w:val="000000" w:themeColor="text1"/>
          <w:sz w:val="24"/>
          <w:szCs w:val="24"/>
        </w:rPr>
        <w:t xml:space="preserve">In addition, there is a </w:t>
      </w:r>
      <w:r w:rsidR="00F9742B">
        <w:rPr>
          <w:rFonts w:ascii="Times New Roman" w:hAnsi="Times New Roman" w:cs="Times New Roman"/>
          <w:color w:val="000000" w:themeColor="text1"/>
          <w:sz w:val="24"/>
          <w:szCs w:val="24"/>
        </w:rPr>
        <w:t>risk of firms seeking to use CDR data to inform price discrimination strategies and set prices at consumers’ maximum willingness to pay</w:t>
      </w:r>
      <w:r w:rsidR="00734E67">
        <w:rPr>
          <w:rFonts w:ascii="Times New Roman" w:hAnsi="Times New Roman" w:cs="Times New Roman"/>
          <w:color w:val="000000" w:themeColor="text1"/>
          <w:sz w:val="24"/>
          <w:szCs w:val="24"/>
        </w:rPr>
        <w:t>. H</w:t>
      </w:r>
      <w:r w:rsidR="00F9742B">
        <w:rPr>
          <w:rFonts w:ascii="Times New Roman" w:hAnsi="Times New Roman" w:cs="Times New Roman"/>
          <w:color w:val="000000" w:themeColor="text1"/>
          <w:sz w:val="24"/>
          <w:szCs w:val="24"/>
        </w:rPr>
        <w:t>ow this affects vulnerable consumers</w:t>
      </w:r>
      <w:r w:rsidR="00734E67">
        <w:rPr>
          <w:rFonts w:ascii="Times New Roman" w:hAnsi="Times New Roman" w:cs="Times New Roman"/>
          <w:color w:val="000000" w:themeColor="text1"/>
          <w:sz w:val="24"/>
          <w:szCs w:val="24"/>
        </w:rPr>
        <w:t>,</w:t>
      </w:r>
      <w:r w:rsidR="00F9742B">
        <w:rPr>
          <w:rFonts w:ascii="Times New Roman" w:hAnsi="Times New Roman" w:cs="Times New Roman"/>
          <w:color w:val="000000" w:themeColor="text1"/>
          <w:sz w:val="24"/>
          <w:szCs w:val="24"/>
        </w:rPr>
        <w:t xml:space="preserve"> including the elderly and </w:t>
      </w:r>
      <w:r w:rsidR="00AF7362">
        <w:rPr>
          <w:rFonts w:ascii="Times New Roman" w:hAnsi="Times New Roman" w:cs="Times New Roman"/>
          <w:color w:val="000000" w:themeColor="text1"/>
          <w:sz w:val="24"/>
          <w:szCs w:val="24"/>
        </w:rPr>
        <w:t>low-income</w:t>
      </w:r>
      <w:r w:rsidR="00F9742B">
        <w:rPr>
          <w:rFonts w:ascii="Times New Roman" w:hAnsi="Times New Roman" w:cs="Times New Roman"/>
          <w:color w:val="000000" w:themeColor="text1"/>
          <w:sz w:val="24"/>
          <w:szCs w:val="24"/>
        </w:rPr>
        <w:t xml:space="preserve"> groups</w:t>
      </w:r>
      <w:r w:rsidR="00734E67">
        <w:rPr>
          <w:rFonts w:ascii="Times New Roman" w:hAnsi="Times New Roman" w:cs="Times New Roman"/>
          <w:color w:val="000000" w:themeColor="text1"/>
          <w:sz w:val="24"/>
          <w:szCs w:val="24"/>
        </w:rPr>
        <w:t>,</w:t>
      </w:r>
      <w:r w:rsidR="00F9742B">
        <w:rPr>
          <w:rFonts w:ascii="Times New Roman" w:hAnsi="Times New Roman" w:cs="Times New Roman"/>
          <w:color w:val="000000" w:themeColor="text1"/>
          <w:sz w:val="24"/>
          <w:szCs w:val="24"/>
        </w:rPr>
        <w:t xml:space="preserve"> is of particular concern to ACCAN. </w:t>
      </w:r>
    </w:p>
    <w:p w:rsidR="007D6A9F" w:rsidRPr="007D6A9F" w:rsidRDefault="007D6A9F" w:rsidP="00101782">
      <w:pPr>
        <w:spacing w:line="360" w:lineRule="auto"/>
        <w:rPr>
          <w:rFonts w:ascii="Arial" w:eastAsia="Arial Unicode MS" w:hAnsi="Arial" w:cs="Arial"/>
          <w:sz w:val="28"/>
          <w:lang w:val="en-IE" w:eastAsia="en-AU" w:bidi="hi-IN"/>
        </w:rPr>
      </w:pPr>
      <w:r>
        <w:rPr>
          <w:rFonts w:ascii="Arial" w:eastAsia="Arial Unicode MS" w:hAnsi="Arial" w:cs="Arial"/>
          <w:sz w:val="28"/>
          <w:lang w:val="en-IE" w:eastAsia="en-AU" w:bidi="hi-IN"/>
        </w:rPr>
        <w:t>A comprehensive information regulation framework</w:t>
      </w:r>
    </w:p>
    <w:p w:rsidR="007663D5" w:rsidRPr="00642AA2" w:rsidRDefault="007663D5" w:rsidP="007663D5">
      <w:pPr>
        <w:spacing w:before="100" w:beforeAutospacing="1" w:after="100" w:afterAutospacing="1"/>
        <w:jc w:val="both"/>
        <w:rPr>
          <w:rFonts w:ascii="Times New Roman" w:eastAsiaTheme="minorEastAsia" w:hAnsi="Times New Roman" w:cs="Times New Roman"/>
          <w:color w:val="000000" w:themeColor="text1"/>
          <w:sz w:val="24"/>
          <w:szCs w:val="24"/>
          <w:lang w:val="en-AU" w:eastAsia="en-AU"/>
        </w:rPr>
      </w:pPr>
      <w:r w:rsidRPr="00642AA2">
        <w:rPr>
          <w:rFonts w:ascii="Times New Roman" w:eastAsiaTheme="minorEastAsia" w:hAnsi="Times New Roman" w:cs="Times New Roman"/>
          <w:color w:val="000000" w:themeColor="text1"/>
          <w:sz w:val="24"/>
          <w:szCs w:val="24"/>
          <w:lang w:val="en-AU" w:eastAsia="en-AU"/>
        </w:rPr>
        <w:t xml:space="preserve">A comprehensive information regulation framework would entail the creation of economy wide </w:t>
      </w:r>
      <w:r w:rsidR="00642AA2" w:rsidRPr="00642AA2">
        <w:rPr>
          <w:rFonts w:ascii="Times New Roman" w:eastAsiaTheme="minorEastAsia" w:hAnsi="Times New Roman" w:cs="Times New Roman"/>
          <w:color w:val="000000" w:themeColor="text1"/>
          <w:sz w:val="24"/>
          <w:szCs w:val="24"/>
          <w:lang w:val="en-AU" w:eastAsia="en-AU"/>
        </w:rPr>
        <w:t>principle-based</w:t>
      </w:r>
      <w:r w:rsidRPr="00642AA2">
        <w:rPr>
          <w:rFonts w:ascii="Times New Roman" w:eastAsiaTheme="minorEastAsia" w:hAnsi="Times New Roman" w:cs="Times New Roman"/>
          <w:color w:val="000000" w:themeColor="text1"/>
          <w:sz w:val="24"/>
          <w:szCs w:val="24"/>
          <w:lang w:val="en-AU" w:eastAsia="en-AU"/>
        </w:rPr>
        <w:t xml:space="preserve"> regulation of the management of privacy, data collection, transfer and provision for individuals and businesses. A comprehensive framework of regulation, would be akin to the </w:t>
      </w:r>
      <w:r w:rsidRPr="00642AA2">
        <w:rPr>
          <w:rFonts w:ascii="Times New Roman" w:eastAsiaTheme="minorEastAsia" w:hAnsi="Times New Roman" w:cs="Times New Roman"/>
          <w:i/>
          <w:color w:val="000000" w:themeColor="text1"/>
          <w:sz w:val="24"/>
          <w:szCs w:val="24"/>
          <w:lang w:val="en-AU" w:eastAsia="en-AU"/>
        </w:rPr>
        <w:t>General Data Protection Regulation</w:t>
      </w:r>
      <w:r w:rsidR="00BD368F">
        <w:rPr>
          <w:rFonts w:ascii="Times New Roman" w:eastAsiaTheme="minorEastAsia" w:hAnsi="Times New Roman" w:cs="Times New Roman"/>
          <w:color w:val="000000" w:themeColor="text1"/>
          <w:sz w:val="24"/>
          <w:szCs w:val="24"/>
          <w:lang w:val="en-AU" w:eastAsia="en-AU"/>
        </w:rPr>
        <w:t xml:space="preserve"> in its scope of application</w:t>
      </w:r>
      <w:r w:rsidR="00642AA2" w:rsidRPr="00642AA2">
        <w:rPr>
          <w:rFonts w:ascii="Times New Roman" w:eastAsiaTheme="minorEastAsia" w:hAnsi="Times New Roman" w:cs="Times New Roman"/>
          <w:color w:val="000000" w:themeColor="text1"/>
          <w:sz w:val="24"/>
          <w:szCs w:val="24"/>
          <w:lang w:val="en-AU" w:eastAsia="en-AU"/>
        </w:rPr>
        <w:t xml:space="preserve">, and provide for </w:t>
      </w:r>
      <w:r w:rsidR="007F7F23">
        <w:rPr>
          <w:rFonts w:ascii="Times New Roman" w:eastAsiaTheme="minorEastAsia" w:hAnsi="Times New Roman" w:cs="Times New Roman"/>
          <w:color w:val="000000" w:themeColor="text1"/>
          <w:sz w:val="24"/>
          <w:szCs w:val="24"/>
          <w:lang w:val="en-AU" w:eastAsia="en-AU"/>
        </w:rPr>
        <w:t xml:space="preserve">the protection of personal information through technical and organisational requirements. </w:t>
      </w:r>
    </w:p>
    <w:p w:rsidR="009D1D79" w:rsidRDefault="00C411EE" w:rsidP="009D1D79">
      <w:pPr>
        <w:spacing w:before="100" w:beforeAutospacing="1" w:after="100" w:afterAutospacing="1"/>
        <w:jc w:val="both"/>
        <w:rPr>
          <w:rFonts w:ascii="Times New Roman" w:eastAsiaTheme="minorEastAsia" w:hAnsi="Times New Roman" w:cs="Times New Roman"/>
          <w:color w:val="000000" w:themeColor="text1"/>
          <w:sz w:val="24"/>
          <w:szCs w:val="24"/>
          <w:lang w:val="en-AU" w:eastAsia="en-AU"/>
        </w:rPr>
      </w:pPr>
      <w:r w:rsidRPr="00C411EE">
        <w:rPr>
          <w:rFonts w:ascii="Times New Roman" w:eastAsiaTheme="minorEastAsia" w:hAnsi="Times New Roman" w:cs="Times New Roman"/>
          <w:color w:val="000000" w:themeColor="text1"/>
          <w:sz w:val="24"/>
          <w:szCs w:val="24"/>
          <w:lang w:val="en-AU" w:eastAsia="en-AU"/>
        </w:rPr>
        <w:t xml:space="preserve">A comprehensive framework may entail the implementation of more prescriptive or specific rules where there is a clear risk of consumer or individual detriment, based on the sensitivity of the data in question or the potential for misconduct. </w:t>
      </w:r>
    </w:p>
    <w:p w:rsidR="00114C73" w:rsidRPr="009D1D79" w:rsidRDefault="00642EAC" w:rsidP="009D1D79">
      <w:pPr>
        <w:spacing w:before="100" w:beforeAutospacing="1" w:after="100" w:afterAutospacing="1"/>
        <w:jc w:val="both"/>
        <w:rPr>
          <w:rFonts w:ascii="Times New Roman" w:eastAsiaTheme="minorEastAsia" w:hAnsi="Times New Roman" w:cs="Times New Roman"/>
          <w:color w:val="000000" w:themeColor="text1"/>
          <w:sz w:val="24"/>
          <w:szCs w:val="24"/>
          <w:lang w:val="en-AU" w:eastAsia="en-AU"/>
        </w:rPr>
      </w:pPr>
      <w:r w:rsidRPr="00DD0AEA">
        <w:rPr>
          <w:rFonts w:ascii="Calibri" w:eastAsiaTheme="minorEastAsia" w:hAnsi="Calibri"/>
          <w:noProof/>
          <w:color w:val="000000" w:themeColor="text1"/>
          <w:sz w:val="24"/>
        </w:rPr>
        <mc:AlternateContent>
          <mc:Choice Requires="wps">
            <w:drawing>
              <wp:anchor distT="0" distB="0" distL="114300" distR="114300" simplePos="0" relativeHeight="251663872" behindDoc="0" locked="0" layoutInCell="1" allowOverlap="1" wp14:anchorId="10183AFA" wp14:editId="0C9B53AD">
                <wp:simplePos x="0" y="0"/>
                <wp:positionH relativeFrom="column">
                  <wp:posOffset>0</wp:posOffset>
                </wp:positionH>
                <wp:positionV relativeFrom="paragraph">
                  <wp:posOffset>-22453</wp:posOffset>
                </wp:positionV>
                <wp:extent cx="5720080" cy="998483"/>
                <wp:effectExtent l="0" t="0" r="13970" b="11430"/>
                <wp:wrapNone/>
                <wp:docPr id="9" name="Text Box 9"/>
                <wp:cNvGraphicFramePr/>
                <a:graphic xmlns:a="http://schemas.openxmlformats.org/drawingml/2006/main">
                  <a:graphicData uri="http://schemas.microsoft.com/office/word/2010/wordprocessingShape">
                    <wps:wsp>
                      <wps:cNvSpPr txBox="1"/>
                      <wps:spPr>
                        <a:xfrm>
                          <a:off x="0" y="0"/>
                          <a:ext cx="5720080" cy="998483"/>
                        </a:xfrm>
                        <a:prstGeom prst="rect">
                          <a:avLst/>
                        </a:prstGeom>
                        <a:solidFill>
                          <a:sysClr val="window" lastClr="FFFFFF"/>
                        </a:solidFill>
                        <a:ln w="6350">
                          <a:solidFill>
                            <a:srgbClr val="00B0F0"/>
                          </a:solidFill>
                        </a:ln>
                      </wps:spPr>
                      <wps:txbx>
                        <w:txbxContent>
                          <w:p w:rsidR="00DD5468" w:rsidRPr="001410E8" w:rsidRDefault="00DD5468" w:rsidP="00834C38">
                            <w:pPr>
                              <w:rPr>
                                <w:rFonts w:ascii="Times New Roman" w:hAnsi="Times New Roman" w:cs="Times New Roman"/>
                                <w:b/>
                              </w:rPr>
                            </w:pPr>
                            <w:r w:rsidRPr="001410E8">
                              <w:rPr>
                                <w:rFonts w:ascii="Times New Roman" w:hAnsi="Times New Roman" w:cs="Times New Roman"/>
                                <w:b/>
                              </w:rPr>
                              <w:t>Recommendation 4</w:t>
                            </w:r>
                          </w:p>
                          <w:p w:rsidR="00DD5468" w:rsidRPr="001410E8" w:rsidRDefault="00DD5468" w:rsidP="00834C38">
                            <w:pPr>
                              <w:jc w:val="both"/>
                              <w:rPr>
                                <w:rFonts w:ascii="Times New Roman" w:hAnsi="Times New Roman" w:cs="Times New Roman"/>
                                <w:i/>
                              </w:rPr>
                            </w:pPr>
                            <w:r w:rsidRPr="001410E8">
                              <w:rPr>
                                <w:rFonts w:ascii="Times New Roman" w:hAnsi="Times New Roman" w:cs="Times New Roman"/>
                                <w:i/>
                              </w:rPr>
                              <w:t>That as part of a rigorous and public cost benefit analysis</w:t>
                            </w:r>
                            <w:r>
                              <w:rPr>
                                <w:rFonts w:ascii="Times New Roman" w:hAnsi="Times New Roman" w:cs="Times New Roman"/>
                                <w:i/>
                              </w:rPr>
                              <w:t xml:space="preserve">, </w:t>
                            </w:r>
                            <w:r w:rsidRPr="001410E8">
                              <w:rPr>
                                <w:rFonts w:ascii="Times New Roman" w:hAnsi="Times New Roman" w:cs="Times New Roman"/>
                                <w:i/>
                              </w:rPr>
                              <w:t>Treasury examine</w:t>
                            </w:r>
                            <w:r>
                              <w:rPr>
                                <w:rFonts w:ascii="Times New Roman" w:hAnsi="Times New Roman" w:cs="Times New Roman"/>
                                <w:i/>
                              </w:rPr>
                              <w:t>s</w:t>
                            </w:r>
                            <w:r w:rsidRPr="001410E8">
                              <w:rPr>
                                <w:rFonts w:ascii="Times New Roman" w:hAnsi="Times New Roman" w:cs="Times New Roman"/>
                                <w:i/>
                              </w:rPr>
                              <w:t xml:space="preserve"> the costs and benefits of alternatives to the proposed consumer data right framework, to ensure that the policy option with the greatest net benefits is adopted and implemented.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47" type="#_x0000_t202" style="position:absolute;left:0;text-align:left;margin-left:0;margin-top:-1.75pt;width:450.4pt;height:78.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" fillcolor="window" strokecolor="#00b0f0" strokeweight=".5pt">
                <v:textbox>
                  <w:txbxContent>
                    <w:p w:rsidR="00DD5468" w:rsidRPr="001410E8" w:rsidRDefault="00DD5468" w:rsidP="00834C38">
                      <w:pPr>
                        <w:rPr>
                          <w:rFonts w:ascii="Times New Roman" w:hAnsi="Times New Roman" w:cs="Times New Roman"/>
                          <w:b/>
                        </w:rPr>
                      </w:pPr>
                      <w:r w:rsidRPr="001410E8">
                        <w:rPr>
                          <w:rFonts w:ascii="Times New Roman" w:hAnsi="Times New Roman" w:cs="Times New Roman"/>
                          <w:b/>
                        </w:rPr>
                        <w:t>Recommendation 4</w:t>
                      </w:r>
                    </w:p>
                    <w:p w:rsidR="00DD5468" w:rsidRPr="001410E8" w:rsidRDefault="00DD5468" w:rsidP="00834C38">
                      <w:pPr>
                        <w:jc w:val="both"/>
                        <w:rPr>
                          <w:rFonts w:ascii="Times New Roman" w:hAnsi="Times New Roman" w:cs="Times New Roman"/>
                          <w:i/>
                        </w:rPr>
                      </w:pPr>
                      <w:r w:rsidRPr="001410E8">
                        <w:rPr>
                          <w:rFonts w:ascii="Times New Roman" w:hAnsi="Times New Roman" w:cs="Times New Roman"/>
                          <w:i/>
                        </w:rPr>
                        <w:t>That as part of a rigorous and public cost benefit analysis</w:t>
                      </w:r>
                      <w:r>
                        <w:rPr>
                          <w:rFonts w:ascii="Times New Roman" w:hAnsi="Times New Roman" w:cs="Times New Roman"/>
                          <w:i/>
                        </w:rPr>
                        <w:t xml:space="preserve">, </w:t>
                      </w:r>
                      <w:r w:rsidRPr="001410E8">
                        <w:rPr>
                          <w:rFonts w:ascii="Times New Roman" w:hAnsi="Times New Roman" w:cs="Times New Roman"/>
                          <w:i/>
                        </w:rPr>
                        <w:t>Treasury examine</w:t>
                      </w:r>
                      <w:r>
                        <w:rPr>
                          <w:rFonts w:ascii="Times New Roman" w:hAnsi="Times New Roman" w:cs="Times New Roman"/>
                          <w:i/>
                        </w:rPr>
                        <w:t>s</w:t>
                      </w:r>
                      <w:r w:rsidRPr="001410E8">
                        <w:rPr>
                          <w:rFonts w:ascii="Times New Roman" w:hAnsi="Times New Roman" w:cs="Times New Roman"/>
                          <w:i/>
                        </w:rPr>
                        <w:t xml:space="preserve"> the costs and benefits of alternatives to the proposed consumer data right framework, to ensure that the policy option with the greatest net benefits is adopted and implemented. </w:t>
                      </w:r>
                    </w:p>
                  </w:txbxContent>
                </v:textbox>
              </v:shape>
            </w:pict>
          </mc:Fallback>
        </mc:AlternateContent>
      </w:r>
    </w:p>
    <w:p w:rsidR="008C5CCC" w:rsidRDefault="008C5CCC" w:rsidP="00FC2163">
      <w:pPr>
        <w:jc w:val="both"/>
        <w:rPr>
          <w:rFonts w:ascii="Times New Roman" w:hAnsi="Times New Roman" w:cs="Times New Roman"/>
          <w:color w:val="FF0000"/>
          <w:sz w:val="24"/>
          <w:szCs w:val="24"/>
        </w:rPr>
      </w:pPr>
    </w:p>
    <w:p w:rsidR="00642EAC" w:rsidRDefault="00642EAC" w:rsidP="0094557B">
      <w:pPr>
        <w:spacing w:before="100" w:beforeAutospacing="1" w:after="100" w:afterAutospacing="1" w:line="360" w:lineRule="auto"/>
        <w:jc w:val="both"/>
        <w:rPr>
          <w:rFonts w:ascii="Arial" w:eastAsiaTheme="minorEastAsia" w:hAnsi="Arial" w:cs="Arial"/>
          <w:b/>
          <w:sz w:val="32"/>
          <w:szCs w:val="32"/>
          <w:lang w:val="en-AU" w:eastAsia="en-AU"/>
        </w:rPr>
      </w:pPr>
    </w:p>
    <w:p w:rsidR="0094557B" w:rsidRDefault="0094557B" w:rsidP="0094557B">
      <w:pPr>
        <w:spacing w:before="100" w:beforeAutospacing="1" w:after="100" w:afterAutospacing="1" w:line="360" w:lineRule="auto"/>
        <w:jc w:val="both"/>
        <w:rPr>
          <w:rFonts w:ascii="Arial" w:eastAsiaTheme="minorEastAsia" w:hAnsi="Arial" w:cs="Arial"/>
          <w:b/>
          <w:sz w:val="32"/>
          <w:szCs w:val="32"/>
          <w:lang w:val="en-AU" w:eastAsia="en-AU"/>
        </w:rPr>
      </w:pPr>
      <w:r>
        <w:rPr>
          <w:rFonts w:ascii="Arial" w:eastAsiaTheme="minorEastAsia" w:hAnsi="Arial" w:cs="Arial"/>
          <w:b/>
          <w:sz w:val="32"/>
          <w:szCs w:val="32"/>
          <w:lang w:val="en-AU" w:eastAsia="en-AU"/>
        </w:rPr>
        <w:t>What are the benefits of reform?</w:t>
      </w:r>
    </w:p>
    <w:p w:rsidR="0094557B" w:rsidRDefault="0094557B" w:rsidP="0094557B">
      <w:pPr>
        <w:spacing w:before="100" w:beforeAutospacing="1" w:after="100" w:afterAutospacing="1"/>
        <w:jc w:val="both"/>
        <w:rPr>
          <w:rFonts w:ascii="Times New Roman" w:eastAsiaTheme="minorEastAsia" w:hAnsi="Times New Roman" w:cs="Times New Roman"/>
          <w:sz w:val="24"/>
          <w:szCs w:val="24"/>
          <w:lang w:val="en-AU" w:eastAsia="en-AU"/>
        </w:rPr>
      </w:pPr>
      <w:r>
        <w:rPr>
          <w:rFonts w:ascii="Times New Roman" w:eastAsiaTheme="minorEastAsia" w:hAnsi="Times New Roman" w:cs="Times New Roman"/>
          <w:sz w:val="24"/>
          <w:szCs w:val="24"/>
          <w:lang w:val="en-AU" w:eastAsia="en-AU"/>
        </w:rPr>
        <w:t>The core benefit that flow</w:t>
      </w:r>
      <w:r w:rsidR="00A65083">
        <w:rPr>
          <w:rFonts w:ascii="Times New Roman" w:eastAsiaTheme="minorEastAsia" w:hAnsi="Times New Roman" w:cs="Times New Roman"/>
          <w:sz w:val="24"/>
          <w:szCs w:val="24"/>
          <w:lang w:val="en-AU" w:eastAsia="en-AU"/>
        </w:rPr>
        <w:t>s</w:t>
      </w:r>
      <w:r>
        <w:rPr>
          <w:rFonts w:ascii="Times New Roman" w:eastAsiaTheme="minorEastAsia" w:hAnsi="Times New Roman" w:cs="Times New Roman"/>
          <w:sz w:val="24"/>
          <w:szCs w:val="24"/>
          <w:lang w:val="en-AU" w:eastAsia="en-AU"/>
        </w:rPr>
        <w:t xml:space="preserve"> from the proposed reforms is a reduction in the transaction costs that consumers face when searching the market for products and services. By reducing the costs associated with communicating their preferences, and usage patterns as well as their price sensitivity, consumers should notionally benefit by being able to elicit offers of services that better reflect their needs and their willingness to pay. </w:t>
      </w:r>
    </w:p>
    <w:p w:rsidR="0094557B" w:rsidRPr="00A60CD9" w:rsidRDefault="0094557B" w:rsidP="0094557B">
      <w:pPr>
        <w:spacing w:before="100" w:beforeAutospacing="1" w:after="100" w:afterAutospacing="1"/>
        <w:jc w:val="both"/>
        <w:rPr>
          <w:rFonts w:ascii="Times New Roman" w:eastAsiaTheme="minorEastAsia" w:hAnsi="Times New Roman" w:cs="Times New Roman"/>
          <w:sz w:val="24"/>
          <w:szCs w:val="24"/>
          <w:lang w:val="en-AU" w:eastAsia="en-AU"/>
        </w:rPr>
      </w:pPr>
      <w:r w:rsidRPr="00A60CD9">
        <w:rPr>
          <w:rFonts w:ascii="Times New Roman" w:eastAsiaTheme="minorEastAsia" w:hAnsi="Times New Roman" w:cs="Times New Roman"/>
          <w:sz w:val="24"/>
          <w:szCs w:val="24"/>
          <w:lang w:val="en-AU" w:eastAsia="en-AU"/>
        </w:rPr>
        <w:t xml:space="preserve">However, the </w:t>
      </w:r>
      <w:r w:rsidR="00C76CC9" w:rsidRPr="00A60CD9">
        <w:rPr>
          <w:rFonts w:ascii="Times New Roman" w:eastAsiaTheme="minorEastAsia" w:hAnsi="Times New Roman" w:cs="Times New Roman"/>
          <w:sz w:val="24"/>
          <w:szCs w:val="24"/>
          <w:lang w:val="en-AU" w:eastAsia="en-AU"/>
        </w:rPr>
        <w:t>extent</w:t>
      </w:r>
      <w:r w:rsidRPr="00A60CD9">
        <w:rPr>
          <w:rFonts w:ascii="Times New Roman" w:eastAsiaTheme="minorEastAsia" w:hAnsi="Times New Roman" w:cs="Times New Roman"/>
          <w:sz w:val="24"/>
          <w:szCs w:val="24"/>
          <w:lang w:val="en-AU" w:eastAsia="en-AU"/>
        </w:rPr>
        <w:t xml:space="preserve"> of these benefits is unclear, and given that much of th</w:t>
      </w:r>
      <w:r w:rsidR="00A60CD9" w:rsidRPr="00A60CD9">
        <w:rPr>
          <w:rFonts w:ascii="Times New Roman" w:eastAsiaTheme="minorEastAsia" w:hAnsi="Times New Roman" w:cs="Times New Roman"/>
          <w:sz w:val="24"/>
          <w:szCs w:val="24"/>
          <w:lang w:val="en-AU" w:eastAsia="en-AU"/>
        </w:rPr>
        <w:t>e information consumers need (e.g. the maximum discount on offer) is privately held commercial information and not available, consumers may not have sufficient information to maximise their benefits.</w:t>
      </w:r>
    </w:p>
    <w:p w:rsidR="008E6BBE" w:rsidRPr="00D06F15" w:rsidRDefault="0094557B" w:rsidP="0094557B">
      <w:pPr>
        <w:spacing w:before="100" w:beforeAutospacing="1" w:after="100" w:afterAutospacing="1"/>
        <w:jc w:val="both"/>
        <w:rPr>
          <w:rFonts w:ascii="Times New Roman" w:eastAsiaTheme="minorEastAsia" w:hAnsi="Times New Roman" w:cs="Times New Roman"/>
          <w:color w:val="000000" w:themeColor="text1"/>
          <w:sz w:val="24"/>
          <w:szCs w:val="24"/>
          <w:lang w:val="en-AU" w:eastAsia="en-AU"/>
        </w:rPr>
      </w:pPr>
      <w:r w:rsidRPr="00840ADC">
        <w:rPr>
          <w:rFonts w:ascii="Times New Roman" w:eastAsiaTheme="minorEastAsia" w:hAnsi="Times New Roman" w:cs="Times New Roman"/>
          <w:color w:val="000000" w:themeColor="text1"/>
          <w:sz w:val="24"/>
          <w:szCs w:val="24"/>
          <w:lang w:val="en-AU" w:eastAsia="en-AU"/>
        </w:rPr>
        <w:t xml:space="preserve">The transaction costs associated with the financial, energy and telecommunications sectors have been trending downwards as a result of the advent of more efficient searching </w:t>
      </w:r>
      <w:r w:rsidR="00FA18DC">
        <w:rPr>
          <w:rFonts w:ascii="Times New Roman" w:eastAsiaTheme="minorEastAsia" w:hAnsi="Times New Roman" w:cs="Times New Roman"/>
          <w:color w:val="000000" w:themeColor="text1"/>
          <w:sz w:val="24"/>
          <w:szCs w:val="24"/>
          <w:lang w:val="en-AU" w:eastAsia="en-AU"/>
        </w:rPr>
        <w:t xml:space="preserve">platforms over the internet, </w:t>
      </w:r>
      <w:r w:rsidRPr="00840ADC">
        <w:rPr>
          <w:rFonts w:ascii="Times New Roman" w:eastAsiaTheme="minorEastAsia" w:hAnsi="Times New Roman" w:cs="Times New Roman"/>
          <w:color w:val="000000" w:themeColor="text1"/>
          <w:sz w:val="24"/>
          <w:szCs w:val="24"/>
          <w:lang w:val="en-AU" w:eastAsia="en-AU"/>
        </w:rPr>
        <w:t xml:space="preserve">and the capacity of consumers to transfer the information proposed to be </w:t>
      </w:r>
      <w:r w:rsidRPr="00840ADC">
        <w:rPr>
          <w:rFonts w:ascii="Times New Roman" w:eastAsiaTheme="minorEastAsia" w:hAnsi="Times New Roman" w:cs="Times New Roman"/>
          <w:color w:val="000000" w:themeColor="text1"/>
          <w:sz w:val="24"/>
          <w:szCs w:val="24"/>
          <w:lang w:val="en-AU" w:eastAsia="en-AU"/>
        </w:rPr>
        <w:lastRenderedPageBreak/>
        <w:t xml:space="preserve">captured within the </w:t>
      </w:r>
      <w:r w:rsidR="00840ADC" w:rsidRPr="00840ADC">
        <w:rPr>
          <w:rFonts w:ascii="Times New Roman" w:eastAsiaTheme="minorEastAsia" w:hAnsi="Times New Roman" w:cs="Times New Roman"/>
          <w:color w:val="000000" w:themeColor="text1"/>
          <w:sz w:val="24"/>
          <w:szCs w:val="24"/>
          <w:lang w:val="en-AU" w:eastAsia="en-AU"/>
        </w:rPr>
        <w:t xml:space="preserve">CDR through </w:t>
      </w:r>
      <w:r w:rsidR="004502CA">
        <w:rPr>
          <w:rFonts w:ascii="Times New Roman" w:eastAsiaTheme="minorEastAsia" w:hAnsi="Times New Roman" w:cs="Times New Roman"/>
          <w:color w:val="000000" w:themeColor="text1"/>
          <w:sz w:val="24"/>
          <w:szCs w:val="24"/>
          <w:lang w:val="en-AU" w:eastAsia="en-AU"/>
        </w:rPr>
        <w:t>simpler</w:t>
      </w:r>
      <w:r w:rsidR="00840ADC" w:rsidRPr="00840ADC">
        <w:rPr>
          <w:rFonts w:ascii="Times New Roman" w:eastAsiaTheme="minorEastAsia" w:hAnsi="Times New Roman" w:cs="Times New Roman"/>
          <w:color w:val="000000" w:themeColor="text1"/>
          <w:sz w:val="24"/>
          <w:szCs w:val="24"/>
          <w:lang w:val="en-AU" w:eastAsia="en-AU"/>
        </w:rPr>
        <w:t>,</w:t>
      </w:r>
      <w:r w:rsidR="004502CA">
        <w:rPr>
          <w:rFonts w:ascii="Times New Roman" w:eastAsiaTheme="minorEastAsia" w:hAnsi="Times New Roman" w:cs="Times New Roman"/>
          <w:color w:val="000000" w:themeColor="text1"/>
          <w:sz w:val="24"/>
          <w:szCs w:val="24"/>
          <w:lang w:val="en-AU" w:eastAsia="en-AU"/>
        </w:rPr>
        <w:t xml:space="preserve"> </w:t>
      </w:r>
      <w:r w:rsidR="00D06F15">
        <w:rPr>
          <w:rFonts w:ascii="Times New Roman" w:eastAsiaTheme="minorEastAsia" w:hAnsi="Times New Roman" w:cs="Times New Roman"/>
          <w:color w:val="000000" w:themeColor="text1"/>
          <w:sz w:val="24"/>
          <w:szCs w:val="24"/>
          <w:lang w:val="en-AU" w:eastAsia="en-AU"/>
        </w:rPr>
        <w:t>means such as email.</w:t>
      </w:r>
      <w:r w:rsidR="008F601D">
        <w:rPr>
          <w:rFonts w:ascii="Times New Roman" w:eastAsiaTheme="minorEastAsia" w:hAnsi="Times New Roman" w:cs="Times New Roman"/>
          <w:color w:val="000000" w:themeColor="text1"/>
          <w:sz w:val="24"/>
          <w:szCs w:val="24"/>
          <w:lang w:val="en-AU" w:eastAsia="en-AU"/>
        </w:rPr>
        <w:t xml:space="preserve"> </w:t>
      </w:r>
      <w:r w:rsidR="00D06F15">
        <w:rPr>
          <w:rFonts w:ascii="Times New Roman" w:eastAsiaTheme="minorEastAsia" w:hAnsi="Times New Roman" w:cs="Times New Roman"/>
          <w:color w:val="000000" w:themeColor="text1"/>
          <w:sz w:val="24"/>
          <w:szCs w:val="24"/>
          <w:lang w:val="en-AU" w:eastAsia="en-AU"/>
        </w:rPr>
        <w:t>There are</w:t>
      </w:r>
      <w:r w:rsidR="00A602C9">
        <w:rPr>
          <w:rFonts w:ascii="Times New Roman" w:eastAsiaTheme="minorEastAsia" w:hAnsi="Times New Roman" w:cs="Times New Roman"/>
          <w:color w:val="000000" w:themeColor="text1"/>
          <w:sz w:val="24"/>
          <w:szCs w:val="24"/>
          <w:lang w:val="en-AU" w:eastAsia="en-AU"/>
        </w:rPr>
        <w:t>,</w:t>
      </w:r>
      <w:r w:rsidR="00D06F15">
        <w:rPr>
          <w:rFonts w:ascii="Times New Roman" w:eastAsiaTheme="minorEastAsia" w:hAnsi="Times New Roman" w:cs="Times New Roman"/>
          <w:color w:val="000000" w:themeColor="text1"/>
          <w:sz w:val="24"/>
          <w:szCs w:val="24"/>
          <w:lang w:val="en-AU" w:eastAsia="en-AU"/>
        </w:rPr>
        <w:t xml:space="preserve"> however, obvious privacy implications associated with the use of these methods to transfer data, noting that the adoption of uniform privacy protections would </w:t>
      </w:r>
      <w:r w:rsidR="00A65083">
        <w:rPr>
          <w:rFonts w:ascii="Times New Roman" w:eastAsiaTheme="minorEastAsia" w:hAnsi="Times New Roman" w:cs="Times New Roman"/>
          <w:color w:val="000000" w:themeColor="text1"/>
          <w:sz w:val="24"/>
          <w:szCs w:val="24"/>
          <w:lang w:val="en-AU" w:eastAsia="en-AU"/>
        </w:rPr>
        <w:t xml:space="preserve">address </w:t>
      </w:r>
      <w:r w:rsidR="00D06F15">
        <w:rPr>
          <w:rFonts w:ascii="Times New Roman" w:eastAsiaTheme="minorEastAsia" w:hAnsi="Times New Roman" w:cs="Times New Roman"/>
          <w:color w:val="000000" w:themeColor="text1"/>
          <w:sz w:val="24"/>
          <w:szCs w:val="24"/>
          <w:lang w:val="en-AU" w:eastAsia="en-AU"/>
        </w:rPr>
        <w:t>many of these issues.</w:t>
      </w:r>
      <w:r w:rsidR="008F601D">
        <w:rPr>
          <w:rFonts w:ascii="Times New Roman" w:eastAsiaTheme="minorEastAsia" w:hAnsi="Times New Roman" w:cs="Times New Roman"/>
          <w:color w:val="000000" w:themeColor="text1"/>
          <w:sz w:val="24"/>
          <w:szCs w:val="24"/>
          <w:lang w:val="en-AU" w:eastAsia="en-AU"/>
        </w:rPr>
        <w:t xml:space="preserve"> Where the sensitivity and security of the data is paramount, a universal framework of privacy protections would provide incentives for the development of a variety of applications to support the secure transfer of data</w:t>
      </w:r>
      <w:r w:rsidR="00773220">
        <w:rPr>
          <w:rFonts w:ascii="Times New Roman" w:eastAsiaTheme="minorEastAsia" w:hAnsi="Times New Roman" w:cs="Times New Roman"/>
          <w:color w:val="000000" w:themeColor="text1"/>
          <w:sz w:val="24"/>
          <w:szCs w:val="24"/>
          <w:lang w:val="en-AU" w:eastAsia="en-AU"/>
        </w:rPr>
        <w:t>.</w:t>
      </w:r>
    </w:p>
    <w:p w:rsidR="009D1D79" w:rsidRDefault="008E6BBE" w:rsidP="0094557B">
      <w:pPr>
        <w:spacing w:before="100" w:beforeAutospacing="1" w:after="100" w:afterAutospacing="1"/>
        <w:jc w:val="both"/>
        <w:rPr>
          <w:rFonts w:ascii="Times New Roman" w:eastAsiaTheme="minorEastAsia" w:hAnsi="Times New Roman" w:cs="Times New Roman"/>
          <w:color w:val="000000" w:themeColor="text1"/>
          <w:sz w:val="24"/>
          <w:szCs w:val="24"/>
          <w:lang w:val="en-AU" w:eastAsia="en-AU"/>
        </w:rPr>
      </w:pPr>
      <w:r>
        <w:rPr>
          <w:rFonts w:ascii="Times New Roman" w:eastAsiaTheme="minorEastAsia" w:hAnsi="Times New Roman" w:cs="Times New Roman"/>
          <w:color w:val="000000" w:themeColor="text1"/>
          <w:sz w:val="24"/>
          <w:szCs w:val="24"/>
          <w:lang w:val="en-AU" w:eastAsia="en-AU"/>
        </w:rPr>
        <w:t>However, the CDR is fundamentally a data portability right – it does not allow for easy and simple switching of providers and as a consequence may yield limited benefits where the cost of switching remains high. ACCAN is</w:t>
      </w:r>
      <w:r w:rsidR="00A366EF">
        <w:rPr>
          <w:rFonts w:ascii="Times New Roman" w:eastAsiaTheme="minorEastAsia" w:hAnsi="Times New Roman" w:cs="Times New Roman"/>
          <w:color w:val="000000" w:themeColor="text1"/>
          <w:sz w:val="24"/>
          <w:szCs w:val="24"/>
          <w:lang w:val="en-AU" w:eastAsia="en-AU"/>
        </w:rPr>
        <w:t>,</w:t>
      </w:r>
      <w:r>
        <w:rPr>
          <w:rFonts w:ascii="Times New Roman" w:eastAsiaTheme="minorEastAsia" w:hAnsi="Times New Roman" w:cs="Times New Roman"/>
          <w:color w:val="000000" w:themeColor="text1"/>
          <w:sz w:val="24"/>
          <w:szCs w:val="24"/>
          <w:lang w:val="en-AU" w:eastAsia="en-AU"/>
        </w:rPr>
        <w:t xml:space="preserve"> however, positive about the potential for the CDR to be an effective force for change in the telecommunications market, where reforms to number portability make switching easier than in other markets. </w:t>
      </w:r>
    </w:p>
    <w:p w:rsidR="005121FC" w:rsidRPr="005F6CA0" w:rsidRDefault="00B7038A" w:rsidP="00B7038A">
      <w:pPr>
        <w:spacing w:line="360" w:lineRule="auto"/>
        <w:rPr>
          <w:rFonts w:ascii="Arial" w:eastAsia="Arial Unicode MS" w:hAnsi="Arial" w:cs="Arial"/>
          <w:color w:val="000000" w:themeColor="text1"/>
          <w:sz w:val="28"/>
          <w:lang w:val="en-IE" w:eastAsia="en-AU" w:bidi="hi-IN"/>
        </w:rPr>
      </w:pPr>
      <w:r w:rsidRPr="005F6CA0">
        <w:rPr>
          <w:rFonts w:ascii="Arial" w:eastAsia="Arial Unicode MS" w:hAnsi="Arial" w:cs="Arial"/>
          <w:color w:val="000000" w:themeColor="text1"/>
          <w:sz w:val="28"/>
          <w:lang w:val="en-IE" w:eastAsia="en-AU" w:bidi="hi-IN"/>
        </w:rPr>
        <w:t>Reducing transaction costs does not necessarily resolve information asymmetries</w:t>
      </w:r>
    </w:p>
    <w:p w:rsidR="004E2ACB" w:rsidRDefault="0023308E" w:rsidP="00585151">
      <w:pPr>
        <w:jc w:val="both"/>
        <w:rPr>
          <w:rFonts w:ascii="Times New Roman" w:eastAsia="Arial Unicode MS" w:hAnsi="Times New Roman" w:cs="Times New Roman"/>
          <w:color w:val="000000" w:themeColor="text1"/>
          <w:sz w:val="24"/>
          <w:szCs w:val="24"/>
          <w:lang w:val="en-IE" w:eastAsia="en-AU" w:bidi="hi-IN"/>
        </w:rPr>
      </w:pPr>
      <w:r w:rsidRPr="005F6CA0">
        <w:rPr>
          <w:rFonts w:ascii="Times New Roman" w:eastAsia="Arial Unicode MS" w:hAnsi="Times New Roman" w:cs="Times New Roman"/>
          <w:color w:val="000000" w:themeColor="text1"/>
          <w:sz w:val="24"/>
          <w:szCs w:val="24"/>
          <w:lang w:val="en-IE" w:eastAsia="en-AU" w:bidi="hi-IN"/>
        </w:rPr>
        <w:t xml:space="preserve">The consumer data </w:t>
      </w:r>
      <w:r w:rsidR="0007060B" w:rsidRPr="005F6CA0">
        <w:rPr>
          <w:rFonts w:ascii="Times New Roman" w:eastAsia="Arial Unicode MS" w:hAnsi="Times New Roman" w:cs="Times New Roman"/>
          <w:color w:val="000000" w:themeColor="text1"/>
          <w:sz w:val="24"/>
          <w:szCs w:val="24"/>
          <w:lang w:val="en-IE" w:eastAsia="en-AU" w:bidi="hi-IN"/>
        </w:rPr>
        <w:t>right</w:t>
      </w:r>
      <w:r w:rsidRPr="005F6CA0">
        <w:rPr>
          <w:rFonts w:ascii="Times New Roman" w:eastAsia="Arial Unicode MS" w:hAnsi="Times New Roman" w:cs="Times New Roman"/>
          <w:color w:val="000000" w:themeColor="text1"/>
          <w:sz w:val="24"/>
          <w:szCs w:val="24"/>
          <w:lang w:val="en-IE" w:eastAsia="en-AU" w:bidi="hi-IN"/>
        </w:rPr>
        <w:t xml:space="preserve"> primarily addresses </w:t>
      </w:r>
      <w:r w:rsidRPr="00E1368F">
        <w:rPr>
          <w:rFonts w:ascii="Times New Roman" w:eastAsia="Arial Unicode MS" w:hAnsi="Times New Roman" w:cs="Times New Roman"/>
          <w:i/>
          <w:color w:val="000000" w:themeColor="text1"/>
          <w:sz w:val="24"/>
          <w:szCs w:val="24"/>
          <w:lang w:val="en-IE" w:eastAsia="en-AU" w:bidi="hi-IN"/>
        </w:rPr>
        <w:t>transaction</w:t>
      </w:r>
      <w:r w:rsidRPr="005F6CA0">
        <w:rPr>
          <w:rFonts w:ascii="Times New Roman" w:eastAsia="Arial Unicode MS" w:hAnsi="Times New Roman" w:cs="Times New Roman"/>
          <w:color w:val="000000" w:themeColor="text1"/>
          <w:sz w:val="24"/>
          <w:szCs w:val="24"/>
          <w:lang w:val="en-IE" w:eastAsia="en-AU" w:bidi="hi-IN"/>
        </w:rPr>
        <w:t xml:space="preserve"> costs. However, transaction costs and information</w:t>
      </w:r>
      <w:r w:rsidR="00280CF9">
        <w:rPr>
          <w:rFonts w:ascii="Times New Roman" w:eastAsia="Arial Unicode MS" w:hAnsi="Times New Roman" w:cs="Times New Roman"/>
          <w:color w:val="000000" w:themeColor="text1"/>
          <w:sz w:val="24"/>
          <w:szCs w:val="24"/>
          <w:lang w:val="en-IE" w:eastAsia="en-AU" w:bidi="hi-IN"/>
        </w:rPr>
        <w:t xml:space="preserve"> asymmetries, though </w:t>
      </w:r>
      <w:r w:rsidRPr="005F6CA0">
        <w:rPr>
          <w:rFonts w:ascii="Times New Roman" w:eastAsia="Arial Unicode MS" w:hAnsi="Times New Roman" w:cs="Times New Roman"/>
          <w:color w:val="000000" w:themeColor="text1"/>
          <w:sz w:val="24"/>
          <w:szCs w:val="24"/>
          <w:lang w:val="en-IE" w:eastAsia="en-AU" w:bidi="hi-IN"/>
        </w:rPr>
        <w:t>related are fundamentally different problems.</w:t>
      </w:r>
      <w:r w:rsidR="00777DE0" w:rsidRPr="00E575ED">
        <w:rPr>
          <w:rStyle w:val="FootnoteReference"/>
        </w:rPr>
        <w:footnoteReference w:id="1"/>
      </w:r>
      <w:r w:rsidRPr="005F6CA0">
        <w:rPr>
          <w:rFonts w:ascii="Times New Roman" w:eastAsia="Arial Unicode MS" w:hAnsi="Times New Roman" w:cs="Times New Roman"/>
          <w:color w:val="000000" w:themeColor="text1"/>
          <w:sz w:val="24"/>
          <w:szCs w:val="24"/>
          <w:lang w:val="en-IE" w:eastAsia="en-AU" w:bidi="hi-IN"/>
        </w:rPr>
        <w:t xml:space="preserve"> Reducing the cost of transferring or </w:t>
      </w:r>
      <w:r w:rsidR="007C69E5">
        <w:rPr>
          <w:rFonts w:ascii="Times New Roman" w:eastAsia="Arial Unicode MS" w:hAnsi="Times New Roman" w:cs="Times New Roman"/>
          <w:color w:val="000000" w:themeColor="text1"/>
          <w:sz w:val="24"/>
          <w:szCs w:val="24"/>
          <w:lang w:val="en-IE" w:eastAsia="en-AU" w:bidi="hi-IN"/>
        </w:rPr>
        <w:t>communicating data does not imply</w:t>
      </w:r>
      <w:r w:rsidRPr="005F6CA0">
        <w:rPr>
          <w:rFonts w:ascii="Times New Roman" w:eastAsia="Arial Unicode MS" w:hAnsi="Times New Roman" w:cs="Times New Roman"/>
          <w:color w:val="000000" w:themeColor="text1"/>
          <w:sz w:val="24"/>
          <w:szCs w:val="24"/>
          <w:lang w:val="en-IE" w:eastAsia="en-AU" w:bidi="hi-IN"/>
        </w:rPr>
        <w:t xml:space="preserve"> that consumers will be in a position</w:t>
      </w:r>
      <w:r w:rsidR="008E29A2">
        <w:rPr>
          <w:rFonts w:ascii="Times New Roman" w:eastAsia="Arial Unicode MS" w:hAnsi="Times New Roman" w:cs="Times New Roman"/>
          <w:color w:val="000000" w:themeColor="text1"/>
          <w:sz w:val="24"/>
          <w:szCs w:val="24"/>
          <w:lang w:val="en-IE" w:eastAsia="en-AU" w:bidi="hi-IN"/>
        </w:rPr>
        <w:t xml:space="preserve"> where</w:t>
      </w:r>
      <w:r w:rsidR="00322DEE">
        <w:rPr>
          <w:rFonts w:ascii="Times New Roman" w:eastAsia="Arial Unicode MS" w:hAnsi="Times New Roman" w:cs="Times New Roman"/>
          <w:color w:val="000000" w:themeColor="text1"/>
          <w:sz w:val="24"/>
          <w:szCs w:val="24"/>
          <w:lang w:val="en-IE" w:eastAsia="en-AU" w:bidi="hi-IN"/>
        </w:rPr>
        <w:t>:</w:t>
      </w:r>
    </w:p>
    <w:p w:rsidR="004E2ACB" w:rsidRPr="00FE456E" w:rsidRDefault="008E29A2" w:rsidP="004E2ACB">
      <w:pPr>
        <w:pStyle w:val="ListParagraph"/>
        <w:numPr>
          <w:ilvl w:val="0"/>
          <w:numId w:val="18"/>
        </w:numPr>
        <w:rPr>
          <w:rFonts w:ascii="Times New Roman" w:eastAsia="Arial Unicode MS" w:hAnsi="Times New Roman" w:cs="Times New Roman"/>
          <w:szCs w:val="24"/>
          <w:lang w:val="en-IE" w:eastAsia="en-AU" w:bidi="hi-IN"/>
        </w:rPr>
      </w:pPr>
      <w:r w:rsidRPr="00FE456E">
        <w:rPr>
          <w:rFonts w:ascii="Times New Roman" w:eastAsia="Arial Unicode MS" w:hAnsi="Times New Roman" w:cs="Times New Roman"/>
          <w:szCs w:val="24"/>
          <w:lang w:val="en-IE" w:eastAsia="en-AU" w:bidi="hi-IN"/>
        </w:rPr>
        <w:t xml:space="preserve">they can </w:t>
      </w:r>
      <w:r w:rsidR="0023308E" w:rsidRPr="00FE456E">
        <w:rPr>
          <w:rFonts w:ascii="Times New Roman" w:eastAsia="Arial Unicode MS" w:hAnsi="Times New Roman" w:cs="Times New Roman"/>
          <w:szCs w:val="24"/>
          <w:lang w:val="en-IE" w:eastAsia="en-AU" w:bidi="hi-IN"/>
        </w:rPr>
        <w:t>readily</w:t>
      </w:r>
      <w:r w:rsidR="0013146C" w:rsidRPr="00FE456E">
        <w:rPr>
          <w:rFonts w:ascii="Times New Roman" w:eastAsia="Arial Unicode MS" w:hAnsi="Times New Roman" w:cs="Times New Roman"/>
          <w:szCs w:val="24"/>
          <w:lang w:val="en-IE" w:eastAsia="en-AU" w:bidi="hi-IN"/>
        </w:rPr>
        <w:t xml:space="preserve"> engage</w:t>
      </w:r>
      <w:r w:rsidR="00FE456E" w:rsidRPr="00FE456E">
        <w:rPr>
          <w:rFonts w:ascii="Times New Roman" w:eastAsia="Arial Unicode MS" w:hAnsi="Times New Roman" w:cs="Times New Roman"/>
          <w:szCs w:val="24"/>
          <w:lang w:val="en-IE" w:eastAsia="en-AU" w:bidi="hi-IN"/>
        </w:rPr>
        <w:t xml:space="preserve"> </w:t>
      </w:r>
      <w:r w:rsidR="0013146C" w:rsidRPr="00FE456E">
        <w:rPr>
          <w:rFonts w:ascii="Times New Roman" w:eastAsia="Arial Unicode MS" w:hAnsi="Times New Roman" w:cs="Times New Roman"/>
          <w:szCs w:val="24"/>
          <w:lang w:val="en-IE" w:eastAsia="en-AU" w:bidi="hi-IN"/>
        </w:rPr>
        <w:t xml:space="preserve"> with</w:t>
      </w:r>
      <w:r w:rsidR="00FE456E" w:rsidRPr="00FE456E">
        <w:rPr>
          <w:rFonts w:ascii="Times New Roman" w:eastAsia="Arial Unicode MS" w:hAnsi="Times New Roman" w:cs="Times New Roman"/>
          <w:szCs w:val="24"/>
          <w:lang w:val="en-IE" w:eastAsia="en-AU" w:bidi="hi-IN"/>
        </w:rPr>
        <w:t xml:space="preserve"> and compare</w:t>
      </w:r>
      <w:r w:rsidR="0023308E" w:rsidRPr="00FE456E">
        <w:rPr>
          <w:rFonts w:ascii="Times New Roman" w:eastAsia="Arial Unicode MS" w:hAnsi="Times New Roman" w:cs="Times New Roman"/>
          <w:szCs w:val="24"/>
          <w:lang w:val="en-IE" w:eastAsia="en-AU" w:bidi="hi-IN"/>
        </w:rPr>
        <w:t xml:space="preserve"> complex and </w:t>
      </w:r>
      <w:r w:rsidR="004E2ACB" w:rsidRPr="00FE456E">
        <w:rPr>
          <w:rFonts w:ascii="Times New Roman" w:eastAsia="Arial Unicode MS" w:hAnsi="Times New Roman" w:cs="Times New Roman"/>
          <w:szCs w:val="24"/>
          <w:lang w:val="en-IE" w:eastAsia="en-AU" w:bidi="hi-IN"/>
        </w:rPr>
        <w:t>differentiated products;</w:t>
      </w:r>
    </w:p>
    <w:p w:rsidR="004E2ACB" w:rsidRDefault="008E29A2" w:rsidP="004E2ACB">
      <w:pPr>
        <w:pStyle w:val="ListParagraph"/>
        <w:numPr>
          <w:ilvl w:val="0"/>
          <w:numId w:val="18"/>
        </w:numPr>
        <w:rPr>
          <w:rFonts w:ascii="Times New Roman" w:eastAsia="Arial Unicode MS" w:hAnsi="Times New Roman" w:cs="Times New Roman"/>
          <w:color w:val="000000" w:themeColor="text1"/>
          <w:szCs w:val="24"/>
          <w:lang w:val="en-IE" w:eastAsia="en-AU" w:bidi="hi-IN"/>
        </w:rPr>
      </w:pPr>
      <w:r w:rsidRPr="00FE456E">
        <w:rPr>
          <w:rFonts w:ascii="Times New Roman" w:eastAsia="Arial Unicode MS" w:hAnsi="Times New Roman" w:cs="Times New Roman"/>
          <w:szCs w:val="24"/>
          <w:lang w:val="en-IE" w:eastAsia="en-AU" w:bidi="hi-IN"/>
        </w:rPr>
        <w:t>they are</w:t>
      </w:r>
      <w:r w:rsidR="0023308E" w:rsidRPr="00FE456E">
        <w:rPr>
          <w:rFonts w:ascii="Times New Roman" w:eastAsia="Arial Unicode MS" w:hAnsi="Times New Roman" w:cs="Times New Roman"/>
          <w:szCs w:val="24"/>
          <w:lang w:val="en-IE" w:eastAsia="en-AU" w:bidi="hi-IN"/>
        </w:rPr>
        <w:t xml:space="preserve"> protected from firms presenting information in an und</w:t>
      </w:r>
      <w:r w:rsidR="002D0F13" w:rsidRPr="00FE456E">
        <w:rPr>
          <w:rFonts w:ascii="Times New Roman" w:eastAsia="Arial Unicode MS" w:hAnsi="Times New Roman" w:cs="Times New Roman"/>
          <w:szCs w:val="24"/>
          <w:lang w:val="en-IE" w:eastAsia="en-AU" w:bidi="hi-IN"/>
        </w:rPr>
        <w:t xml:space="preserve">uly complex way </w:t>
      </w:r>
      <w:r w:rsidR="002D0F13" w:rsidRPr="004E2ACB">
        <w:rPr>
          <w:rFonts w:ascii="Times New Roman" w:eastAsia="Arial Unicode MS" w:hAnsi="Times New Roman" w:cs="Times New Roman"/>
          <w:color w:val="000000" w:themeColor="text1"/>
          <w:szCs w:val="24"/>
          <w:lang w:val="en-IE" w:eastAsia="en-AU" w:bidi="hi-IN"/>
        </w:rPr>
        <w:t>to confuse them</w:t>
      </w:r>
      <w:r w:rsidR="004E2ACB">
        <w:rPr>
          <w:rFonts w:ascii="Times New Roman" w:eastAsia="Arial Unicode MS" w:hAnsi="Times New Roman" w:cs="Times New Roman"/>
          <w:color w:val="000000" w:themeColor="text1"/>
          <w:szCs w:val="24"/>
          <w:lang w:val="en-IE" w:eastAsia="en-AU" w:bidi="hi-IN"/>
        </w:rPr>
        <w:t>;</w:t>
      </w:r>
    </w:p>
    <w:p w:rsidR="00322DEE" w:rsidRPr="00322DEE" w:rsidRDefault="008E29A2" w:rsidP="00585151">
      <w:pPr>
        <w:pStyle w:val="ListParagraph"/>
        <w:numPr>
          <w:ilvl w:val="0"/>
          <w:numId w:val="18"/>
        </w:numPr>
        <w:rPr>
          <w:rFonts w:ascii="Times New Roman" w:eastAsia="Arial Unicode MS" w:hAnsi="Times New Roman" w:cs="Times New Roman"/>
          <w:color w:val="000000" w:themeColor="text1"/>
          <w:szCs w:val="24"/>
          <w:lang w:val="en-IE" w:eastAsia="en-AU" w:bidi="hi-IN"/>
        </w:rPr>
      </w:pPr>
      <w:proofErr w:type="gramStart"/>
      <w:r>
        <w:rPr>
          <w:rFonts w:ascii="Times New Roman" w:eastAsia="Arial Unicode MS" w:hAnsi="Times New Roman" w:cs="Times New Roman"/>
          <w:color w:val="000000" w:themeColor="text1"/>
          <w:szCs w:val="24"/>
          <w:lang w:val="en-IE" w:eastAsia="en-AU" w:bidi="hi-IN"/>
        </w:rPr>
        <w:t>they</w:t>
      </w:r>
      <w:proofErr w:type="gramEnd"/>
      <w:r>
        <w:rPr>
          <w:rFonts w:ascii="Times New Roman" w:eastAsia="Arial Unicode MS" w:hAnsi="Times New Roman" w:cs="Times New Roman"/>
          <w:color w:val="000000" w:themeColor="text1"/>
          <w:szCs w:val="24"/>
          <w:lang w:val="en-IE" w:eastAsia="en-AU" w:bidi="hi-IN"/>
        </w:rPr>
        <w:t xml:space="preserve"> are protected from</w:t>
      </w:r>
      <w:r w:rsidR="004E2ACB">
        <w:rPr>
          <w:rFonts w:ascii="Times New Roman" w:eastAsia="Arial Unicode MS" w:hAnsi="Times New Roman" w:cs="Times New Roman"/>
          <w:color w:val="000000" w:themeColor="text1"/>
          <w:szCs w:val="24"/>
          <w:lang w:val="en-IE" w:eastAsia="en-AU" w:bidi="hi-IN"/>
        </w:rPr>
        <w:t xml:space="preserve"> firms failing to </w:t>
      </w:r>
      <w:r w:rsidR="005F6CA0" w:rsidRPr="004E2ACB">
        <w:rPr>
          <w:rFonts w:ascii="Times New Roman" w:eastAsia="Arial Unicode MS" w:hAnsi="Times New Roman" w:cs="Times New Roman"/>
          <w:color w:val="000000" w:themeColor="text1"/>
          <w:szCs w:val="24"/>
          <w:lang w:val="en-IE" w:eastAsia="en-AU" w:bidi="hi-IN"/>
        </w:rPr>
        <w:t>provide information concerning the underlying quality of services.</w:t>
      </w:r>
    </w:p>
    <w:p w:rsidR="00557149" w:rsidRDefault="00322DEE" w:rsidP="00283661">
      <w:pPr>
        <w:jc w:val="both"/>
        <w:rPr>
          <w:rFonts w:ascii="Times New Roman" w:hAnsi="Times New Roman" w:cs="Times New Roman"/>
          <w:color w:val="000000" w:themeColor="text1"/>
          <w:sz w:val="24"/>
        </w:rPr>
      </w:pPr>
      <w:r>
        <w:rPr>
          <w:rFonts w:ascii="Times New Roman" w:hAnsi="Times New Roman" w:cs="Times New Roman"/>
          <w:color w:val="000000" w:themeColor="text1"/>
          <w:sz w:val="24"/>
        </w:rPr>
        <w:t>Although supportive of measures to reduce transaction costs, or address information asymmetries</w:t>
      </w:r>
      <w:r w:rsidR="0018368F">
        <w:rPr>
          <w:rFonts w:ascii="Times New Roman" w:hAnsi="Times New Roman" w:cs="Times New Roman"/>
          <w:color w:val="000000" w:themeColor="text1"/>
          <w:sz w:val="24"/>
        </w:rPr>
        <w:t>,</w:t>
      </w:r>
      <w:r>
        <w:rPr>
          <w:rFonts w:ascii="Times New Roman" w:hAnsi="Times New Roman" w:cs="Times New Roman"/>
          <w:color w:val="000000" w:themeColor="text1"/>
          <w:sz w:val="24"/>
        </w:rPr>
        <w:t xml:space="preserve"> it is important not to conflate the two related but d</w:t>
      </w:r>
      <w:r w:rsidR="001A6153">
        <w:rPr>
          <w:rFonts w:ascii="Times New Roman" w:hAnsi="Times New Roman" w:cs="Times New Roman"/>
          <w:color w:val="000000" w:themeColor="text1"/>
          <w:sz w:val="24"/>
        </w:rPr>
        <w:t xml:space="preserve">istinct forms of market failure, as </w:t>
      </w:r>
      <w:r w:rsidR="00C77CC3">
        <w:rPr>
          <w:rFonts w:ascii="Times New Roman" w:hAnsi="Times New Roman" w:cs="Times New Roman"/>
          <w:color w:val="000000" w:themeColor="text1"/>
          <w:sz w:val="24"/>
        </w:rPr>
        <w:t>targeted policy interventions are required to address each issue.</w:t>
      </w:r>
      <w:r w:rsidR="00557149">
        <w:rPr>
          <w:rFonts w:ascii="Times New Roman" w:hAnsi="Times New Roman" w:cs="Times New Roman"/>
          <w:color w:val="000000" w:themeColor="text1"/>
          <w:sz w:val="24"/>
        </w:rPr>
        <w:t xml:space="preserve"> The development of the CDR may however, be refined to allow for the resolution of specific instances of asymmetrical information to maximize consumer benefits.</w:t>
      </w:r>
    </w:p>
    <w:p w:rsidR="00283661" w:rsidRPr="00E00FED" w:rsidRDefault="00283661" w:rsidP="00283661">
      <w:pPr>
        <w:jc w:val="both"/>
        <w:rPr>
          <w:rFonts w:ascii="Times New Roman" w:eastAsia="Arial Unicode MS" w:hAnsi="Times New Roman" w:cs="Times New Roman"/>
          <w:color w:val="000000" w:themeColor="text1"/>
          <w:sz w:val="24"/>
          <w:szCs w:val="24"/>
          <w:lang w:val="en-IE" w:eastAsia="en-AU" w:bidi="hi-IN"/>
        </w:rPr>
      </w:pPr>
      <w:r>
        <w:rPr>
          <w:rFonts w:ascii="Times New Roman" w:eastAsia="Arial Unicode MS" w:hAnsi="Times New Roman" w:cs="Times New Roman"/>
          <w:color w:val="000000" w:themeColor="text1"/>
          <w:sz w:val="24"/>
          <w:szCs w:val="24"/>
          <w:lang w:val="en-IE" w:eastAsia="en-AU" w:bidi="hi-IN"/>
        </w:rPr>
        <w:t xml:space="preserve">In the telecommunications context, recent measures have been implemented to address information asymmetries </w:t>
      </w:r>
      <w:r w:rsidRPr="00E00FED">
        <w:rPr>
          <w:rFonts w:ascii="Times New Roman" w:eastAsia="Arial Unicode MS" w:hAnsi="Times New Roman" w:cs="Times New Roman"/>
          <w:color w:val="000000" w:themeColor="text1"/>
          <w:sz w:val="24"/>
          <w:szCs w:val="24"/>
          <w:lang w:val="en-IE" w:eastAsia="en-AU" w:bidi="hi-IN"/>
        </w:rPr>
        <w:t>including:</w:t>
      </w:r>
    </w:p>
    <w:p w:rsidR="00283661" w:rsidRPr="00E1368F" w:rsidRDefault="00283661" w:rsidP="00283661">
      <w:pPr>
        <w:pStyle w:val="ListParagraph"/>
        <w:numPr>
          <w:ilvl w:val="0"/>
          <w:numId w:val="16"/>
        </w:numPr>
        <w:spacing w:line="276" w:lineRule="auto"/>
        <w:rPr>
          <w:rFonts w:ascii="Times New Roman" w:eastAsia="Arial Unicode MS" w:hAnsi="Times New Roman" w:cs="Times New Roman"/>
          <w:color w:val="000000" w:themeColor="text1"/>
          <w:szCs w:val="24"/>
          <w:lang w:val="en-IE" w:eastAsia="en-AU" w:bidi="hi-IN"/>
        </w:rPr>
      </w:pPr>
      <w:r>
        <w:rPr>
          <w:rFonts w:ascii="Times New Roman" w:eastAsia="Arial Unicode MS" w:hAnsi="Times New Roman" w:cs="Times New Roman"/>
          <w:i/>
          <w:color w:val="000000" w:themeColor="text1"/>
          <w:szCs w:val="24"/>
          <w:lang w:val="en-IE" w:eastAsia="en-AU" w:bidi="hi-IN"/>
        </w:rPr>
        <w:t>Telecommunications (NBN Consumer Information) Industry Standard 2018</w:t>
      </w:r>
      <w:r>
        <w:rPr>
          <w:rFonts w:ascii="Times New Roman" w:eastAsia="Arial Unicode MS" w:hAnsi="Times New Roman" w:cs="Times New Roman"/>
          <w:color w:val="000000" w:themeColor="text1"/>
          <w:szCs w:val="24"/>
          <w:lang w:val="en-IE" w:eastAsia="en-AU" w:bidi="hi-IN"/>
        </w:rPr>
        <w:t>;</w:t>
      </w:r>
    </w:p>
    <w:p w:rsidR="00283661" w:rsidRPr="00F95409" w:rsidRDefault="00283661" w:rsidP="00283661">
      <w:pPr>
        <w:pStyle w:val="ListParagraph"/>
        <w:numPr>
          <w:ilvl w:val="0"/>
          <w:numId w:val="16"/>
        </w:numPr>
        <w:spacing w:line="276" w:lineRule="auto"/>
        <w:rPr>
          <w:rFonts w:ascii="Times New Roman" w:eastAsia="Arial Unicode MS" w:hAnsi="Times New Roman" w:cs="Times New Roman"/>
          <w:color w:val="000000" w:themeColor="text1"/>
          <w:szCs w:val="24"/>
          <w:lang w:val="en-IE" w:eastAsia="en-AU" w:bidi="hi-IN"/>
        </w:rPr>
      </w:pPr>
      <w:r>
        <w:rPr>
          <w:rFonts w:ascii="Times New Roman" w:eastAsia="Arial Unicode MS" w:hAnsi="Times New Roman" w:cs="Times New Roman"/>
          <w:i/>
          <w:color w:val="000000" w:themeColor="text1"/>
          <w:szCs w:val="24"/>
          <w:lang w:val="en-IE" w:eastAsia="en-AU" w:bidi="hi-IN"/>
        </w:rPr>
        <w:t>Telecommunications Service Provider (NBN Service Migration) Determination 2018</w:t>
      </w:r>
      <w:r>
        <w:rPr>
          <w:rFonts w:ascii="Times New Roman" w:eastAsia="Arial Unicode MS" w:hAnsi="Times New Roman" w:cs="Times New Roman"/>
          <w:color w:val="000000" w:themeColor="text1"/>
          <w:szCs w:val="24"/>
          <w:lang w:val="en-IE" w:eastAsia="en-AU" w:bidi="hi-IN"/>
        </w:rPr>
        <w:t>;</w:t>
      </w:r>
    </w:p>
    <w:p w:rsidR="00283661" w:rsidRPr="00F95409" w:rsidRDefault="00283661" w:rsidP="00283661">
      <w:pPr>
        <w:pStyle w:val="ListParagraph"/>
        <w:numPr>
          <w:ilvl w:val="0"/>
          <w:numId w:val="16"/>
        </w:numPr>
        <w:spacing w:line="276" w:lineRule="auto"/>
        <w:rPr>
          <w:rFonts w:ascii="Times New Roman" w:eastAsia="Arial Unicode MS" w:hAnsi="Times New Roman" w:cs="Times New Roman"/>
          <w:color w:val="000000" w:themeColor="text1"/>
          <w:szCs w:val="24"/>
          <w:lang w:val="en-IE" w:eastAsia="en-AU" w:bidi="hi-IN"/>
        </w:rPr>
      </w:pPr>
      <w:r>
        <w:rPr>
          <w:rFonts w:ascii="Times New Roman" w:eastAsia="Arial Unicode MS" w:hAnsi="Times New Roman" w:cs="Times New Roman"/>
          <w:color w:val="000000" w:themeColor="text1"/>
          <w:szCs w:val="24"/>
          <w:lang w:val="en-IE" w:eastAsia="en-AU" w:bidi="hi-IN"/>
        </w:rPr>
        <w:t>Monitoring of broadband performance by the ACCC.</w:t>
      </w:r>
    </w:p>
    <w:p w:rsidR="00283661" w:rsidRDefault="00283661" w:rsidP="00322DEE">
      <w:pPr>
        <w:jc w:val="both"/>
        <w:rPr>
          <w:rFonts w:ascii="Times New Roman" w:eastAsia="Arial Unicode MS" w:hAnsi="Times New Roman" w:cs="Times New Roman"/>
          <w:color w:val="000000" w:themeColor="text1"/>
          <w:sz w:val="24"/>
          <w:szCs w:val="24"/>
          <w:lang w:val="en-IE" w:eastAsia="en-AU" w:bidi="hi-IN"/>
        </w:rPr>
      </w:pPr>
      <w:r>
        <w:rPr>
          <w:rFonts w:ascii="Times New Roman" w:hAnsi="Times New Roman" w:cs="Times New Roman"/>
          <w:color w:val="000000" w:themeColor="text1"/>
          <w:sz w:val="24"/>
        </w:rPr>
        <w:lastRenderedPageBreak/>
        <w:t xml:space="preserve">The need for continued policy intervention to address information asymmetries more broadly have been highlighted in the energy sector by the </w:t>
      </w:r>
      <w:r w:rsidRPr="00B41CB2">
        <w:rPr>
          <w:rFonts w:ascii="Times New Roman" w:eastAsia="Arial Unicode MS" w:hAnsi="Times New Roman" w:cs="Times New Roman"/>
          <w:color w:val="000000" w:themeColor="text1"/>
          <w:sz w:val="24"/>
          <w:szCs w:val="24"/>
          <w:lang w:val="en-IE" w:eastAsia="en-AU" w:bidi="hi-IN"/>
        </w:rPr>
        <w:t xml:space="preserve">ACCC </w:t>
      </w:r>
      <w:r w:rsidRPr="00F574EA">
        <w:rPr>
          <w:rFonts w:ascii="Times New Roman" w:hAnsi="Times New Roman" w:cs="Times New Roman"/>
          <w:color w:val="000000" w:themeColor="text1"/>
          <w:sz w:val="24"/>
        </w:rPr>
        <w:t>(2018</w:t>
      </w:r>
      <w:r w:rsidR="00A60CD9">
        <w:rPr>
          <w:rFonts w:ascii="Times New Roman" w:hAnsi="Times New Roman" w:cs="Times New Roman"/>
          <w:color w:val="000000" w:themeColor="text1"/>
          <w:sz w:val="24"/>
        </w:rPr>
        <w:t>b</w:t>
      </w:r>
      <w:r w:rsidRPr="00F574EA">
        <w:rPr>
          <w:rFonts w:ascii="Times New Roman" w:hAnsi="Times New Roman" w:cs="Times New Roman"/>
          <w:color w:val="000000" w:themeColor="text1"/>
          <w:sz w:val="24"/>
        </w:rPr>
        <w:t>)</w:t>
      </w:r>
      <w:r>
        <w:rPr>
          <w:rFonts w:ascii="Times New Roman" w:eastAsia="Arial Unicode MS" w:hAnsi="Times New Roman" w:cs="Times New Roman"/>
          <w:color w:val="000000" w:themeColor="text1"/>
          <w:sz w:val="24"/>
          <w:szCs w:val="24"/>
          <w:lang w:val="en-IE" w:eastAsia="en-AU" w:bidi="hi-IN"/>
        </w:rPr>
        <w:t xml:space="preserve">, which recommended </w:t>
      </w:r>
      <w:r w:rsidR="00322DEE">
        <w:rPr>
          <w:rFonts w:ascii="Times New Roman" w:eastAsia="Arial Unicode MS" w:hAnsi="Times New Roman" w:cs="Times New Roman"/>
          <w:color w:val="000000" w:themeColor="text1"/>
          <w:sz w:val="24"/>
          <w:szCs w:val="24"/>
          <w:lang w:val="en-IE" w:eastAsia="en-AU" w:bidi="hi-IN"/>
        </w:rPr>
        <w:t>reform</w:t>
      </w:r>
      <w:r>
        <w:rPr>
          <w:rFonts w:ascii="Times New Roman" w:eastAsia="Arial Unicode MS" w:hAnsi="Times New Roman" w:cs="Times New Roman"/>
          <w:color w:val="000000" w:themeColor="text1"/>
          <w:sz w:val="24"/>
          <w:szCs w:val="24"/>
          <w:lang w:val="en-IE" w:eastAsia="en-AU" w:bidi="hi-IN"/>
        </w:rPr>
        <w:t>s</w:t>
      </w:r>
      <w:r w:rsidR="00322DEE">
        <w:rPr>
          <w:rFonts w:ascii="Times New Roman" w:eastAsia="Arial Unicode MS" w:hAnsi="Times New Roman" w:cs="Times New Roman"/>
          <w:color w:val="000000" w:themeColor="text1"/>
          <w:sz w:val="24"/>
          <w:szCs w:val="24"/>
          <w:lang w:val="en-IE" w:eastAsia="en-AU" w:bidi="hi-IN"/>
        </w:rPr>
        <w:t xml:space="preserve"> to allow for consistent comparisons to reduce the information asymmetries that exist between consumer and firms. </w:t>
      </w:r>
    </w:p>
    <w:p w:rsidR="009D1D79" w:rsidRPr="00746279" w:rsidRDefault="00322DEE" w:rsidP="00322DEE">
      <w:pPr>
        <w:jc w:val="both"/>
        <w:rPr>
          <w:rFonts w:ascii="Times New Roman" w:eastAsia="Arial Unicode MS" w:hAnsi="Times New Roman" w:cs="Times New Roman"/>
          <w:color w:val="000000" w:themeColor="text1"/>
          <w:sz w:val="24"/>
          <w:szCs w:val="24"/>
          <w:lang w:val="en-IE" w:eastAsia="en-AU" w:bidi="hi-IN"/>
        </w:rPr>
      </w:pPr>
      <w:r>
        <w:rPr>
          <w:rFonts w:ascii="Times New Roman" w:eastAsia="Arial Unicode MS" w:hAnsi="Times New Roman" w:cs="Times New Roman"/>
          <w:color w:val="000000" w:themeColor="text1"/>
          <w:sz w:val="24"/>
          <w:szCs w:val="24"/>
          <w:lang w:val="en-IE" w:eastAsia="en-AU" w:bidi="hi-IN"/>
        </w:rPr>
        <w:t>The financial services sector has</w:t>
      </w:r>
      <w:r w:rsidR="00283661">
        <w:rPr>
          <w:rFonts w:ascii="Times New Roman" w:eastAsia="Arial Unicode MS" w:hAnsi="Times New Roman" w:cs="Times New Roman"/>
          <w:color w:val="000000" w:themeColor="text1"/>
          <w:sz w:val="24"/>
          <w:szCs w:val="24"/>
          <w:lang w:val="en-IE" w:eastAsia="en-AU" w:bidi="hi-IN"/>
        </w:rPr>
        <w:t xml:space="preserve"> similarly</w:t>
      </w:r>
      <w:r>
        <w:rPr>
          <w:rFonts w:ascii="Times New Roman" w:eastAsia="Arial Unicode MS" w:hAnsi="Times New Roman" w:cs="Times New Roman"/>
          <w:color w:val="000000" w:themeColor="text1"/>
          <w:sz w:val="24"/>
          <w:szCs w:val="24"/>
          <w:lang w:val="en-IE" w:eastAsia="en-AU" w:bidi="hi-IN"/>
        </w:rPr>
        <w:t xml:space="preserve"> been identified as suffering from rampant information asymmetries, </w:t>
      </w:r>
      <w:r w:rsidR="00283661">
        <w:rPr>
          <w:rFonts w:ascii="Times New Roman" w:eastAsia="Arial Unicode MS" w:hAnsi="Times New Roman" w:cs="Times New Roman"/>
          <w:color w:val="000000" w:themeColor="text1"/>
          <w:sz w:val="24"/>
          <w:szCs w:val="24"/>
          <w:lang w:val="en-IE" w:eastAsia="en-AU" w:bidi="hi-IN"/>
        </w:rPr>
        <w:t>with</w:t>
      </w:r>
      <w:r>
        <w:rPr>
          <w:rFonts w:ascii="Times New Roman" w:eastAsia="Arial Unicode MS" w:hAnsi="Times New Roman" w:cs="Times New Roman"/>
          <w:color w:val="000000" w:themeColor="text1"/>
          <w:sz w:val="24"/>
          <w:szCs w:val="24"/>
          <w:lang w:val="en-IE" w:eastAsia="en-AU" w:bidi="hi-IN"/>
        </w:rPr>
        <w:t xml:space="preserve"> the </w:t>
      </w:r>
      <w:r w:rsidRPr="00B41CB2">
        <w:rPr>
          <w:rFonts w:ascii="Times New Roman" w:eastAsia="Arial Unicode MS" w:hAnsi="Times New Roman" w:cs="Times New Roman"/>
          <w:color w:val="000000" w:themeColor="text1"/>
          <w:sz w:val="24"/>
          <w:szCs w:val="24"/>
          <w:lang w:val="en-IE" w:eastAsia="en-AU" w:bidi="hi-IN"/>
        </w:rPr>
        <w:t xml:space="preserve">Productivity Commission </w:t>
      </w:r>
      <w:r w:rsidRPr="00B41CB2">
        <w:rPr>
          <w:rFonts w:ascii="Times New Roman" w:hAnsi="Times New Roman" w:cs="Times New Roman"/>
          <w:color w:val="000000" w:themeColor="text1"/>
          <w:sz w:val="24"/>
        </w:rPr>
        <w:t>(2018, p. 89-90)</w:t>
      </w:r>
      <w:r w:rsidRPr="00B41CB2">
        <w:rPr>
          <w:rFonts w:ascii="Times New Roman" w:eastAsia="Arial Unicode MS" w:hAnsi="Times New Roman" w:cs="Times New Roman"/>
          <w:color w:val="000000" w:themeColor="text1"/>
          <w:sz w:val="24"/>
          <w:szCs w:val="24"/>
          <w:lang w:val="en-IE" w:eastAsia="en-AU" w:bidi="hi-IN"/>
        </w:rPr>
        <w:t xml:space="preserve"> </w:t>
      </w:r>
      <w:r w:rsidR="00283661">
        <w:rPr>
          <w:rFonts w:ascii="Times New Roman" w:eastAsia="Arial Unicode MS" w:hAnsi="Times New Roman" w:cs="Times New Roman"/>
          <w:color w:val="000000" w:themeColor="text1"/>
          <w:sz w:val="24"/>
          <w:szCs w:val="24"/>
          <w:lang w:val="en-IE" w:eastAsia="en-AU" w:bidi="hi-IN"/>
        </w:rPr>
        <w:t>noting</w:t>
      </w:r>
      <w:r>
        <w:rPr>
          <w:rFonts w:ascii="Times New Roman" w:eastAsia="Arial Unicode MS" w:hAnsi="Times New Roman" w:cs="Times New Roman"/>
          <w:color w:val="000000" w:themeColor="text1"/>
          <w:sz w:val="24"/>
          <w:szCs w:val="24"/>
          <w:lang w:val="en-IE" w:eastAsia="en-AU" w:bidi="hi-IN"/>
        </w:rPr>
        <w:t xml:space="preserve"> that providers typically have more information on product differentiation, pricing, risk and quality than consumers. Moreover, the use of disclosure as a tool to resolve information asymmetries was identified as ineffective.</w:t>
      </w:r>
    </w:p>
    <w:p w:rsidR="00322DEE" w:rsidRPr="00B41CB2" w:rsidRDefault="00322DEE" w:rsidP="00322DEE">
      <w:pPr>
        <w:spacing w:before="100" w:beforeAutospacing="1" w:after="100" w:afterAutospacing="1" w:line="240" w:lineRule="auto"/>
        <w:rPr>
          <w:rFonts w:ascii="Times New Roman" w:eastAsia="Times New Roman" w:hAnsi="Times New Roman" w:cs="Times New Roman"/>
          <w:sz w:val="24"/>
          <w:szCs w:val="24"/>
          <w:lang w:val="en-AU" w:eastAsia="en-AU"/>
        </w:rPr>
      </w:pPr>
      <w:r>
        <w:rPr>
          <w:rFonts w:ascii="Times New Roman" w:eastAsia="Times New Roman" w:hAnsi="Times New Roman" w:cs="Times New Roman"/>
          <w:sz w:val="24"/>
          <w:szCs w:val="24"/>
          <w:lang w:val="en-AU" w:eastAsia="en-AU"/>
        </w:rPr>
        <w:t>Citing ASIC, the Commission noted the implications of asymmetries for consumers:</w:t>
      </w:r>
    </w:p>
    <w:p w:rsidR="00322DEE" w:rsidRPr="00B41CB2" w:rsidRDefault="00322DEE" w:rsidP="00322DEE">
      <w:pPr>
        <w:spacing w:before="100" w:beforeAutospacing="1" w:after="100" w:afterAutospacing="1" w:line="240" w:lineRule="auto"/>
        <w:ind w:left="720"/>
        <w:jc w:val="both"/>
        <w:rPr>
          <w:rFonts w:ascii="Times New Roman" w:eastAsia="Times New Roman" w:hAnsi="Times New Roman" w:cs="Times New Roman"/>
          <w:sz w:val="24"/>
          <w:szCs w:val="24"/>
          <w:lang w:val="en-AU" w:eastAsia="en-AU"/>
        </w:rPr>
      </w:pPr>
      <w:r w:rsidRPr="00B41CB2">
        <w:rPr>
          <w:rFonts w:ascii="Times New Roman" w:eastAsia="Times New Roman" w:hAnsi="Times New Roman" w:cs="Times New Roman"/>
          <w:lang w:val="en-AU" w:eastAsia="en-AU"/>
        </w:rPr>
        <w:t xml:space="preserve">The provider of a financial product or service generally has more information than the consumer about the terms and conditions of the product or service. Consumers are generally unable to negotiate more favourable terms or conditions. This information asymmetry creates opportunities for inappropriate or exploitative behaviour by providers. Providers could potentially design products or services that maximise their interests over that of consumers. (ASIC, sub. 40, p. 15) </w:t>
      </w:r>
    </w:p>
    <w:p w:rsidR="00322DEE" w:rsidRDefault="00322DEE" w:rsidP="00322DEE">
      <w:pPr>
        <w:jc w:val="right"/>
        <w:rPr>
          <w:rFonts w:ascii="Times New Roman" w:hAnsi="Times New Roman" w:cs="Times New Roman"/>
          <w:color w:val="000000" w:themeColor="text1"/>
          <w:sz w:val="24"/>
        </w:rPr>
      </w:pPr>
      <w:r w:rsidRPr="00B41CB2">
        <w:rPr>
          <w:rFonts w:ascii="Times New Roman" w:hAnsi="Times New Roman" w:cs="Times New Roman"/>
          <w:color w:val="000000" w:themeColor="text1"/>
          <w:sz w:val="24"/>
        </w:rPr>
        <w:t>(</w:t>
      </w:r>
      <w:r>
        <w:rPr>
          <w:rFonts w:ascii="Times New Roman" w:hAnsi="Times New Roman" w:cs="Times New Roman"/>
          <w:color w:val="000000" w:themeColor="text1"/>
          <w:sz w:val="24"/>
        </w:rPr>
        <w:t xml:space="preserve">PC </w:t>
      </w:r>
      <w:r w:rsidRPr="00B41CB2">
        <w:rPr>
          <w:rFonts w:ascii="Times New Roman" w:hAnsi="Times New Roman" w:cs="Times New Roman"/>
          <w:color w:val="000000" w:themeColor="text1"/>
          <w:sz w:val="24"/>
        </w:rPr>
        <w:t>2018, p. 89-90</w:t>
      </w:r>
      <w:r>
        <w:rPr>
          <w:rFonts w:ascii="Times New Roman" w:hAnsi="Times New Roman" w:cs="Times New Roman"/>
          <w:color w:val="000000" w:themeColor="text1"/>
          <w:sz w:val="24"/>
        </w:rPr>
        <w:t>)</w:t>
      </w:r>
    </w:p>
    <w:p w:rsidR="008D751F" w:rsidRDefault="00F13807" w:rsidP="00F67C30">
      <w:pPr>
        <w:jc w:val="both"/>
        <w:rPr>
          <w:rFonts w:ascii="Times New Roman" w:eastAsia="Arial Unicode MS" w:hAnsi="Times New Roman" w:cs="Times New Roman"/>
          <w:color w:val="000000" w:themeColor="text1"/>
          <w:sz w:val="24"/>
          <w:szCs w:val="24"/>
          <w:lang w:val="en-IE" w:eastAsia="en-AU" w:bidi="hi-IN"/>
        </w:rPr>
      </w:pPr>
      <w:r>
        <w:rPr>
          <w:rFonts w:ascii="Times New Roman" w:eastAsia="Arial Unicode MS" w:hAnsi="Times New Roman" w:cs="Times New Roman"/>
          <w:color w:val="000000" w:themeColor="text1"/>
          <w:sz w:val="24"/>
          <w:szCs w:val="24"/>
          <w:lang w:val="en-IE" w:eastAsia="en-AU" w:bidi="hi-IN"/>
        </w:rPr>
        <w:t xml:space="preserve">ACCAN supports the implementation of reforms that address a variety of market failures present in the telecommunications sector, and </w:t>
      </w:r>
      <w:r w:rsidR="00527902">
        <w:rPr>
          <w:rFonts w:ascii="Times New Roman" w:eastAsia="Arial Unicode MS" w:hAnsi="Times New Roman" w:cs="Times New Roman"/>
          <w:color w:val="000000" w:themeColor="text1"/>
          <w:sz w:val="24"/>
          <w:szCs w:val="24"/>
          <w:lang w:val="en-IE" w:eastAsia="en-AU" w:bidi="hi-IN"/>
        </w:rPr>
        <w:t>supports the development of targeted</w:t>
      </w:r>
      <w:r>
        <w:rPr>
          <w:rFonts w:ascii="Times New Roman" w:eastAsia="Arial Unicode MS" w:hAnsi="Times New Roman" w:cs="Times New Roman"/>
          <w:color w:val="000000" w:themeColor="text1"/>
          <w:sz w:val="24"/>
          <w:szCs w:val="24"/>
          <w:lang w:val="en-IE" w:eastAsia="en-AU" w:bidi="hi-IN"/>
        </w:rPr>
        <w:t xml:space="preserve"> </w:t>
      </w:r>
      <w:r w:rsidR="00F67C30">
        <w:rPr>
          <w:rFonts w:ascii="Times New Roman" w:eastAsia="Arial Unicode MS" w:hAnsi="Times New Roman" w:cs="Times New Roman"/>
          <w:color w:val="000000" w:themeColor="text1"/>
          <w:sz w:val="24"/>
          <w:szCs w:val="24"/>
          <w:lang w:val="en-IE" w:eastAsia="en-AU" w:bidi="hi-IN"/>
        </w:rPr>
        <w:t xml:space="preserve">policy interventions to address specific problems. As part of this review, the Treasury should consider the extent to which the CDR may be further refined to address the reduction of transaction costs, and/or information asymmetries within the identified sectors. </w:t>
      </w:r>
    </w:p>
    <w:p w:rsidR="007B58FE" w:rsidRDefault="007B58FE" w:rsidP="00F67C30">
      <w:pPr>
        <w:jc w:val="both"/>
        <w:rPr>
          <w:rFonts w:ascii="Times New Roman" w:eastAsia="Arial Unicode MS" w:hAnsi="Times New Roman" w:cs="Times New Roman"/>
          <w:color w:val="000000" w:themeColor="text1"/>
          <w:sz w:val="24"/>
          <w:szCs w:val="24"/>
          <w:lang w:val="en-IE" w:eastAsia="en-AU" w:bidi="hi-IN"/>
        </w:rPr>
      </w:pPr>
      <w:r w:rsidRPr="00DD0AEA">
        <w:rPr>
          <w:rFonts w:ascii="Calibri" w:eastAsiaTheme="minorEastAsia" w:hAnsi="Calibri"/>
          <w:noProof/>
          <w:color w:val="000000" w:themeColor="text1"/>
          <w:sz w:val="24"/>
        </w:rPr>
        <mc:AlternateContent>
          <mc:Choice Requires="wps">
            <w:drawing>
              <wp:anchor distT="0" distB="0" distL="114300" distR="114300" simplePos="0" relativeHeight="251707392" behindDoc="0" locked="0" layoutInCell="1" allowOverlap="1" wp14:anchorId="3DE5D8EF" wp14:editId="35C00E6F">
                <wp:simplePos x="0" y="0"/>
                <wp:positionH relativeFrom="column">
                  <wp:posOffset>0</wp:posOffset>
                </wp:positionH>
                <wp:positionV relativeFrom="paragraph">
                  <wp:posOffset>43862</wp:posOffset>
                </wp:positionV>
                <wp:extent cx="5720080" cy="882315"/>
                <wp:effectExtent l="0" t="0" r="13970" b="13335"/>
                <wp:wrapNone/>
                <wp:docPr id="10" name="Text Box 10"/>
                <wp:cNvGraphicFramePr/>
                <a:graphic xmlns:a="http://schemas.openxmlformats.org/drawingml/2006/main">
                  <a:graphicData uri="http://schemas.microsoft.com/office/word/2010/wordprocessingShape">
                    <wps:wsp>
                      <wps:cNvSpPr txBox="1"/>
                      <wps:spPr>
                        <a:xfrm>
                          <a:off x="0" y="0"/>
                          <a:ext cx="5720080" cy="882315"/>
                        </a:xfrm>
                        <a:prstGeom prst="rect">
                          <a:avLst/>
                        </a:prstGeom>
                        <a:solidFill>
                          <a:sysClr val="window" lastClr="FFFFFF"/>
                        </a:solidFill>
                        <a:ln w="6350">
                          <a:solidFill>
                            <a:srgbClr val="00B0F0"/>
                          </a:solidFill>
                        </a:ln>
                      </wps:spPr>
                      <wps:txbx>
                        <w:txbxContent>
                          <w:p w:rsidR="00DD5468" w:rsidRPr="00344CDC" w:rsidRDefault="00DD5468" w:rsidP="008D751F">
                            <w:pPr>
                              <w:rPr>
                                <w:rFonts w:ascii="Times New Roman" w:hAnsi="Times New Roman" w:cs="Times New Roman"/>
                                <w:b/>
                              </w:rPr>
                            </w:pPr>
                            <w:r w:rsidRPr="00344CDC">
                              <w:rPr>
                                <w:rFonts w:ascii="Times New Roman" w:hAnsi="Times New Roman" w:cs="Times New Roman"/>
                                <w:b/>
                              </w:rPr>
                              <w:t>Recommendation 5</w:t>
                            </w:r>
                          </w:p>
                          <w:p w:rsidR="00DD5468" w:rsidRPr="00344CDC" w:rsidRDefault="00DD5468" w:rsidP="008D751F">
                            <w:pPr>
                              <w:jc w:val="both"/>
                              <w:rPr>
                                <w:rFonts w:ascii="Times New Roman" w:hAnsi="Times New Roman" w:cs="Times New Roman"/>
                                <w:i/>
                              </w:rPr>
                            </w:pPr>
                            <w:r w:rsidRPr="00344CDC">
                              <w:rPr>
                                <w:rFonts w:ascii="Times New Roman" w:hAnsi="Times New Roman" w:cs="Times New Roman"/>
                                <w:i/>
                              </w:rPr>
                              <w:t xml:space="preserve">That Treasury consider the potential for the CDR framework to both reduce transaction costs and resolve information asymmetries as part of a rigorous, and public cost-benefit analysis.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48" type="#_x0000_t202" style="position:absolute;left:0;text-align:left;margin-left:0;margin-top:3.45pt;width:450.4pt;height:69.4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" fillcolor="window" strokecolor="#00b0f0" strokeweight=".5pt">
                <v:textbox>
                  <w:txbxContent>
                    <w:p w:rsidR="00DD5468" w:rsidRPr="00344CDC" w:rsidRDefault="00DD5468" w:rsidP="008D751F">
                      <w:pPr>
                        <w:rPr>
                          <w:rFonts w:ascii="Times New Roman" w:hAnsi="Times New Roman" w:cs="Times New Roman"/>
                          <w:b/>
                        </w:rPr>
                      </w:pPr>
                      <w:r w:rsidRPr="00344CDC">
                        <w:rPr>
                          <w:rFonts w:ascii="Times New Roman" w:hAnsi="Times New Roman" w:cs="Times New Roman"/>
                          <w:b/>
                        </w:rPr>
                        <w:t>Recommendation 5</w:t>
                      </w:r>
                    </w:p>
                    <w:p w:rsidR="00DD5468" w:rsidRPr="00344CDC" w:rsidRDefault="00DD5468" w:rsidP="008D751F">
                      <w:pPr>
                        <w:jc w:val="both"/>
                        <w:rPr>
                          <w:rFonts w:ascii="Times New Roman" w:hAnsi="Times New Roman" w:cs="Times New Roman"/>
                          <w:i/>
                        </w:rPr>
                      </w:pPr>
                      <w:r w:rsidRPr="00344CDC">
                        <w:rPr>
                          <w:rFonts w:ascii="Times New Roman" w:hAnsi="Times New Roman" w:cs="Times New Roman"/>
                          <w:i/>
                        </w:rPr>
                        <w:t xml:space="preserve">That Treasury consider the potential for the CDR framework to both reduce transaction costs and resolve information asymmetries as part of a rigorous, and public cost-benefit analysis. </w:t>
                      </w:r>
                    </w:p>
                  </w:txbxContent>
                </v:textbox>
              </v:shape>
            </w:pict>
          </mc:Fallback>
        </mc:AlternateContent>
      </w:r>
    </w:p>
    <w:p w:rsidR="007B58FE" w:rsidRDefault="007B58FE" w:rsidP="00F67C30">
      <w:pPr>
        <w:jc w:val="both"/>
        <w:rPr>
          <w:rFonts w:ascii="Times New Roman" w:eastAsia="Arial Unicode MS" w:hAnsi="Times New Roman" w:cs="Times New Roman"/>
          <w:color w:val="000000" w:themeColor="text1"/>
          <w:sz w:val="24"/>
          <w:szCs w:val="24"/>
          <w:lang w:val="en-IE" w:eastAsia="en-AU" w:bidi="hi-IN"/>
        </w:rPr>
      </w:pPr>
    </w:p>
    <w:p w:rsidR="00CF50DC" w:rsidRDefault="00CF50DC" w:rsidP="0094557B">
      <w:pPr>
        <w:spacing w:before="100" w:beforeAutospacing="1" w:after="100" w:afterAutospacing="1" w:line="360" w:lineRule="auto"/>
        <w:jc w:val="both"/>
        <w:rPr>
          <w:rFonts w:ascii="Arial" w:eastAsiaTheme="minorEastAsia" w:hAnsi="Arial" w:cs="Arial"/>
          <w:sz w:val="28"/>
          <w:szCs w:val="28"/>
          <w:lang w:val="en-AU" w:eastAsia="en-AU"/>
        </w:rPr>
      </w:pPr>
    </w:p>
    <w:p w:rsidR="0094557B" w:rsidRPr="00432F5F" w:rsidRDefault="0094557B" w:rsidP="0094557B">
      <w:pPr>
        <w:spacing w:before="100" w:beforeAutospacing="1" w:after="100" w:afterAutospacing="1" w:line="360" w:lineRule="auto"/>
        <w:jc w:val="both"/>
        <w:rPr>
          <w:rFonts w:ascii="Arial" w:eastAsiaTheme="minorEastAsia" w:hAnsi="Arial" w:cs="Arial"/>
          <w:sz w:val="28"/>
          <w:szCs w:val="28"/>
          <w:lang w:val="en-AU" w:eastAsia="en-AU"/>
        </w:rPr>
      </w:pPr>
      <w:r w:rsidRPr="00432F5F">
        <w:rPr>
          <w:rFonts w:ascii="Arial" w:eastAsiaTheme="minorEastAsia" w:hAnsi="Arial" w:cs="Arial"/>
          <w:sz w:val="28"/>
          <w:szCs w:val="28"/>
          <w:lang w:val="en-AU" w:eastAsia="en-AU"/>
        </w:rPr>
        <w:t xml:space="preserve">Who </w:t>
      </w:r>
      <w:r w:rsidR="00EF6E99" w:rsidRPr="00432F5F">
        <w:rPr>
          <w:rFonts w:ascii="Arial" w:eastAsiaTheme="minorEastAsia" w:hAnsi="Arial" w:cs="Arial"/>
          <w:sz w:val="28"/>
          <w:szCs w:val="28"/>
          <w:lang w:val="en-AU" w:eastAsia="en-AU"/>
        </w:rPr>
        <w:t>is</w:t>
      </w:r>
      <w:r w:rsidRPr="00432F5F">
        <w:rPr>
          <w:rFonts w:ascii="Arial" w:eastAsiaTheme="minorEastAsia" w:hAnsi="Arial" w:cs="Arial"/>
          <w:sz w:val="28"/>
          <w:szCs w:val="28"/>
          <w:lang w:val="en-AU" w:eastAsia="en-AU"/>
        </w:rPr>
        <w:t xml:space="preserve"> going to use the CDR?</w:t>
      </w:r>
    </w:p>
    <w:p w:rsidR="00B01DDD" w:rsidRDefault="00B01DDD" w:rsidP="009B1230">
      <w:pPr>
        <w:spacing w:before="100" w:beforeAutospacing="1" w:after="100" w:afterAutospacing="1"/>
        <w:jc w:val="both"/>
        <w:rPr>
          <w:rFonts w:ascii="Times New Roman" w:eastAsiaTheme="minorEastAsia" w:hAnsi="Times New Roman" w:cs="Times New Roman"/>
          <w:color w:val="000000" w:themeColor="text1"/>
          <w:sz w:val="24"/>
          <w:szCs w:val="24"/>
          <w:lang w:val="en-AU" w:eastAsia="en-AU"/>
        </w:rPr>
      </w:pPr>
      <w:r w:rsidRPr="00A143BB">
        <w:rPr>
          <w:rFonts w:ascii="Times New Roman" w:eastAsiaTheme="minorEastAsia" w:hAnsi="Times New Roman" w:cs="Times New Roman"/>
          <w:color w:val="000000" w:themeColor="text1"/>
          <w:sz w:val="24"/>
          <w:szCs w:val="24"/>
          <w:lang w:val="en-AU" w:eastAsia="en-AU"/>
        </w:rPr>
        <w:t>An assumption should not be made that the CDR will be taken up by the majority o</w:t>
      </w:r>
      <w:r w:rsidR="00A65083">
        <w:rPr>
          <w:rFonts w:ascii="Times New Roman" w:eastAsiaTheme="minorEastAsia" w:hAnsi="Times New Roman" w:cs="Times New Roman"/>
          <w:color w:val="000000" w:themeColor="text1"/>
          <w:sz w:val="24"/>
          <w:szCs w:val="24"/>
          <w:lang w:val="en-AU" w:eastAsia="en-AU"/>
        </w:rPr>
        <w:t>f</w:t>
      </w:r>
      <w:r w:rsidRPr="00A143BB">
        <w:rPr>
          <w:rFonts w:ascii="Times New Roman" w:eastAsiaTheme="minorEastAsia" w:hAnsi="Times New Roman" w:cs="Times New Roman"/>
          <w:color w:val="000000" w:themeColor="text1"/>
          <w:sz w:val="24"/>
          <w:szCs w:val="24"/>
          <w:lang w:val="en-AU" w:eastAsia="en-AU"/>
        </w:rPr>
        <w:t xml:space="preserve"> consumers, in order to ensure that the assessment of costs and benefits is suitably robust. </w:t>
      </w:r>
      <w:r w:rsidR="001D41E6" w:rsidRPr="009B1230">
        <w:rPr>
          <w:rFonts w:ascii="Times New Roman" w:eastAsiaTheme="minorEastAsia" w:hAnsi="Times New Roman" w:cs="Times New Roman"/>
          <w:color w:val="000000" w:themeColor="text1"/>
          <w:sz w:val="24"/>
          <w:szCs w:val="24"/>
          <w:lang w:val="en-AU" w:eastAsia="en-AU"/>
        </w:rPr>
        <w:t xml:space="preserve">The quantum of benefits that flow from the proposed CDR </w:t>
      </w:r>
      <w:r w:rsidR="0007060B" w:rsidRPr="009B1230">
        <w:rPr>
          <w:rFonts w:ascii="Times New Roman" w:eastAsiaTheme="minorEastAsia" w:hAnsi="Times New Roman" w:cs="Times New Roman"/>
          <w:color w:val="000000" w:themeColor="text1"/>
          <w:sz w:val="24"/>
          <w:szCs w:val="24"/>
          <w:lang w:val="en-AU" w:eastAsia="en-AU"/>
        </w:rPr>
        <w:t>framework</w:t>
      </w:r>
      <w:r w:rsidR="001D41E6" w:rsidRPr="009B1230">
        <w:rPr>
          <w:rFonts w:ascii="Times New Roman" w:eastAsiaTheme="minorEastAsia" w:hAnsi="Times New Roman" w:cs="Times New Roman"/>
          <w:color w:val="000000" w:themeColor="text1"/>
          <w:sz w:val="24"/>
          <w:szCs w:val="24"/>
          <w:lang w:val="en-AU" w:eastAsia="en-AU"/>
        </w:rPr>
        <w:t xml:space="preserve"> is ultimately driven by the extent to which the framework is utilised by consumers to access, transfer and utilise their data to </w:t>
      </w:r>
      <w:r w:rsidR="00450EAA" w:rsidRPr="009B1230">
        <w:rPr>
          <w:rFonts w:ascii="Times New Roman" w:eastAsiaTheme="minorEastAsia" w:hAnsi="Times New Roman" w:cs="Times New Roman"/>
          <w:color w:val="000000" w:themeColor="text1"/>
          <w:sz w:val="24"/>
          <w:szCs w:val="24"/>
          <w:lang w:val="en-AU" w:eastAsia="en-AU"/>
        </w:rPr>
        <w:t>elicit</w:t>
      </w:r>
      <w:r w:rsidR="001D41E6" w:rsidRPr="009B1230">
        <w:rPr>
          <w:rFonts w:ascii="Times New Roman" w:eastAsiaTheme="minorEastAsia" w:hAnsi="Times New Roman" w:cs="Times New Roman"/>
          <w:color w:val="000000" w:themeColor="text1"/>
          <w:sz w:val="24"/>
          <w:szCs w:val="24"/>
          <w:lang w:val="en-AU" w:eastAsia="en-AU"/>
        </w:rPr>
        <w:t xml:space="preserve"> offers or inform their decisions. </w:t>
      </w:r>
    </w:p>
    <w:p w:rsidR="00557149" w:rsidRDefault="009B1230" w:rsidP="009B1230">
      <w:pPr>
        <w:spacing w:before="100" w:beforeAutospacing="1" w:after="100" w:afterAutospacing="1"/>
        <w:jc w:val="both"/>
        <w:rPr>
          <w:rFonts w:ascii="Times New Roman" w:eastAsiaTheme="minorEastAsia" w:hAnsi="Times New Roman" w:cs="Times New Roman"/>
          <w:color w:val="000000" w:themeColor="text1"/>
          <w:sz w:val="24"/>
          <w:szCs w:val="24"/>
          <w:lang w:val="en-AU" w:eastAsia="en-AU"/>
        </w:rPr>
      </w:pPr>
      <w:r w:rsidRPr="009B1230">
        <w:rPr>
          <w:rFonts w:ascii="Times New Roman" w:eastAsiaTheme="minorEastAsia" w:hAnsi="Times New Roman" w:cs="Times New Roman"/>
          <w:color w:val="000000" w:themeColor="text1"/>
          <w:sz w:val="24"/>
          <w:szCs w:val="24"/>
          <w:lang w:val="en-AU" w:eastAsia="en-AU"/>
        </w:rPr>
        <w:t xml:space="preserve">If the use of the CDR is limited to those consumers that are already active market </w:t>
      </w:r>
      <w:r w:rsidR="00A65083" w:rsidRPr="009B1230">
        <w:rPr>
          <w:rFonts w:ascii="Times New Roman" w:eastAsiaTheme="minorEastAsia" w:hAnsi="Times New Roman" w:cs="Times New Roman"/>
          <w:color w:val="000000" w:themeColor="text1"/>
          <w:sz w:val="24"/>
          <w:szCs w:val="24"/>
          <w:lang w:val="en-AU" w:eastAsia="en-AU"/>
        </w:rPr>
        <w:t xml:space="preserve">participants </w:t>
      </w:r>
      <w:r w:rsidR="00A65083">
        <w:rPr>
          <w:rFonts w:ascii="Times New Roman" w:eastAsiaTheme="minorEastAsia" w:hAnsi="Times New Roman" w:cs="Times New Roman"/>
          <w:color w:val="000000" w:themeColor="text1"/>
          <w:sz w:val="24"/>
          <w:szCs w:val="24"/>
          <w:lang w:val="en-AU" w:eastAsia="en-AU"/>
        </w:rPr>
        <w:t>(</w:t>
      </w:r>
      <w:r w:rsidRPr="009B1230">
        <w:rPr>
          <w:rFonts w:ascii="Times New Roman" w:eastAsiaTheme="minorEastAsia" w:hAnsi="Times New Roman" w:cs="Times New Roman"/>
          <w:color w:val="000000" w:themeColor="text1"/>
          <w:sz w:val="24"/>
          <w:szCs w:val="24"/>
          <w:lang w:val="en-AU" w:eastAsia="en-AU"/>
        </w:rPr>
        <w:t>insofar that they seek out better offers and discounts</w:t>
      </w:r>
      <w:r w:rsidR="00A65083">
        <w:rPr>
          <w:rFonts w:ascii="Times New Roman" w:eastAsiaTheme="minorEastAsia" w:hAnsi="Times New Roman" w:cs="Times New Roman"/>
          <w:color w:val="000000" w:themeColor="text1"/>
          <w:sz w:val="24"/>
          <w:szCs w:val="24"/>
          <w:lang w:val="en-AU" w:eastAsia="en-AU"/>
        </w:rPr>
        <w:t>)</w:t>
      </w:r>
      <w:r w:rsidRPr="009B1230">
        <w:rPr>
          <w:rFonts w:ascii="Times New Roman" w:eastAsiaTheme="minorEastAsia" w:hAnsi="Times New Roman" w:cs="Times New Roman"/>
          <w:color w:val="000000" w:themeColor="text1"/>
          <w:sz w:val="24"/>
          <w:szCs w:val="24"/>
          <w:lang w:val="en-AU" w:eastAsia="en-AU"/>
        </w:rPr>
        <w:t xml:space="preserve"> the additional benefits of the CDR may be marginal. Accordingly, which </w:t>
      </w:r>
      <w:r w:rsidRPr="00A143BB">
        <w:rPr>
          <w:rFonts w:ascii="Times New Roman" w:eastAsiaTheme="minorEastAsia" w:hAnsi="Times New Roman" w:cs="Times New Roman"/>
          <w:color w:val="000000" w:themeColor="text1"/>
          <w:sz w:val="24"/>
          <w:szCs w:val="24"/>
          <w:lang w:val="en-AU" w:eastAsia="en-AU"/>
        </w:rPr>
        <w:t xml:space="preserve">consumers use the CDR, how often and for what purposes will determine the benefits that flow from the proposed </w:t>
      </w:r>
      <w:proofErr w:type="gramStart"/>
      <w:r w:rsidRPr="00A143BB">
        <w:rPr>
          <w:rFonts w:ascii="Times New Roman" w:eastAsiaTheme="minorEastAsia" w:hAnsi="Times New Roman" w:cs="Times New Roman"/>
          <w:color w:val="000000" w:themeColor="text1"/>
          <w:sz w:val="24"/>
          <w:szCs w:val="24"/>
          <w:lang w:val="en-AU" w:eastAsia="en-AU"/>
        </w:rPr>
        <w:t>reforms.</w:t>
      </w:r>
      <w:proofErr w:type="gramEnd"/>
      <w:r w:rsidRPr="00A143BB">
        <w:rPr>
          <w:rFonts w:ascii="Times New Roman" w:eastAsiaTheme="minorEastAsia" w:hAnsi="Times New Roman" w:cs="Times New Roman"/>
          <w:color w:val="000000" w:themeColor="text1"/>
          <w:sz w:val="24"/>
          <w:szCs w:val="24"/>
          <w:lang w:val="en-AU" w:eastAsia="en-AU"/>
        </w:rPr>
        <w:t xml:space="preserve"> </w:t>
      </w:r>
    </w:p>
    <w:p w:rsidR="008F601D" w:rsidRPr="00A143BB" w:rsidRDefault="008F601D" w:rsidP="009B1230">
      <w:pPr>
        <w:spacing w:before="100" w:beforeAutospacing="1" w:after="100" w:afterAutospacing="1"/>
        <w:jc w:val="both"/>
        <w:rPr>
          <w:rFonts w:ascii="Times New Roman" w:eastAsiaTheme="minorEastAsia" w:hAnsi="Times New Roman" w:cs="Times New Roman"/>
          <w:color w:val="000000" w:themeColor="text1"/>
          <w:sz w:val="24"/>
          <w:szCs w:val="24"/>
          <w:lang w:val="en-AU" w:eastAsia="en-AU"/>
        </w:rPr>
      </w:pPr>
    </w:p>
    <w:p w:rsidR="00712139" w:rsidRPr="00BE79AE" w:rsidRDefault="00712139" w:rsidP="00BE79AE">
      <w:pPr>
        <w:spacing w:before="100" w:beforeAutospacing="1" w:after="100" w:afterAutospacing="1"/>
        <w:jc w:val="both"/>
        <w:rPr>
          <w:rFonts w:ascii="Arial" w:eastAsiaTheme="minorEastAsia" w:hAnsi="Arial" w:cs="Arial"/>
          <w:b/>
          <w:color w:val="000000" w:themeColor="text1"/>
          <w:sz w:val="32"/>
          <w:szCs w:val="32"/>
          <w:lang w:val="en-AU" w:eastAsia="en-AU"/>
        </w:rPr>
      </w:pPr>
      <w:r w:rsidRPr="00BE79AE">
        <w:rPr>
          <w:rFonts w:ascii="Arial" w:eastAsiaTheme="minorEastAsia" w:hAnsi="Arial" w:cs="Arial"/>
          <w:b/>
          <w:color w:val="000000" w:themeColor="text1"/>
          <w:sz w:val="32"/>
          <w:szCs w:val="32"/>
          <w:lang w:val="en-AU" w:eastAsia="en-AU"/>
        </w:rPr>
        <w:t>What are the costs of reform?</w:t>
      </w:r>
    </w:p>
    <w:p w:rsidR="00C50431" w:rsidRDefault="00BE79AE" w:rsidP="00C50431">
      <w:pPr>
        <w:spacing w:before="100" w:beforeAutospacing="1" w:after="100" w:afterAutospacing="1"/>
        <w:jc w:val="both"/>
        <w:rPr>
          <w:rFonts w:ascii="Times New Roman" w:eastAsiaTheme="minorEastAsia" w:hAnsi="Times New Roman" w:cs="Times New Roman"/>
          <w:color w:val="000000" w:themeColor="text1"/>
          <w:sz w:val="24"/>
          <w:szCs w:val="24"/>
          <w:lang w:val="en-AU" w:eastAsia="en-AU"/>
        </w:rPr>
      </w:pPr>
      <w:r w:rsidRPr="002D0969">
        <w:rPr>
          <w:rFonts w:ascii="Times New Roman" w:eastAsiaTheme="minorEastAsia" w:hAnsi="Times New Roman" w:cs="Times New Roman"/>
          <w:color w:val="000000" w:themeColor="text1"/>
          <w:sz w:val="24"/>
          <w:szCs w:val="24"/>
          <w:lang w:val="en-AU" w:eastAsia="en-AU"/>
        </w:rPr>
        <w:t xml:space="preserve">A rigorous appraisal of the costs of reform </w:t>
      </w:r>
      <w:r w:rsidR="0007060B">
        <w:rPr>
          <w:rFonts w:ascii="Times New Roman" w:eastAsiaTheme="minorEastAsia" w:hAnsi="Times New Roman" w:cs="Times New Roman"/>
          <w:color w:val="000000" w:themeColor="text1"/>
          <w:sz w:val="24"/>
          <w:szCs w:val="24"/>
          <w:lang w:val="en-AU" w:eastAsia="en-AU"/>
        </w:rPr>
        <w:t>is</w:t>
      </w:r>
      <w:r w:rsidRPr="002D0969">
        <w:rPr>
          <w:rFonts w:ascii="Times New Roman" w:eastAsiaTheme="minorEastAsia" w:hAnsi="Times New Roman" w:cs="Times New Roman"/>
          <w:color w:val="000000" w:themeColor="text1"/>
          <w:sz w:val="24"/>
          <w:szCs w:val="24"/>
          <w:lang w:val="en-AU" w:eastAsia="en-AU"/>
        </w:rPr>
        <w:t xml:space="preserve"> essential in assessing whether a potential policy option provides net benefits to society and consumers. </w:t>
      </w:r>
      <w:r w:rsidR="002E1311">
        <w:rPr>
          <w:rFonts w:ascii="Times New Roman" w:eastAsiaTheme="minorEastAsia" w:hAnsi="Times New Roman" w:cs="Times New Roman"/>
          <w:color w:val="000000" w:themeColor="text1"/>
          <w:sz w:val="24"/>
          <w:szCs w:val="24"/>
          <w:lang w:val="en-AU" w:eastAsia="en-AU"/>
        </w:rPr>
        <w:t xml:space="preserve">The legislation as drafted, adopts a </w:t>
      </w:r>
      <w:r w:rsidR="00C50431">
        <w:rPr>
          <w:rFonts w:ascii="Times New Roman" w:eastAsiaTheme="minorEastAsia" w:hAnsi="Times New Roman" w:cs="Times New Roman"/>
          <w:color w:val="000000" w:themeColor="text1"/>
          <w:sz w:val="24"/>
          <w:szCs w:val="24"/>
          <w:lang w:val="en-AU" w:eastAsia="en-AU"/>
        </w:rPr>
        <w:t>rule-based</w:t>
      </w:r>
      <w:r w:rsidR="00BD3ABF">
        <w:rPr>
          <w:rFonts w:ascii="Times New Roman" w:eastAsiaTheme="minorEastAsia" w:hAnsi="Times New Roman" w:cs="Times New Roman"/>
          <w:color w:val="000000" w:themeColor="text1"/>
          <w:sz w:val="24"/>
          <w:szCs w:val="24"/>
          <w:lang w:val="en-AU" w:eastAsia="en-AU"/>
        </w:rPr>
        <w:t xml:space="preserve"> approach to regulating individual sectors, which may entail greater costs than an economy-wide </w:t>
      </w:r>
      <w:r w:rsidR="00C50431">
        <w:rPr>
          <w:rFonts w:ascii="Times New Roman" w:eastAsiaTheme="minorEastAsia" w:hAnsi="Times New Roman" w:cs="Times New Roman"/>
          <w:color w:val="000000" w:themeColor="text1"/>
          <w:sz w:val="24"/>
          <w:szCs w:val="24"/>
          <w:lang w:val="en-AU" w:eastAsia="en-AU"/>
        </w:rPr>
        <w:t>principle-based</w:t>
      </w:r>
      <w:r w:rsidR="00BD3ABF">
        <w:rPr>
          <w:rFonts w:ascii="Times New Roman" w:eastAsiaTheme="minorEastAsia" w:hAnsi="Times New Roman" w:cs="Times New Roman"/>
          <w:color w:val="000000" w:themeColor="text1"/>
          <w:sz w:val="24"/>
          <w:szCs w:val="24"/>
          <w:lang w:val="en-AU" w:eastAsia="en-AU"/>
        </w:rPr>
        <w:t xml:space="preserve"> approach. </w:t>
      </w:r>
      <w:r w:rsidR="00F70DE3">
        <w:rPr>
          <w:rFonts w:ascii="Times New Roman" w:eastAsiaTheme="minorEastAsia" w:hAnsi="Times New Roman" w:cs="Times New Roman"/>
          <w:color w:val="000000" w:themeColor="text1"/>
          <w:sz w:val="24"/>
          <w:szCs w:val="24"/>
          <w:lang w:val="en-AU" w:eastAsia="en-AU"/>
        </w:rPr>
        <w:t xml:space="preserve">ACCAN considers that a rules-based system may entail greater costs over the longer term due to the need for ongoing regulatory change and regulatory costs, associated with less flexible rules-based frameworks </w:t>
      </w:r>
      <w:r w:rsidR="00AF4522" w:rsidRPr="00AF4522">
        <w:rPr>
          <w:rFonts w:ascii="Times New Roman" w:hAnsi="Times New Roman" w:cs="Times New Roman"/>
          <w:color w:val="000000"/>
          <w:sz w:val="24"/>
        </w:rPr>
        <w:t>(</w:t>
      </w:r>
      <w:proofErr w:type="spellStart"/>
      <w:r w:rsidR="00AF4522" w:rsidRPr="00AF4522">
        <w:rPr>
          <w:rFonts w:ascii="Times New Roman" w:hAnsi="Times New Roman" w:cs="Times New Roman"/>
          <w:color w:val="000000"/>
          <w:sz w:val="24"/>
        </w:rPr>
        <w:t>Kaplow</w:t>
      </w:r>
      <w:proofErr w:type="spellEnd"/>
      <w:r w:rsidR="00AF4522" w:rsidRPr="00AF4522">
        <w:rPr>
          <w:rFonts w:ascii="Times New Roman" w:hAnsi="Times New Roman" w:cs="Times New Roman"/>
          <w:color w:val="000000"/>
          <w:sz w:val="24"/>
        </w:rPr>
        <w:t xml:space="preserve"> 1992)</w:t>
      </w:r>
      <w:r w:rsidR="00F70DE3" w:rsidRPr="00F70DE3">
        <w:rPr>
          <w:rFonts w:ascii="Times New Roman" w:eastAsiaTheme="minorEastAsia" w:hAnsi="Times New Roman" w:cs="Times New Roman"/>
          <w:color w:val="000000" w:themeColor="text1"/>
          <w:sz w:val="24"/>
          <w:szCs w:val="24"/>
          <w:lang w:val="en-AU" w:eastAsia="en-AU"/>
        </w:rPr>
        <w:t>.</w:t>
      </w:r>
      <w:r w:rsidR="00F70DE3">
        <w:rPr>
          <w:rFonts w:ascii="Times New Roman" w:eastAsiaTheme="minorEastAsia" w:hAnsi="Times New Roman" w:cs="Times New Roman"/>
          <w:color w:val="000000" w:themeColor="text1"/>
          <w:sz w:val="24"/>
          <w:szCs w:val="24"/>
          <w:lang w:val="en-AU" w:eastAsia="en-AU"/>
        </w:rPr>
        <w:t xml:space="preserve"> </w:t>
      </w:r>
    </w:p>
    <w:p w:rsidR="0063078E" w:rsidRDefault="0063078E" w:rsidP="0063078E">
      <w:pPr>
        <w:spacing w:before="100" w:beforeAutospacing="1" w:after="100" w:afterAutospacing="1" w:line="360" w:lineRule="auto"/>
        <w:jc w:val="both"/>
        <w:rPr>
          <w:rFonts w:ascii="Arial" w:eastAsiaTheme="minorEastAsia" w:hAnsi="Arial" w:cs="Arial"/>
          <w:b/>
          <w:sz w:val="32"/>
          <w:szCs w:val="32"/>
          <w:lang w:val="en-AU" w:eastAsia="en-AU"/>
        </w:rPr>
      </w:pPr>
      <w:r>
        <w:rPr>
          <w:rFonts w:ascii="Arial" w:eastAsiaTheme="minorEastAsia" w:hAnsi="Arial" w:cs="Arial"/>
          <w:b/>
          <w:sz w:val="32"/>
          <w:szCs w:val="32"/>
          <w:lang w:val="en-AU" w:eastAsia="en-AU"/>
        </w:rPr>
        <w:t>What is the preferred option?</w:t>
      </w:r>
    </w:p>
    <w:p w:rsidR="00E21722" w:rsidRDefault="00E21722" w:rsidP="00E21722">
      <w:pPr>
        <w:jc w:val="both"/>
        <w:rPr>
          <w:rFonts w:ascii="Times New Roman" w:eastAsiaTheme="minorEastAsia" w:hAnsi="Times New Roman" w:cs="Times New Roman"/>
          <w:color w:val="FF0000"/>
          <w:sz w:val="24"/>
          <w:szCs w:val="24"/>
          <w:lang w:val="en-AU" w:eastAsia="en-AU"/>
        </w:rPr>
      </w:pPr>
      <w:r w:rsidRPr="0078337D">
        <w:rPr>
          <w:rFonts w:ascii="Times New Roman" w:hAnsi="Times New Roman" w:cs="Times New Roman"/>
          <w:color w:val="000000" w:themeColor="text1"/>
          <w:sz w:val="24"/>
          <w:szCs w:val="24"/>
        </w:rPr>
        <w:t xml:space="preserve">The first best solution to the policy problems outlined above would </w:t>
      </w:r>
      <w:r w:rsidR="004837BA">
        <w:rPr>
          <w:rFonts w:ascii="Times New Roman" w:hAnsi="Times New Roman" w:cs="Times New Roman"/>
          <w:color w:val="000000" w:themeColor="text1"/>
          <w:sz w:val="24"/>
          <w:szCs w:val="24"/>
        </w:rPr>
        <w:t xml:space="preserve">be </w:t>
      </w:r>
      <w:r w:rsidRPr="0078337D">
        <w:rPr>
          <w:rFonts w:ascii="Times New Roman" w:hAnsi="Times New Roman" w:cs="Times New Roman"/>
          <w:color w:val="000000" w:themeColor="text1"/>
          <w:sz w:val="24"/>
          <w:szCs w:val="24"/>
        </w:rPr>
        <w:t>the adopt</w:t>
      </w:r>
      <w:r w:rsidR="004837BA">
        <w:rPr>
          <w:rFonts w:ascii="Times New Roman" w:hAnsi="Times New Roman" w:cs="Times New Roman"/>
          <w:color w:val="000000" w:themeColor="text1"/>
          <w:sz w:val="24"/>
          <w:szCs w:val="24"/>
        </w:rPr>
        <w:t>ion</w:t>
      </w:r>
      <w:r w:rsidRPr="0078337D">
        <w:rPr>
          <w:rFonts w:ascii="Times New Roman" w:hAnsi="Times New Roman" w:cs="Times New Roman"/>
          <w:color w:val="000000" w:themeColor="text1"/>
          <w:sz w:val="24"/>
          <w:szCs w:val="24"/>
        </w:rPr>
        <w:t xml:space="preserve"> of a comprehensive</w:t>
      </w:r>
      <w:r>
        <w:rPr>
          <w:rFonts w:ascii="Times New Roman" w:hAnsi="Times New Roman" w:cs="Times New Roman"/>
          <w:color w:val="000000" w:themeColor="text1"/>
          <w:sz w:val="24"/>
          <w:szCs w:val="24"/>
        </w:rPr>
        <w:t xml:space="preserve"> economy wide</w:t>
      </w:r>
      <w:r w:rsidRPr="0078337D">
        <w:rPr>
          <w:rFonts w:ascii="Times New Roman" w:hAnsi="Times New Roman" w:cs="Times New Roman"/>
          <w:color w:val="000000" w:themeColor="text1"/>
          <w:sz w:val="24"/>
          <w:szCs w:val="24"/>
        </w:rPr>
        <w:t xml:space="preserve"> framework for the regulation and management of individual and business data. </w:t>
      </w:r>
      <w:r>
        <w:rPr>
          <w:rFonts w:ascii="Times New Roman" w:hAnsi="Times New Roman" w:cs="Times New Roman"/>
          <w:color w:val="000000" w:themeColor="text1"/>
          <w:sz w:val="24"/>
          <w:szCs w:val="24"/>
        </w:rPr>
        <w:t xml:space="preserve">This </w:t>
      </w:r>
      <w:r w:rsidRPr="00263494">
        <w:rPr>
          <w:rFonts w:ascii="Times New Roman" w:hAnsi="Times New Roman" w:cs="Times New Roman"/>
          <w:color w:val="000000" w:themeColor="text1"/>
          <w:sz w:val="24"/>
          <w:szCs w:val="24"/>
        </w:rPr>
        <w:t xml:space="preserve">approach could be modelled on the </w:t>
      </w:r>
      <w:r w:rsidRPr="00263494">
        <w:rPr>
          <w:rFonts w:ascii="Times New Roman" w:eastAsiaTheme="minorEastAsia" w:hAnsi="Times New Roman" w:cs="Times New Roman"/>
          <w:i/>
          <w:color w:val="000000" w:themeColor="text1"/>
          <w:sz w:val="24"/>
          <w:szCs w:val="24"/>
          <w:lang w:val="en-AU" w:eastAsia="en-AU"/>
        </w:rPr>
        <w:t>General Data Protection Regulation</w:t>
      </w:r>
      <w:r w:rsidRPr="00263494">
        <w:rPr>
          <w:rFonts w:ascii="Times New Roman" w:eastAsiaTheme="minorEastAsia" w:hAnsi="Times New Roman" w:cs="Times New Roman"/>
          <w:color w:val="000000" w:themeColor="text1"/>
          <w:sz w:val="24"/>
          <w:szCs w:val="24"/>
          <w:lang w:val="en-AU" w:eastAsia="en-AU"/>
        </w:rPr>
        <w:t xml:space="preserve">, and would provide for a uniform, principles-based regime of data protection. </w:t>
      </w:r>
    </w:p>
    <w:p w:rsidR="00E21722" w:rsidRDefault="00E21722" w:rsidP="00E21722">
      <w:pPr>
        <w:jc w:val="both"/>
        <w:rPr>
          <w:rFonts w:ascii="Times New Roman" w:eastAsiaTheme="minorEastAsia" w:hAnsi="Times New Roman" w:cs="Times New Roman"/>
          <w:color w:val="000000" w:themeColor="text1"/>
          <w:sz w:val="24"/>
          <w:szCs w:val="24"/>
          <w:lang w:val="en-AU" w:eastAsia="en-AU"/>
        </w:rPr>
      </w:pPr>
      <w:r w:rsidRPr="00263494">
        <w:rPr>
          <w:rFonts w:ascii="Times New Roman" w:eastAsiaTheme="minorEastAsia" w:hAnsi="Times New Roman" w:cs="Times New Roman"/>
          <w:color w:val="000000" w:themeColor="text1"/>
          <w:sz w:val="24"/>
          <w:szCs w:val="24"/>
          <w:lang w:val="en-AU" w:eastAsia="en-AU"/>
        </w:rPr>
        <w:t>A universal framework of data protection, does not directly reduce transaction costs in the manner proposed by the CDR. However, in providing consumers and small business clear and unambiguous privacy and data protections, it reduces transaction costs indirectly</w:t>
      </w:r>
      <w:r w:rsidR="00615A5B">
        <w:rPr>
          <w:rFonts w:ascii="Times New Roman" w:eastAsiaTheme="minorEastAsia" w:hAnsi="Times New Roman" w:cs="Times New Roman"/>
          <w:color w:val="000000" w:themeColor="text1"/>
          <w:sz w:val="24"/>
          <w:szCs w:val="24"/>
          <w:lang w:val="en-AU" w:eastAsia="en-AU"/>
        </w:rPr>
        <w:t xml:space="preserve"> (e.g. it may provide consumers’ confidence to use existing processes to transfer information)</w:t>
      </w:r>
      <w:r w:rsidRPr="00263494">
        <w:rPr>
          <w:rFonts w:ascii="Times New Roman" w:eastAsiaTheme="minorEastAsia" w:hAnsi="Times New Roman" w:cs="Times New Roman"/>
          <w:color w:val="000000" w:themeColor="text1"/>
          <w:sz w:val="24"/>
          <w:szCs w:val="24"/>
          <w:lang w:val="en-AU" w:eastAsia="en-AU"/>
        </w:rPr>
        <w:t>.</w:t>
      </w:r>
      <w:r>
        <w:rPr>
          <w:rFonts w:ascii="Times New Roman" w:eastAsiaTheme="minorEastAsia" w:hAnsi="Times New Roman" w:cs="Times New Roman"/>
          <w:color w:val="000000" w:themeColor="text1"/>
          <w:sz w:val="24"/>
          <w:szCs w:val="24"/>
          <w:lang w:val="en-AU" w:eastAsia="en-AU"/>
        </w:rPr>
        <w:t xml:space="preserve"> When consumers and small businesses are confident that their data is protected, their willingness to engage with firms and service providers seeking that data will increase. </w:t>
      </w:r>
    </w:p>
    <w:p w:rsidR="00E21722" w:rsidRDefault="00E21722" w:rsidP="00E21722">
      <w:pPr>
        <w:jc w:val="both"/>
        <w:rPr>
          <w:rFonts w:ascii="Times New Roman" w:eastAsiaTheme="minorEastAsia" w:hAnsi="Times New Roman" w:cs="Times New Roman"/>
          <w:color w:val="000000" w:themeColor="text1"/>
          <w:sz w:val="24"/>
          <w:szCs w:val="24"/>
          <w:lang w:val="en-AU" w:eastAsia="en-AU"/>
        </w:rPr>
      </w:pPr>
      <w:r>
        <w:rPr>
          <w:rFonts w:ascii="Times New Roman" w:eastAsiaTheme="minorEastAsia" w:hAnsi="Times New Roman" w:cs="Times New Roman"/>
          <w:color w:val="000000" w:themeColor="text1"/>
          <w:sz w:val="24"/>
          <w:szCs w:val="24"/>
          <w:lang w:val="en-AU" w:eastAsia="en-AU"/>
        </w:rPr>
        <w:t xml:space="preserve">The adoption of a uniform data protection regime, would provide similar or greater economic benefits than the proposed CDR, noting that </w:t>
      </w:r>
      <w:r w:rsidR="004837BA">
        <w:rPr>
          <w:rFonts w:ascii="Times New Roman" w:eastAsiaTheme="minorEastAsia" w:hAnsi="Times New Roman" w:cs="Times New Roman"/>
          <w:color w:val="000000" w:themeColor="text1"/>
          <w:sz w:val="24"/>
          <w:szCs w:val="24"/>
          <w:lang w:val="en-AU" w:eastAsia="en-AU"/>
        </w:rPr>
        <w:t xml:space="preserve">the </w:t>
      </w:r>
      <w:r>
        <w:rPr>
          <w:rFonts w:ascii="Times New Roman" w:eastAsiaTheme="minorEastAsia" w:hAnsi="Times New Roman" w:cs="Times New Roman"/>
          <w:color w:val="000000" w:themeColor="text1"/>
          <w:sz w:val="24"/>
          <w:szCs w:val="24"/>
          <w:lang w:val="en-AU" w:eastAsia="en-AU"/>
        </w:rPr>
        <w:t xml:space="preserve">simple measure to communicate data (such as emailing statements) could achieve similar outcomes as a CDR (without industry or regulatory cost), where consumers </w:t>
      </w:r>
      <w:r w:rsidR="004837BA">
        <w:rPr>
          <w:rFonts w:ascii="Times New Roman" w:eastAsiaTheme="minorEastAsia" w:hAnsi="Times New Roman" w:cs="Times New Roman"/>
          <w:color w:val="000000" w:themeColor="text1"/>
          <w:sz w:val="24"/>
          <w:szCs w:val="24"/>
          <w:lang w:val="en-AU" w:eastAsia="en-AU"/>
        </w:rPr>
        <w:t xml:space="preserve">are </w:t>
      </w:r>
      <w:r>
        <w:rPr>
          <w:rFonts w:ascii="Times New Roman" w:eastAsiaTheme="minorEastAsia" w:hAnsi="Times New Roman" w:cs="Times New Roman"/>
          <w:color w:val="000000" w:themeColor="text1"/>
          <w:sz w:val="24"/>
          <w:szCs w:val="24"/>
          <w:lang w:val="en-AU" w:eastAsia="en-AU"/>
        </w:rPr>
        <w:t xml:space="preserve">provided appropriate privacy protections. </w:t>
      </w:r>
    </w:p>
    <w:p w:rsidR="00E21722" w:rsidRDefault="00E21722" w:rsidP="00E21722">
      <w:pPr>
        <w:jc w:val="both"/>
        <w:rPr>
          <w:rFonts w:ascii="Times New Roman" w:eastAsiaTheme="minorEastAsia" w:hAnsi="Times New Roman" w:cs="Times New Roman"/>
          <w:color w:val="000000" w:themeColor="text1"/>
          <w:sz w:val="24"/>
          <w:szCs w:val="24"/>
          <w:lang w:val="en-AU" w:eastAsia="en-AU"/>
        </w:rPr>
      </w:pPr>
      <w:r>
        <w:rPr>
          <w:rFonts w:ascii="Times New Roman" w:eastAsiaTheme="minorEastAsia" w:hAnsi="Times New Roman" w:cs="Times New Roman"/>
          <w:color w:val="000000" w:themeColor="text1"/>
          <w:sz w:val="24"/>
          <w:szCs w:val="24"/>
          <w:lang w:val="en-AU" w:eastAsia="en-AU"/>
        </w:rPr>
        <w:t xml:space="preserve">If consumers are confident when engaging with firms seeking their data, the economic gains that will be generated </w:t>
      </w:r>
      <w:r w:rsidR="004837BA">
        <w:rPr>
          <w:rFonts w:ascii="Times New Roman" w:eastAsiaTheme="minorEastAsia" w:hAnsi="Times New Roman" w:cs="Times New Roman"/>
          <w:color w:val="000000" w:themeColor="text1"/>
          <w:sz w:val="24"/>
          <w:szCs w:val="24"/>
          <w:lang w:val="en-AU" w:eastAsia="en-AU"/>
        </w:rPr>
        <w:t>for</w:t>
      </w:r>
      <w:r w:rsidR="00DC24E1">
        <w:rPr>
          <w:rFonts w:ascii="Times New Roman" w:eastAsiaTheme="minorEastAsia" w:hAnsi="Times New Roman" w:cs="Times New Roman"/>
          <w:color w:val="000000" w:themeColor="text1"/>
          <w:sz w:val="24"/>
          <w:szCs w:val="24"/>
          <w:lang w:val="en-AU" w:eastAsia="en-AU"/>
        </w:rPr>
        <w:t xml:space="preserve"> consumers and industry</w:t>
      </w:r>
      <w:r w:rsidR="004837BA">
        <w:rPr>
          <w:rFonts w:ascii="Times New Roman" w:eastAsiaTheme="minorEastAsia" w:hAnsi="Times New Roman" w:cs="Times New Roman"/>
          <w:color w:val="000000" w:themeColor="text1"/>
          <w:sz w:val="24"/>
          <w:szCs w:val="24"/>
          <w:lang w:val="en-AU" w:eastAsia="en-AU"/>
        </w:rPr>
        <w:t xml:space="preserve"> </w:t>
      </w:r>
      <w:r>
        <w:rPr>
          <w:rFonts w:ascii="Times New Roman" w:eastAsiaTheme="minorEastAsia" w:hAnsi="Times New Roman" w:cs="Times New Roman"/>
          <w:color w:val="000000" w:themeColor="text1"/>
          <w:sz w:val="24"/>
          <w:szCs w:val="24"/>
          <w:lang w:val="en-AU" w:eastAsia="en-AU"/>
        </w:rPr>
        <w:t xml:space="preserve">are likely to exceed those of a narrower industry-based approach. For consumers, the complexity of industry-specific CDR protections and processes, are likely to limit the attractiveness of engaging with the system, while simultaneously increasing the costs for industry to comply. </w:t>
      </w:r>
    </w:p>
    <w:p w:rsidR="00E21722" w:rsidRDefault="00E21722" w:rsidP="00E21722">
      <w:pPr>
        <w:jc w:val="both"/>
        <w:rPr>
          <w:rFonts w:ascii="Times New Roman" w:eastAsiaTheme="minorEastAsia" w:hAnsi="Times New Roman" w:cs="Times New Roman"/>
          <w:color w:val="000000" w:themeColor="text1"/>
          <w:sz w:val="24"/>
          <w:szCs w:val="24"/>
          <w:lang w:val="en-AU" w:eastAsia="en-AU"/>
        </w:rPr>
      </w:pPr>
      <w:r>
        <w:rPr>
          <w:rFonts w:ascii="Times New Roman" w:eastAsiaTheme="minorEastAsia" w:hAnsi="Times New Roman" w:cs="Times New Roman"/>
          <w:color w:val="000000" w:themeColor="text1"/>
          <w:sz w:val="24"/>
          <w:szCs w:val="24"/>
          <w:lang w:val="en-AU" w:eastAsia="en-AU"/>
        </w:rPr>
        <w:t xml:space="preserve">ACCAN supports the adoption of a best practice regulatory approach, with tiered risk-based regulation, with escalating requirements for firms based on the sensitivity of the information and risk of misconduct in industries. Although a uniform </w:t>
      </w:r>
      <w:r w:rsidR="00C50431">
        <w:rPr>
          <w:rFonts w:ascii="Times New Roman" w:eastAsiaTheme="minorEastAsia" w:hAnsi="Times New Roman" w:cs="Times New Roman"/>
          <w:color w:val="000000" w:themeColor="text1"/>
          <w:sz w:val="24"/>
          <w:szCs w:val="24"/>
          <w:lang w:val="en-AU" w:eastAsia="en-AU"/>
        </w:rPr>
        <w:t>principles-based</w:t>
      </w:r>
      <w:r>
        <w:rPr>
          <w:rFonts w:ascii="Times New Roman" w:eastAsiaTheme="minorEastAsia" w:hAnsi="Times New Roman" w:cs="Times New Roman"/>
          <w:color w:val="000000" w:themeColor="text1"/>
          <w:sz w:val="24"/>
          <w:szCs w:val="24"/>
          <w:lang w:val="en-AU" w:eastAsia="en-AU"/>
        </w:rPr>
        <w:t xml:space="preserve"> approach may initially entail higher costs in terms of implementation, </w:t>
      </w:r>
      <w:r w:rsidR="00A904C2">
        <w:rPr>
          <w:rFonts w:ascii="Times New Roman" w:eastAsiaTheme="minorEastAsia" w:hAnsi="Times New Roman" w:cs="Times New Roman"/>
          <w:color w:val="000000" w:themeColor="text1"/>
          <w:sz w:val="24"/>
          <w:szCs w:val="24"/>
          <w:lang w:val="en-AU" w:eastAsia="en-AU"/>
        </w:rPr>
        <w:t>over the longer term as a standardised approach to data management and protection becomes common practice</w:t>
      </w:r>
      <w:r w:rsidR="0018368F">
        <w:rPr>
          <w:rFonts w:ascii="Times New Roman" w:eastAsiaTheme="minorEastAsia" w:hAnsi="Times New Roman" w:cs="Times New Roman"/>
          <w:color w:val="000000" w:themeColor="text1"/>
          <w:sz w:val="24"/>
          <w:szCs w:val="24"/>
          <w:lang w:val="en-AU" w:eastAsia="en-AU"/>
        </w:rPr>
        <w:t>,</w:t>
      </w:r>
      <w:r w:rsidR="00A904C2">
        <w:rPr>
          <w:rFonts w:ascii="Times New Roman" w:eastAsiaTheme="minorEastAsia" w:hAnsi="Times New Roman" w:cs="Times New Roman"/>
          <w:color w:val="000000" w:themeColor="text1"/>
          <w:sz w:val="24"/>
          <w:szCs w:val="24"/>
          <w:lang w:val="en-AU" w:eastAsia="en-AU"/>
        </w:rPr>
        <w:t xml:space="preserve"> the costs of the framework will fall. </w:t>
      </w:r>
    </w:p>
    <w:p w:rsidR="00F16480" w:rsidRPr="001270EF" w:rsidRDefault="00EB0D1E" w:rsidP="001270EF">
      <w:pPr>
        <w:jc w:val="both"/>
        <w:rPr>
          <w:rFonts w:ascii="Times New Roman" w:eastAsiaTheme="minorEastAsia" w:hAnsi="Times New Roman" w:cs="Times New Roman"/>
          <w:color w:val="000000" w:themeColor="text1"/>
          <w:sz w:val="24"/>
          <w:szCs w:val="24"/>
          <w:lang w:val="en-AU" w:eastAsia="en-AU"/>
        </w:rPr>
      </w:pPr>
      <w:r w:rsidRPr="00DD0AEA">
        <w:rPr>
          <w:rFonts w:ascii="Calibri" w:eastAsiaTheme="minorEastAsia" w:hAnsi="Calibri"/>
          <w:noProof/>
          <w:color w:val="000000" w:themeColor="text1"/>
          <w:sz w:val="24"/>
        </w:rPr>
        <mc:AlternateContent>
          <mc:Choice Requires="wps">
            <w:drawing>
              <wp:anchor distT="0" distB="0" distL="114300" distR="114300" simplePos="0" relativeHeight="251719680" behindDoc="0" locked="0" layoutInCell="1" allowOverlap="1" wp14:anchorId="320D6405" wp14:editId="46C2E93C">
                <wp:simplePos x="0" y="0"/>
                <wp:positionH relativeFrom="column">
                  <wp:posOffset>0</wp:posOffset>
                </wp:positionH>
                <wp:positionV relativeFrom="paragraph">
                  <wp:posOffset>866</wp:posOffset>
                </wp:positionV>
                <wp:extent cx="5720080" cy="1034473"/>
                <wp:effectExtent l="0" t="0" r="7620" b="6985"/>
                <wp:wrapNone/>
                <wp:docPr id="19" name="Text Box 19"/>
                <wp:cNvGraphicFramePr/>
                <a:graphic xmlns:a="http://schemas.openxmlformats.org/drawingml/2006/main">
                  <a:graphicData uri="http://schemas.microsoft.com/office/word/2010/wordprocessingShape">
                    <wps:wsp>
                      <wps:cNvSpPr txBox="1"/>
                      <wps:spPr>
                        <a:xfrm>
                          <a:off x="0" y="0"/>
                          <a:ext cx="5720080" cy="1034473"/>
                        </a:xfrm>
                        <a:prstGeom prst="rect">
                          <a:avLst/>
                        </a:prstGeom>
                        <a:solidFill>
                          <a:sysClr val="window" lastClr="FFFFFF"/>
                        </a:solidFill>
                        <a:ln w="6350">
                          <a:solidFill>
                            <a:srgbClr val="00B0F0"/>
                          </a:solidFill>
                        </a:ln>
                      </wps:spPr>
                      <wps:txbx>
                        <w:txbxContent>
                          <w:p w:rsidR="00DD5468" w:rsidRPr="001410E8" w:rsidRDefault="00DD5468" w:rsidP="00EB0D1E">
                            <w:pPr>
                              <w:rPr>
                                <w:rFonts w:ascii="Times New Roman" w:hAnsi="Times New Roman" w:cs="Times New Roman"/>
                                <w:b/>
                              </w:rPr>
                            </w:pPr>
                            <w:r w:rsidRPr="001410E8">
                              <w:rPr>
                                <w:rFonts w:ascii="Times New Roman" w:hAnsi="Times New Roman" w:cs="Times New Roman"/>
                                <w:b/>
                              </w:rPr>
                              <w:t>Recommendation 6</w:t>
                            </w:r>
                          </w:p>
                          <w:p w:rsidR="00DD5468" w:rsidRPr="001410E8" w:rsidRDefault="00DD5468" w:rsidP="00EB0D1E">
                            <w:pPr>
                              <w:jc w:val="both"/>
                              <w:rPr>
                                <w:rFonts w:ascii="Times New Roman" w:hAnsi="Times New Roman" w:cs="Times New Roman"/>
                              </w:rPr>
                            </w:pPr>
                            <w:r w:rsidRPr="001410E8">
                              <w:rPr>
                                <w:rFonts w:ascii="Times New Roman" w:hAnsi="Times New Roman" w:cs="Times New Roman"/>
                                <w:i/>
                              </w:rPr>
                              <w:t>That Treasury considers the potential for the adoption of an economy wide principles-based framework for the regulation of consumer data and privacy as part of a rigorous and public cost benefit analysis.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49" type="#_x0000_t202" style="position:absolute;left:0;text-align:left;margin-left:0;margin-top:.05pt;width:450.4pt;height:81.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" fillcolor="window" strokecolor="#00b0f0" strokeweight=".5pt">
                <v:textbox>
                  <w:txbxContent>
                    <w:p w:rsidR="00DD5468" w:rsidRPr="001410E8" w:rsidRDefault="00DD5468" w:rsidP="00EB0D1E">
                      <w:pPr>
                        <w:rPr>
                          <w:rFonts w:ascii="Times New Roman" w:hAnsi="Times New Roman" w:cs="Times New Roman"/>
                          <w:b/>
                        </w:rPr>
                      </w:pPr>
                      <w:r w:rsidRPr="001410E8">
                        <w:rPr>
                          <w:rFonts w:ascii="Times New Roman" w:hAnsi="Times New Roman" w:cs="Times New Roman"/>
                          <w:b/>
                        </w:rPr>
                        <w:t>Recommendation 6</w:t>
                      </w:r>
                    </w:p>
                    <w:p w:rsidR="00DD5468" w:rsidRPr="001410E8" w:rsidRDefault="00DD5468" w:rsidP="00EB0D1E">
                      <w:pPr>
                        <w:jc w:val="both"/>
                        <w:rPr>
                          <w:rFonts w:ascii="Times New Roman" w:hAnsi="Times New Roman" w:cs="Times New Roman"/>
                        </w:rPr>
                      </w:pPr>
                      <w:r w:rsidRPr="001410E8">
                        <w:rPr>
                          <w:rFonts w:ascii="Times New Roman" w:hAnsi="Times New Roman" w:cs="Times New Roman"/>
                          <w:i/>
                        </w:rPr>
                        <w:t>That Treasury considers the potential for the adoption of an economy wide principles-based framework for the regulation of consumer data and privacy as part of a rigorous and public cost benefit analysis.</w:t>
                      </w:r>
                    </w:p>
                  </w:txbxContent>
                </v:textbox>
              </v:shape>
            </w:pict>
          </mc:Fallback>
        </mc:AlternateContent>
      </w:r>
    </w:p>
    <w:p w:rsidR="00303ECE" w:rsidRPr="00D0244A" w:rsidRDefault="00E155E4" w:rsidP="00D0244A">
      <w:pPr>
        <w:keepNext/>
        <w:keepLines/>
        <w:pageBreakBefore/>
        <w:suppressAutoHyphens/>
        <w:spacing w:before="28" w:after="0" w:line="240" w:lineRule="auto"/>
        <w:jc w:val="both"/>
        <w:outlineLvl w:val="0"/>
        <w:rPr>
          <w:rFonts w:ascii="Calibri" w:eastAsia="Arial Unicode MS" w:hAnsi="Calibri" w:cs="font331"/>
          <w:bCs/>
          <w:kern w:val="1"/>
          <w:sz w:val="44"/>
          <w:szCs w:val="28"/>
          <w:lang w:val="en-IE" w:eastAsia="hi-IN" w:bidi="hi-IN"/>
        </w:rPr>
      </w:pPr>
      <w:bookmarkStart w:id="4" w:name="_Toc524350289"/>
      <w:r>
        <w:rPr>
          <w:rFonts w:ascii="Calibri" w:eastAsia="Arial Unicode MS" w:hAnsi="Calibri" w:cs="font331"/>
          <w:bCs/>
          <w:kern w:val="1"/>
          <w:sz w:val="44"/>
          <w:szCs w:val="28"/>
          <w:lang w:val="en-IE" w:eastAsia="hi-IN" w:bidi="hi-IN"/>
        </w:rPr>
        <w:lastRenderedPageBreak/>
        <w:t>Privacy</w:t>
      </w:r>
      <w:bookmarkEnd w:id="4"/>
    </w:p>
    <w:p w:rsidR="00F9783D" w:rsidRDefault="00211FFD" w:rsidP="00773220">
      <w:pPr>
        <w:spacing w:before="100" w:beforeAutospacing="1" w:after="100" w:afterAutospacing="1"/>
        <w:jc w:val="both"/>
        <w:rPr>
          <w:rFonts w:ascii="Times New Roman" w:eastAsia="Arial Unicode MS" w:hAnsi="Times New Roman" w:cs="Times New Roman"/>
          <w:sz w:val="24"/>
          <w:lang w:val="en-IE" w:eastAsia="en-AU" w:bidi="hi-IN"/>
        </w:rPr>
      </w:pPr>
      <w:r>
        <w:rPr>
          <w:rFonts w:ascii="Times New Roman" w:eastAsia="Arial Unicode MS" w:hAnsi="Times New Roman" w:cs="Times New Roman"/>
          <w:sz w:val="24"/>
          <w:lang w:val="en-IE" w:eastAsia="en-AU" w:bidi="hi-IN"/>
        </w:rPr>
        <w:t xml:space="preserve">Privacy is an important area for consumers, and a core focus of </w:t>
      </w:r>
      <w:r w:rsidR="00D0244A">
        <w:rPr>
          <w:rFonts w:ascii="Times New Roman" w:eastAsia="Arial Unicode MS" w:hAnsi="Times New Roman" w:cs="Times New Roman"/>
          <w:sz w:val="24"/>
          <w:lang w:val="en-IE" w:eastAsia="en-AU" w:bidi="hi-IN"/>
        </w:rPr>
        <w:t>ACCAN</w:t>
      </w:r>
      <w:r>
        <w:rPr>
          <w:rFonts w:ascii="Times New Roman" w:eastAsia="Arial Unicode MS" w:hAnsi="Times New Roman" w:cs="Times New Roman"/>
          <w:sz w:val="24"/>
          <w:lang w:val="en-IE" w:eastAsia="en-AU" w:bidi="hi-IN"/>
        </w:rPr>
        <w:t xml:space="preserve">’s advocacy work. We </w:t>
      </w:r>
      <w:r w:rsidR="00D0244A">
        <w:rPr>
          <w:rFonts w:ascii="Times New Roman" w:eastAsia="Arial Unicode MS" w:hAnsi="Times New Roman" w:cs="Times New Roman"/>
          <w:sz w:val="24"/>
          <w:lang w:val="en-IE" w:eastAsia="en-AU" w:bidi="hi-IN"/>
        </w:rPr>
        <w:t xml:space="preserve">support the protection of consumers’ privacy, as both a matter of principle and on the basis that privacy has a social and economic value to consumers. </w:t>
      </w:r>
    </w:p>
    <w:p w:rsidR="00F9783D" w:rsidRPr="00773220" w:rsidRDefault="00F9783D" w:rsidP="00773220">
      <w:pPr>
        <w:spacing w:before="100" w:beforeAutospacing="1" w:after="100" w:afterAutospacing="1"/>
        <w:jc w:val="both"/>
        <w:rPr>
          <w:rFonts w:ascii="Times New Roman" w:eastAsia="Arial Unicode MS" w:hAnsi="Times New Roman" w:cs="Times New Roman"/>
          <w:sz w:val="24"/>
          <w:lang w:val="en-IE" w:eastAsia="en-AU" w:bidi="hi-IN"/>
        </w:rPr>
      </w:pPr>
      <w:r w:rsidRPr="00831558">
        <w:rPr>
          <w:rFonts w:ascii="Times New Roman" w:eastAsia="Arial Unicode MS" w:hAnsi="Times New Roman" w:cs="Times New Roman"/>
          <w:sz w:val="24"/>
          <w:lang w:val="en-IE" w:eastAsia="en-AU" w:bidi="hi-IN"/>
        </w:rPr>
        <w:t xml:space="preserve">Privacy is an essential human right, and when consumers’ privacy is forgone as a result of breach, consumers face significant detriment, through a loss of personal security, direct and indirect economic loss and a sense of exploitation. </w:t>
      </w:r>
      <w:r w:rsidR="00D0244A">
        <w:rPr>
          <w:rFonts w:ascii="Times New Roman" w:eastAsia="Arial Unicode MS" w:hAnsi="Times New Roman" w:cs="Times New Roman"/>
          <w:sz w:val="24"/>
          <w:lang w:val="en-IE" w:eastAsia="en-AU" w:bidi="hi-IN"/>
        </w:rPr>
        <w:t>Individuals are entitled to have their privacy respected and protected, and individuals should have confidence that the use of their personal information should be undertaken in</w:t>
      </w:r>
      <w:r w:rsidR="007F6B53">
        <w:rPr>
          <w:rFonts w:ascii="Times New Roman" w:eastAsia="Arial Unicode MS" w:hAnsi="Times New Roman" w:cs="Times New Roman"/>
          <w:sz w:val="24"/>
          <w:lang w:val="en-IE" w:eastAsia="en-AU" w:bidi="hi-IN"/>
        </w:rPr>
        <w:t xml:space="preserve"> accordance with their wishes. </w:t>
      </w:r>
    </w:p>
    <w:p w:rsidR="00AC4C40" w:rsidRPr="00121C45" w:rsidRDefault="002351DE" w:rsidP="00CA58DD">
      <w:pPr>
        <w:spacing w:before="100" w:beforeAutospacing="1" w:after="100" w:afterAutospacing="1"/>
        <w:jc w:val="both"/>
        <w:rPr>
          <w:rFonts w:ascii="Times New Roman" w:eastAsia="Arial Unicode MS" w:hAnsi="Times New Roman" w:cs="Times New Roman"/>
          <w:color w:val="000000" w:themeColor="text1"/>
          <w:sz w:val="24"/>
          <w:lang w:val="en-IE" w:eastAsia="en-AU" w:bidi="hi-IN"/>
        </w:rPr>
      </w:pPr>
      <w:r>
        <w:rPr>
          <w:rFonts w:ascii="Times New Roman" w:eastAsia="Arial Unicode MS" w:hAnsi="Times New Roman" w:cs="Times New Roman"/>
          <w:sz w:val="24"/>
          <w:lang w:val="en-IE" w:eastAsia="en-AU" w:bidi="hi-IN"/>
        </w:rPr>
        <w:t xml:space="preserve">The current form of the legislation does not however provide a comprehensive framework to </w:t>
      </w:r>
      <w:r w:rsidRPr="00121C45">
        <w:rPr>
          <w:rFonts w:ascii="Times New Roman" w:eastAsia="Arial Unicode MS" w:hAnsi="Times New Roman" w:cs="Times New Roman"/>
          <w:color w:val="000000" w:themeColor="text1"/>
          <w:sz w:val="24"/>
          <w:lang w:val="en-IE" w:eastAsia="en-AU" w:bidi="hi-IN"/>
        </w:rPr>
        <w:t>address the</w:t>
      </w:r>
      <w:r w:rsidR="00CA58DD" w:rsidRPr="00121C45">
        <w:rPr>
          <w:rFonts w:ascii="Times New Roman" w:eastAsia="Arial Unicode MS" w:hAnsi="Times New Roman" w:cs="Times New Roman"/>
          <w:color w:val="000000" w:themeColor="text1"/>
          <w:sz w:val="24"/>
          <w:lang w:val="en-IE" w:eastAsia="en-AU" w:bidi="hi-IN"/>
        </w:rPr>
        <w:t xml:space="preserve"> privacy concerns of consumers. ACCAN has concerns that:</w:t>
      </w:r>
    </w:p>
    <w:p w:rsidR="00CA58DD" w:rsidRPr="00121C45" w:rsidRDefault="00DE42BC" w:rsidP="00DE42BC">
      <w:pPr>
        <w:pStyle w:val="ListParagraph"/>
        <w:numPr>
          <w:ilvl w:val="0"/>
          <w:numId w:val="15"/>
        </w:numPr>
        <w:rPr>
          <w:rFonts w:ascii="Times New Roman" w:eastAsia="Arial Unicode MS" w:hAnsi="Times New Roman" w:cs="Times New Roman"/>
          <w:color w:val="000000" w:themeColor="text1"/>
          <w:lang w:val="en-IE" w:eastAsia="en-AU" w:bidi="hi-IN"/>
        </w:rPr>
      </w:pPr>
      <w:r w:rsidRPr="00121C45">
        <w:rPr>
          <w:rFonts w:ascii="Times New Roman" w:eastAsia="Arial Unicode MS" w:hAnsi="Times New Roman" w:cs="Times New Roman"/>
          <w:color w:val="000000" w:themeColor="text1"/>
          <w:lang w:val="en-IE" w:eastAsia="en-AU" w:bidi="hi-IN"/>
        </w:rPr>
        <w:t>the current framework of protections only apply when data is transferred;</w:t>
      </w:r>
    </w:p>
    <w:p w:rsidR="00DE42BC" w:rsidRDefault="00DE42BC" w:rsidP="00DE42BC">
      <w:pPr>
        <w:pStyle w:val="ListParagraph"/>
        <w:numPr>
          <w:ilvl w:val="0"/>
          <w:numId w:val="15"/>
        </w:numPr>
        <w:rPr>
          <w:rFonts w:ascii="Times New Roman" w:eastAsia="Arial Unicode MS" w:hAnsi="Times New Roman" w:cs="Times New Roman"/>
          <w:color w:val="000000" w:themeColor="text1"/>
          <w:lang w:val="en-IE" w:eastAsia="en-AU" w:bidi="hi-IN"/>
        </w:rPr>
      </w:pPr>
      <w:r w:rsidRPr="00121C45">
        <w:rPr>
          <w:rFonts w:ascii="Times New Roman" w:eastAsia="Arial Unicode MS" w:hAnsi="Times New Roman" w:cs="Times New Roman"/>
          <w:color w:val="000000" w:themeColor="text1"/>
          <w:lang w:val="en-IE" w:eastAsia="en-AU" w:bidi="hi-IN"/>
        </w:rPr>
        <w:t>the framework provides for limited protections of consumer data once it is transferred out of the system to non-accredited entities;</w:t>
      </w:r>
    </w:p>
    <w:p w:rsidR="0004561D" w:rsidRDefault="001D7238" w:rsidP="00A07B6E">
      <w:pPr>
        <w:pStyle w:val="ListParagraph"/>
        <w:numPr>
          <w:ilvl w:val="0"/>
          <w:numId w:val="15"/>
        </w:numPr>
        <w:rPr>
          <w:rFonts w:ascii="Times New Roman" w:eastAsia="Arial Unicode MS" w:hAnsi="Times New Roman" w:cs="Times New Roman"/>
          <w:color w:val="000000" w:themeColor="text1"/>
          <w:lang w:val="en-IE" w:eastAsia="en-AU" w:bidi="hi-IN"/>
        </w:rPr>
      </w:pPr>
      <w:r>
        <w:rPr>
          <w:rFonts w:ascii="Times New Roman" w:eastAsia="Arial Unicode MS" w:hAnsi="Times New Roman" w:cs="Times New Roman"/>
          <w:color w:val="000000" w:themeColor="text1"/>
          <w:lang w:val="en-IE" w:eastAsia="en-AU" w:bidi="hi-IN"/>
        </w:rPr>
        <w:t xml:space="preserve">the framework does not provide for any penalties for seeking to re-identify consumers; </w:t>
      </w:r>
    </w:p>
    <w:p w:rsidR="00171E49" w:rsidRDefault="001C79E9" w:rsidP="00A07B6E">
      <w:pPr>
        <w:pStyle w:val="ListParagraph"/>
        <w:numPr>
          <w:ilvl w:val="0"/>
          <w:numId w:val="15"/>
        </w:numPr>
        <w:rPr>
          <w:rFonts w:ascii="Times New Roman" w:eastAsia="Arial Unicode MS" w:hAnsi="Times New Roman" w:cs="Times New Roman"/>
          <w:color w:val="000000" w:themeColor="text1"/>
          <w:lang w:val="en-IE" w:eastAsia="en-AU" w:bidi="hi-IN"/>
        </w:rPr>
      </w:pPr>
      <w:proofErr w:type="gramStart"/>
      <w:r>
        <w:rPr>
          <w:rFonts w:ascii="Times New Roman" w:eastAsia="Arial Unicode MS" w:hAnsi="Times New Roman" w:cs="Times New Roman"/>
          <w:color w:val="000000" w:themeColor="text1"/>
          <w:lang w:val="en-IE" w:eastAsia="en-AU" w:bidi="hi-IN"/>
        </w:rPr>
        <w:t>the</w:t>
      </w:r>
      <w:proofErr w:type="gramEnd"/>
      <w:r>
        <w:rPr>
          <w:rFonts w:ascii="Times New Roman" w:eastAsia="Arial Unicode MS" w:hAnsi="Times New Roman" w:cs="Times New Roman"/>
          <w:color w:val="000000" w:themeColor="text1"/>
          <w:lang w:val="en-IE" w:eastAsia="en-AU" w:bidi="hi-IN"/>
        </w:rPr>
        <w:t xml:space="preserve"> framework creates in effect a </w:t>
      </w:r>
      <w:r w:rsidR="00DC24E1">
        <w:rPr>
          <w:rFonts w:ascii="Times New Roman" w:eastAsia="Arial Unicode MS" w:hAnsi="Times New Roman" w:cs="Times New Roman"/>
          <w:color w:val="000000" w:themeColor="text1"/>
          <w:lang w:val="en-IE" w:eastAsia="en-AU" w:bidi="hi-IN"/>
        </w:rPr>
        <w:t>two-tiered</w:t>
      </w:r>
      <w:r>
        <w:rPr>
          <w:rFonts w:ascii="Times New Roman" w:eastAsia="Arial Unicode MS" w:hAnsi="Times New Roman" w:cs="Times New Roman"/>
          <w:color w:val="000000" w:themeColor="text1"/>
          <w:lang w:val="en-IE" w:eastAsia="en-AU" w:bidi="hi-IN"/>
        </w:rPr>
        <w:t xml:space="preserve"> or possibly three-tiered system of privacy protection.</w:t>
      </w:r>
    </w:p>
    <w:p w:rsidR="00C22A71" w:rsidRDefault="00C22A71" w:rsidP="00C22A71">
      <w:pPr>
        <w:spacing w:before="100" w:beforeAutospacing="1" w:after="100" w:afterAutospacing="1" w:line="360" w:lineRule="auto"/>
        <w:jc w:val="both"/>
        <w:rPr>
          <w:rFonts w:ascii="Arial" w:eastAsiaTheme="minorEastAsia" w:hAnsi="Arial" w:cs="Arial"/>
          <w:b/>
          <w:sz w:val="32"/>
          <w:szCs w:val="32"/>
          <w:lang w:val="en-AU" w:eastAsia="en-AU"/>
        </w:rPr>
      </w:pPr>
      <w:r>
        <w:rPr>
          <w:rFonts w:ascii="Arial" w:eastAsiaTheme="minorEastAsia" w:hAnsi="Arial" w:cs="Arial"/>
          <w:b/>
          <w:sz w:val="32"/>
          <w:szCs w:val="32"/>
          <w:lang w:val="en-AU" w:eastAsia="en-AU"/>
        </w:rPr>
        <w:t xml:space="preserve">CDR </w:t>
      </w:r>
      <w:r w:rsidR="00A31B67">
        <w:rPr>
          <w:rFonts w:ascii="Arial" w:eastAsiaTheme="minorEastAsia" w:hAnsi="Arial" w:cs="Arial"/>
          <w:b/>
          <w:sz w:val="32"/>
          <w:szCs w:val="32"/>
          <w:lang w:val="en-AU" w:eastAsia="en-AU"/>
        </w:rPr>
        <w:t>Privacy Safeguards</w:t>
      </w:r>
    </w:p>
    <w:p w:rsidR="00A92887" w:rsidRDefault="00344CDC" w:rsidP="00C35DED">
      <w:pPr>
        <w:spacing w:before="100" w:beforeAutospacing="1" w:after="100" w:afterAutospacing="1"/>
        <w:jc w:val="both"/>
        <w:rPr>
          <w:rFonts w:ascii="Times New Roman" w:eastAsiaTheme="minorEastAsia" w:hAnsi="Times New Roman" w:cs="Times New Roman"/>
          <w:sz w:val="24"/>
          <w:szCs w:val="24"/>
          <w:lang w:val="en-AU" w:eastAsia="en-AU"/>
        </w:rPr>
      </w:pPr>
      <w:r>
        <w:rPr>
          <w:rFonts w:ascii="Times New Roman" w:eastAsiaTheme="minorEastAsia" w:hAnsi="Times New Roman" w:cs="Times New Roman"/>
          <w:sz w:val="24"/>
          <w:szCs w:val="24"/>
          <w:lang w:val="en-AU" w:eastAsia="en-AU"/>
        </w:rPr>
        <w:t xml:space="preserve">The </w:t>
      </w:r>
      <w:r w:rsidR="00034C47">
        <w:rPr>
          <w:rFonts w:ascii="Times New Roman" w:eastAsiaTheme="minorEastAsia" w:hAnsi="Times New Roman" w:cs="Times New Roman"/>
          <w:sz w:val="24"/>
          <w:szCs w:val="24"/>
          <w:lang w:val="en-AU" w:eastAsia="en-AU"/>
        </w:rPr>
        <w:t xml:space="preserve">Bill provides </w:t>
      </w:r>
      <w:r w:rsidR="00C8710B">
        <w:rPr>
          <w:rFonts w:ascii="Times New Roman" w:eastAsiaTheme="minorEastAsia" w:hAnsi="Times New Roman" w:cs="Times New Roman"/>
          <w:sz w:val="24"/>
          <w:szCs w:val="24"/>
          <w:lang w:val="en-AU" w:eastAsia="en-AU"/>
        </w:rPr>
        <w:t>for Privacy Safeguards governing</w:t>
      </w:r>
      <w:r>
        <w:rPr>
          <w:rFonts w:ascii="Times New Roman" w:eastAsiaTheme="minorEastAsia" w:hAnsi="Times New Roman" w:cs="Times New Roman"/>
          <w:sz w:val="24"/>
          <w:szCs w:val="24"/>
          <w:lang w:val="en-AU" w:eastAsia="en-AU"/>
        </w:rPr>
        <w:t>:</w:t>
      </w:r>
    </w:p>
    <w:p w:rsidR="00A92887" w:rsidRDefault="00786552" w:rsidP="00773220">
      <w:pPr>
        <w:pStyle w:val="ListParagraph"/>
        <w:numPr>
          <w:ilvl w:val="0"/>
          <w:numId w:val="21"/>
        </w:numPr>
        <w:spacing w:line="276" w:lineRule="auto"/>
        <w:rPr>
          <w:rFonts w:ascii="Times New Roman" w:eastAsiaTheme="minorEastAsia" w:hAnsi="Times New Roman" w:cs="Times New Roman"/>
          <w:szCs w:val="24"/>
          <w:lang w:eastAsia="en-AU"/>
        </w:rPr>
      </w:pPr>
      <w:r>
        <w:rPr>
          <w:rFonts w:ascii="Times New Roman" w:eastAsiaTheme="minorEastAsia" w:hAnsi="Times New Roman" w:cs="Times New Roman"/>
          <w:szCs w:val="24"/>
          <w:lang w:eastAsia="en-AU"/>
        </w:rPr>
        <w:t>open and transparent management of CDR data;</w:t>
      </w:r>
    </w:p>
    <w:p w:rsidR="00786552" w:rsidRDefault="001D152D" w:rsidP="00773220">
      <w:pPr>
        <w:pStyle w:val="ListParagraph"/>
        <w:numPr>
          <w:ilvl w:val="0"/>
          <w:numId w:val="21"/>
        </w:numPr>
        <w:spacing w:line="276" w:lineRule="auto"/>
        <w:rPr>
          <w:rFonts w:ascii="Times New Roman" w:eastAsiaTheme="minorEastAsia" w:hAnsi="Times New Roman" w:cs="Times New Roman"/>
          <w:szCs w:val="24"/>
          <w:lang w:eastAsia="en-AU"/>
        </w:rPr>
      </w:pPr>
      <w:r>
        <w:rPr>
          <w:rFonts w:ascii="Times New Roman" w:eastAsiaTheme="minorEastAsia" w:hAnsi="Times New Roman" w:cs="Times New Roman"/>
          <w:szCs w:val="24"/>
          <w:lang w:eastAsia="en-AU"/>
        </w:rPr>
        <w:t xml:space="preserve">optional consumer </w:t>
      </w:r>
      <w:r w:rsidR="00786552">
        <w:rPr>
          <w:rFonts w:ascii="Times New Roman" w:eastAsiaTheme="minorEastAsia" w:hAnsi="Times New Roman" w:cs="Times New Roman"/>
          <w:szCs w:val="24"/>
          <w:lang w:eastAsia="en-AU"/>
        </w:rPr>
        <w:t>anonymity and pseudonymity;</w:t>
      </w:r>
    </w:p>
    <w:p w:rsidR="00786552" w:rsidRDefault="001D152D" w:rsidP="00773220">
      <w:pPr>
        <w:pStyle w:val="ListParagraph"/>
        <w:numPr>
          <w:ilvl w:val="0"/>
          <w:numId w:val="21"/>
        </w:numPr>
        <w:spacing w:line="276" w:lineRule="auto"/>
        <w:rPr>
          <w:rFonts w:ascii="Times New Roman" w:eastAsiaTheme="minorEastAsia" w:hAnsi="Times New Roman" w:cs="Times New Roman"/>
          <w:szCs w:val="24"/>
          <w:lang w:eastAsia="en-AU"/>
        </w:rPr>
      </w:pPr>
      <w:r>
        <w:rPr>
          <w:rFonts w:ascii="Times New Roman" w:eastAsiaTheme="minorEastAsia" w:hAnsi="Times New Roman" w:cs="Times New Roman"/>
          <w:szCs w:val="24"/>
          <w:lang w:eastAsia="en-AU"/>
        </w:rPr>
        <w:t>collection of solicited CDR data;</w:t>
      </w:r>
    </w:p>
    <w:p w:rsidR="001D152D" w:rsidRDefault="001D152D" w:rsidP="00773220">
      <w:pPr>
        <w:pStyle w:val="ListParagraph"/>
        <w:numPr>
          <w:ilvl w:val="0"/>
          <w:numId w:val="21"/>
        </w:numPr>
        <w:spacing w:line="276" w:lineRule="auto"/>
        <w:rPr>
          <w:rFonts w:ascii="Times New Roman" w:eastAsiaTheme="minorEastAsia" w:hAnsi="Times New Roman" w:cs="Times New Roman"/>
          <w:szCs w:val="24"/>
          <w:lang w:eastAsia="en-AU"/>
        </w:rPr>
      </w:pPr>
      <w:r>
        <w:rPr>
          <w:rFonts w:ascii="Times New Roman" w:eastAsiaTheme="minorEastAsia" w:hAnsi="Times New Roman" w:cs="Times New Roman"/>
          <w:szCs w:val="24"/>
          <w:lang w:eastAsia="en-AU"/>
        </w:rPr>
        <w:t>dealing with unsolicited CDR data, including deletion of this data;</w:t>
      </w:r>
    </w:p>
    <w:p w:rsidR="001D152D" w:rsidRDefault="001D152D" w:rsidP="00773220">
      <w:pPr>
        <w:pStyle w:val="ListParagraph"/>
        <w:numPr>
          <w:ilvl w:val="0"/>
          <w:numId w:val="21"/>
        </w:numPr>
        <w:spacing w:line="276" w:lineRule="auto"/>
        <w:rPr>
          <w:rFonts w:ascii="Times New Roman" w:eastAsiaTheme="minorEastAsia" w:hAnsi="Times New Roman" w:cs="Times New Roman"/>
          <w:szCs w:val="24"/>
          <w:lang w:eastAsia="en-AU"/>
        </w:rPr>
      </w:pPr>
      <w:r>
        <w:rPr>
          <w:rFonts w:ascii="Times New Roman" w:eastAsiaTheme="minorEastAsia" w:hAnsi="Times New Roman" w:cs="Times New Roman"/>
          <w:szCs w:val="24"/>
          <w:lang w:eastAsia="en-AU"/>
        </w:rPr>
        <w:t>notification of consumers concerning the collection of CDR data;</w:t>
      </w:r>
    </w:p>
    <w:p w:rsidR="001D152D" w:rsidRDefault="00034C47" w:rsidP="00773220">
      <w:pPr>
        <w:pStyle w:val="ListParagraph"/>
        <w:numPr>
          <w:ilvl w:val="0"/>
          <w:numId w:val="21"/>
        </w:numPr>
        <w:spacing w:line="276" w:lineRule="auto"/>
        <w:rPr>
          <w:rFonts w:ascii="Times New Roman" w:eastAsiaTheme="minorEastAsia" w:hAnsi="Times New Roman" w:cs="Times New Roman"/>
          <w:szCs w:val="24"/>
          <w:lang w:eastAsia="en-AU"/>
        </w:rPr>
      </w:pPr>
      <w:r>
        <w:rPr>
          <w:rFonts w:ascii="Times New Roman" w:eastAsiaTheme="minorEastAsia" w:hAnsi="Times New Roman" w:cs="Times New Roman"/>
          <w:szCs w:val="24"/>
          <w:lang w:eastAsia="en-AU"/>
        </w:rPr>
        <w:t>use or disclosure of CDR data, including the need for specific consent for data to be used for the purposes of direct marketing;</w:t>
      </w:r>
    </w:p>
    <w:p w:rsidR="00034C47" w:rsidRDefault="00034C47" w:rsidP="00773220">
      <w:pPr>
        <w:pStyle w:val="ListParagraph"/>
        <w:numPr>
          <w:ilvl w:val="0"/>
          <w:numId w:val="21"/>
        </w:numPr>
        <w:spacing w:line="276" w:lineRule="auto"/>
        <w:rPr>
          <w:rFonts w:ascii="Times New Roman" w:eastAsiaTheme="minorEastAsia" w:hAnsi="Times New Roman" w:cs="Times New Roman"/>
          <w:szCs w:val="24"/>
          <w:lang w:eastAsia="en-AU"/>
        </w:rPr>
      </w:pPr>
      <w:r>
        <w:rPr>
          <w:rFonts w:ascii="Times New Roman" w:eastAsiaTheme="minorEastAsia" w:hAnsi="Times New Roman" w:cs="Times New Roman"/>
          <w:szCs w:val="24"/>
          <w:lang w:eastAsia="en-AU"/>
        </w:rPr>
        <w:t>a ban on cross-border disclosures to non-accredited entities;</w:t>
      </w:r>
    </w:p>
    <w:p w:rsidR="00034C47" w:rsidRPr="00773220" w:rsidRDefault="00034C47" w:rsidP="00773220">
      <w:pPr>
        <w:pStyle w:val="ListParagraph"/>
        <w:numPr>
          <w:ilvl w:val="0"/>
          <w:numId w:val="21"/>
        </w:numPr>
        <w:spacing w:line="276" w:lineRule="auto"/>
        <w:rPr>
          <w:rFonts w:ascii="Times New Roman" w:eastAsiaTheme="minorEastAsia" w:hAnsi="Times New Roman" w:cs="Times New Roman"/>
          <w:szCs w:val="24"/>
          <w:lang w:eastAsia="en-AU"/>
        </w:rPr>
      </w:pPr>
      <w:r>
        <w:rPr>
          <w:rFonts w:ascii="Times New Roman" w:eastAsiaTheme="minorEastAsia" w:hAnsi="Times New Roman" w:cs="Times New Roman"/>
          <w:szCs w:val="24"/>
          <w:lang w:eastAsia="en-AU"/>
        </w:rPr>
        <w:t>a ban on the use of government identifiers as a person’s CDR identifier unless required by law;</w:t>
      </w:r>
    </w:p>
    <w:p w:rsidR="00034C47" w:rsidRDefault="00034C47" w:rsidP="00773220">
      <w:pPr>
        <w:pStyle w:val="ListParagraph"/>
        <w:numPr>
          <w:ilvl w:val="0"/>
          <w:numId w:val="21"/>
        </w:numPr>
        <w:spacing w:line="276" w:lineRule="auto"/>
        <w:rPr>
          <w:rFonts w:ascii="Times New Roman" w:eastAsiaTheme="minorEastAsia" w:hAnsi="Times New Roman" w:cs="Times New Roman"/>
          <w:szCs w:val="24"/>
          <w:lang w:eastAsia="en-AU"/>
        </w:rPr>
      </w:pPr>
      <w:r>
        <w:rPr>
          <w:rFonts w:ascii="Times New Roman" w:eastAsiaTheme="minorEastAsia" w:hAnsi="Times New Roman" w:cs="Times New Roman"/>
          <w:szCs w:val="24"/>
          <w:lang w:eastAsia="en-AU"/>
        </w:rPr>
        <w:t>a requirement that data participants comply with the security of CDR data directions provided by regulation;</w:t>
      </w:r>
    </w:p>
    <w:p w:rsidR="00034C47" w:rsidRDefault="00902872" w:rsidP="00773220">
      <w:pPr>
        <w:pStyle w:val="ListParagraph"/>
        <w:numPr>
          <w:ilvl w:val="0"/>
          <w:numId w:val="21"/>
        </w:numPr>
        <w:spacing w:line="276" w:lineRule="auto"/>
        <w:rPr>
          <w:rFonts w:ascii="Times New Roman" w:eastAsiaTheme="minorEastAsia" w:hAnsi="Times New Roman" w:cs="Times New Roman"/>
          <w:szCs w:val="24"/>
          <w:lang w:eastAsia="en-AU"/>
        </w:rPr>
      </w:pPr>
      <w:r>
        <w:rPr>
          <w:rFonts w:ascii="Times New Roman" w:eastAsiaTheme="minorEastAsia" w:hAnsi="Times New Roman" w:cs="Times New Roman"/>
          <w:szCs w:val="24"/>
          <w:lang w:eastAsia="en-AU"/>
        </w:rPr>
        <w:t>a requirement that data participants take reasonable steps to ensure the quality of CDR data;</w:t>
      </w:r>
    </w:p>
    <w:p w:rsidR="00A31B67" w:rsidRPr="00773220" w:rsidRDefault="00902872" w:rsidP="00773220">
      <w:pPr>
        <w:pStyle w:val="ListParagraph"/>
        <w:numPr>
          <w:ilvl w:val="0"/>
          <w:numId w:val="21"/>
        </w:numPr>
        <w:spacing w:line="276" w:lineRule="auto"/>
        <w:rPr>
          <w:rFonts w:ascii="Times New Roman" w:eastAsiaTheme="minorEastAsia" w:hAnsi="Times New Roman" w:cs="Times New Roman"/>
          <w:szCs w:val="24"/>
          <w:lang w:eastAsia="en-AU"/>
        </w:rPr>
      </w:pPr>
      <w:proofErr w:type="gramStart"/>
      <w:r>
        <w:rPr>
          <w:rFonts w:ascii="Times New Roman" w:eastAsiaTheme="minorEastAsia" w:hAnsi="Times New Roman" w:cs="Times New Roman"/>
          <w:szCs w:val="24"/>
          <w:lang w:eastAsia="en-AU"/>
        </w:rPr>
        <w:t>a</w:t>
      </w:r>
      <w:proofErr w:type="gramEnd"/>
      <w:r>
        <w:rPr>
          <w:rFonts w:ascii="Times New Roman" w:eastAsiaTheme="minorEastAsia" w:hAnsi="Times New Roman" w:cs="Times New Roman"/>
          <w:szCs w:val="24"/>
          <w:lang w:eastAsia="en-AU"/>
        </w:rPr>
        <w:t xml:space="preserve"> requirement that data participants follow steps (to be set out in regulation) to respond to requests for corrections to CDR data.</w:t>
      </w:r>
    </w:p>
    <w:p w:rsidR="00B615E4" w:rsidRDefault="00B615E4" w:rsidP="00A07B6E">
      <w:pPr>
        <w:spacing w:before="100" w:beforeAutospacing="1" w:after="100" w:afterAutospacing="1"/>
        <w:jc w:val="both"/>
        <w:rPr>
          <w:rFonts w:ascii="Times New Roman" w:eastAsiaTheme="minorEastAsia" w:hAnsi="Times New Roman" w:cs="Times New Roman"/>
          <w:sz w:val="24"/>
          <w:szCs w:val="24"/>
          <w:lang w:val="en-AU" w:eastAsia="en-AU"/>
        </w:rPr>
      </w:pPr>
      <w:r w:rsidRPr="001641BC">
        <w:rPr>
          <w:rFonts w:ascii="Times New Roman" w:eastAsiaTheme="minorEastAsia" w:hAnsi="Times New Roman" w:cs="Times New Roman"/>
          <w:sz w:val="24"/>
          <w:szCs w:val="24"/>
          <w:lang w:val="en-AU" w:eastAsia="en-AU"/>
        </w:rPr>
        <w:lastRenderedPageBreak/>
        <w:t xml:space="preserve">The protections provided under the Privacy Safeguards, although in some respects </w:t>
      </w:r>
      <w:r w:rsidR="00902872" w:rsidRPr="001641BC">
        <w:rPr>
          <w:rFonts w:ascii="Times New Roman" w:eastAsiaTheme="minorEastAsia" w:hAnsi="Times New Roman" w:cs="Times New Roman"/>
          <w:sz w:val="24"/>
          <w:szCs w:val="24"/>
          <w:lang w:val="en-AU" w:eastAsia="en-AU"/>
        </w:rPr>
        <w:t>a</w:t>
      </w:r>
      <w:r w:rsidRPr="001641BC">
        <w:rPr>
          <w:rFonts w:ascii="Times New Roman" w:eastAsiaTheme="minorEastAsia" w:hAnsi="Times New Roman" w:cs="Times New Roman"/>
          <w:sz w:val="24"/>
          <w:szCs w:val="24"/>
          <w:lang w:val="en-AU" w:eastAsia="en-AU"/>
        </w:rPr>
        <w:t xml:space="preserve"> material improvement on the protections provided under the Australian Privacy Principles, </w:t>
      </w:r>
      <w:r w:rsidR="00902872" w:rsidRPr="001641BC">
        <w:rPr>
          <w:rFonts w:ascii="Times New Roman" w:eastAsiaTheme="minorEastAsia" w:hAnsi="Times New Roman" w:cs="Times New Roman"/>
          <w:sz w:val="24"/>
          <w:szCs w:val="24"/>
          <w:lang w:val="en-AU" w:eastAsia="en-AU"/>
        </w:rPr>
        <w:t xml:space="preserve">are </w:t>
      </w:r>
      <w:r w:rsidRPr="001641BC">
        <w:rPr>
          <w:rFonts w:ascii="Times New Roman" w:eastAsiaTheme="minorEastAsia" w:hAnsi="Times New Roman" w:cs="Times New Roman"/>
          <w:sz w:val="24"/>
          <w:szCs w:val="24"/>
          <w:lang w:val="en-AU" w:eastAsia="en-AU"/>
        </w:rPr>
        <w:t>inadequate</w:t>
      </w:r>
      <w:r w:rsidR="00902872" w:rsidRPr="001641BC">
        <w:rPr>
          <w:rFonts w:ascii="Times New Roman" w:eastAsiaTheme="minorEastAsia" w:hAnsi="Times New Roman" w:cs="Times New Roman"/>
          <w:sz w:val="24"/>
          <w:szCs w:val="24"/>
          <w:lang w:val="en-AU" w:eastAsia="en-AU"/>
        </w:rPr>
        <w:t xml:space="preserve">. </w:t>
      </w:r>
      <w:r w:rsidR="001641BC" w:rsidRPr="004502CA">
        <w:rPr>
          <w:rFonts w:ascii="Times New Roman" w:eastAsiaTheme="minorEastAsia" w:hAnsi="Times New Roman" w:cs="Times New Roman"/>
          <w:sz w:val="24"/>
          <w:szCs w:val="24"/>
          <w:lang w:val="en-AU" w:eastAsia="en-AU"/>
        </w:rPr>
        <w:t>This inadequacy stems from their limited scope of application, and the unclear content of the protections which will be provided to consumers, with much of the protections to be specified through the regulatory rule making process.</w:t>
      </w:r>
    </w:p>
    <w:p w:rsidR="00B575C8" w:rsidRDefault="00902872" w:rsidP="00A07B6E">
      <w:pPr>
        <w:spacing w:before="100" w:beforeAutospacing="1" w:after="100" w:afterAutospacing="1"/>
        <w:jc w:val="both"/>
        <w:rPr>
          <w:rFonts w:ascii="Times New Roman" w:eastAsiaTheme="minorEastAsia" w:hAnsi="Times New Roman" w:cs="Times New Roman"/>
          <w:sz w:val="24"/>
          <w:szCs w:val="24"/>
          <w:lang w:val="en-AU" w:eastAsia="en-AU"/>
        </w:rPr>
      </w:pPr>
      <w:r>
        <w:rPr>
          <w:rFonts w:ascii="Times New Roman" w:eastAsiaTheme="minorEastAsia" w:hAnsi="Times New Roman" w:cs="Times New Roman"/>
          <w:sz w:val="24"/>
          <w:szCs w:val="24"/>
          <w:lang w:val="en-AU" w:eastAsia="en-AU"/>
        </w:rPr>
        <w:t xml:space="preserve">The Privacy Safeguards represent the minimum legal protections provided to consumers concerning the use of their data; however, in many instances the legislation provides highly conditional protections. The drafting of the legislation leaves </w:t>
      </w:r>
      <w:r w:rsidR="00BC4AD7">
        <w:rPr>
          <w:rFonts w:ascii="Times New Roman" w:eastAsiaTheme="minorEastAsia" w:hAnsi="Times New Roman" w:cs="Times New Roman"/>
          <w:sz w:val="24"/>
          <w:szCs w:val="24"/>
          <w:lang w:val="en-AU" w:eastAsia="en-AU"/>
        </w:rPr>
        <w:t xml:space="preserve">important protections up to the rule making process, with only </w:t>
      </w:r>
      <w:r w:rsidR="0015743E">
        <w:rPr>
          <w:rFonts w:ascii="Times New Roman" w:eastAsiaTheme="minorEastAsia" w:hAnsi="Times New Roman" w:cs="Times New Roman"/>
          <w:sz w:val="24"/>
          <w:szCs w:val="24"/>
          <w:lang w:val="en-AU" w:eastAsia="en-AU"/>
        </w:rPr>
        <w:t>two</w:t>
      </w:r>
      <w:r w:rsidR="00BC4AD7">
        <w:rPr>
          <w:rFonts w:ascii="Times New Roman" w:eastAsiaTheme="minorEastAsia" w:hAnsi="Times New Roman" w:cs="Times New Roman"/>
          <w:sz w:val="24"/>
          <w:szCs w:val="24"/>
          <w:lang w:val="en-AU" w:eastAsia="en-AU"/>
        </w:rPr>
        <w:t xml:space="preserve"> of </w:t>
      </w:r>
      <w:r w:rsidR="0015743E">
        <w:rPr>
          <w:rFonts w:ascii="Times New Roman" w:eastAsiaTheme="minorEastAsia" w:hAnsi="Times New Roman" w:cs="Times New Roman"/>
          <w:sz w:val="24"/>
          <w:szCs w:val="24"/>
          <w:lang w:val="en-AU" w:eastAsia="en-AU"/>
        </w:rPr>
        <w:t>twelve</w:t>
      </w:r>
      <w:r w:rsidR="00BC4AD7">
        <w:rPr>
          <w:rFonts w:ascii="Times New Roman" w:eastAsiaTheme="minorEastAsia" w:hAnsi="Times New Roman" w:cs="Times New Roman"/>
          <w:sz w:val="24"/>
          <w:szCs w:val="24"/>
          <w:lang w:val="en-AU" w:eastAsia="en-AU"/>
        </w:rPr>
        <w:t xml:space="preserve"> Privacy Safeguards being </w:t>
      </w:r>
      <w:r w:rsidR="00B575C8">
        <w:rPr>
          <w:rFonts w:ascii="Times New Roman" w:eastAsiaTheme="minorEastAsia" w:hAnsi="Times New Roman" w:cs="Times New Roman"/>
          <w:sz w:val="24"/>
          <w:szCs w:val="24"/>
          <w:lang w:val="en-AU" w:eastAsia="en-AU"/>
        </w:rPr>
        <w:t xml:space="preserve">entirely </w:t>
      </w:r>
      <w:r w:rsidR="00BC4AD7">
        <w:rPr>
          <w:rFonts w:ascii="Times New Roman" w:eastAsiaTheme="minorEastAsia" w:hAnsi="Times New Roman" w:cs="Times New Roman"/>
          <w:sz w:val="24"/>
          <w:szCs w:val="24"/>
          <w:lang w:val="en-AU" w:eastAsia="en-AU"/>
        </w:rPr>
        <w:t>specified within the Bill.</w:t>
      </w:r>
      <w:r w:rsidR="0081316D">
        <w:rPr>
          <w:rFonts w:ascii="Times New Roman" w:eastAsiaTheme="minorEastAsia" w:hAnsi="Times New Roman" w:cs="Times New Roman"/>
          <w:sz w:val="24"/>
          <w:szCs w:val="24"/>
          <w:lang w:val="en-AU" w:eastAsia="en-AU"/>
        </w:rPr>
        <w:t xml:space="preserve"> This is of concern, as important privacy protections such as anonymity and pseudonymity may be removed via the</w:t>
      </w:r>
      <w:r w:rsidR="00780BF3">
        <w:rPr>
          <w:rFonts w:ascii="Times New Roman" w:eastAsiaTheme="minorEastAsia" w:hAnsi="Times New Roman" w:cs="Times New Roman"/>
          <w:sz w:val="24"/>
          <w:szCs w:val="24"/>
          <w:lang w:val="en-AU" w:eastAsia="en-AU"/>
        </w:rPr>
        <w:t xml:space="preserve"> regulatory rule making process, to the detriment of consumer privacy.</w:t>
      </w:r>
    </w:p>
    <w:p w:rsidR="0081316D" w:rsidRDefault="00274A80" w:rsidP="0081316D">
      <w:pPr>
        <w:jc w:val="both"/>
        <w:rPr>
          <w:rFonts w:ascii="Times New Roman" w:eastAsiaTheme="minorEastAsia" w:hAnsi="Times New Roman" w:cs="Times New Roman"/>
          <w:sz w:val="24"/>
          <w:szCs w:val="24"/>
          <w:lang w:eastAsia="en-AU"/>
        </w:rPr>
      </w:pPr>
      <w:r>
        <w:rPr>
          <w:rFonts w:ascii="Times New Roman" w:eastAsiaTheme="minorEastAsia" w:hAnsi="Times New Roman" w:cs="Times New Roman"/>
          <w:sz w:val="24"/>
          <w:szCs w:val="24"/>
          <w:lang w:eastAsia="en-AU"/>
        </w:rPr>
        <w:t>The protections provided by the Privacy Safeguards, are weak and i</w:t>
      </w:r>
      <w:r w:rsidR="00A65083">
        <w:rPr>
          <w:rFonts w:ascii="Times New Roman" w:eastAsiaTheme="minorEastAsia" w:hAnsi="Times New Roman" w:cs="Times New Roman"/>
          <w:sz w:val="24"/>
          <w:szCs w:val="24"/>
          <w:lang w:eastAsia="en-AU"/>
        </w:rPr>
        <w:t>n some instances the Safeguards do not directly relate to matters of privacy</w:t>
      </w:r>
      <w:r>
        <w:rPr>
          <w:rFonts w:ascii="Times New Roman" w:eastAsiaTheme="minorEastAsia" w:hAnsi="Times New Roman" w:cs="Times New Roman"/>
          <w:sz w:val="24"/>
          <w:szCs w:val="24"/>
          <w:lang w:eastAsia="en-AU"/>
        </w:rPr>
        <w:t>.</w:t>
      </w:r>
      <w:r w:rsidR="00A65083">
        <w:rPr>
          <w:rFonts w:ascii="Times New Roman" w:eastAsiaTheme="minorEastAsia" w:hAnsi="Times New Roman" w:cs="Times New Roman"/>
          <w:sz w:val="24"/>
          <w:szCs w:val="24"/>
          <w:lang w:eastAsia="en-AU"/>
        </w:rPr>
        <w:t xml:space="preserve"> For example</w:t>
      </w:r>
      <w:r>
        <w:rPr>
          <w:rFonts w:ascii="Times New Roman" w:eastAsiaTheme="minorEastAsia" w:hAnsi="Times New Roman" w:cs="Times New Roman"/>
          <w:sz w:val="24"/>
          <w:szCs w:val="24"/>
          <w:lang w:eastAsia="en-AU"/>
        </w:rPr>
        <w:t xml:space="preserve"> Safeguard 10 imposes requirements on data participants to take reasonable steps to ensure the quality </w:t>
      </w:r>
      <w:r w:rsidR="00FB31ED">
        <w:rPr>
          <w:rFonts w:ascii="Times New Roman" w:eastAsiaTheme="minorEastAsia" w:hAnsi="Times New Roman" w:cs="Times New Roman"/>
          <w:sz w:val="24"/>
          <w:szCs w:val="24"/>
          <w:lang w:eastAsia="en-AU"/>
        </w:rPr>
        <w:t>of data</w:t>
      </w:r>
      <w:r w:rsidR="00A65083">
        <w:rPr>
          <w:rFonts w:ascii="Times New Roman" w:eastAsiaTheme="minorEastAsia" w:hAnsi="Times New Roman" w:cs="Times New Roman"/>
          <w:sz w:val="24"/>
          <w:szCs w:val="24"/>
          <w:lang w:eastAsia="en-AU"/>
        </w:rPr>
        <w:t xml:space="preserve">, </w:t>
      </w:r>
      <w:r w:rsidR="00FB31ED">
        <w:rPr>
          <w:rFonts w:ascii="Times New Roman" w:eastAsiaTheme="minorEastAsia" w:hAnsi="Times New Roman" w:cs="Times New Roman"/>
          <w:sz w:val="24"/>
          <w:szCs w:val="24"/>
          <w:lang w:eastAsia="en-AU"/>
        </w:rPr>
        <w:t xml:space="preserve">and is primarily a safeguard for commercial users of CDR data, with a tenuous connection to privacy. </w:t>
      </w:r>
      <w:r w:rsidR="00A65083">
        <w:rPr>
          <w:rFonts w:ascii="Times New Roman" w:eastAsiaTheme="minorEastAsia" w:hAnsi="Times New Roman" w:cs="Times New Roman"/>
          <w:sz w:val="24"/>
          <w:szCs w:val="24"/>
          <w:lang w:eastAsia="en-AU"/>
        </w:rPr>
        <w:t>Although there is merit in promoting quality control of data, the provision is not relevant to matters of privacy.</w:t>
      </w:r>
    </w:p>
    <w:p w:rsidR="00FB31ED" w:rsidRDefault="00A65083" w:rsidP="0081316D">
      <w:pPr>
        <w:jc w:val="both"/>
        <w:rPr>
          <w:rFonts w:ascii="Times New Roman" w:eastAsiaTheme="minorEastAsia" w:hAnsi="Times New Roman" w:cs="Times New Roman"/>
          <w:sz w:val="24"/>
          <w:szCs w:val="24"/>
          <w:lang w:eastAsia="en-AU"/>
        </w:rPr>
      </w:pPr>
      <w:r>
        <w:rPr>
          <w:rFonts w:ascii="Times New Roman" w:eastAsiaTheme="minorEastAsia" w:hAnsi="Times New Roman" w:cs="Times New Roman"/>
          <w:sz w:val="24"/>
          <w:szCs w:val="24"/>
          <w:lang w:eastAsia="en-AU"/>
        </w:rPr>
        <w:t>The protections provided by some Safeguards</w:t>
      </w:r>
      <w:r w:rsidR="00FB31ED">
        <w:rPr>
          <w:rFonts w:ascii="Times New Roman" w:eastAsiaTheme="minorEastAsia" w:hAnsi="Times New Roman" w:cs="Times New Roman"/>
          <w:sz w:val="24"/>
          <w:szCs w:val="24"/>
          <w:lang w:eastAsia="en-AU"/>
        </w:rPr>
        <w:t xml:space="preserve"> are no greater than those that are already required at law, for example Safeguard 1 requires entities to development policies and procedures to comply with their existing legal obligations established elsewhere with the Bill. </w:t>
      </w:r>
      <w:r>
        <w:rPr>
          <w:rFonts w:ascii="Times New Roman" w:eastAsiaTheme="minorEastAsia" w:hAnsi="Times New Roman" w:cs="Times New Roman"/>
          <w:sz w:val="24"/>
          <w:szCs w:val="24"/>
          <w:lang w:eastAsia="en-AU"/>
        </w:rPr>
        <w:t>The inclusion of this Safeguard is questionable, as it appears to provide no greater protections to consumers than were it not included, and merely imposes a requirement to have a suitably drawn up and public policy about how a business aims to meet their obligations.</w:t>
      </w:r>
    </w:p>
    <w:p w:rsidR="004D213E" w:rsidRDefault="00FB31ED" w:rsidP="00773220">
      <w:pPr>
        <w:jc w:val="both"/>
        <w:rPr>
          <w:rFonts w:ascii="Times New Roman" w:eastAsiaTheme="minorEastAsia" w:hAnsi="Times New Roman" w:cs="Times New Roman"/>
          <w:sz w:val="24"/>
          <w:szCs w:val="24"/>
          <w:lang w:eastAsia="en-AU"/>
        </w:rPr>
      </w:pPr>
      <w:r>
        <w:rPr>
          <w:rFonts w:ascii="Times New Roman" w:eastAsiaTheme="minorEastAsia" w:hAnsi="Times New Roman" w:cs="Times New Roman"/>
          <w:sz w:val="24"/>
          <w:szCs w:val="24"/>
          <w:lang w:eastAsia="en-AU"/>
        </w:rPr>
        <w:t>Finally, the drafting of some Safeguards, such as Safeguard 3 appears incompatible with the underlying intent o</w:t>
      </w:r>
      <w:r w:rsidR="00A65083">
        <w:rPr>
          <w:rFonts w:ascii="Times New Roman" w:eastAsiaTheme="minorEastAsia" w:hAnsi="Times New Roman" w:cs="Times New Roman"/>
          <w:sz w:val="24"/>
          <w:szCs w:val="24"/>
          <w:lang w:eastAsia="en-AU"/>
        </w:rPr>
        <w:t>f the Bill</w:t>
      </w:r>
      <w:r>
        <w:rPr>
          <w:rFonts w:ascii="Times New Roman" w:eastAsiaTheme="minorEastAsia" w:hAnsi="Times New Roman" w:cs="Times New Roman"/>
          <w:sz w:val="24"/>
          <w:szCs w:val="24"/>
          <w:lang w:eastAsia="en-AU"/>
        </w:rPr>
        <w:t>.</w:t>
      </w:r>
      <w:r w:rsidR="00A65083">
        <w:rPr>
          <w:rFonts w:ascii="Times New Roman" w:eastAsiaTheme="minorEastAsia" w:hAnsi="Times New Roman" w:cs="Times New Roman"/>
          <w:sz w:val="24"/>
          <w:szCs w:val="24"/>
          <w:lang w:eastAsia="en-AU"/>
        </w:rPr>
        <w:t xml:space="preserve"> For example,</w:t>
      </w:r>
      <w:r>
        <w:rPr>
          <w:rFonts w:ascii="Times New Roman" w:eastAsiaTheme="minorEastAsia" w:hAnsi="Times New Roman" w:cs="Times New Roman"/>
          <w:sz w:val="24"/>
          <w:szCs w:val="24"/>
          <w:lang w:eastAsia="en-AU"/>
        </w:rPr>
        <w:t xml:space="preserve"> </w:t>
      </w:r>
      <w:r w:rsidR="004D213E">
        <w:rPr>
          <w:rFonts w:ascii="Times New Roman" w:eastAsiaTheme="minorEastAsia" w:hAnsi="Times New Roman" w:cs="Times New Roman"/>
          <w:sz w:val="24"/>
          <w:szCs w:val="24"/>
          <w:lang w:eastAsia="en-AU"/>
        </w:rPr>
        <w:t xml:space="preserve">Safeguard 3 bars data participants from </w:t>
      </w:r>
      <w:r w:rsidR="00780BF3">
        <w:rPr>
          <w:rFonts w:ascii="Times New Roman" w:eastAsiaTheme="minorEastAsia" w:hAnsi="Times New Roman" w:cs="Times New Roman"/>
          <w:sz w:val="24"/>
          <w:szCs w:val="24"/>
          <w:lang w:eastAsia="en-AU"/>
        </w:rPr>
        <w:t>collecting</w:t>
      </w:r>
      <w:r w:rsidR="004D213E">
        <w:rPr>
          <w:rFonts w:ascii="Times New Roman" w:eastAsiaTheme="minorEastAsia" w:hAnsi="Times New Roman" w:cs="Times New Roman"/>
          <w:sz w:val="24"/>
          <w:szCs w:val="24"/>
          <w:lang w:eastAsia="en-AU"/>
        </w:rPr>
        <w:t xml:space="preserve"> CDR data from consumers </w:t>
      </w:r>
      <w:r w:rsidR="00780BF3">
        <w:rPr>
          <w:rFonts w:ascii="Times New Roman" w:eastAsiaTheme="minorEastAsia" w:hAnsi="Times New Roman" w:cs="Times New Roman"/>
          <w:sz w:val="24"/>
          <w:szCs w:val="24"/>
          <w:lang w:eastAsia="en-AU"/>
        </w:rPr>
        <w:t xml:space="preserve">by soliciting them, </w:t>
      </w:r>
      <w:r w:rsidR="004D213E">
        <w:rPr>
          <w:rFonts w:ascii="Times New Roman" w:eastAsiaTheme="minorEastAsia" w:hAnsi="Times New Roman" w:cs="Times New Roman"/>
          <w:sz w:val="24"/>
          <w:szCs w:val="24"/>
          <w:lang w:eastAsia="en-AU"/>
        </w:rPr>
        <w:t>unless a valid request has been made</w:t>
      </w:r>
      <w:r w:rsidR="00780BF3">
        <w:rPr>
          <w:rFonts w:ascii="Times New Roman" w:eastAsiaTheme="minorEastAsia" w:hAnsi="Times New Roman" w:cs="Times New Roman"/>
          <w:sz w:val="24"/>
          <w:szCs w:val="24"/>
          <w:lang w:eastAsia="en-AU"/>
        </w:rPr>
        <w:t xml:space="preserve"> by a consumer for the data</w:t>
      </w:r>
      <w:r w:rsidR="004D213E">
        <w:rPr>
          <w:rFonts w:ascii="Times New Roman" w:eastAsiaTheme="minorEastAsia" w:hAnsi="Times New Roman" w:cs="Times New Roman"/>
          <w:sz w:val="24"/>
          <w:szCs w:val="24"/>
          <w:lang w:eastAsia="en-AU"/>
        </w:rPr>
        <w:t>.</w:t>
      </w:r>
      <w:r w:rsidR="00780BF3">
        <w:rPr>
          <w:rFonts w:ascii="Times New Roman" w:eastAsiaTheme="minorEastAsia" w:hAnsi="Times New Roman" w:cs="Times New Roman"/>
          <w:sz w:val="24"/>
          <w:szCs w:val="24"/>
          <w:lang w:eastAsia="en-AU"/>
        </w:rPr>
        <w:t xml:space="preserve"> </w:t>
      </w:r>
      <w:r w:rsidR="004D213E">
        <w:rPr>
          <w:rFonts w:ascii="Times New Roman" w:eastAsiaTheme="minorEastAsia" w:hAnsi="Times New Roman" w:cs="Times New Roman"/>
          <w:sz w:val="24"/>
          <w:szCs w:val="24"/>
          <w:lang w:eastAsia="en-AU"/>
        </w:rPr>
        <w:t>However, the drafting of this provision is such, that a literal reading would impose a ban on the collection of CDR data p</w:t>
      </w:r>
      <w:r w:rsidR="00A65083">
        <w:rPr>
          <w:rFonts w:ascii="Times New Roman" w:eastAsiaTheme="minorEastAsia" w:hAnsi="Times New Roman" w:cs="Times New Roman"/>
          <w:sz w:val="24"/>
          <w:szCs w:val="24"/>
          <w:lang w:eastAsia="en-AU"/>
        </w:rPr>
        <w:t>rior to a request being received from a consumer.</w:t>
      </w:r>
    </w:p>
    <w:p w:rsidR="004D213E" w:rsidRDefault="004D213E" w:rsidP="00773220">
      <w:pPr>
        <w:jc w:val="both"/>
        <w:rPr>
          <w:rFonts w:ascii="Times New Roman" w:eastAsiaTheme="minorEastAsia" w:hAnsi="Times New Roman" w:cs="Times New Roman"/>
          <w:sz w:val="24"/>
          <w:szCs w:val="24"/>
          <w:lang w:eastAsia="en-AU"/>
        </w:rPr>
      </w:pPr>
      <w:r>
        <w:rPr>
          <w:rFonts w:ascii="Times New Roman" w:eastAsiaTheme="minorEastAsia" w:hAnsi="Times New Roman" w:cs="Times New Roman"/>
          <w:sz w:val="24"/>
          <w:szCs w:val="24"/>
          <w:lang w:eastAsia="en-AU"/>
        </w:rPr>
        <w:t xml:space="preserve">As the words </w:t>
      </w:r>
      <w:r w:rsidR="00780BF3">
        <w:rPr>
          <w:rFonts w:ascii="Times New Roman" w:eastAsiaTheme="minorEastAsia" w:hAnsi="Times New Roman" w:cs="Times New Roman"/>
          <w:b/>
          <w:i/>
          <w:sz w:val="24"/>
          <w:szCs w:val="24"/>
          <w:lang w:eastAsia="en-AU"/>
        </w:rPr>
        <w:t>soliciting</w:t>
      </w:r>
      <w:r w:rsidR="00780BF3">
        <w:rPr>
          <w:rFonts w:ascii="Times New Roman" w:eastAsiaTheme="minorEastAsia" w:hAnsi="Times New Roman" w:cs="Times New Roman"/>
          <w:sz w:val="24"/>
          <w:szCs w:val="24"/>
          <w:lang w:eastAsia="en-AU"/>
        </w:rPr>
        <w:t xml:space="preserve"> and</w:t>
      </w:r>
      <w:r>
        <w:rPr>
          <w:rFonts w:ascii="Times New Roman" w:eastAsiaTheme="minorEastAsia" w:hAnsi="Times New Roman" w:cs="Times New Roman"/>
          <w:sz w:val="24"/>
          <w:szCs w:val="24"/>
          <w:lang w:eastAsia="en-AU"/>
        </w:rPr>
        <w:t xml:space="preserve"> </w:t>
      </w:r>
      <w:r w:rsidR="00780BF3">
        <w:rPr>
          <w:rFonts w:ascii="Times New Roman" w:eastAsiaTheme="minorEastAsia" w:hAnsi="Times New Roman" w:cs="Times New Roman"/>
          <w:b/>
          <w:i/>
          <w:sz w:val="24"/>
          <w:szCs w:val="24"/>
          <w:lang w:eastAsia="en-AU"/>
        </w:rPr>
        <w:t>collect</w:t>
      </w:r>
      <w:r w:rsidR="00780BF3">
        <w:rPr>
          <w:rFonts w:ascii="Times New Roman" w:eastAsiaTheme="minorEastAsia" w:hAnsi="Times New Roman" w:cs="Times New Roman"/>
          <w:sz w:val="24"/>
          <w:szCs w:val="24"/>
          <w:lang w:eastAsia="en-AU"/>
        </w:rPr>
        <w:t xml:space="preserve"> are not</w:t>
      </w:r>
      <w:r>
        <w:rPr>
          <w:rFonts w:ascii="Times New Roman" w:eastAsiaTheme="minorEastAsia" w:hAnsi="Times New Roman" w:cs="Times New Roman"/>
          <w:sz w:val="24"/>
          <w:szCs w:val="24"/>
          <w:lang w:eastAsia="en-AU"/>
        </w:rPr>
        <w:t xml:space="preserve"> defined in the Bill, in the absence of a consumer making a request for CDR data the legislation would impose a ban on the collection of any consumer data that may fall within the definition of CDR data,</w:t>
      </w:r>
      <w:r w:rsidR="001E5100">
        <w:rPr>
          <w:rFonts w:ascii="Times New Roman" w:eastAsiaTheme="minorEastAsia" w:hAnsi="Times New Roman" w:cs="Times New Roman"/>
          <w:sz w:val="24"/>
          <w:szCs w:val="24"/>
          <w:lang w:eastAsia="en-AU"/>
        </w:rPr>
        <w:t xml:space="preserve"> by any accredited data holder,</w:t>
      </w:r>
      <w:r>
        <w:rPr>
          <w:rFonts w:ascii="Times New Roman" w:eastAsiaTheme="minorEastAsia" w:hAnsi="Times New Roman" w:cs="Times New Roman"/>
          <w:sz w:val="24"/>
          <w:szCs w:val="24"/>
          <w:lang w:eastAsia="en-AU"/>
        </w:rPr>
        <w:t xml:space="preserve"> as defined as part of the rule-making process. </w:t>
      </w:r>
      <w:r w:rsidR="001E5100">
        <w:rPr>
          <w:rFonts w:ascii="Times New Roman" w:eastAsiaTheme="minorEastAsia" w:hAnsi="Times New Roman" w:cs="Times New Roman"/>
          <w:sz w:val="24"/>
          <w:szCs w:val="24"/>
          <w:lang w:eastAsia="en-AU"/>
        </w:rPr>
        <w:t>This ban would be effective over data currently being collected as part of ordinary commercial processes.</w:t>
      </w:r>
    </w:p>
    <w:p w:rsidR="004A4A20" w:rsidRDefault="004A4A20" w:rsidP="00773220">
      <w:pPr>
        <w:jc w:val="both"/>
        <w:rPr>
          <w:rFonts w:ascii="Times New Roman" w:eastAsiaTheme="minorEastAsia" w:hAnsi="Times New Roman" w:cs="Times New Roman"/>
          <w:sz w:val="24"/>
          <w:szCs w:val="24"/>
          <w:lang w:eastAsia="en-AU"/>
        </w:rPr>
      </w:pPr>
      <w:r w:rsidRPr="00DD0AEA">
        <w:rPr>
          <w:rFonts w:ascii="Calibri" w:eastAsiaTheme="minorEastAsia" w:hAnsi="Calibri"/>
          <w:noProof/>
          <w:color w:val="000000" w:themeColor="text1"/>
          <w:sz w:val="24"/>
        </w:rPr>
        <mc:AlternateContent>
          <mc:Choice Requires="wps">
            <w:drawing>
              <wp:anchor distT="0" distB="0" distL="114300" distR="114300" simplePos="0" relativeHeight="251777024" behindDoc="0" locked="0" layoutInCell="1" allowOverlap="1" wp14:anchorId="0DA4222D" wp14:editId="6CBFDBDB">
                <wp:simplePos x="0" y="0"/>
                <wp:positionH relativeFrom="column">
                  <wp:posOffset>0</wp:posOffset>
                </wp:positionH>
                <wp:positionV relativeFrom="paragraph">
                  <wp:posOffset>6559</wp:posOffset>
                </wp:positionV>
                <wp:extent cx="5720080" cy="996286"/>
                <wp:effectExtent l="0" t="0" r="13970" b="13970"/>
                <wp:wrapNone/>
                <wp:docPr id="46" name="Text Box 46"/>
                <wp:cNvGraphicFramePr/>
                <a:graphic xmlns:a="http://schemas.openxmlformats.org/drawingml/2006/main">
                  <a:graphicData uri="http://schemas.microsoft.com/office/word/2010/wordprocessingShape">
                    <wps:wsp>
                      <wps:cNvSpPr txBox="1"/>
                      <wps:spPr>
                        <a:xfrm>
                          <a:off x="0" y="0"/>
                          <a:ext cx="5720080" cy="996286"/>
                        </a:xfrm>
                        <a:prstGeom prst="rect">
                          <a:avLst/>
                        </a:prstGeom>
                        <a:solidFill>
                          <a:sysClr val="window" lastClr="FFFFFF"/>
                        </a:solidFill>
                        <a:ln w="6350">
                          <a:solidFill>
                            <a:srgbClr val="00B0F0"/>
                          </a:solidFill>
                        </a:ln>
                      </wps:spPr>
                      <wps:txbx>
                        <w:txbxContent>
                          <w:p w:rsidR="00DD5468" w:rsidRPr="001410E8" w:rsidRDefault="00DD5468" w:rsidP="001717EA">
                            <w:pPr>
                              <w:rPr>
                                <w:rFonts w:ascii="Times New Roman" w:hAnsi="Times New Roman" w:cs="Times New Roman"/>
                                <w:b/>
                              </w:rPr>
                            </w:pPr>
                            <w:r w:rsidRPr="001410E8">
                              <w:rPr>
                                <w:rFonts w:ascii="Times New Roman" w:hAnsi="Times New Roman" w:cs="Times New Roman"/>
                                <w:b/>
                              </w:rPr>
                              <w:t>Recomm</w:t>
                            </w:r>
                            <w:r>
                              <w:rPr>
                                <w:rFonts w:ascii="Times New Roman" w:hAnsi="Times New Roman" w:cs="Times New Roman"/>
                                <w:b/>
                              </w:rPr>
                              <w:t>endation 7</w:t>
                            </w:r>
                          </w:p>
                          <w:p w:rsidR="00DD5468" w:rsidRPr="00204433" w:rsidRDefault="00DD5468" w:rsidP="004A4A20">
                            <w:pPr>
                              <w:jc w:val="both"/>
                              <w:rPr>
                                <w:rFonts w:ascii="Times New Roman" w:hAnsi="Times New Roman" w:cs="Times New Roman"/>
                                <w:i/>
                                <w:sz w:val="20"/>
                              </w:rPr>
                            </w:pPr>
                            <w:r>
                              <w:rPr>
                                <w:rFonts w:ascii="Times New Roman" w:hAnsi="Times New Roman" w:cs="Times New Roman"/>
                                <w:i/>
                              </w:rPr>
                              <w:t>That s56EF be amended to ensure that it protects consumers from the collection of their data without consent, and that collect and soliciting be appropriately defined so as to not place a general bar on the collection of 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6" o:spid="_x0000_s1050" type="#_x0000_t202" style="position:absolute;left:0;text-align:left;margin-left:0;margin-top:.5pt;width:450.4pt;height:78.4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" fillcolor="window" strokecolor="#00b0f0" strokeweight=".5pt">
                <v:textbox>
                  <w:txbxContent>
                    <w:p w:rsidR="00DD5468" w:rsidRPr="001410E8" w:rsidRDefault="00DD5468" w:rsidP="001717EA">
                      <w:pPr>
                        <w:rPr>
                          <w:rFonts w:ascii="Times New Roman" w:hAnsi="Times New Roman" w:cs="Times New Roman"/>
                          <w:b/>
                        </w:rPr>
                      </w:pPr>
                      <w:r w:rsidRPr="001410E8">
                        <w:rPr>
                          <w:rFonts w:ascii="Times New Roman" w:hAnsi="Times New Roman" w:cs="Times New Roman"/>
                          <w:b/>
                        </w:rPr>
                        <w:t>Recomm</w:t>
                      </w:r>
                      <w:r>
                        <w:rPr>
                          <w:rFonts w:ascii="Times New Roman" w:hAnsi="Times New Roman" w:cs="Times New Roman"/>
                          <w:b/>
                        </w:rPr>
                        <w:t>endation 7</w:t>
                      </w:r>
                    </w:p>
                    <w:p w:rsidR="00DD5468" w:rsidRPr="00204433" w:rsidRDefault="00DD5468" w:rsidP="004A4A20">
                      <w:pPr>
                        <w:jc w:val="both"/>
                        <w:rPr>
                          <w:rFonts w:ascii="Times New Roman" w:hAnsi="Times New Roman" w:cs="Times New Roman"/>
                          <w:i/>
                          <w:sz w:val="20"/>
                        </w:rPr>
                      </w:pPr>
                      <w:r>
                        <w:rPr>
                          <w:rFonts w:ascii="Times New Roman" w:hAnsi="Times New Roman" w:cs="Times New Roman"/>
                          <w:i/>
                        </w:rPr>
                        <w:t>That s56EF be amended to ensure that it protects consumers from the collection of their data without consent, and that collect and soliciting be appropriately defined so as to not place a general bar on the collection of data.</w:t>
                      </w:r>
                    </w:p>
                  </w:txbxContent>
                </v:textbox>
              </v:shape>
            </w:pict>
          </mc:Fallback>
        </mc:AlternateContent>
      </w:r>
    </w:p>
    <w:p w:rsidR="004A4A20" w:rsidRDefault="004A4A20" w:rsidP="00773220">
      <w:pPr>
        <w:jc w:val="both"/>
        <w:rPr>
          <w:rFonts w:ascii="Times New Roman" w:eastAsiaTheme="minorEastAsia" w:hAnsi="Times New Roman" w:cs="Times New Roman"/>
          <w:sz w:val="24"/>
          <w:szCs w:val="24"/>
          <w:lang w:eastAsia="en-AU"/>
        </w:rPr>
      </w:pPr>
    </w:p>
    <w:p w:rsidR="004A4A20" w:rsidRPr="00773220" w:rsidRDefault="004A4A20" w:rsidP="00773220">
      <w:pPr>
        <w:jc w:val="both"/>
        <w:rPr>
          <w:rFonts w:ascii="Times New Roman" w:eastAsiaTheme="minorEastAsia" w:hAnsi="Times New Roman" w:cs="Times New Roman"/>
          <w:sz w:val="24"/>
          <w:szCs w:val="24"/>
          <w:lang w:eastAsia="en-AU"/>
        </w:rPr>
      </w:pPr>
    </w:p>
    <w:p w:rsidR="004F3578" w:rsidRDefault="004F3578" w:rsidP="00A07B6E">
      <w:pPr>
        <w:spacing w:before="100" w:beforeAutospacing="1" w:after="100" w:afterAutospacing="1"/>
        <w:jc w:val="both"/>
        <w:rPr>
          <w:rFonts w:ascii="Times New Roman" w:eastAsiaTheme="minorEastAsia" w:hAnsi="Times New Roman" w:cs="Times New Roman"/>
          <w:sz w:val="24"/>
          <w:szCs w:val="24"/>
          <w:lang w:val="en-AU" w:eastAsia="en-AU"/>
        </w:rPr>
      </w:pPr>
      <w:r>
        <w:rPr>
          <w:rFonts w:ascii="Times New Roman" w:eastAsiaTheme="minorEastAsia" w:hAnsi="Times New Roman" w:cs="Times New Roman"/>
          <w:sz w:val="24"/>
          <w:szCs w:val="24"/>
          <w:lang w:val="en-AU" w:eastAsia="en-AU"/>
        </w:rPr>
        <w:lastRenderedPageBreak/>
        <w:t xml:space="preserve">In the absence of rules setting out how the Privacy Safeguards will be applied in a telecommunications context it is difficult to draw a favourable conclusion that they will be sufficient to ensure that consumers are protected. </w:t>
      </w:r>
      <w:r w:rsidR="0021693D">
        <w:rPr>
          <w:rFonts w:ascii="Times New Roman" w:hAnsi="Times New Roman" w:cs="Times New Roman"/>
          <w:color w:val="000000" w:themeColor="text1"/>
          <w:sz w:val="24"/>
          <w:szCs w:val="24"/>
          <w:lang w:val="en-AU"/>
        </w:rPr>
        <w:t xml:space="preserve">ACCAN supports the submission of the Financial Rights Legal Centre, which provides more detailed comments on the drafting of specific aspects of the individual Privacy Safeguards. </w:t>
      </w:r>
    </w:p>
    <w:p w:rsidR="00A31B67" w:rsidRPr="00773220" w:rsidRDefault="00A31B67" w:rsidP="00773220">
      <w:pPr>
        <w:spacing w:before="100" w:beforeAutospacing="1" w:after="100" w:afterAutospacing="1" w:line="360" w:lineRule="auto"/>
        <w:jc w:val="both"/>
        <w:rPr>
          <w:rFonts w:ascii="Arial" w:eastAsiaTheme="minorEastAsia" w:hAnsi="Arial" w:cs="Arial"/>
          <w:b/>
          <w:sz w:val="32"/>
          <w:szCs w:val="32"/>
          <w:lang w:val="en-AU" w:eastAsia="en-AU"/>
        </w:rPr>
      </w:pPr>
      <w:r>
        <w:rPr>
          <w:rFonts w:ascii="Arial" w:eastAsiaTheme="minorEastAsia" w:hAnsi="Arial" w:cs="Arial"/>
          <w:b/>
          <w:sz w:val="32"/>
          <w:szCs w:val="32"/>
          <w:lang w:val="en-AU" w:eastAsia="en-AU"/>
        </w:rPr>
        <w:t>The scope of</w:t>
      </w:r>
      <w:r w:rsidRPr="00A31B67">
        <w:rPr>
          <w:rFonts w:ascii="Arial" w:eastAsiaTheme="minorEastAsia" w:hAnsi="Arial" w:cs="Arial"/>
          <w:b/>
          <w:sz w:val="32"/>
          <w:szCs w:val="32"/>
          <w:lang w:val="en-AU" w:eastAsia="en-AU"/>
        </w:rPr>
        <w:t xml:space="preserve"> </w:t>
      </w:r>
      <w:r>
        <w:rPr>
          <w:rFonts w:ascii="Arial" w:eastAsiaTheme="minorEastAsia" w:hAnsi="Arial" w:cs="Arial"/>
          <w:b/>
          <w:sz w:val="32"/>
          <w:szCs w:val="32"/>
          <w:lang w:val="en-AU" w:eastAsia="en-AU"/>
        </w:rPr>
        <w:t>CDR privacy protections</w:t>
      </w:r>
    </w:p>
    <w:p w:rsidR="005E24C0" w:rsidRDefault="00B6570E" w:rsidP="00A07B6E">
      <w:pPr>
        <w:spacing w:before="100" w:beforeAutospacing="1" w:after="100" w:afterAutospacing="1"/>
        <w:jc w:val="both"/>
        <w:rPr>
          <w:rFonts w:ascii="Times New Roman" w:hAnsi="Times New Roman" w:cs="Times New Roman"/>
          <w:color w:val="000000" w:themeColor="text1"/>
          <w:sz w:val="24"/>
          <w:szCs w:val="24"/>
          <w:lang w:val="en-AU"/>
        </w:rPr>
      </w:pPr>
      <w:r>
        <w:rPr>
          <w:rFonts w:ascii="Times New Roman" w:eastAsiaTheme="minorEastAsia" w:hAnsi="Times New Roman" w:cs="Times New Roman"/>
          <w:sz w:val="24"/>
          <w:szCs w:val="24"/>
          <w:lang w:val="en-AU" w:eastAsia="en-AU"/>
        </w:rPr>
        <w:t xml:space="preserve">The </w:t>
      </w:r>
      <w:r w:rsidR="00780BF3">
        <w:rPr>
          <w:rFonts w:ascii="Times New Roman" w:eastAsiaTheme="minorEastAsia" w:hAnsi="Times New Roman" w:cs="Times New Roman"/>
          <w:sz w:val="24"/>
          <w:szCs w:val="24"/>
          <w:lang w:val="en-AU" w:eastAsia="en-AU"/>
        </w:rPr>
        <w:t>scope of the protections provided under the Bill is</w:t>
      </w:r>
      <w:r>
        <w:rPr>
          <w:rFonts w:ascii="Times New Roman" w:hAnsi="Times New Roman" w:cs="Times New Roman"/>
          <w:color w:val="000000" w:themeColor="text1"/>
          <w:sz w:val="24"/>
          <w:szCs w:val="24"/>
          <w:lang w:val="en-AU"/>
        </w:rPr>
        <w:t xml:space="preserve"> exceptionally </w:t>
      </w:r>
      <w:r w:rsidR="001447F9">
        <w:rPr>
          <w:rFonts w:ascii="Times New Roman" w:hAnsi="Times New Roman" w:cs="Times New Roman"/>
          <w:color w:val="000000" w:themeColor="text1"/>
          <w:sz w:val="24"/>
          <w:szCs w:val="24"/>
          <w:lang w:val="en-AU"/>
        </w:rPr>
        <w:t>limited and</w:t>
      </w:r>
      <w:r>
        <w:rPr>
          <w:rFonts w:ascii="Times New Roman" w:hAnsi="Times New Roman" w:cs="Times New Roman"/>
          <w:color w:val="000000" w:themeColor="text1"/>
          <w:sz w:val="24"/>
          <w:szCs w:val="24"/>
          <w:lang w:val="en-AU"/>
        </w:rPr>
        <w:t xml:space="preserve"> will only apply when a consumer has reques</w:t>
      </w:r>
      <w:r w:rsidR="00EB22E6">
        <w:rPr>
          <w:rFonts w:ascii="Times New Roman" w:hAnsi="Times New Roman" w:cs="Times New Roman"/>
          <w:color w:val="000000" w:themeColor="text1"/>
          <w:sz w:val="24"/>
          <w:szCs w:val="24"/>
          <w:lang w:val="en-AU"/>
        </w:rPr>
        <w:t xml:space="preserve">ted the transfer of their data. </w:t>
      </w:r>
      <w:r w:rsidR="005E24C0">
        <w:rPr>
          <w:rFonts w:ascii="Times New Roman" w:hAnsi="Times New Roman" w:cs="Times New Roman"/>
          <w:color w:val="000000" w:themeColor="text1"/>
          <w:sz w:val="24"/>
          <w:szCs w:val="24"/>
          <w:lang w:val="en-AU"/>
        </w:rPr>
        <w:t xml:space="preserve">Although the effect of many of the privacy principles outlined </w:t>
      </w:r>
      <w:r w:rsidR="006524FE">
        <w:rPr>
          <w:rFonts w:ascii="Times New Roman" w:hAnsi="Times New Roman" w:cs="Times New Roman"/>
          <w:color w:val="000000" w:themeColor="text1"/>
          <w:sz w:val="24"/>
          <w:szCs w:val="24"/>
          <w:lang w:val="en-AU"/>
        </w:rPr>
        <w:t xml:space="preserve">within the </w:t>
      </w:r>
      <w:r w:rsidR="00E02478">
        <w:rPr>
          <w:rFonts w:ascii="Times New Roman" w:hAnsi="Times New Roman" w:cs="Times New Roman"/>
          <w:color w:val="000000" w:themeColor="text1"/>
          <w:sz w:val="24"/>
          <w:szCs w:val="24"/>
          <w:lang w:val="en-AU"/>
        </w:rPr>
        <w:t>draft legislation would provide material protections to consumers, the scope of application is too limited for these measures to be effective.</w:t>
      </w:r>
    </w:p>
    <w:p w:rsidR="00344CDC" w:rsidRDefault="00EB22E6" w:rsidP="00A07B6E">
      <w:pPr>
        <w:spacing w:before="100" w:beforeAutospacing="1" w:after="100" w:afterAutospacing="1"/>
        <w:jc w:val="both"/>
        <w:rPr>
          <w:rFonts w:ascii="Times New Roman" w:hAnsi="Times New Roman" w:cs="Times New Roman"/>
          <w:color w:val="000000" w:themeColor="text1"/>
          <w:sz w:val="24"/>
          <w:szCs w:val="24"/>
          <w:lang w:val="en-AU"/>
        </w:rPr>
      </w:pPr>
      <w:r>
        <w:rPr>
          <w:rFonts w:ascii="Times New Roman" w:hAnsi="Times New Roman" w:cs="Times New Roman"/>
          <w:color w:val="000000" w:themeColor="text1"/>
          <w:sz w:val="24"/>
          <w:szCs w:val="24"/>
          <w:lang w:val="en-AU"/>
        </w:rPr>
        <w:t>For most consumers, t</w:t>
      </w:r>
      <w:r w:rsidR="006524FE">
        <w:rPr>
          <w:rFonts w:ascii="Times New Roman" w:hAnsi="Times New Roman" w:cs="Times New Roman"/>
          <w:color w:val="000000" w:themeColor="text1"/>
          <w:sz w:val="24"/>
          <w:szCs w:val="24"/>
          <w:lang w:val="en-AU"/>
        </w:rPr>
        <w:t xml:space="preserve">he limited scope of the CDR privacy protections is unlikely to be sufficient to engender confidence in </w:t>
      </w:r>
      <w:r w:rsidR="00A36126">
        <w:rPr>
          <w:rFonts w:ascii="Times New Roman" w:hAnsi="Times New Roman" w:cs="Times New Roman"/>
          <w:color w:val="000000" w:themeColor="text1"/>
          <w:sz w:val="24"/>
          <w:szCs w:val="24"/>
          <w:lang w:val="en-AU"/>
        </w:rPr>
        <w:t xml:space="preserve">the </w:t>
      </w:r>
      <w:r w:rsidR="006524FE">
        <w:rPr>
          <w:rFonts w:ascii="Times New Roman" w:hAnsi="Times New Roman" w:cs="Times New Roman"/>
          <w:color w:val="000000" w:themeColor="text1"/>
          <w:sz w:val="24"/>
          <w:szCs w:val="24"/>
          <w:lang w:val="en-AU"/>
        </w:rPr>
        <w:t xml:space="preserve">capacity of the system to protect their personal information. </w:t>
      </w:r>
      <w:r w:rsidR="00DC76AF">
        <w:rPr>
          <w:rFonts w:ascii="Times New Roman" w:hAnsi="Times New Roman" w:cs="Times New Roman"/>
          <w:color w:val="000000" w:themeColor="text1"/>
          <w:sz w:val="24"/>
          <w:szCs w:val="24"/>
          <w:lang w:val="en-AU"/>
        </w:rPr>
        <w:t>This may result in significantly lower benefits being realised as a consequence.</w:t>
      </w:r>
      <w:r w:rsidR="00344CDC">
        <w:rPr>
          <w:rFonts w:ascii="Times New Roman" w:hAnsi="Times New Roman" w:cs="Times New Roman"/>
          <w:color w:val="000000" w:themeColor="text1"/>
          <w:sz w:val="24"/>
          <w:szCs w:val="24"/>
          <w:lang w:val="en-AU"/>
        </w:rPr>
        <w:t xml:space="preserve"> </w:t>
      </w:r>
    </w:p>
    <w:p w:rsidR="00564BCB" w:rsidRPr="0067666A" w:rsidRDefault="00564BCB" w:rsidP="00564BCB">
      <w:pPr>
        <w:spacing w:line="360" w:lineRule="auto"/>
        <w:jc w:val="both"/>
        <w:rPr>
          <w:rFonts w:ascii="Arial" w:eastAsia="Arial Unicode MS" w:hAnsi="Arial" w:cs="Arial"/>
          <w:color w:val="000000" w:themeColor="text1"/>
          <w:sz w:val="28"/>
          <w:lang w:val="en-IE" w:eastAsia="en-AU" w:bidi="hi-IN"/>
        </w:rPr>
      </w:pPr>
      <w:r w:rsidRPr="0067666A">
        <w:rPr>
          <w:rFonts w:ascii="Arial" w:eastAsia="Arial Unicode MS" w:hAnsi="Arial" w:cs="Arial"/>
          <w:color w:val="000000" w:themeColor="text1"/>
          <w:sz w:val="28"/>
          <w:lang w:val="en-IE" w:eastAsia="en-AU" w:bidi="hi-IN"/>
        </w:rPr>
        <w:t>The circle of trust</w:t>
      </w:r>
    </w:p>
    <w:p w:rsidR="00A927A2" w:rsidRDefault="009D2CA2" w:rsidP="00A07B6E">
      <w:pPr>
        <w:spacing w:before="100" w:beforeAutospacing="1" w:after="100" w:afterAutospacing="1"/>
        <w:jc w:val="both"/>
        <w:rPr>
          <w:rFonts w:ascii="Times New Roman" w:eastAsia="Arial Unicode MS" w:hAnsi="Times New Roman" w:cs="Times New Roman"/>
          <w:sz w:val="24"/>
          <w:lang w:val="en-IE" w:eastAsia="en-AU" w:bidi="hi-IN"/>
        </w:rPr>
      </w:pPr>
      <w:r>
        <w:rPr>
          <w:rFonts w:ascii="Times New Roman" w:eastAsia="Arial Unicode MS" w:hAnsi="Times New Roman" w:cs="Times New Roman"/>
          <w:sz w:val="24"/>
          <w:lang w:val="en-IE" w:eastAsia="en-AU" w:bidi="hi-IN"/>
        </w:rPr>
        <w:t xml:space="preserve">The privacy protections set out in the </w:t>
      </w:r>
      <w:r w:rsidR="00F46A19">
        <w:rPr>
          <w:rFonts w:ascii="Times New Roman" w:eastAsia="Arial Unicode MS" w:hAnsi="Times New Roman" w:cs="Times New Roman"/>
          <w:sz w:val="24"/>
          <w:lang w:val="en-IE" w:eastAsia="en-AU" w:bidi="hi-IN"/>
        </w:rPr>
        <w:t>Bill</w:t>
      </w:r>
      <w:r>
        <w:rPr>
          <w:rFonts w:ascii="Times New Roman" w:eastAsia="Arial Unicode MS" w:hAnsi="Times New Roman" w:cs="Times New Roman"/>
          <w:sz w:val="24"/>
          <w:lang w:val="en-IE" w:eastAsia="en-AU" w:bidi="hi-IN"/>
        </w:rPr>
        <w:t xml:space="preserve"> only impose obligations to maintain and protect privacy for accredited </w:t>
      </w:r>
      <w:r w:rsidR="0067666A">
        <w:rPr>
          <w:rFonts w:ascii="Times New Roman" w:eastAsia="Arial Unicode MS" w:hAnsi="Times New Roman" w:cs="Times New Roman"/>
          <w:sz w:val="24"/>
          <w:lang w:val="en-IE" w:eastAsia="en-AU" w:bidi="hi-IN"/>
        </w:rPr>
        <w:t xml:space="preserve">data holders and recipients. </w:t>
      </w:r>
      <w:r w:rsidR="00FE0015">
        <w:rPr>
          <w:rFonts w:ascii="Times New Roman" w:eastAsia="Arial Unicode MS" w:hAnsi="Times New Roman" w:cs="Times New Roman"/>
          <w:sz w:val="24"/>
          <w:lang w:val="en-IE" w:eastAsia="en-AU" w:bidi="hi-IN"/>
        </w:rPr>
        <w:t>This in effect creates</w:t>
      </w:r>
      <w:r w:rsidR="00A927A2">
        <w:rPr>
          <w:rFonts w:ascii="Times New Roman" w:eastAsia="Arial Unicode MS" w:hAnsi="Times New Roman" w:cs="Times New Roman"/>
          <w:sz w:val="24"/>
          <w:lang w:val="en-IE" w:eastAsia="en-AU" w:bidi="hi-IN"/>
        </w:rPr>
        <w:t xml:space="preserve"> a commun</w:t>
      </w:r>
      <w:r w:rsidR="00442900">
        <w:rPr>
          <w:rFonts w:ascii="Times New Roman" w:eastAsia="Arial Unicode MS" w:hAnsi="Times New Roman" w:cs="Times New Roman"/>
          <w:sz w:val="24"/>
          <w:lang w:val="en-IE" w:eastAsia="en-AU" w:bidi="hi-IN"/>
        </w:rPr>
        <w:t xml:space="preserve">ity of trusted entities who are required to deal with data that is being transferred and communicated within </w:t>
      </w:r>
      <w:r w:rsidR="00FE0015">
        <w:rPr>
          <w:rFonts w:ascii="Times New Roman" w:eastAsia="Arial Unicode MS" w:hAnsi="Times New Roman" w:cs="Times New Roman"/>
          <w:sz w:val="24"/>
          <w:lang w:val="en-IE" w:eastAsia="en-AU" w:bidi="hi-IN"/>
        </w:rPr>
        <w:t xml:space="preserve">the system, and are subject to enhanced privacy protections. </w:t>
      </w:r>
    </w:p>
    <w:p w:rsidR="001C1418" w:rsidRPr="0057425E" w:rsidRDefault="00573104" w:rsidP="008F601D">
      <w:pPr>
        <w:spacing w:before="100" w:beforeAutospacing="1" w:after="100" w:afterAutospacing="1"/>
        <w:jc w:val="both"/>
        <w:rPr>
          <w:rFonts w:ascii="Times New Roman" w:eastAsia="Arial Unicode MS" w:hAnsi="Times New Roman" w:cs="Times New Roman"/>
          <w:color w:val="000000" w:themeColor="text1"/>
          <w:sz w:val="24"/>
          <w:szCs w:val="24"/>
          <w:lang w:val="en-IE" w:eastAsia="en-AU" w:bidi="hi-IN"/>
        </w:rPr>
      </w:pPr>
      <w:r>
        <w:rPr>
          <w:rFonts w:ascii="Times New Roman" w:eastAsia="Arial Unicode MS" w:hAnsi="Times New Roman" w:cs="Times New Roman"/>
          <w:sz w:val="24"/>
          <w:lang w:val="en-IE" w:eastAsia="en-AU" w:bidi="hi-IN"/>
        </w:rPr>
        <w:t xml:space="preserve">These enhanced privacy safeguards </w:t>
      </w:r>
      <w:r w:rsidR="0044583A">
        <w:rPr>
          <w:rFonts w:ascii="Times New Roman" w:eastAsia="Arial Unicode MS" w:hAnsi="Times New Roman" w:cs="Times New Roman"/>
          <w:sz w:val="24"/>
          <w:lang w:val="en-IE" w:eastAsia="en-AU" w:bidi="hi-IN"/>
        </w:rPr>
        <w:t xml:space="preserve">will </w:t>
      </w:r>
      <w:r>
        <w:rPr>
          <w:rFonts w:ascii="Times New Roman" w:eastAsia="Arial Unicode MS" w:hAnsi="Times New Roman" w:cs="Times New Roman"/>
          <w:sz w:val="24"/>
          <w:lang w:val="en-IE" w:eastAsia="en-AU" w:bidi="hi-IN"/>
        </w:rPr>
        <w:t xml:space="preserve">only apply to data within the system that has been transferred as a result of a consumer seeking to exercise their data rights. </w:t>
      </w:r>
      <w:r w:rsidR="00842EE4">
        <w:rPr>
          <w:rFonts w:ascii="Times New Roman" w:eastAsia="Arial Unicode MS" w:hAnsi="Times New Roman" w:cs="Times New Roman"/>
          <w:sz w:val="24"/>
          <w:lang w:val="en-IE" w:eastAsia="en-AU" w:bidi="hi-IN"/>
        </w:rPr>
        <w:t>However, the protections do not</w:t>
      </w:r>
      <w:r w:rsidR="0007060B">
        <w:rPr>
          <w:rFonts w:ascii="Times New Roman" w:eastAsia="Arial Unicode MS" w:hAnsi="Times New Roman" w:cs="Times New Roman"/>
          <w:sz w:val="24"/>
          <w:lang w:val="en-IE" w:eastAsia="en-AU" w:bidi="hi-IN"/>
        </w:rPr>
        <w:t xml:space="preserve"> apply to data generally held by</w:t>
      </w:r>
      <w:r w:rsidR="00842EE4">
        <w:rPr>
          <w:rFonts w:ascii="Times New Roman" w:eastAsia="Arial Unicode MS" w:hAnsi="Times New Roman" w:cs="Times New Roman"/>
          <w:sz w:val="24"/>
          <w:lang w:val="en-IE" w:eastAsia="en-AU" w:bidi="hi-IN"/>
        </w:rPr>
        <w:t xml:space="preserve"> </w:t>
      </w:r>
      <w:r w:rsidR="00842EE4" w:rsidRPr="0007060B">
        <w:rPr>
          <w:rFonts w:ascii="Times New Roman" w:eastAsia="Arial Unicode MS" w:hAnsi="Times New Roman" w:cs="Times New Roman"/>
          <w:sz w:val="24"/>
          <w:lang w:val="en-IE" w:eastAsia="en-AU" w:bidi="hi-IN"/>
        </w:rPr>
        <w:t>accredit</w:t>
      </w:r>
      <w:r w:rsidR="0007060B">
        <w:rPr>
          <w:rFonts w:ascii="Times New Roman" w:eastAsia="Arial Unicode MS" w:hAnsi="Times New Roman" w:cs="Times New Roman"/>
          <w:sz w:val="24"/>
          <w:lang w:val="en-IE" w:eastAsia="en-AU" w:bidi="hi-IN"/>
        </w:rPr>
        <w:t>ed</w:t>
      </w:r>
      <w:r w:rsidR="0007060B" w:rsidRPr="0007060B">
        <w:rPr>
          <w:rFonts w:ascii="Times New Roman" w:eastAsia="Arial Unicode MS" w:hAnsi="Times New Roman" w:cs="Times New Roman"/>
          <w:sz w:val="24"/>
          <w:lang w:val="en-IE" w:eastAsia="en-AU" w:bidi="hi-IN"/>
        </w:rPr>
        <w:t xml:space="preserve"> data holders or</w:t>
      </w:r>
      <w:r w:rsidR="00F331F3" w:rsidRPr="0007060B">
        <w:rPr>
          <w:rFonts w:ascii="Times New Roman" w:eastAsia="Arial Unicode MS" w:hAnsi="Times New Roman" w:cs="Times New Roman"/>
          <w:sz w:val="24"/>
          <w:lang w:val="en-IE" w:eastAsia="en-AU" w:bidi="hi-IN"/>
        </w:rPr>
        <w:t xml:space="preserve"> recipients</w:t>
      </w:r>
      <w:r w:rsidR="0007060B" w:rsidRPr="0007060B">
        <w:rPr>
          <w:rFonts w:ascii="Times New Roman" w:eastAsia="Arial Unicode MS" w:hAnsi="Times New Roman" w:cs="Times New Roman"/>
          <w:sz w:val="24"/>
          <w:lang w:val="en-IE" w:eastAsia="en-AU" w:bidi="hi-IN"/>
        </w:rPr>
        <w:t xml:space="preserve"> of consumer data</w:t>
      </w:r>
      <w:r w:rsidR="00F331F3" w:rsidRPr="0007060B">
        <w:rPr>
          <w:rFonts w:ascii="Times New Roman" w:eastAsia="Arial Unicode MS" w:hAnsi="Times New Roman" w:cs="Times New Roman"/>
          <w:sz w:val="24"/>
          <w:lang w:val="en-IE" w:eastAsia="en-AU" w:bidi="hi-IN"/>
        </w:rPr>
        <w:t xml:space="preserve">, which will continue to be protected under the provisions of the </w:t>
      </w:r>
      <w:r w:rsidR="00F331F3" w:rsidRPr="0007060B">
        <w:rPr>
          <w:rFonts w:ascii="Times New Roman" w:eastAsia="Arial Unicode MS" w:hAnsi="Times New Roman" w:cs="Times New Roman"/>
          <w:i/>
          <w:sz w:val="24"/>
          <w:lang w:val="en-IE" w:eastAsia="en-AU" w:bidi="hi-IN"/>
        </w:rPr>
        <w:t xml:space="preserve">Privacy Act 1988 </w:t>
      </w:r>
      <w:r w:rsidR="00F442A5" w:rsidRPr="0007060B">
        <w:rPr>
          <w:rFonts w:ascii="Times New Roman" w:eastAsia="Arial Unicode MS" w:hAnsi="Times New Roman" w:cs="Times New Roman"/>
          <w:sz w:val="24"/>
          <w:lang w:val="en-IE" w:eastAsia="en-AU" w:bidi="hi-IN"/>
        </w:rPr>
        <w:t>(</w:t>
      </w:r>
      <w:proofErr w:type="spellStart"/>
      <w:r w:rsidR="00F442A5" w:rsidRPr="0007060B">
        <w:rPr>
          <w:rFonts w:ascii="Times New Roman" w:eastAsia="Arial Unicode MS" w:hAnsi="Times New Roman" w:cs="Times New Roman"/>
          <w:sz w:val="24"/>
          <w:lang w:val="en-IE" w:eastAsia="en-AU" w:bidi="hi-IN"/>
        </w:rPr>
        <w:t>Cth</w:t>
      </w:r>
      <w:proofErr w:type="spellEnd"/>
      <w:r w:rsidR="00F442A5" w:rsidRPr="0007060B">
        <w:rPr>
          <w:rFonts w:ascii="Times New Roman" w:eastAsia="Arial Unicode MS" w:hAnsi="Times New Roman" w:cs="Times New Roman"/>
          <w:sz w:val="24"/>
          <w:lang w:val="en-IE" w:eastAsia="en-AU" w:bidi="hi-IN"/>
        </w:rPr>
        <w:t xml:space="preserve">) and the comparatively weak provisions of the </w:t>
      </w:r>
      <w:r w:rsidR="00F442A5">
        <w:rPr>
          <w:rFonts w:ascii="Times New Roman" w:eastAsia="Arial Unicode MS" w:hAnsi="Times New Roman" w:cs="Times New Roman"/>
          <w:sz w:val="24"/>
          <w:lang w:val="en-IE" w:eastAsia="en-AU" w:bidi="hi-IN"/>
        </w:rPr>
        <w:t>Australian Privacy Principles.</w:t>
      </w:r>
    </w:p>
    <w:p w:rsidR="001C1418" w:rsidRPr="0067666A" w:rsidRDefault="001C1418" w:rsidP="001C1418">
      <w:pPr>
        <w:spacing w:line="360" w:lineRule="auto"/>
        <w:jc w:val="both"/>
        <w:rPr>
          <w:rFonts w:ascii="Arial" w:eastAsia="Arial Unicode MS" w:hAnsi="Arial" w:cs="Arial"/>
          <w:color w:val="000000" w:themeColor="text1"/>
          <w:sz w:val="28"/>
          <w:lang w:val="en-IE" w:eastAsia="en-AU" w:bidi="hi-IN"/>
        </w:rPr>
      </w:pPr>
      <w:r>
        <w:rPr>
          <w:rFonts w:ascii="Arial" w:eastAsia="Arial Unicode MS" w:hAnsi="Arial" w:cs="Arial"/>
          <w:color w:val="000000" w:themeColor="text1"/>
          <w:sz w:val="28"/>
          <w:lang w:val="en-IE" w:eastAsia="en-AU" w:bidi="hi-IN"/>
        </w:rPr>
        <w:t>Beyond t</w:t>
      </w:r>
      <w:r w:rsidRPr="0067666A">
        <w:rPr>
          <w:rFonts w:ascii="Arial" w:eastAsia="Arial Unicode MS" w:hAnsi="Arial" w:cs="Arial"/>
          <w:color w:val="000000" w:themeColor="text1"/>
          <w:sz w:val="28"/>
          <w:lang w:val="en-IE" w:eastAsia="en-AU" w:bidi="hi-IN"/>
        </w:rPr>
        <w:t>he circle of trust</w:t>
      </w:r>
    </w:p>
    <w:p w:rsidR="00FE0015" w:rsidRPr="00461853" w:rsidRDefault="001C1418" w:rsidP="00A07B6E">
      <w:pPr>
        <w:spacing w:before="100" w:beforeAutospacing="1" w:after="100" w:afterAutospacing="1"/>
        <w:jc w:val="both"/>
        <w:rPr>
          <w:rFonts w:ascii="Times New Roman" w:eastAsia="Arial Unicode MS" w:hAnsi="Times New Roman" w:cs="Times New Roman"/>
          <w:color w:val="000000" w:themeColor="text1"/>
          <w:sz w:val="24"/>
          <w:lang w:val="en-IE" w:eastAsia="en-AU" w:bidi="hi-IN"/>
        </w:rPr>
      </w:pPr>
      <w:r w:rsidRPr="00461853">
        <w:rPr>
          <w:rFonts w:ascii="Times New Roman" w:eastAsia="Arial Unicode MS" w:hAnsi="Times New Roman" w:cs="Times New Roman"/>
          <w:color w:val="000000" w:themeColor="text1"/>
          <w:sz w:val="24"/>
          <w:lang w:val="en-IE" w:eastAsia="en-AU" w:bidi="hi-IN"/>
        </w:rPr>
        <w:t xml:space="preserve">The arrangements set out within the draft legislation, allow for consumer data to be transferred to third parties outside the scope of the accredited system. </w:t>
      </w:r>
      <w:r w:rsidR="00FF5CD5" w:rsidRPr="00461853">
        <w:rPr>
          <w:rFonts w:ascii="Times New Roman" w:eastAsia="Arial Unicode MS" w:hAnsi="Times New Roman" w:cs="Times New Roman"/>
          <w:color w:val="000000" w:themeColor="text1"/>
          <w:sz w:val="24"/>
          <w:lang w:val="en-IE" w:eastAsia="en-AU" w:bidi="hi-IN"/>
        </w:rPr>
        <w:t xml:space="preserve">This data, once transferred out </w:t>
      </w:r>
      <w:r w:rsidR="00296CD9">
        <w:rPr>
          <w:rFonts w:ascii="Times New Roman" w:eastAsia="Arial Unicode MS" w:hAnsi="Times New Roman" w:cs="Times New Roman"/>
          <w:color w:val="000000" w:themeColor="text1"/>
          <w:sz w:val="24"/>
          <w:lang w:val="en-IE" w:eastAsia="en-AU" w:bidi="hi-IN"/>
        </w:rPr>
        <w:t xml:space="preserve">of </w:t>
      </w:r>
      <w:r w:rsidR="00FF5CD5" w:rsidRPr="00461853">
        <w:rPr>
          <w:rFonts w:ascii="Times New Roman" w:eastAsia="Arial Unicode MS" w:hAnsi="Times New Roman" w:cs="Times New Roman"/>
          <w:color w:val="000000" w:themeColor="text1"/>
          <w:sz w:val="24"/>
          <w:lang w:val="en-IE" w:eastAsia="en-AU" w:bidi="hi-IN"/>
        </w:rPr>
        <w:t>the CDR system, is provided the limited privacy protections of the Australian Privacy Principles.</w:t>
      </w:r>
    </w:p>
    <w:p w:rsidR="00626A02" w:rsidRDefault="00395C98" w:rsidP="00A07B6E">
      <w:pPr>
        <w:spacing w:before="100" w:beforeAutospacing="1" w:after="100" w:afterAutospacing="1"/>
        <w:jc w:val="both"/>
        <w:rPr>
          <w:rFonts w:ascii="Times New Roman" w:eastAsia="Arial Unicode MS" w:hAnsi="Times New Roman" w:cs="Times New Roman"/>
          <w:color w:val="000000" w:themeColor="text1"/>
          <w:sz w:val="24"/>
          <w:lang w:val="en-IE" w:eastAsia="en-AU" w:bidi="hi-IN"/>
        </w:rPr>
      </w:pPr>
      <w:r w:rsidRPr="00461853">
        <w:rPr>
          <w:rFonts w:ascii="Times New Roman" w:eastAsia="Arial Unicode MS" w:hAnsi="Times New Roman" w:cs="Times New Roman"/>
          <w:color w:val="000000" w:themeColor="text1"/>
          <w:sz w:val="24"/>
          <w:lang w:val="en-IE" w:eastAsia="en-AU" w:bidi="hi-IN"/>
        </w:rPr>
        <w:t xml:space="preserve">Once data moves </w:t>
      </w:r>
      <w:r w:rsidR="00461853" w:rsidRPr="00461853">
        <w:rPr>
          <w:rFonts w:ascii="Times New Roman" w:eastAsia="Arial Unicode MS" w:hAnsi="Times New Roman" w:cs="Times New Roman"/>
          <w:color w:val="000000" w:themeColor="text1"/>
          <w:sz w:val="24"/>
          <w:lang w:val="en-IE" w:eastAsia="en-AU" w:bidi="hi-IN"/>
        </w:rPr>
        <w:t>beyond</w:t>
      </w:r>
      <w:r w:rsidRPr="00461853">
        <w:rPr>
          <w:rFonts w:ascii="Times New Roman" w:eastAsia="Arial Unicode MS" w:hAnsi="Times New Roman" w:cs="Times New Roman"/>
          <w:color w:val="000000" w:themeColor="text1"/>
          <w:sz w:val="24"/>
          <w:lang w:val="en-IE" w:eastAsia="en-AU" w:bidi="hi-IN"/>
        </w:rPr>
        <w:t xml:space="preserve"> the circle of trust, the privacy protections available to consumers diminish considerably, as too do the remedies made available to them. </w:t>
      </w:r>
      <w:r w:rsidR="00795634">
        <w:rPr>
          <w:rFonts w:ascii="Times New Roman" w:eastAsia="Arial Unicode MS" w:hAnsi="Times New Roman" w:cs="Times New Roman"/>
          <w:color w:val="000000" w:themeColor="text1"/>
          <w:sz w:val="24"/>
          <w:lang w:val="en-IE" w:eastAsia="en-AU" w:bidi="hi-IN"/>
        </w:rPr>
        <w:t xml:space="preserve">There is accordingly considerable risk that once consumer data has exited the CDR system, for this data to be misappropriated, leaked or stolen to the detriment of consumers. </w:t>
      </w:r>
    </w:p>
    <w:p w:rsidR="006A3F73" w:rsidRPr="00204433" w:rsidRDefault="00010274" w:rsidP="00C3101E">
      <w:pPr>
        <w:spacing w:before="100" w:beforeAutospacing="1" w:after="100" w:afterAutospacing="1"/>
        <w:jc w:val="both"/>
        <w:rPr>
          <w:rFonts w:ascii="Times New Roman" w:eastAsia="Arial Unicode MS" w:hAnsi="Times New Roman" w:cs="Times New Roman"/>
          <w:sz w:val="24"/>
          <w:lang w:val="en-IE" w:eastAsia="en-AU" w:bidi="hi-IN"/>
        </w:rPr>
      </w:pPr>
      <w:r>
        <w:rPr>
          <w:rFonts w:ascii="Times New Roman" w:eastAsia="Arial Unicode MS" w:hAnsi="Times New Roman" w:cs="Times New Roman"/>
          <w:color w:val="000000" w:themeColor="text1"/>
          <w:sz w:val="24"/>
          <w:lang w:val="en-IE" w:eastAsia="en-AU" w:bidi="hi-IN"/>
        </w:rPr>
        <w:lastRenderedPageBreak/>
        <w:t>The incentives for firms to aggregate consumer data are material, and the benefits that may flow to an individual firm operating in what are highly concentrated markets are significant.</w:t>
      </w:r>
      <w:r w:rsidR="007C026D">
        <w:rPr>
          <w:rFonts w:ascii="Times New Roman" w:eastAsia="Arial Unicode MS" w:hAnsi="Times New Roman" w:cs="Times New Roman"/>
          <w:color w:val="000000" w:themeColor="text1"/>
          <w:sz w:val="24"/>
          <w:lang w:val="en-IE" w:eastAsia="en-AU" w:bidi="hi-IN"/>
        </w:rPr>
        <w:t xml:space="preserve"> In the telecommunications market, if one of the three major participants were able to engage in price discrimination to raise prices by 1% the additional revenue (and implicit consumer loss) would be between </w:t>
      </w:r>
      <w:r w:rsidR="007C026D" w:rsidRPr="005D5DA2">
        <w:rPr>
          <w:rFonts w:ascii="Times New Roman" w:hAnsi="Times New Roman" w:cs="Times New Roman"/>
          <w:sz w:val="24"/>
        </w:rPr>
        <w:t>between $39.6 million to $103.4 million.</w:t>
      </w:r>
      <w:r w:rsidR="002B54EA">
        <w:rPr>
          <w:rStyle w:val="FootnoteReference"/>
          <w:rFonts w:ascii="Times New Roman" w:hAnsi="Times New Roman" w:cs="Times New Roman"/>
          <w:sz w:val="24"/>
        </w:rPr>
        <w:footnoteReference w:id="2"/>
      </w:r>
      <w:r w:rsidR="006A3F73" w:rsidRPr="00E90053">
        <w:rPr>
          <w:rFonts w:ascii="Times New Roman" w:hAnsi="Times New Roman" w:cs="Times New Roman"/>
          <w:sz w:val="24"/>
        </w:rPr>
        <w:t>The material gains to be made by firms by violating consumers’ privacy, means that it is extremely likely that a firm not subject to the constrain</w:t>
      </w:r>
      <w:r w:rsidR="006A1624" w:rsidRPr="00C35DED">
        <w:rPr>
          <w:rFonts w:ascii="Times New Roman" w:hAnsi="Times New Roman" w:cs="Times New Roman"/>
          <w:sz w:val="24"/>
        </w:rPr>
        <w:t>t</w:t>
      </w:r>
      <w:r w:rsidR="006A3F73" w:rsidRPr="00C35DED">
        <w:rPr>
          <w:rFonts w:ascii="Times New Roman" w:hAnsi="Times New Roman" w:cs="Times New Roman"/>
          <w:sz w:val="24"/>
        </w:rPr>
        <w:t xml:space="preserve">s of the Privacy Safeguards, will </w:t>
      </w:r>
      <w:r w:rsidR="006A1624" w:rsidRPr="00C35DED">
        <w:rPr>
          <w:rFonts w:ascii="Times New Roman" w:hAnsi="Times New Roman" w:cs="Times New Roman"/>
          <w:sz w:val="24"/>
        </w:rPr>
        <w:t xml:space="preserve">engage in misconduct to the detriment of consumers. </w:t>
      </w:r>
    </w:p>
    <w:p w:rsidR="00F16480" w:rsidRPr="0035297C" w:rsidRDefault="00C3101E" w:rsidP="0035297C">
      <w:pPr>
        <w:spacing w:before="100" w:beforeAutospacing="1" w:after="100" w:afterAutospacing="1"/>
        <w:jc w:val="both"/>
        <w:rPr>
          <w:rFonts w:ascii="Times New Roman" w:eastAsia="Arial Unicode MS" w:hAnsi="Times New Roman" w:cs="Times New Roman"/>
          <w:color w:val="000000" w:themeColor="text1"/>
          <w:sz w:val="24"/>
          <w:lang w:val="en-IE" w:eastAsia="en-AU" w:bidi="hi-IN"/>
        </w:rPr>
      </w:pPr>
      <w:r>
        <w:rPr>
          <w:rFonts w:ascii="Times New Roman" w:eastAsia="Arial Unicode MS" w:hAnsi="Times New Roman" w:cs="Times New Roman"/>
          <w:color w:val="000000" w:themeColor="text1"/>
          <w:sz w:val="24"/>
          <w:lang w:val="en-IE" w:eastAsia="en-AU" w:bidi="hi-IN"/>
        </w:rPr>
        <w:t>ACCAN has concerns that the current</w:t>
      </w:r>
      <w:r w:rsidR="0050625D">
        <w:rPr>
          <w:rFonts w:ascii="Times New Roman" w:eastAsia="Arial Unicode MS" w:hAnsi="Times New Roman" w:cs="Times New Roman"/>
          <w:color w:val="000000" w:themeColor="text1"/>
          <w:sz w:val="24"/>
          <w:lang w:val="en-IE" w:eastAsia="en-AU" w:bidi="hi-IN"/>
        </w:rPr>
        <w:t xml:space="preserve"> narrow</w:t>
      </w:r>
      <w:r>
        <w:rPr>
          <w:rFonts w:ascii="Times New Roman" w:eastAsia="Arial Unicode MS" w:hAnsi="Times New Roman" w:cs="Times New Roman"/>
          <w:color w:val="000000" w:themeColor="text1"/>
          <w:sz w:val="24"/>
          <w:lang w:val="en-IE" w:eastAsia="en-AU" w:bidi="hi-IN"/>
        </w:rPr>
        <w:t xml:space="preserve"> drafting of the legislation provide</w:t>
      </w:r>
      <w:r w:rsidR="00C400B0">
        <w:rPr>
          <w:rFonts w:ascii="Times New Roman" w:eastAsia="Arial Unicode MS" w:hAnsi="Times New Roman" w:cs="Times New Roman"/>
          <w:color w:val="000000" w:themeColor="text1"/>
          <w:sz w:val="24"/>
          <w:lang w:val="en-IE" w:eastAsia="en-AU" w:bidi="hi-IN"/>
        </w:rPr>
        <w:t>s</w:t>
      </w:r>
      <w:r>
        <w:rPr>
          <w:rFonts w:ascii="Times New Roman" w:eastAsia="Arial Unicode MS" w:hAnsi="Times New Roman" w:cs="Times New Roman"/>
          <w:color w:val="000000" w:themeColor="text1"/>
          <w:sz w:val="24"/>
          <w:lang w:val="en-IE" w:eastAsia="en-AU" w:bidi="hi-IN"/>
        </w:rPr>
        <w:t xml:space="preserve"> limited protections to the privacy of consumers, and that given the incentives in place in the identified markets, that there is a material prospect of harm.</w:t>
      </w:r>
      <w:r w:rsidR="00EA5F96">
        <w:rPr>
          <w:rFonts w:ascii="Times New Roman" w:eastAsia="Arial Unicode MS" w:hAnsi="Times New Roman" w:cs="Times New Roman"/>
          <w:color w:val="000000" w:themeColor="text1"/>
          <w:sz w:val="24"/>
          <w:lang w:val="en-IE" w:eastAsia="en-AU" w:bidi="hi-IN"/>
        </w:rPr>
        <w:t xml:space="preserve"> </w:t>
      </w:r>
      <w:r w:rsidR="007B40EF" w:rsidRPr="00C61D9A">
        <w:rPr>
          <w:rFonts w:ascii="Times New Roman" w:eastAsia="Arial Unicode MS" w:hAnsi="Times New Roman" w:cs="Times New Roman"/>
          <w:color w:val="000000" w:themeColor="text1"/>
          <w:sz w:val="24"/>
          <w:lang w:val="en-IE" w:eastAsia="en-AU" w:bidi="hi-IN"/>
        </w:rPr>
        <w:t xml:space="preserve">To this end we support the adoption of comprehensive privacy protections for consumer data, </w:t>
      </w:r>
      <w:r w:rsidR="00C61D9A" w:rsidRPr="00C61D9A">
        <w:rPr>
          <w:rFonts w:ascii="Times New Roman" w:eastAsia="Arial Unicode MS" w:hAnsi="Times New Roman" w:cs="Times New Roman"/>
          <w:color w:val="000000" w:themeColor="text1"/>
          <w:sz w:val="24"/>
          <w:lang w:val="en-IE" w:eastAsia="en-AU" w:bidi="hi-IN"/>
        </w:rPr>
        <w:t>to apply at</w:t>
      </w:r>
      <w:r w:rsidR="007B40EF" w:rsidRPr="00C61D9A">
        <w:rPr>
          <w:rFonts w:ascii="Times New Roman" w:eastAsia="Arial Unicode MS" w:hAnsi="Times New Roman" w:cs="Times New Roman"/>
          <w:color w:val="000000" w:themeColor="text1"/>
          <w:sz w:val="24"/>
          <w:lang w:val="en-IE" w:eastAsia="en-AU" w:bidi="hi-IN"/>
        </w:rPr>
        <w:t xml:space="preserve"> all times that this data is being held on behalf of consumers.</w:t>
      </w:r>
    </w:p>
    <w:p w:rsidR="0007225A" w:rsidRPr="00696688" w:rsidRDefault="005C4860" w:rsidP="00696688">
      <w:pPr>
        <w:spacing w:line="360" w:lineRule="auto"/>
        <w:jc w:val="both"/>
        <w:rPr>
          <w:rFonts w:ascii="Arial" w:eastAsia="Arial Unicode MS" w:hAnsi="Arial" w:cs="Arial"/>
          <w:color w:val="000000" w:themeColor="text1"/>
          <w:sz w:val="28"/>
          <w:lang w:val="en-IE" w:eastAsia="en-AU" w:bidi="hi-IN"/>
        </w:rPr>
      </w:pPr>
      <w:r>
        <w:rPr>
          <w:rFonts w:ascii="Arial" w:eastAsia="Arial Unicode MS" w:hAnsi="Arial" w:cs="Arial"/>
          <w:color w:val="000000" w:themeColor="text1"/>
          <w:sz w:val="28"/>
          <w:lang w:val="en-IE" w:eastAsia="en-AU" w:bidi="hi-IN"/>
        </w:rPr>
        <w:t>Recipr</w:t>
      </w:r>
      <w:r w:rsidR="002B742B">
        <w:rPr>
          <w:rFonts w:ascii="Arial" w:eastAsia="Arial Unicode MS" w:hAnsi="Arial" w:cs="Arial"/>
          <w:color w:val="000000" w:themeColor="text1"/>
          <w:sz w:val="28"/>
          <w:lang w:val="en-IE" w:eastAsia="en-AU" w:bidi="hi-IN"/>
        </w:rPr>
        <w:t xml:space="preserve">ocity </w:t>
      </w:r>
    </w:p>
    <w:p w:rsidR="00530F73" w:rsidRDefault="00530F73" w:rsidP="00A07B6E">
      <w:pPr>
        <w:spacing w:before="100" w:beforeAutospacing="1" w:after="100" w:afterAutospacing="1"/>
        <w:jc w:val="both"/>
        <w:rPr>
          <w:rFonts w:ascii="Times New Roman" w:eastAsia="Arial Unicode MS" w:hAnsi="Times New Roman" w:cs="Times New Roman"/>
          <w:sz w:val="24"/>
          <w:lang w:val="en-IE" w:eastAsia="en-AU" w:bidi="hi-IN"/>
        </w:rPr>
      </w:pPr>
      <w:r>
        <w:rPr>
          <w:rFonts w:ascii="Times New Roman" w:eastAsia="Arial Unicode MS" w:hAnsi="Times New Roman" w:cs="Times New Roman"/>
          <w:sz w:val="24"/>
          <w:lang w:val="en-IE" w:eastAsia="en-AU" w:bidi="hi-IN"/>
        </w:rPr>
        <w:t xml:space="preserve">ACCAN supports the implementation of reciprocal obligations on data recipients, as data recipients often derive material benefit from access to the forms of data that would be within the </w:t>
      </w:r>
      <w:r w:rsidR="0044583A">
        <w:rPr>
          <w:rFonts w:ascii="Times New Roman" w:eastAsia="Arial Unicode MS" w:hAnsi="Times New Roman" w:cs="Times New Roman"/>
          <w:sz w:val="24"/>
          <w:lang w:val="en-IE" w:eastAsia="en-AU" w:bidi="hi-IN"/>
        </w:rPr>
        <w:t>scope</w:t>
      </w:r>
      <w:r>
        <w:rPr>
          <w:rFonts w:ascii="Times New Roman" w:eastAsia="Arial Unicode MS" w:hAnsi="Times New Roman" w:cs="Times New Roman"/>
          <w:sz w:val="24"/>
          <w:lang w:val="en-IE" w:eastAsia="en-AU" w:bidi="hi-IN"/>
        </w:rPr>
        <w:t xml:space="preserve"> of CDR data. </w:t>
      </w:r>
    </w:p>
    <w:p w:rsidR="000946B7" w:rsidRPr="00B11225" w:rsidRDefault="008E639A" w:rsidP="00A07B6E">
      <w:pPr>
        <w:spacing w:before="100" w:beforeAutospacing="1" w:after="100" w:afterAutospacing="1"/>
        <w:jc w:val="both"/>
        <w:rPr>
          <w:rFonts w:ascii="Times New Roman" w:eastAsia="Arial Unicode MS" w:hAnsi="Times New Roman" w:cs="Times New Roman"/>
          <w:color w:val="FF0000"/>
          <w:sz w:val="24"/>
          <w:lang w:val="en-IE" w:eastAsia="en-AU" w:bidi="hi-IN"/>
        </w:rPr>
      </w:pPr>
      <w:r>
        <w:rPr>
          <w:rFonts w:ascii="Times New Roman" w:eastAsia="Arial Unicode MS" w:hAnsi="Times New Roman" w:cs="Times New Roman"/>
          <w:sz w:val="24"/>
          <w:lang w:val="en-IE" w:eastAsia="en-AU" w:bidi="hi-IN"/>
        </w:rPr>
        <w:t xml:space="preserve">Where consumer data is transferred to a third party, under the terms of the consumer data right the privacy protections and obligations set out under the CDR should be extended to the third party. </w:t>
      </w:r>
      <w:r w:rsidRPr="00831558">
        <w:rPr>
          <w:rFonts w:ascii="Times New Roman" w:eastAsia="Arial Unicode MS" w:hAnsi="Times New Roman" w:cs="Times New Roman"/>
          <w:sz w:val="24"/>
          <w:lang w:val="en-IE" w:eastAsia="en-AU" w:bidi="hi-IN"/>
        </w:rPr>
        <w:t xml:space="preserve">The CDR </w:t>
      </w:r>
      <w:r w:rsidR="00003A68" w:rsidRPr="00831558">
        <w:rPr>
          <w:rFonts w:ascii="Times New Roman" w:eastAsia="Arial Unicode MS" w:hAnsi="Times New Roman" w:cs="Times New Roman"/>
          <w:sz w:val="24"/>
          <w:lang w:val="en-IE" w:eastAsia="en-AU" w:bidi="hi-IN"/>
        </w:rPr>
        <w:t xml:space="preserve">framework </w:t>
      </w:r>
      <w:r w:rsidRPr="00831558">
        <w:rPr>
          <w:rFonts w:ascii="Times New Roman" w:eastAsia="Arial Unicode MS" w:hAnsi="Times New Roman" w:cs="Times New Roman"/>
          <w:sz w:val="24"/>
          <w:lang w:val="en-IE" w:eastAsia="en-AU" w:bidi="hi-IN"/>
        </w:rPr>
        <w:t>prov</w:t>
      </w:r>
      <w:r w:rsidR="00003A68" w:rsidRPr="00831558">
        <w:rPr>
          <w:rFonts w:ascii="Times New Roman" w:eastAsia="Arial Unicode MS" w:hAnsi="Times New Roman" w:cs="Times New Roman"/>
          <w:sz w:val="24"/>
          <w:lang w:val="en-IE" w:eastAsia="en-AU" w:bidi="hi-IN"/>
        </w:rPr>
        <w:t>ides benefits to both consumers</w:t>
      </w:r>
      <w:r w:rsidRPr="00831558">
        <w:rPr>
          <w:rFonts w:ascii="Times New Roman" w:eastAsia="Arial Unicode MS" w:hAnsi="Times New Roman" w:cs="Times New Roman"/>
          <w:sz w:val="24"/>
          <w:lang w:val="en-IE" w:eastAsia="en-AU" w:bidi="hi-IN"/>
        </w:rPr>
        <w:t xml:space="preserve"> and third party service providers</w:t>
      </w:r>
      <w:r w:rsidR="00437BCE">
        <w:rPr>
          <w:rFonts w:ascii="Times New Roman" w:eastAsia="Arial Unicode MS" w:hAnsi="Times New Roman" w:cs="Times New Roman"/>
          <w:sz w:val="24"/>
          <w:lang w:val="en-IE" w:eastAsia="en-AU" w:bidi="hi-IN"/>
        </w:rPr>
        <w:t xml:space="preserve"> (e.g. search engines for communications services)</w:t>
      </w:r>
      <w:r w:rsidR="00003A68" w:rsidRPr="00831558">
        <w:rPr>
          <w:rFonts w:ascii="Times New Roman" w:eastAsia="Arial Unicode MS" w:hAnsi="Times New Roman" w:cs="Times New Roman"/>
          <w:sz w:val="24"/>
          <w:lang w:val="en-IE" w:eastAsia="en-AU" w:bidi="hi-IN"/>
        </w:rPr>
        <w:t>. Accordingly, it is appropriate that the obligations of compliance be extended to third party providers.</w:t>
      </w:r>
    </w:p>
    <w:p w:rsidR="00B5701D" w:rsidRPr="00A95E50" w:rsidRDefault="00AD4E6F" w:rsidP="00A07B6E">
      <w:pPr>
        <w:spacing w:before="100" w:beforeAutospacing="1" w:after="100" w:afterAutospacing="1"/>
        <w:jc w:val="both"/>
        <w:rPr>
          <w:rFonts w:ascii="Times New Roman" w:eastAsia="Arial Unicode MS" w:hAnsi="Times New Roman" w:cs="Times New Roman"/>
          <w:color w:val="000000" w:themeColor="text1"/>
          <w:sz w:val="24"/>
          <w:lang w:val="en-IE" w:eastAsia="en-AU" w:bidi="hi-IN"/>
        </w:rPr>
      </w:pPr>
      <w:r>
        <w:rPr>
          <w:rFonts w:ascii="Times New Roman" w:eastAsia="Arial Unicode MS" w:hAnsi="Times New Roman" w:cs="Times New Roman"/>
          <w:color w:val="000000" w:themeColor="text1"/>
          <w:sz w:val="24"/>
          <w:lang w:val="en-IE" w:eastAsia="en-AU" w:bidi="hi-IN"/>
        </w:rPr>
        <w:t xml:space="preserve">In the absence of reciprocity arrangements being put in place, consumers face material risks to their privacy and the security of their personal information. </w:t>
      </w:r>
      <w:r w:rsidR="00C400B0">
        <w:rPr>
          <w:rFonts w:ascii="Times New Roman" w:eastAsia="Arial Unicode MS" w:hAnsi="Times New Roman" w:cs="Times New Roman"/>
          <w:color w:val="000000" w:themeColor="text1"/>
          <w:sz w:val="24"/>
          <w:lang w:val="en-IE" w:eastAsia="en-AU" w:bidi="hi-IN"/>
        </w:rPr>
        <w:t>T</w:t>
      </w:r>
      <w:r w:rsidR="00FA7AAD">
        <w:rPr>
          <w:rFonts w:ascii="Times New Roman" w:eastAsia="Arial Unicode MS" w:hAnsi="Times New Roman" w:cs="Times New Roman"/>
          <w:color w:val="000000" w:themeColor="text1"/>
          <w:sz w:val="24"/>
          <w:lang w:val="en-IE" w:eastAsia="en-AU" w:bidi="hi-IN"/>
        </w:rPr>
        <w:t xml:space="preserve">he default rule should be that the privacy safeguards </w:t>
      </w:r>
      <w:r w:rsidR="000E59DE">
        <w:rPr>
          <w:rFonts w:ascii="Times New Roman" w:eastAsia="Arial Unicode MS" w:hAnsi="Times New Roman" w:cs="Times New Roman"/>
          <w:color w:val="000000" w:themeColor="text1"/>
          <w:sz w:val="24"/>
          <w:lang w:val="en-IE" w:eastAsia="en-AU" w:bidi="hi-IN"/>
        </w:rPr>
        <w:t>apply</w:t>
      </w:r>
      <w:r w:rsidR="00D007F8">
        <w:rPr>
          <w:rFonts w:ascii="Times New Roman" w:eastAsia="Arial Unicode MS" w:hAnsi="Times New Roman" w:cs="Times New Roman"/>
          <w:color w:val="000000" w:themeColor="text1"/>
          <w:sz w:val="24"/>
          <w:lang w:val="en-IE" w:eastAsia="en-AU" w:bidi="hi-IN"/>
        </w:rPr>
        <w:t>.</w:t>
      </w:r>
      <w:r w:rsidR="000E59DE">
        <w:rPr>
          <w:rFonts w:ascii="Times New Roman" w:eastAsia="Arial Unicode MS" w:hAnsi="Times New Roman" w:cs="Times New Roman"/>
          <w:color w:val="000000" w:themeColor="text1"/>
          <w:sz w:val="24"/>
          <w:lang w:val="en-IE" w:eastAsia="en-AU" w:bidi="hi-IN"/>
        </w:rPr>
        <w:t xml:space="preserve"> </w:t>
      </w:r>
    </w:p>
    <w:p w:rsidR="00A00C57" w:rsidRDefault="001717EA" w:rsidP="00A07B6E">
      <w:pPr>
        <w:spacing w:before="100" w:beforeAutospacing="1" w:after="100" w:afterAutospacing="1"/>
        <w:jc w:val="both"/>
        <w:rPr>
          <w:rFonts w:ascii="Times New Roman" w:eastAsia="Arial Unicode MS" w:hAnsi="Times New Roman" w:cs="Times New Roman"/>
          <w:sz w:val="24"/>
          <w:lang w:val="en-IE" w:eastAsia="en-AU" w:bidi="hi-IN"/>
        </w:rPr>
      </w:pPr>
      <w:r w:rsidRPr="00DD0AEA">
        <w:rPr>
          <w:rFonts w:ascii="Calibri" w:eastAsiaTheme="minorEastAsia" w:hAnsi="Calibri"/>
          <w:noProof/>
          <w:color w:val="000000" w:themeColor="text1"/>
          <w:sz w:val="24"/>
        </w:rPr>
        <mc:AlternateContent>
          <mc:Choice Requires="wps">
            <w:drawing>
              <wp:anchor distT="0" distB="0" distL="114300" distR="114300" simplePos="0" relativeHeight="251717632" behindDoc="0" locked="0" layoutInCell="1" allowOverlap="1" wp14:anchorId="176253A7" wp14:editId="322FE125">
                <wp:simplePos x="0" y="0"/>
                <wp:positionH relativeFrom="column">
                  <wp:posOffset>0</wp:posOffset>
                </wp:positionH>
                <wp:positionV relativeFrom="paragraph">
                  <wp:posOffset>635</wp:posOffset>
                </wp:positionV>
                <wp:extent cx="5720080" cy="859790"/>
                <wp:effectExtent l="0" t="0" r="13970" b="16510"/>
                <wp:wrapNone/>
                <wp:docPr id="18" name="Text Box 18"/>
                <wp:cNvGraphicFramePr/>
                <a:graphic xmlns:a="http://schemas.openxmlformats.org/drawingml/2006/main">
                  <a:graphicData uri="http://schemas.microsoft.com/office/word/2010/wordprocessingShape">
                    <wps:wsp>
                      <wps:cNvSpPr txBox="1"/>
                      <wps:spPr>
                        <a:xfrm>
                          <a:off x="0" y="0"/>
                          <a:ext cx="5720080" cy="859790"/>
                        </a:xfrm>
                        <a:prstGeom prst="rect">
                          <a:avLst/>
                        </a:prstGeom>
                        <a:solidFill>
                          <a:sysClr val="window" lastClr="FFFFFF"/>
                        </a:solidFill>
                        <a:ln w="6350">
                          <a:solidFill>
                            <a:srgbClr val="00B0F0"/>
                          </a:solidFill>
                        </a:ln>
                      </wps:spPr>
                      <wps:txbx>
                        <w:txbxContent>
                          <w:p w:rsidR="00DD5468" w:rsidRPr="001410E8" w:rsidRDefault="00DD5468" w:rsidP="008312E1">
                            <w:pPr>
                              <w:rPr>
                                <w:rFonts w:ascii="Times New Roman" w:hAnsi="Times New Roman" w:cs="Times New Roman"/>
                                <w:b/>
                              </w:rPr>
                            </w:pPr>
                            <w:r w:rsidRPr="001410E8">
                              <w:rPr>
                                <w:rFonts w:ascii="Times New Roman" w:hAnsi="Times New Roman" w:cs="Times New Roman"/>
                                <w:b/>
                              </w:rPr>
                              <w:t xml:space="preserve">Recommendation </w:t>
                            </w:r>
                            <w:r>
                              <w:rPr>
                                <w:rFonts w:ascii="Times New Roman" w:hAnsi="Times New Roman" w:cs="Times New Roman"/>
                                <w:b/>
                              </w:rPr>
                              <w:t>8</w:t>
                            </w:r>
                          </w:p>
                          <w:p w:rsidR="00DD5468" w:rsidRPr="001410E8" w:rsidRDefault="00DD5468" w:rsidP="00615FA3">
                            <w:pPr>
                              <w:jc w:val="both"/>
                              <w:rPr>
                                <w:rFonts w:ascii="Times New Roman" w:hAnsi="Times New Roman" w:cs="Times New Roman"/>
                                <w:i/>
                              </w:rPr>
                            </w:pPr>
                            <w:r w:rsidRPr="001410E8">
                              <w:rPr>
                                <w:rFonts w:ascii="Times New Roman" w:hAnsi="Times New Roman" w:cs="Times New Roman"/>
                                <w:i/>
                              </w:rPr>
                              <w:t xml:space="preserve">That the Bill be amended to impose requirements for compliance with the Privacy Safeguards under the principle of reciprocity, </w:t>
                            </w:r>
                          </w:p>
                          <w:p w:rsidR="00DD5468" w:rsidRPr="00204433" w:rsidRDefault="00DD5468" w:rsidP="008312E1">
                            <w:pPr>
                              <w:jc w:val="both"/>
                              <w:rPr>
                                <w:rFonts w:ascii="Times New Roman" w:hAnsi="Times New Roman" w:cs="Times New Roman"/>
                                <w:i/>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51" type="#_x0000_t202" style="position:absolute;left:0;text-align:left;margin-left:0;margin-top:.05pt;width:450.4pt;height:67.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" fillcolor="window" strokecolor="#00b0f0" strokeweight=".5pt">
                <v:textbox>
                  <w:txbxContent>
                    <w:p w:rsidR="00DD5468" w:rsidRPr="001410E8" w:rsidRDefault="00DD5468" w:rsidP="008312E1">
                      <w:pPr>
                        <w:rPr>
                          <w:rFonts w:ascii="Times New Roman" w:hAnsi="Times New Roman" w:cs="Times New Roman"/>
                          <w:b/>
                        </w:rPr>
                      </w:pPr>
                      <w:r w:rsidRPr="001410E8">
                        <w:rPr>
                          <w:rFonts w:ascii="Times New Roman" w:hAnsi="Times New Roman" w:cs="Times New Roman"/>
                          <w:b/>
                        </w:rPr>
                        <w:t xml:space="preserve">Recommendation </w:t>
                      </w:r>
                      <w:r>
                        <w:rPr>
                          <w:rFonts w:ascii="Times New Roman" w:hAnsi="Times New Roman" w:cs="Times New Roman"/>
                          <w:b/>
                        </w:rPr>
                        <w:t>8</w:t>
                      </w:r>
                    </w:p>
                    <w:p w:rsidR="00DD5468" w:rsidRPr="001410E8" w:rsidRDefault="00DD5468" w:rsidP="00615FA3">
                      <w:pPr>
                        <w:jc w:val="both"/>
                        <w:rPr>
                          <w:rFonts w:ascii="Times New Roman" w:hAnsi="Times New Roman" w:cs="Times New Roman"/>
                          <w:i/>
                        </w:rPr>
                      </w:pPr>
                      <w:r w:rsidRPr="001410E8">
                        <w:rPr>
                          <w:rFonts w:ascii="Times New Roman" w:hAnsi="Times New Roman" w:cs="Times New Roman"/>
                          <w:i/>
                        </w:rPr>
                        <w:t xml:space="preserve">That the Bill be amended to impose requirements for compliance with the Privacy Safeguards under the principle of reciprocity, </w:t>
                      </w:r>
                    </w:p>
                    <w:p w:rsidR="00DD5468" w:rsidRPr="00204433" w:rsidRDefault="00DD5468" w:rsidP="008312E1">
                      <w:pPr>
                        <w:jc w:val="both"/>
                        <w:rPr>
                          <w:rFonts w:ascii="Times New Roman" w:hAnsi="Times New Roman" w:cs="Times New Roman"/>
                          <w:i/>
                          <w:sz w:val="20"/>
                        </w:rPr>
                      </w:pPr>
                    </w:p>
                  </w:txbxContent>
                </v:textbox>
              </v:shape>
            </w:pict>
          </mc:Fallback>
        </mc:AlternateContent>
      </w:r>
    </w:p>
    <w:p w:rsidR="00A00C57" w:rsidRDefault="00A00C57" w:rsidP="00A07B6E">
      <w:pPr>
        <w:spacing w:before="100" w:beforeAutospacing="1" w:after="100" w:afterAutospacing="1"/>
        <w:jc w:val="both"/>
        <w:rPr>
          <w:rFonts w:ascii="Times New Roman" w:eastAsia="Arial Unicode MS" w:hAnsi="Times New Roman" w:cs="Times New Roman"/>
          <w:sz w:val="24"/>
          <w:lang w:val="en-IE" w:eastAsia="en-AU" w:bidi="hi-IN"/>
        </w:rPr>
      </w:pPr>
    </w:p>
    <w:p w:rsidR="00E04190" w:rsidRDefault="00E04190" w:rsidP="00C557FA">
      <w:pPr>
        <w:spacing w:before="100" w:beforeAutospacing="1" w:after="100" w:afterAutospacing="1"/>
        <w:jc w:val="both"/>
        <w:rPr>
          <w:rFonts w:ascii="Times New Roman" w:eastAsia="Arial Unicode MS" w:hAnsi="Times New Roman" w:cs="Times New Roman"/>
          <w:sz w:val="24"/>
          <w:lang w:val="en-IE" w:eastAsia="en-AU" w:bidi="hi-IN"/>
        </w:rPr>
      </w:pPr>
    </w:p>
    <w:p w:rsidR="00C557FA" w:rsidRPr="00E04190" w:rsidRDefault="00C557FA" w:rsidP="00C557FA">
      <w:pPr>
        <w:spacing w:before="100" w:beforeAutospacing="1" w:after="100" w:afterAutospacing="1"/>
        <w:jc w:val="both"/>
        <w:rPr>
          <w:rFonts w:ascii="Times New Roman" w:eastAsia="Arial Unicode MS" w:hAnsi="Times New Roman" w:cs="Times New Roman"/>
          <w:color w:val="000000" w:themeColor="text1"/>
          <w:sz w:val="24"/>
          <w:lang w:val="en-IE" w:eastAsia="en-AU" w:bidi="hi-IN"/>
        </w:rPr>
      </w:pPr>
      <w:r w:rsidRPr="00E04190">
        <w:rPr>
          <w:rFonts w:ascii="Times New Roman" w:eastAsia="Arial Unicode MS" w:hAnsi="Times New Roman" w:cs="Times New Roman"/>
          <w:color w:val="000000" w:themeColor="text1"/>
          <w:sz w:val="24"/>
          <w:lang w:val="en-IE" w:eastAsia="en-AU" w:bidi="hi-IN"/>
        </w:rPr>
        <w:t xml:space="preserve">The current drafting of section </w:t>
      </w:r>
      <w:proofErr w:type="gramStart"/>
      <w:r w:rsidRPr="00E04190">
        <w:rPr>
          <w:rFonts w:ascii="Times New Roman" w:eastAsia="Arial Unicode MS" w:hAnsi="Times New Roman" w:cs="Times New Roman"/>
          <w:color w:val="000000" w:themeColor="text1"/>
          <w:sz w:val="24"/>
          <w:lang w:val="en-IE" w:eastAsia="en-AU" w:bidi="hi-IN"/>
        </w:rPr>
        <w:t>56BC(</w:t>
      </w:r>
      <w:proofErr w:type="gramEnd"/>
      <w:r w:rsidRPr="00E04190">
        <w:rPr>
          <w:rFonts w:ascii="Times New Roman" w:eastAsia="Arial Unicode MS" w:hAnsi="Times New Roman" w:cs="Times New Roman"/>
          <w:color w:val="000000" w:themeColor="text1"/>
          <w:sz w:val="24"/>
          <w:lang w:val="en-IE" w:eastAsia="en-AU" w:bidi="hi-IN"/>
        </w:rPr>
        <w:t xml:space="preserve">a) does not unambiguously provide for the extension of consumer data right obligations to third parties receiving </w:t>
      </w:r>
      <w:r w:rsidR="00CE371C">
        <w:rPr>
          <w:rFonts w:ascii="Times New Roman" w:eastAsia="Arial Unicode MS" w:hAnsi="Times New Roman" w:cs="Times New Roman"/>
          <w:color w:val="000000" w:themeColor="text1"/>
          <w:sz w:val="24"/>
          <w:lang w:val="en-IE" w:eastAsia="en-AU" w:bidi="hi-IN"/>
        </w:rPr>
        <w:t xml:space="preserve">data from an accredited data holder. Accordingly, there is a need for the scope of </w:t>
      </w:r>
      <w:proofErr w:type="gramStart"/>
      <w:r w:rsidR="00CE371C">
        <w:rPr>
          <w:rFonts w:ascii="Times New Roman" w:eastAsia="Arial Unicode MS" w:hAnsi="Times New Roman" w:cs="Times New Roman"/>
          <w:color w:val="000000" w:themeColor="text1"/>
          <w:sz w:val="24"/>
          <w:lang w:val="en-IE" w:eastAsia="en-AU" w:bidi="hi-IN"/>
        </w:rPr>
        <w:t>s56BC(</w:t>
      </w:r>
      <w:proofErr w:type="gramEnd"/>
      <w:r w:rsidR="00CE371C">
        <w:rPr>
          <w:rFonts w:ascii="Times New Roman" w:eastAsia="Arial Unicode MS" w:hAnsi="Times New Roman" w:cs="Times New Roman"/>
          <w:color w:val="000000" w:themeColor="text1"/>
          <w:sz w:val="24"/>
          <w:lang w:val="en-IE" w:eastAsia="en-AU" w:bidi="hi-IN"/>
        </w:rPr>
        <w:t>a) to be refined to explicitly provide for the creation of regulations as part of the ACCC’s rule making process.</w:t>
      </w:r>
    </w:p>
    <w:p w:rsidR="00C557FA" w:rsidRDefault="002B54EA" w:rsidP="00DB5895">
      <w:pPr>
        <w:spacing w:before="100" w:beforeAutospacing="1" w:after="100" w:afterAutospacing="1" w:line="360" w:lineRule="auto"/>
        <w:jc w:val="both"/>
        <w:rPr>
          <w:rFonts w:ascii="Arial" w:eastAsiaTheme="minorEastAsia" w:hAnsi="Arial" w:cs="Arial"/>
          <w:b/>
          <w:sz w:val="32"/>
          <w:szCs w:val="32"/>
          <w:lang w:val="en-AU" w:eastAsia="en-AU"/>
        </w:rPr>
      </w:pPr>
      <w:r w:rsidRPr="00DD0AEA">
        <w:rPr>
          <w:rFonts w:ascii="Calibri" w:eastAsiaTheme="minorEastAsia" w:hAnsi="Calibri"/>
          <w:noProof/>
          <w:color w:val="000000" w:themeColor="text1"/>
          <w:sz w:val="24"/>
        </w:rPr>
        <w:lastRenderedPageBreak/>
        <mc:AlternateContent>
          <mc:Choice Requires="wps">
            <w:drawing>
              <wp:anchor distT="0" distB="0" distL="114300" distR="114300" simplePos="0" relativeHeight="251725824" behindDoc="0" locked="0" layoutInCell="1" allowOverlap="1" wp14:anchorId="71DD1A1C" wp14:editId="4A3FA3ED">
                <wp:simplePos x="0" y="0"/>
                <wp:positionH relativeFrom="column">
                  <wp:posOffset>0</wp:posOffset>
                </wp:positionH>
                <wp:positionV relativeFrom="paragraph">
                  <wp:posOffset>65405</wp:posOffset>
                </wp:positionV>
                <wp:extent cx="5720080" cy="842645"/>
                <wp:effectExtent l="0" t="0" r="13970" b="14605"/>
                <wp:wrapNone/>
                <wp:docPr id="22" name="Text Box 22"/>
                <wp:cNvGraphicFramePr/>
                <a:graphic xmlns:a="http://schemas.openxmlformats.org/drawingml/2006/main">
                  <a:graphicData uri="http://schemas.microsoft.com/office/word/2010/wordprocessingShape">
                    <wps:wsp>
                      <wps:cNvSpPr txBox="1"/>
                      <wps:spPr>
                        <a:xfrm>
                          <a:off x="0" y="0"/>
                          <a:ext cx="5720080" cy="842645"/>
                        </a:xfrm>
                        <a:prstGeom prst="rect">
                          <a:avLst/>
                        </a:prstGeom>
                        <a:solidFill>
                          <a:sysClr val="window" lastClr="FFFFFF"/>
                        </a:solidFill>
                        <a:ln w="6350">
                          <a:solidFill>
                            <a:srgbClr val="00B0F0"/>
                          </a:solidFill>
                        </a:ln>
                      </wps:spPr>
                      <wps:txbx>
                        <w:txbxContent>
                          <w:p w:rsidR="00DD5468" w:rsidRPr="001410E8" w:rsidRDefault="00DD5468" w:rsidP="00CE371C">
                            <w:pPr>
                              <w:rPr>
                                <w:rFonts w:ascii="Times New Roman" w:hAnsi="Times New Roman" w:cs="Times New Roman"/>
                                <w:b/>
                              </w:rPr>
                            </w:pPr>
                            <w:r w:rsidRPr="001410E8">
                              <w:rPr>
                                <w:rFonts w:ascii="Times New Roman" w:hAnsi="Times New Roman" w:cs="Times New Roman"/>
                                <w:b/>
                              </w:rPr>
                              <w:t xml:space="preserve">Recommendation </w:t>
                            </w:r>
                            <w:r>
                              <w:rPr>
                                <w:rFonts w:ascii="Times New Roman" w:hAnsi="Times New Roman" w:cs="Times New Roman"/>
                                <w:b/>
                              </w:rPr>
                              <w:t>9</w:t>
                            </w:r>
                          </w:p>
                          <w:p w:rsidR="00DD5468" w:rsidRPr="00204433" w:rsidRDefault="00DD5468" w:rsidP="00CE371C">
                            <w:pPr>
                              <w:jc w:val="both"/>
                              <w:rPr>
                                <w:rFonts w:ascii="Times New Roman" w:hAnsi="Times New Roman" w:cs="Times New Roman"/>
                                <w:i/>
                              </w:rPr>
                            </w:pPr>
                            <w:r w:rsidRPr="001410E8">
                              <w:rPr>
                                <w:rFonts w:ascii="Times New Roman" w:hAnsi="Times New Roman" w:cs="Times New Roman"/>
                                <w:i/>
                              </w:rPr>
                              <w:t>That the Bill be amended to allow for the ACCC to develop regulations for the imposition of reciprocal duties for data recipients.</w:t>
                            </w:r>
                          </w:p>
                          <w:p w:rsidR="00DD5468" w:rsidRPr="0049149C" w:rsidRDefault="00DD5468" w:rsidP="00CE371C">
                            <w:pPr>
                              <w:jc w:val="both"/>
                              <w:rPr>
                                <w:rFonts w:ascii="Times New Roman" w:hAnsi="Times New Roman" w:cs="Times New Roman"/>
                                <w:i/>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52" type="#_x0000_t202" style="position:absolute;left:0;text-align:left;margin-left:0;margin-top:5.15pt;width:450.4pt;height:66.3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" fillcolor="window" strokecolor="#00b0f0" strokeweight=".5pt">
                <v:textbox>
                  <w:txbxContent>
                    <w:p w:rsidR="00DD5468" w:rsidRPr="001410E8" w:rsidRDefault="00DD5468" w:rsidP="00CE371C">
                      <w:pPr>
                        <w:rPr>
                          <w:rFonts w:ascii="Times New Roman" w:hAnsi="Times New Roman" w:cs="Times New Roman"/>
                          <w:b/>
                        </w:rPr>
                      </w:pPr>
                      <w:r w:rsidRPr="001410E8">
                        <w:rPr>
                          <w:rFonts w:ascii="Times New Roman" w:hAnsi="Times New Roman" w:cs="Times New Roman"/>
                          <w:b/>
                        </w:rPr>
                        <w:t xml:space="preserve">Recommendation </w:t>
                      </w:r>
                      <w:r>
                        <w:rPr>
                          <w:rFonts w:ascii="Times New Roman" w:hAnsi="Times New Roman" w:cs="Times New Roman"/>
                          <w:b/>
                        </w:rPr>
                        <w:t>9</w:t>
                      </w:r>
                    </w:p>
                    <w:p w:rsidR="00DD5468" w:rsidRPr="00204433" w:rsidRDefault="00DD5468" w:rsidP="00CE371C">
                      <w:pPr>
                        <w:jc w:val="both"/>
                        <w:rPr>
                          <w:rFonts w:ascii="Times New Roman" w:hAnsi="Times New Roman" w:cs="Times New Roman"/>
                          <w:i/>
                        </w:rPr>
                      </w:pPr>
                      <w:r w:rsidRPr="001410E8">
                        <w:rPr>
                          <w:rFonts w:ascii="Times New Roman" w:hAnsi="Times New Roman" w:cs="Times New Roman"/>
                          <w:i/>
                        </w:rPr>
                        <w:t>That the Bill be amended to allow for the ACCC to develop regulations for the imposition of reciprocal duties for data recipients.</w:t>
                      </w:r>
                    </w:p>
                    <w:p w:rsidR="00DD5468" w:rsidRPr="0049149C" w:rsidRDefault="00DD5468" w:rsidP="00CE371C">
                      <w:pPr>
                        <w:jc w:val="both"/>
                        <w:rPr>
                          <w:rFonts w:ascii="Times New Roman" w:hAnsi="Times New Roman" w:cs="Times New Roman"/>
                          <w:i/>
                          <w:sz w:val="20"/>
                        </w:rPr>
                      </w:pPr>
                    </w:p>
                  </w:txbxContent>
                </v:textbox>
              </v:shape>
            </w:pict>
          </mc:Fallback>
        </mc:AlternateContent>
      </w:r>
    </w:p>
    <w:p w:rsidR="00C557FA" w:rsidRDefault="00C557FA" w:rsidP="00DB5895">
      <w:pPr>
        <w:spacing w:before="100" w:beforeAutospacing="1" w:after="100" w:afterAutospacing="1" w:line="360" w:lineRule="auto"/>
        <w:jc w:val="both"/>
        <w:rPr>
          <w:rFonts w:ascii="Arial" w:eastAsiaTheme="minorEastAsia" w:hAnsi="Arial" w:cs="Arial"/>
          <w:b/>
          <w:sz w:val="32"/>
          <w:szCs w:val="32"/>
          <w:lang w:val="en-AU" w:eastAsia="en-AU"/>
        </w:rPr>
      </w:pPr>
    </w:p>
    <w:p w:rsidR="00DB5895" w:rsidRDefault="00DB5895" w:rsidP="00DB5895">
      <w:pPr>
        <w:spacing w:before="100" w:beforeAutospacing="1" w:after="100" w:afterAutospacing="1" w:line="360" w:lineRule="auto"/>
        <w:jc w:val="both"/>
        <w:rPr>
          <w:rFonts w:ascii="Arial" w:eastAsiaTheme="minorEastAsia" w:hAnsi="Arial" w:cs="Arial"/>
          <w:b/>
          <w:sz w:val="32"/>
          <w:szCs w:val="32"/>
          <w:lang w:val="en-AU" w:eastAsia="en-AU"/>
        </w:rPr>
      </w:pPr>
      <w:r>
        <w:rPr>
          <w:rFonts w:ascii="Arial" w:eastAsiaTheme="minorEastAsia" w:hAnsi="Arial" w:cs="Arial"/>
          <w:b/>
          <w:sz w:val="32"/>
          <w:szCs w:val="32"/>
          <w:lang w:val="en-AU" w:eastAsia="en-AU"/>
        </w:rPr>
        <w:t>Anonymity and re-identification</w:t>
      </w:r>
    </w:p>
    <w:p w:rsidR="003A3DFD" w:rsidRDefault="00E22331" w:rsidP="00A07B6E">
      <w:pPr>
        <w:spacing w:before="100" w:beforeAutospacing="1" w:after="100" w:afterAutospacing="1"/>
        <w:jc w:val="both"/>
        <w:rPr>
          <w:rFonts w:ascii="Times New Roman" w:eastAsia="Arial Unicode MS" w:hAnsi="Times New Roman" w:cs="Times New Roman"/>
          <w:color w:val="000000" w:themeColor="text1"/>
          <w:sz w:val="24"/>
          <w:lang w:val="en-IE" w:eastAsia="en-AU" w:bidi="hi-IN"/>
        </w:rPr>
      </w:pPr>
      <w:r>
        <w:rPr>
          <w:rFonts w:ascii="Times New Roman" w:eastAsia="Arial Unicode MS" w:hAnsi="Times New Roman" w:cs="Times New Roman"/>
          <w:color w:val="000000" w:themeColor="text1"/>
          <w:sz w:val="24"/>
          <w:lang w:val="en-IE" w:eastAsia="en-AU" w:bidi="hi-IN"/>
        </w:rPr>
        <w:t xml:space="preserve">Consumer </w:t>
      </w:r>
      <w:r w:rsidR="00170191">
        <w:rPr>
          <w:rFonts w:ascii="Times New Roman" w:eastAsia="Arial Unicode MS" w:hAnsi="Times New Roman" w:cs="Times New Roman"/>
          <w:color w:val="000000" w:themeColor="text1"/>
          <w:sz w:val="24"/>
          <w:lang w:val="en-IE" w:eastAsia="en-AU" w:bidi="hi-IN"/>
        </w:rPr>
        <w:t>data</w:t>
      </w:r>
      <w:r>
        <w:rPr>
          <w:rFonts w:ascii="Times New Roman" w:eastAsia="Arial Unicode MS" w:hAnsi="Times New Roman" w:cs="Times New Roman"/>
          <w:color w:val="000000" w:themeColor="text1"/>
          <w:sz w:val="24"/>
          <w:lang w:val="en-IE" w:eastAsia="en-AU" w:bidi="hi-IN"/>
        </w:rPr>
        <w:t xml:space="preserve"> can be used</w:t>
      </w:r>
      <w:r w:rsidR="00B33EDE">
        <w:rPr>
          <w:rFonts w:ascii="Times New Roman" w:eastAsia="Arial Unicode MS" w:hAnsi="Times New Roman" w:cs="Times New Roman"/>
          <w:color w:val="000000" w:themeColor="text1"/>
          <w:sz w:val="24"/>
          <w:lang w:val="en-IE" w:eastAsia="en-AU" w:bidi="hi-IN"/>
        </w:rPr>
        <w:t xml:space="preserve"> to identify individuals, violate their privacy and allow for profiling of individuals and groups.</w:t>
      </w:r>
      <w:r w:rsidR="00E860AF">
        <w:rPr>
          <w:rFonts w:ascii="Times New Roman" w:eastAsia="Arial Unicode MS" w:hAnsi="Times New Roman" w:cs="Times New Roman"/>
          <w:color w:val="000000" w:themeColor="text1"/>
          <w:sz w:val="24"/>
          <w:lang w:val="en-IE" w:eastAsia="en-AU" w:bidi="hi-IN"/>
        </w:rPr>
        <w:t xml:space="preserve"> </w:t>
      </w:r>
      <w:r w:rsidR="00124A39">
        <w:rPr>
          <w:rFonts w:ascii="Times New Roman" w:eastAsia="Arial Unicode MS" w:hAnsi="Times New Roman" w:cs="Times New Roman"/>
          <w:color w:val="000000" w:themeColor="text1"/>
          <w:sz w:val="24"/>
          <w:lang w:val="en-IE" w:eastAsia="en-AU" w:bidi="hi-IN"/>
        </w:rPr>
        <w:t xml:space="preserve">Transactional data from financial institutions can be used to provide detailed information concerning an individual’s purchasing habits, geographic locations and can be used for profiling of real-time behaviour. </w:t>
      </w:r>
      <w:r w:rsidR="004C68E0">
        <w:rPr>
          <w:rFonts w:ascii="Times New Roman" w:eastAsia="Arial Unicode MS" w:hAnsi="Times New Roman" w:cs="Times New Roman"/>
          <w:color w:val="000000" w:themeColor="text1"/>
          <w:sz w:val="24"/>
          <w:lang w:val="en-IE" w:eastAsia="en-AU" w:bidi="hi-IN"/>
        </w:rPr>
        <w:t xml:space="preserve">The current protections outlined within the draft legislation do not explicitly </w:t>
      </w:r>
      <w:r w:rsidR="001600B3">
        <w:rPr>
          <w:rFonts w:ascii="Times New Roman" w:eastAsia="Arial Unicode MS" w:hAnsi="Times New Roman" w:cs="Times New Roman"/>
          <w:color w:val="000000" w:themeColor="text1"/>
          <w:sz w:val="24"/>
          <w:lang w:val="en-IE" w:eastAsia="en-AU" w:bidi="hi-IN"/>
        </w:rPr>
        <w:t>bar the use of co</w:t>
      </w:r>
      <w:r w:rsidR="00015584">
        <w:rPr>
          <w:rFonts w:ascii="Times New Roman" w:eastAsia="Arial Unicode MS" w:hAnsi="Times New Roman" w:cs="Times New Roman"/>
          <w:color w:val="000000" w:themeColor="text1"/>
          <w:sz w:val="24"/>
          <w:lang w:val="en-IE" w:eastAsia="en-AU" w:bidi="hi-IN"/>
        </w:rPr>
        <w:t xml:space="preserve">nsumer data for this purpose, and are inadequate. </w:t>
      </w:r>
    </w:p>
    <w:p w:rsidR="001600B3" w:rsidRPr="00084427" w:rsidRDefault="00F836FC" w:rsidP="00A07B6E">
      <w:pPr>
        <w:spacing w:before="100" w:beforeAutospacing="1" w:after="100" w:afterAutospacing="1"/>
        <w:jc w:val="both"/>
        <w:rPr>
          <w:rFonts w:ascii="Times New Roman" w:eastAsia="Arial Unicode MS" w:hAnsi="Times New Roman" w:cs="Times New Roman"/>
          <w:color w:val="000000" w:themeColor="text1"/>
          <w:sz w:val="24"/>
          <w:lang w:val="en-IE" w:eastAsia="en-AU" w:bidi="hi-IN"/>
        </w:rPr>
      </w:pPr>
      <w:r>
        <w:rPr>
          <w:rFonts w:ascii="Times New Roman" w:eastAsia="Arial Unicode MS" w:hAnsi="Times New Roman" w:cs="Times New Roman"/>
          <w:color w:val="000000" w:themeColor="text1"/>
          <w:sz w:val="24"/>
          <w:lang w:val="en-IE" w:eastAsia="en-AU" w:bidi="hi-IN"/>
        </w:rPr>
        <w:t xml:space="preserve">Although transactional data may merely be </w:t>
      </w:r>
      <w:r w:rsidR="00D007F8">
        <w:rPr>
          <w:rFonts w:ascii="Times New Roman" w:eastAsia="Arial Unicode MS" w:hAnsi="Times New Roman" w:cs="Times New Roman"/>
          <w:color w:val="000000" w:themeColor="text1"/>
          <w:sz w:val="24"/>
          <w:lang w:val="en-IE" w:eastAsia="en-AU" w:bidi="hi-IN"/>
        </w:rPr>
        <w:t xml:space="preserve">a record </w:t>
      </w:r>
      <w:r w:rsidR="00A807C8">
        <w:rPr>
          <w:rFonts w:ascii="Times New Roman" w:eastAsia="Arial Unicode MS" w:hAnsi="Times New Roman" w:cs="Times New Roman"/>
          <w:color w:val="000000" w:themeColor="text1"/>
          <w:sz w:val="24"/>
          <w:lang w:val="en-IE" w:eastAsia="en-AU" w:bidi="hi-IN"/>
        </w:rPr>
        <w:t>of spending</w:t>
      </w:r>
      <w:r>
        <w:rPr>
          <w:rFonts w:ascii="Times New Roman" w:eastAsia="Arial Unicode MS" w:hAnsi="Times New Roman" w:cs="Times New Roman"/>
          <w:color w:val="000000" w:themeColor="text1"/>
          <w:sz w:val="24"/>
          <w:lang w:val="en-IE" w:eastAsia="en-AU" w:bidi="hi-IN"/>
        </w:rPr>
        <w:t xml:space="preserve"> activities, for con</w:t>
      </w:r>
      <w:r w:rsidR="00AF12B7">
        <w:rPr>
          <w:rFonts w:ascii="Times New Roman" w:eastAsia="Arial Unicode MS" w:hAnsi="Times New Roman" w:cs="Times New Roman"/>
          <w:color w:val="000000" w:themeColor="text1"/>
          <w:sz w:val="24"/>
          <w:lang w:val="en-IE" w:eastAsia="en-AU" w:bidi="hi-IN"/>
        </w:rPr>
        <w:t xml:space="preserve">sumers who transact </w:t>
      </w:r>
      <w:r>
        <w:rPr>
          <w:rFonts w:ascii="Times New Roman" w:eastAsia="Arial Unicode MS" w:hAnsi="Times New Roman" w:cs="Times New Roman"/>
          <w:color w:val="000000" w:themeColor="text1"/>
          <w:sz w:val="24"/>
          <w:lang w:val="en-IE" w:eastAsia="en-AU" w:bidi="hi-IN"/>
        </w:rPr>
        <w:t>with geographically specific retailers, a failure to anonymise this data provides information to malicious parties about</w:t>
      </w:r>
      <w:r w:rsidR="00D007F8">
        <w:rPr>
          <w:rFonts w:ascii="Times New Roman" w:eastAsia="Arial Unicode MS" w:hAnsi="Times New Roman" w:cs="Times New Roman"/>
          <w:color w:val="000000" w:themeColor="text1"/>
          <w:sz w:val="24"/>
          <w:lang w:val="en-IE" w:eastAsia="en-AU" w:bidi="hi-IN"/>
        </w:rPr>
        <w:t xml:space="preserve"> an</w:t>
      </w:r>
      <w:r>
        <w:rPr>
          <w:rFonts w:ascii="Times New Roman" w:eastAsia="Arial Unicode MS" w:hAnsi="Times New Roman" w:cs="Times New Roman"/>
          <w:color w:val="000000" w:themeColor="text1"/>
          <w:sz w:val="24"/>
          <w:lang w:val="en-IE" w:eastAsia="en-AU" w:bidi="hi-IN"/>
        </w:rPr>
        <w:t xml:space="preserve"> individual’</w:t>
      </w:r>
      <w:r w:rsidR="0004148D">
        <w:rPr>
          <w:rFonts w:ascii="Times New Roman" w:eastAsia="Arial Unicode MS" w:hAnsi="Times New Roman" w:cs="Times New Roman"/>
          <w:color w:val="000000" w:themeColor="text1"/>
          <w:sz w:val="24"/>
          <w:lang w:val="en-IE" w:eastAsia="en-AU" w:bidi="hi-IN"/>
        </w:rPr>
        <w:t>s daily</w:t>
      </w:r>
      <w:r>
        <w:rPr>
          <w:rFonts w:ascii="Times New Roman" w:eastAsia="Arial Unicode MS" w:hAnsi="Times New Roman" w:cs="Times New Roman"/>
          <w:color w:val="000000" w:themeColor="text1"/>
          <w:sz w:val="24"/>
          <w:lang w:val="en-IE" w:eastAsia="en-AU" w:bidi="hi-IN"/>
        </w:rPr>
        <w:t xml:space="preserve"> life. </w:t>
      </w:r>
      <w:r w:rsidR="00141647">
        <w:rPr>
          <w:rFonts w:ascii="Times New Roman" w:eastAsia="Arial Unicode MS" w:hAnsi="Times New Roman" w:cs="Times New Roman"/>
          <w:color w:val="000000" w:themeColor="text1"/>
          <w:sz w:val="24"/>
          <w:lang w:val="en-IE" w:eastAsia="en-AU" w:bidi="hi-IN"/>
        </w:rPr>
        <w:t>At a practical level this data m</w:t>
      </w:r>
      <w:r w:rsidR="00E860AF">
        <w:rPr>
          <w:rFonts w:ascii="Times New Roman" w:eastAsia="Arial Unicode MS" w:hAnsi="Times New Roman" w:cs="Times New Roman"/>
          <w:color w:val="000000" w:themeColor="text1"/>
          <w:sz w:val="24"/>
          <w:lang w:val="en-IE" w:eastAsia="en-AU" w:bidi="hi-IN"/>
        </w:rPr>
        <w:t xml:space="preserve">ay provide insights into </w:t>
      </w:r>
      <w:r w:rsidR="00141647">
        <w:rPr>
          <w:rFonts w:ascii="Times New Roman" w:eastAsia="Arial Unicode MS" w:hAnsi="Times New Roman" w:cs="Times New Roman"/>
          <w:color w:val="000000" w:themeColor="text1"/>
          <w:sz w:val="24"/>
          <w:lang w:val="en-IE" w:eastAsia="en-AU" w:bidi="hi-IN"/>
        </w:rPr>
        <w:t xml:space="preserve">an individual’s location at various times by reference to </w:t>
      </w:r>
      <w:r w:rsidR="00141647" w:rsidRPr="00084427">
        <w:rPr>
          <w:rFonts w:ascii="Times New Roman" w:eastAsia="Arial Unicode MS" w:hAnsi="Times New Roman" w:cs="Times New Roman"/>
          <w:color w:val="000000" w:themeColor="text1"/>
          <w:sz w:val="24"/>
          <w:lang w:val="en-IE" w:eastAsia="en-AU" w:bidi="hi-IN"/>
        </w:rPr>
        <w:t>a s</w:t>
      </w:r>
      <w:r w:rsidR="00C365BF" w:rsidRPr="00084427">
        <w:rPr>
          <w:rFonts w:ascii="Times New Roman" w:eastAsia="Arial Unicode MS" w:hAnsi="Times New Roman" w:cs="Times New Roman"/>
          <w:color w:val="000000" w:themeColor="text1"/>
          <w:sz w:val="24"/>
          <w:lang w:val="en-IE" w:eastAsia="en-AU" w:bidi="hi-IN"/>
        </w:rPr>
        <w:t xml:space="preserve">eries of data points including small purchases </w:t>
      </w:r>
      <w:r w:rsidR="00E94BED">
        <w:rPr>
          <w:rFonts w:ascii="Times New Roman" w:eastAsia="Arial Unicode MS" w:hAnsi="Times New Roman" w:cs="Times New Roman"/>
          <w:color w:val="000000" w:themeColor="text1"/>
          <w:sz w:val="24"/>
          <w:lang w:val="en-IE" w:eastAsia="en-AU" w:bidi="hi-IN"/>
        </w:rPr>
        <w:t xml:space="preserve">such as a cup of coffee, </w:t>
      </w:r>
      <w:r w:rsidR="00C365BF" w:rsidRPr="00084427">
        <w:rPr>
          <w:rFonts w:ascii="Times New Roman" w:eastAsia="Arial Unicode MS" w:hAnsi="Times New Roman" w:cs="Times New Roman"/>
          <w:color w:val="000000" w:themeColor="text1"/>
          <w:sz w:val="24"/>
          <w:lang w:val="en-IE" w:eastAsia="en-AU" w:bidi="hi-IN"/>
        </w:rPr>
        <w:t>or where they withdraw funds from ATMs.</w:t>
      </w:r>
    </w:p>
    <w:p w:rsidR="008340A5" w:rsidRDefault="00C365BF" w:rsidP="00A07B6E">
      <w:pPr>
        <w:spacing w:before="100" w:beforeAutospacing="1" w:after="100" w:afterAutospacing="1"/>
        <w:jc w:val="both"/>
        <w:rPr>
          <w:rFonts w:ascii="Times New Roman" w:eastAsia="Arial Unicode MS" w:hAnsi="Times New Roman" w:cs="Times New Roman"/>
          <w:color w:val="000000" w:themeColor="text1"/>
          <w:sz w:val="24"/>
          <w:lang w:val="en-IE" w:eastAsia="en-AU" w:bidi="hi-IN"/>
        </w:rPr>
      </w:pPr>
      <w:r w:rsidRPr="00084427">
        <w:rPr>
          <w:rFonts w:ascii="Times New Roman" w:eastAsia="Arial Unicode MS" w:hAnsi="Times New Roman" w:cs="Times New Roman"/>
          <w:color w:val="000000" w:themeColor="text1"/>
          <w:sz w:val="24"/>
          <w:lang w:val="en-IE" w:eastAsia="en-AU" w:bidi="hi-IN"/>
        </w:rPr>
        <w:t xml:space="preserve">For individuals and organisations who are maliciously inclined, this would allow for the targeting of vulnerable individuals based on their habits and movements at various times of </w:t>
      </w:r>
      <w:r w:rsidR="00084427">
        <w:rPr>
          <w:rFonts w:ascii="Times New Roman" w:eastAsia="Arial Unicode MS" w:hAnsi="Times New Roman" w:cs="Times New Roman"/>
          <w:color w:val="000000" w:themeColor="text1"/>
          <w:sz w:val="24"/>
          <w:lang w:val="en-IE" w:eastAsia="en-AU" w:bidi="hi-IN"/>
        </w:rPr>
        <w:t>day</w:t>
      </w:r>
      <w:r w:rsidRPr="00084427">
        <w:rPr>
          <w:rFonts w:ascii="Times New Roman" w:eastAsia="Arial Unicode MS" w:hAnsi="Times New Roman" w:cs="Times New Roman"/>
          <w:color w:val="000000" w:themeColor="text1"/>
          <w:sz w:val="24"/>
          <w:lang w:val="en-IE" w:eastAsia="en-AU" w:bidi="hi-IN"/>
        </w:rPr>
        <w:t xml:space="preserve">. </w:t>
      </w:r>
      <w:r w:rsidR="002A2A16">
        <w:rPr>
          <w:rFonts w:ascii="Times New Roman" w:eastAsia="Arial Unicode MS" w:hAnsi="Times New Roman" w:cs="Times New Roman"/>
          <w:color w:val="000000" w:themeColor="text1"/>
          <w:sz w:val="24"/>
          <w:lang w:val="en-IE" w:eastAsia="en-AU" w:bidi="hi-IN"/>
        </w:rPr>
        <w:t>This may create material risks to personal safety, or a significant personal loss of privacy.</w:t>
      </w:r>
    </w:p>
    <w:p w:rsidR="00E820B6" w:rsidRDefault="002E334F" w:rsidP="00A07B6E">
      <w:pPr>
        <w:spacing w:before="100" w:beforeAutospacing="1" w:after="100" w:afterAutospacing="1"/>
        <w:jc w:val="both"/>
        <w:rPr>
          <w:rFonts w:ascii="Times New Roman" w:eastAsia="Arial Unicode MS" w:hAnsi="Times New Roman" w:cs="Times New Roman"/>
          <w:color w:val="000000" w:themeColor="text1"/>
          <w:sz w:val="24"/>
          <w:lang w:val="en-IE" w:eastAsia="en-AU" w:bidi="hi-IN"/>
        </w:rPr>
      </w:pPr>
      <w:r>
        <w:rPr>
          <w:rFonts w:ascii="Times New Roman" w:eastAsia="Arial Unicode MS" w:hAnsi="Times New Roman" w:cs="Times New Roman"/>
          <w:color w:val="000000" w:themeColor="text1"/>
          <w:sz w:val="24"/>
          <w:lang w:val="en-IE" w:eastAsia="en-AU" w:bidi="hi-IN"/>
        </w:rPr>
        <w:t xml:space="preserve">The re-identification of individuals with the forms of data that may become available under the </w:t>
      </w:r>
      <w:r w:rsidRPr="002E334F">
        <w:rPr>
          <w:rFonts w:ascii="Times New Roman" w:eastAsia="Arial Unicode MS" w:hAnsi="Times New Roman" w:cs="Times New Roman"/>
          <w:color w:val="000000" w:themeColor="text1"/>
          <w:sz w:val="24"/>
          <w:lang w:val="en-IE" w:eastAsia="en-AU" w:bidi="hi-IN"/>
        </w:rPr>
        <w:t xml:space="preserve">CDR framework </w:t>
      </w:r>
      <w:r w:rsidR="00D007F8">
        <w:rPr>
          <w:rFonts w:ascii="Times New Roman" w:eastAsia="Arial Unicode MS" w:hAnsi="Times New Roman" w:cs="Times New Roman"/>
          <w:color w:val="000000" w:themeColor="text1"/>
          <w:sz w:val="24"/>
          <w:lang w:val="en-IE" w:eastAsia="en-AU" w:bidi="hi-IN"/>
        </w:rPr>
        <w:t xml:space="preserve">is </w:t>
      </w:r>
      <w:r w:rsidRPr="002E334F">
        <w:rPr>
          <w:rFonts w:ascii="Times New Roman" w:eastAsia="Arial Unicode MS" w:hAnsi="Times New Roman" w:cs="Times New Roman"/>
          <w:color w:val="000000" w:themeColor="text1"/>
          <w:sz w:val="24"/>
          <w:lang w:val="en-IE" w:eastAsia="en-AU" w:bidi="hi-IN"/>
        </w:rPr>
        <w:t xml:space="preserve">a risk </w:t>
      </w:r>
      <w:r w:rsidR="00564BCB" w:rsidRPr="002E334F">
        <w:rPr>
          <w:rFonts w:ascii="Times New Roman" w:eastAsia="Arial Unicode MS" w:hAnsi="Times New Roman" w:cs="Times New Roman"/>
          <w:noProof/>
          <w:color w:val="000000" w:themeColor="text1"/>
          <w:sz w:val="24"/>
          <w:lang w:val="en-IE" w:eastAsia="en-AU" w:bidi="hi-IN"/>
        </w:rPr>
        <w:t>(Su et al. 2017)</w:t>
      </w:r>
      <w:r w:rsidRPr="002E334F">
        <w:rPr>
          <w:rFonts w:ascii="Times New Roman" w:eastAsia="Arial Unicode MS" w:hAnsi="Times New Roman" w:cs="Times New Roman"/>
          <w:color w:val="000000" w:themeColor="text1"/>
          <w:sz w:val="24"/>
          <w:lang w:val="en-IE" w:eastAsia="en-AU" w:bidi="hi-IN"/>
        </w:rPr>
        <w:t>.</w:t>
      </w:r>
      <w:r w:rsidR="00CF40BB">
        <w:rPr>
          <w:rFonts w:ascii="Times New Roman" w:eastAsia="Arial Unicode MS" w:hAnsi="Times New Roman" w:cs="Times New Roman"/>
          <w:color w:val="000000" w:themeColor="text1"/>
          <w:sz w:val="24"/>
          <w:lang w:val="en-IE" w:eastAsia="en-AU" w:bidi="hi-IN"/>
        </w:rPr>
        <w:t xml:space="preserve"> </w:t>
      </w:r>
      <w:r w:rsidR="0045127F">
        <w:rPr>
          <w:rFonts w:ascii="Times New Roman" w:eastAsia="Arial Unicode MS" w:hAnsi="Times New Roman" w:cs="Times New Roman"/>
          <w:color w:val="000000" w:themeColor="text1"/>
          <w:sz w:val="24"/>
          <w:lang w:val="en-IE" w:eastAsia="en-AU" w:bidi="hi-IN"/>
        </w:rPr>
        <w:t xml:space="preserve">Although ACCAN considers that the designation of technical measures to address this risk is appropriately addressed through the rule making process, a clear and unambiguous ban should be </w:t>
      </w:r>
      <w:r w:rsidR="00E94BED">
        <w:rPr>
          <w:rFonts w:ascii="Times New Roman" w:eastAsia="Arial Unicode MS" w:hAnsi="Times New Roman" w:cs="Times New Roman"/>
          <w:color w:val="000000" w:themeColor="text1"/>
          <w:sz w:val="24"/>
          <w:lang w:val="en-IE" w:eastAsia="en-AU" w:bidi="hi-IN"/>
        </w:rPr>
        <w:t>included in the Bill</w:t>
      </w:r>
      <w:r w:rsidR="0045127F">
        <w:rPr>
          <w:rFonts w:ascii="Times New Roman" w:eastAsia="Arial Unicode MS" w:hAnsi="Times New Roman" w:cs="Times New Roman"/>
          <w:color w:val="000000" w:themeColor="text1"/>
          <w:sz w:val="24"/>
          <w:lang w:val="en-IE" w:eastAsia="en-AU" w:bidi="hi-IN"/>
        </w:rPr>
        <w:t>.</w:t>
      </w:r>
    </w:p>
    <w:p w:rsidR="00BC7836" w:rsidRPr="00A90C27" w:rsidRDefault="00850A6A" w:rsidP="00A07B6E">
      <w:pPr>
        <w:spacing w:before="100" w:beforeAutospacing="1" w:after="100" w:afterAutospacing="1"/>
        <w:jc w:val="both"/>
        <w:rPr>
          <w:rFonts w:ascii="Times New Roman" w:eastAsia="Arial Unicode MS" w:hAnsi="Times New Roman" w:cs="Times New Roman"/>
          <w:color w:val="000000" w:themeColor="text1"/>
          <w:sz w:val="24"/>
          <w:lang w:val="en-IE" w:eastAsia="en-AU" w:bidi="hi-IN"/>
        </w:rPr>
      </w:pPr>
      <w:r w:rsidRPr="00BC7836">
        <w:rPr>
          <w:rFonts w:ascii="Times New Roman" w:eastAsia="Arial Unicode MS" w:hAnsi="Times New Roman" w:cs="Times New Roman"/>
          <w:color w:val="000000" w:themeColor="text1"/>
          <w:sz w:val="24"/>
          <w:lang w:val="en-IE" w:eastAsia="en-AU" w:bidi="hi-IN"/>
        </w:rPr>
        <w:t xml:space="preserve">ACCAN considers that there are sufficient grounds for </w:t>
      </w:r>
      <w:r w:rsidR="00984060">
        <w:rPr>
          <w:rFonts w:ascii="Times New Roman" w:eastAsia="Arial Unicode MS" w:hAnsi="Times New Roman" w:cs="Times New Roman"/>
          <w:color w:val="000000" w:themeColor="text1"/>
          <w:sz w:val="24"/>
          <w:lang w:val="en-IE" w:eastAsia="en-AU" w:bidi="hi-IN"/>
        </w:rPr>
        <w:t xml:space="preserve">banning the </w:t>
      </w:r>
      <w:r w:rsidRPr="00BC7836">
        <w:rPr>
          <w:rFonts w:ascii="Times New Roman" w:eastAsia="Arial Unicode MS" w:hAnsi="Times New Roman" w:cs="Times New Roman"/>
          <w:color w:val="000000" w:themeColor="text1"/>
          <w:sz w:val="24"/>
          <w:lang w:val="en-IE" w:eastAsia="en-AU" w:bidi="hi-IN"/>
        </w:rPr>
        <w:t xml:space="preserve">re-identification of individuals using </w:t>
      </w:r>
      <w:r w:rsidR="00A90C27">
        <w:rPr>
          <w:rFonts w:ascii="Times New Roman" w:eastAsia="Arial Unicode MS" w:hAnsi="Times New Roman" w:cs="Times New Roman"/>
          <w:color w:val="000000" w:themeColor="text1"/>
          <w:sz w:val="24"/>
          <w:lang w:val="en-IE" w:eastAsia="en-AU" w:bidi="hi-IN"/>
        </w:rPr>
        <w:t>consumer data</w:t>
      </w:r>
      <w:r w:rsidRPr="00BC7836">
        <w:rPr>
          <w:rFonts w:ascii="Times New Roman" w:eastAsia="Arial Unicode MS" w:hAnsi="Times New Roman" w:cs="Times New Roman"/>
          <w:color w:val="000000" w:themeColor="text1"/>
          <w:sz w:val="24"/>
          <w:lang w:val="en-IE" w:eastAsia="en-AU" w:bidi="hi-IN"/>
        </w:rPr>
        <w:t xml:space="preserve">, and </w:t>
      </w:r>
      <w:r w:rsidR="00D007F8">
        <w:rPr>
          <w:rFonts w:ascii="Times New Roman" w:eastAsia="Arial Unicode MS" w:hAnsi="Times New Roman" w:cs="Times New Roman"/>
          <w:color w:val="000000" w:themeColor="text1"/>
          <w:sz w:val="24"/>
          <w:lang w:val="en-IE" w:eastAsia="en-AU" w:bidi="hi-IN"/>
        </w:rPr>
        <w:t xml:space="preserve">that re-identification should be </w:t>
      </w:r>
      <w:r w:rsidRPr="00BC7836">
        <w:rPr>
          <w:rFonts w:ascii="Times New Roman" w:eastAsia="Arial Unicode MS" w:hAnsi="Times New Roman" w:cs="Times New Roman"/>
          <w:color w:val="000000" w:themeColor="text1"/>
          <w:sz w:val="24"/>
          <w:lang w:val="en-IE" w:eastAsia="en-AU" w:bidi="hi-IN"/>
        </w:rPr>
        <w:t xml:space="preserve">made a criminal act subject to exemplary penalties under the </w:t>
      </w:r>
      <w:r w:rsidRPr="00BC7836">
        <w:rPr>
          <w:rFonts w:ascii="Times New Roman" w:eastAsia="Arial Unicode MS" w:hAnsi="Times New Roman" w:cs="Times New Roman"/>
          <w:i/>
          <w:color w:val="000000" w:themeColor="text1"/>
          <w:sz w:val="24"/>
          <w:lang w:val="en-IE" w:eastAsia="en-AU" w:bidi="hi-IN"/>
        </w:rPr>
        <w:t xml:space="preserve">Competition and Consumer Act 2010 </w:t>
      </w:r>
      <w:r w:rsidR="00BC7836" w:rsidRPr="00BC7836">
        <w:rPr>
          <w:rFonts w:ascii="Times New Roman" w:eastAsia="Arial Unicode MS" w:hAnsi="Times New Roman" w:cs="Times New Roman"/>
          <w:color w:val="000000" w:themeColor="text1"/>
          <w:sz w:val="24"/>
          <w:lang w:val="en-IE" w:eastAsia="en-AU" w:bidi="hi-IN"/>
        </w:rPr>
        <w:t>(</w:t>
      </w:r>
      <w:proofErr w:type="spellStart"/>
      <w:r w:rsidR="00BC7836" w:rsidRPr="00BC7836">
        <w:rPr>
          <w:rFonts w:ascii="Times New Roman" w:eastAsia="Arial Unicode MS" w:hAnsi="Times New Roman" w:cs="Times New Roman"/>
          <w:color w:val="000000" w:themeColor="text1"/>
          <w:sz w:val="24"/>
          <w:lang w:val="en-IE" w:eastAsia="en-AU" w:bidi="hi-IN"/>
        </w:rPr>
        <w:t>Cth</w:t>
      </w:r>
      <w:proofErr w:type="spellEnd"/>
      <w:r w:rsidR="00BC7836" w:rsidRPr="00BC7836">
        <w:rPr>
          <w:rFonts w:ascii="Times New Roman" w:eastAsia="Arial Unicode MS" w:hAnsi="Times New Roman" w:cs="Times New Roman"/>
          <w:color w:val="000000" w:themeColor="text1"/>
          <w:sz w:val="24"/>
          <w:lang w:val="en-IE" w:eastAsia="en-AU" w:bidi="hi-IN"/>
        </w:rPr>
        <w:t xml:space="preserve">). </w:t>
      </w:r>
    </w:p>
    <w:p w:rsidR="00712139" w:rsidRDefault="00B95FD1" w:rsidP="00A07B6E">
      <w:pPr>
        <w:spacing w:before="100" w:beforeAutospacing="1" w:after="100" w:afterAutospacing="1"/>
        <w:jc w:val="both"/>
        <w:rPr>
          <w:rFonts w:ascii="Times New Roman" w:eastAsia="Arial Unicode MS" w:hAnsi="Times New Roman" w:cs="Times New Roman"/>
          <w:sz w:val="24"/>
          <w:lang w:val="en-IE" w:eastAsia="en-AU" w:bidi="hi-IN"/>
        </w:rPr>
      </w:pPr>
      <w:r w:rsidRPr="00DD0AEA">
        <w:rPr>
          <w:rFonts w:ascii="Calibri" w:eastAsiaTheme="minorEastAsia" w:hAnsi="Calibri"/>
          <w:noProof/>
          <w:color w:val="000000" w:themeColor="text1"/>
          <w:sz w:val="24"/>
        </w:rPr>
        <mc:AlternateContent>
          <mc:Choice Requires="wps">
            <w:drawing>
              <wp:anchor distT="0" distB="0" distL="114300" distR="114300" simplePos="0" relativeHeight="251703296" behindDoc="0" locked="0" layoutInCell="1" allowOverlap="1" wp14:anchorId="06808967" wp14:editId="0C23E0C7">
                <wp:simplePos x="0" y="0"/>
                <wp:positionH relativeFrom="column">
                  <wp:posOffset>1413</wp:posOffset>
                </wp:positionH>
                <wp:positionV relativeFrom="paragraph">
                  <wp:posOffset>47256</wp:posOffset>
                </wp:positionV>
                <wp:extent cx="5720080" cy="998483"/>
                <wp:effectExtent l="0" t="0" r="7620" b="17780"/>
                <wp:wrapNone/>
                <wp:docPr id="12" name="Text Box 12"/>
                <wp:cNvGraphicFramePr/>
                <a:graphic xmlns:a="http://schemas.openxmlformats.org/drawingml/2006/main">
                  <a:graphicData uri="http://schemas.microsoft.com/office/word/2010/wordprocessingShape">
                    <wps:wsp>
                      <wps:cNvSpPr txBox="1"/>
                      <wps:spPr>
                        <a:xfrm>
                          <a:off x="0" y="0"/>
                          <a:ext cx="5720080" cy="998483"/>
                        </a:xfrm>
                        <a:prstGeom prst="rect">
                          <a:avLst/>
                        </a:prstGeom>
                        <a:solidFill>
                          <a:sysClr val="window" lastClr="FFFFFF"/>
                        </a:solidFill>
                        <a:ln w="6350">
                          <a:solidFill>
                            <a:srgbClr val="00B0F0"/>
                          </a:solidFill>
                        </a:ln>
                      </wps:spPr>
                      <wps:txbx>
                        <w:txbxContent>
                          <w:p w:rsidR="00DD5468" w:rsidRPr="001410E8" w:rsidRDefault="00DD5468" w:rsidP="00B95FD1">
                            <w:pPr>
                              <w:rPr>
                                <w:rFonts w:ascii="Times New Roman" w:hAnsi="Times New Roman" w:cs="Times New Roman"/>
                                <w:b/>
                              </w:rPr>
                            </w:pPr>
                            <w:r w:rsidRPr="001410E8">
                              <w:rPr>
                                <w:rFonts w:ascii="Times New Roman" w:hAnsi="Times New Roman" w:cs="Times New Roman"/>
                                <w:b/>
                              </w:rPr>
                              <w:t xml:space="preserve">Recommendation </w:t>
                            </w:r>
                            <w:r>
                              <w:rPr>
                                <w:rFonts w:ascii="Times New Roman" w:hAnsi="Times New Roman" w:cs="Times New Roman"/>
                                <w:b/>
                              </w:rPr>
                              <w:t>10</w:t>
                            </w:r>
                          </w:p>
                          <w:p w:rsidR="00DD5468" w:rsidRPr="001410E8" w:rsidRDefault="00DD5468" w:rsidP="00B95FD1">
                            <w:pPr>
                              <w:jc w:val="both"/>
                              <w:rPr>
                                <w:rFonts w:ascii="Times New Roman" w:hAnsi="Times New Roman" w:cs="Times New Roman"/>
                                <w:i/>
                              </w:rPr>
                            </w:pPr>
                            <w:r w:rsidRPr="001410E8">
                              <w:rPr>
                                <w:rFonts w:ascii="Times New Roman" w:hAnsi="Times New Roman" w:cs="Times New Roman"/>
                                <w:i/>
                              </w:rPr>
                              <w:t>That attempts to use CDR data for the purposes of re-identifying individual consumers be explicitly banned, with criminal penalties imposed for attempted and successful re-identification of individuals.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53" type="#_x0000_t202" style="position:absolute;left:0;text-align:left;margin-left:.1pt;margin-top:3.7pt;width:450.4pt;height:78.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" fillcolor="window" strokecolor="#00b0f0" strokeweight=".5pt">
                <v:textbox>
                  <w:txbxContent>
                    <w:p w:rsidR="00DD5468" w:rsidRPr="001410E8" w:rsidRDefault="00DD5468" w:rsidP="00B95FD1">
                      <w:pPr>
                        <w:rPr>
                          <w:rFonts w:ascii="Times New Roman" w:hAnsi="Times New Roman" w:cs="Times New Roman"/>
                          <w:b/>
                        </w:rPr>
                      </w:pPr>
                      <w:r w:rsidRPr="001410E8">
                        <w:rPr>
                          <w:rFonts w:ascii="Times New Roman" w:hAnsi="Times New Roman" w:cs="Times New Roman"/>
                          <w:b/>
                        </w:rPr>
                        <w:t xml:space="preserve">Recommendation </w:t>
                      </w:r>
                      <w:r>
                        <w:rPr>
                          <w:rFonts w:ascii="Times New Roman" w:hAnsi="Times New Roman" w:cs="Times New Roman"/>
                          <w:b/>
                        </w:rPr>
                        <w:t>10</w:t>
                      </w:r>
                    </w:p>
                    <w:p w:rsidR="00DD5468" w:rsidRPr="001410E8" w:rsidRDefault="00DD5468" w:rsidP="00B95FD1">
                      <w:pPr>
                        <w:jc w:val="both"/>
                        <w:rPr>
                          <w:rFonts w:ascii="Times New Roman" w:hAnsi="Times New Roman" w:cs="Times New Roman"/>
                          <w:i/>
                        </w:rPr>
                      </w:pPr>
                      <w:r w:rsidRPr="001410E8">
                        <w:rPr>
                          <w:rFonts w:ascii="Times New Roman" w:hAnsi="Times New Roman" w:cs="Times New Roman"/>
                          <w:i/>
                        </w:rPr>
                        <w:t>That attempts to use CDR data for the purposes of re-identifying individual consumers be explicitly banned, with criminal penalties imposed for attempted and successful re-identification of individuals.</w:t>
                      </w:r>
                    </w:p>
                  </w:txbxContent>
                </v:textbox>
              </v:shape>
            </w:pict>
          </mc:Fallback>
        </mc:AlternateContent>
      </w:r>
    </w:p>
    <w:p w:rsidR="00B95FD1" w:rsidRDefault="00B95FD1" w:rsidP="00A07B6E">
      <w:pPr>
        <w:spacing w:before="100" w:beforeAutospacing="1" w:after="100" w:afterAutospacing="1"/>
        <w:jc w:val="both"/>
        <w:rPr>
          <w:rFonts w:ascii="Times New Roman" w:eastAsia="Arial Unicode MS" w:hAnsi="Times New Roman" w:cs="Times New Roman"/>
          <w:sz w:val="24"/>
          <w:lang w:val="en-IE" w:eastAsia="en-AU" w:bidi="hi-IN"/>
        </w:rPr>
      </w:pPr>
    </w:p>
    <w:p w:rsidR="001746BF" w:rsidRDefault="001746BF" w:rsidP="0042174C">
      <w:pPr>
        <w:spacing w:before="100" w:beforeAutospacing="1" w:after="100" w:afterAutospacing="1" w:line="360" w:lineRule="auto"/>
        <w:jc w:val="both"/>
        <w:rPr>
          <w:rFonts w:ascii="Arial" w:eastAsiaTheme="minorEastAsia" w:hAnsi="Arial" w:cs="Arial"/>
          <w:b/>
          <w:sz w:val="32"/>
          <w:szCs w:val="32"/>
          <w:lang w:val="en-AU" w:eastAsia="en-AU"/>
        </w:rPr>
      </w:pPr>
    </w:p>
    <w:p w:rsidR="001270EF" w:rsidRDefault="001270EF" w:rsidP="003C2AF4">
      <w:pPr>
        <w:spacing w:before="100" w:beforeAutospacing="1" w:after="100" w:afterAutospacing="1"/>
        <w:jc w:val="both"/>
        <w:rPr>
          <w:rFonts w:ascii="Arial" w:eastAsiaTheme="minorEastAsia" w:hAnsi="Arial" w:cs="Arial"/>
          <w:b/>
          <w:sz w:val="32"/>
          <w:szCs w:val="32"/>
          <w:lang w:val="en-AU" w:eastAsia="en-AU"/>
        </w:rPr>
      </w:pPr>
    </w:p>
    <w:p w:rsidR="0042174C" w:rsidRPr="00987F8E" w:rsidRDefault="00640ADB" w:rsidP="003C2AF4">
      <w:pPr>
        <w:spacing w:before="100" w:beforeAutospacing="1" w:after="100" w:afterAutospacing="1"/>
        <w:jc w:val="both"/>
        <w:rPr>
          <w:rFonts w:ascii="Arial" w:eastAsiaTheme="minorEastAsia" w:hAnsi="Arial" w:cs="Arial"/>
          <w:b/>
          <w:sz w:val="32"/>
          <w:szCs w:val="32"/>
          <w:lang w:val="en-AU" w:eastAsia="en-AU"/>
        </w:rPr>
      </w:pPr>
      <w:r>
        <w:rPr>
          <w:rFonts w:ascii="Arial" w:eastAsiaTheme="minorEastAsia" w:hAnsi="Arial" w:cs="Arial"/>
          <w:b/>
          <w:sz w:val="32"/>
          <w:szCs w:val="32"/>
          <w:lang w:val="en-AU" w:eastAsia="en-AU"/>
        </w:rPr>
        <w:lastRenderedPageBreak/>
        <w:t>Privacy safeguards</w:t>
      </w:r>
    </w:p>
    <w:p w:rsidR="00304262" w:rsidRDefault="00E155EE" w:rsidP="003C2AF4">
      <w:pPr>
        <w:spacing w:before="100" w:beforeAutospacing="1" w:after="100" w:afterAutospacing="1"/>
        <w:jc w:val="both"/>
        <w:rPr>
          <w:rFonts w:ascii="Times New Roman" w:eastAsiaTheme="minorEastAsia" w:hAnsi="Times New Roman" w:cs="Times New Roman"/>
          <w:sz w:val="24"/>
          <w:szCs w:val="24"/>
          <w:lang w:val="en-AU" w:eastAsia="en-AU"/>
        </w:rPr>
      </w:pPr>
      <w:r>
        <w:rPr>
          <w:rFonts w:ascii="Times New Roman" w:eastAsiaTheme="minorEastAsia" w:hAnsi="Times New Roman" w:cs="Times New Roman"/>
          <w:sz w:val="24"/>
          <w:szCs w:val="24"/>
          <w:lang w:val="en-AU" w:eastAsia="en-AU"/>
        </w:rPr>
        <w:t>ACCAN supports the protection of consumer privacy and data and support</w:t>
      </w:r>
      <w:r w:rsidR="00ED6F7E">
        <w:rPr>
          <w:rFonts w:ascii="Times New Roman" w:eastAsiaTheme="minorEastAsia" w:hAnsi="Times New Roman" w:cs="Times New Roman"/>
          <w:sz w:val="24"/>
          <w:szCs w:val="24"/>
          <w:lang w:val="en-AU" w:eastAsia="en-AU"/>
        </w:rPr>
        <w:t>s</w:t>
      </w:r>
      <w:r>
        <w:rPr>
          <w:rFonts w:ascii="Times New Roman" w:eastAsiaTheme="minorEastAsia" w:hAnsi="Times New Roman" w:cs="Times New Roman"/>
          <w:sz w:val="24"/>
          <w:szCs w:val="24"/>
          <w:lang w:val="en-AU" w:eastAsia="en-AU"/>
        </w:rPr>
        <w:t xml:space="preserve"> the implementation of stronger privacy protections including those set out in the safeguards for all consumer data held by accredited entities</w:t>
      </w:r>
      <w:r w:rsidR="00776360">
        <w:rPr>
          <w:rFonts w:ascii="Times New Roman" w:eastAsiaTheme="minorEastAsia" w:hAnsi="Times New Roman" w:cs="Times New Roman"/>
          <w:sz w:val="24"/>
          <w:szCs w:val="24"/>
          <w:lang w:val="en-AU" w:eastAsia="en-AU"/>
        </w:rPr>
        <w:t xml:space="preserve"> in the Bill</w:t>
      </w:r>
      <w:r>
        <w:rPr>
          <w:rFonts w:ascii="Times New Roman" w:eastAsiaTheme="minorEastAsia" w:hAnsi="Times New Roman" w:cs="Times New Roman"/>
          <w:sz w:val="24"/>
          <w:szCs w:val="24"/>
          <w:lang w:val="en-AU" w:eastAsia="en-AU"/>
        </w:rPr>
        <w:t xml:space="preserve">. </w:t>
      </w:r>
      <w:r w:rsidR="00D27A66">
        <w:rPr>
          <w:rFonts w:ascii="Times New Roman" w:eastAsiaTheme="minorEastAsia" w:hAnsi="Times New Roman" w:cs="Times New Roman"/>
          <w:sz w:val="24"/>
          <w:szCs w:val="24"/>
          <w:lang w:val="en-AU" w:eastAsia="en-AU"/>
        </w:rPr>
        <w:t>Accordingly,</w:t>
      </w:r>
      <w:r w:rsidR="00304262">
        <w:rPr>
          <w:rFonts w:ascii="Times New Roman" w:eastAsiaTheme="minorEastAsia" w:hAnsi="Times New Roman" w:cs="Times New Roman"/>
          <w:sz w:val="24"/>
          <w:szCs w:val="24"/>
          <w:lang w:val="en-AU" w:eastAsia="en-AU"/>
        </w:rPr>
        <w:t xml:space="preserve"> we support the extension of all the privacy safeguards set out within the</w:t>
      </w:r>
      <w:r w:rsidR="00246B7D">
        <w:rPr>
          <w:rFonts w:ascii="Times New Roman" w:eastAsiaTheme="minorEastAsia" w:hAnsi="Times New Roman" w:cs="Times New Roman"/>
          <w:sz w:val="24"/>
          <w:szCs w:val="24"/>
          <w:lang w:val="en-AU" w:eastAsia="en-AU"/>
        </w:rPr>
        <w:t xml:space="preserve"> draft legislation to data holders</w:t>
      </w:r>
      <w:r w:rsidR="00E90053">
        <w:rPr>
          <w:rFonts w:ascii="Times New Roman" w:eastAsiaTheme="minorEastAsia" w:hAnsi="Times New Roman" w:cs="Times New Roman"/>
          <w:sz w:val="24"/>
          <w:szCs w:val="24"/>
          <w:lang w:val="en-AU" w:eastAsia="en-AU"/>
        </w:rPr>
        <w:t>, noting the significant limitations of the Privacy Safeguards set out in detail in the submission of the Financial Rights Legal Centre.</w:t>
      </w:r>
    </w:p>
    <w:p w:rsidR="00A122C0" w:rsidRDefault="00A122C0" w:rsidP="003C2AF4">
      <w:pPr>
        <w:spacing w:before="100" w:beforeAutospacing="1" w:after="100" w:afterAutospacing="1"/>
        <w:jc w:val="both"/>
        <w:rPr>
          <w:rFonts w:ascii="Times New Roman" w:eastAsiaTheme="minorEastAsia" w:hAnsi="Times New Roman" w:cs="Times New Roman"/>
          <w:sz w:val="24"/>
          <w:szCs w:val="24"/>
          <w:lang w:val="en-AU" w:eastAsia="en-AU"/>
        </w:rPr>
      </w:pPr>
      <w:r>
        <w:rPr>
          <w:rFonts w:ascii="Times New Roman" w:eastAsiaTheme="minorEastAsia" w:hAnsi="Times New Roman" w:cs="Times New Roman"/>
          <w:sz w:val="24"/>
          <w:szCs w:val="24"/>
          <w:lang w:val="en-AU" w:eastAsia="en-AU"/>
        </w:rPr>
        <w:t>In the absence of robust protections, consumers are unlikely to engage with the proposed framework which will result in minimum consumer and economic benefits, whilst entailing considerable regulatory and industry costs.</w:t>
      </w:r>
      <w:r w:rsidR="00146E77">
        <w:rPr>
          <w:rFonts w:ascii="Times New Roman" w:eastAsiaTheme="minorEastAsia" w:hAnsi="Times New Roman" w:cs="Times New Roman"/>
          <w:sz w:val="24"/>
          <w:szCs w:val="24"/>
          <w:lang w:val="en-AU" w:eastAsia="en-AU"/>
        </w:rPr>
        <w:t xml:space="preserve"> </w:t>
      </w:r>
      <w:r w:rsidR="0048029F">
        <w:rPr>
          <w:rFonts w:ascii="Times New Roman" w:eastAsiaTheme="minorEastAsia" w:hAnsi="Times New Roman" w:cs="Times New Roman"/>
          <w:sz w:val="24"/>
          <w:szCs w:val="24"/>
          <w:lang w:val="en-AU" w:eastAsia="en-AU"/>
        </w:rPr>
        <w:t>Moreover, consumers will continue to have poor privacy protections and continue to face detriment through the loss, theft or leakage of their data.</w:t>
      </w:r>
    </w:p>
    <w:p w:rsidR="00304262" w:rsidRDefault="00C8710B" w:rsidP="00E155EE">
      <w:pPr>
        <w:spacing w:before="100" w:beforeAutospacing="1" w:after="100" w:afterAutospacing="1"/>
        <w:jc w:val="both"/>
        <w:rPr>
          <w:rFonts w:ascii="Times New Roman" w:eastAsiaTheme="minorEastAsia" w:hAnsi="Times New Roman" w:cs="Times New Roman"/>
          <w:sz w:val="24"/>
          <w:szCs w:val="24"/>
          <w:lang w:val="en-AU" w:eastAsia="en-AU"/>
        </w:rPr>
      </w:pPr>
      <w:r w:rsidRPr="00DD0AEA">
        <w:rPr>
          <w:rFonts w:ascii="Calibri" w:eastAsiaTheme="minorEastAsia" w:hAnsi="Calibri"/>
          <w:noProof/>
          <w:color w:val="000000" w:themeColor="text1"/>
          <w:sz w:val="24"/>
        </w:rPr>
        <mc:AlternateContent>
          <mc:Choice Requires="wps">
            <w:drawing>
              <wp:anchor distT="0" distB="0" distL="114300" distR="114300" simplePos="0" relativeHeight="251774976" behindDoc="0" locked="0" layoutInCell="1" allowOverlap="1" wp14:anchorId="5FE485F7" wp14:editId="5CF44306">
                <wp:simplePos x="0" y="0"/>
                <wp:positionH relativeFrom="column">
                  <wp:posOffset>0</wp:posOffset>
                </wp:positionH>
                <wp:positionV relativeFrom="paragraph">
                  <wp:posOffset>-27296</wp:posOffset>
                </wp:positionV>
                <wp:extent cx="5720080" cy="696036"/>
                <wp:effectExtent l="0" t="0" r="13970" b="27940"/>
                <wp:wrapNone/>
                <wp:docPr id="45" name="Text Box 45"/>
                <wp:cNvGraphicFramePr/>
                <a:graphic xmlns:a="http://schemas.openxmlformats.org/drawingml/2006/main">
                  <a:graphicData uri="http://schemas.microsoft.com/office/word/2010/wordprocessingShape">
                    <wps:wsp>
                      <wps:cNvSpPr txBox="1"/>
                      <wps:spPr>
                        <a:xfrm>
                          <a:off x="0" y="0"/>
                          <a:ext cx="5720080" cy="696036"/>
                        </a:xfrm>
                        <a:prstGeom prst="rect">
                          <a:avLst/>
                        </a:prstGeom>
                        <a:solidFill>
                          <a:sysClr val="window" lastClr="FFFFFF"/>
                        </a:solidFill>
                        <a:ln w="6350">
                          <a:solidFill>
                            <a:srgbClr val="00B0F0"/>
                          </a:solidFill>
                        </a:ln>
                      </wps:spPr>
                      <wps:txbx>
                        <w:txbxContent>
                          <w:p w:rsidR="00DD5468" w:rsidRPr="00327A98" w:rsidRDefault="00DD5468" w:rsidP="00C8710B">
                            <w:pPr>
                              <w:rPr>
                                <w:rFonts w:ascii="Times New Roman" w:hAnsi="Times New Roman" w:cs="Times New Roman"/>
                                <w:b/>
                              </w:rPr>
                            </w:pPr>
                            <w:r w:rsidRPr="00327A98">
                              <w:rPr>
                                <w:rFonts w:ascii="Times New Roman" w:hAnsi="Times New Roman" w:cs="Times New Roman"/>
                                <w:b/>
                              </w:rPr>
                              <w:t>Recommendation 1</w:t>
                            </w:r>
                            <w:r>
                              <w:rPr>
                                <w:rFonts w:ascii="Times New Roman" w:hAnsi="Times New Roman" w:cs="Times New Roman"/>
                                <w:b/>
                              </w:rPr>
                              <w:t>1</w:t>
                            </w:r>
                          </w:p>
                          <w:p w:rsidR="00DD5468" w:rsidRPr="00327A98" w:rsidRDefault="00DD5468" w:rsidP="00C8710B">
                            <w:pPr>
                              <w:jc w:val="both"/>
                              <w:rPr>
                                <w:rFonts w:ascii="Times New Roman" w:hAnsi="Times New Roman" w:cs="Times New Roman"/>
                                <w:i/>
                              </w:rPr>
                            </w:pPr>
                            <w:r w:rsidRPr="00327A98">
                              <w:rPr>
                                <w:rFonts w:ascii="Times New Roman" w:hAnsi="Times New Roman" w:cs="Times New Roman"/>
                                <w:i/>
                              </w:rPr>
                              <w:t>That all of the Privacy Safeguards set out within the draft legislation are applied to data holders.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5" o:spid="_x0000_s1054" type="#_x0000_t202" style="position:absolute;left:0;text-align:left;margin-left:0;margin-top:-2.15pt;width:450.4pt;height:54.8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" fillcolor="window" strokecolor="#00b0f0" strokeweight=".5pt">
                <v:textbox>
                  <w:txbxContent>
                    <w:p w:rsidR="00DD5468" w:rsidRPr="00327A98" w:rsidRDefault="00DD5468" w:rsidP="00C8710B">
                      <w:pPr>
                        <w:rPr>
                          <w:rFonts w:ascii="Times New Roman" w:hAnsi="Times New Roman" w:cs="Times New Roman"/>
                          <w:b/>
                        </w:rPr>
                      </w:pPr>
                      <w:r w:rsidRPr="00327A98">
                        <w:rPr>
                          <w:rFonts w:ascii="Times New Roman" w:hAnsi="Times New Roman" w:cs="Times New Roman"/>
                          <w:b/>
                        </w:rPr>
                        <w:t>Recommendation 1</w:t>
                      </w:r>
                      <w:r>
                        <w:rPr>
                          <w:rFonts w:ascii="Times New Roman" w:hAnsi="Times New Roman" w:cs="Times New Roman"/>
                          <w:b/>
                        </w:rPr>
                        <w:t>1</w:t>
                      </w:r>
                    </w:p>
                    <w:p w:rsidR="00DD5468" w:rsidRPr="00327A98" w:rsidRDefault="00DD5468" w:rsidP="00C8710B">
                      <w:pPr>
                        <w:jc w:val="both"/>
                        <w:rPr>
                          <w:rFonts w:ascii="Times New Roman" w:hAnsi="Times New Roman" w:cs="Times New Roman"/>
                          <w:i/>
                        </w:rPr>
                      </w:pPr>
                      <w:r w:rsidRPr="00327A98">
                        <w:rPr>
                          <w:rFonts w:ascii="Times New Roman" w:hAnsi="Times New Roman" w:cs="Times New Roman"/>
                          <w:i/>
                        </w:rPr>
                        <w:t>That all of the Privacy Safeguards set out within the draft legislation are applied to data holders.</w:t>
                      </w:r>
                    </w:p>
                  </w:txbxContent>
                </v:textbox>
              </v:shape>
            </w:pict>
          </mc:Fallback>
        </mc:AlternateContent>
      </w:r>
    </w:p>
    <w:p w:rsidR="00B92BDC" w:rsidRDefault="00B92BDC" w:rsidP="003C2AF4">
      <w:pPr>
        <w:spacing w:before="100" w:beforeAutospacing="1" w:after="100" w:afterAutospacing="1" w:line="360" w:lineRule="auto"/>
        <w:jc w:val="both"/>
        <w:rPr>
          <w:rFonts w:ascii="Arial" w:eastAsiaTheme="minorEastAsia" w:hAnsi="Arial" w:cs="Arial"/>
          <w:b/>
          <w:sz w:val="32"/>
          <w:szCs w:val="32"/>
          <w:lang w:val="en-AU" w:eastAsia="en-AU"/>
        </w:rPr>
      </w:pPr>
    </w:p>
    <w:p w:rsidR="00FF1ADC" w:rsidRPr="003C2AF4" w:rsidRDefault="004A47CF" w:rsidP="003C2AF4">
      <w:pPr>
        <w:spacing w:before="100" w:beforeAutospacing="1" w:after="100" w:afterAutospacing="1" w:line="360" w:lineRule="auto"/>
        <w:jc w:val="both"/>
        <w:rPr>
          <w:rFonts w:ascii="Arial" w:eastAsiaTheme="minorEastAsia" w:hAnsi="Arial" w:cs="Arial"/>
          <w:b/>
          <w:sz w:val="32"/>
          <w:szCs w:val="32"/>
          <w:lang w:val="en-AU" w:eastAsia="en-AU"/>
        </w:rPr>
      </w:pPr>
      <w:proofErr w:type="gramStart"/>
      <w:r>
        <w:rPr>
          <w:rFonts w:ascii="Arial" w:eastAsiaTheme="minorEastAsia" w:hAnsi="Arial" w:cs="Arial"/>
          <w:b/>
          <w:sz w:val="32"/>
          <w:szCs w:val="32"/>
          <w:lang w:val="en-AU" w:eastAsia="en-AU"/>
        </w:rPr>
        <w:t>P</w:t>
      </w:r>
      <w:r w:rsidR="00FF1ADC">
        <w:rPr>
          <w:rFonts w:ascii="Arial" w:eastAsiaTheme="minorEastAsia" w:hAnsi="Arial" w:cs="Arial"/>
          <w:b/>
          <w:sz w:val="32"/>
          <w:szCs w:val="32"/>
          <w:lang w:val="en-AU" w:eastAsia="en-AU"/>
        </w:rPr>
        <w:t>arallel or substitute</w:t>
      </w:r>
      <w:r>
        <w:rPr>
          <w:rFonts w:ascii="Arial" w:eastAsiaTheme="minorEastAsia" w:hAnsi="Arial" w:cs="Arial"/>
          <w:b/>
          <w:sz w:val="32"/>
          <w:szCs w:val="32"/>
          <w:lang w:val="en-AU" w:eastAsia="en-AU"/>
        </w:rPr>
        <w:t xml:space="preserve"> privacy obligations</w:t>
      </w:r>
      <w:r w:rsidR="00FF1ADC">
        <w:rPr>
          <w:rFonts w:ascii="Arial" w:eastAsiaTheme="minorEastAsia" w:hAnsi="Arial" w:cs="Arial"/>
          <w:b/>
          <w:sz w:val="32"/>
          <w:szCs w:val="32"/>
          <w:lang w:val="en-AU" w:eastAsia="en-AU"/>
        </w:rPr>
        <w:t>?</w:t>
      </w:r>
      <w:proofErr w:type="gramEnd"/>
    </w:p>
    <w:p w:rsidR="00437BCE" w:rsidRDefault="00437BCE" w:rsidP="00D07E30">
      <w:pPr>
        <w:spacing w:before="100" w:beforeAutospacing="1" w:after="100" w:afterAutospacing="1"/>
        <w:jc w:val="both"/>
        <w:rPr>
          <w:rFonts w:ascii="Times New Roman" w:eastAsiaTheme="minorEastAsia" w:hAnsi="Times New Roman" w:cs="Times New Roman"/>
          <w:color w:val="000000" w:themeColor="text1"/>
          <w:sz w:val="24"/>
          <w:szCs w:val="24"/>
          <w:lang w:val="en-AU" w:eastAsia="en-AU"/>
        </w:rPr>
      </w:pPr>
      <w:r>
        <w:rPr>
          <w:rFonts w:ascii="Times New Roman" w:eastAsiaTheme="minorEastAsia" w:hAnsi="Times New Roman" w:cs="Times New Roman"/>
          <w:color w:val="000000" w:themeColor="text1"/>
          <w:sz w:val="24"/>
          <w:szCs w:val="24"/>
          <w:lang w:val="en-AU" w:eastAsia="en-AU"/>
        </w:rPr>
        <w:t xml:space="preserve">ACCAN supports economy-wide reform to privacy and data protection for consumers. However, in the absence of such reform, </w:t>
      </w:r>
      <w:r w:rsidR="00D27D25">
        <w:rPr>
          <w:rFonts w:ascii="Times New Roman" w:eastAsiaTheme="minorEastAsia" w:hAnsi="Times New Roman" w:cs="Times New Roman"/>
          <w:color w:val="000000" w:themeColor="text1"/>
          <w:sz w:val="24"/>
          <w:szCs w:val="24"/>
          <w:lang w:val="en-AU" w:eastAsia="en-AU"/>
        </w:rPr>
        <w:t>steps should be taken to provide the greatest</w:t>
      </w:r>
      <w:r w:rsidR="00204433">
        <w:rPr>
          <w:rFonts w:ascii="Times New Roman" w:eastAsiaTheme="minorEastAsia" w:hAnsi="Times New Roman" w:cs="Times New Roman"/>
          <w:color w:val="000000" w:themeColor="text1"/>
          <w:sz w:val="24"/>
          <w:szCs w:val="24"/>
          <w:lang w:val="en-AU" w:eastAsia="en-AU"/>
        </w:rPr>
        <w:t xml:space="preserve"> possible privacy protections to consumers. </w:t>
      </w:r>
    </w:p>
    <w:p w:rsidR="00F67167" w:rsidRPr="00611494" w:rsidRDefault="009F1F82" w:rsidP="00D07E30">
      <w:pPr>
        <w:spacing w:before="100" w:beforeAutospacing="1" w:after="100" w:afterAutospacing="1"/>
        <w:jc w:val="both"/>
        <w:rPr>
          <w:rFonts w:ascii="Times New Roman" w:eastAsiaTheme="minorEastAsia" w:hAnsi="Times New Roman" w:cs="Times New Roman"/>
          <w:color w:val="000000" w:themeColor="text1"/>
          <w:sz w:val="24"/>
          <w:szCs w:val="24"/>
          <w:lang w:val="en-AU" w:eastAsia="en-AU"/>
        </w:rPr>
      </w:pPr>
      <w:r w:rsidRPr="00611494">
        <w:rPr>
          <w:rFonts w:ascii="Times New Roman" w:eastAsiaTheme="minorEastAsia" w:hAnsi="Times New Roman" w:cs="Times New Roman"/>
          <w:color w:val="000000" w:themeColor="text1"/>
          <w:sz w:val="24"/>
          <w:szCs w:val="24"/>
          <w:lang w:val="en-AU" w:eastAsia="en-AU"/>
        </w:rPr>
        <w:t xml:space="preserve">The </w:t>
      </w:r>
      <w:r w:rsidR="004739B5">
        <w:rPr>
          <w:rFonts w:ascii="Times New Roman" w:eastAsiaTheme="minorEastAsia" w:hAnsi="Times New Roman" w:cs="Times New Roman"/>
          <w:color w:val="000000" w:themeColor="text1"/>
          <w:sz w:val="24"/>
          <w:szCs w:val="24"/>
          <w:lang w:val="en-AU" w:eastAsia="en-AU"/>
        </w:rPr>
        <w:t xml:space="preserve">Privacy Safeguards are an additional layer of privacy protection for consumers, in addition to the more limited protections provided under the Australian Privacy Principles. </w:t>
      </w:r>
      <w:r w:rsidR="00A33D18">
        <w:rPr>
          <w:rFonts w:ascii="Times New Roman" w:eastAsiaTheme="minorEastAsia" w:hAnsi="Times New Roman" w:cs="Times New Roman"/>
          <w:color w:val="000000" w:themeColor="text1"/>
          <w:sz w:val="24"/>
          <w:szCs w:val="24"/>
          <w:lang w:val="en-AU" w:eastAsia="en-AU"/>
        </w:rPr>
        <w:t xml:space="preserve">As neither framework provides for the comprehensive protection of consumer privacy, </w:t>
      </w:r>
      <w:r w:rsidR="00563B9C">
        <w:rPr>
          <w:rFonts w:ascii="Times New Roman" w:eastAsiaTheme="minorEastAsia" w:hAnsi="Times New Roman" w:cs="Times New Roman"/>
          <w:color w:val="000000" w:themeColor="text1"/>
          <w:sz w:val="24"/>
          <w:szCs w:val="24"/>
          <w:lang w:val="en-AU" w:eastAsia="en-AU"/>
        </w:rPr>
        <w:t>we</w:t>
      </w:r>
      <w:r w:rsidR="00A33D18">
        <w:rPr>
          <w:rFonts w:ascii="Times New Roman" w:eastAsiaTheme="minorEastAsia" w:hAnsi="Times New Roman" w:cs="Times New Roman"/>
          <w:color w:val="000000" w:themeColor="text1"/>
          <w:sz w:val="24"/>
          <w:szCs w:val="24"/>
          <w:lang w:val="en-AU" w:eastAsia="en-AU"/>
        </w:rPr>
        <w:t xml:space="preserve"> </w:t>
      </w:r>
      <w:r w:rsidR="00A90C27">
        <w:rPr>
          <w:rFonts w:ascii="Times New Roman" w:eastAsiaTheme="minorEastAsia" w:hAnsi="Times New Roman" w:cs="Times New Roman"/>
          <w:color w:val="000000" w:themeColor="text1"/>
          <w:sz w:val="24"/>
          <w:szCs w:val="24"/>
          <w:lang w:val="en-AU" w:eastAsia="en-AU"/>
        </w:rPr>
        <w:t>consider</w:t>
      </w:r>
      <w:r w:rsidR="00A33D18">
        <w:rPr>
          <w:rFonts w:ascii="Times New Roman" w:eastAsiaTheme="minorEastAsia" w:hAnsi="Times New Roman" w:cs="Times New Roman"/>
          <w:color w:val="000000" w:themeColor="text1"/>
          <w:sz w:val="24"/>
          <w:szCs w:val="24"/>
          <w:lang w:val="en-AU" w:eastAsia="en-AU"/>
        </w:rPr>
        <w:t xml:space="preserve"> that it is appropriate that the systems be operated in parallel, with tiered obligations for consumer data under the CDR, and more general uniform protections under the Australian Privacy Principles.</w:t>
      </w:r>
    </w:p>
    <w:p w:rsidR="00A33D18" w:rsidRDefault="00391816" w:rsidP="00D07E30">
      <w:pPr>
        <w:spacing w:before="100" w:beforeAutospacing="1" w:after="100" w:afterAutospacing="1"/>
        <w:jc w:val="both"/>
        <w:rPr>
          <w:rFonts w:ascii="Times New Roman" w:eastAsiaTheme="minorEastAsia" w:hAnsi="Times New Roman" w:cs="Times New Roman"/>
          <w:color w:val="000000" w:themeColor="text1"/>
          <w:sz w:val="24"/>
          <w:szCs w:val="24"/>
          <w:lang w:val="en-AU" w:eastAsia="en-AU"/>
        </w:rPr>
      </w:pPr>
      <w:r w:rsidRPr="00170191">
        <w:rPr>
          <w:rFonts w:ascii="Times New Roman" w:eastAsiaTheme="minorEastAsia" w:hAnsi="Times New Roman" w:cs="Times New Roman"/>
          <w:sz w:val="24"/>
          <w:szCs w:val="24"/>
          <w:lang w:val="en-AU" w:eastAsia="en-AU"/>
        </w:rPr>
        <w:t xml:space="preserve">This is not, by any reckoning, an ideal framework </w:t>
      </w:r>
      <w:r w:rsidRPr="00391816">
        <w:rPr>
          <w:rFonts w:ascii="Times New Roman" w:eastAsiaTheme="minorEastAsia" w:hAnsi="Times New Roman" w:cs="Times New Roman"/>
          <w:color w:val="000000" w:themeColor="text1"/>
          <w:sz w:val="24"/>
          <w:szCs w:val="24"/>
          <w:lang w:val="en-AU" w:eastAsia="en-AU"/>
        </w:rPr>
        <w:t xml:space="preserve">for the management of privacy and accordingly we support the adoption of a uniform economy-wide framework for the regulation of data and privacy. </w:t>
      </w:r>
      <w:r w:rsidR="00B15E0D">
        <w:rPr>
          <w:rFonts w:ascii="Times New Roman" w:eastAsiaTheme="minorEastAsia" w:hAnsi="Times New Roman" w:cs="Times New Roman"/>
          <w:color w:val="000000" w:themeColor="text1"/>
          <w:sz w:val="24"/>
          <w:szCs w:val="24"/>
          <w:lang w:val="en-AU" w:eastAsia="en-AU"/>
        </w:rPr>
        <w:t>ACCAN does not support substitution</w:t>
      </w:r>
      <w:r w:rsidR="00D67D01">
        <w:rPr>
          <w:rFonts w:ascii="Times New Roman" w:eastAsiaTheme="minorEastAsia" w:hAnsi="Times New Roman" w:cs="Times New Roman"/>
          <w:color w:val="000000" w:themeColor="text1"/>
          <w:sz w:val="24"/>
          <w:szCs w:val="24"/>
          <w:lang w:val="en-AU" w:eastAsia="en-AU"/>
        </w:rPr>
        <w:t xml:space="preserve"> of either the CDR Privacy </w:t>
      </w:r>
      <w:r w:rsidR="00437BCE">
        <w:rPr>
          <w:rFonts w:ascii="Times New Roman" w:eastAsiaTheme="minorEastAsia" w:hAnsi="Times New Roman" w:cs="Times New Roman"/>
          <w:color w:val="000000" w:themeColor="text1"/>
          <w:sz w:val="24"/>
          <w:szCs w:val="24"/>
          <w:lang w:val="en-AU" w:eastAsia="en-AU"/>
        </w:rPr>
        <w:t>Safeguards</w:t>
      </w:r>
      <w:r w:rsidR="00D67D01">
        <w:rPr>
          <w:rFonts w:ascii="Times New Roman" w:eastAsiaTheme="minorEastAsia" w:hAnsi="Times New Roman" w:cs="Times New Roman"/>
          <w:color w:val="000000" w:themeColor="text1"/>
          <w:sz w:val="24"/>
          <w:szCs w:val="24"/>
          <w:lang w:val="en-AU" w:eastAsia="en-AU"/>
        </w:rPr>
        <w:t xml:space="preserve"> with the A</w:t>
      </w:r>
      <w:r w:rsidR="00780BF3">
        <w:rPr>
          <w:rFonts w:ascii="Times New Roman" w:eastAsiaTheme="minorEastAsia" w:hAnsi="Times New Roman" w:cs="Times New Roman"/>
          <w:color w:val="000000" w:themeColor="text1"/>
          <w:sz w:val="24"/>
          <w:szCs w:val="24"/>
          <w:lang w:val="en-AU" w:eastAsia="en-AU"/>
        </w:rPr>
        <w:t xml:space="preserve">ustralian </w:t>
      </w:r>
      <w:r w:rsidR="00D67D01">
        <w:rPr>
          <w:rFonts w:ascii="Times New Roman" w:eastAsiaTheme="minorEastAsia" w:hAnsi="Times New Roman" w:cs="Times New Roman"/>
          <w:color w:val="000000" w:themeColor="text1"/>
          <w:sz w:val="24"/>
          <w:szCs w:val="24"/>
          <w:lang w:val="en-AU" w:eastAsia="en-AU"/>
        </w:rPr>
        <w:t>P</w:t>
      </w:r>
      <w:r w:rsidR="00780BF3">
        <w:rPr>
          <w:rFonts w:ascii="Times New Roman" w:eastAsiaTheme="minorEastAsia" w:hAnsi="Times New Roman" w:cs="Times New Roman"/>
          <w:color w:val="000000" w:themeColor="text1"/>
          <w:sz w:val="24"/>
          <w:szCs w:val="24"/>
          <w:lang w:val="en-AU" w:eastAsia="en-AU"/>
        </w:rPr>
        <w:t xml:space="preserve">rivacy </w:t>
      </w:r>
      <w:r w:rsidR="00D67D01">
        <w:rPr>
          <w:rFonts w:ascii="Times New Roman" w:eastAsiaTheme="minorEastAsia" w:hAnsi="Times New Roman" w:cs="Times New Roman"/>
          <w:color w:val="000000" w:themeColor="text1"/>
          <w:sz w:val="24"/>
          <w:szCs w:val="24"/>
          <w:lang w:val="en-AU" w:eastAsia="en-AU"/>
        </w:rPr>
        <w:t>P</w:t>
      </w:r>
      <w:r w:rsidR="00780BF3">
        <w:rPr>
          <w:rFonts w:ascii="Times New Roman" w:eastAsiaTheme="minorEastAsia" w:hAnsi="Times New Roman" w:cs="Times New Roman"/>
          <w:color w:val="000000" w:themeColor="text1"/>
          <w:sz w:val="24"/>
          <w:szCs w:val="24"/>
          <w:lang w:val="en-AU" w:eastAsia="en-AU"/>
        </w:rPr>
        <w:t>rinciple</w:t>
      </w:r>
      <w:r w:rsidR="00D67D01">
        <w:rPr>
          <w:rFonts w:ascii="Times New Roman" w:eastAsiaTheme="minorEastAsia" w:hAnsi="Times New Roman" w:cs="Times New Roman"/>
          <w:color w:val="000000" w:themeColor="text1"/>
          <w:sz w:val="24"/>
          <w:szCs w:val="24"/>
          <w:lang w:val="en-AU" w:eastAsia="en-AU"/>
        </w:rPr>
        <w:t>s, or vice versa.</w:t>
      </w:r>
      <w:r w:rsidR="00B15E0D">
        <w:rPr>
          <w:rFonts w:ascii="Times New Roman" w:eastAsiaTheme="minorEastAsia" w:hAnsi="Times New Roman" w:cs="Times New Roman"/>
          <w:color w:val="000000" w:themeColor="text1"/>
          <w:sz w:val="24"/>
          <w:szCs w:val="24"/>
          <w:lang w:val="en-AU" w:eastAsia="en-AU"/>
        </w:rPr>
        <w:t xml:space="preserve"> </w:t>
      </w:r>
    </w:p>
    <w:p w:rsidR="001746BF" w:rsidRDefault="00611494" w:rsidP="00D07E30">
      <w:pPr>
        <w:spacing w:before="100" w:beforeAutospacing="1" w:after="100" w:afterAutospacing="1"/>
        <w:jc w:val="both"/>
        <w:rPr>
          <w:rFonts w:ascii="Times New Roman" w:eastAsiaTheme="minorEastAsia" w:hAnsi="Times New Roman" w:cs="Times New Roman"/>
          <w:sz w:val="24"/>
          <w:szCs w:val="24"/>
          <w:lang w:val="en-AU" w:eastAsia="en-AU"/>
        </w:rPr>
      </w:pPr>
      <w:r w:rsidRPr="00DD0AEA">
        <w:rPr>
          <w:rFonts w:ascii="Calibri" w:eastAsiaTheme="minorEastAsia" w:hAnsi="Calibri"/>
          <w:noProof/>
          <w:color w:val="000000" w:themeColor="text1"/>
          <w:sz w:val="24"/>
        </w:rPr>
        <mc:AlternateContent>
          <mc:Choice Requires="wps">
            <w:drawing>
              <wp:anchor distT="0" distB="0" distL="114300" distR="114300" simplePos="0" relativeHeight="251723776" behindDoc="0" locked="0" layoutInCell="1" allowOverlap="1" wp14:anchorId="7A28044B" wp14:editId="3352E1A2">
                <wp:simplePos x="0" y="0"/>
                <wp:positionH relativeFrom="column">
                  <wp:posOffset>12526</wp:posOffset>
                </wp:positionH>
                <wp:positionV relativeFrom="paragraph">
                  <wp:posOffset>137386</wp:posOffset>
                </wp:positionV>
                <wp:extent cx="5720080" cy="713984"/>
                <wp:effectExtent l="0" t="0" r="7620" b="10160"/>
                <wp:wrapNone/>
                <wp:docPr id="21" name="Text Box 21"/>
                <wp:cNvGraphicFramePr/>
                <a:graphic xmlns:a="http://schemas.openxmlformats.org/drawingml/2006/main">
                  <a:graphicData uri="http://schemas.microsoft.com/office/word/2010/wordprocessingShape">
                    <wps:wsp>
                      <wps:cNvSpPr txBox="1"/>
                      <wps:spPr>
                        <a:xfrm>
                          <a:off x="0" y="0"/>
                          <a:ext cx="5720080" cy="713984"/>
                        </a:xfrm>
                        <a:prstGeom prst="rect">
                          <a:avLst/>
                        </a:prstGeom>
                        <a:solidFill>
                          <a:sysClr val="window" lastClr="FFFFFF"/>
                        </a:solidFill>
                        <a:ln w="6350">
                          <a:solidFill>
                            <a:srgbClr val="00B0F0"/>
                          </a:solidFill>
                        </a:ln>
                      </wps:spPr>
                      <wps:txbx>
                        <w:txbxContent>
                          <w:p w:rsidR="00DD5468" w:rsidRPr="00327A98" w:rsidRDefault="00DD5468" w:rsidP="001746BF">
                            <w:pPr>
                              <w:rPr>
                                <w:rFonts w:ascii="Times New Roman" w:hAnsi="Times New Roman" w:cs="Times New Roman"/>
                                <w:b/>
                              </w:rPr>
                            </w:pPr>
                            <w:r w:rsidRPr="00327A98">
                              <w:rPr>
                                <w:rFonts w:ascii="Times New Roman" w:hAnsi="Times New Roman" w:cs="Times New Roman"/>
                                <w:b/>
                              </w:rPr>
                              <w:t>Recommendation 1</w:t>
                            </w:r>
                            <w:r>
                              <w:rPr>
                                <w:rFonts w:ascii="Times New Roman" w:hAnsi="Times New Roman" w:cs="Times New Roman"/>
                                <w:b/>
                              </w:rPr>
                              <w:t>2</w:t>
                            </w:r>
                          </w:p>
                          <w:p w:rsidR="00DD5468" w:rsidRPr="00327A98" w:rsidRDefault="00DD5468" w:rsidP="001746BF">
                            <w:pPr>
                              <w:jc w:val="both"/>
                              <w:rPr>
                                <w:rFonts w:ascii="Times New Roman" w:hAnsi="Times New Roman" w:cs="Times New Roman"/>
                                <w:i/>
                              </w:rPr>
                            </w:pPr>
                            <w:r w:rsidRPr="00327A98">
                              <w:rPr>
                                <w:rFonts w:ascii="Times New Roman" w:hAnsi="Times New Roman" w:cs="Times New Roman"/>
                                <w:i/>
                              </w:rPr>
                              <w:t>That the Privacy Safeguards apply in parallel, or addition to the Australian Privacy Principles.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55" type="#_x0000_t202" style="position:absolute;left:0;text-align:left;margin-left:1pt;margin-top:10.8pt;width:450.4pt;height:56.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" fillcolor="window" strokecolor="#00b0f0" strokeweight=".5pt">
                <v:textbox>
                  <w:txbxContent>
                    <w:p w:rsidR="00DD5468" w:rsidRPr="00327A98" w:rsidRDefault="00DD5468" w:rsidP="001746BF">
                      <w:pPr>
                        <w:rPr>
                          <w:rFonts w:ascii="Times New Roman" w:hAnsi="Times New Roman" w:cs="Times New Roman"/>
                          <w:b/>
                        </w:rPr>
                      </w:pPr>
                      <w:r w:rsidRPr="00327A98">
                        <w:rPr>
                          <w:rFonts w:ascii="Times New Roman" w:hAnsi="Times New Roman" w:cs="Times New Roman"/>
                          <w:b/>
                        </w:rPr>
                        <w:t>Recommendation 1</w:t>
                      </w:r>
                      <w:r>
                        <w:rPr>
                          <w:rFonts w:ascii="Times New Roman" w:hAnsi="Times New Roman" w:cs="Times New Roman"/>
                          <w:b/>
                        </w:rPr>
                        <w:t>2</w:t>
                      </w:r>
                    </w:p>
                    <w:p w:rsidR="00DD5468" w:rsidRPr="00327A98" w:rsidRDefault="00DD5468" w:rsidP="001746BF">
                      <w:pPr>
                        <w:jc w:val="both"/>
                        <w:rPr>
                          <w:rFonts w:ascii="Times New Roman" w:hAnsi="Times New Roman" w:cs="Times New Roman"/>
                          <w:i/>
                        </w:rPr>
                      </w:pPr>
                      <w:r w:rsidRPr="00327A98">
                        <w:rPr>
                          <w:rFonts w:ascii="Times New Roman" w:hAnsi="Times New Roman" w:cs="Times New Roman"/>
                          <w:i/>
                        </w:rPr>
                        <w:t>That the Privacy Safeguards apply in parallel, or addition to the Australian Privacy Principles.</w:t>
                      </w:r>
                    </w:p>
                  </w:txbxContent>
                </v:textbox>
              </v:shape>
            </w:pict>
          </mc:Fallback>
        </mc:AlternateContent>
      </w:r>
    </w:p>
    <w:p w:rsidR="00B63D31" w:rsidRDefault="00B63D31" w:rsidP="00D07E30">
      <w:pPr>
        <w:spacing w:before="100" w:beforeAutospacing="1" w:after="100" w:afterAutospacing="1"/>
        <w:jc w:val="both"/>
        <w:rPr>
          <w:rFonts w:ascii="Times New Roman" w:eastAsiaTheme="minorEastAsia" w:hAnsi="Times New Roman" w:cs="Times New Roman"/>
          <w:sz w:val="24"/>
          <w:szCs w:val="24"/>
          <w:lang w:val="en-AU" w:eastAsia="en-AU"/>
        </w:rPr>
      </w:pPr>
    </w:p>
    <w:p w:rsidR="0085315F" w:rsidRDefault="0085315F" w:rsidP="00D07E30">
      <w:pPr>
        <w:spacing w:before="100" w:beforeAutospacing="1" w:after="100" w:afterAutospacing="1"/>
        <w:jc w:val="both"/>
        <w:rPr>
          <w:rFonts w:ascii="Times New Roman" w:eastAsiaTheme="minorEastAsia" w:hAnsi="Times New Roman" w:cs="Times New Roman"/>
          <w:sz w:val="24"/>
          <w:szCs w:val="24"/>
          <w:lang w:val="en-AU" w:eastAsia="en-AU"/>
        </w:rPr>
      </w:pPr>
    </w:p>
    <w:p w:rsidR="00D86C60" w:rsidRPr="00D86C60" w:rsidRDefault="00D0244A" w:rsidP="002D5B22">
      <w:pPr>
        <w:spacing w:before="100" w:beforeAutospacing="1" w:after="100" w:afterAutospacing="1" w:line="360" w:lineRule="auto"/>
        <w:jc w:val="both"/>
        <w:rPr>
          <w:rFonts w:ascii="Arial" w:eastAsiaTheme="minorEastAsia" w:hAnsi="Arial" w:cs="Arial"/>
          <w:b/>
          <w:sz w:val="32"/>
          <w:szCs w:val="32"/>
          <w:lang w:val="en-AU" w:eastAsia="en-AU"/>
        </w:rPr>
      </w:pPr>
      <w:r>
        <w:rPr>
          <w:rFonts w:ascii="Arial" w:eastAsiaTheme="minorEastAsia" w:hAnsi="Arial" w:cs="Arial"/>
          <w:b/>
          <w:sz w:val="32"/>
          <w:szCs w:val="32"/>
          <w:lang w:val="en-AU" w:eastAsia="en-AU"/>
        </w:rPr>
        <w:lastRenderedPageBreak/>
        <w:t xml:space="preserve">The economic value of privacy </w:t>
      </w:r>
    </w:p>
    <w:p w:rsidR="006356C2" w:rsidRDefault="00D0244A" w:rsidP="006356C2">
      <w:pPr>
        <w:spacing w:before="100" w:beforeAutospacing="1" w:after="100" w:afterAutospacing="1"/>
        <w:jc w:val="both"/>
        <w:rPr>
          <w:rFonts w:ascii="Times New Roman" w:eastAsiaTheme="minorEastAsia" w:hAnsi="Times New Roman" w:cs="Times New Roman"/>
          <w:color w:val="000000" w:themeColor="text1"/>
          <w:sz w:val="24"/>
          <w:szCs w:val="32"/>
          <w:lang w:val="en-AU" w:eastAsia="en-AU"/>
        </w:rPr>
      </w:pPr>
      <w:r w:rsidRPr="00E51D09">
        <w:rPr>
          <w:rFonts w:ascii="Times New Roman" w:eastAsiaTheme="minorEastAsia" w:hAnsi="Times New Roman" w:cs="Times New Roman"/>
          <w:color w:val="000000" w:themeColor="text1"/>
          <w:sz w:val="24"/>
          <w:szCs w:val="32"/>
          <w:lang w:val="en-AU" w:eastAsia="en-AU"/>
        </w:rPr>
        <w:t>Consumers’</w:t>
      </w:r>
      <w:r w:rsidR="00AE2334" w:rsidRPr="00E51D09">
        <w:rPr>
          <w:rFonts w:ascii="Times New Roman" w:eastAsiaTheme="minorEastAsia" w:hAnsi="Times New Roman" w:cs="Times New Roman"/>
          <w:color w:val="000000" w:themeColor="text1"/>
          <w:sz w:val="24"/>
          <w:szCs w:val="32"/>
          <w:lang w:val="en-AU" w:eastAsia="en-AU"/>
        </w:rPr>
        <w:t xml:space="preserve"> privacy has</w:t>
      </w:r>
      <w:r w:rsidR="00941CBB" w:rsidRPr="00E51D09">
        <w:rPr>
          <w:rFonts w:ascii="Times New Roman" w:eastAsiaTheme="minorEastAsia" w:hAnsi="Times New Roman" w:cs="Times New Roman"/>
          <w:color w:val="000000" w:themeColor="text1"/>
          <w:sz w:val="24"/>
          <w:szCs w:val="32"/>
          <w:lang w:val="en-AU" w:eastAsia="en-AU"/>
        </w:rPr>
        <w:t xml:space="preserve"> important</w:t>
      </w:r>
      <w:r w:rsidR="00AE2334" w:rsidRPr="00E51D09">
        <w:rPr>
          <w:rFonts w:ascii="Times New Roman" w:eastAsiaTheme="minorEastAsia" w:hAnsi="Times New Roman" w:cs="Times New Roman"/>
          <w:color w:val="000000" w:themeColor="text1"/>
          <w:sz w:val="24"/>
          <w:szCs w:val="32"/>
          <w:lang w:val="en-AU" w:eastAsia="en-AU"/>
        </w:rPr>
        <w:t xml:space="preserve"> </w:t>
      </w:r>
      <w:r w:rsidR="00AE0530">
        <w:rPr>
          <w:rFonts w:ascii="Times New Roman" w:eastAsiaTheme="minorEastAsia" w:hAnsi="Times New Roman" w:cs="Times New Roman"/>
          <w:color w:val="000000" w:themeColor="text1"/>
          <w:sz w:val="24"/>
          <w:szCs w:val="32"/>
          <w:lang w:val="en-AU" w:eastAsia="en-AU"/>
        </w:rPr>
        <w:t xml:space="preserve">economic value, insofar as it promotes consumer confidence and as a good in and of itself. </w:t>
      </w:r>
      <w:r w:rsidR="006356C2">
        <w:rPr>
          <w:rFonts w:ascii="Times New Roman" w:eastAsiaTheme="minorEastAsia" w:hAnsi="Times New Roman" w:cs="Times New Roman"/>
          <w:color w:val="000000" w:themeColor="text1"/>
          <w:sz w:val="24"/>
          <w:szCs w:val="32"/>
          <w:lang w:val="en-AU" w:eastAsia="en-AU"/>
        </w:rPr>
        <w:t xml:space="preserve">Although the inherent value of privacy cannot be reduced to a mere figure, there is merit in estimating </w:t>
      </w:r>
      <w:r w:rsidR="009D05C8">
        <w:rPr>
          <w:rFonts w:ascii="Times New Roman" w:eastAsiaTheme="minorEastAsia" w:hAnsi="Times New Roman" w:cs="Times New Roman"/>
          <w:color w:val="000000" w:themeColor="text1"/>
          <w:sz w:val="24"/>
          <w:szCs w:val="32"/>
          <w:lang w:val="en-AU" w:eastAsia="en-AU"/>
        </w:rPr>
        <w:t>its</w:t>
      </w:r>
      <w:r w:rsidR="006356C2">
        <w:rPr>
          <w:rFonts w:ascii="Times New Roman" w:eastAsiaTheme="minorEastAsia" w:hAnsi="Times New Roman" w:cs="Times New Roman"/>
          <w:color w:val="000000" w:themeColor="text1"/>
          <w:sz w:val="24"/>
          <w:szCs w:val="32"/>
          <w:lang w:val="en-AU" w:eastAsia="en-AU"/>
        </w:rPr>
        <w:t xml:space="preserve"> value in economic terms to ensure that any cost-benefit analysis fully considers its value when considering reform.</w:t>
      </w:r>
    </w:p>
    <w:p w:rsidR="00CC33AD" w:rsidRPr="006356C2" w:rsidRDefault="00D67D01" w:rsidP="006356C2">
      <w:pPr>
        <w:spacing w:before="100" w:beforeAutospacing="1" w:after="100" w:afterAutospacing="1"/>
        <w:jc w:val="both"/>
        <w:rPr>
          <w:rFonts w:ascii="Times New Roman" w:eastAsiaTheme="minorEastAsia" w:hAnsi="Times New Roman" w:cs="Times New Roman"/>
          <w:color w:val="000000" w:themeColor="text1"/>
          <w:sz w:val="24"/>
          <w:szCs w:val="32"/>
          <w:lang w:val="en-AU" w:eastAsia="en-AU"/>
        </w:rPr>
      </w:pPr>
      <w:r>
        <w:rPr>
          <w:rFonts w:ascii="Times New Roman" w:eastAsia="Arial Unicode MS" w:hAnsi="Times New Roman" w:cs="Times New Roman"/>
          <w:sz w:val="24"/>
          <w:lang w:val="en-IE" w:eastAsia="en-AU" w:bidi="hi-IN"/>
        </w:rPr>
        <w:t xml:space="preserve">Available </w:t>
      </w:r>
      <w:r w:rsidR="00D52CA9">
        <w:rPr>
          <w:rFonts w:ascii="Times New Roman" w:eastAsia="Arial Unicode MS" w:hAnsi="Times New Roman" w:cs="Times New Roman"/>
          <w:sz w:val="24"/>
          <w:lang w:val="en-IE" w:eastAsia="en-AU" w:bidi="hi-IN"/>
        </w:rPr>
        <w:t xml:space="preserve">estimates indicate the value of privacy is material for </w:t>
      </w:r>
      <w:r w:rsidR="00B92BDC">
        <w:rPr>
          <w:rFonts w:ascii="Times New Roman" w:eastAsia="Arial Unicode MS" w:hAnsi="Times New Roman" w:cs="Times New Roman"/>
          <w:sz w:val="24"/>
          <w:lang w:val="en-IE" w:eastAsia="en-AU" w:bidi="hi-IN"/>
        </w:rPr>
        <w:t>consumers</w:t>
      </w:r>
      <w:r w:rsidR="00D52CA9">
        <w:rPr>
          <w:rFonts w:ascii="Times New Roman" w:eastAsia="Arial Unicode MS" w:hAnsi="Times New Roman" w:cs="Times New Roman"/>
          <w:sz w:val="24"/>
          <w:lang w:val="en-IE" w:eastAsia="en-AU" w:bidi="hi-IN"/>
        </w:rPr>
        <w:t xml:space="preserve">.  </w:t>
      </w:r>
      <w:r>
        <w:rPr>
          <w:rFonts w:ascii="Times New Roman" w:eastAsia="Arial Unicode MS" w:hAnsi="Times New Roman" w:cs="Times New Roman"/>
          <w:sz w:val="24"/>
          <w:lang w:val="en-IE" w:eastAsia="en-AU" w:bidi="hi-IN"/>
        </w:rPr>
        <w:t>F</w:t>
      </w:r>
      <w:r w:rsidR="00D52CA9">
        <w:rPr>
          <w:rFonts w:ascii="Times New Roman" w:eastAsia="Arial Unicode MS" w:hAnsi="Times New Roman" w:cs="Times New Roman"/>
          <w:sz w:val="24"/>
          <w:lang w:val="en-IE" w:eastAsia="en-AU" w:bidi="hi-IN"/>
        </w:rPr>
        <w:t>or a given transaction</w:t>
      </w:r>
      <w:proofErr w:type="gramStart"/>
      <w:r w:rsidR="005E0640">
        <w:rPr>
          <w:rFonts w:ascii="Times New Roman" w:eastAsia="Arial Unicode MS" w:hAnsi="Times New Roman" w:cs="Times New Roman"/>
          <w:sz w:val="24"/>
          <w:lang w:val="en-IE" w:eastAsia="en-AU" w:bidi="hi-IN"/>
        </w:rPr>
        <w:t>,</w:t>
      </w:r>
      <w:r w:rsidR="00D52CA9">
        <w:rPr>
          <w:rFonts w:ascii="Times New Roman" w:eastAsia="Arial Unicode MS" w:hAnsi="Times New Roman" w:cs="Times New Roman"/>
          <w:sz w:val="24"/>
          <w:lang w:val="en-IE" w:eastAsia="en-AU" w:bidi="hi-IN"/>
        </w:rPr>
        <w:t xml:space="preserve"> </w:t>
      </w:r>
      <w:r w:rsidR="00647B26">
        <w:rPr>
          <w:rFonts w:ascii="Times New Roman" w:eastAsia="Arial Unicode MS" w:hAnsi="Times New Roman" w:cs="Times New Roman"/>
          <w:sz w:val="24"/>
          <w:lang w:val="en-IE" w:eastAsia="en-AU" w:bidi="hi-IN"/>
        </w:rPr>
        <w:t xml:space="preserve"> it</w:t>
      </w:r>
      <w:proofErr w:type="gramEnd"/>
      <w:r w:rsidR="00647B26">
        <w:rPr>
          <w:rFonts w:ascii="Times New Roman" w:eastAsia="Arial Unicode MS" w:hAnsi="Times New Roman" w:cs="Times New Roman"/>
          <w:sz w:val="24"/>
          <w:lang w:val="en-IE" w:eastAsia="en-AU" w:bidi="hi-IN"/>
        </w:rPr>
        <w:t xml:space="preserve"> has been estimated that </w:t>
      </w:r>
      <w:r w:rsidR="00944CC8">
        <w:rPr>
          <w:rFonts w:ascii="Times New Roman" w:eastAsia="Arial Unicode MS" w:hAnsi="Times New Roman" w:cs="Times New Roman"/>
          <w:sz w:val="24"/>
          <w:lang w:val="en-IE" w:eastAsia="en-AU" w:bidi="hi-IN"/>
        </w:rPr>
        <w:t>the value</w:t>
      </w:r>
      <w:r w:rsidR="00D52CA9">
        <w:rPr>
          <w:rFonts w:ascii="Times New Roman" w:eastAsia="Arial Unicode MS" w:hAnsi="Times New Roman" w:cs="Times New Roman"/>
          <w:sz w:val="24"/>
          <w:lang w:val="en-IE" w:eastAsia="en-AU" w:bidi="hi-IN"/>
        </w:rPr>
        <w:t xml:space="preserve"> </w:t>
      </w:r>
      <w:r w:rsidR="00647B26">
        <w:rPr>
          <w:rFonts w:ascii="Times New Roman" w:eastAsia="Arial Unicode MS" w:hAnsi="Times New Roman" w:cs="Times New Roman"/>
          <w:sz w:val="24"/>
          <w:lang w:val="en-IE" w:eastAsia="en-AU" w:bidi="hi-IN"/>
        </w:rPr>
        <w:t xml:space="preserve">of an individual’s </w:t>
      </w:r>
      <w:r w:rsidR="00D52CA9">
        <w:rPr>
          <w:rFonts w:ascii="Times New Roman" w:eastAsia="Arial Unicode MS" w:hAnsi="Times New Roman" w:cs="Times New Roman"/>
          <w:sz w:val="24"/>
          <w:lang w:val="en-IE" w:eastAsia="en-AU" w:bidi="hi-IN"/>
        </w:rPr>
        <w:t xml:space="preserve">privacy or the non-sharing of their information </w:t>
      </w:r>
      <w:r w:rsidR="00647B26">
        <w:rPr>
          <w:rFonts w:ascii="Times New Roman" w:eastAsia="Arial Unicode MS" w:hAnsi="Times New Roman" w:cs="Times New Roman"/>
          <w:sz w:val="24"/>
          <w:lang w:val="en-IE" w:eastAsia="en-AU" w:bidi="hi-IN"/>
        </w:rPr>
        <w:t>is</w:t>
      </w:r>
      <w:r w:rsidR="00D52CA9">
        <w:rPr>
          <w:rFonts w:ascii="Times New Roman" w:eastAsia="Arial Unicode MS" w:hAnsi="Times New Roman" w:cs="Times New Roman"/>
          <w:sz w:val="24"/>
          <w:lang w:val="en-IE" w:eastAsia="en-AU" w:bidi="hi-IN"/>
        </w:rPr>
        <w:t xml:space="preserve"> between $15 - $60 AUD per </w:t>
      </w:r>
      <w:r w:rsidR="00F209AC">
        <w:rPr>
          <w:rFonts w:ascii="Times New Roman" w:eastAsia="Arial Unicode MS" w:hAnsi="Times New Roman" w:cs="Times New Roman"/>
          <w:sz w:val="24"/>
          <w:lang w:val="en-IE" w:eastAsia="en-AU" w:bidi="hi-IN"/>
        </w:rPr>
        <w:t>transaction (</w:t>
      </w:r>
      <w:proofErr w:type="spellStart"/>
      <w:r w:rsidR="00E33E4C">
        <w:rPr>
          <w:rFonts w:ascii="Times New Roman" w:eastAsia="Arial Unicode MS" w:hAnsi="Times New Roman" w:cs="Times New Roman"/>
          <w:noProof/>
          <w:sz w:val="24"/>
          <w:lang w:val="en-IE" w:eastAsia="en-AU" w:bidi="hi-IN"/>
        </w:rPr>
        <w:t>Acquisti</w:t>
      </w:r>
      <w:proofErr w:type="spellEnd"/>
      <w:r w:rsidR="00E33E4C">
        <w:rPr>
          <w:rFonts w:ascii="Times New Roman" w:eastAsia="Arial Unicode MS" w:hAnsi="Times New Roman" w:cs="Times New Roman"/>
          <w:noProof/>
          <w:sz w:val="24"/>
          <w:lang w:val="en-IE" w:eastAsia="en-AU" w:bidi="hi-IN"/>
        </w:rPr>
        <w:t>, John &amp; Loewenstein 2013, p. 255</w:t>
      </w:r>
      <w:r w:rsidR="00944CC8">
        <w:rPr>
          <w:rFonts w:ascii="Times New Roman" w:eastAsia="Arial Unicode MS" w:hAnsi="Times New Roman" w:cs="Times New Roman"/>
          <w:noProof/>
          <w:sz w:val="24"/>
          <w:lang w:val="en-IE" w:eastAsia="en-AU" w:bidi="hi-IN"/>
        </w:rPr>
        <w:t>-256</w:t>
      </w:r>
      <w:r w:rsidR="00E33E4C">
        <w:rPr>
          <w:rFonts w:ascii="Times New Roman" w:eastAsia="Arial Unicode MS" w:hAnsi="Times New Roman" w:cs="Times New Roman"/>
          <w:noProof/>
          <w:sz w:val="24"/>
          <w:lang w:val="en-IE" w:eastAsia="en-AU" w:bidi="hi-IN"/>
        </w:rPr>
        <w:t>)</w:t>
      </w:r>
      <w:r w:rsidR="00E33E4C">
        <w:rPr>
          <w:rFonts w:ascii="Times New Roman" w:eastAsia="Arial Unicode MS" w:hAnsi="Times New Roman" w:cs="Times New Roman"/>
          <w:sz w:val="24"/>
          <w:lang w:val="en-IE" w:eastAsia="en-AU" w:bidi="hi-IN"/>
        </w:rPr>
        <w:t>.</w:t>
      </w:r>
      <w:r w:rsidR="002D5B22">
        <w:rPr>
          <w:rFonts w:ascii="Times New Roman" w:eastAsia="Arial Unicode MS" w:hAnsi="Times New Roman" w:cs="Times New Roman"/>
          <w:sz w:val="24"/>
          <w:lang w:val="en-IE" w:eastAsia="en-AU" w:bidi="hi-IN"/>
        </w:rPr>
        <w:t xml:space="preserve"> </w:t>
      </w:r>
    </w:p>
    <w:p w:rsidR="00016B13" w:rsidRDefault="00E274FB" w:rsidP="00D0244A">
      <w:pPr>
        <w:spacing w:before="100" w:beforeAutospacing="1" w:after="100" w:afterAutospacing="1"/>
        <w:jc w:val="both"/>
        <w:rPr>
          <w:rFonts w:ascii="Times New Roman" w:eastAsia="Arial Unicode MS" w:hAnsi="Times New Roman" w:cs="Times New Roman"/>
          <w:sz w:val="24"/>
          <w:lang w:val="en-IE" w:eastAsia="en-AU" w:bidi="hi-IN"/>
        </w:rPr>
      </w:pPr>
      <w:r>
        <w:rPr>
          <w:rFonts w:ascii="Times New Roman" w:eastAsia="Arial Unicode MS" w:hAnsi="Times New Roman" w:cs="Times New Roman"/>
          <w:sz w:val="24"/>
          <w:lang w:val="en-IE" w:eastAsia="en-AU" w:bidi="hi-IN"/>
        </w:rPr>
        <w:t xml:space="preserve">This valuation is important, because it indicates that the economic and social value for consumers associated with maintaining the privacy of their consumer data may in many instances materially outweigh the potential reduction in transaction costs associated with the CDR. </w:t>
      </w:r>
      <w:r w:rsidR="007E461C">
        <w:rPr>
          <w:rFonts w:ascii="Times New Roman" w:eastAsia="Arial Unicode MS" w:hAnsi="Times New Roman" w:cs="Times New Roman"/>
          <w:sz w:val="24"/>
          <w:lang w:val="en-IE" w:eastAsia="en-AU" w:bidi="hi-IN"/>
        </w:rPr>
        <w:t>T</w:t>
      </w:r>
      <w:r w:rsidR="004659D0">
        <w:rPr>
          <w:rFonts w:ascii="Times New Roman" w:eastAsia="Arial Unicode MS" w:hAnsi="Times New Roman" w:cs="Times New Roman"/>
          <w:sz w:val="24"/>
          <w:lang w:val="en-IE" w:eastAsia="en-AU" w:bidi="hi-IN"/>
        </w:rPr>
        <w:t>he expected benefits of the CDR framework must be at a minimum in excess of the total expected costs associated with the potential loss of privacy per transaction</w:t>
      </w:r>
      <w:r w:rsidR="00BC20FF">
        <w:rPr>
          <w:rFonts w:ascii="Times New Roman" w:eastAsia="Arial Unicode MS" w:hAnsi="Times New Roman" w:cs="Times New Roman"/>
          <w:sz w:val="24"/>
          <w:lang w:val="en-IE" w:eastAsia="en-AU" w:bidi="hi-IN"/>
        </w:rPr>
        <w:t>, and the regulatory costs associated with reform</w:t>
      </w:r>
      <w:r w:rsidR="004659D0">
        <w:rPr>
          <w:rFonts w:ascii="Times New Roman" w:eastAsia="Arial Unicode MS" w:hAnsi="Times New Roman" w:cs="Times New Roman"/>
          <w:sz w:val="24"/>
          <w:lang w:val="en-IE" w:eastAsia="en-AU" w:bidi="hi-IN"/>
        </w:rPr>
        <w:t>.</w:t>
      </w:r>
    </w:p>
    <w:p w:rsidR="000F0B07" w:rsidRPr="0040435E" w:rsidRDefault="00285170" w:rsidP="00FE46E9">
      <w:pPr>
        <w:spacing w:before="100" w:beforeAutospacing="1" w:after="100" w:afterAutospacing="1"/>
        <w:jc w:val="both"/>
        <w:rPr>
          <w:rFonts w:ascii="Times New Roman" w:hAnsi="Times New Roman" w:cs="Times New Roman"/>
          <w:sz w:val="24"/>
        </w:rPr>
      </w:pPr>
      <w:r w:rsidRPr="0040435E">
        <w:rPr>
          <w:rFonts w:ascii="Times New Roman" w:eastAsia="Arial Unicode MS" w:hAnsi="Times New Roman" w:cs="Times New Roman"/>
          <w:sz w:val="24"/>
          <w:lang w:val="en-IE" w:eastAsia="en-AU" w:bidi="hi-IN"/>
        </w:rPr>
        <w:t>The inclusion of the value of privacy is essential for a fully informed cost-benefit analysis to be performed as part of the regulatory impact assessment process. A failure to adequately consider the economic and social impact associated with risks to consumers</w:t>
      </w:r>
      <w:r w:rsidR="00B143A2" w:rsidRPr="0040435E">
        <w:rPr>
          <w:rFonts w:ascii="Times New Roman" w:eastAsia="Arial Unicode MS" w:hAnsi="Times New Roman" w:cs="Times New Roman"/>
          <w:sz w:val="24"/>
          <w:lang w:val="en-IE" w:eastAsia="en-AU" w:bidi="hi-IN"/>
        </w:rPr>
        <w:t>’</w:t>
      </w:r>
      <w:r w:rsidRPr="0040435E">
        <w:rPr>
          <w:rFonts w:ascii="Times New Roman" w:eastAsia="Arial Unicode MS" w:hAnsi="Times New Roman" w:cs="Times New Roman"/>
          <w:sz w:val="24"/>
          <w:lang w:val="en-IE" w:eastAsia="en-AU" w:bidi="hi-IN"/>
        </w:rPr>
        <w:t xml:space="preserve"> privacy would be</w:t>
      </w:r>
      <w:r w:rsidR="0040435E" w:rsidRPr="0040435E">
        <w:rPr>
          <w:rFonts w:ascii="Times New Roman" w:eastAsia="Arial Unicode MS" w:hAnsi="Times New Roman" w:cs="Times New Roman"/>
          <w:sz w:val="24"/>
          <w:lang w:val="en-IE" w:eastAsia="en-AU" w:bidi="hi-IN"/>
        </w:rPr>
        <w:t xml:space="preserve"> </w:t>
      </w:r>
      <w:r w:rsidR="007E461C">
        <w:rPr>
          <w:rFonts w:ascii="Times New Roman" w:eastAsia="Arial Unicode MS" w:hAnsi="Times New Roman" w:cs="Times New Roman"/>
          <w:sz w:val="24"/>
          <w:lang w:val="en-IE" w:eastAsia="en-AU" w:bidi="hi-IN"/>
        </w:rPr>
        <w:t xml:space="preserve">a serious </w:t>
      </w:r>
      <w:r w:rsidR="00944CC8" w:rsidRPr="0040435E">
        <w:rPr>
          <w:rFonts w:ascii="Times New Roman" w:eastAsia="Arial Unicode MS" w:hAnsi="Times New Roman" w:cs="Times New Roman"/>
          <w:sz w:val="24"/>
          <w:lang w:val="en-IE" w:eastAsia="en-AU" w:bidi="hi-IN"/>
        </w:rPr>
        <w:t>omission</w:t>
      </w:r>
      <w:r w:rsidR="00944CC8">
        <w:rPr>
          <w:rFonts w:ascii="Times New Roman" w:eastAsia="Arial Unicode MS" w:hAnsi="Times New Roman" w:cs="Times New Roman"/>
          <w:sz w:val="24"/>
          <w:lang w:val="en-IE" w:eastAsia="en-AU" w:bidi="hi-IN"/>
        </w:rPr>
        <w:t xml:space="preserve"> </w:t>
      </w:r>
      <w:r w:rsidR="00944CC8" w:rsidRPr="0040435E">
        <w:rPr>
          <w:rFonts w:ascii="Times New Roman" w:eastAsia="Arial Unicode MS" w:hAnsi="Times New Roman" w:cs="Times New Roman"/>
          <w:sz w:val="24"/>
          <w:lang w:val="en-IE" w:eastAsia="en-AU" w:bidi="hi-IN"/>
        </w:rPr>
        <w:t>in</w:t>
      </w:r>
      <w:r w:rsidR="0040435E" w:rsidRPr="0040435E">
        <w:rPr>
          <w:rFonts w:ascii="Times New Roman" w:eastAsia="Arial Unicode MS" w:hAnsi="Times New Roman" w:cs="Times New Roman"/>
          <w:sz w:val="24"/>
          <w:lang w:val="en-IE" w:eastAsia="en-AU" w:bidi="hi-IN"/>
        </w:rPr>
        <w:t xml:space="preserve"> </w:t>
      </w:r>
      <w:r w:rsidR="003553DB">
        <w:rPr>
          <w:rFonts w:ascii="Times New Roman" w:eastAsia="Arial Unicode MS" w:hAnsi="Times New Roman" w:cs="Times New Roman"/>
          <w:sz w:val="24"/>
          <w:lang w:val="en-IE" w:eastAsia="en-AU" w:bidi="hi-IN"/>
        </w:rPr>
        <w:t xml:space="preserve">a </w:t>
      </w:r>
      <w:r w:rsidR="003553DB" w:rsidRPr="0040435E">
        <w:rPr>
          <w:rFonts w:ascii="Times New Roman" w:eastAsia="Arial Unicode MS" w:hAnsi="Times New Roman" w:cs="Times New Roman"/>
          <w:sz w:val="24"/>
          <w:lang w:val="en-IE" w:eastAsia="en-AU" w:bidi="hi-IN"/>
        </w:rPr>
        <w:t>regulatory</w:t>
      </w:r>
      <w:r w:rsidR="0040435E" w:rsidRPr="0040435E">
        <w:rPr>
          <w:rFonts w:ascii="Times New Roman" w:eastAsia="Arial Unicode MS" w:hAnsi="Times New Roman" w:cs="Times New Roman"/>
          <w:sz w:val="24"/>
          <w:lang w:val="en-IE" w:eastAsia="en-AU" w:bidi="hi-IN"/>
        </w:rPr>
        <w:t xml:space="preserve"> impact assessment</w:t>
      </w:r>
      <w:r w:rsidR="007E461C">
        <w:rPr>
          <w:rFonts w:ascii="Times New Roman" w:eastAsia="Arial Unicode MS" w:hAnsi="Times New Roman" w:cs="Times New Roman"/>
          <w:sz w:val="24"/>
          <w:lang w:val="en-IE" w:eastAsia="en-AU" w:bidi="hi-IN"/>
        </w:rPr>
        <w:t>.</w:t>
      </w:r>
      <w:r w:rsidR="00F209AC">
        <w:rPr>
          <w:rStyle w:val="FootnoteReference"/>
          <w:rFonts w:ascii="Times New Roman" w:eastAsia="Arial Unicode MS" w:hAnsi="Times New Roman" w:cs="Times New Roman"/>
          <w:sz w:val="24"/>
          <w:lang w:val="en-IE" w:eastAsia="en-AU" w:bidi="hi-IN"/>
        </w:rPr>
        <w:footnoteReference w:id="3"/>
      </w:r>
      <w:r w:rsidR="0040435E" w:rsidRPr="0040435E">
        <w:rPr>
          <w:rFonts w:ascii="Times New Roman" w:eastAsia="Arial Unicode MS" w:hAnsi="Times New Roman" w:cs="Times New Roman"/>
          <w:sz w:val="24"/>
          <w:lang w:val="en-IE" w:eastAsia="en-AU" w:bidi="hi-IN"/>
        </w:rPr>
        <w:t xml:space="preserve"> </w:t>
      </w:r>
    </w:p>
    <w:p w:rsidR="007C3B0C" w:rsidRDefault="00B14A7F" w:rsidP="00FE46E9">
      <w:pPr>
        <w:spacing w:before="100" w:beforeAutospacing="1" w:after="100" w:afterAutospacing="1"/>
        <w:jc w:val="both"/>
        <w:rPr>
          <w:rFonts w:ascii="Times New Roman" w:eastAsia="Arial Unicode MS" w:hAnsi="Times New Roman" w:cs="Times New Roman"/>
          <w:sz w:val="24"/>
          <w:lang w:val="en-IE" w:eastAsia="en-AU" w:bidi="hi-IN"/>
        </w:rPr>
      </w:pPr>
      <w:r w:rsidRPr="00B14A7F">
        <w:rPr>
          <w:rFonts w:ascii="Times New Roman" w:eastAsia="Arial Unicode MS" w:hAnsi="Times New Roman" w:cs="Times New Roman"/>
          <w:sz w:val="24"/>
          <w:lang w:val="en-IE" w:eastAsia="en-AU" w:bidi="hi-IN"/>
        </w:rPr>
        <w:t xml:space="preserve">The protection of individuals’ privacy is more than a mere matter of principle, and the potential for poor regulatory design to diminish consumer confidence and trust is significant. </w:t>
      </w:r>
      <w:r>
        <w:rPr>
          <w:rFonts w:ascii="Times New Roman" w:eastAsia="Arial Unicode MS" w:hAnsi="Times New Roman" w:cs="Times New Roman"/>
          <w:sz w:val="24"/>
          <w:lang w:val="en-IE" w:eastAsia="en-AU" w:bidi="hi-IN"/>
        </w:rPr>
        <w:t xml:space="preserve">If consumers lose confidence in the capacity of the proposed framework to provide adequate protections for their private information, the potential benefits of the reforms will be lost. </w:t>
      </w:r>
    </w:p>
    <w:p w:rsidR="00042491" w:rsidRDefault="00327A98" w:rsidP="00FE46E9">
      <w:pPr>
        <w:spacing w:before="100" w:beforeAutospacing="1" w:after="100" w:afterAutospacing="1"/>
        <w:jc w:val="both"/>
        <w:rPr>
          <w:rFonts w:ascii="Times New Roman" w:eastAsia="Arial Unicode MS" w:hAnsi="Times New Roman" w:cs="Times New Roman"/>
          <w:sz w:val="24"/>
          <w:lang w:val="en-IE" w:eastAsia="en-AU" w:bidi="hi-IN"/>
        </w:rPr>
      </w:pPr>
      <w:r w:rsidRPr="00DD0AEA">
        <w:rPr>
          <w:rFonts w:ascii="Calibri" w:eastAsiaTheme="minorEastAsia" w:hAnsi="Calibri"/>
          <w:noProof/>
          <w:color w:val="000000" w:themeColor="text1"/>
          <w:sz w:val="24"/>
        </w:rPr>
        <mc:AlternateContent>
          <mc:Choice Requires="wps">
            <w:drawing>
              <wp:anchor distT="0" distB="0" distL="114300" distR="114300" simplePos="0" relativeHeight="251656704" behindDoc="0" locked="0" layoutInCell="1" allowOverlap="1" wp14:anchorId="6D75246A" wp14:editId="11A12953">
                <wp:simplePos x="0" y="0"/>
                <wp:positionH relativeFrom="column">
                  <wp:posOffset>2730</wp:posOffset>
                </wp:positionH>
                <wp:positionV relativeFrom="paragraph">
                  <wp:posOffset>44763</wp:posOffset>
                </wp:positionV>
                <wp:extent cx="5720080" cy="987425"/>
                <wp:effectExtent l="0" t="0" r="13970" b="22225"/>
                <wp:wrapNone/>
                <wp:docPr id="4" name="Text Box 4"/>
                <wp:cNvGraphicFramePr/>
                <a:graphic xmlns:a="http://schemas.openxmlformats.org/drawingml/2006/main">
                  <a:graphicData uri="http://schemas.microsoft.com/office/word/2010/wordprocessingShape">
                    <wps:wsp>
                      <wps:cNvSpPr txBox="1"/>
                      <wps:spPr>
                        <a:xfrm>
                          <a:off x="0" y="0"/>
                          <a:ext cx="5720080" cy="987425"/>
                        </a:xfrm>
                        <a:prstGeom prst="rect">
                          <a:avLst/>
                        </a:prstGeom>
                        <a:solidFill>
                          <a:sysClr val="window" lastClr="FFFFFF"/>
                        </a:solidFill>
                        <a:ln w="6350">
                          <a:solidFill>
                            <a:srgbClr val="00B0F0"/>
                          </a:solidFill>
                        </a:ln>
                      </wps:spPr>
                      <wps:txbx>
                        <w:txbxContent>
                          <w:p w:rsidR="00DD5468" w:rsidRPr="001410E8" w:rsidRDefault="00DD5468" w:rsidP="00EF68DF">
                            <w:pPr>
                              <w:rPr>
                                <w:rFonts w:ascii="Times New Roman" w:hAnsi="Times New Roman" w:cs="Times New Roman"/>
                                <w:b/>
                              </w:rPr>
                            </w:pPr>
                            <w:r w:rsidRPr="001410E8">
                              <w:rPr>
                                <w:rFonts w:ascii="Times New Roman" w:hAnsi="Times New Roman" w:cs="Times New Roman"/>
                                <w:b/>
                              </w:rPr>
                              <w:t>Recommendation 1</w:t>
                            </w:r>
                            <w:r>
                              <w:rPr>
                                <w:rFonts w:ascii="Times New Roman" w:hAnsi="Times New Roman" w:cs="Times New Roman"/>
                                <w:b/>
                              </w:rPr>
                              <w:t>3</w:t>
                            </w:r>
                          </w:p>
                          <w:p w:rsidR="00DD5468" w:rsidRPr="001410E8" w:rsidRDefault="00DD5468" w:rsidP="00EF68DF">
                            <w:pPr>
                              <w:rPr>
                                <w:rFonts w:ascii="Times New Roman" w:hAnsi="Times New Roman" w:cs="Times New Roman"/>
                                <w:i/>
                              </w:rPr>
                            </w:pPr>
                            <w:r>
                              <w:rPr>
                                <w:rFonts w:ascii="Times New Roman" w:hAnsi="Times New Roman" w:cs="Times New Roman"/>
                                <w:i/>
                              </w:rPr>
                              <w:t>That</w:t>
                            </w:r>
                            <w:r w:rsidRPr="001410E8">
                              <w:rPr>
                                <w:rFonts w:ascii="Times New Roman" w:hAnsi="Times New Roman" w:cs="Times New Roman"/>
                                <w:i/>
                              </w:rPr>
                              <w:t xml:space="preserve"> Treasury takes steps to quantify the potential costs of, or risks to consumers in economic and social terms, of as a result of losses of privacy as part of a rigorous and public regulatory impact assessment.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56" type="#_x0000_t202" style="position:absolute;left:0;text-align:left;margin-left:.2pt;margin-top:3.5pt;width:450.4pt;height:7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" fillcolor="window" strokecolor="#00b0f0" strokeweight=".5pt">
                <v:textbox>
                  <w:txbxContent>
                    <w:p w:rsidR="00DD5468" w:rsidRPr="001410E8" w:rsidRDefault="00DD5468" w:rsidP="00EF68DF">
                      <w:pPr>
                        <w:rPr>
                          <w:rFonts w:ascii="Times New Roman" w:hAnsi="Times New Roman" w:cs="Times New Roman"/>
                          <w:b/>
                        </w:rPr>
                      </w:pPr>
                      <w:r w:rsidRPr="001410E8">
                        <w:rPr>
                          <w:rFonts w:ascii="Times New Roman" w:hAnsi="Times New Roman" w:cs="Times New Roman"/>
                          <w:b/>
                        </w:rPr>
                        <w:t>Recommendation 1</w:t>
                      </w:r>
                      <w:r>
                        <w:rPr>
                          <w:rFonts w:ascii="Times New Roman" w:hAnsi="Times New Roman" w:cs="Times New Roman"/>
                          <w:b/>
                        </w:rPr>
                        <w:t>3</w:t>
                      </w:r>
                    </w:p>
                    <w:p w:rsidR="00DD5468" w:rsidRPr="001410E8" w:rsidRDefault="00DD5468" w:rsidP="00EF68DF">
                      <w:pPr>
                        <w:rPr>
                          <w:rFonts w:ascii="Times New Roman" w:hAnsi="Times New Roman" w:cs="Times New Roman"/>
                          <w:i/>
                        </w:rPr>
                      </w:pPr>
                      <w:r>
                        <w:rPr>
                          <w:rFonts w:ascii="Times New Roman" w:hAnsi="Times New Roman" w:cs="Times New Roman"/>
                          <w:i/>
                        </w:rPr>
                        <w:t>That</w:t>
                      </w:r>
                      <w:r w:rsidRPr="001410E8">
                        <w:rPr>
                          <w:rFonts w:ascii="Times New Roman" w:hAnsi="Times New Roman" w:cs="Times New Roman"/>
                          <w:i/>
                        </w:rPr>
                        <w:t xml:space="preserve"> Treasury takes steps to quantify the potential costs of, or risks to consumers in economic and social terms, of as a result of losses of privacy as part of a rigorous and public regulatory impact assessment.</w:t>
                      </w:r>
                    </w:p>
                  </w:txbxContent>
                </v:textbox>
              </v:shape>
            </w:pict>
          </mc:Fallback>
        </mc:AlternateContent>
      </w:r>
    </w:p>
    <w:p w:rsidR="00042491" w:rsidRDefault="00042491" w:rsidP="00FE46E9">
      <w:pPr>
        <w:spacing w:before="100" w:beforeAutospacing="1" w:after="100" w:afterAutospacing="1"/>
        <w:jc w:val="both"/>
        <w:rPr>
          <w:rFonts w:ascii="Times New Roman" w:eastAsia="Arial Unicode MS" w:hAnsi="Times New Roman" w:cs="Times New Roman"/>
          <w:sz w:val="24"/>
          <w:lang w:val="en-IE" w:eastAsia="en-AU" w:bidi="hi-IN"/>
        </w:rPr>
      </w:pPr>
    </w:p>
    <w:p w:rsidR="00042491" w:rsidRDefault="00042491" w:rsidP="00FE46E9">
      <w:pPr>
        <w:spacing w:before="100" w:beforeAutospacing="1" w:after="100" w:afterAutospacing="1"/>
        <w:jc w:val="both"/>
        <w:rPr>
          <w:rFonts w:ascii="Times New Roman" w:eastAsia="Arial Unicode MS" w:hAnsi="Times New Roman" w:cs="Times New Roman"/>
          <w:sz w:val="24"/>
          <w:lang w:val="en-IE" w:eastAsia="en-AU" w:bidi="hi-IN"/>
        </w:rPr>
      </w:pPr>
    </w:p>
    <w:p w:rsidR="00B71784" w:rsidRPr="00B71784" w:rsidRDefault="00B71784" w:rsidP="00B71784">
      <w:pPr>
        <w:spacing w:before="100" w:beforeAutospacing="1" w:after="100" w:afterAutospacing="1" w:line="360" w:lineRule="auto"/>
        <w:jc w:val="both"/>
        <w:rPr>
          <w:rFonts w:ascii="Times New Roman" w:eastAsiaTheme="minorEastAsia" w:hAnsi="Times New Roman" w:cs="Times New Roman"/>
          <w:color w:val="FF0000"/>
          <w:sz w:val="24"/>
          <w:szCs w:val="24"/>
          <w:lang w:val="en-AU" w:eastAsia="en-AU"/>
        </w:rPr>
      </w:pPr>
    </w:p>
    <w:p w:rsidR="00F62324" w:rsidRDefault="00F62324" w:rsidP="004A7D2E">
      <w:pPr>
        <w:keepNext/>
        <w:keepLines/>
        <w:pageBreakBefore/>
        <w:suppressAutoHyphens/>
        <w:spacing w:before="28" w:after="0" w:line="240" w:lineRule="auto"/>
        <w:jc w:val="both"/>
        <w:outlineLvl w:val="0"/>
        <w:rPr>
          <w:rFonts w:ascii="Calibri" w:eastAsia="Arial Unicode MS" w:hAnsi="Calibri" w:cs="font331"/>
          <w:bCs/>
          <w:kern w:val="1"/>
          <w:sz w:val="44"/>
          <w:szCs w:val="28"/>
          <w:lang w:val="en-IE" w:eastAsia="hi-IN" w:bidi="hi-IN"/>
        </w:rPr>
      </w:pPr>
      <w:bookmarkStart w:id="5" w:name="_Toc524350290"/>
      <w:r>
        <w:rPr>
          <w:rFonts w:ascii="Calibri" w:eastAsia="Arial Unicode MS" w:hAnsi="Calibri" w:cs="font331"/>
          <w:bCs/>
          <w:kern w:val="1"/>
          <w:sz w:val="44"/>
          <w:szCs w:val="28"/>
          <w:lang w:val="en-IE" w:eastAsia="hi-IN" w:bidi="hi-IN"/>
        </w:rPr>
        <w:lastRenderedPageBreak/>
        <w:t>Consent</w:t>
      </w:r>
      <w:bookmarkEnd w:id="5"/>
      <w:r>
        <w:rPr>
          <w:rFonts w:ascii="Calibri" w:eastAsia="Arial Unicode MS" w:hAnsi="Calibri" w:cs="font331"/>
          <w:bCs/>
          <w:kern w:val="1"/>
          <w:sz w:val="44"/>
          <w:szCs w:val="28"/>
          <w:lang w:val="en-IE" w:eastAsia="hi-IN" w:bidi="hi-IN"/>
        </w:rPr>
        <w:t xml:space="preserve"> </w:t>
      </w:r>
    </w:p>
    <w:p w:rsidR="00A56017" w:rsidRDefault="00A56017" w:rsidP="00774E63">
      <w:pPr>
        <w:spacing w:after="0"/>
        <w:jc w:val="both"/>
        <w:rPr>
          <w:rFonts w:ascii="Times New Roman" w:hAnsi="Times New Roman" w:cs="Times New Roman"/>
          <w:sz w:val="24"/>
          <w:szCs w:val="24"/>
          <w:lang w:val="en-IE" w:eastAsia="hi-IN" w:bidi="hi-IN"/>
        </w:rPr>
      </w:pPr>
    </w:p>
    <w:p w:rsidR="00CA20B0" w:rsidRDefault="00E97B9C" w:rsidP="000A647B">
      <w:pPr>
        <w:spacing w:after="0"/>
        <w:jc w:val="both"/>
        <w:rPr>
          <w:rFonts w:ascii="Times New Roman" w:hAnsi="Times New Roman" w:cs="Times New Roman"/>
          <w:sz w:val="24"/>
          <w:szCs w:val="24"/>
          <w:lang w:val="en-IE" w:eastAsia="hi-IN" w:bidi="hi-IN"/>
        </w:rPr>
      </w:pPr>
      <w:r>
        <w:rPr>
          <w:rFonts w:ascii="Times New Roman" w:hAnsi="Times New Roman" w:cs="Times New Roman"/>
          <w:sz w:val="24"/>
          <w:szCs w:val="24"/>
          <w:lang w:val="en-IE" w:eastAsia="hi-IN" w:bidi="hi-IN"/>
        </w:rPr>
        <w:t>In order for the proposed framework to be fit-for-purpose it is essential that the primary means through which consumers can influence their privacy</w:t>
      </w:r>
      <w:r w:rsidR="00B143A2">
        <w:rPr>
          <w:rFonts w:ascii="Times New Roman" w:hAnsi="Times New Roman" w:cs="Times New Roman"/>
          <w:sz w:val="24"/>
          <w:szCs w:val="24"/>
          <w:lang w:val="en-IE" w:eastAsia="hi-IN" w:bidi="hi-IN"/>
        </w:rPr>
        <w:t>,</w:t>
      </w:r>
      <w:r w:rsidR="00CA20B0">
        <w:rPr>
          <w:rFonts w:ascii="Times New Roman" w:hAnsi="Times New Roman" w:cs="Times New Roman"/>
          <w:sz w:val="24"/>
          <w:szCs w:val="24"/>
          <w:lang w:val="en-IE" w:eastAsia="hi-IN" w:bidi="hi-IN"/>
        </w:rPr>
        <w:t xml:space="preserve"> </w:t>
      </w:r>
      <w:r w:rsidR="00B012D0">
        <w:rPr>
          <w:rFonts w:ascii="Times New Roman" w:hAnsi="Times New Roman" w:cs="Times New Roman"/>
          <w:sz w:val="24"/>
          <w:szCs w:val="24"/>
          <w:lang w:val="en-IE" w:eastAsia="hi-IN" w:bidi="hi-IN"/>
        </w:rPr>
        <w:t>namely consent, is defined in accordance with best practice.</w:t>
      </w:r>
      <w:r w:rsidR="000A647B">
        <w:rPr>
          <w:rFonts w:ascii="Times New Roman" w:hAnsi="Times New Roman" w:cs="Times New Roman"/>
          <w:sz w:val="24"/>
          <w:szCs w:val="24"/>
          <w:lang w:val="en-IE" w:eastAsia="hi-IN" w:bidi="hi-IN"/>
        </w:rPr>
        <w:t xml:space="preserve"> </w:t>
      </w:r>
      <w:r w:rsidR="00E6035E">
        <w:rPr>
          <w:rFonts w:ascii="Times New Roman" w:hAnsi="Times New Roman" w:cs="Times New Roman"/>
          <w:sz w:val="24"/>
          <w:szCs w:val="24"/>
          <w:lang w:val="en-IE" w:eastAsia="hi-IN" w:bidi="hi-IN"/>
        </w:rPr>
        <w:t>To this end c</w:t>
      </w:r>
      <w:r w:rsidR="00CA20B0">
        <w:rPr>
          <w:rFonts w:ascii="Times New Roman" w:hAnsi="Times New Roman" w:cs="Times New Roman"/>
          <w:sz w:val="24"/>
          <w:szCs w:val="24"/>
          <w:lang w:val="en-IE" w:eastAsia="hi-IN" w:bidi="hi-IN"/>
        </w:rPr>
        <w:t>onsent must be</w:t>
      </w:r>
      <w:r w:rsidR="00A752FD">
        <w:rPr>
          <w:rFonts w:ascii="Times New Roman" w:hAnsi="Times New Roman" w:cs="Times New Roman"/>
          <w:sz w:val="24"/>
          <w:szCs w:val="24"/>
          <w:lang w:val="en-IE" w:eastAsia="hi-IN" w:bidi="hi-IN"/>
        </w:rPr>
        <w:t xml:space="preserve"> genuine and be</w:t>
      </w:r>
      <w:r w:rsidR="00CA20B0">
        <w:rPr>
          <w:rFonts w:ascii="Times New Roman" w:hAnsi="Times New Roman" w:cs="Times New Roman"/>
          <w:sz w:val="24"/>
          <w:szCs w:val="24"/>
          <w:lang w:val="en-IE" w:eastAsia="hi-IN" w:bidi="hi-IN"/>
        </w:rPr>
        <w:t xml:space="preserve">: </w:t>
      </w:r>
    </w:p>
    <w:p w:rsidR="00CA20B0" w:rsidRDefault="00DD6853" w:rsidP="00116291">
      <w:pPr>
        <w:pStyle w:val="ListParagraph"/>
        <w:numPr>
          <w:ilvl w:val="0"/>
          <w:numId w:val="13"/>
        </w:numPr>
        <w:rPr>
          <w:rFonts w:ascii="Times New Roman" w:hAnsi="Times New Roman" w:cs="Times New Roman"/>
          <w:szCs w:val="24"/>
          <w:lang w:val="en-IE" w:eastAsia="hi-IN" w:bidi="hi-IN"/>
        </w:rPr>
      </w:pPr>
      <w:r>
        <w:rPr>
          <w:rFonts w:ascii="Times New Roman" w:hAnsi="Times New Roman" w:cs="Times New Roman"/>
          <w:szCs w:val="24"/>
          <w:lang w:val="en-IE" w:eastAsia="hi-IN" w:bidi="hi-IN"/>
        </w:rPr>
        <w:t>Explicit;</w:t>
      </w:r>
    </w:p>
    <w:p w:rsidR="00DD6853" w:rsidRDefault="00DD6853" w:rsidP="00116291">
      <w:pPr>
        <w:pStyle w:val="ListParagraph"/>
        <w:numPr>
          <w:ilvl w:val="0"/>
          <w:numId w:val="13"/>
        </w:numPr>
        <w:rPr>
          <w:rFonts w:ascii="Times New Roman" w:hAnsi="Times New Roman" w:cs="Times New Roman"/>
          <w:szCs w:val="24"/>
          <w:lang w:val="en-IE" w:eastAsia="hi-IN" w:bidi="hi-IN"/>
        </w:rPr>
      </w:pPr>
      <w:r>
        <w:rPr>
          <w:rFonts w:ascii="Times New Roman" w:hAnsi="Times New Roman" w:cs="Times New Roman"/>
          <w:szCs w:val="24"/>
          <w:lang w:val="en-IE" w:eastAsia="hi-IN" w:bidi="hi-IN"/>
        </w:rPr>
        <w:t>Specific to purpose;</w:t>
      </w:r>
    </w:p>
    <w:p w:rsidR="00DD6853" w:rsidRDefault="00DD6853" w:rsidP="00116291">
      <w:pPr>
        <w:pStyle w:val="ListParagraph"/>
        <w:numPr>
          <w:ilvl w:val="0"/>
          <w:numId w:val="13"/>
        </w:numPr>
        <w:rPr>
          <w:rFonts w:ascii="Times New Roman" w:hAnsi="Times New Roman" w:cs="Times New Roman"/>
          <w:szCs w:val="24"/>
          <w:lang w:val="en-IE" w:eastAsia="hi-IN" w:bidi="hi-IN"/>
        </w:rPr>
      </w:pPr>
      <w:r>
        <w:rPr>
          <w:rFonts w:ascii="Times New Roman" w:hAnsi="Times New Roman" w:cs="Times New Roman"/>
          <w:szCs w:val="24"/>
          <w:lang w:val="en-IE" w:eastAsia="hi-IN" w:bidi="hi-IN"/>
        </w:rPr>
        <w:t>Unbundled;</w:t>
      </w:r>
    </w:p>
    <w:p w:rsidR="00DD6853" w:rsidRDefault="00DD6853" w:rsidP="00116291">
      <w:pPr>
        <w:pStyle w:val="ListParagraph"/>
        <w:numPr>
          <w:ilvl w:val="0"/>
          <w:numId w:val="13"/>
        </w:numPr>
        <w:rPr>
          <w:rFonts w:ascii="Times New Roman" w:hAnsi="Times New Roman" w:cs="Times New Roman"/>
          <w:szCs w:val="24"/>
          <w:lang w:val="en-IE" w:eastAsia="hi-IN" w:bidi="hi-IN"/>
        </w:rPr>
      </w:pPr>
      <w:r>
        <w:rPr>
          <w:rFonts w:ascii="Times New Roman" w:hAnsi="Times New Roman" w:cs="Times New Roman"/>
          <w:szCs w:val="24"/>
          <w:lang w:val="en-IE" w:eastAsia="hi-IN" w:bidi="hi-IN"/>
        </w:rPr>
        <w:t xml:space="preserve">Easy to understand; </w:t>
      </w:r>
    </w:p>
    <w:p w:rsidR="00DD6853" w:rsidRDefault="00DD6853" w:rsidP="00116291">
      <w:pPr>
        <w:pStyle w:val="ListParagraph"/>
        <w:numPr>
          <w:ilvl w:val="0"/>
          <w:numId w:val="13"/>
        </w:numPr>
        <w:rPr>
          <w:rFonts w:ascii="Times New Roman" w:hAnsi="Times New Roman" w:cs="Times New Roman"/>
          <w:szCs w:val="24"/>
          <w:lang w:val="en-IE" w:eastAsia="hi-IN" w:bidi="hi-IN"/>
        </w:rPr>
      </w:pPr>
      <w:r>
        <w:rPr>
          <w:rFonts w:ascii="Times New Roman" w:hAnsi="Times New Roman" w:cs="Times New Roman"/>
          <w:szCs w:val="24"/>
          <w:lang w:val="en-IE" w:eastAsia="hi-IN" w:bidi="hi-IN"/>
        </w:rPr>
        <w:t xml:space="preserve">Revocable; </w:t>
      </w:r>
    </w:p>
    <w:p w:rsidR="00DE489D" w:rsidRPr="00884E97" w:rsidRDefault="00DD6853" w:rsidP="002E06C0">
      <w:pPr>
        <w:pStyle w:val="ListParagraph"/>
        <w:numPr>
          <w:ilvl w:val="0"/>
          <w:numId w:val="13"/>
        </w:numPr>
        <w:rPr>
          <w:rFonts w:ascii="Times New Roman" w:hAnsi="Times New Roman" w:cs="Times New Roman"/>
          <w:szCs w:val="24"/>
          <w:lang w:val="en-IE" w:eastAsia="hi-IN" w:bidi="hi-IN"/>
        </w:rPr>
      </w:pPr>
      <w:r>
        <w:rPr>
          <w:rFonts w:ascii="Times New Roman" w:hAnsi="Times New Roman" w:cs="Times New Roman"/>
          <w:szCs w:val="24"/>
          <w:lang w:val="en-IE" w:eastAsia="hi-IN" w:bidi="hi-IN"/>
        </w:rPr>
        <w:t xml:space="preserve">Freely given </w:t>
      </w:r>
    </w:p>
    <w:p w:rsidR="00884E97" w:rsidRPr="00AC06E2" w:rsidRDefault="00884E97" w:rsidP="00884E97">
      <w:pPr>
        <w:jc w:val="both"/>
        <w:rPr>
          <w:rFonts w:ascii="Times New Roman" w:hAnsi="Times New Roman" w:cs="Times New Roman"/>
          <w:color w:val="000000" w:themeColor="text1"/>
          <w:sz w:val="24"/>
          <w:szCs w:val="24"/>
          <w:lang w:val="en-IE" w:eastAsia="hi-IN" w:bidi="hi-IN"/>
        </w:rPr>
      </w:pPr>
      <w:r>
        <w:rPr>
          <w:rFonts w:ascii="Times New Roman" w:hAnsi="Times New Roman" w:cs="Times New Roman"/>
          <w:color w:val="000000" w:themeColor="text1"/>
          <w:sz w:val="24"/>
          <w:szCs w:val="24"/>
          <w:lang w:val="en-IE" w:eastAsia="hi-IN" w:bidi="hi-IN"/>
        </w:rPr>
        <w:t>ACCAN supports the adoption of a definition of consent that draws upon existing regulatory best practice, and acknowledges the significant challenges that consumers can face when seeking to actively engage with their privacy.</w:t>
      </w:r>
      <w:r w:rsidR="00EC036B">
        <w:rPr>
          <w:rFonts w:ascii="Times New Roman" w:hAnsi="Times New Roman" w:cs="Times New Roman"/>
          <w:color w:val="000000" w:themeColor="text1"/>
          <w:sz w:val="24"/>
          <w:szCs w:val="24"/>
          <w:lang w:val="en-IE" w:eastAsia="hi-IN" w:bidi="hi-IN"/>
        </w:rPr>
        <w:t xml:space="preserve"> </w:t>
      </w:r>
      <w:r w:rsidRPr="00976021">
        <w:rPr>
          <w:rFonts w:ascii="Times New Roman" w:hAnsi="Times New Roman" w:cs="Times New Roman"/>
          <w:color w:val="000000" w:themeColor="text1"/>
          <w:sz w:val="24"/>
          <w:szCs w:val="24"/>
          <w:lang w:val="en-IE" w:eastAsia="hi-IN" w:bidi="hi-IN"/>
        </w:rPr>
        <w:t xml:space="preserve">The challenges faced by consumers have been documented in the research of the </w:t>
      </w:r>
      <w:r>
        <w:rPr>
          <w:rFonts w:ascii="Times New Roman" w:hAnsi="Times New Roman" w:cs="Times New Roman"/>
          <w:color w:val="000000" w:themeColor="text1"/>
          <w:sz w:val="24"/>
          <w:szCs w:val="24"/>
          <w:lang w:val="en-IE" w:eastAsia="hi-IN" w:bidi="hi-IN"/>
        </w:rPr>
        <w:t>Consumer Policy Research Centre (</w:t>
      </w:r>
      <w:r w:rsidRPr="00976021">
        <w:rPr>
          <w:rFonts w:ascii="Times New Roman" w:hAnsi="Times New Roman" w:cs="Times New Roman"/>
          <w:color w:val="000000" w:themeColor="text1"/>
          <w:sz w:val="24"/>
          <w:szCs w:val="24"/>
          <w:lang w:val="en-IE" w:eastAsia="hi-IN" w:bidi="hi-IN"/>
        </w:rPr>
        <w:t>CPRC</w:t>
      </w:r>
      <w:r>
        <w:rPr>
          <w:rFonts w:ascii="Times New Roman" w:hAnsi="Times New Roman" w:cs="Times New Roman"/>
          <w:color w:val="000000" w:themeColor="text1"/>
          <w:sz w:val="24"/>
          <w:szCs w:val="24"/>
          <w:lang w:val="en-IE" w:eastAsia="hi-IN" w:bidi="hi-IN"/>
        </w:rPr>
        <w:t>)</w:t>
      </w:r>
      <w:r w:rsidRPr="00976021">
        <w:rPr>
          <w:rFonts w:ascii="Times New Roman" w:hAnsi="Times New Roman" w:cs="Times New Roman"/>
          <w:color w:val="000000" w:themeColor="text1"/>
          <w:sz w:val="24"/>
          <w:szCs w:val="24"/>
          <w:lang w:val="en-IE" w:eastAsia="hi-IN" w:bidi="hi-IN"/>
        </w:rPr>
        <w:t xml:space="preserve"> </w:t>
      </w:r>
      <w:r w:rsidRPr="007F0AFE">
        <w:rPr>
          <w:rFonts w:ascii="Times New Roman" w:hAnsi="Times New Roman" w:cs="Times New Roman"/>
          <w:color w:val="000000"/>
          <w:sz w:val="24"/>
        </w:rPr>
        <w:t>(2018)</w:t>
      </w:r>
      <w:r w:rsidRPr="00976021">
        <w:rPr>
          <w:rFonts w:ascii="Times New Roman" w:hAnsi="Times New Roman" w:cs="Times New Roman"/>
          <w:color w:val="000000" w:themeColor="text1"/>
          <w:sz w:val="24"/>
          <w:szCs w:val="24"/>
          <w:lang w:val="en-IE" w:eastAsia="hi-IN" w:bidi="hi-IN"/>
        </w:rPr>
        <w:t xml:space="preserve"> </w:t>
      </w:r>
      <w:r>
        <w:rPr>
          <w:rFonts w:ascii="Times New Roman" w:hAnsi="Times New Roman" w:cs="Times New Roman"/>
          <w:color w:val="000000" w:themeColor="text1"/>
          <w:sz w:val="24"/>
          <w:szCs w:val="24"/>
          <w:lang w:val="en-IE" w:eastAsia="hi-IN" w:bidi="hi-IN"/>
        </w:rPr>
        <w:t xml:space="preserve">that </w:t>
      </w:r>
      <w:r w:rsidRPr="00976021">
        <w:rPr>
          <w:rFonts w:ascii="Times New Roman" w:hAnsi="Times New Roman" w:cs="Times New Roman"/>
          <w:color w:val="000000" w:themeColor="text1"/>
          <w:sz w:val="24"/>
          <w:szCs w:val="24"/>
          <w:lang w:val="en-IE" w:eastAsia="hi-IN" w:bidi="hi-IN"/>
        </w:rPr>
        <w:t xml:space="preserve">indicates that the vast majority of Australians </w:t>
      </w:r>
      <w:r w:rsidRPr="00AC06E2">
        <w:rPr>
          <w:rFonts w:ascii="Times New Roman" w:hAnsi="Times New Roman" w:cs="Times New Roman"/>
          <w:color w:val="000000" w:themeColor="text1"/>
          <w:sz w:val="24"/>
          <w:szCs w:val="24"/>
          <w:lang w:val="en-IE" w:eastAsia="hi-IN" w:bidi="hi-IN"/>
        </w:rPr>
        <w:t>do not engage with their privacy</w:t>
      </w:r>
      <w:r w:rsidR="00647B26">
        <w:rPr>
          <w:rFonts w:ascii="Times New Roman" w:hAnsi="Times New Roman" w:cs="Times New Roman"/>
          <w:color w:val="000000" w:themeColor="text1"/>
          <w:sz w:val="24"/>
          <w:szCs w:val="24"/>
          <w:lang w:val="en-IE" w:eastAsia="hi-IN" w:bidi="hi-IN"/>
        </w:rPr>
        <w:t>. Relevant findings are:</w:t>
      </w:r>
    </w:p>
    <w:p w:rsidR="00884E97" w:rsidRPr="00AC06E2" w:rsidRDefault="00884E97" w:rsidP="00884E97">
      <w:pPr>
        <w:pStyle w:val="ListParagraph"/>
        <w:numPr>
          <w:ilvl w:val="0"/>
          <w:numId w:val="20"/>
        </w:numPr>
        <w:rPr>
          <w:rFonts w:ascii="Times New Roman" w:hAnsi="Times New Roman" w:cs="Times New Roman"/>
          <w:color w:val="000000" w:themeColor="text1"/>
          <w:szCs w:val="24"/>
          <w:lang w:val="en-IE" w:eastAsia="hi-IN" w:bidi="hi-IN"/>
        </w:rPr>
      </w:pPr>
      <w:r w:rsidRPr="00AC06E2">
        <w:rPr>
          <w:rFonts w:ascii="Times New Roman" w:hAnsi="Times New Roman" w:cs="Times New Roman"/>
          <w:color w:val="000000" w:themeColor="text1"/>
          <w:szCs w:val="24"/>
          <w:lang w:val="en-IE" w:eastAsia="hi-IN" w:bidi="hi-IN"/>
        </w:rPr>
        <w:t>33% of individuals surveyed indicat</w:t>
      </w:r>
      <w:r w:rsidR="00647B26">
        <w:rPr>
          <w:rFonts w:ascii="Times New Roman" w:hAnsi="Times New Roman" w:cs="Times New Roman"/>
          <w:color w:val="000000" w:themeColor="text1"/>
          <w:szCs w:val="24"/>
          <w:lang w:val="en-IE" w:eastAsia="hi-IN" w:bidi="hi-IN"/>
        </w:rPr>
        <w:t>ed</w:t>
      </w:r>
      <w:r w:rsidRPr="00AC06E2">
        <w:rPr>
          <w:rFonts w:ascii="Times New Roman" w:hAnsi="Times New Roman" w:cs="Times New Roman"/>
          <w:color w:val="000000" w:themeColor="text1"/>
          <w:szCs w:val="24"/>
          <w:lang w:val="en-IE" w:eastAsia="hi-IN" w:bidi="hi-IN"/>
        </w:rPr>
        <w:t xml:space="preserve"> they never read a privacy policy;</w:t>
      </w:r>
    </w:p>
    <w:p w:rsidR="00884E97" w:rsidRPr="00AC06E2" w:rsidRDefault="00884E97" w:rsidP="00884E97">
      <w:pPr>
        <w:pStyle w:val="ListParagraph"/>
        <w:numPr>
          <w:ilvl w:val="0"/>
          <w:numId w:val="20"/>
        </w:numPr>
        <w:rPr>
          <w:rFonts w:ascii="Times New Roman" w:hAnsi="Times New Roman" w:cs="Times New Roman"/>
          <w:color w:val="000000" w:themeColor="text1"/>
          <w:szCs w:val="24"/>
          <w:lang w:val="en-IE" w:eastAsia="hi-IN" w:bidi="hi-IN"/>
        </w:rPr>
      </w:pPr>
      <w:r w:rsidRPr="00AC06E2">
        <w:rPr>
          <w:rFonts w:ascii="Times New Roman" w:hAnsi="Times New Roman" w:cs="Times New Roman"/>
          <w:color w:val="000000" w:themeColor="text1"/>
          <w:szCs w:val="24"/>
          <w:lang w:val="en-IE" w:eastAsia="hi-IN" w:bidi="hi-IN"/>
        </w:rPr>
        <w:t xml:space="preserve">67% of consumers signing up for policies did not feel comfortable as it was a pre-condition of accessing a service; </w:t>
      </w:r>
    </w:p>
    <w:p w:rsidR="00884E97" w:rsidRPr="00AC06E2" w:rsidRDefault="00884E97" w:rsidP="00884E97">
      <w:pPr>
        <w:pStyle w:val="ListParagraph"/>
        <w:numPr>
          <w:ilvl w:val="0"/>
          <w:numId w:val="20"/>
        </w:numPr>
        <w:rPr>
          <w:rFonts w:ascii="Times New Roman" w:hAnsi="Times New Roman" w:cs="Times New Roman"/>
          <w:color w:val="000000" w:themeColor="text1"/>
          <w:szCs w:val="24"/>
          <w:lang w:val="en-IE" w:eastAsia="hi-IN" w:bidi="hi-IN"/>
        </w:rPr>
      </w:pPr>
      <w:proofErr w:type="gramStart"/>
      <w:r w:rsidRPr="00AC06E2">
        <w:rPr>
          <w:rFonts w:ascii="Times New Roman" w:hAnsi="Times New Roman" w:cs="Times New Roman"/>
          <w:color w:val="000000" w:themeColor="text1"/>
          <w:szCs w:val="24"/>
          <w:lang w:val="en-IE" w:eastAsia="hi-IN" w:bidi="hi-IN"/>
        </w:rPr>
        <w:t>the</w:t>
      </w:r>
      <w:proofErr w:type="gramEnd"/>
      <w:r w:rsidRPr="00AC06E2">
        <w:rPr>
          <w:rFonts w:ascii="Times New Roman" w:hAnsi="Times New Roman" w:cs="Times New Roman"/>
          <w:color w:val="000000" w:themeColor="text1"/>
          <w:szCs w:val="24"/>
          <w:lang w:val="en-IE" w:eastAsia="hi-IN" w:bidi="hi-IN"/>
        </w:rPr>
        <w:t xml:space="preserve"> vast majority of consumers </w:t>
      </w:r>
      <w:r w:rsidR="00647B26">
        <w:rPr>
          <w:rFonts w:ascii="Times New Roman" w:hAnsi="Times New Roman" w:cs="Times New Roman"/>
          <w:color w:val="000000" w:themeColor="text1"/>
          <w:szCs w:val="24"/>
          <w:lang w:val="en-IE" w:eastAsia="hi-IN" w:bidi="hi-IN"/>
        </w:rPr>
        <w:t xml:space="preserve">are </w:t>
      </w:r>
      <w:r w:rsidRPr="00AC06E2">
        <w:rPr>
          <w:rFonts w:ascii="Times New Roman" w:hAnsi="Times New Roman" w:cs="Times New Roman"/>
          <w:color w:val="000000" w:themeColor="text1"/>
          <w:szCs w:val="24"/>
          <w:lang w:val="en-IE" w:eastAsia="hi-IN" w:bidi="hi-IN"/>
        </w:rPr>
        <w:t>not comfortable with companies sharing their information for a variety of secondary purposes.</w:t>
      </w:r>
    </w:p>
    <w:p w:rsidR="00884E97" w:rsidRPr="00884E97" w:rsidRDefault="00884E97" w:rsidP="002E06C0">
      <w:pPr>
        <w:jc w:val="both"/>
        <w:rPr>
          <w:rFonts w:ascii="Times New Roman" w:hAnsi="Times New Roman" w:cs="Times New Roman"/>
          <w:sz w:val="24"/>
          <w:szCs w:val="24"/>
          <w:lang w:val="en-IE" w:eastAsia="hi-IN" w:bidi="hi-IN"/>
        </w:rPr>
      </w:pPr>
      <w:r w:rsidRPr="00C76CC9">
        <w:rPr>
          <w:rFonts w:ascii="Times New Roman" w:hAnsi="Times New Roman" w:cs="Times New Roman"/>
          <w:sz w:val="24"/>
          <w:szCs w:val="24"/>
          <w:lang w:val="en-IE" w:eastAsia="hi-IN" w:bidi="hi-IN"/>
        </w:rPr>
        <w:t xml:space="preserve">Despite significant discomfort and concern over engaging with their privacy, survey results indicate that consumers want their privacy dealt with fairly, and for government regulation to ensure that they can have better control over their privacy, through genuine consent and control </w:t>
      </w:r>
      <w:r w:rsidRPr="00C76CC9">
        <w:rPr>
          <w:rFonts w:ascii="Times New Roman" w:hAnsi="Times New Roman" w:cs="Times New Roman"/>
          <w:sz w:val="24"/>
        </w:rPr>
        <w:t>(</w:t>
      </w:r>
      <w:r>
        <w:rPr>
          <w:rFonts w:ascii="Times New Roman" w:hAnsi="Times New Roman" w:cs="Times New Roman"/>
          <w:sz w:val="24"/>
        </w:rPr>
        <w:t xml:space="preserve">CPRC </w:t>
      </w:r>
      <w:r w:rsidRPr="00C76CC9">
        <w:rPr>
          <w:rFonts w:ascii="Times New Roman" w:hAnsi="Times New Roman" w:cs="Times New Roman"/>
          <w:sz w:val="24"/>
        </w:rPr>
        <w:t>2018)</w:t>
      </w:r>
      <w:r w:rsidRPr="00C76CC9">
        <w:rPr>
          <w:rFonts w:ascii="Times New Roman" w:hAnsi="Times New Roman" w:cs="Times New Roman"/>
          <w:sz w:val="24"/>
          <w:szCs w:val="24"/>
          <w:lang w:val="en-IE" w:eastAsia="hi-IN" w:bidi="hi-IN"/>
        </w:rPr>
        <w:t xml:space="preserve">. </w:t>
      </w:r>
    </w:p>
    <w:p w:rsidR="00A752FD" w:rsidRDefault="00A752FD" w:rsidP="002E06C0">
      <w:pPr>
        <w:jc w:val="both"/>
        <w:rPr>
          <w:rFonts w:ascii="Times New Roman" w:hAnsi="Times New Roman" w:cs="Times New Roman"/>
          <w:color w:val="000000" w:themeColor="text1"/>
          <w:sz w:val="24"/>
          <w:szCs w:val="24"/>
          <w:lang w:val="en-IE" w:eastAsia="hi-IN" w:bidi="hi-IN"/>
        </w:rPr>
      </w:pPr>
      <w:r>
        <w:rPr>
          <w:rFonts w:ascii="Times New Roman" w:hAnsi="Times New Roman" w:cs="Times New Roman"/>
          <w:color w:val="000000" w:themeColor="text1"/>
          <w:sz w:val="24"/>
          <w:szCs w:val="24"/>
          <w:lang w:val="en-IE" w:eastAsia="hi-IN" w:bidi="hi-IN"/>
        </w:rPr>
        <w:t xml:space="preserve">In practice this would require consumers to unambiguously </w:t>
      </w:r>
      <w:r w:rsidR="00DE489D">
        <w:rPr>
          <w:rFonts w:ascii="Times New Roman" w:hAnsi="Times New Roman" w:cs="Times New Roman"/>
          <w:color w:val="000000" w:themeColor="text1"/>
          <w:sz w:val="24"/>
          <w:szCs w:val="24"/>
          <w:lang w:val="en-IE" w:eastAsia="hi-IN" w:bidi="hi-IN"/>
        </w:rPr>
        <w:t>or explicitly</w:t>
      </w:r>
      <w:r>
        <w:rPr>
          <w:rFonts w:ascii="Times New Roman" w:hAnsi="Times New Roman" w:cs="Times New Roman"/>
          <w:color w:val="000000" w:themeColor="text1"/>
          <w:sz w:val="24"/>
          <w:szCs w:val="24"/>
          <w:lang w:val="en-IE" w:eastAsia="hi-IN" w:bidi="hi-IN"/>
        </w:rPr>
        <w:t xml:space="preserve"> consent to the use of their information for nominated or specific purposes</w:t>
      </w:r>
      <w:r w:rsidR="00DE489D">
        <w:rPr>
          <w:rFonts w:ascii="Times New Roman" w:hAnsi="Times New Roman" w:cs="Times New Roman"/>
          <w:color w:val="000000" w:themeColor="text1"/>
          <w:sz w:val="24"/>
          <w:szCs w:val="24"/>
          <w:lang w:val="en-IE" w:eastAsia="hi-IN" w:bidi="hi-IN"/>
        </w:rPr>
        <w:t xml:space="preserve">, with a ban on alternative uses. It would also require consent to be unbundled from product or service offerings, with a ban on consumer information being a contractual requirement except where the information is essential to the provision of the service (e.g. insurance). </w:t>
      </w:r>
    </w:p>
    <w:p w:rsidR="00884E97" w:rsidRDefault="00DE489D" w:rsidP="002E06C0">
      <w:pPr>
        <w:jc w:val="both"/>
        <w:rPr>
          <w:rFonts w:ascii="Times New Roman" w:hAnsi="Times New Roman" w:cs="Times New Roman"/>
          <w:sz w:val="24"/>
          <w:szCs w:val="24"/>
          <w:lang w:val="en-IE" w:eastAsia="hi-IN" w:bidi="hi-IN"/>
        </w:rPr>
      </w:pPr>
      <w:r>
        <w:rPr>
          <w:rFonts w:ascii="Times New Roman" w:hAnsi="Times New Roman" w:cs="Times New Roman"/>
          <w:color w:val="000000" w:themeColor="text1"/>
          <w:sz w:val="24"/>
          <w:szCs w:val="24"/>
          <w:lang w:val="en-IE" w:eastAsia="hi-IN" w:bidi="hi-IN"/>
        </w:rPr>
        <w:t xml:space="preserve">Where consent is sought, businesses should be required to provide clear and easy to understand information so that consumers can readily engage with their privacy and be informed as to the extent of the consent and implications of consent. As part of this, </w:t>
      </w:r>
      <w:r w:rsidRPr="00C76CC9">
        <w:rPr>
          <w:rFonts w:ascii="Times New Roman" w:hAnsi="Times New Roman" w:cs="Times New Roman"/>
          <w:sz w:val="24"/>
          <w:szCs w:val="24"/>
          <w:lang w:val="en-IE" w:eastAsia="hi-IN" w:bidi="hi-IN"/>
        </w:rPr>
        <w:t xml:space="preserve">consent processes </w:t>
      </w:r>
      <w:r>
        <w:rPr>
          <w:rFonts w:ascii="Times New Roman" w:hAnsi="Times New Roman" w:cs="Times New Roman"/>
          <w:sz w:val="24"/>
          <w:szCs w:val="24"/>
          <w:lang w:val="en-IE" w:eastAsia="hi-IN" w:bidi="hi-IN"/>
        </w:rPr>
        <w:t xml:space="preserve">need </w:t>
      </w:r>
      <w:r w:rsidRPr="00C76CC9">
        <w:rPr>
          <w:rFonts w:ascii="Times New Roman" w:hAnsi="Times New Roman" w:cs="Times New Roman"/>
          <w:sz w:val="24"/>
          <w:szCs w:val="24"/>
          <w:lang w:val="en-IE" w:eastAsia="hi-IN" w:bidi="hi-IN"/>
        </w:rPr>
        <w:t xml:space="preserve">to be designed to preclude businesses from using complexity, to deter consumers from engagement to their detriment </w:t>
      </w:r>
      <w:r w:rsidRPr="00C76CC9">
        <w:rPr>
          <w:rFonts w:ascii="Times New Roman" w:hAnsi="Times New Roman" w:cs="Times New Roman"/>
          <w:sz w:val="24"/>
          <w:szCs w:val="24"/>
        </w:rPr>
        <w:t>(Ayres &amp; Schwartz 2014; Ben-</w:t>
      </w:r>
      <w:proofErr w:type="spellStart"/>
      <w:r w:rsidRPr="00C76CC9">
        <w:rPr>
          <w:rFonts w:ascii="Times New Roman" w:hAnsi="Times New Roman" w:cs="Times New Roman"/>
          <w:sz w:val="24"/>
          <w:szCs w:val="24"/>
        </w:rPr>
        <w:t>Shahar</w:t>
      </w:r>
      <w:proofErr w:type="spellEnd"/>
      <w:r w:rsidRPr="00C76CC9">
        <w:rPr>
          <w:rFonts w:ascii="Times New Roman" w:hAnsi="Times New Roman" w:cs="Times New Roman"/>
          <w:sz w:val="24"/>
          <w:szCs w:val="24"/>
        </w:rPr>
        <w:t xml:space="preserve"> 2009)</w:t>
      </w:r>
      <w:r w:rsidRPr="00C76CC9">
        <w:rPr>
          <w:rFonts w:ascii="Times New Roman" w:hAnsi="Times New Roman" w:cs="Times New Roman"/>
          <w:sz w:val="24"/>
          <w:szCs w:val="24"/>
          <w:lang w:val="en-IE" w:eastAsia="hi-IN" w:bidi="hi-IN"/>
        </w:rPr>
        <w:t xml:space="preserve">. </w:t>
      </w:r>
    </w:p>
    <w:p w:rsidR="00A339D0" w:rsidRPr="00A339D0" w:rsidRDefault="00DE489D" w:rsidP="002E06C0">
      <w:pPr>
        <w:jc w:val="both"/>
        <w:rPr>
          <w:rFonts w:ascii="Times New Roman" w:hAnsi="Times New Roman" w:cs="Times New Roman"/>
          <w:sz w:val="24"/>
          <w:szCs w:val="24"/>
          <w:lang w:val="en-IE" w:eastAsia="hi-IN" w:bidi="hi-IN"/>
        </w:rPr>
      </w:pPr>
      <w:r>
        <w:rPr>
          <w:rFonts w:ascii="Times New Roman" w:hAnsi="Times New Roman" w:cs="Times New Roman"/>
          <w:sz w:val="24"/>
          <w:szCs w:val="24"/>
          <w:lang w:val="en-IE" w:eastAsia="hi-IN" w:bidi="hi-IN"/>
        </w:rPr>
        <w:t>Consent should also be revocable</w:t>
      </w:r>
      <w:r w:rsidR="00EC036B">
        <w:rPr>
          <w:rFonts w:ascii="Times New Roman" w:hAnsi="Times New Roman" w:cs="Times New Roman"/>
          <w:sz w:val="24"/>
          <w:szCs w:val="24"/>
          <w:lang w:val="en-IE" w:eastAsia="hi-IN" w:bidi="hi-IN"/>
        </w:rPr>
        <w:t>. C</w:t>
      </w:r>
      <w:r>
        <w:rPr>
          <w:rFonts w:ascii="Times New Roman" w:hAnsi="Times New Roman" w:cs="Times New Roman"/>
          <w:sz w:val="24"/>
          <w:szCs w:val="24"/>
          <w:lang w:val="en-IE" w:eastAsia="hi-IN" w:bidi="hi-IN"/>
        </w:rPr>
        <w:t xml:space="preserve">onsumers should be able to withdraw their consent to the use or sharing of their data, by providing notice to firms of the withdrawal of their consent. </w:t>
      </w:r>
      <w:r w:rsidR="00A339D0">
        <w:rPr>
          <w:rFonts w:ascii="Times New Roman" w:hAnsi="Times New Roman" w:cs="Times New Roman"/>
          <w:sz w:val="24"/>
          <w:szCs w:val="24"/>
          <w:lang w:val="en-IE" w:eastAsia="hi-IN" w:bidi="hi-IN"/>
        </w:rPr>
        <w:lastRenderedPageBreak/>
        <w:t>Moreover consent should be freely given, and consumers’ should not be subjected to pressure to provide consent in order to access services.</w:t>
      </w:r>
    </w:p>
    <w:p w:rsidR="00A752FD" w:rsidRDefault="007451C2" w:rsidP="002E06C0">
      <w:pPr>
        <w:jc w:val="both"/>
        <w:rPr>
          <w:rFonts w:ascii="Times New Roman" w:hAnsi="Times New Roman" w:cs="Times New Roman"/>
          <w:color w:val="000000" w:themeColor="text1"/>
          <w:sz w:val="24"/>
          <w:szCs w:val="24"/>
          <w:lang w:val="en-IE" w:eastAsia="hi-IN" w:bidi="hi-IN"/>
        </w:rPr>
      </w:pPr>
      <w:r w:rsidRPr="007451C2">
        <w:rPr>
          <w:rFonts w:ascii="Times New Roman" w:hAnsi="Times New Roman" w:cs="Times New Roman"/>
          <w:color w:val="000000" w:themeColor="text1"/>
          <w:sz w:val="24"/>
          <w:szCs w:val="24"/>
          <w:lang w:val="en-IE" w:eastAsia="hi-IN" w:bidi="hi-IN"/>
        </w:rPr>
        <w:t xml:space="preserve">In order </w:t>
      </w:r>
      <w:r>
        <w:rPr>
          <w:rFonts w:ascii="Times New Roman" w:hAnsi="Times New Roman" w:cs="Times New Roman"/>
          <w:color w:val="000000" w:themeColor="text1"/>
          <w:sz w:val="24"/>
          <w:szCs w:val="24"/>
          <w:lang w:val="en-IE" w:eastAsia="hi-IN" w:bidi="hi-IN"/>
        </w:rPr>
        <w:t>for consumers to be adequately protected, and obtain benefits through the sharing of data</w:t>
      </w:r>
      <w:r w:rsidR="005E0640">
        <w:rPr>
          <w:rFonts w:ascii="Times New Roman" w:hAnsi="Times New Roman" w:cs="Times New Roman"/>
          <w:color w:val="000000" w:themeColor="text1"/>
          <w:sz w:val="24"/>
          <w:szCs w:val="24"/>
          <w:lang w:val="en-IE" w:eastAsia="hi-IN" w:bidi="hi-IN"/>
        </w:rPr>
        <w:t>,</w:t>
      </w:r>
      <w:r>
        <w:rPr>
          <w:rFonts w:ascii="Times New Roman" w:hAnsi="Times New Roman" w:cs="Times New Roman"/>
          <w:color w:val="000000" w:themeColor="text1"/>
          <w:sz w:val="24"/>
          <w:szCs w:val="24"/>
          <w:lang w:val="en-IE" w:eastAsia="hi-IN" w:bidi="hi-IN"/>
        </w:rPr>
        <w:t xml:space="preserve"> the process of giving consent must be commensurate with best practice. To this end, consumers should be in control of </w:t>
      </w:r>
      <w:r w:rsidR="00DE3564">
        <w:rPr>
          <w:rFonts w:ascii="Times New Roman" w:hAnsi="Times New Roman" w:cs="Times New Roman"/>
          <w:color w:val="000000" w:themeColor="text1"/>
          <w:sz w:val="24"/>
          <w:szCs w:val="24"/>
          <w:lang w:val="en-IE" w:eastAsia="hi-IN" w:bidi="hi-IN"/>
        </w:rPr>
        <w:t>their personal data.</w:t>
      </w:r>
      <w:r w:rsidR="005F5B26">
        <w:rPr>
          <w:rFonts w:ascii="Times New Roman" w:hAnsi="Times New Roman" w:cs="Times New Roman"/>
          <w:color w:val="000000" w:themeColor="text1"/>
          <w:sz w:val="24"/>
          <w:szCs w:val="24"/>
          <w:lang w:val="en-IE" w:eastAsia="hi-IN" w:bidi="hi-IN"/>
        </w:rPr>
        <w:t xml:space="preserve"> </w:t>
      </w:r>
      <w:r w:rsidR="002573DA">
        <w:rPr>
          <w:rFonts w:ascii="Times New Roman" w:hAnsi="Times New Roman" w:cs="Times New Roman"/>
          <w:color w:val="000000" w:themeColor="text1"/>
          <w:sz w:val="24"/>
          <w:szCs w:val="24"/>
          <w:lang w:val="en-IE" w:eastAsia="hi-IN" w:bidi="hi-IN"/>
        </w:rPr>
        <w:t xml:space="preserve">If consumers lose confidence in the management and protection of their data they are likely to disengage </w:t>
      </w:r>
      <w:r w:rsidR="00B11225">
        <w:rPr>
          <w:rFonts w:ascii="Times New Roman" w:hAnsi="Times New Roman" w:cs="Times New Roman"/>
          <w:color w:val="000000" w:themeColor="text1"/>
          <w:sz w:val="24"/>
          <w:szCs w:val="24"/>
          <w:lang w:val="en-IE" w:eastAsia="hi-IN" w:bidi="hi-IN"/>
        </w:rPr>
        <w:t>and the benefits of the CDR framework are likely to be lost.</w:t>
      </w:r>
    </w:p>
    <w:p w:rsidR="00B11225" w:rsidRPr="00B11225" w:rsidRDefault="00B11225" w:rsidP="00B11225">
      <w:pPr>
        <w:spacing w:before="100" w:beforeAutospacing="1" w:after="100" w:afterAutospacing="1" w:line="240" w:lineRule="auto"/>
        <w:jc w:val="both"/>
        <w:rPr>
          <w:rFonts w:ascii="Arial" w:eastAsiaTheme="minorEastAsia" w:hAnsi="Arial" w:cs="Arial"/>
          <w:b/>
          <w:sz w:val="32"/>
          <w:szCs w:val="32"/>
          <w:lang w:val="en-AU" w:eastAsia="en-AU"/>
        </w:rPr>
      </w:pPr>
      <w:r>
        <w:rPr>
          <w:rFonts w:ascii="Arial" w:eastAsiaTheme="minorEastAsia" w:hAnsi="Arial" w:cs="Arial"/>
          <w:b/>
          <w:sz w:val="32"/>
          <w:szCs w:val="32"/>
          <w:lang w:val="en-AU" w:eastAsia="en-AU"/>
        </w:rPr>
        <w:t>Consent underpins the economics of the CDR</w:t>
      </w:r>
    </w:p>
    <w:p w:rsidR="007F4A60" w:rsidRDefault="006F1135" w:rsidP="00B92BDC">
      <w:pPr>
        <w:spacing w:after="0"/>
        <w:jc w:val="both"/>
        <w:rPr>
          <w:rFonts w:ascii="Times New Roman" w:hAnsi="Times New Roman" w:cs="Times New Roman"/>
          <w:color w:val="000000" w:themeColor="text1"/>
          <w:sz w:val="24"/>
          <w:szCs w:val="24"/>
          <w:lang w:val="en-IE" w:eastAsia="hi-IN" w:bidi="hi-IN"/>
        </w:rPr>
      </w:pPr>
      <w:r>
        <w:rPr>
          <w:rFonts w:ascii="Times New Roman" w:hAnsi="Times New Roman" w:cs="Times New Roman"/>
          <w:color w:val="000000" w:themeColor="text1"/>
          <w:sz w:val="24"/>
          <w:szCs w:val="24"/>
          <w:lang w:val="en-IE" w:eastAsia="hi-IN" w:bidi="hi-IN"/>
        </w:rPr>
        <w:t>The fundamental economic basis of the proposed CDR framework rests on the principle that freely negotiated agreements made between parties only occur when it is to the benefit of both parties.</w:t>
      </w:r>
      <w:r w:rsidR="00304659">
        <w:rPr>
          <w:rFonts w:ascii="Times New Roman" w:hAnsi="Times New Roman" w:cs="Times New Roman"/>
          <w:color w:val="000000" w:themeColor="text1"/>
          <w:sz w:val="24"/>
          <w:szCs w:val="24"/>
          <w:lang w:val="en-IE" w:eastAsia="hi-IN" w:bidi="hi-IN"/>
        </w:rPr>
        <w:t xml:space="preserve"> </w:t>
      </w:r>
      <w:r w:rsidR="00004AD2">
        <w:rPr>
          <w:rFonts w:ascii="Times New Roman" w:hAnsi="Times New Roman" w:cs="Times New Roman"/>
          <w:color w:val="000000" w:themeColor="text1"/>
          <w:sz w:val="24"/>
          <w:szCs w:val="24"/>
          <w:lang w:val="en-IE" w:eastAsia="hi-IN" w:bidi="hi-IN"/>
        </w:rPr>
        <w:t xml:space="preserve">The core barrier to the development of mutually beneficial agreements is the existence of transaction costs – that is the costs associated </w:t>
      </w:r>
      <w:r w:rsidR="00004AD2" w:rsidRPr="007F4A60">
        <w:rPr>
          <w:rFonts w:ascii="Times New Roman" w:hAnsi="Times New Roman" w:cs="Times New Roman"/>
          <w:color w:val="000000" w:themeColor="text1"/>
          <w:sz w:val="24"/>
          <w:szCs w:val="24"/>
          <w:lang w:val="en-IE" w:eastAsia="hi-IN" w:bidi="hi-IN"/>
        </w:rPr>
        <w:t xml:space="preserve">with developing, making and enforcing agreements. </w:t>
      </w:r>
    </w:p>
    <w:p w:rsidR="008F601D" w:rsidRDefault="008F601D" w:rsidP="00B92BDC">
      <w:pPr>
        <w:spacing w:after="0"/>
        <w:jc w:val="both"/>
        <w:rPr>
          <w:rFonts w:ascii="Times New Roman" w:hAnsi="Times New Roman" w:cs="Times New Roman"/>
          <w:color w:val="000000" w:themeColor="text1"/>
          <w:sz w:val="24"/>
          <w:szCs w:val="24"/>
          <w:lang w:val="en-IE" w:eastAsia="hi-IN" w:bidi="hi-IN"/>
        </w:rPr>
      </w:pPr>
    </w:p>
    <w:p w:rsidR="00377BAB" w:rsidRDefault="003920BB" w:rsidP="00B92BDC">
      <w:pPr>
        <w:spacing w:after="0"/>
        <w:jc w:val="both"/>
        <w:rPr>
          <w:rFonts w:ascii="Times New Roman" w:hAnsi="Times New Roman" w:cs="Times New Roman"/>
          <w:color w:val="000000" w:themeColor="text1"/>
          <w:sz w:val="24"/>
          <w:szCs w:val="24"/>
          <w:lang w:val="en-IE" w:eastAsia="hi-IN" w:bidi="hi-IN"/>
        </w:rPr>
      </w:pPr>
      <w:r w:rsidRPr="007F4A60">
        <w:rPr>
          <w:rFonts w:ascii="Times New Roman" w:hAnsi="Times New Roman" w:cs="Times New Roman"/>
          <w:color w:val="000000" w:themeColor="text1"/>
          <w:sz w:val="24"/>
          <w:szCs w:val="24"/>
          <w:lang w:val="en-IE" w:eastAsia="hi-IN" w:bidi="hi-IN"/>
        </w:rPr>
        <w:t xml:space="preserve">The absence of </w:t>
      </w:r>
      <w:r w:rsidR="003C0E4F">
        <w:rPr>
          <w:rFonts w:ascii="Times New Roman" w:hAnsi="Times New Roman" w:cs="Times New Roman"/>
          <w:color w:val="000000" w:themeColor="text1"/>
          <w:sz w:val="24"/>
          <w:szCs w:val="24"/>
          <w:lang w:val="en-IE" w:eastAsia="hi-IN" w:bidi="hi-IN"/>
        </w:rPr>
        <w:t>genuine</w:t>
      </w:r>
      <w:r w:rsidRPr="007F4A60">
        <w:rPr>
          <w:rFonts w:ascii="Times New Roman" w:hAnsi="Times New Roman" w:cs="Times New Roman"/>
          <w:color w:val="000000" w:themeColor="text1"/>
          <w:sz w:val="24"/>
          <w:szCs w:val="24"/>
          <w:lang w:val="en-IE" w:eastAsia="hi-IN" w:bidi="hi-IN"/>
        </w:rPr>
        <w:t xml:space="preserve"> </w:t>
      </w:r>
      <w:r w:rsidR="00884E97" w:rsidRPr="007F4A60">
        <w:rPr>
          <w:rFonts w:ascii="Times New Roman" w:hAnsi="Times New Roman" w:cs="Times New Roman"/>
          <w:color w:val="000000" w:themeColor="text1"/>
          <w:sz w:val="24"/>
          <w:szCs w:val="24"/>
          <w:lang w:val="en-IE" w:eastAsia="hi-IN" w:bidi="hi-IN"/>
        </w:rPr>
        <w:t>consent</w:t>
      </w:r>
      <w:r w:rsidRPr="007F4A60">
        <w:rPr>
          <w:rFonts w:ascii="Times New Roman" w:hAnsi="Times New Roman" w:cs="Times New Roman"/>
          <w:color w:val="000000" w:themeColor="text1"/>
          <w:sz w:val="24"/>
          <w:szCs w:val="24"/>
          <w:lang w:val="en-IE" w:eastAsia="hi-IN" w:bidi="hi-IN"/>
        </w:rPr>
        <w:t xml:space="preserve"> undermines the </w:t>
      </w:r>
      <w:r w:rsidR="000D11A6" w:rsidRPr="007F4A60">
        <w:rPr>
          <w:rFonts w:ascii="Times New Roman" w:hAnsi="Times New Roman" w:cs="Times New Roman"/>
          <w:color w:val="000000" w:themeColor="text1"/>
          <w:sz w:val="24"/>
          <w:szCs w:val="24"/>
          <w:lang w:val="en-IE" w:eastAsia="hi-IN" w:bidi="hi-IN"/>
        </w:rPr>
        <w:t>fundamental</w:t>
      </w:r>
      <w:r w:rsidRPr="007F4A60">
        <w:rPr>
          <w:rFonts w:ascii="Times New Roman" w:hAnsi="Times New Roman" w:cs="Times New Roman"/>
          <w:color w:val="000000" w:themeColor="text1"/>
          <w:sz w:val="24"/>
          <w:szCs w:val="24"/>
          <w:lang w:val="en-IE" w:eastAsia="hi-IN" w:bidi="hi-IN"/>
        </w:rPr>
        <w:t xml:space="preserve"> economic premise of the proposed reform, and consequently without this core assumption being met, it is reasonable to conclude that </w:t>
      </w:r>
      <w:r w:rsidR="008F601D" w:rsidRPr="007F4A60">
        <w:rPr>
          <w:rFonts w:ascii="Times New Roman" w:hAnsi="Times New Roman" w:cs="Times New Roman"/>
          <w:color w:val="000000" w:themeColor="text1"/>
          <w:sz w:val="24"/>
          <w:szCs w:val="24"/>
          <w:lang w:val="en-IE" w:eastAsia="hi-IN" w:bidi="hi-IN"/>
        </w:rPr>
        <w:t xml:space="preserve">the </w:t>
      </w:r>
      <w:r w:rsidR="008F601D">
        <w:rPr>
          <w:rFonts w:ascii="Times New Roman" w:hAnsi="Times New Roman" w:cs="Times New Roman"/>
          <w:color w:val="000000" w:themeColor="text1"/>
          <w:sz w:val="24"/>
          <w:szCs w:val="24"/>
          <w:lang w:val="en-IE" w:eastAsia="hi-IN" w:bidi="hi-IN"/>
        </w:rPr>
        <w:t xml:space="preserve">expected </w:t>
      </w:r>
      <w:r w:rsidR="008F601D" w:rsidRPr="007F4A60">
        <w:rPr>
          <w:rFonts w:ascii="Times New Roman" w:hAnsi="Times New Roman" w:cs="Times New Roman"/>
          <w:color w:val="000000" w:themeColor="text1"/>
          <w:sz w:val="24"/>
          <w:szCs w:val="24"/>
          <w:lang w:val="en-IE" w:eastAsia="hi-IN" w:bidi="hi-IN"/>
        </w:rPr>
        <w:t>economic</w:t>
      </w:r>
      <w:r w:rsidRPr="007F4A60">
        <w:rPr>
          <w:rFonts w:ascii="Times New Roman" w:hAnsi="Times New Roman" w:cs="Times New Roman"/>
          <w:color w:val="000000" w:themeColor="text1"/>
          <w:sz w:val="24"/>
          <w:szCs w:val="24"/>
          <w:lang w:val="en-IE" w:eastAsia="hi-IN" w:bidi="hi-IN"/>
        </w:rPr>
        <w:t xml:space="preserve"> benefits will not flow.</w:t>
      </w:r>
    </w:p>
    <w:p w:rsidR="00B92BDC" w:rsidRDefault="00B92BDC" w:rsidP="00B92BDC">
      <w:pPr>
        <w:spacing w:after="0"/>
        <w:jc w:val="both"/>
        <w:rPr>
          <w:rFonts w:ascii="Times New Roman" w:hAnsi="Times New Roman" w:cs="Times New Roman"/>
          <w:color w:val="000000" w:themeColor="text1"/>
          <w:sz w:val="24"/>
          <w:szCs w:val="24"/>
          <w:lang w:val="en-IE" w:eastAsia="hi-IN" w:bidi="hi-IN"/>
        </w:rPr>
      </w:pPr>
    </w:p>
    <w:p w:rsidR="00EF74BD" w:rsidRDefault="00090FAF" w:rsidP="00B92BDC">
      <w:pPr>
        <w:spacing w:after="0"/>
        <w:jc w:val="both"/>
        <w:rPr>
          <w:rFonts w:ascii="Times New Roman" w:hAnsi="Times New Roman" w:cs="Times New Roman"/>
          <w:color w:val="000000" w:themeColor="text1"/>
          <w:sz w:val="24"/>
          <w:szCs w:val="24"/>
          <w:lang w:val="en-IE" w:eastAsia="hi-IN" w:bidi="hi-IN"/>
        </w:rPr>
      </w:pPr>
      <w:r>
        <w:rPr>
          <w:rFonts w:ascii="Times New Roman" w:hAnsi="Times New Roman" w:cs="Times New Roman"/>
          <w:color w:val="000000" w:themeColor="text1"/>
          <w:sz w:val="24"/>
          <w:szCs w:val="24"/>
          <w:lang w:val="en-IE" w:eastAsia="hi-IN" w:bidi="hi-IN"/>
        </w:rPr>
        <w:t xml:space="preserve">The definition of </w:t>
      </w:r>
      <w:r w:rsidR="00884E97">
        <w:rPr>
          <w:rFonts w:ascii="Times New Roman" w:hAnsi="Times New Roman" w:cs="Times New Roman"/>
          <w:color w:val="000000" w:themeColor="text1"/>
          <w:sz w:val="24"/>
          <w:szCs w:val="24"/>
          <w:lang w:val="en-IE" w:eastAsia="hi-IN" w:bidi="hi-IN"/>
        </w:rPr>
        <w:t>consent</w:t>
      </w:r>
      <w:r>
        <w:rPr>
          <w:rFonts w:ascii="Times New Roman" w:hAnsi="Times New Roman" w:cs="Times New Roman"/>
          <w:color w:val="000000" w:themeColor="text1"/>
          <w:sz w:val="24"/>
          <w:szCs w:val="24"/>
          <w:lang w:val="en-IE" w:eastAsia="hi-IN" w:bidi="hi-IN"/>
        </w:rPr>
        <w:t xml:space="preserve"> is therefore essential to the operation of the proposed CDR framework, and accordingly a best practice definition should be adopted. </w:t>
      </w:r>
      <w:r w:rsidR="0059181C">
        <w:rPr>
          <w:rFonts w:ascii="Times New Roman" w:hAnsi="Times New Roman" w:cs="Times New Roman"/>
          <w:color w:val="000000" w:themeColor="text1"/>
          <w:sz w:val="24"/>
          <w:szCs w:val="24"/>
          <w:lang w:val="en-IE" w:eastAsia="hi-IN" w:bidi="hi-IN"/>
        </w:rPr>
        <w:t xml:space="preserve">In the absence of an appropriate definition of consent and substantive requirements surrounding the </w:t>
      </w:r>
      <w:r w:rsidR="00E3255D">
        <w:rPr>
          <w:rFonts w:ascii="Times New Roman" w:hAnsi="Times New Roman" w:cs="Times New Roman"/>
          <w:color w:val="000000" w:themeColor="text1"/>
          <w:sz w:val="24"/>
          <w:szCs w:val="24"/>
          <w:lang w:val="en-IE" w:eastAsia="hi-IN" w:bidi="hi-IN"/>
        </w:rPr>
        <w:t xml:space="preserve">way in which consumers may consent to the use, sharing and transfer of their data it is unlikely that the potential benefits of reform will be realised. </w:t>
      </w:r>
    </w:p>
    <w:p w:rsidR="00C8710B" w:rsidRDefault="00C8710B" w:rsidP="00B92BDC">
      <w:pPr>
        <w:spacing w:after="0"/>
        <w:jc w:val="both"/>
        <w:rPr>
          <w:rFonts w:ascii="Times New Roman" w:hAnsi="Times New Roman" w:cs="Times New Roman"/>
          <w:color w:val="000000" w:themeColor="text1"/>
          <w:sz w:val="24"/>
          <w:szCs w:val="24"/>
          <w:lang w:val="en-IE" w:eastAsia="hi-IN" w:bidi="hi-IN"/>
        </w:rPr>
      </w:pPr>
      <w:r w:rsidRPr="00DD0AEA">
        <w:rPr>
          <w:rFonts w:ascii="Calibri" w:eastAsiaTheme="minorEastAsia" w:hAnsi="Calibri"/>
          <w:noProof/>
          <w:color w:val="000000" w:themeColor="text1"/>
          <w:sz w:val="24"/>
        </w:rPr>
        <mc:AlternateContent>
          <mc:Choice Requires="wps">
            <w:drawing>
              <wp:anchor distT="0" distB="0" distL="114300" distR="114300" simplePos="0" relativeHeight="251768832" behindDoc="0" locked="0" layoutInCell="1" allowOverlap="1" wp14:anchorId="503DE927" wp14:editId="08184C51">
                <wp:simplePos x="0" y="0"/>
                <wp:positionH relativeFrom="column">
                  <wp:posOffset>0</wp:posOffset>
                </wp:positionH>
                <wp:positionV relativeFrom="paragraph">
                  <wp:posOffset>63596</wp:posOffset>
                </wp:positionV>
                <wp:extent cx="5720080" cy="777922"/>
                <wp:effectExtent l="0" t="0" r="13970" b="22225"/>
                <wp:wrapNone/>
                <wp:docPr id="42" name="Text Box 42"/>
                <wp:cNvGraphicFramePr/>
                <a:graphic xmlns:a="http://schemas.openxmlformats.org/drawingml/2006/main">
                  <a:graphicData uri="http://schemas.microsoft.com/office/word/2010/wordprocessingShape">
                    <wps:wsp>
                      <wps:cNvSpPr txBox="1"/>
                      <wps:spPr>
                        <a:xfrm>
                          <a:off x="0" y="0"/>
                          <a:ext cx="5720080" cy="777922"/>
                        </a:xfrm>
                        <a:prstGeom prst="rect">
                          <a:avLst/>
                        </a:prstGeom>
                        <a:solidFill>
                          <a:sysClr val="window" lastClr="FFFFFF"/>
                        </a:solidFill>
                        <a:ln w="6350">
                          <a:solidFill>
                            <a:srgbClr val="00B0F0"/>
                          </a:solidFill>
                        </a:ln>
                      </wps:spPr>
                      <wps:txbx>
                        <w:txbxContent>
                          <w:p w:rsidR="00DD5468" w:rsidRPr="00C8710B" w:rsidRDefault="00DD5468" w:rsidP="00C8710B">
                            <w:pPr>
                              <w:rPr>
                                <w:rFonts w:ascii="Times New Roman" w:hAnsi="Times New Roman" w:cs="Times New Roman"/>
                                <w:b/>
                              </w:rPr>
                            </w:pPr>
                            <w:r w:rsidRPr="00C8710B">
                              <w:rPr>
                                <w:rFonts w:ascii="Times New Roman" w:hAnsi="Times New Roman" w:cs="Times New Roman"/>
                                <w:b/>
                              </w:rPr>
                              <w:t>Recommendation 1</w:t>
                            </w:r>
                            <w:r>
                              <w:rPr>
                                <w:rFonts w:ascii="Times New Roman" w:hAnsi="Times New Roman" w:cs="Times New Roman"/>
                                <w:b/>
                              </w:rPr>
                              <w:t>4</w:t>
                            </w:r>
                          </w:p>
                          <w:p w:rsidR="00DD5468" w:rsidRPr="00C8710B" w:rsidRDefault="00DD5468" w:rsidP="00C8710B">
                            <w:pPr>
                              <w:jc w:val="both"/>
                              <w:rPr>
                                <w:rFonts w:ascii="Times New Roman" w:hAnsi="Times New Roman" w:cs="Times New Roman"/>
                                <w:i/>
                              </w:rPr>
                            </w:pPr>
                            <w:r w:rsidRPr="00C8710B">
                              <w:rPr>
                                <w:rFonts w:ascii="Times New Roman" w:hAnsi="Times New Roman" w:cs="Times New Roman"/>
                                <w:i/>
                              </w:rPr>
                              <w:t xml:space="preserve">That the Bill be amended to require genuine consent from consumers for the transfer of their data under the CDR framework. </w:t>
                            </w:r>
                          </w:p>
                          <w:p w:rsidR="00DD5468" w:rsidRPr="00E15E43" w:rsidRDefault="00DD5468" w:rsidP="00C8710B">
                            <w:pPr>
                              <w:jc w:val="both"/>
                              <w:rPr>
                                <w:rFonts w:ascii="Times New Roman" w:hAnsi="Times New Roman" w:cs="Times New Roman"/>
                                <w: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2" o:spid="_x0000_s1057" type="#_x0000_t202" style="position:absolute;left:0;text-align:left;margin-left:0;margin-top:5pt;width:450.4pt;height:61.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" fillcolor="window" strokecolor="#00b0f0" strokeweight=".5pt">
                <v:textbox>
                  <w:txbxContent>
                    <w:p w:rsidR="00DD5468" w:rsidRPr="00C8710B" w:rsidRDefault="00DD5468" w:rsidP="00C8710B">
                      <w:pPr>
                        <w:rPr>
                          <w:rFonts w:ascii="Times New Roman" w:hAnsi="Times New Roman" w:cs="Times New Roman"/>
                          <w:b/>
                        </w:rPr>
                      </w:pPr>
                      <w:r w:rsidRPr="00C8710B">
                        <w:rPr>
                          <w:rFonts w:ascii="Times New Roman" w:hAnsi="Times New Roman" w:cs="Times New Roman"/>
                          <w:b/>
                        </w:rPr>
                        <w:t>Recommendation 1</w:t>
                      </w:r>
                      <w:r>
                        <w:rPr>
                          <w:rFonts w:ascii="Times New Roman" w:hAnsi="Times New Roman" w:cs="Times New Roman"/>
                          <w:b/>
                        </w:rPr>
                        <w:t>4</w:t>
                      </w:r>
                    </w:p>
                    <w:p w:rsidR="00DD5468" w:rsidRPr="00C8710B" w:rsidRDefault="00DD5468" w:rsidP="00C8710B">
                      <w:pPr>
                        <w:jc w:val="both"/>
                        <w:rPr>
                          <w:rFonts w:ascii="Times New Roman" w:hAnsi="Times New Roman" w:cs="Times New Roman"/>
                          <w:i/>
                        </w:rPr>
                      </w:pPr>
                      <w:r w:rsidRPr="00C8710B">
                        <w:rPr>
                          <w:rFonts w:ascii="Times New Roman" w:hAnsi="Times New Roman" w:cs="Times New Roman"/>
                          <w:i/>
                        </w:rPr>
                        <w:t xml:space="preserve">That the Bill be amended to require genuine consent from consumers for the transfer of their data under the CDR framework. </w:t>
                      </w:r>
                    </w:p>
                    <w:p w:rsidR="00DD5468" w:rsidRPr="00E15E43" w:rsidRDefault="00DD5468" w:rsidP="00C8710B">
                      <w:pPr>
                        <w:jc w:val="both"/>
                        <w:rPr>
                          <w:rFonts w:ascii="Times New Roman" w:hAnsi="Times New Roman" w:cs="Times New Roman"/>
                          <w:i/>
                          <w:color w:val="FF0000"/>
                        </w:rPr>
                      </w:pPr>
                    </w:p>
                  </w:txbxContent>
                </v:textbox>
              </v:shape>
            </w:pict>
          </mc:Fallback>
        </mc:AlternateContent>
      </w:r>
    </w:p>
    <w:p w:rsidR="00C8710B" w:rsidRDefault="00C8710B" w:rsidP="00B92BDC">
      <w:pPr>
        <w:spacing w:after="0"/>
        <w:jc w:val="both"/>
        <w:rPr>
          <w:rFonts w:ascii="Times New Roman" w:hAnsi="Times New Roman" w:cs="Times New Roman"/>
          <w:color w:val="000000" w:themeColor="text1"/>
          <w:sz w:val="24"/>
          <w:szCs w:val="24"/>
          <w:lang w:val="en-IE" w:eastAsia="hi-IN" w:bidi="hi-IN"/>
        </w:rPr>
      </w:pPr>
    </w:p>
    <w:p w:rsidR="00C8710B" w:rsidRDefault="00C8710B" w:rsidP="00B92BDC">
      <w:pPr>
        <w:spacing w:after="0"/>
        <w:jc w:val="both"/>
        <w:rPr>
          <w:rFonts w:ascii="Times New Roman" w:hAnsi="Times New Roman" w:cs="Times New Roman"/>
          <w:color w:val="000000" w:themeColor="text1"/>
          <w:sz w:val="24"/>
          <w:szCs w:val="24"/>
          <w:lang w:val="en-IE" w:eastAsia="hi-IN" w:bidi="hi-IN"/>
        </w:rPr>
      </w:pPr>
    </w:p>
    <w:p w:rsidR="00C8710B" w:rsidRDefault="00C8710B" w:rsidP="00B92BDC">
      <w:pPr>
        <w:spacing w:after="0"/>
        <w:jc w:val="both"/>
        <w:rPr>
          <w:rFonts w:ascii="Times New Roman" w:hAnsi="Times New Roman" w:cs="Times New Roman"/>
          <w:color w:val="000000" w:themeColor="text1"/>
          <w:sz w:val="24"/>
          <w:szCs w:val="24"/>
          <w:lang w:val="en-IE" w:eastAsia="hi-IN" w:bidi="hi-IN"/>
        </w:rPr>
      </w:pPr>
    </w:p>
    <w:p w:rsidR="00393A39" w:rsidRPr="00987F8E" w:rsidRDefault="00393A39" w:rsidP="00B92BDC">
      <w:pPr>
        <w:spacing w:before="100" w:beforeAutospacing="1" w:after="100" w:afterAutospacing="1" w:line="240" w:lineRule="auto"/>
        <w:jc w:val="both"/>
        <w:rPr>
          <w:rFonts w:ascii="Arial" w:eastAsiaTheme="minorEastAsia" w:hAnsi="Arial" w:cs="Arial"/>
          <w:b/>
          <w:sz w:val="32"/>
          <w:szCs w:val="32"/>
          <w:lang w:val="en-AU" w:eastAsia="en-AU"/>
        </w:rPr>
      </w:pPr>
      <w:r w:rsidRPr="00987F8E">
        <w:rPr>
          <w:rFonts w:ascii="Arial" w:eastAsiaTheme="minorEastAsia" w:hAnsi="Arial" w:cs="Arial"/>
          <w:b/>
          <w:sz w:val="32"/>
          <w:szCs w:val="32"/>
          <w:lang w:val="en-AU" w:eastAsia="en-AU"/>
        </w:rPr>
        <w:t xml:space="preserve">Transfer of data concerning consumer consents </w:t>
      </w:r>
    </w:p>
    <w:p w:rsidR="00393A39" w:rsidRDefault="00393A39" w:rsidP="00393A39">
      <w:pPr>
        <w:spacing w:before="100" w:beforeAutospacing="1" w:after="100" w:afterAutospacing="1"/>
        <w:jc w:val="both"/>
        <w:rPr>
          <w:rFonts w:ascii="Times New Roman" w:eastAsia="Arial Unicode MS" w:hAnsi="Times New Roman" w:cs="Times New Roman"/>
          <w:bCs/>
          <w:kern w:val="1"/>
          <w:sz w:val="24"/>
          <w:szCs w:val="24"/>
          <w:lang w:val="en-IE" w:eastAsia="hi-IN" w:bidi="hi-IN"/>
        </w:rPr>
      </w:pPr>
      <w:r>
        <w:rPr>
          <w:rFonts w:ascii="Times New Roman" w:eastAsia="Arial Unicode MS" w:hAnsi="Times New Roman" w:cs="Times New Roman"/>
          <w:bCs/>
          <w:kern w:val="1"/>
          <w:sz w:val="24"/>
          <w:szCs w:val="24"/>
          <w:lang w:val="en-IE" w:eastAsia="hi-IN" w:bidi="hi-IN"/>
        </w:rPr>
        <w:t>ACCAN supports the implementation of measures that reduce the complexity of consumers engaging with their data and privacy. Accordingly we support the adoption of measures that would allow consumers to port their privacy preferences to potential service providers. As part of this process consumers should be reminded of their existing setting, as this may prove an effective nudge for greater consumer engagement in the management of their privacy.</w:t>
      </w:r>
    </w:p>
    <w:p w:rsidR="002966C7" w:rsidRPr="00B92BDC" w:rsidRDefault="00B92BDC" w:rsidP="00B92BDC">
      <w:pPr>
        <w:spacing w:before="100" w:beforeAutospacing="1" w:after="100" w:afterAutospacing="1" w:line="360" w:lineRule="auto"/>
        <w:jc w:val="both"/>
        <w:rPr>
          <w:rFonts w:ascii="Arial" w:eastAsiaTheme="minorEastAsia" w:hAnsi="Arial" w:cs="Arial"/>
          <w:b/>
          <w:sz w:val="32"/>
          <w:szCs w:val="32"/>
          <w:lang w:val="en-AU" w:eastAsia="en-AU"/>
        </w:rPr>
      </w:pPr>
      <w:r w:rsidRPr="00DD0AEA">
        <w:rPr>
          <w:rFonts w:ascii="Calibri" w:eastAsiaTheme="minorEastAsia" w:hAnsi="Calibri"/>
          <w:noProof/>
          <w:color w:val="000000" w:themeColor="text1"/>
          <w:sz w:val="24"/>
        </w:rPr>
        <mc:AlternateContent>
          <mc:Choice Requires="wps">
            <w:drawing>
              <wp:anchor distT="0" distB="0" distL="114300" distR="114300" simplePos="0" relativeHeight="251721728" behindDoc="0" locked="0" layoutInCell="1" allowOverlap="1" wp14:anchorId="7AB632F6" wp14:editId="5253F699">
                <wp:simplePos x="0" y="0"/>
                <wp:positionH relativeFrom="column">
                  <wp:posOffset>0</wp:posOffset>
                </wp:positionH>
                <wp:positionV relativeFrom="paragraph">
                  <wp:posOffset>20010</wp:posOffset>
                </wp:positionV>
                <wp:extent cx="5720080" cy="935665"/>
                <wp:effectExtent l="0" t="0" r="13970" b="17145"/>
                <wp:wrapNone/>
                <wp:docPr id="20" name="Text Box 20"/>
                <wp:cNvGraphicFramePr/>
                <a:graphic xmlns:a="http://schemas.openxmlformats.org/drawingml/2006/main">
                  <a:graphicData uri="http://schemas.microsoft.com/office/word/2010/wordprocessingShape">
                    <wps:wsp>
                      <wps:cNvSpPr txBox="1"/>
                      <wps:spPr>
                        <a:xfrm>
                          <a:off x="0" y="0"/>
                          <a:ext cx="5720080" cy="935665"/>
                        </a:xfrm>
                        <a:prstGeom prst="rect">
                          <a:avLst/>
                        </a:prstGeom>
                        <a:solidFill>
                          <a:sysClr val="window" lastClr="FFFFFF"/>
                        </a:solidFill>
                        <a:ln w="6350">
                          <a:solidFill>
                            <a:srgbClr val="00B0F0"/>
                          </a:solidFill>
                        </a:ln>
                      </wps:spPr>
                      <wps:txbx>
                        <w:txbxContent>
                          <w:p w:rsidR="00DD5468" w:rsidRPr="00C8710B" w:rsidRDefault="00DD5468" w:rsidP="00C8710B">
                            <w:pPr>
                              <w:rPr>
                                <w:rFonts w:ascii="Times New Roman" w:hAnsi="Times New Roman" w:cs="Times New Roman"/>
                                <w:i/>
                              </w:rPr>
                            </w:pPr>
                            <w:r w:rsidRPr="00C8710B">
                              <w:rPr>
                                <w:rFonts w:ascii="Times New Roman" w:hAnsi="Times New Roman" w:cs="Times New Roman"/>
                                <w:b/>
                              </w:rPr>
                              <w:t>Recommendation 1</w:t>
                            </w:r>
                            <w:r>
                              <w:rPr>
                                <w:rFonts w:ascii="Times New Roman" w:hAnsi="Times New Roman" w:cs="Times New Roman"/>
                                <w:b/>
                              </w:rPr>
                              <w:t>5</w:t>
                            </w:r>
                          </w:p>
                          <w:p w:rsidR="00DD5468" w:rsidRPr="00C8710B" w:rsidRDefault="00DD5468" w:rsidP="00C8710B">
                            <w:pPr>
                              <w:jc w:val="both"/>
                              <w:rPr>
                                <w:rFonts w:ascii="Times New Roman" w:hAnsi="Times New Roman" w:cs="Times New Roman"/>
                                <w:i/>
                              </w:rPr>
                            </w:pPr>
                            <w:r w:rsidRPr="00C8710B">
                              <w:rPr>
                                <w:rFonts w:ascii="Times New Roman" w:hAnsi="Times New Roman" w:cs="Times New Roman"/>
                                <w:i/>
                              </w:rPr>
                              <w:t xml:space="preserve">That </w:t>
                            </w:r>
                            <w:proofErr w:type="gramStart"/>
                            <w:r w:rsidRPr="00C8710B">
                              <w:rPr>
                                <w:rFonts w:ascii="Times New Roman" w:hAnsi="Times New Roman" w:cs="Times New Roman"/>
                                <w:i/>
                              </w:rPr>
                              <w:t>s56BG(</w:t>
                            </w:r>
                            <w:proofErr w:type="gramEnd"/>
                            <w:r w:rsidRPr="00C8710B">
                              <w:rPr>
                                <w:rFonts w:ascii="Times New Roman" w:hAnsi="Times New Roman" w:cs="Times New Roman"/>
                                <w:i/>
                              </w:rPr>
                              <w:t>a) be amended to allow for the transfer of data concerning consumer consents, and to require that consumers be notified of their existing consents when such information is to be transferred.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58" type="#_x0000_t202" style="position:absolute;left:0;text-align:left;margin-left:0;margin-top:1.6pt;width:450.4pt;height:73.6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" fillcolor="window" strokecolor="#00b0f0" strokeweight=".5pt">
                <v:textbox>
                  <w:txbxContent>
                    <w:p w:rsidR="00DD5468" w:rsidRPr="00C8710B" w:rsidRDefault="00DD5468" w:rsidP="00C8710B">
                      <w:pPr>
                        <w:rPr>
                          <w:rFonts w:ascii="Times New Roman" w:hAnsi="Times New Roman" w:cs="Times New Roman"/>
                          <w:i/>
                        </w:rPr>
                      </w:pPr>
                      <w:r w:rsidRPr="00C8710B">
                        <w:rPr>
                          <w:rFonts w:ascii="Times New Roman" w:hAnsi="Times New Roman" w:cs="Times New Roman"/>
                          <w:b/>
                        </w:rPr>
                        <w:t>Recommendation 1</w:t>
                      </w:r>
                      <w:r>
                        <w:rPr>
                          <w:rFonts w:ascii="Times New Roman" w:hAnsi="Times New Roman" w:cs="Times New Roman"/>
                          <w:b/>
                        </w:rPr>
                        <w:t>5</w:t>
                      </w:r>
                    </w:p>
                    <w:p w:rsidR="00DD5468" w:rsidRPr="00C8710B" w:rsidRDefault="00DD5468" w:rsidP="00C8710B">
                      <w:pPr>
                        <w:jc w:val="both"/>
                        <w:rPr>
                          <w:rFonts w:ascii="Times New Roman" w:hAnsi="Times New Roman" w:cs="Times New Roman"/>
                          <w:i/>
                        </w:rPr>
                      </w:pPr>
                      <w:r w:rsidRPr="00C8710B">
                        <w:rPr>
                          <w:rFonts w:ascii="Times New Roman" w:hAnsi="Times New Roman" w:cs="Times New Roman"/>
                          <w:i/>
                        </w:rPr>
                        <w:t xml:space="preserve">That </w:t>
                      </w:r>
                      <w:proofErr w:type="gramStart"/>
                      <w:r w:rsidRPr="00C8710B">
                        <w:rPr>
                          <w:rFonts w:ascii="Times New Roman" w:hAnsi="Times New Roman" w:cs="Times New Roman"/>
                          <w:i/>
                        </w:rPr>
                        <w:t>s56BG(</w:t>
                      </w:r>
                      <w:proofErr w:type="gramEnd"/>
                      <w:r w:rsidRPr="00C8710B">
                        <w:rPr>
                          <w:rFonts w:ascii="Times New Roman" w:hAnsi="Times New Roman" w:cs="Times New Roman"/>
                          <w:i/>
                        </w:rPr>
                        <w:t>a) be amended to allow for the transfer of data concerning consumer consents, and to require that consumers be notified of their existing consents when such information is to be transferred.</w:t>
                      </w:r>
                    </w:p>
                  </w:txbxContent>
                </v:textbox>
              </v:shape>
            </w:pict>
          </mc:Fallback>
        </mc:AlternateContent>
      </w:r>
    </w:p>
    <w:p w:rsidR="00D83F66" w:rsidRPr="004A7D2E" w:rsidRDefault="00D83F66" w:rsidP="004A7D2E">
      <w:pPr>
        <w:keepNext/>
        <w:keepLines/>
        <w:pageBreakBefore/>
        <w:suppressAutoHyphens/>
        <w:spacing w:before="28" w:after="0" w:line="240" w:lineRule="auto"/>
        <w:jc w:val="both"/>
        <w:outlineLvl w:val="0"/>
        <w:rPr>
          <w:rFonts w:ascii="Calibri" w:eastAsia="Arial Unicode MS" w:hAnsi="Calibri" w:cs="font331"/>
          <w:bCs/>
          <w:kern w:val="1"/>
          <w:sz w:val="44"/>
          <w:szCs w:val="28"/>
          <w:lang w:val="en-IE" w:eastAsia="hi-IN" w:bidi="hi-IN"/>
        </w:rPr>
      </w:pPr>
      <w:bookmarkStart w:id="6" w:name="_Toc524350291"/>
      <w:r>
        <w:rPr>
          <w:rFonts w:ascii="Calibri" w:eastAsia="Arial Unicode MS" w:hAnsi="Calibri" w:cs="font331"/>
          <w:bCs/>
          <w:kern w:val="1"/>
          <w:sz w:val="44"/>
          <w:szCs w:val="28"/>
          <w:lang w:val="en-IE" w:eastAsia="hi-IN" w:bidi="hi-IN"/>
        </w:rPr>
        <w:lastRenderedPageBreak/>
        <w:t>C</w:t>
      </w:r>
      <w:r w:rsidR="004A7D2E">
        <w:rPr>
          <w:rFonts w:ascii="Calibri" w:eastAsia="Arial Unicode MS" w:hAnsi="Calibri" w:cs="font331"/>
          <w:bCs/>
          <w:kern w:val="1"/>
          <w:sz w:val="44"/>
          <w:szCs w:val="28"/>
          <w:lang w:val="en-IE" w:eastAsia="hi-IN" w:bidi="hi-IN"/>
        </w:rPr>
        <w:t>ompetition</w:t>
      </w:r>
      <w:bookmarkEnd w:id="6"/>
    </w:p>
    <w:p w:rsidR="00303ECE" w:rsidRDefault="004A7D2E" w:rsidP="007F0558">
      <w:pPr>
        <w:spacing w:before="100" w:beforeAutospacing="1" w:after="100" w:afterAutospacing="1"/>
        <w:jc w:val="both"/>
        <w:rPr>
          <w:rFonts w:ascii="Times New Roman" w:eastAsia="Arial Unicode MS" w:hAnsi="Times New Roman" w:cs="Times New Roman"/>
          <w:sz w:val="24"/>
          <w:lang w:val="en-IE" w:eastAsia="en-AU" w:bidi="hi-IN"/>
        </w:rPr>
      </w:pPr>
      <w:r>
        <w:rPr>
          <w:rFonts w:ascii="Times New Roman" w:eastAsia="Arial Unicode MS" w:hAnsi="Times New Roman" w:cs="Times New Roman"/>
          <w:sz w:val="24"/>
          <w:lang w:val="en-IE" w:eastAsia="en-AU" w:bidi="hi-IN"/>
        </w:rPr>
        <w:t xml:space="preserve">The consumer data right has the potential to spur an increase in competition in the telecommunications market. However, alongside this potential to promote competition is the risk that leakages of data or theft may allow for data aggregators to support anti-competitive practices. </w:t>
      </w:r>
    </w:p>
    <w:p w:rsidR="00E40AF5" w:rsidRDefault="00303ECE" w:rsidP="00CB7501">
      <w:pPr>
        <w:spacing w:before="100" w:beforeAutospacing="1" w:after="100" w:afterAutospacing="1"/>
        <w:jc w:val="both"/>
        <w:rPr>
          <w:rFonts w:ascii="Times New Roman" w:eastAsia="Arial Unicode MS" w:hAnsi="Times New Roman" w:cs="Times New Roman"/>
          <w:sz w:val="24"/>
          <w:lang w:val="en-IE" w:eastAsia="en-AU" w:bidi="hi-IN"/>
        </w:rPr>
      </w:pPr>
      <w:r>
        <w:rPr>
          <w:rFonts w:ascii="Times New Roman" w:eastAsia="Arial Unicode MS" w:hAnsi="Times New Roman" w:cs="Times New Roman"/>
          <w:sz w:val="24"/>
          <w:lang w:val="en-IE" w:eastAsia="en-AU" w:bidi="hi-IN"/>
        </w:rPr>
        <w:t>This section briefly examines the relationship between concentration and competition within the telecommunications sector, before moving on to potential risks</w:t>
      </w:r>
      <w:r w:rsidR="00CB7501">
        <w:rPr>
          <w:rFonts w:ascii="Times New Roman" w:eastAsia="Arial Unicode MS" w:hAnsi="Times New Roman" w:cs="Times New Roman"/>
          <w:sz w:val="24"/>
          <w:lang w:val="en-IE" w:eastAsia="en-AU" w:bidi="hi-IN"/>
        </w:rPr>
        <w:t xml:space="preserve"> and issues</w:t>
      </w:r>
      <w:r>
        <w:rPr>
          <w:rFonts w:ascii="Times New Roman" w:eastAsia="Arial Unicode MS" w:hAnsi="Times New Roman" w:cs="Times New Roman"/>
          <w:sz w:val="24"/>
          <w:lang w:val="en-IE" w:eastAsia="en-AU" w:bidi="hi-IN"/>
        </w:rPr>
        <w:t xml:space="preserve"> associated with the proposed consumer data right. </w:t>
      </w:r>
    </w:p>
    <w:p w:rsidR="00F6667D" w:rsidRPr="00F6667D" w:rsidRDefault="00F6667D" w:rsidP="00F6667D">
      <w:pPr>
        <w:spacing w:before="100" w:beforeAutospacing="1" w:after="100" w:afterAutospacing="1" w:line="240" w:lineRule="auto"/>
        <w:jc w:val="both"/>
        <w:rPr>
          <w:rFonts w:ascii="Times New Roman" w:eastAsiaTheme="minorEastAsia" w:hAnsi="Times New Roman" w:cs="Times New Roman"/>
          <w:sz w:val="24"/>
          <w:lang w:val="en-AU"/>
        </w:rPr>
      </w:pPr>
      <w:r>
        <w:rPr>
          <w:rFonts w:ascii="Arial" w:eastAsiaTheme="minorEastAsia" w:hAnsi="Arial" w:cs="Arial"/>
          <w:b/>
          <w:sz w:val="32"/>
          <w:szCs w:val="32"/>
          <w:lang w:val="en-AU" w:eastAsia="en-AU"/>
        </w:rPr>
        <w:t>Price discrimination</w:t>
      </w:r>
    </w:p>
    <w:p w:rsidR="00974AA3" w:rsidRDefault="00F77FC6" w:rsidP="006C0E3E">
      <w:pPr>
        <w:spacing w:before="100" w:beforeAutospacing="1" w:after="100" w:afterAutospacing="1"/>
        <w:jc w:val="both"/>
        <w:rPr>
          <w:rFonts w:ascii="Times New Roman" w:eastAsiaTheme="minorEastAsia" w:hAnsi="Times New Roman" w:cs="Times New Roman"/>
          <w:sz w:val="24"/>
          <w:szCs w:val="24"/>
          <w:lang w:val="en-AU" w:eastAsia="en-AU"/>
        </w:rPr>
      </w:pPr>
      <w:r>
        <w:rPr>
          <w:rFonts w:ascii="Times New Roman" w:eastAsiaTheme="minorEastAsia" w:hAnsi="Times New Roman" w:cs="Times New Roman"/>
          <w:sz w:val="24"/>
          <w:szCs w:val="24"/>
          <w:lang w:val="en-AU" w:eastAsia="en-AU"/>
        </w:rPr>
        <w:t>The leak of consumer data right information in sufficient quantities would allow for the detailed profiling of consumer groups</w:t>
      </w:r>
      <w:r w:rsidR="005F1F18">
        <w:rPr>
          <w:rFonts w:ascii="Times New Roman" w:eastAsiaTheme="minorEastAsia" w:hAnsi="Times New Roman" w:cs="Times New Roman"/>
          <w:sz w:val="24"/>
          <w:szCs w:val="24"/>
          <w:lang w:val="en-AU" w:eastAsia="en-AU"/>
        </w:rPr>
        <w:t xml:space="preserve">. </w:t>
      </w:r>
      <w:r w:rsidR="005416A5">
        <w:rPr>
          <w:rFonts w:ascii="Times New Roman" w:eastAsiaTheme="minorEastAsia" w:hAnsi="Times New Roman" w:cs="Times New Roman"/>
          <w:sz w:val="24"/>
          <w:szCs w:val="24"/>
          <w:lang w:val="en-AU" w:eastAsia="en-AU"/>
        </w:rPr>
        <w:t xml:space="preserve">As a </w:t>
      </w:r>
      <w:r w:rsidR="00D21DDA">
        <w:rPr>
          <w:rFonts w:ascii="Times New Roman" w:eastAsiaTheme="minorEastAsia" w:hAnsi="Times New Roman" w:cs="Times New Roman"/>
          <w:sz w:val="24"/>
          <w:szCs w:val="24"/>
          <w:lang w:val="en-AU" w:eastAsia="en-AU"/>
        </w:rPr>
        <w:t>consequence,</w:t>
      </w:r>
      <w:r w:rsidR="005416A5">
        <w:rPr>
          <w:rFonts w:ascii="Times New Roman" w:eastAsiaTheme="minorEastAsia" w:hAnsi="Times New Roman" w:cs="Times New Roman"/>
          <w:sz w:val="24"/>
          <w:szCs w:val="24"/>
          <w:lang w:val="en-AU" w:eastAsia="en-AU"/>
        </w:rPr>
        <w:t xml:space="preserve"> there is</w:t>
      </w:r>
      <w:r w:rsidR="008B5865">
        <w:rPr>
          <w:rFonts w:ascii="Times New Roman" w:eastAsiaTheme="minorEastAsia" w:hAnsi="Times New Roman" w:cs="Times New Roman"/>
          <w:sz w:val="24"/>
          <w:szCs w:val="24"/>
          <w:lang w:val="en-AU" w:eastAsia="en-AU"/>
        </w:rPr>
        <w:t xml:space="preserve"> the prospect that for many consumers currently purchasing services at prices below their maximum willingness to pay</w:t>
      </w:r>
      <w:r w:rsidR="00327A98">
        <w:rPr>
          <w:rFonts w:ascii="Times New Roman" w:eastAsiaTheme="minorEastAsia" w:hAnsi="Times New Roman" w:cs="Times New Roman"/>
          <w:sz w:val="24"/>
          <w:szCs w:val="24"/>
          <w:lang w:val="en-AU" w:eastAsia="en-AU"/>
        </w:rPr>
        <w:t xml:space="preserve"> </w:t>
      </w:r>
      <w:r w:rsidR="008B5865">
        <w:rPr>
          <w:rFonts w:ascii="Times New Roman" w:eastAsiaTheme="minorEastAsia" w:hAnsi="Times New Roman" w:cs="Times New Roman"/>
          <w:sz w:val="24"/>
          <w:szCs w:val="24"/>
          <w:lang w:val="en-AU" w:eastAsia="en-AU"/>
        </w:rPr>
        <w:t xml:space="preserve">will face increases in the prices that they face. </w:t>
      </w:r>
    </w:p>
    <w:p w:rsidR="00C00E81" w:rsidRDefault="00C00E81" w:rsidP="00C00E8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Price discrimination, in and of itself </w:t>
      </w:r>
      <w:r w:rsidR="00E15E43">
        <w:rPr>
          <w:rFonts w:ascii="Times New Roman" w:hAnsi="Times New Roman" w:cs="Times New Roman"/>
          <w:color w:val="000000" w:themeColor="text1"/>
          <w:sz w:val="24"/>
          <w:szCs w:val="24"/>
        </w:rPr>
        <w:t>may lead</w:t>
      </w:r>
      <w:r>
        <w:rPr>
          <w:rFonts w:ascii="Times New Roman" w:hAnsi="Times New Roman" w:cs="Times New Roman"/>
          <w:color w:val="000000" w:themeColor="text1"/>
          <w:sz w:val="24"/>
          <w:szCs w:val="24"/>
        </w:rPr>
        <w:t xml:space="preserve"> to improvements in total welfare if, and only if it increases total output – that is, services are offered that match the needs of underserved groups </w:t>
      </w:r>
      <w:r w:rsidR="009039AD" w:rsidRPr="00513F6C">
        <w:rPr>
          <w:rFonts w:ascii="Times New Roman" w:hAnsi="Times New Roman" w:cs="Times New Roman"/>
          <w:sz w:val="24"/>
        </w:rPr>
        <w:t>(</w:t>
      </w:r>
      <w:proofErr w:type="spellStart"/>
      <w:r w:rsidR="009039AD" w:rsidRPr="00513F6C">
        <w:rPr>
          <w:rFonts w:ascii="Times New Roman" w:hAnsi="Times New Roman" w:cs="Times New Roman"/>
          <w:sz w:val="24"/>
        </w:rPr>
        <w:t>Schmalensee</w:t>
      </w:r>
      <w:proofErr w:type="spellEnd"/>
      <w:r w:rsidR="009039AD" w:rsidRPr="00513F6C">
        <w:rPr>
          <w:rFonts w:ascii="Times New Roman" w:hAnsi="Times New Roman" w:cs="Times New Roman"/>
          <w:sz w:val="24"/>
        </w:rPr>
        <w:t xml:space="preserve"> 1981; Varian 1985, p.2)</w:t>
      </w:r>
      <w:r>
        <w:rPr>
          <w:rFonts w:ascii="Times New Roman" w:hAnsi="Times New Roman" w:cs="Times New Roman"/>
          <w:color w:val="000000" w:themeColor="text1"/>
          <w:sz w:val="24"/>
          <w:szCs w:val="24"/>
        </w:rPr>
        <w:t>. ACCAN has concerns</w:t>
      </w:r>
      <w:r w:rsidR="005E064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however, that models of price discrimination may be developed, not with a view to providing services to underserved consumers (that is the marginal consumer) but rather to extract maximum rents from all consumers.</w:t>
      </w:r>
    </w:p>
    <w:p w:rsidR="00452F0D" w:rsidRDefault="00452F0D" w:rsidP="00C00E8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For consumers, price discrimination may be subtle, targeted to vulnerable groups, or across the</w:t>
      </w:r>
      <w:r w:rsidR="008C26C4">
        <w:rPr>
          <w:rFonts w:ascii="Times New Roman" w:hAnsi="Times New Roman" w:cs="Times New Roman"/>
          <w:color w:val="000000" w:themeColor="text1"/>
          <w:sz w:val="24"/>
          <w:szCs w:val="24"/>
        </w:rPr>
        <w:t xml:space="preserve"> general consumer</w:t>
      </w:r>
      <w:r>
        <w:rPr>
          <w:rFonts w:ascii="Times New Roman" w:hAnsi="Times New Roman" w:cs="Times New Roman"/>
          <w:color w:val="000000" w:themeColor="text1"/>
          <w:sz w:val="24"/>
          <w:szCs w:val="24"/>
        </w:rPr>
        <w:t xml:space="preserve"> population (e.g. through the offering of below average discounts to individuals in wealthier postcodes, or whether an individual is at pension age). The data requirements for refined discrimination models are significant, and although some discrimination is likely to be present within the marketplace, increases in the total volume of data being shared increases the scope for price discrimination. </w:t>
      </w:r>
    </w:p>
    <w:p w:rsidR="00452F0D" w:rsidRDefault="00452F0D" w:rsidP="00C00E8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Where price discrimination occurs there is the potential for exploitation to occur. Price discrimination may net significant gains to business, to the material detriment of consumers who may see either reduced savings or increases in prices for services. If these changes occur incrementally (e.g. 0.25% increase every quarter), many consumers may not notice or indeed </w:t>
      </w:r>
      <w:proofErr w:type="spellStart"/>
      <w:r>
        <w:rPr>
          <w:rFonts w:ascii="Times New Roman" w:hAnsi="Times New Roman" w:cs="Times New Roman"/>
          <w:color w:val="000000" w:themeColor="text1"/>
          <w:sz w:val="24"/>
          <w:szCs w:val="24"/>
        </w:rPr>
        <w:t>realise</w:t>
      </w:r>
      <w:proofErr w:type="spellEnd"/>
      <w:r>
        <w:rPr>
          <w:rFonts w:ascii="Times New Roman" w:hAnsi="Times New Roman" w:cs="Times New Roman"/>
          <w:color w:val="000000" w:themeColor="text1"/>
          <w:sz w:val="24"/>
          <w:szCs w:val="24"/>
        </w:rPr>
        <w:t xml:space="preserve"> the losses that they are facing.</w:t>
      </w:r>
    </w:p>
    <w:p w:rsidR="00B31249" w:rsidRPr="00B31249" w:rsidRDefault="00B31249" w:rsidP="006C0E3E">
      <w:pPr>
        <w:spacing w:before="100" w:beforeAutospacing="1" w:after="100" w:afterAutospacing="1"/>
        <w:jc w:val="both"/>
        <w:rPr>
          <w:rFonts w:ascii="Times New Roman" w:eastAsiaTheme="minorEastAsia" w:hAnsi="Times New Roman" w:cs="Times New Roman"/>
          <w:sz w:val="24"/>
          <w:szCs w:val="24"/>
          <w:lang w:val="en-AU" w:eastAsia="en-AU"/>
        </w:rPr>
      </w:pPr>
      <w:r w:rsidRPr="00B31249">
        <w:rPr>
          <w:rFonts w:ascii="Times New Roman" w:eastAsiaTheme="minorEastAsia" w:hAnsi="Times New Roman" w:cs="Times New Roman"/>
          <w:sz w:val="24"/>
          <w:szCs w:val="24"/>
          <w:lang w:val="en-AU" w:eastAsia="en-AU"/>
        </w:rPr>
        <w:t xml:space="preserve">Price discrimination can only occur when three conditions are met </w:t>
      </w:r>
      <w:r w:rsidRPr="00B31249">
        <w:rPr>
          <w:rFonts w:ascii="Times New Roman" w:hAnsi="Times New Roman" w:cs="Times New Roman"/>
          <w:sz w:val="24"/>
        </w:rPr>
        <w:t>(Varian 1989, p. 1-2)</w:t>
      </w:r>
      <w:r w:rsidRPr="00B31249">
        <w:rPr>
          <w:rFonts w:ascii="Times New Roman" w:eastAsiaTheme="minorEastAsia" w:hAnsi="Times New Roman" w:cs="Times New Roman"/>
          <w:sz w:val="24"/>
          <w:szCs w:val="24"/>
          <w:lang w:val="en-AU" w:eastAsia="en-AU"/>
        </w:rPr>
        <w:t xml:space="preserve">: </w:t>
      </w:r>
    </w:p>
    <w:p w:rsidR="00B31249" w:rsidRPr="00B31249" w:rsidRDefault="00B31249" w:rsidP="00B31249">
      <w:pPr>
        <w:pStyle w:val="ListParagraph"/>
        <w:numPr>
          <w:ilvl w:val="0"/>
          <w:numId w:val="14"/>
        </w:numPr>
        <w:rPr>
          <w:rFonts w:ascii="Times New Roman" w:eastAsiaTheme="minorEastAsia" w:hAnsi="Times New Roman" w:cs="Times New Roman"/>
          <w:szCs w:val="24"/>
          <w:lang w:eastAsia="en-AU"/>
        </w:rPr>
      </w:pPr>
      <w:r w:rsidRPr="00B31249">
        <w:rPr>
          <w:rFonts w:ascii="Times New Roman" w:eastAsiaTheme="minorEastAsia" w:hAnsi="Times New Roman" w:cs="Times New Roman"/>
          <w:szCs w:val="24"/>
          <w:lang w:eastAsia="en-AU"/>
        </w:rPr>
        <w:t>A business has market power</w:t>
      </w:r>
      <w:r w:rsidR="00BB6950">
        <w:rPr>
          <w:rFonts w:ascii="Times New Roman" w:eastAsiaTheme="minorEastAsia" w:hAnsi="Times New Roman" w:cs="Times New Roman"/>
          <w:szCs w:val="24"/>
          <w:lang w:eastAsia="en-AU"/>
        </w:rPr>
        <w:t>;</w:t>
      </w:r>
      <w:r w:rsidRPr="00B31249">
        <w:rPr>
          <w:rFonts w:ascii="Times New Roman" w:eastAsiaTheme="minorEastAsia" w:hAnsi="Times New Roman" w:cs="Times New Roman"/>
          <w:szCs w:val="24"/>
          <w:lang w:eastAsia="en-AU"/>
        </w:rPr>
        <w:t xml:space="preserve"> </w:t>
      </w:r>
    </w:p>
    <w:p w:rsidR="00B31249" w:rsidRPr="00B31249" w:rsidRDefault="00B31249" w:rsidP="00B31249">
      <w:pPr>
        <w:pStyle w:val="ListParagraph"/>
        <w:numPr>
          <w:ilvl w:val="0"/>
          <w:numId w:val="14"/>
        </w:numPr>
        <w:rPr>
          <w:rFonts w:ascii="Times New Roman" w:eastAsiaTheme="minorEastAsia" w:hAnsi="Times New Roman" w:cs="Times New Roman"/>
          <w:szCs w:val="24"/>
          <w:lang w:eastAsia="en-AU"/>
        </w:rPr>
      </w:pPr>
      <w:r w:rsidRPr="00B31249">
        <w:rPr>
          <w:rFonts w:ascii="Times New Roman" w:eastAsiaTheme="minorEastAsia" w:hAnsi="Times New Roman" w:cs="Times New Roman"/>
          <w:szCs w:val="24"/>
          <w:lang w:eastAsia="en-AU"/>
        </w:rPr>
        <w:t>A business has the ability to sort consumers;</w:t>
      </w:r>
    </w:p>
    <w:p w:rsidR="00C00E81" w:rsidRPr="00C00E81" w:rsidRDefault="00B31249" w:rsidP="00B31249">
      <w:pPr>
        <w:pStyle w:val="ListParagraph"/>
        <w:numPr>
          <w:ilvl w:val="0"/>
          <w:numId w:val="14"/>
        </w:numPr>
        <w:rPr>
          <w:rFonts w:ascii="Times New Roman" w:eastAsiaTheme="minorEastAsia" w:hAnsi="Times New Roman" w:cs="Times New Roman"/>
          <w:szCs w:val="24"/>
          <w:lang w:eastAsia="en-AU"/>
        </w:rPr>
      </w:pPr>
      <w:r w:rsidRPr="00B31249">
        <w:rPr>
          <w:rFonts w:ascii="Times New Roman" w:eastAsiaTheme="minorEastAsia" w:hAnsi="Times New Roman" w:cs="Times New Roman"/>
          <w:szCs w:val="24"/>
          <w:lang w:eastAsia="en-AU"/>
        </w:rPr>
        <w:t>A business must be able to prevent resale.</w:t>
      </w:r>
    </w:p>
    <w:p w:rsidR="007444A3" w:rsidRDefault="00BB6950" w:rsidP="00B31249">
      <w:pPr>
        <w:jc w:val="both"/>
        <w:rPr>
          <w:rFonts w:ascii="Times New Roman" w:hAnsi="Times New Roman" w:cs="Times New Roman"/>
          <w:color w:val="000000" w:themeColor="text1"/>
          <w:sz w:val="24"/>
          <w:szCs w:val="24"/>
        </w:rPr>
      </w:pPr>
      <w:r>
        <w:rPr>
          <w:rFonts w:ascii="Times New Roman" w:eastAsiaTheme="minorEastAsia" w:hAnsi="Times New Roman" w:cs="Times New Roman"/>
          <w:sz w:val="24"/>
          <w:szCs w:val="24"/>
          <w:lang w:eastAsia="en-AU"/>
        </w:rPr>
        <w:lastRenderedPageBreak/>
        <w:t>The sectors identified as priorities for implementation of the CDR framework, are characterized by high levels of concentration, and rates of return in excess of normal market levels</w:t>
      </w:r>
      <w:r w:rsidRPr="00551903">
        <w:rPr>
          <w:rFonts w:ascii="Times New Roman" w:hAnsi="Times New Roman" w:cs="Times New Roman"/>
          <w:color w:val="000000" w:themeColor="text1"/>
          <w:sz w:val="24"/>
          <w:szCs w:val="24"/>
        </w:rPr>
        <w:t xml:space="preserve"> (Grattan 2017, p. 31)</w:t>
      </w:r>
      <w:r>
        <w:rPr>
          <w:rFonts w:ascii="Times New Roman" w:hAnsi="Times New Roman" w:cs="Times New Roman"/>
          <w:color w:val="000000" w:themeColor="text1"/>
          <w:sz w:val="24"/>
          <w:szCs w:val="24"/>
        </w:rPr>
        <w:t>, which is common among markets with significant scale and network economies</w:t>
      </w:r>
      <w:r w:rsidRPr="0055190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These characteristics are consistent with some element of market power, and the telecommunications and energy markets could reasonably be described as having oligopolistic competition.</w:t>
      </w:r>
    </w:p>
    <w:p w:rsidR="001B1798" w:rsidRDefault="001B1798" w:rsidP="00B31249">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financial </w:t>
      </w:r>
      <w:r w:rsidR="00BA744A">
        <w:rPr>
          <w:rFonts w:ascii="Times New Roman" w:hAnsi="Times New Roman" w:cs="Times New Roman"/>
          <w:color w:val="000000" w:themeColor="text1"/>
          <w:sz w:val="24"/>
          <w:szCs w:val="24"/>
        </w:rPr>
        <w:t>services</w:t>
      </w:r>
      <w:r>
        <w:rPr>
          <w:rFonts w:ascii="Times New Roman" w:hAnsi="Times New Roman" w:cs="Times New Roman"/>
          <w:color w:val="000000" w:themeColor="text1"/>
          <w:sz w:val="24"/>
          <w:szCs w:val="24"/>
        </w:rPr>
        <w:t xml:space="preserve"> sector is characterized by low levels of competition, oligopolistic market structures and a tendency for firms to avoid intense price competi</w:t>
      </w:r>
      <w:r w:rsidR="00905726">
        <w:rPr>
          <w:rFonts w:ascii="Times New Roman" w:hAnsi="Times New Roman" w:cs="Times New Roman"/>
          <w:color w:val="000000" w:themeColor="text1"/>
          <w:sz w:val="24"/>
          <w:szCs w:val="24"/>
        </w:rPr>
        <w:t>tion in order to enhance profitability</w:t>
      </w:r>
      <w:r>
        <w:rPr>
          <w:rFonts w:ascii="Times New Roman" w:hAnsi="Times New Roman" w:cs="Times New Roman"/>
          <w:color w:val="000000" w:themeColor="text1"/>
          <w:sz w:val="24"/>
          <w:szCs w:val="24"/>
        </w:rPr>
        <w:t xml:space="preserve">. </w:t>
      </w:r>
      <w:r w:rsidR="00C70D97">
        <w:rPr>
          <w:rFonts w:ascii="Times New Roman" w:hAnsi="Times New Roman" w:cs="Times New Roman"/>
          <w:color w:val="000000" w:themeColor="text1"/>
          <w:sz w:val="24"/>
          <w:szCs w:val="24"/>
        </w:rPr>
        <w:t>This has resulted in firms set</w:t>
      </w:r>
      <w:r w:rsidR="00113C2C">
        <w:rPr>
          <w:rFonts w:ascii="Times New Roman" w:hAnsi="Times New Roman" w:cs="Times New Roman"/>
          <w:color w:val="000000" w:themeColor="text1"/>
          <w:sz w:val="24"/>
          <w:szCs w:val="24"/>
        </w:rPr>
        <w:t>ting</w:t>
      </w:r>
      <w:r w:rsidR="00C70D97">
        <w:rPr>
          <w:rFonts w:ascii="Times New Roman" w:hAnsi="Times New Roman" w:cs="Times New Roman"/>
          <w:color w:val="000000" w:themeColor="text1"/>
          <w:sz w:val="24"/>
          <w:szCs w:val="24"/>
        </w:rPr>
        <w:t xml:space="preserve"> prices at similar levels or cluster, in order to maximize their potential margins </w:t>
      </w:r>
      <w:r w:rsidR="00713F4D">
        <w:rPr>
          <w:rFonts w:ascii="Times New Roman" w:hAnsi="Times New Roman" w:cs="Times New Roman"/>
          <w:noProof/>
          <w:color w:val="000000" w:themeColor="text1"/>
          <w:sz w:val="24"/>
          <w:szCs w:val="24"/>
        </w:rPr>
        <w:t>(PC 2018, p. 8)</w:t>
      </w:r>
      <w:r w:rsidR="00713F4D">
        <w:rPr>
          <w:rFonts w:ascii="Times New Roman" w:hAnsi="Times New Roman" w:cs="Times New Roman"/>
          <w:color w:val="000000" w:themeColor="text1"/>
          <w:sz w:val="24"/>
          <w:szCs w:val="24"/>
        </w:rPr>
        <w:t xml:space="preserve">, rather than seek to attract new customers through aggressive discounting. </w:t>
      </w:r>
    </w:p>
    <w:p w:rsidR="00320DDA" w:rsidRDefault="00AF4522" w:rsidP="00B31249">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As noted by the Productivity Commission, this type of behavior is reflective of the major banks having </w:t>
      </w:r>
      <w:r w:rsidR="00DF29C4">
        <w:rPr>
          <w:rFonts w:ascii="Times New Roman" w:hAnsi="Times New Roman" w:cs="Times New Roman"/>
          <w:color w:val="000000" w:themeColor="text1"/>
          <w:sz w:val="24"/>
          <w:szCs w:val="24"/>
        </w:rPr>
        <w:t>market</w:t>
      </w:r>
      <w:r>
        <w:rPr>
          <w:rFonts w:ascii="Times New Roman" w:hAnsi="Times New Roman" w:cs="Times New Roman"/>
          <w:color w:val="000000" w:themeColor="text1"/>
          <w:sz w:val="24"/>
          <w:szCs w:val="24"/>
        </w:rPr>
        <w:t xml:space="preserve"> power</w:t>
      </w:r>
      <w:r w:rsidR="0003406C">
        <w:rPr>
          <w:rFonts w:ascii="Times New Roman" w:hAnsi="Times New Roman" w:cs="Times New Roman"/>
          <w:color w:val="000000" w:themeColor="text1"/>
          <w:sz w:val="24"/>
          <w:szCs w:val="24"/>
        </w:rPr>
        <w:t xml:space="preserve"> (2018, p. 9)</w:t>
      </w:r>
      <w:r>
        <w:rPr>
          <w:rFonts w:ascii="Times New Roman" w:hAnsi="Times New Roman" w:cs="Times New Roman"/>
          <w:color w:val="000000" w:themeColor="text1"/>
          <w:sz w:val="24"/>
          <w:szCs w:val="24"/>
        </w:rPr>
        <w:t>, and therefor</w:t>
      </w:r>
      <w:r w:rsidR="00CC5376">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 xml:space="preserve"> the ability to set prices. Such conduct, indicates an uncompetitive marketplace and that a precondition for price discrimination is met in the largest market identified for reform.</w:t>
      </w:r>
    </w:p>
    <w:p w:rsidR="006E38DE" w:rsidRDefault="009C5ECB" w:rsidP="00B31249">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order for major banks to increase their overall revenue through discounting, the ACCC concluded that there would need to be a significant expansion in the number of loans offered (2018, p. 12). This indicates that the price-quantity trade-off is such that any reduction in </w:t>
      </w:r>
      <w:r w:rsidR="00615A5B">
        <w:rPr>
          <w:rFonts w:ascii="Times New Roman" w:hAnsi="Times New Roman" w:cs="Times New Roman"/>
          <w:color w:val="000000" w:themeColor="text1"/>
          <w:sz w:val="24"/>
          <w:szCs w:val="24"/>
        </w:rPr>
        <w:t>price</w:t>
      </w:r>
      <w:r>
        <w:rPr>
          <w:rFonts w:ascii="Times New Roman" w:hAnsi="Times New Roman" w:cs="Times New Roman"/>
          <w:color w:val="000000" w:themeColor="text1"/>
          <w:sz w:val="24"/>
          <w:szCs w:val="24"/>
        </w:rPr>
        <w:t xml:space="preserve"> i</w:t>
      </w:r>
      <w:r w:rsidR="00EC7F6A">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not offset by a sufficient </w:t>
      </w:r>
      <w:r w:rsidR="006E38DE">
        <w:rPr>
          <w:rFonts w:ascii="Times New Roman" w:hAnsi="Times New Roman" w:cs="Times New Roman"/>
          <w:color w:val="000000" w:themeColor="text1"/>
          <w:sz w:val="24"/>
          <w:szCs w:val="24"/>
        </w:rPr>
        <w:t>increase in quantity of customers.</w:t>
      </w:r>
    </w:p>
    <w:p w:rsidR="00F872BB" w:rsidRPr="00DA4E07" w:rsidRDefault="006E38DE" w:rsidP="00B31249">
      <w:pPr>
        <w:jc w:val="both"/>
        <w:rPr>
          <w:rFonts w:ascii="Times New Roman" w:hAnsi="Times New Roman" w:cs="Times New Roman"/>
          <w:color w:val="000000" w:themeColor="text1"/>
          <w:sz w:val="24"/>
          <w:szCs w:val="24"/>
        </w:rPr>
      </w:pPr>
      <w:r w:rsidRPr="00DA4E07">
        <w:rPr>
          <w:rFonts w:ascii="Times New Roman" w:hAnsi="Times New Roman" w:cs="Times New Roman"/>
          <w:color w:val="000000" w:themeColor="text1"/>
          <w:sz w:val="24"/>
          <w:szCs w:val="24"/>
        </w:rPr>
        <w:t xml:space="preserve">In the banking and financial services context, this means that </w:t>
      </w:r>
      <w:r w:rsidR="00DA4E07" w:rsidRPr="00DA4E07">
        <w:rPr>
          <w:rFonts w:ascii="Times New Roman" w:hAnsi="Times New Roman" w:cs="Times New Roman"/>
          <w:color w:val="000000" w:themeColor="text1"/>
          <w:sz w:val="24"/>
          <w:szCs w:val="24"/>
        </w:rPr>
        <w:t>the</w:t>
      </w:r>
      <w:r w:rsidR="00F872BB" w:rsidRPr="00DA4E07">
        <w:rPr>
          <w:rFonts w:ascii="Times New Roman" w:hAnsi="Times New Roman" w:cs="Times New Roman"/>
          <w:color w:val="000000" w:themeColor="text1"/>
          <w:sz w:val="24"/>
          <w:szCs w:val="24"/>
        </w:rPr>
        <w:t xml:space="preserve"> fundamental criterion</w:t>
      </w:r>
      <w:r w:rsidRPr="00DA4E07">
        <w:rPr>
          <w:rFonts w:ascii="Times New Roman" w:hAnsi="Times New Roman" w:cs="Times New Roman"/>
          <w:color w:val="000000" w:themeColor="text1"/>
          <w:sz w:val="24"/>
          <w:szCs w:val="24"/>
        </w:rPr>
        <w:t xml:space="preserve"> for the</w:t>
      </w:r>
      <w:r w:rsidR="00EC7F6A">
        <w:rPr>
          <w:rFonts w:ascii="Times New Roman" w:hAnsi="Times New Roman" w:cs="Times New Roman"/>
          <w:color w:val="000000" w:themeColor="text1"/>
          <w:sz w:val="24"/>
          <w:szCs w:val="24"/>
        </w:rPr>
        <w:t>re</w:t>
      </w:r>
      <w:r w:rsidRPr="00DA4E07">
        <w:rPr>
          <w:rFonts w:ascii="Times New Roman" w:hAnsi="Times New Roman" w:cs="Times New Roman"/>
          <w:color w:val="000000" w:themeColor="text1"/>
          <w:sz w:val="24"/>
          <w:szCs w:val="24"/>
        </w:rPr>
        <w:t xml:space="preserve"> being an increase in welfare as a result of </w:t>
      </w:r>
      <w:r w:rsidR="00DA4E07" w:rsidRPr="00DA4E07">
        <w:rPr>
          <w:rFonts w:ascii="Times New Roman" w:hAnsi="Times New Roman" w:cs="Times New Roman"/>
          <w:color w:val="000000" w:themeColor="text1"/>
          <w:sz w:val="24"/>
          <w:szCs w:val="24"/>
        </w:rPr>
        <w:t>price discrim</w:t>
      </w:r>
      <w:r w:rsidR="00DA4E07">
        <w:rPr>
          <w:rFonts w:ascii="Times New Roman" w:hAnsi="Times New Roman" w:cs="Times New Roman"/>
          <w:color w:val="000000" w:themeColor="text1"/>
          <w:sz w:val="24"/>
          <w:szCs w:val="24"/>
        </w:rPr>
        <w:t>in</w:t>
      </w:r>
      <w:r w:rsidR="00DA4E07" w:rsidRPr="00DA4E07">
        <w:rPr>
          <w:rFonts w:ascii="Times New Roman" w:hAnsi="Times New Roman" w:cs="Times New Roman"/>
          <w:color w:val="000000" w:themeColor="text1"/>
          <w:sz w:val="24"/>
          <w:szCs w:val="24"/>
        </w:rPr>
        <w:t xml:space="preserve">ation – that such discrimination increases total output to underserved groups, cannot be met </w:t>
      </w:r>
      <w:r w:rsidR="00F872BB" w:rsidRPr="00DA4E07">
        <w:rPr>
          <w:rFonts w:ascii="Times New Roman" w:hAnsi="Times New Roman" w:cs="Times New Roman"/>
          <w:color w:val="000000" w:themeColor="text1"/>
          <w:sz w:val="24"/>
        </w:rPr>
        <w:t>(</w:t>
      </w:r>
      <w:proofErr w:type="spellStart"/>
      <w:r w:rsidR="00F872BB" w:rsidRPr="00DA4E07">
        <w:rPr>
          <w:rFonts w:ascii="Times New Roman" w:hAnsi="Times New Roman" w:cs="Times New Roman"/>
          <w:color w:val="000000" w:themeColor="text1"/>
          <w:sz w:val="24"/>
        </w:rPr>
        <w:t>Schmalensee</w:t>
      </w:r>
      <w:proofErr w:type="spellEnd"/>
      <w:r w:rsidR="00F872BB" w:rsidRPr="00DA4E07">
        <w:rPr>
          <w:rFonts w:ascii="Times New Roman" w:hAnsi="Times New Roman" w:cs="Times New Roman"/>
          <w:color w:val="000000" w:themeColor="text1"/>
          <w:sz w:val="24"/>
        </w:rPr>
        <w:t xml:space="preserve"> 1981; Varian 1985, p.2)</w:t>
      </w:r>
      <w:r w:rsidR="00DA4E07" w:rsidRPr="00DA4E07">
        <w:rPr>
          <w:rFonts w:ascii="Times New Roman" w:hAnsi="Times New Roman" w:cs="Times New Roman"/>
          <w:color w:val="000000" w:themeColor="text1"/>
          <w:sz w:val="24"/>
          <w:szCs w:val="24"/>
        </w:rPr>
        <w:t>.</w:t>
      </w:r>
      <w:r w:rsidR="00DF29C4">
        <w:rPr>
          <w:rFonts w:ascii="Times New Roman" w:hAnsi="Times New Roman" w:cs="Times New Roman"/>
          <w:color w:val="000000" w:themeColor="text1"/>
          <w:sz w:val="24"/>
          <w:szCs w:val="24"/>
        </w:rPr>
        <w:t xml:space="preserve"> </w:t>
      </w:r>
    </w:p>
    <w:p w:rsidR="00441209" w:rsidRDefault="00441209" w:rsidP="00B31249">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As the major banks can constrain resale through contractual provisions and have the ability to sort customers to some extent, it is feasible for welfare reducing price discrimination to occur. The capacity for this to </w:t>
      </w:r>
      <w:r w:rsidR="00615A5B">
        <w:rPr>
          <w:rFonts w:ascii="Times New Roman" w:hAnsi="Times New Roman" w:cs="Times New Roman"/>
          <w:color w:val="000000" w:themeColor="text1"/>
          <w:sz w:val="24"/>
          <w:szCs w:val="24"/>
        </w:rPr>
        <w:t>occur</w:t>
      </w:r>
      <w:r>
        <w:rPr>
          <w:rFonts w:ascii="Times New Roman" w:hAnsi="Times New Roman" w:cs="Times New Roman"/>
          <w:color w:val="000000" w:themeColor="text1"/>
          <w:sz w:val="24"/>
          <w:szCs w:val="24"/>
        </w:rPr>
        <w:t xml:space="preserve"> is likely to be enhanced as a consequence </w:t>
      </w:r>
      <w:r w:rsidR="002F3022">
        <w:rPr>
          <w:rFonts w:ascii="Times New Roman" w:hAnsi="Times New Roman" w:cs="Times New Roman"/>
          <w:color w:val="000000" w:themeColor="text1"/>
          <w:sz w:val="24"/>
          <w:szCs w:val="24"/>
        </w:rPr>
        <w:t>of</w:t>
      </w:r>
      <w:r>
        <w:rPr>
          <w:rFonts w:ascii="Times New Roman" w:hAnsi="Times New Roman" w:cs="Times New Roman"/>
          <w:color w:val="000000" w:themeColor="text1"/>
          <w:sz w:val="24"/>
          <w:szCs w:val="24"/>
        </w:rPr>
        <w:t xml:space="preserve"> increased data transfers and sharing through the CDR.</w:t>
      </w:r>
    </w:p>
    <w:p w:rsidR="00441209" w:rsidRDefault="00C3485F" w:rsidP="00B0338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ACCAN notes that firms within the identified markets have: </w:t>
      </w:r>
    </w:p>
    <w:p w:rsidR="00C3485F" w:rsidRDefault="0006298D" w:rsidP="00B0338E">
      <w:pPr>
        <w:pStyle w:val="ListParagraph"/>
        <w:numPr>
          <w:ilvl w:val="0"/>
          <w:numId w:val="19"/>
        </w:numPr>
        <w:spacing w:line="276" w:lineRule="auto"/>
        <w:rPr>
          <w:rFonts w:ascii="Times New Roman" w:hAnsi="Times New Roman" w:cs="Times New Roman"/>
          <w:color w:val="000000" w:themeColor="text1"/>
          <w:szCs w:val="24"/>
        </w:rPr>
      </w:pPr>
      <w:r>
        <w:rPr>
          <w:rFonts w:ascii="Times New Roman" w:hAnsi="Times New Roman" w:cs="Times New Roman"/>
          <w:color w:val="000000" w:themeColor="text1"/>
          <w:szCs w:val="24"/>
        </w:rPr>
        <w:t>some element of market power;</w:t>
      </w:r>
    </w:p>
    <w:p w:rsidR="0006298D" w:rsidRDefault="0006298D" w:rsidP="00B0338E">
      <w:pPr>
        <w:pStyle w:val="ListParagraph"/>
        <w:numPr>
          <w:ilvl w:val="0"/>
          <w:numId w:val="19"/>
        </w:numPr>
        <w:spacing w:line="276" w:lineRule="auto"/>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some capacity to distinguish between </w:t>
      </w:r>
      <w:r w:rsidR="00B0338E">
        <w:rPr>
          <w:rFonts w:ascii="Times New Roman" w:hAnsi="Times New Roman" w:cs="Times New Roman"/>
          <w:color w:val="000000" w:themeColor="text1"/>
          <w:szCs w:val="24"/>
        </w:rPr>
        <w:t>consumers, that will be enhanced through CDR data;</w:t>
      </w:r>
    </w:p>
    <w:p w:rsidR="00B0338E" w:rsidRPr="00C3485F" w:rsidRDefault="00B0338E" w:rsidP="00B0338E">
      <w:pPr>
        <w:pStyle w:val="ListParagraph"/>
        <w:numPr>
          <w:ilvl w:val="0"/>
          <w:numId w:val="19"/>
        </w:numPr>
        <w:spacing w:line="276" w:lineRule="auto"/>
        <w:rPr>
          <w:rFonts w:ascii="Times New Roman" w:hAnsi="Times New Roman" w:cs="Times New Roman"/>
          <w:color w:val="000000" w:themeColor="text1"/>
          <w:szCs w:val="24"/>
        </w:rPr>
      </w:pPr>
      <w:proofErr w:type="gramStart"/>
      <w:r>
        <w:rPr>
          <w:rFonts w:ascii="Times New Roman" w:hAnsi="Times New Roman" w:cs="Times New Roman"/>
          <w:color w:val="000000" w:themeColor="text1"/>
          <w:szCs w:val="24"/>
        </w:rPr>
        <w:t>the</w:t>
      </w:r>
      <w:proofErr w:type="gramEnd"/>
      <w:r>
        <w:rPr>
          <w:rFonts w:ascii="Times New Roman" w:hAnsi="Times New Roman" w:cs="Times New Roman"/>
          <w:color w:val="000000" w:themeColor="text1"/>
          <w:szCs w:val="24"/>
        </w:rPr>
        <w:t xml:space="preserve"> capacity to limit or preclude resale.</w:t>
      </w:r>
    </w:p>
    <w:p w:rsidR="00B0338E" w:rsidRDefault="00452F0D" w:rsidP="00B0338E">
      <w:pPr>
        <w:spacing w:before="100" w:beforeAutospacing="1" w:after="100" w:afterAutospacing="1"/>
        <w:jc w:val="both"/>
        <w:rPr>
          <w:rFonts w:ascii="Times New Roman" w:eastAsiaTheme="minorEastAsia" w:hAnsi="Times New Roman" w:cs="Times New Roman"/>
          <w:sz w:val="24"/>
          <w:szCs w:val="24"/>
          <w:lang w:val="en-AU" w:eastAsia="en-AU"/>
        </w:rPr>
      </w:pPr>
      <w:r>
        <w:rPr>
          <w:rFonts w:ascii="Times New Roman" w:eastAsiaTheme="minorEastAsia" w:hAnsi="Times New Roman" w:cs="Times New Roman"/>
          <w:sz w:val="24"/>
          <w:szCs w:val="24"/>
          <w:lang w:val="en-AU" w:eastAsia="en-AU"/>
        </w:rPr>
        <w:t>The energy and telecommunications industries similarly</w:t>
      </w:r>
      <w:r w:rsidR="00B0338E">
        <w:rPr>
          <w:rFonts w:ascii="Times New Roman" w:eastAsiaTheme="minorEastAsia" w:hAnsi="Times New Roman" w:cs="Times New Roman"/>
          <w:sz w:val="24"/>
          <w:szCs w:val="24"/>
          <w:lang w:val="en-AU" w:eastAsia="en-AU"/>
        </w:rPr>
        <w:t xml:space="preserve"> face price-quantity trade-offs that may make it more profitable to adopt price discrimination strategies, rather than seek to address underserved markets. </w:t>
      </w:r>
    </w:p>
    <w:p w:rsidR="00204433" w:rsidRDefault="00204433" w:rsidP="00B0338E">
      <w:pPr>
        <w:spacing w:before="100" w:beforeAutospacing="1" w:after="100" w:afterAutospacing="1"/>
        <w:jc w:val="both"/>
        <w:rPr>
          <w:rFonts w:ascii="Times New Roman" w:eastAsiaTheme="minorEastAsia" w:hAnsi="Times New Roman" w:cs="Times New Roman"/>
          <w:sz w:val="24"/>
          <w:szCs w:val="24"/>
          <w:lang w:val="en-AU" w:eastAsia="en-AU"/>
        </w:rPr>
      </w:pPr>
    </w:p>
    <w:p w:rsidR="00147AA3" w:rsidRDefault="00204433" w:rsidP="00B0338E">
      <w:pPr>
        <w:spacing w:before="100" w:beforeAutospacing="1" w:after="100" w:afterAutospacing="1"/>
        <w:jc w:val="both"/>
        <w:rPr>
          <w:rFonts w:ascii="Times New Roman" w:eastAsiaTheme="minorEastAsia" w:hAnsi="Times New Roman" w:cs="Times New Roman"/>
          <w:sz w:val="24"/>
          <w:szCs w:val="24"/>
          <w:lang w:val="en-AU" w:eastAsia="en-AU"/>
        </w:rPr>
      </w:pPr>
      <w:r w:rsidRPr="00DD0AEA">
        <w:rPr>
          <w:rFonts w:ascii="Calibri" w:eastAsiaTheme="minorEastAsia" w:hAnsi="Calibri"/>
          <w:noProof/>
          <w:color w:val="000000" w:themeColor="text1"/>
          <w:sz w:val="24"/>
        </w:rPr>
        <w:lastRenderedPageBreak/>
        <mc:AlternateContent>
          <mc:Choice Requires="wps">
            <w:drawing>
              <wp:anchor distT="0" distB="0" distL="114300" distR="114300" simplePos="0" relativeHeight="251709440" behindDoc="0" locked="0" layoutInCell="1" allowOverlap="1" wp14:anchorId="5E8C403F" wp14:editId="1FF0A2FF">
                <wp:simplePos x="0" y="0"/>
                <wp:positionH relativeFrom="column">
                  <wp:posOffset>0</wp:posOffset>
                </wp:positionH>
                <wp:positionV relativeFrom="paragraph">
                  <wp:posOffset>1103630</wp:posOffset>
                </wp:positionV>
                <wp:extent cx="5720080" cy="987425"/>
                <wp:effectExtent l="0" t="0" r="13970" b="22225"/>
                <wp:wrapNone/>
                <wp:docPr id="14" name="Text Box 14"/>
                <wp:cNvGraphicFramePr/>
                <a:graphic xmlns:a="http://schemas.openxmlformats.org/drawingml/2006/main">
                  <a:graphicData uri="http://schemas.microsoft.com/office/word/2010/wordprocessingShape">
                    <wps:wsp>
                      <wps:cNvSpPr txBox="1"/>
                      <wps:spPr>
                        <a:xfrm>
                          <a:off x="0" y="0"/>
                          <a:ext cx="5720080" cy="987425"/>
                        </a:xfrm>
                        <a:prstGeom prst="rect">
                          <a:avLst/>
                        </a:prstGeom>
                        <a:solidFill>
                          <a:sysClr val="window" lastClr="FFFFFF"/>
                        </a:solidFill>
                        <a:ln w="6350">
                          <a:solidFill>
                            <a:srgbClr val="00B0F0"/>
                          </a:solidFill>
                        </a:ln>
                      </wps:spPr>
                      <wps:txbx>
                        <w:txbxContent>
                          <w:p w:rsidR="00DD5468" w:rsidRPr="00C35DED" w:rsidRDefault="00DD5468" w:rsidP="005C7439">
                            <w:pPr>
                              <w:rPr>
                                <w:rFonts w:ascii="Times New Roman" w:hAnsi="Times New Roman" w:cs="Times New Roman"/>
                                <w:b/>
                              </w:rPr>
                            </w:pPr>
                            <w:r w:rsidRPr="00C35DED">
                              <w:rPr>
                                <w:rFonts w:ascii="Times New Roman" w:hAnsi="Times New Roman" w:cs="Times New Roman"/>
                                <w:b/>
                              </w:rPr>
                              <w:t>Recommendation 1</w:t>
                            </w:r>
                            <w:r>
                              <w:rPr>
                                <w:rFonts w:ascii="Times New Roman" w:hAnsi="Times New Roman" w:cs="Times New Roman"/>
                                <w:b/>
                              </w:rPr>
                              <w:t>6</w:t>
                            </w:r>
                          </w:p>
                          <w:p w:rsidR="00DD5468" w:rsidRPr="00C35DED" w:rsidRDefault="00DD5468" w:rsidP="00C35DED">
                            <w:pPr>
                              <w:jc w:val="both"/>
                              <w:rPr>
                                <w:rFonts w:ascii="Times New Roman" w:hAnsi="Times New Roman" w:cs="Times New Roman"/>
                                <w:i/>
                              </w:rPr>
                            </w:pPr>
                            <w:r>
                              <w:rPr>
                                <w:rFonts w:ascii="Times New Roman" w:hAnsi="Times New Roman" w:cs="Times New Roman"/>
                                <w:i/>
                              </w:rPr>
                              <w:t>That</w:t>
                            </w:r>
                            <w:r w:rsidRPr="00C35DED">
                              <w:rPr>
                                <w:rFonts w:ascii="Times New Roman" w:hAnsi="Times New Roman" w:cs="Times New Roman"/>
                                <w:i/>
                              </w:rPr>
                              <w:t xml:space="preserve"> Treasury take</w:t>
                            </w:r>
                            <w:r>
                              <w:rPr>
                                <w:rFonts w:ascii="Times New Roman" w:hAnsi="Times New Roman" w:cs="Times New Roman"/>
                                <w:i/>
                              </w:rPr>
                              <w:t>s</w:t>
                            </w:r>
                            <w:r w:rsidRPr="00C35DED">
                              <w:rPr>
                                <w:rFonts w:ascii="Times New Roman" w:hAnsi="Times New Roman" w:cs="Times New Roman"/>
                                <w:i/>
                              </w:rPr>
                              <w:t xml:space="preserve"> steps to quantify the potential costs of, or risks to consumers in economic and social terms, of as the use of CDR data to engage in price discrimination as part of a rigorous and public regulatory impact assessment.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59" type="#_x0000_t202" style="position:absolute;left:0;text-align:left;margin-left:0;margin-top:86.9pt;width:450.4pt;height:77.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" fillcolor="window" strokecolor="#00b0f0" strokeweight=".5pt">
                <v:textbox>
                  <w:txbxContent>
                    <w:p w:rsidR="00DD5468" w:rsidRPr="00C35DED" w:rsidRDefault="00DD5468" w:rsidP="005C7439">
                      <w:pPr>
                        <w:rPr>
                          <w:rFonts w:ascii="Times New Roman" w:hAnsi="Times New Roman" w:cs="Times New Roman"/>
                          <w:b/>
                        </w:rPr>
                      </w:pPr>
                      <w:r w:rsidRPr="00C35DED">
                        <w:rPr>
                          <w:rFonts w:ascii="Times New Roman" w:hAnsi="Times New Roman" w:cs="Times New Roman"/>
                          <w:b/>
                        </w:rPr>
                        <w:t>Recommendation 1</w:t>
                      </w:r>
                      <w:r>
                        <w:rPr>
                          <w:rFonts w:ascii="Times New Roman" w:hAnsi="Times New Roman" w:cs="Times New Roman"/>
                          <w:b/>
                        </w:rPr>
                        <w:t>6</w:t>
                      </w:r>
                    </w:p>
                    <w:p w:rsidR="00DD5468" w:rsidRPr="00C35DED" w:rsidRDefault="00DD5468" w:rsidP="00C35DED">
                      <w:pPr>
                        <w:jc w:val="both"/>
                        <w:rPr>
                          <w:rFonts w:ascii="Times New Roman" w:hAnsi="Times New Roman" w:cs="Times New Roman"/>
                          <w:i/>
                        </w:rPr>
                      </w:pPr>
                      <w:r>
                        <w:rPr>
                          <w:rFonts w:ascii="Times New Roman" w:hAnsi="Times New Roman" w:cs="Times New Roman"/>
                          <w:i/>
                        </w:rPr>
                        <w:t>That</w:t>
                      </w:r>
                      <w:r w:rsidRPr="00C35DED">
                        <w:rPr>
                          <w:rFonts w:ascii="Times New Roman" w:hAnsi="Times New Roman" w:cs="Times New Roman"/>
                          <w:i/>
                        </w:rPr>
                        <w:t xml:space="preserve"> Treasury take</w:t>
                      </w:r>
                      <w:r>
                        <w:rPr>
                          <w:rFonts w:ascii="Times New Roman" w:hAnsi="Times New Roman" w:cs="Times New Roman"/>
                          <w:i/>
                        </w:rPr>
                        <w:t>s</w:t>
                      </w:r>
                      <w:r w:rsidRPr="00C35DED">
                        <w:rPr>
                          <w:rFonts w:ascii="Times New Roman" w:hAnsi="Times New Roman" w:cs="Times New Roman"/>
                          <w:i/>
                        </w:rPr>
                        <w:t xml:space="preserve"> steps to quantify the potential costs of, or risks to consumers in economic and social terms, of as the use of CDR data to engage in price discrimination as part of a rigorous and public regulatory impact assessment.</w:t>
                      </w:r>
                    </w:p>
                  </w:txbxContent>
                </v:textbox>
              </v:shape>
            </w:pict>
          </mc:Fallback>
        </mc:AlternateContent>
      </w:r>
      <w:r w:rsidR="00B0338E">
        <w:rPr>
          <w:rFonts w:ascii="Times New Roman" w:eastAsiaTheme="minorEastAsia" w:hAnsi="Times New Roman" w:cs="Times New Roman"/>
          <w:sz w:val="24"/>
          <w:szCs w:val="24"/>
          <w:lang w:val="en-AU" w:eastAsia="en-AU"/>
        </w:rPr>
        <w:t xml:space="preserve">ACCAN is supportive of the proposed reforms and would support additional measures being included within the draft legislation to curtail the potential for CDR data to be used for the purposes of price discrimination, where such discrimination is to the detriment of consumers. </w:t>
      </w:r>
      <w:r w:rsidR="00147AA3">
        <w:rPr>
          <w:rFonts w:ascii="Times New Roman" w:eastAsiaTheme="minorEastAsia" w:hAnsi="Times New Roman" w:cs="Times New Roman"/>
          <w:sz w:val="24"/>
          <w:szCs w:val="24"/>
          <w:lang w:val="en-AU" w:eastAsia="en-AU"/>
        </w:rPr>
        <w:t>Although we do not consider such behaviour a likely outcome in the telecommunications context, in other sectors the risk of such conduct is greater.</w:t>
      </w:r>
    </w:p>
    <w:p w:rsidR="00B0338E" w:rsidRDefault="00B0338E" w:rsidP="00B0338E">
      <w:pPr>
        <w:spacing w:before="100" w:beforeAutospacing="1" w:after="100" w:afterAutospacing="1"/>
        <w:jc w:val="both"/>
        <w:rPr>
          <w:rFonts w:ascii="Times New Roman" w:eastAsiaTheme="minorEastAsia" w:hAnsi="Times New Roman" w:cs="Times New Roman"/>
          <w:sz w:val="24"/>
          <w:szCs w:val="24"/>
          <w:lang w:val="en-AU" w:eastAsia="en-AU"/>
        </w:rPr>
      </w:pPr>
    </w:p>
    <w:p w:rsidR="0054685D" w:rsidRDefault="0054685D" w:rsidP="00B0338E">
      <w:pPr>
        <w:spacing w:before="100" w:beforeAutospacing="1" w:after="100" w:afterAutospacing="1"/>
        <w:jc w:val="both"/>
        <w:rPr>
          <w:rFonts w:ascii="Times New Roman" w:eastAsiaTheme="minorEastAsia" w:hAnsi="Times New Roman" w:cs="Times New Roman"/>
          <w:sz w:val="24"/>
          <w:szCs w:val="24"/>
          <w:lang w:val="en-AU" w:eastAsia="en-AU"/>
        </w:rPr>
      </w:pPr>
    </w:p>
    <w:p w:rsidR="0003308C" w:rsidRPr="00B0338E" w:rsidRDefault="0003308C" w:rsidP="00B0338E">
      <w:pPr>
        <w:spacing w:before="100" w:beforeAutospacing="1" w:after="100" w:afterAutospacing="1"/>
        <w:jc w:val="both"/>
        <w:rPr>
          <w:rFonts w:ascii="Times New Roman" w:eastAsiaTheme="minorEastAsia" w:hAnsi="Times New Roman" w:cs="Times New Roman"/>
          <w:sz w:val="24"/>
          <w:szCs w:val="24"/>
          <w:lang w:val="en-AU" w:eastAsia="en-AU"/>
        </w:rPr>
      </w:pPr>
    </w:p>
    <w:p w:rsidR="00F6667D" w:rsidRPr="00566EFC" w:rsidRDefault="00F6667D" w:rsidP="00F6667D">
      <w:pPr>
        <w:spacing w:before="100" w:beforeAutospacing="1" w:after="100" w:afterAutospacing="1" w:line="240" w:lineRule="auto"/>
        <w:jc w:val="both"/>
        <w:rPr>
          <w:rFonts w:ascii="Times New Roman" w:eastAsiaTheme="minorEastAsia" w:hAnsi="Times New Roman" w:cs="Times New Roman"/>
          <w:sz w:val="24"/>
          <w:lang w:val="en-AU"/>
        </w:rPr>
      </w:pPr>
      <w:r>
        <w:rPr>
          <w:rFonts w:ascii="Arial" w:eastAsiaTheme="minorEastAsia" w:hAnsi="Arial" w:cs="Arial"/>
          <w:b/>
          <w:sz w:val="32"/>
          <w:szCs w:val="32"/>
          <w:lang w:val="en-AU" w:eastAsia="en-AU"/>
        </w:rPr>
        <w:t>Creating a sustainable cartel</w:t>
      </w:r>
    </w:p>
    <w:p w:rsidR="00F6667D" w:rsidRDefault="00F6667D" w:rsidP="00B31249">
      <w:pPr>
        <w:spacing w:before="100" w:beforeAutospacing="1" w:after="100" w:afterAutospacing="1"/>
        <w:jc w:val="both"/>
        <w:rPr>
          <w:rFonts w:ascii="Times New Roman" w:eastAsia="Arial Unicode MS" w:hAnsi="Times New Roman" w:cs="Times New Roman"/>
          <w:sz w:val="24"/>
          <w:lang w:val="en-IE" w:eastAsia="en-AU" w:bidi="hi-IN"/>
        </w:rPr>
      </w:pPr>
      <w:r>
        <w:rPr>
          <w:rFonts w:ascii="Times New Roman" w:eastAsia="Arial Unicode MS" w:hAnsi="Times New Roman" w:cs="Times New Roman"/>
          <w:sz w:val="24"/>
          <w:lang w:val="en-IE" w:eastAsia="en-AU" w:bidi="hi-IN"/>
        </w:rPr>
        <w:t>The core barrier to the creation of a price fixing cartel is the incentive that exists for firms within the cartel to defect from the agreement in order to capture greater market share than that allocated under the terms of the cartel. The inability of firms within a cartel structure to effectively monitor their counterparties prevents them from taking actions to punish or deter defection, and as a consequence in the absence of a credible threat of loss</w:t>
      </w:r>
      <w:r w:rsidR="00EC7F6A">
        <w:rPr>
          <w:rFonts w:ascii="Times New Roman" w:eastAsia="Arial Unicode MS" w:hAnsi="Times New Roman" w:cs="Times New Roman"/>
          <w:sz w:val="24"/>
          <w:lang w:val="en-IE" w:eastAsia="en-AU" w:bidi="hi-IN"/>
        </w:rPr>
        <w:t>,</w:t>
      </w:r>
      <w:r>
        <w:rPr>
          <w:rFonts w:ascii="Times New Roman" w:eastAsia="Arial Unicode MS" w:hAnsi="Times New Roman" w:cs="Times New Roman"/>
          <w:sz w:val="24"/>
          <w:lang w:val="en-IE" w:eastAsia="en-AU" w:bidi="hi-IN"/>
        </w:rPr>
        <w:t xml:space="preserve"> defection inevitably occurs. </w:t>
      </w:r>
    </w:p>
    <w:p w:rsidR="00F6667D" w:rsidRDefault="00F6667D" w:rsidP="00B31249">
      <w:pPr>
        <w:spacing w:before="100" w:beforeAutospacing="1" w:after="100" w:afterAutospacing="1"/>
        <w:jc w:val="both"/>
        <w:rPr>
          <w:rFonts w:ascii="Times New Roman" w:eastAsia="Arial Unicode MS" w:hAnsi="Times New Roman" w:cs="Times New Roman"/>
          <w:sz w:val="24"/>
          <w:lang w:val="en-IE" w:eastAsia="en-AU" w:bidi="hi-IN"/>
        </w:rPr>
      </w:pPr>
      <w:r>
        <w:rPr>
          <w:rFonts w:ascii="Times New Roman" w:eastAsia="Arial Unicode MS" w:hAnsi="Times New Roman" w:cs="Times New Roman"/>
          <w:sz w:val="24"/>
          <w:lang w:val="en-IE" w:eastAsia="en-AU" w:bidi="hi-IN"/>
        </w:rPr>
        <w:t xml:space="preserve">The creation of the consumer data right, establishes a framework where information concerning the offerings being made to a consumer and their characteristics are inevitably made available between a small </w:t>
      </w:r>
      <w:proofErr w:type="gramStart"/>
      <w:r>
        <w:rPr>
          <w:rFonts w:ascii="Times New Roman" w:eastAsia="Arial Unicode MS" w:hAnsi="Times New Roman" w:cs="Times New Roman"/>
          <w:sz w:val="24"/>
          <w:lang w:val="en-IE" w:eastAsia="en-AU" w:bidi="hi-IN"/>
        </w:rPr>
        <w:t>number</w:t>
      </w:r>
      <w:proofErr w:type="gramEnd"/>
      <w:r>
        <w:rPr>
          <w:rFonts w:ascii="Times New Roman" w:eastAsia="Arial Unicode MS" w:hAnsi="Times New Roman" w:cs="Times New Roman"/>
          <w:sz w:val="24"/>
          <w:lang w:val="en-IE" w:eastAsia="en-AU" w:bidi="hi-IN"/>
        </w:rPr>
        <w:t xml:space="preserve"> of competitors. As a consequence businesses will have detailed information concerning the pricing and discounting strategy of their competitors and be able to asses</w:t>
      </w:r>
      <w:r w:rsidR="00421641">
        <w:rPr>
          <w:rFonts w:ascii="Times New Roman" w:eastAsia="Arial Unicode MS" w:hAnsi="Times New Roman" w:cs="Times New Roman"/>
          <w:sz w:val="24"/>
          <w:lang w:val="en-IE" w:eastAsia="en-AU" w:bidi="hi-IN"/>
        </w:rPr>
        <w:t>s</w:t>
      </w:r>
      <w:r>
        <w:rPr>
          <w:rFonts w:ascii="Times New Roman" w:eastAsia="Arial Unicode MS" w:hAnsi="Times New Roman" w:cs="Times New Roman"/>
          <w:sz w:val="24"/>
          <w:lang w:val="en-IE" w:eastAsia="en-AU" w:bidi="hi-IN"/>
        </w:rPr>
        <w:t xml:space="preserve"> and gauge competition within definable consumer segments or sub-markets. </w:t>
      </w:r>
    </w:p>
    <w:p w:rsidR="00F6667D" w:rsidRDefault="00F6667D" w:rsidP="00B31249">
      <w:pPr>
        <w:spacing w:before="100" w:beforeAutospacing="1" w:after="100" w:afterAutospacing="1"/>
        <w:jc w:val="both"/>
        <w:rPr>
          <w:rFonts w:ascii="Times New Roman" w:eastAsia="Arial Unicode MS" w:hAnsi="Times New Roman" w:cs="Times New Roman"/>
          <w:sz w:val="24"/>
          <w:lang w:val="en-IE" w:eastAsia="en-AU" w:bidi="hi-IN"/>
        </w:rPr>
      </w:pPr>
      <w:r>
        <w:rPr>
          <w:rFonts w:ascii="Times New Roman" w:eastAsia="Arial Unicode MS" w:hAnsi="Times New Roman" w:cs="Times New Roman"/>
          <w:sz w:val="24"/>
          <w:lang w:val="en-IE" w:eastAsia="en-AU" w:bidi="hi-IN"/>
        </w:rPr>
        <w:t xml:space="preserve">For the would-be cartel the availability of this information allows for both effective monitoring of the state of compliance with an existing cartel agreement, and for the identification of defection within specific submarkets. This allows for the implementation of pricing and discounting strategies that punish non-compliance for defective behaviour and to effectively deter conduct, in a targeted, proportionate and effective fashion without </w:t>
      </w:r>
      <w:r w:rsidR="000A1660">
        <w:rPr>
          <w:rFonts w:ascii="Times New Roman" w:eastAsia="Arial Unicode MS" w:hAnsi="Times New Roman" w:cs="Times New Roman"/>
          <w:sz w:val="24"/>
          <w:lang w:val="en-IE" w:eastAsia="en-AU" w:bidi="hi-IN"/>
        </w:rPr>
        <w:t>undermining the stability of the cartel.</w:t>
      </w:r>
    </w:p>
    <w:p w:rsidR="002458A0" w:rsidRDefault="00204433" w:rsidP="00B31249">
      <w:pPr>
        <w:spacing w:before="100" w:beforeAutospacing="1" w:after="100" w:afterAutospacing="1"/>
        <w:jc w:val="both"/>
        <w:rPr>
          <w:rFonts w:ascii="Times New Roman" w:eastAsia="Arial Unicode MS" w:hAnsi="Times New Roman" w:cs="Times New Roman"/>
          <w:sz w:val="24"/>
          <w:lang w:val="en-IE" w:eastAsia="en-AU" w:bidi="hi-IN"/>
        </w:rPr>
      </w:pPr>
      <w:r w:rsidRPr="00DD0AEA">
        <w:rPr>
          <w:rFonts w:ascii="Calibri" w:eastAsiaTheme="minorEastAsia" w:hAnsi="Calibri"/>
          <w:noProof/>
          <w:color w:val="000000" w:themeColor="text1"/>
          <w:sz w:val="24"/>
        </w:rPr>
        <mc:AlternateContent>
          <mc:Choice Requires="wps">
            <w:drawing>
              <wp:anchor distT="0" distB="0" distL="114300" distR="114300" simplePos="0" relativeHeight="251705344" behindDoc="0" locked="0" layoutInCell="1" allowOverlap="1" wp14:anchorId="7FC73F4F" wp14:editId="263CAE0B">
                <wp:simplePos x="0" y="0"/>
                <wp:positionH relativeFrom="column">
                  <wp:posOffset>-2938</wp:posOffset>
                </wp:positionH>
                <wp:positionV relativeFrom="paragraph">
                  <wp:posOffset>1125505</wp:posOffset>
                </wp:positionV>
                <wp:extent cx="5720080" cy="987425"/>
                <wp:effectExtent l="0" t="0" r="13970" b="22225"/>
                <wp:wrapNone/>
                <wp:docPr id="13" name="Text Box 13"/>
                <wp:cNvGraphicFramePr/>
                <a:graphic xmlns:a="http://schemas.openxmlformats.org/drawingml/2006/main">
                  <a:graphicData uri="http://schemas.microsoft.com/office/word/2010/wordprocessingShape">
                    <wps:wsp>
                      <wps:cNvSpPr txBox="1"/>
                      <wps:spPr>
                        <a:xfrm>
                          <a:off x="0" y="0"/>
                          <a:ext cx="5720080" cy="987425"/>
                        </a:xfrm>
                        <a:prstGeom prst="rect">
                          <a:avLst/>
                        </a:prstGeom>
                        <a:solidFill>
                          <a:sysClr val="window" lastClr="FFFFFF"/>
                        </a:solidFill>
                        <a:ln w="6350">
                          <a:solidFill>
                            <a:srgbClr val="00B0F0"/>
                          </a:solidFill>
                        </a:ln>
                      </wps:spPr>
                      <wps:txbx>
                        <w:txbxContent>
                          <w:p w:rsidR="00DD5468" w:rsidRPr="00C35DED" w:rsidRDefault="00DD5468" w:rsidP="00DC683E">
                            <w:pPr>
                              <w:rPr>
                                <w:rFonts w:ascii="Times New Roman" w:hAnsi="Times New Roman" w:cs="Times New Roman"/>
                                <w:b/>
                              </w:rPr>
                            </w:pPr>
                            <w:r w:rsidRPr="00C35DED">
                              <w:rPr>
                                <w:rFonts w:ascii="Times New Roman" w:hAnsi="Times New Roman" w:cs="Times New Roman"/>
                                <w:b/>
                              </w:rPr>
                              <w:t>Recommendation 1</w:t>
                            </w:r>
                            <w:r>
                              <w:rPr>
                                <w:rFonts w:ascii="Times New Roman" w:hAnsi="Times New Roman" w:cs="Times New Roman"/>
                                <w:b/>
                              </w:rPr>
                              <w:t>7</w:t>
                            </w:r>
                          </w:p>
                          <w:p w:rsidR="00DD5468" w:rsidRPr="00C35DED" w:rsidRDefault="00DD5468" w:rsidP="00DC683E">
                            <w:pPr>
                              <w:rPr>
                                <w:rFonts w:ascii="Times New Roman" w:hAnsi="Times New Roman" w:cs="Times New Roman"/>
                                <w:i/>
                              </w:rPr>
                            </w:pPr>
                            <w:r>
                              <w:rPr>
                                <w:rFonts w:ascii="Times New Roman" w:hAnsi="Times New Roman" w:cs="Times New Roman"/>
                                <w:i/>
                              </w:rPr>
                              <w:t>That</w:t>
                            </w:r>
                            <w:r w:rsidRPr="00C35DED">
                              <w:rPr>
                                <w:rFonts w:ascii="Times New Roman" w:hAnsi="Times New Roman" w:cs="Times New Roman"/>
                                <w:i/>
                              </w:rPr>
                              <w:t xml:space="preserve"> Treasury takes steps to quantify the potential costs of, or risks to consumers from firms using consumer data to engaging in anti-competitive or collusive conduct within the identified markets.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60" type="#_x0000_t202" style="position:absolute;left:0;text-align:left;margin-left:-.25pt;margin-top:88.6pt;width:450.4pt;height:77.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" fillcolor="window" strokecolor="#00b0f0" strokeweight=".5pt">
                <v:textbox>
                  <w:txbxContent>
                    <w:p w:rsidR="00DD5468" w:rsidRPr="00C35DED" w:rsidRDefault="00DD5468" w:rsidP="00DC683E">
                      <w:pPr>
                        <w:rPr>
                          <w:rFonts w:ascii="Times New Roman" w:hAnsi="Times New Roman" w:cs="Times New Roman"/>
                          <w:b/>
                        </w:rPr>
                      </w:pPr>
                      <w:r w:rsidRPr="00C35DED">
                        <w:rPr>
                          <w:rFonts w:ascii="Times New Roman" w:hAnsi="Times New Roman" w:cs="Times New Roman"/>
                          <w:b/>
                        </w:rPr>
                        <w:t>Recommendation 1</w:t>
                      </w:r>
                      <w:r>
                        <w:rPr>
                          <w:rFonts w:ascii="Times New Roman" w:hAnsi="Times New Roman" w:cs="Times New Roman"/>
                          <w:b/>
                        </w:rPr>
                        <w:t>7</w:t>
                      </w:r>
                    </w:p>
                    <w:p w:rsidR="00DD5468" w:rsidRPr="00C35DED" w:rsidRDefault="00DD5468" w:rsidP="00DC683E">
                      <w:pPr>
                        <w:rPr>
                          <w:rFonts w:ascii="Times New Roman" w:hAnsi="Times New Roman" w:cs="Times New Roman"/>
                          <w:i/>
                        </w:rPr>
                      </w:pPr>
                      <w:r>
                        <w:rPr>
                          <w:rFonts w:ascii="Times New Roman" w:hAnsi="Times New Roman" w:cs="Times New Roman"/>
                          <w:i/>
                        </w:rPr>
                        <w:t>That</w:t>
                      </w:r>
                      <w:r w:rsidRPr="00C35DED">
                        <w:rPr>
                          <w:rFonts w:ascii="Times New Roman" w:hAnsi="Times New Roman" w:cs="Times New Roman"/>
                          <w:i/>
                        </w:rPr>
                        <w:t xml:space="preserve"> Treasury takes steps to quantify the potential costs of, or risks to consumers from firms using consumer data to engaging in anti-competitive or collusive conduct within the identified markets.</w:t>
                      </w:r>
                    </w:p>
                  </w:txbxContent>
                </v:textbox>
              </v:shape>
            </w:pict>
          </mc:Fallback>
        </mc:AlternateContent>
      </w:r>
      <w:r w:rsidR="00C70FC7">
        <w:rPr>
          <w:rFonts w:ascii="Times New Roman" w:eastAsia="Arial Unicode MS" w:hAnsi="Times New Roman" w:cs="Times New Roman"/>
          <w:sz w:val="24"/>
          <w:lang w:val="en-IE" w:eastAsia="en-AU" w:bidi="hi-IN"/>
        </w:rPr>
        <w:t>Within the telecommunications market there are considerably lesser incentives to engage in such behaviour, given existi</w:t>
      </w:r>
      <w:r w:rsidR="00564BCB">
        <w:rPr>
          <w:rFonts w:ascii="Times New Roman" w:eastAsia="Arial Unicode MS" w:hAnsi="Times New Roman" w:cs="Times New Roman"/>
          <w:sz w:val="24"/>
          <w:lang w:val="en-IE" w:eastAsia="en-AU" w:bidi="hi-IN"/>
        </w:rPr>
        <w:t xml:space="preserve">ng transparency concerning the </w:t>
      </w:r>
      <w:r w:rsidR="00600610">
        <w:rPr>
          <w:rFonts w:ascii="Times New Roman" w:eastAsia="Arial Unicode MS" w:hAnsi="Times New Roman" w:cs="Times New Roman"/>
          <w:sz w:val="24"/>
          <w:lang w:val="en-IE" w:eastAsia="en-AU" w:bidi="hi-IN"/>
        </w:rPr>
        <w:t xml:space="preserve">pricing and characteristics of service offerings. However, there is a need to put in place </w:t>
      </w:r>
      <w:r w:rsidR="00153442">
        <w:rPr>
          <w:rFonts w:ascii="Times New Roman" w:eastAsia="Arial Unicode MS" w:hAnsi="Times New Roman" w:cs="Times New Roman"/>
          <w:sz w:val="24"/>
          <w:lang w:val="en-IE" w:eastAsia="en-AU" w:bidi="hi-IN"/>
        </w:rPr>
        <w:t>appropriate regulatory restrictions on the use of CDR data, including the aggregation of data where such aggregation may facilitate the formation and continuation of cartels.</w:t>
      </w:r>
    </w:p>
    <w:p w:rsidR="00DC683E" w:rsidRDefault="00DC683E" w:rsidP="00B31249">
      <w:pPr>
        <w:spacing w:before="100" w:beforeAutospacing="1" w:after="100" w:afterAutospacing="1"/>
        <w:jc w:val="both"/>
        <w:rPr>
          <w:rFonts w:ascii="Times New Roman" w:eastAsia="Arial Unicode MS" w:hAnsi="Times New Roman" w:cs="Times New Roman"/>
          <w:sz w:val="24"/>
          <w:lang w:val="en-IE" w:eastAsia="en-AU" w:bidi="hi-IN"/>
        </w:rPr>
      </w:pPr>
    </w:p>
    <w:p w:rsidR="005D5DA2" w:rsidRDefault="005D5DA2" w:rsidP="005D5DA2">
      <w:pPr>
        <w:spacing w:line="360" w:lineRule="auto"/>
        <w:jc w:val="both"/>
        <w:rPr>
          <w:rFonts w:ascii="Arial" w:eastAsia="Arial Unicode MS" w:hAnsi="Arial" w:cs="Arial"/>
          <w:sz w:val="28"/>
          <w:lang w:val="en-IE" w:eastAsia="en-AU" w:bidi="hi-IN"/>
        </w:rPr>
      </w:pPr>
      <w:r>
        <w:rPr>
          <w:rFonts w:ascii="Arial" w:eastAsia="Arial Unicode MS" w:hAnsi="Arial" w:cs="Arial"/>
          <w:sz w:val="28"/>
          <w:lang w:val="en-IE" w:eastAsia="en-AU" w:bidi="hi-IN"/>
        </w:rPr>
        <w:t>What is at risk?</w:t>
      </w:r>
    </w:p>
    <w:p w:rsidR="005D5DA2" w:rsidRPr="005D5DA2" w:rsidRDefault="005D5DA2" w:rsidP="00BB4586">
      <w:pPr>
        <w:jc w:val="both"/>
        <w:rPr>
          <w:rFonts w:ascii="Times New Roman" w:hAnsi="Times New Roman" w:cs="Times New Roman"/>
          <w:sz w:val="24"/>
        </w:rPr>
      </w:pPr>
      <w:r w:rsidRPr="005D5DA2">
        <w:rPr>
          <w:rFonts w:ascii="Times New Roman" w:hAnsi="Times New Roman" w:cs="Times New Roman"/>
          <w:sz w:val="24"/>
        </w:rPr>
        <w:lastRenderedPageBreak/>
        <w:t xml:space="preserve">The consumer losses associated with anti-competitive conduct can often be significant and immediate, particularly for consumers on low incomes. </w:t>
      </w:r>
      <w:r w:rsidR="00421641">
        <w:rPr>
          <w:rFonts w:ascii="Times New Roman" w:hAnsi="Times New Roman" w:cs="Times New Roman"/>
          <w:sz w:val="24"/>
        </w:rPr>
        <w:t>T</w:t>
      </w:r>
      <w:r w:rsidRPr="005D5DA2">
        <w:rPr>
          <w:rFonts w:ascii="Times New Roman" w:hAnsi="Times New Roman" w:cs="Times New Roman"/>
          <w:sz w:val="24"/>
        </w:rPr>
        <w:t>his means consumers face higher prices than necessary and increased financial pressure</w:t>
      </w:r>
      <w:r w:rsidR="00421641">
        <w:rPr>
          <w:rFonts w:ascii="Times New Roman" w:hAnsi="Times New Roman" w:cs="Times New Roman"/>
          <w:sz w:val="24"/>
        </w:rPr>
        <w:t xml:space="preserve"> (or a loss of consumer surplus)</w:t>
      </w:r>
      <w:r w:rsidRPr="005D5DA2">
        <w:rPr>
          <w:rFonts w:ascii="Times New Roman" w:hAnsi="Times New Roman" w:cs="Times New Roman"/>
          <w:sz w:val="24"/>
        </w:rPr>
        <w:t xml:space="preserve">. </w:t>
      </w:r>
    </w:p>
    <w:p w:rsidR="00E31305" w:rsidRPr="005D5DA2" w:rsidRDefault="005D5DA2" w:rsidP="00BB4586">
      <w:pPr>
        <w:jc w:val="both"/>
        <w:rPr>
          <w:rFonts w:ascii="Times New Roman" w:hAnsi="Times New Roman" w:cs="Times New Roman"/>
          <w:sz w:val="24"/>
        </w:rPr>
      </w:pPr>
      <w:r w:rsidRPr="005D5DA2">
        <w:rPr>
          <w:rFonts w:ascii="Times New Roman" w:hAnsi="Times New Roman" w:cs="Times New Roman"/>
          <w:sz w:val="24"/>
        </w:rPr>
        <w:t xml:space="preserve">The costs borne by consumers as a result of anti-competitive conduct are often inadequately </w:t>
      </w:r>
      <w:r w:rsidR="002458A0" w:rsidRPr="005D5DA2">
        <w:rPr>
          <w:rFonts w:ascii="Times New Roman" w:hAnsi="Times New Roman" w:cs="Times New Roman"/>
          <w:sz w:val="24"/>
        </w:rPr>
        <w:t>recognized</w:t>
      </w:r>
      <w:r w:rsidRPr="005D5DA2">
        <w:rPr>
          <w:rFonts w:ascii="Times New Roman" w:hAnsi="Times New Roman" w:cs="Times New Roman"/>
          <w:sz w:val="24"/>
        </w:rPr>
        <w:t xml:space="preserve"> as the losses are spread across the consumer population and at an individual level may be small. </w:t>
      </w:r>
      <w:r w:rsidR="00950B40" w:rsidRPr="005D5DA2">
        <w:rPr>
          <w:rFonts w:ascii="Times New Roman" w:hAnsi="Times New Roman" w:cs="Times New Roman"/>
          <w:sz w:val="24"/>
        </w:rPr>
        <w:t>However,</w:t>
      </w:r>
      <w:r w:rsidRPr="005D5DA2">
        <w:rPr>
          <w:rFonts w:ascii="Times New Roman" w:hAnsi="Times New Roman" w:cs="Times New Roman"/>
          <w:sz w:val="24"/>
        </w:rPr>
        <w:t xml:space="preserve"> the true losses experienced by consumers can be significant given the pervasive use of communications services and the significant revenue generated by the sector. </w:t>
      </w:r>
    </w:p>
    <w:p w:rsidR="006730E8" w:rsidRPr="006730E8" w:rsidRDefault="006730E8" w:rsidP="00BB4586">
      <w:pPr>
        <w:jc w:val="both"/>
        <w:rPr>
          <w:rFonts w:ascii="Times New Roman" w:hAnsi="Times New Roman" w:cs="Times New Roman"/>
          <w:i/>
          <w:sz w:val="24"/>
        </w:rPr>
      </w:pPr>
      <w:r>
        <w:rPr>
          <w:rFonts w:ascii="Times New Roman" w:hAnsi="Times New Roman" w:cs="Times New Roman"/>
          <w:i/>
          <w:sz w:val="24"/>
        </w:rPr>
        <w:t xml:space="preserve">Risks in the communications sector </w:t>
      </w:r>
    </w:p>
    <w:p w:rsidR="005D5DA2" w:rsidRPr="005D5DA2" w:rsidRDefault="005D5DA2" w:rsidP="00BB4586">
      <w:pPr>
        <w:jc w:val="both"/>
        <w:rPr>
          <w:rFonts w:ascii="Times New Roman" w:hAnsi="Times New Roman" w:cs="Times New Roman"/>
          <w:sz w:val="24"/>
        </w:rPr>
      </w:pPr>
      <w:r w:rsidRPr="005D5DA2">
        <w:rPr>
          <w:rFonts w:ascii="Times New Roman" w:hAnsi="Times New Roman" w:cs="Times New Roman"/>
          <w:sz w:val="24"/>
        </w:rPr>
        <w:t xml:space="preserve">The revenues of the communications sector have been estimated at a value of $22 billion for mobile or wireless services and $10.3 billion for fixed line services for 2015-16 (BCAR 2017, p. 11-14). Given the size of industry revenues, a pricing distortion on the order of 0.5% would result in consumer losses of $110 million for the mobile market and $51.5 million for the fixed line market. </w:t>
      </w:r>
    </w:p>
    <w:p w:rsidR="005D5DA2" w:rsidRPr="005D5DA2" w:rsidRDefault="005D5DA2" w:rsidP="00BB4586">
      <w:pPr>
        <w:jc w:val="both"/>
        <w:rPr>
          <w:rFonts w:ascii="Times New Roman" w:hAnsi="Times New Roman" w:cs="Times New Roman"/>
          <w:sz w:val="24"/>
        </w:rPr>
      </w:pPr>
      <w:r w:rsidRPr="005D5DA2">
        <w:rPr>
          <w:rFonts w:ascii="Times New Roman" w:hAnsi="Times New Roman" w:cs="Times New Roman"/>
          <w:sz w:val="24"/>
        </w:rPr>
        <w:t xml:space="preserve">Such a distortion is not difficult to envisage, and although in many instances the detriment associated with anti-competitive conduct may be limited by the market share of an entity, the communications market is exceptionally concentrated (Grattan Institute 2017, p. 14). This means that even if only one entity engages in anti-competitive conduct that a material number of consumers will be </w:t>
      </w:r>
      <w:r w:rsidR="00D24EC7" w:rsidRPr="005D5DA2">
        <w:rPr>
          <w:rFonts w:ascii="Times New Roman" w:hAnsi="Times New Roman" w:cs="Times New Roman"/>
          <w:sz w:val="24"/>
        </w:rPr>
        <w:t>affected,</w:t>
      </w:r>
      <w:r w:rsidRPr="005D5DA2">
        <w:rPr>
          <w:rFonts w:ascii="Times New Roman" w:hAnsi="Times New Roman" w:cs="Times New Roman"/>
          <w:sz w:val="24"/>
        </w:rPr>
        <w:t xml:space="preserve"> and losses will be significant. </w:t>
      </w:r>
    </w:p>
    <w:p w:rsidR="00974AA3" w:rsidRDefault="005D5DA2" w:rsidP="00BB4586">
      <w:pPr>
        <w:jc w:val="both"/>
        <w:rPr>
          <w:rFonts w:ascii="Times New Roman" w:hAnsi="Times New Roman" w:cs="Times New Roman"/>
          <w:sz w:val="24"/>
        </w:rPr>
      </w:pPr>
      <w:r w:rsidRPr="005D5DA2">
        <w:rPr>
          <w:rFonts w:ascii="Times New Roman" w:hAnsi="Times New Roman" w:cs="Times New Roman"/>
          <w:sz w:val="24"/>
        </w:rPr>
        <w:t xml:space="preserve">For </w:t>
      </w:r>
      <w:r w:rsidR="00EB407F" w:rsidRPr="005D5DA2">
        <w:rPr>
          <w:rFonts w:ascii="Times New Roman" w:hAnsi="Times New Roman" w:cs="Times New Roman"/>
          <w:sz w:val="24"/>
        </w:rPr>
        <w:t>example,</w:t>
      </w:r>
      <w:r w:rsidRPr="005D5DA2">
        <w:rPr>
          <w:rFonts w:ascii="Times New Roman" w:hAnsi="Times New Roman" w:cs="Times New Roman"/>
          <w:sz w:val="24"/>
        </w:rPr>
        <w:t xml:space="preserve"> a unilateral 1% increase in price in the mobile market by one of the three major operators would </w:t>
      </w:r>
      <w:r w:rsidR="00421641">
        <w:rPr>
          <w:rFonts w:ascii="Times New Roman" w:hAnsi="Times New Roman" w:cs="Times New Roman"/>
          <w:sz w:val="24"/>
        </w:rPr>
        <w:t xml:space="preserve">result in </w:t>
      </w:r>
      <w:r w:rsidRPr="005D5DA2">
        <w:rPr>
          <w:rFonts w:ascii="Times New Roman" w:hAnsi="Times New Roman" w:cs="Times New Roman"/>
          <w:sz w:val="24"/>
        </w:rPr>
        <w:t>consumer losses of between $39.6 million to $103.4 million.</w:t>
      </w:r>
      <w:r w:rsidRPr="00E575ED">
        <w:rPr>
          <w:rStyle w:val="FootnoteReference"/>
        </w:rPr>
        <w:footnoteReference w:id="4"/>
      </w:r>
      <w:r w:rsidRPr="005D5DA2">
        <w:rPr>
          <w:rFonts w:ascii="Times New Roman" w:hAnsi="Times New Roman" w:cs="Times New Roman"/>
          <w:sz w:val="24"/>
        </w:rPr>
        <w:t xml:space="preserve"> These losses may be greater where unilateral anti-competitive conduct leads other service providers to increase their prices or dissuades price competition.</w:t>
      </w:r>
    </w:p>
    <w:p w:rsidR="005D5DA2" w:rsidRDefault="005D5DA2" w:rsidP="00BB4586">
      <w:pPr>
        <w:jc w:val="both"/>
        <w:rPr>
          <w:rFonts w:ascii="Times New Roman" w:hAnsi="Times New Roman" w:cs="Times New Roman"/>
          <w:sz w:val="24"/>
        </w:rPr>
      </w:pPr>
      <w:r>
        <w:rPr>
          <w:rFonts w:ascii="Times New Roman" w:hAnsi="Times New Roman" w:cs="Times New Roman"/>
          <w:sz w:val="24"/>
        </w:rPr>
        <w:t>Given that the identification of a cartel typically takes several years and often only occurs where a party to the cartel defects the potential losses to c</w:t>
      </w:r>
      <w:r w:rsidR="001D1B27">
        <w:rPr>
          <w:rFonts w:ascii="Times New Roman" w:hAnsi="Times New Roman" w:cs="Times New Roman"/>
          <w:sz w:val="24"/>
        </w:rPr>
        <w:t xml:space="preserve">onsumers for a 1% increase in relative prices over a </w:t>
      </w:r>
      <w:r w:rsidR="008C4EBF">
        <w:rPr>
          <w:rFonts w:ascii="Times New Roman" w:hAnsi="Times New Roman" w:cs="Times New Roman"/>
          <w:sz w:val="24"/>
        </w:rPr>
        <w:t>5-year</w:t>
      </w:r>
      <w:r w:rsidR="001D1B27">
        <w:rPr>
          <w:rFonts w:ascii="Times New Roman" w:hAnsi="Times New Roman" w:cs="Times New Roman"/>
          <w:sz w:val="24"/>
        </w:rPr>
        <w:t xml:space="preserve"> period would be:</w:t>
      </w:r>
    </w:p>
    <w:p w:rsidR="001D1B27" w:rsidRDefault="001D1B27" w:rsidP="00116291">
      <w:pPr>
        <w:pStyle w:val="ListParagraph"/>
        <w:numPr>
          <w:ilvl w:val="0"/>
          <w:numId w:val="8"/>
        </w:numPr>
        <w:spacing w:line="276" w:lineRule="auto"/>
        <w:rPr>
          <w:rFonts w:ascii="Times New Roman" w:hAnsi="Times New Roman" w:cs="Times New Roman"/>
        </w:rPr>
      </w:pPr>
      <w:r>
        <w:rPr>
          <w:rFonts w:ascii="Times New Roman" w:hAnsi="Times New Roman" w:cs="Times New Roman"/>
        </w:rPr>
        <w:t>For fixed line services $515 million</w:t>
      </w:r>
    </w:p>
    <w:p w:rsidR="00CB7501" w:rsidRPr="007F6B53" w:rsidRDefault="001D1B27" w:rsidP="00116291">
      <w:pPr>
        <w:pStyle w:val="ListParagraph"/>
        <w:numPr>
          <w:ilvl w:val="0"/>
          <w:numId w:val="8"/>
        </w:numPr>
        <w:spacing w:line="276" w:lineRule="auto"/>
        <w:rPr>
          <w:rFonts w:ascii="Times New Roman" w:hAnsi="Times New Roman" w:cs="Times New Roman"/>
        </w:rPr>
      </w:pPr>
      <w:r>
        <w:rPr>
          <w:rFonts w:ascii="Times New Roman" w:hAnsi="Times New Roman" w:cs="Times New Roman"/>
        </w:rPr>
        <w:t>For mobile services $1.1 billion</w:t>
      </w:r>
    </w:p>
    <w:p w:rsidR="00C35DED" w:rsidRDefault="005D5DA2" w:rsidP="00BB4586">
      <w:pPr>
        <w:jc w:val="both"/>
        <w:rPr>
          <w:rFonts w:ascii="Times New Roman" w:hAnsi="Times New Roman" w:cs="Times New Roman"/>
          <w:sz w:val="24"/>
        </w:rPr>
      </w:pPr>
      <w:r w:rsidRPr="005D5DA2">
        <w:rPr>
          <w:rFonts w:ascii="Times New Roman" w:hAnsi="Times New Roman" w:cs="Times New Roman"/>
          <w:sz w:val="24"/>
        </w:rPr>
        <w:t>For consumers</w:t>
      </w:r>
      <w:r w:rsidR="00921A1D">
        <w:rPr>
          <w:rFonts w:ascii="Times New Roman" w:hAnsi="Times New Roman" w:cs="Times New Roman"/>
          <w:sz w:val="24"/>
        </w:rPr>
        <w:t>,</w:t>
      </w:r>
      <w:r w:rsidRPr="005D5DA2">
        <w:rPr>
          <w:rFonts w:ascii="Times New Roman" w:hAnsi="Times New Roman" w:cs="Times New Roman"/>
          <w:sz w:val="24"/>
        </w:rPr>
        <w:t xml:space="preserve"> anti-competitive conduct can also create longer term losses with resources being allocated to offending firms, rewarding and </w:t>
      </w:r>
      <w:r w:rsidR="00EB407F" w:rsidRPr="005D5DA2">
        <w:rPr>
          <w:rFonts w:ascii="Times New Roman" w:hAnsi="Times New Roman" w:cs="Times New Roman"/>
          <w:sz w:val="24"/>
        </w:rPr>
        <w:t>incentivizing</w:t>
      </w:r>
      <w:r w:rsidRPr="005D5DA2">
        <w:rPr>
          <w:rFonts w:ascii="Times New Roman" w:hAnsi="Times New Roman" w:cs="Times New Roman"/>
          <w:sz w:val="24"/>
        </w:rPr>
        <w:t xml:space="preserve"> their conduct when consumers purchase their services and compliant firms being discouraged from market participation due to forgone sales. This is particularly important in a marketplace where consumers may sign up to contracts for long periods of time and therefore suffer ongoing detriment due to anti-competitive conduct.</w:t>
      </w:r>
    </w:p>
    <w:p w:rsidR="002534D0" w:rsidRDefault="002534D0" w:rsidP="002534D0">
      <w:pPr>
        <w:jc w:val="both"/>
        <w:rPr>
          <w:rFonts w:ascii="Times New Roman" w:hAnsi="Times New Roman" w:cs="Times New Roman"/>
          <w:i/>
          <w:sz w:val="24"/>
        </w:rPr>
      </w:pPr>
      <w:r>
        <w:rPr>
          <w:rFonts w:ascii="Times New Roman" w:hAnsi="Times New Roman" w:cs="Times New Roman"/>
          <w:i/>
          <w:sz w:val="24"/>
        </w:rPr>
        <w:t xml:space="preserve">Risks to vulnerable consumers </w:t>
      </w:r>
    </w:p>
    <w:p w:rsidR="00BC64F0" w:rsidRPr="00255DEA" w:rsidRDefault="00180975" w:rsidP="00BB4586">
      <w:pPr>
        <w:jc w:val="both"/>
        <w:rPr>
          <w:rFonts w:ascii="Times New Roman" w:hAnsi="Times New Roman" w:cs="Times New Roman"/>
          <w:color w:val="000000" w:themeColor="text1"/>
          <w:sz w:val="24"/>
        </w:rPr>
      </w:pPr>
      <w:r w:rsidRPr="002458A0">
        <w:rPr>
          <w:rFonts w:ascii="Times New Roman" w:hAnsi="Times New Roman" w:cs="Times New Roman"/>
          <w:color w:val="000000" w:themeColor="text1"/>
          <w:sz w:val="24"/>
        </w:rPr>
        <w:lastRenderedPageBreak/>
        <w:t xml:space="preserve">The impacts of anti-competitive behavior are disproportionately felt by those consumers on the lowest incomes, and with the least capacity to avoid costs. </w:t>
      </w:r>
      <w:r w:rsidR="00950B40" w:rsidRPr="00D257B5">
        <w:rPr>
          <w:rFonts w:ascii="Times New Roman" w:hAnsi="Times New Roman" w:cs="Times New Roman"/>
          <w:color w:val="000000" w:themeColor="text1"/>
          <w:sz w:val="24"/>
        </w:rPr>
        <w:t xml:space="preserve">ACCAN has concerns that </w:t>
      </w:r>
      <w:r w:rsidR="00E32693" w:rsidRPr="00D257B5">
        <w:rPr>
          <w:rFonts w:ascii="Times New Roman" w:hAnsi="Times New Roman" w:cs="Times New Roman"/>
          <w:color w:val="000000" w:themeColor="text1"/>
          <w:sz w:val="24"/>
        </w:rPr>
        <w:t xml:space="preserve">for </w:t>
      </w:r>
      <w:r w:rsidR="00950B40" w:rsidRPr="00D257B5">
        <w:rPr>
          <w:rFonts w:ascii="Times New Roman" w:hAnsi="Times New Roman" w:cs="Times New Roman"/>
          <w:color w:val="000000" w:themeColor="text1"/>
          <w:sz w:val="24"/>
        </w:rPr>
        <w:t xml:space="preserve">vulnerable consumers </w:t>
      </w:r>
      <w:r w:rsidR="00E32693" w:rsidRPr="00D257B5">
        <w:rPr>
          <w:rFonts w:ascii="Times New Roman" w:hAnsi="Times New Roman" w:cs="Times New Roman"/>
          <w:color w:val="000000" w:themeColor="text1"/>
          <w:sz w:val="24"/>
        </w:rPr>
        <w:t xml:space="preserve">the leakage of data will allow for the development of </w:t>
      </w:r>
      <w:r w:rsidR="00D257B5" w:rsidRPr="00D257B5">
        <w:rPr>
          <w:rFonts w:ascii="Times New Roman" w:hAnsi="Times New Roman" w:cs="Times New Roman"/>
          <w:color w:val="000000" w:themeColor="text1"/>
          <w:sz w:val="24"/>
        </w:rPr>
        <w:t xml:space="preserve">models targeted at extracting the maximum possible charges from them. </w:t>
      </w:r>
    </w:p>
    <w:p w:rsidR="003A651B" w:rsidRPr="00C76CC9" w:rsidRDefault="003A651B" w:rsidP="003A651B">
      <w:pPr>
        <w:jc w:val="both"/>
        <w:rPr>
          <w:rFonts w:ascii="Times New Roman" w:hAnsi="Times New Roman" w:cs="Times New Roman"/>
          <w:sz w:val="24"/>
        </w:rPr>
      </w:pPr>
      <w:r w:rsidRPr="00C76CC9">
        <w:rPr>
          <w:rFonts w:ascii="Times New Roman" w:hAnsi="Times New Roman" w:cs="Times New Roman"/>
          <w:sz w:val="24"/>
        </w:rPr>
        <w:t xml:space="preserve">Consumers on low incomes typically spend a significant proportion of their income on telecommunications services. Households in the first and second lowest income deciles on average pay just under 10% and 6% of their disposable income on communication services respectively (BCAR 2017, p.27). This is well in excess of average household expenditure on communications, which accounts for approximately 3.5% of disposable income (BCAR 2017, p. 27). </w:t>
      </w:r>
    </w:p>
    <w:p w:rsidR="00255DEA" w:rsidRPr="00B35E4C" w:rsidRDefault="003A651B" w:rsidP="00BB4586">
      <w:pPr>
        <w:jc w:val="both"/>
        <w:rPr>
          <w:rFonts w:ascii="Times New Roman" w:hAnsi="Times New Roman" w:cs="Times New Roman"/>
          <w:color w:val="FF0000"/>
          <w:sz w:val="24"/>
        </w:rPr>
      </w:pPr>
      <w:r w:rsidRPr="00C76CC9">
        <w:rPr>
          <w:rFonts w:ascii="Times New Roman" w:hAnsi="Times New Roman" w:cs="Times New Roman"/>
          <w:color w:val="000000" w:themeColor="text1"/>
          <w:sz w:val="24"/>
        </w:rPr>
        <w:t xml:space="preserve">These households are characterized by high levels of </w:t>
      </w:r>
      <w:r w:rsidRPr="00C76CC9">
        <w:rPr>
          <w:rFonts w:ascii="Times New Roman" w:hAnsi="Times New Roman" w:cs="Times New Roman"/>
          <w:color w:val="000000" w:themeColor="text1"/>
          <w:sz w:val="24"/>
          <w:szCs w:val="24"/>
        </w:rPr>
        <w:t>f</w:t>
      </w:r>
      <w:r w:rsidR="00496EC4" w:rsidRPr="00C76CC9">
        <w:rPr>
          <w:rFonts w:ascii="Times New Roman" w:hAnsi="Times New Roman" w:cs="Times New Roman"/>
          <w:color w:val="000000" w:themeColor="text1"/>
          <w:sz w:val="24"/>
          <w:szCs w:val="24"/>
        </w:rPr>
        <w:t xml:space="preserve">inancial </w:t>
      </w:r>
      <w:r w:rsidR="00496EC4" w:rsidRPr="00C76CC9">
        <w:rPr>
          <w:rFonts w:ascii="Times New Roman" w:hAnsi="Times New Roman" w:cs="Times New Roman"/>
          <w:sz w:val="24"/>
          <w:szCs w:val="24"/>
        </w:rPr>
        <w:t>stress</w:t>
      </w:r>
      <w:r w:rsidRPr="00C76CC9">
        <w:rPr>
          <w:rFonts w:ascii="Times New Roman" w:hAnsi="Times New Roman" w:cs="Times New Roman"/>
          <w:sz w:val="24"/>
          <w:szCs w:val="24"/>
        </w:rPr>
        <w:t>, which</w:t>
      </w:r>
      <w:r w:rsidR="00496EC4" w:rsidRPr="00C76CC9">
        <w:rPr>
          <w:rFonts w:ascii="Times New Roman" w:hAnsi="Times New Roman" w:cs="Times New Roman"/>
          <w:sz w:val="24"/>
          <w:szCs w:val="24"/>
        </w:rPr>
        <w:t xml:space="preserve"> continues to be experienced by consumers on low incomes, with 15.6% of consumers in the lowest income quintile indicating they had been unable to pay their utility bills on time in the twelve months leading up to the census </w:t>
      </w:r>
      <w:r w:rsidR="00496EC4" w:rsidRPr="00C76CC9">
        <w:rPr>
          <w:rFonts w:ascii="Times New Roman" w:hAnsi="Times New Roman" w:cs="Times New Roman"/>
          <w:sz w:val="24"/>
        </w:rPr>
        <w:t>(ABS 2017)</w:t>
      </w:r>
      <w:r w:rsidR="00496EC4" w:rsidRPr="00C76CC9">
        <w:rPr>
          <w:rFonts w:ascii="Times New Roman" w:hAnsi="Times New Roman" w:cs="Times New Roman"/>
          <w:sz w:val="24"/>
          <w:szCs w:val="24"/>
        </w:rPr>
        <w:t>.</w:t>
      </w:r>
      <w:r w:rsidR="00496EC4" w:rsidRPr="004206F6">
        <w:rPr>
          <w:rFonts w:ascii="Times New Roman" w:hAnsi="Times New Roman" w:cs="Times New Roman"/>
          <w:sz w:val="24"/>
          <w:szCs w:val="24"/>
        </w:rPr>
        <w:t xml:space="preserve"> </w:t>
      </w:r>
    </w:p>
    <w:p w:rsidR="00256AC0" w:rsidRPr="006730E8" w:rsidRDefault="006730E8" w:rsidP="00BB4586">
      <w:pPr>
        <w:jc w:val="both"/>
        <w:rPr>
          <w:rFonts w:ascii="Times New Roman" w:hAnsi="Times New Roman" w:cs="Times New Roman"/>
          <w:i/>
          <w:sz w:val="24"/>
        </w:rPr>
      </w:pPr>
      <w:r>
        <w:rPr>
          <w:rFonts w:ascii="Times New Roman" w:hAnsi="Times New Roman" w:cs="Times New Roman"/>
          <w:i/>
          <w:sz w:val="24"/>
        </w:rPr>
        <w:t xml:space="preserve">Risks more broadly </w:t>
      </w:r>
    </w:p>
    <w:p w:rsidR="00950B40" w:rsidRDefault="00950B40" w:rsidP="00CB7501">
      <w:pPr>
        <w:jc w:val="both"/>
        <w:rPr>
          <w:rFonts w:ascii="Times New Roman" w:hAnsi="Times New Roman" w:cs="Times New Roman"/>
          <w:color w:val="000000" w:themeColor="text1"/>
          <w:sz w:val="24"/>
        </w:rPr>
      </w:pPr>
      <w:r w:rsidRPr="00D351D7">
        <w:rPr>
          <w:rFonts w:ascii="Times New Roman" w:hAnsi="Times New Roman" w:cs="Times New Roman"/>
          <w:color w:val="000000" w:themeColor="text1"/>
          <w:sz w:val="24"/>
        </w:rPr>
        <w:t xml:space="preserve">The risks of anti-competitive conduct </w:t>
      </w:r>
      <w:r w:rsidR="00D351D7" w:rsidRPr="00D351D7">
        <w:rPr>
          <w:rFonts w:ascii="Times New Roman" w:hAnsi="Times New Roman" w:cs="Times New Roman"/>
          <w:color w:val="000000" w:themeColor="text1"/>
          <w:sz w:val="24"/>
        </w:rPr>
        <w:t>within the</w:t>
      </w:r>
      <w:r w:rsidRPr="00D351D7">
        <w:rPr>
          <w:rFonts w:ascii="Times New Roman" w:hAnsi="Times New Roman" w:cs="Times New Roman"/>
          <w:color w:val="000000" w:themeColor="text1"/>
          <w:sz w:val="24"/>
        </w:rPr>
        <w:t xml:space="preserve"> identified </w:t>
      </w:r>
      <w:r w:rsidR="00D351D7" w:rsidRPr="00D351D7">
        <w:rPr>
          <w:rFonts w:ascii="Times New Roman" w:hAnsi="Times New Roman" w:cs="Times New Roman"/>
          <w:color w:val="000000" w:themeColor="text1"/>
          <w:sz w:val="24"/>
        </w:rPr>
        <w:t xml:space="preserve">markets </w:t>
      </w:r>
      <w:r w:rsidRPr="00D351D7">
        <w:rPr>
          <w:rFonts w:ascii="Times New Roman" w:hAnsi="Times New Roman" w:cs="Times New Roman"/>
          <w:color w:val="000000" w:themeColor="text1"/>
          <w:sz w:val="24"/>
        </w:rPr>
        <w:t>are material and demonstrable.</w:t>
      </w:r>
      <w:r w:rsidR="009469FF" w:rsidRPr="00D351D7">
        <w:rPr>
          <w:rFonts w:ascii="Times New Roman" w:hAnsi="Times New Roman" w:cs="Times New Roman"/>
          <w:color w:val="000000" w:themeColor="text1"/>
          <w:sz w:val="24"/>
        </w:rPr>
        <w:t xml:space="preserve"> </w:t>
      </w:r>
      <w:r w:rsidRPr="00D351D7">
        <w:rPr>
          <w:rFonts w:ascii="Times New Roman" w:hAnsi="Times New Roman" w:cs="Times New Roman"/>
          <w:color w:val="000000" w:themeColor="text1"/>
          <w:sz w:val="24"/>
        </w:rPr>
        <w:t xml:space="preserve">In the banking and financial services market, the potential for anti-competitive conduct is </w:t>
      </w:r>
      <w:r w:rsidR="006174D3" w:rsidRPr="00D351D7">
        <w:rPr>
          <w:rFonts w:ascii="Times New Roman" w:hAnsi="Times New Roman" w:cs="Times New Roman"/>
          <w:color w:val="000000" w:themeColor="text1"/>
          <w:sz w:val="24"/>
        </w:rPr>
        <w:t xml:space="preserve">significant, and recent conduct indicates that this risk is real and material. </w:t>
      </w:r>
    </w:p>
    <w:p w:rsidR="00950B40" w:rsidRPr="004C5128" w:rsidRDefault="009851DD" w:rsidP="00CB7501">
      <w:pPr>
        <w:jc w:val="both"/>
        <w:rPr>
          <w:rFonts w:ascii="Times New Roman" w:hAnsi="Times New Roman" w:cs="Times New Roman"/>
          <w:color w:val="000000" w:themeColor="text1"/>
          <w:sz w:val="24"/>
        </w:rPr>
      </w:pPr>
      <w:r w:rsidRPr="009851DD">
        <w:rPr>
          <w:rFonts w:ascii="Times New Roman" w:hAnsi="Times New Roman" w:cs="Times New Roman"/>
          <w:color w:val="000000" w:themeColor="text1"/>
          <w:sz w:val="24"/>
        </w:rPr>
        <w:t xml:space="preserve">Moreover, the size of this sector </w:t>
      </w:r>
      <w:r w:rsidR="00764FBB">
        <w:rPr>
          <w:rFonts w:ascii="Times New Roman" w:hAnsi="Times New Roman" w:cs="Times New Roman"/>
          <w:color w:val="000000" w:themeColor="text1"/>
          <w:sz w:val="24"/>
        </w:rPr>
        <w:t>increases</w:t>
      </w:r>
      <w:r w:rsidRPr="009851DD">
        <w:rPr>
          <w:rFonts w:ascii="Times New Roman" w:hAnsi="Times New Roman" w:cs="Times New Roman"/>
          <w:color w:val="000000" w:themeColor="text1"/>
          <w:sz w:val="24"/>
        </w:rPr>
        <w:t xml:space="preserve"> the level of risk to consumers and the economy, </w:t>
      </w:r>
      <w:r w:rsidR="007444A3" w:rsidRPr="009851DD">
        <w:rPr>
          <w:rFonts w:ascii="Times New Roman" w:hAnsi="Times New Roman" w:cs="Times New Roman"/>
          <w:color w:val="000000" w:themeColor="text1"/>
          <w:sz w:val="24"/>
          <w:szCs w:val="24"/>
        </w:rPr>
        <w:t xml:space="preserve">with the sector accounting for 9% of GDP in 2016-17, or $149 billion </w:t>
      </w:r>
      <w:r w:rsidR="007444A3" w:rsidRPr="009851DD">
        <w:rPr>
          <w:rFonts w:ascii="Times New Roman" w:hAnsi="Times New Roman" w:cs="Times New Roman"/>
          <w:noProof/>
          <w:color w:val="000000" w:themeColor="text1"/>
          <w:sz w:val="24"/>
          <w:szCs w:val="24"/>
        </w:rPr>
        <w:t>(PC 2018, p. 57)</w:t>
      </w:r>
      <w:r w:rsidR="007444A3" w:rsidRPr="009851DD">
        <w:rPr>
          <w:rFonts w:ascii="Times New Roman" w:hAnsi="Times New Roman" w:cs="Times New Roman"/>
          <w:color w:val="000000" w:themeColor="text1"/>
          <w:sz w:val="24"/>
          <w:szCs w:val="24"/>
        </w:rPr>
        <w:t xml:space="preserve">. </w:t>
      </w:r>
      <w:r w:rsidR="00655063" w:rsidRPr="009851DD">
        <w:rPr>
          <w:rFonts w:ascii="Times New Roman" w:hAnsi="Times New Roman" w:cs="Times New Roman"/>
          <w:color w:val="000000" w:themeColor="text1"/>
          <w:sz w:val="24"/>
          <w:szCs w:val="24"/>
        </w:rPr>
        <w:t xml:space="preserve">The size of the </w:t>
      </w:r>
      <w:r w:rsidR="00655063" w:rsidRPr="004C5128">
        <w:rPr>
          <w:rFonts w:ascii="Times New Roman" w:hAnsi="Times New Roman" w:cs="Times New Roman"/>
          <w:color w:val="000000" w:themeColor="text1"/>
          <w:sz w:val="24"/>
          <w:szCs w:val="24"/>
        </w:rPr>
        <w:t xml:space="preserve">sector means, that as with the telecommunications and energy sectors that the potential implications of anti-competitive conduct are significant and will result in material detriment to consumers. </w:t>
      </w:r>
    </w:p>
    <w:p w:rsidR="00903796" w:rsidRPr="00F44622" w:rsidRDefault="00655063" w:rsidP="00F44622">
      <w:pPr>
        <w:jc w:val="both"/>
        <w:rPr>
          <w:rFonts w:ascii="Times New Roman" w:hAnsi="Times New Roman" w:cs="Times New Roman"/>
          <w:color w:val="000000" w:themeColor="text1"/>
          <w:sz w:val="24"/>
          <w:szCs w:val="24"/>
        </w:rPr>
      </w:pPr>
      <w:r w:rsidRPr="004C5128">
        <w:rPr>
          <w:rFonts w:ascii="Times New Roman" w:hAnsi="Times New Roman" w:cs="Times New Roman"/>
          <w:color w:val="000000" w:themeColor="text1"/>
          <w:sz w:val="24"/>
          <w:szCs w:val="24"/>
        </w:rPr>
        <w:t>In the light of recent misconduct by major financial institutions in Australia, reflected both in the Royal Commission into Misconduct in the Banking, Superannuation and Financial Services Industry, and in recent court action and settlements for fixing</w:t>
      </w:r>
      <w:r w:rsidR="00BE0DCE" w:rsidRPr="004C5128">
        <w:rPr>
          <w:rFonts w:ascii="Times New Roman" w:hAnsi="Times New Roman" w:cs="Times New Roman"/>
          <w:color w:val="000000" w:themeColor="text1"/>
          <w:sz w:val="24"/>
          <w:szCs w:val="24"/>
        </w:rPr>
        <w:t xml:space="preserve"> systemically important</w:t>
      </w:r>
      <w:r w:rsidRPr="004C5128">
        <w:rPr>
          <w:rFonts w:ascii="Times New Roman" w:hAnsi="Times New Roman" w:cs="Times New Roman"/>
          <w:color w:val="000000" w:themeColor="text1"/>
          <w:sz w:val="24"/>
          <w:szCs w:val="24"/>
        </w:rPr>
        <w:t xml:space="preserve"> interest rates in key wholesale </w:t>
      </w:r>
      <w:r w:rsidR="000A647B" w:rsidRPr="004C5128">
        <w:rPr>
          <w:rFonts w:ascii="Times New Roman" w:hAnsi="Times New Roman" w:cs="Times New Roman"/>
          <w:color w:val="000000" w:themeColor="text1"/>
          <w:sz w:val="24"/>
          <w:szCs w:val="24"/>
        </w:rPr>
        <w:t>markets,</w:t>
      </w:r>
      <w:r w:rsidR="008E15BA" w:rsidRPr="004C5128">
        <w:rPr>
          <w:rFonts w:ascii="Times New Roman" w:hAnsi="Times New Roman" w:cs="Times New Roman"/>
          <w:color w:val="000000" w:themeColor="text1"/>
          <w:sz w:val="24"/>
          <w:szCs w:val="24"/>
        </w:rPr>
        <w:t xml:space="preserve"> it is clear that there is continued risk of misconduct. </w:t>
      </w:r>
      <w:r w:rsidR="00481D83" w:rsidRPr="004C5128">
        <w:rPr>
          <w:rFonts w:ascii="Times New Roman" w:hAnsi="Times New Roman" w:cs="Times New Roman"/>
          <w:color w:val="000000" w:themeColor="text1"/>
          <w:sz w:val="24"/>
          <w:szCs w:val="24"/>
        </w:rPr>
        <w:t xml:space="preserve">There is accordingly the need for serious consideration of the potential for </w:t>
      </w:r>
      <w:r w:rsidR="004C5128" w:rsidRPr="004C5128">
        <w:rPr>
          <w:rFonts w:ascii="Times New Roman" w:hAnsi="Times New Roman" w:cs="Times New Roman"/>
          <w:color w:val="000000" w:themeColor="text1"/>
          <w:sz w:val="24"/>
          <w:szCs w:val="24"/>
        </w:rPr>
        <w:t>misconduct, and what policy measures may be put in place to mitigate these risks.</w:t>
      </w:r>
    </w:p>
    <w:p w:rsidR="00651CF6" w:rsidRDefault="00651CF6" w:rsidP="00651CF6">
      <w:pPr>
        <w:keepNext/>
        <w:keepLines/>
        <w:pageBreakBefore/>
        <w:suppressAutoHyphens/>
        <w:spacing w:before="28" w:after="0" w:line="240" w:lineRule="auto"/>
        <w:jc w:val="both"/>
        <w:outlineLvl w:val="0"/>
        <w:rPr>
          <w:rFonts w:ascii="Calibri" w:eastAsia="Arial Unicode MS" w:hAnsi="Calibri" w:cs="font331"/>
          <w:bCs/>
          <w:kern w:val="1"/>
          <w:sz w:val="44"/>
          <w:szCs w:val="28"/>
          <w:lang w:val="en-IE" w:eastAsia="hi-IN" w:bidi="hi-IN"/>
        </w:rPr>
      </w:pPr>
      <w:bookmarkStart w:id="7" w:name="_Toc524350292"/>
      <w:r>
        <w:rPr>
          <w:rFonts w:ascii="Calibri" w:eastAsia="Arial Unicode MS" w:hAnsi="Calibri" w:cs="font331"/>
          <w:bCs/>
          <w:kern w:val="1"/>
          <w:sz w:val="44"/>
          <w:szCs w:val="28"/>
          <w:lang w:val="en-IE" w:eastAsia="hi-IN" w:bidi="hi-IN"/>
        </w:rPr>
        <w:lastRenderedPageBreak/>
        <w:t xml:space="preserve">Questions </w:t>
      </w:r>
      <w:proofErr w:type="gramStart"/>
      <w:r>
        <w:rPr>
          <w:rFonts w:ascii="Calibri" w:eastAsia="Arial Unicode MS" w:hAnsi="Calibri" w:cs="font331"/>
          <w:bCs/>
          <w:kern w:val="1"/>
          <w:sz w:val="44"/>
          <w:szCs w:val="28"/>
          <w:lang w:val="en-IE" w:eastAsia="hi-IN" w:bidi="hi-IN"/>
        </w:rPr>
        <w:t>raised</w:t>
      </w:r>
      <w:proofErr w:type="gramEnd"/>
      <w:r>
        <w:rPr>
          <w:rFonts w:ascii="Calibri" w:eastAsia="Arial Unicode MS" w:hAnsi="Calibri" w:cs="font331"/>
          <w:bCs/>
          <w:kern w:val="1"/>
          <w:sz w:val="44"/>
          <w:szCs w:val="28"/>
          <w:lang w:val="en-IE" w:eastAsia="hi-IN" w:bidi="hi-IN"/>
        </w:rPr>
        <w:t xml:space="preserve"> at roundtables</w:t>
      </w:r>
      <w:bookmarkEnd w:id="7"/>
    </w:p>
    <w:p w:rsidR="00651CF6" w:rsidRDefault="00651CF6" w:rsidP="00651CF6">
      <w:pPr>
        <w:rPr>
          <w:rFonts w:ascii="Times New Roman" w:hAnsi="Times New Roman" w:cs="Times New Roman"/>
          <w:color w:val="000000" w:themeColor="text1"/>
          <w:sz w:val="24"/>
          <w:szCs w:val="24"/>
          <w:lang w:val="en-IE" w:eastAsia="hi-IN" w:bidi="hi-IN"/>
        </w:rPr>
      </w:pPr>
    </w:p>
    <w:p w:rsidR="00651CF6" w:rsidRDefault="00651CF6" w:rsidP="00651CF6">
      <w:pPr>
        <w:rPr>
          <w:rFonts w:ascii="Times New Roman" w:hAnsi="Times New Roman" w:cs="Times New Roman"/>
          <w:color w:val="000000" w:themeColor="text1"/>
          <w:sz w:val="24"/>
          <w:szCs w:val="24"/>
          <w:lang w:val="en-IE" w:eastAsia="hi-IN" w:bidi="hi-IN"/>
        </w:rPr>
      </w:pPr>
      <w:proofErr w:type="gramStart"/>
      <w:r>
        <w:rPr>
          <w:rFonts w:ascii="Times New Roman" w:hAnsi="Times New Roman" w:cs="Times New Roman"/>
          <w:color w:val="000000" w:themeColor="text1"/>
          <w:sz w:val="24"/>
          <w:szCs w:val="24"/>
          <w:lang w:val="en-IE" w:eastAsia="hi-IN" w:bidi="hi-IN"/>
        </w:rPr>
        <w:t>To the extent that these questions are not addressed in the above material.</w:t>
      </w:r>
      <w:proofErr w:type="gramEnd"/>
      <w:r>
        <w:rPr>
          <w:rFonts w:ascii="Times New Roman" w:hAnsi="Times New Roman" w:cs="Times New Roman"/>
          <w:color w:val="000000" w:themeColor="text1"/>
          <w:sz w:val="24"/>
          <w:szCs w:val="24"/>
          <w:lang w:val="en-IE" w:eastAsia="hi-IN" w:bidi="hi-IN"/>
        </w:rPr>
        <w:t xml:space="preserve"> </w:t>
      </w:r>
    </w:p>
    <w:p w:rsidR="00651CF6" w:rsidRPr="00572F1C" w:rsidRDefault="00651CF6" w:rsidP="00651CF6">
      <w:pPr>
        <w:spacing w:before="100" w:beforeAutospacing="1" w:after="100" w:afterAutospacing="1"/>
        <w:jc w:val="both"/>
        <w:rPr>
          <w:rFonts w:ascii="Arial" w:eastAsiaTheme="minorEastAsia" w:hAnsi="Arial" w:cs="Arial"/>
          <w:color w:val="000000" w:themeColor="text1"/>
          <w:sz w:val="28"/>
          <w:szCs w:val="28"/>
          <w:lang w:val="en-AU" w:eastAsia="en-AU"/>
        </w:rPr>
      </w:pPr>
      <w:r w:rsidRPr="00572F1C">
        <w:rPr>
          <w:rFonts w:ascii="Arial" w:eastAsiaTheme="minorEastAsia" w:hAnsi="Arial" w:cs="Arial"/>
          <w:color w:val="000000" w:themeColor="text1"/>
          <w:sz w:val="28"/>
          <w:szCs w:val="28"/>
          <w:lang w:val="en-AU" w:eastAsia="en-AU"/>
        </w:rPr>
        <w:t>Defining data</w:t>
      </w:r>
    </w:p>
    <w:p w:rsidR="00651CF6" w:rsidRDefault="00651CF6" w:rsidP="00651CF6">
      <w:pPr>
        <w:jc w:val="both"/>
        <w:rPr>
          <w:rFonts w:ascii="Times New Roman" w:hAnsi="Times New Roman" w:cs="Times New Roman"/>
          <w:color w:val="000000" w:themeColor="text1"/>
          <w:sz w:val="24"/>
          <w:szCs w:val="24"/>
          <w:lang w:val="en-IE" w:eastAsia="hi-IN" w:bidi="hi-IN"/>
        </w:rPr>
      </w:pPr>
      <w:r>
        <w:rPr>
          <w:rFonts w:ascii="Times New Roman" w:hAnsi="Times New Roman" w:cs="Times New Roman"/>
          <w:color w:val="000000" w:themeColor="text1"/>
          <w:sz w:val="24"/>
          <w:szCs w:val="24"/>
          <w:lang w:val="en-IE" w:eastAsia="hi-IN" w:bidi="hi-IN"/>
        </w:rPr>
        <w:t xml:space="preserve">The drafting of </w:t>
      </w:r>
      <w:proofErr w:type="gramStart"/>
      <w:r>
        <w:rPr>
          <w:rFonts w:ascii="Times New Roman" w:hAnsi="Times New Roman" w:cs="Times New Roman"/>
          <w:color w:val="000000" w:themeColor="text1"/>
          <w:sz w:val="24"/>
          <w:szCs w:val="24"/>
          <w:lang w:val="en-IE" w:eastAsia="hi-IN" w:bidi="hi-IN"/>
        </w:rPr>
        <w:t>s56AF(</w:t>
      </w:r>
      <w:proofErr w:type="gramEnd"/>
      <w:r>
        <w:rPr>
          <w:rFonts w:ascii="Times New Roman" w:hAnsi="Times New Roman" w:cs="Times New Roman"/>
          <w:color w:val="000000" w:themeColor="text1"/>
          <w:sz w:val="24"/>
          <w:szCs w:val="24"/>
          <w:lang w:val="en-IE" w:eastAsia="hi-IN" w:bidi="hi-IN"/>
        </w:rPr>
        <w:t xml:space="preserve">1) should be further refined to </w:t>
      </w:r>
      <w:r w:rsidR="000C6F20">
        <w:rPr>
          <w:rFonts w:ascii="Times New Roman" w:hAnsi="Times New Roman" w:cs="Times New Roman"/>
          <w:color w:val="000000" w:themeColor="text1"/>
          <w:sz w:val="24"/>
          <w:szCs w:val="24"/>
          <w:lang w:val="en-IE" w:eastAsia="hi-IN" w:bidi="hi-IN"/>
        </w:rPr>
        <w:t xml:space="preserve">ensure the coverage of a variety of categories of data, noting that the scope of application of the CDR can be narrowed further through the rule making process. ACCAN believes that it is important to </w:t>
      </w:r>
      <w:r>
        <w:rPr>
          <w:rFonts w:ascii="Times New Roman" w:hAnsi="Times New Roman" w:cs="Times New Roman"/>
          <w:color w:val="000000" w:themeColor="text1"/>
          <w:sz w:val="24"/>
          <w:szCs w:val="24"/>
          <w:lang w:val="en-IE" w:eastAsia="hi-IN" w:bidi="hi-IN"/>
        </w:rPr>
        <w:t xml:space="preserve">provide broad powers to the ACCC and ensure that </w:t>
      </w:r>
      <w:r w:rsidR="00764FBB">
        <w:rPr>
          <w:rFonts w:ascii="Times New Roman" w:hAnsi="Times New Roman" w:cs="Times New Roman"/>
          <w:color w:val="000000" w:themeColor="text1"/>
          <w:sz w:val="24"/>
          <w:szCs w:val="24"/>
          <w:lang w:val="en-IE" w:eastAsia="hi-IN" w:bidi="hi-IN"/>
        </w:rPr>
        <w:t>it has</w:t>
      </w:r>
      <w:r w:rsidR="000C6F20">
        <w:rPr>
          <w:rFonts w:ascii="Times New Roman" w:hAnsi="Times New Roman" w:cs="Times New Roman"/>
          <w:color w:val="000000" w:themeColor="text1"/>
          <w:sz w:val="24"/>
          <w:szCs w:val="24"/>
          <w:lang w:val="en-IE" w:eastAsia="hi-IN" w:bidi="hi-IN"/>
        </w:rPr>
        <w:t xml:space="preserve"> the ability to make rules to cover a variety of potential contingencies. </w:t>
      </w:r>
    </w:p>
    <w:p w:rsidR="00651CF6" w:rsidRDefault="003343CA" w:rsidP="00651CF6">
      <w:pPr>
        <w:jc w:val="both"/>
        <w:rPr>
          <w:rFonts w:ascii="Times New Roman" w:hAnsi="Times New Roman" w:cs="Times New Roman"/>
          <w:color w:val="000000" w:themeColor="text1"/>
          <w:sz w:val="24"/>
          <w:szCs w:val="24"/>
          <w:lang w:val="en-IE" w:eastAsia="hi-IN" w:bidi="hi-IN"/>
        </w:rPr>
      </w:pPr>
      <w:r>
        <w:rPr>
          <w:rFonts w:ascii="Times New Roman" w:hAnsi="Times New Roman" w:cs="Times New Roman"/>
          <w:color w:val="000000" w:themeColor="text1"/>
          <w:sz w:val="24"/>
          <w:szCs w:val="24"/>
          <w:lang w:val="en-IE" w:eastAsia="hi-IN" w:bidi="hi-IN"/>
        </w:rPr>
        <w:t>The scope of application of the privacy safeguards should be broad, to ensure that consumers have appropriate privacy protections and an incentive to engage with the CDR framework. Clear processes should be set out for exempting entities or categories of data from protection, with the basis for doing</w:t>
      </w:r>
      <w:r w:rsidR="00764FBB">
        <w:rPr>
          <w:rFonts w:ascii="Times New Roman" w:hAnsi="Times New Roman" w:cs="Times New Roman"/>
          <w:color w:val="000000" w:themeColor="text1"/>
          <w:sz w:val="24"/>
          <w:szCs w:val="24"/>
          <w:lang w:val="en-IE" w:eastAsia="hi-IN" w:bidi="hi-IN"/>
        </w:rPr>
        <w:t xml:space="preserve"> so</w:t>
      </w:r>
      <w:r>
        <w:rPr>
          <w:rFonts w:ascii="Times New Roman" w:hAnsi="Times New Roman" w:cs="Times New Roman"/>
          <w:color w:val="000000" w:themeColor="text1"/>
          <w:sz w:val="24"/>
          <w:szCs w:val="24"/>
          <w:lang w:val="en-IE" w:eastAsia="hi-IN" w:bidi="hi-IN"/>
        </w:rPr>
        <w:t xml:space="preserve"> outlined in a public and rigorous regulatory impact assessment.  </w:t>
      </w:r>
    </w:p>
    <w:p w:rsidR="00651CF6" w:rsidRPr="00572F1C" w:rsidRDefault="00651CF6" w:rsidP="00651CF6">
      <w:pPr>
        <w:jc w:val="both"/>
        <w:rPr>
          <w:rFonts w:ascii="Times New Roman" w:hAnsi="Times New Roman" w:cs="Times New Roman"/>
          <w:color w:val="000000" w:themeColor="text1"/>
          <w:sz w:val="24"/>
          <w:szCs w:val="24"/>
          <w:lang w:val="en-IE" w:eastAsia="hi-IN" w:bidi="hi-IN"/>
        </w:rPr>
      </w:pPr>
      <w:r>
        <w:rPr>
          <w:rFonts w:ascii="Times New Roman" w:hAnsi="Times New Roman" w:cs="Times New Roman"/>
          <w:color w:val="000000" w:themeColor="text1"/>
          <w:sz w:val="24"/>
          <w:szCs w:val="24"/>
          <w:lang w:val="en-IE" w:eastAsia="hi-IN" w:bidi="hi-IN"/>
        </w:rPr>
        <w:t xml:space="preserve">ACCAN believes that further refinements must be made to the definition of derived data to ensure that it adequately encapsulates all data that is derived, that pertains to consumers. A broad definition of derived data is preferable, as further refinements may be made to the scope of the data under the regulation making process, whereas an unduly restrictive definition within the legislation would preclude further refinements. </w:t>
      </w:r>
    </w:p>
    <w:p w:rsidR="00651CF6" w:rsidRDefault="00651CF6" w:rsidP="00651CF6">
      <w:pPr>
        <w:spacing w:before="100" w:beforeAutospacing="1" w:after="100" w:afterAutospacing="1"/>
        <w:jc w:val="both"/>
        <w:rPr>
          <w:rFonts w:ascii="Arial" w:eastAsiaTheme="minorEastAsia" w:hAnsi="Arial" w:cs="Arial"/>
          <w:color w:val="000000" w:themeColor="text1"/>
          <w:sz w:val="28"/>
          <w:szCs w:val="28"/>
          <w:lang w:val="en-AU" w:eastAsia="en-AU"/>
        </w:rPr>
      </w:pPr>
      <w:r>
        <w:rPr>
          <w:rFonts w:ascii="Arial" w:eastAsiaTheme="minorEastAsia" w:hAnsi="Arial" w:cs="Arial"/>
          <w:color w:val="000000" w:themeColor="text1"/>
          <w:sz w:val="28"/>
          <w:szCs w:val="28"/>
          <w:lang w:val="en-AU" w:eastAsia="en-AU"/>
        </w:rPr>
        <w:t>Class actions</w:t>
      </w:r>
    </w:p>
    <w:p w:rsidR="00651CF6" w:rsidRDefault="00651CF6" w:rsidP="00651CF6">
      <w:pPr>
        <w:spacing w:before="100" w:beforeAutospacing="1" w:after="100" w:afterAutospacing="1"/>
        <w:jc w:val="both"/>
        <w:rPr>
          <w:rFonts w:ascii="Times New Roman" w:eastAsiaTheme="minorEastAsia" w:hAnsi="Times New Roman" w:cs="Times New Roman"/>
          <w:color w:val="000000" w:themeColor="text1"/>
          <w:sz w:val="24"/>
          <w:szCs w:val="28"/>
          <w:lang w:val="en-AU" w:eastAsia="en-AU"/>
        </w:rPr>
      </w:pPr>
      <w:r w:rsidRPr="00037AB7">
        <w:rPr>
          <w:rFonts w:ascii="Times New Roman" w:eastAsiaTheme="minorEastAsia" w:hAnsi="Times New Roman" w:cs="Times New Roman"/>
          <w:color w:val="000000" w:themeColor="text1"/>
          <w:sz w:val="24"/>
          <w:szCs w:val="28"/>
          <w:lang w:val="en-AU" w:eastAsia="en-AU"/>
        </w:rPr>
        <w:t xml:space="preserve">The current drafting </w:t>
      </w:r>
      <w:r>
        <w:rPr>
          <w:rFonts w:ascii="Times New Roman" w:eastAsiaTheme="minorEastAsia" w:hAnsi="Times New Roman" w:cs="Times New Roman"/>
          <w:color w:val="000000" w:themeColor="text1"/>
          <w:sz w:val="24"/>
          <w:szCs w:val="28"/>
          <w:lang w:val="en-AU" w:eastAsia="en-AU"/>
        </w:rPr>
        <w:t>of provisions</w:t>
      </w:r>
      <w:r w:rsidRPr="00037AB7">
        <w:rPr>
          <w:rFonts w:ascii="Times New Roman" w:eastAsiaTheme="minorEastAsia" w:hAnsi="Times New Roman" w:cs="Times New Roman"/>
          <w:color w:val="000000" w:themeColor="text1"/>
          <w:sz w:val="24"/>
          <w:szCs w:val="28"/>
          <w:lang w:val="en-AU" w:eastAsia="en-AU"/>
        </w:rPr>
        <w:t xml:space="preserve"> do not appear to be class action friendly</w:t>
      </w:r>
      <w:r>
        <w:rPr>
          <w:rFonts w:ascii="Times New Roman" w:eastAsiaTheme="minorEastAsia" w:hAnsi="Times New Roman" w:cs="Times New Roman"/>
          <w:color w:val="000000" w:themeColor="text1"/>
          <w:sz w:val="24"/>
          <w:szCs w:val="28"/>
          <w:lang w:val="en-AU" w:eastAsia="en-AU"/>
        </w:rPr>
        <w:t>, when read in the context of the relevant division.</w:t>
      </w:r>
      <w:r w:rsidRPr="00E575ED">
        <w:rPr>
          <w:rStyle w:val="FootnoteReference"/>
        </w:rPr>
        <w:footnoteReference w:id="5"/>
      </w:r>
      <w:r>
        <w:rPr>
          <w:rFonts w:ascii="Times New Roman" w:eastAsiaTheme="minorEastAsia" w:hAnsi="Times New Roman" w:cs="Times New Roman"/>
          <w:color w:val="000000" w:themeColor="text1"/>
          <w:sz w:val="24"/>
          <w:szCs w:val="28"/>
          <w:lang w:val="en-AU" w:eastAsia="en-AU"/>
        </w:rPr>
        <w:t xml:space="preserve"> Although, the individual text of the provisions is appropriate when read individually, the interaction of s82, with the jurisdictional limitations set out in s86AA may preclude a class of applicants obtaining damages in excess of $750,000, noting that the current drafting of s86AA is ambiguous as to whether regulation may operate to set a higher cap.</w:t>
      </w:r>
    </w:p>
    <w:p w:rsidR="00651CF6" w:rsidRDefault="00651CF6" w:rsidP="00651CF6">
      <w:pPr>
        <w:spacing w:before="100" w:beforeAutospacing="1" w:after="100" w:afterAutospacing="1"/>
        <w:jc w:val="both"/>
        <w:rPr>
          <w:rFonts w:ascii="Times New Roman" w:eastAsiaTheme="minorEastAsia" w:hAnsi="Times New Roman" w:cs="Times New Roman"/>
          <w:color w:val="000000" w:themeColor="text1"/>
          <w:sz w:val="24"/>
          <w:szCs w:val="28"/>
          <w:lang w:val="en-AU" w:eastAsia="en-AU"/>
        </w:rPr>
      </w:pPr>
      <w:r w:rsidRPr="00DD0AEA">
        <w:rPr>
          <w:rFonts w:ascii="Calibri" w:eastAsiaTheme="minorEastAsia" w:hAnsi="Calibri"/>
          <w:noProof/>
          <w:color w:val="000000" w:themeColor="text1"/>
          <w:sz w:val="24"/>
        </w:rPr>
        <mc:AlternateContent>
          <mc:Choice Requires="wps">
            <w:drawing>
              <wp:anchor distT="0" distB="0" distL="114300" distR="114300" simplePos="0" relativeHeight="251729920" behindDoc="0" locked="0" layoutInCell="1" allowOverlap="1" wp14:anchorId="2E181270" wp14:editId="6C883152">
                <wp:simplePos x="0" y="0"/>
                <wp:positionH relativeFrom="column">
                  <wp:posOffset>0</wp:posOffset>
                </wp:positionH>
                <wp:positionV relativeFrom="paragraph">
                  <wp:posOffset>-2451</wp:posOffset>
                </wp:positionV>
                <wp:extent cx="5720080" cy="888643"/>
                <wp:effectExtent l="0" t="0" r="7620" b="13335"/>
                <wp:wrapNone/>
                <wp:docPr id="24" name="Text Box 24"/>
                <wp:cNvGraphicFramePr/>
                <a:graphic xmlns:a="http://schemas.openxmlformats.org/drawingml/2006/main">
                  <a:graphicData uri="http://schemas.microsoft.com/office/word/2010/wordprocessingShape">
                    <wps:wsp>
                      <wps:cNvSpPr txBox="1"/>
                      <wps:spPr>
                        <a:xfrm>
                          <a:off x="0" y="0"/>
                          <a:ext cx="5720080" cy="888643"/>
                        </a:xfrm>
                        <a:prstGeom prst="rect">
                          <a:avLst/>
                        </a:prstGeom>
                        <a:solidFill>
                          <a:sysClr val="window" lastClr="FFFFFF"/>
                        </a:solidFill>
                        <a:ln w="6350">
                          <a:solidFill>
                            <a:srgbClr val="00B0F0"/>
                          </a:solidFill>
                        </a:ln>
                      </wps:spPr>
                      <wps:txbx>
                        <w:txbxContent>
                          <w:p w:rsidR="00DD5468" w:rsidRPr="00C35DED" w:rsidRDefault="00DD5468" w:rsidP="00651CF6">
                            <w:pPr>
                              <w:rPr>
                                <w:rFonts w:ascii="Times New Roman" w:hAnsi="Times New Roman" w:cs="Times New Roman"/>
                                <w:b/>
                              </w:rPr>
                            </w:pPr>
                            <w:r w:rsidRPr="00C35DED">
                              <w:rPr>
                                <w:rFonts w:ascii="Times New Roman" w:hAnsi="Times New Roman" w:cs="Times New Roman"/>
                                <w:b/>
                              </w:rPr>
                              <w:t>Recommendation 1</w:t>
                            </w:r>
                            <w:r>
                              <w:rPr>
                                <w:rFonts w:ascii="Times New Roman" w:hAnsi="Times New Roman" w:cs="Times New Roman"/>
                                <w:b/>
                              </w:rPr>
                              <w:t>8</w:t>
                            </w:r>
                          </w:p>
                          <w:p w:rsidR="00DD5468" w:rsidRPr="00C35DED" w:rsidRDefault="00DD5468" w:rsidP="00651CF6">
                            <w:pPr>
                              <w:jc w:val="both"/>
                              <w:rPr>
                                <w:rFonts w:ascii="Times New Roman" w:hAnsi="Times New Roman" w:cs="Times New Roman"/>
                              </w:rPr>
                            </w:pPr>
                            <w:r w:rsidRPr="00C35DED">
                              <w:rPr>
                                <w:rFonts w:ascii="Times New Roman" w:hAnsi="Times New Roman" w:cs="Times New Roman"/>
                                <w:i/>
                              </w:rPr>
                              <w:t xml:space="preserve">That Treasury </w:t>
                            </w:r>
                            <w:proofErr w:type="gramStart"/>
                            <w:r w:rsidRPr="00C35DED">
                              <w:rPr>
                                <w:rFonts w:ascii="Times New Roman" w:hAnsi="Times New Roman" w:cs="Times New Roman"/>
                                <w:i/>
                              </w:rPr>
                              <w:t>amend</w:t>
                            </w:r>
                            <w:proofErr w:type="gramEnd"/>
                            <w:r w:rsidRPr="00C35DED">
                              <w:rPr>
                                <w:rFonts w:ascii="Times New Roman" w:hAnsi="Times New Roman" w:cs="Times New Roman"/>
                                <w:i/>
                              </w:rPr>
                              <w:t xml:space="preserve"> the </w:t>
                            </w:r>
                            <w:r w:rsidRPr="00C35DED">
                              <w:rPr>
                                <w:rFonts w:ascii="Times New Roman" w:hAnsi="Times New Roman" w:cs="Times New Roman"/>
                                <w:i/>
                                <w:sz w:val="24"/>
                                <w:szCs w:val="24"/>
                                <w:lang w:val="en-AU"/>
                              </w:rPr>
                              <w:t xml:space="preserve">Treasury Laws Amendment (Consumer Data Right) Bill 2018 to facilitate the initiation of class actions, by removing any potential cap on damages.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61" type="#_x0000_t202" style="position:absolute;left:0;text-align:left;margin-left:0;margin-top:-.2pt;width:450.4pt;height:69.9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" fillcolor="window" strokecolor="#00b0f0" strokeweight=".5pt">
                <v:textbox>
                  <w:txbxContent>
                    <w:p w:rsidR="00DD5468" w:rsidRPr="00C35DED" w:rsidRDefault="00DD5468" w:rsidP="00651CF6">
                      <w:pPr>
                        <w:rPr>
                          <w:rFonts w:ascii="Times New Roman" w:hAnsi="Times New Roman" w:cs="Times New Roman"/>
                          <w:b/>
                        </w:rPr>
                      </w:pPr>
                      <w:r w:rsidRPr="00C35DED">
                        <w:rPr>
                          <w:rFonts w:ascii="Times New Roman" w:hAnsi="Times New Roman" w:cs="Times New Roman"/>
                          <w:b/>
                        </w:rPr>
                        <w:t>Recommendation 1</w:t>
                      </w:r>
                      <w:r>
                        <w:rPr>
                          <w:rFonts w:ascii="Times New Roman" w:hAnsi="Times New Roman" w:cs="Times New Roman"/>
                          <w:b/>
                        </w:rPr>
                        <w:t>8</w:t>
                      </w:r>
                    </w:p>
                    <w:p w:rsidR="00DD5468" w:rsidRPr="00C35DED" w:rsidRDefault="00DD5468" w:rsidP="00651CF6">
                      <w:pPr>
                        <w:jc w:val="both"/>
                        <w:rPr>
                          <w:rFonts w:ascii="Times New Roman" w:hAnsi="Times New Roman" w:cs="Times New Roman"/>
                        </w:rPr>
                      </w:pPr>
                      <w:r w:rsidRPr="00C35DED">
                        <w:rPr>
                          <w:rFonts w:ascii="Times New Roman" w:hAnsi="Times New Roman" w:cs="Times New Roman"/>
                          <w:i/>
                        </w:rPr>
                        <w:t xml:space="preserve">That Treasury </w:t>
                      </w:r>
                      <w:proofErr w:type="gramStart"/>
                      <w:r w:rsidRPr="00C35DED">
                        <w:rPr>
                          <w:rFonts w:ascii="Times New Roman" w:hAnsi="Times New Roman" w:cs="Times New Roman"/>
                          <w:i/>
                        </w:rPr>
                        <w:t>amend</w:t>
                      </w:r>
                      <w:proofErr w:type="gramEnd"/>
                      <w:r w:rsidRPr="00C35DED">
                        <w:rPr>
                          <w:rFonts w:ascii="Times New Roman" w:hAnsi="Times New Roman" w:cs="Times New Roman"/>
                          <w:i/>
                        </w:rPr>
                        <w:t xml:space="preserve"> the </w:t>
                      </w:r>
                      <w:r w:rsidRPr="00C35DED">
                        <w:rPr>
                          <w:rFonts w:ascii="Times New Roman" w:hAnsi="Times New Roman" w:cs="Times New Roman"/>
                          <w:i/>
                          <w:sz w:val="24"/>
                          <w:szCs w:val="24"/>
                          <w:lang w:val="en-AU"/>
                        </w:rPr>
                        <w:t xml:space="preserve">Treasury Laws Amendment (Consumer Data Right) Bill 2018 to facilitate the initiation of class actions, by removing any potential cap on damages. </w:t>
                      </w:r>
                    </w:p>
                  </w:txbxContent>
                </v:textbox>
              </v:shape>
            </w:pict>
          </mc:Fallback>
        </mc:AlternateContent>
      </w:r>
    </w:p>
    <w:p w:rsidR="00651CF6" w:rsidRDefault="00651CF6" w:rsidP="00651CF6">
      <w:pPr>
        <w:spacing w:before="100" w:beforeAutospacing="1" w:after="100" w:afterAutospacing="1" w:line="360" w:lineRule="auto"/>
        <w:jc w:val="both"/>
        <w:rPr>
          <w:rFonts w:ascii="Arial" w:eastAsiaTheme="minorEastAsia" w:hAnsi="Arial" w:cs="Arial"/>
          <w:color w:val="000000" w:themeColor="text1"/>
          <w:sz w:val="28"/>
          <w:szCs w:val="28"/>
          <w:lang w:val="en-AU" w:eastAsia="en-AU"/>
        </w:rPr>
      </w:pPr>
    </w:p>
    <w:p w:rsidR="00B11CDF" w:rsidRDefault="00B11CDF" w:rsidP="00651CF6">
      <w:pPr>
        <w:spacing w:before="100" w:beforeAutospacing="1" w:after="100" w:afterAutospacing="1"/>
        <w:jc w:val="both"/>
        <w:rPr>
          <w:rFonts w:ascii="Arial" w:eastAsiaTheme="minorEastAsia" w:hAnsi="Arial" w:cs="Arial"/>
          <w:color w:val="000000" w:themeColor="text1"/>
          <w:sz w:val="28"/>
          <w:szCs w:val="28"/>
          <w:lang w:val="en-AU" w:eastAsia="en-AU"/>
        </w:rPr>
      </w:pPr>
    </w:p>
    <w:p w:rsidR="00B11CDF" w:rsidRDefault="00B11CDF" w:rsidP="00651CF6">
      <w:pPr>
        <w:spacing w:before="100" w:beforeAutospacing="1" w:after="100" w:afterAutospacing="1"/>
        <w:jc w:val="both"/>
        <w:rPr>
          <w:rFonts w:ascii="Arial" w:eastAsiaTheme="minorEastAsia" w:hAnsi="Arial" w:cs="Arial"/>
          <w:color w:val="000000" w:themeColor="text1"/>
          <w:sz w:val="28"/>
          <w:szCs w:val="28"/>
          <w:lang w:val="en-AU" w:eastAsia="en-AU"/>
        </w:rPr>
      </w:pPr>
    </w:p>
    <w:p w:rsidR="00B92BDC" w:rsidRDefault="00B92BDC" w:rsidP="00651CF6">
      <w:pPr>
        <w:spacing w:before="100" w:beforeAutospacing="1" w:after="100" w:afterAutospacing="1"/>
        <w:jc w:val="both"/>
        <w:rPr>
          <w:rFonts w:ascii="Arial" w:eastAsiaTheme="minorEastAsia" w:hAnsi="Arial" w:cs="Arial"/>
          <w:color w:val="000000" w:themeColor="text1"/>
          <w:sz w:val="28"/>
          <w:szCs w:val="28"/>
          <w:lang w:val="en-AU" w:eastAsia="en-AU"/>
        </w:rPr>
      </w:pPr>
    </w:p>
    <w:p w:rsidR="00F9783D" w:rsidRPr="004502CA" w:rsidRDefault="00F9783D" w:rsidP="004502CA">
      <w:pPr>
        <w:spacing w:before="100" w:beforeAutospacing="1" w:after="100" w:afterAutospacing="1" w:line="360" w:lineRule="auto"/>
        <w:jc w:val="both"/>
        <w:rPr>
          <w:rFonts w:ascii="Arial" w:eastAsiaTheme="minorEastAsia" w:hAnsi="Arial" w:cs="Arial"/>
          <w:color w:val="000000" w:themeColor="text1"/>
          <w:sz w:val="28"/>
          <w:szCs w:val="28"/>
          <w:lang w:val="en-AU" w:eastAsia="en-AU"/>
        </w:rPr>
      </w:pPr>
      <w:r>
        <w:rPr>
          <w:rFonts w:ascii="Arial" w:eastAsiaTheme="minorEastAsia" w:hAnsi="Arial" w:cs="Arial"/>
          <w:color w:val="000000" w:themeColor="text1"/>
          <w:sz w:val="28"/>
          <w:szCs w:val="28"/>
          <w:lang w:val="en-AU" w:eastAsia="en-AU"/>
        </w:rPr>
        <w:lastRenderedPageBreak/>
        <w:t>Non-economic loss</w:t>
      </w:r>
    </w:p>
    <w:p w:rsidR="00F9783D" w:rsidRPr="00AE1D9C" w:rsidRDefault="00F9783D" w:rsidP="00F9783D">
      <w:pPr>
        <w:spacing w:before="100" w:beforeAutospacing="1" w:after="100" w:afterAutospacing="1"/>
        <w:jc w:val="both"/>
        <w:rPr>
          <w:rFonts w:ascii="Times New Roman" w:eastAsia="Arial Unicode MS" w:hAnsi="Times New Roman" w:cs="Times New Roman"/>
          <w:color w:val="FF0000"/>
          <w:sz w:val="24"/>
          <w:lang w:val="en-IE" w:eastAsia="en-AU" w:bidi="hi-IN"/>
        </w:rPr>
      </w:pPr>
      <w:r w:rsidRPr="003D4E72">
        <w:rPr>
          <w:rFonts w:ascii="Times New Roman" w:eastAsia="Arial Unicode MS" w:hAnsi="Times New Roman" w:cs="Times New Roman"/>
          <w:sz w:val="24"/>
          <w:lang w:val="en-IE" w:eastAsia="en-AU" w:bidi="hi-IN"/>
        </w:rPr>
        <w:t xml:space="preserve">ACCAN supports a broad definition of non-economic loss, that both reflect the material detriment that an individual may face at a personal level as a result of a breach of their privacy. </w:t>
      </w:r>
      <w:r>
        <w:rPr>
          <w:rFonts w:ascii="Times New Roman" w:eastAsia="Arial Unicode MS" w:hAnsi="Times New Roman" w:cs="Times New Roman"/>
          <w:sz w:val="24"/>
          <w:lang w:val="en-IE" w:eastAsia="en-AU" w:bidi="hi-IN"/>
        </w:rPr>
        <w:t>Although not a penalty, and therefore not intended to deter, it is important that custodians of data are aware of the material losses that flow from data breaches for individuals, and therefore inclusion of a person’s feelings or sense of loss is appropriate.</w:t>
      </w:r>
    </w:p>
    <w:p w:rsidR="00F9783D" w:rsidRPr="004502CA" w:rsidRDefault="00F9783D" w:rsidP="004502CA">
      <w:pPr>
        <w:spacing w:before="100" w:beforeAutospacing="1" w:after="100" w:afterAutospacing="1"/>
        <w:jc w:val="both"/>
        <w:rPr>
          <w:rFonts w:ascii="Times New Roman" w:eastAsia="Arial Unicode MS" w:hAnsi="Times New Roman" w:cs="Times New Roman"/>
          <w:sz w:val="24"/>
          <w:lang w:val="en-IE" w:eastAsia="en-AU" w:bidi="hi-IN"/>
        </w:rPr>
      </w:pPr>
      <w:r>
        <w:rPr>
          <w:rFonts w:ascii="Times New Roman" w:eastAsia="Arial Unicode MS" w:hAnsi="Times New Roman" w:cs="Times New Roman"/>
          <w:sz w:val="24"/>
          <w:lang w:val="en-IE" w:eastAsia="en-AU" w:bidi="hi-IN"/>
        </w:rPr>
        <w:t xml:space="preserve">It is also appropriate that consumers have access to exemplary or treble damages within the framework given the significant costs that consumers may face when seeking redress. In the absence of triple or exemplary damages consumers may suffer material loss, but be rationally apathetic and fail to seek compensation as the costs of doing so may exceed the compensation they may receive </w:t>
      </w:r>
      <w:r w:rsidRPr="009039AD">
        <w:rPr>
          <w:rFonts w:ascii="Times New Roman" w:hAnsi="Times New Roman" w:cs="Times New Roman"/>
          <w:sz w:val="24"/>
        </w:rPr>
        <w:t>(</w:t>
      </w:r>
      <w:proofErr w:type="spellStart"/>
      <w:r w:rsidRPr="009039AD">
        <w:rPr>
          <w:rFonts w:ascii="Times New Roman" w:hAnsi="Times New Roman" w:cs="Times New Roman"/>
          <w:sz w:val="24"/>
        </w:rPr>
        <w:t>Kaplow</w:t>
      </w:r>
      <w:proofErr w:type="spellEnd"/>
      <w:r w:rsidRPr="009039AD">
        <w:rPr>
          <w:rFonts w:ascii="Times New Roman" w:hAnsi="Times New Roman" w:cs="Times New Roman"/>
          <w:sz w:val="24"/>
        </w:rPr>
        <w:t xml:space="preserve"> 1986; </w:t>
      </w:r>
      <w:proofErr w:type="spellStart"/>
      <w:r w:rsidRPr="009039AD">
        <w:rPr>
          <w:rFonts w:ascii="Times New Roman" w:hAnsi="Times New Roman" w:cs="Times New Roman"/>
          <w:sz w:val="24"/>
        </w:rPr>
        <w:t>Shavell</w:t>
      </w:r>
      <w:proofErr w:type="spellEnd"/>
      <w:r w:rsidRPr="009039AD">
        <w:rPr>
          <w:rFonts w:ascii="Times New Roman" w:hAnsi="Times New Roman" w:cs="Times New Roman"/>
          <w:sz w:val="24"/>
        </w:rPr>
        <w:t xml:space="preserve"> 1982)</w:t>
      </w:r>
      <w:r w:rsidRPr="00137C87">
        <w:rPr>
          <w:rFonts w:ascii="Times New Roman" w:eastAsia="Arial Unicode MS" w:hAnsi="Times New Roman" w:cs="Times New Roman"/>
          <w:sz w:val="24"/>
          <w:lang w:val="en-IE" w:eastAsia="en-AU" w:bidi="hi-IN"/>
        </w:rPr>
        <w:t>.</w:t>
      </w:r>
      <w:r>
        <w:rPr>
          <w:rFonts w:ascii="Times New Roman" w:eastAsia="Arial Unicode MS" w:hAnsi="Times New Roman" w:cs="Times New Roman"/>
          <w:sz w:val="24"/>
          <w:lang w:val="en-IE" w:eastAsia="en-AU" w:bidi="hi-IN"/>
        </w:rPr>
        <w:t xml:space="preserve"> </w:t>
      </w:r>
    </w:p>
    <w:p w:rsidR="00651CF6" w:rsidRPr="004C3A18" w:rsidRDefault="00651CF6" w:rsidP="00651CF6">
      <w:pPr>
        <w:spacing w:before="100" w:beforeAutospacing="1" w:after="100" w:afterAutospacing="1" w:line="360" w:lineRule="auto"/>
        <w:jc w:val="both"/>
        <w:rPr>
          <w:rFonts w:ascii="Arial" w:eastAsiaTheme="minorEastAsia" w:hAnsi="Arial" w:cs="Arial"/>
          <w:color w:val="000000" w:themeColor="text1"/>
          <w:sz w:val="28"/>
          <w:szCs w:val="28"/>
          <w:lang w:val="en-AU" w:eastAsia="en-AU"/>
        </w:rPr>
      </w:pPr>
      <w:r>
        <w:rPr>
          <w:rFonts w:ascii="Arial" w:eastAsiaTheme="minorEastAsia" w:hAnsi="Arial" w:cs="Arial"/>
          <w:color w:val="000000" w:themeColor="text1"/>
          <w:sz w:val="28"/>
          <w:szCs w:val="28"/>
          <w:lang w:val="en-AU" w:eastAsia="en-AU"/>
        </w:rPr>
        <w:t>Civil penalty provisions</w:t>
      </w:r>
    </w:p>
    <w:p w:rsidR="00651CF6" w:rsidRDefault="00651CF6" w:rsidP="00651CF6">
      <w:pPr>
        <w:jc w:val="both"/>
        <w:rPr>
          <w:rFonts w:ascii="Times New Roman" w:hAnsi="Times New Roman" w:cs="Times New Roman"/>
          <w:color w:val="000000" w:themeColor="text1"/>
          <w:sz w:val="24"/>
          <w:szCs w:val="24"/>
          <w:lang w:val="en-IE" w:eastAsia="hi-IN" w:bidi="hi-IN"/>
        </w:rPr>
      </w:pPr>
      <w:r>
        <w:rPr>
          <w:rFonts w:ascii="Times New Roman" w:hAnsi="Times New Roman" w:cs="Times New Roman"/>
          <w:color w:val="000000" w:themeColor="text1"/>
          <w:sz w:val="24"/>
          <w:szCs w:val="24"/>
          <w:lang w:val="en-IE" w:eastAsia="hi-IN" w:bidi="hi-IN"/>
        </w:rPr>
        <w:t>ACCAN generally supports the civil penalty provisions set out within the draft legislation. However, we believe that there is a need for the legislation to incorporate exemplary penalties, where a party seeks to use consumer data for the purposes of collusion or targeted price discrimination against vulnerable populations, or where data is used to re-identified individuals.</w:t>
      </w:r>
    </w:p>
    <w:p w:rsidR="00651CF6" w:rsidRPr="00E477A9" w:rsidRDefault="00651CF6" w:rsidP="00651CF6">
      <w:pPr>
        <w:spacing w:before="100" w:beforeAutospacing="1" w:after="100" w:afterAutospacing="1" w:line="360" w:lineRule="auto"/>
        <w:jc w:val="both"/>
        <w:rPr>
          <w:rFonts w:ascii="Arial" w:eastAsiaTheme="minorEastAsia" w:hAnsi="Arial" w:cs="Arial"/>
          <w:color w:val="000000" w:themeColor="text1"/>
          <w:sz w:val="28"/>
          <w:szCs w:val="28"/>
          <w:lang w:val="en-AU" w:eastAsia="en-AU"/>
        </w:rPr>
      </w:pPr>
      <w:r w:rsidRPr="00A366DB">
        <w:rPr>
          <w:rFonts w:ascii="Arial" w:eastAsiaTheme="minorEastAsia" w:hAnsi="Arial" w:cs="Arial"/>
          <w:color w:val="000000" w:themeColor="text1"/>
          <w:sz w:val="28"/>
          <w:szCs w:val="28"/>
          <w:lang w:val="en-AU" w:eastAsia="en-AU"/>
        </w:rPr>
        <w:t xml:space="preserve">Standards </w:t>
      </w:r>
    </w:p>
    <w:p w:rsidR="00651CF6" w:rsidRPr="00E477A9" w:rsidRDefault="00651CF6" w:rsidP="00651CF6">
      <w:pPr>
        <w:spacing w:before="100" w:beforeAutospacing="1" w:after="100" w:afterAutospacing="1"/>
        <w:jc w:val="both"/>
        <w:rPr>
          <w:rFonts w:ascii="Times New Roman" w:eastAsiaTheme="minorEastAsia" w:hAnsi="Times New Roman" w:cs="Times New Roman"/>
          <w:color w:val="000000" w:themeColor="text1"/>
          <w:sz w:val="24"/>
          <w:szCs w:val="24"/>
          <w:lang w:val="en-AU" w:eastAsia="en-AU"/>
        </w:rPr>
      </w:pPr>
      <w:r w:rsidRPr="00E477A9">
        <w:rPr>
          <w:rFonts w:ascii="Times New Roman" w:eastAsiaTheme="minorEastAsia" w:hAnsi="Times New Roman" w:cs="Times New Roman"/>
          <w:color w:val="000000" w:themeColor="text1"/>
          <w:sz w:val="24"/>
          <w:szCs w:val="24"/>
          <w:lang w:val="en-AU" w:eastAsia="en-AU"/>
        </w:rPr>
        <w:t xml:space="preserve">Although supportive of regulatory flexibility with respect to voluntary and mandatory standards, ACCAN believes that further information is required with respect to the characterisation of standards as forming a multi-lateral contract. The protections, remedies and penalties that may flow from a multi-party contractual structure are distinct from those that would otherwise flow from regulatory, administrative or criminal processes. </w:t>
      </w:r>
    </w:p>
    <w:p w:rsidR="00651CF6" w:rsidRPr="00E477A9" w:rsidRDefault="00651CF6" w:rsidP="00651CF6">
      <w:pPr>
        <w:spacing w:before="100" w:beforeAutospacing="1" w:after="100" w:afterAutospacing="1"/>
        <w:jc w:val="both"/>
        <w:rPr>
          <w:rFonts w:ascii="Times New Roman" w:eastAsiaTheme="minorEastAsia" w:hAnsi="Times New Roman" w:cs="Times New Roman"/>
          <w:color w:val="000000" w:themeColor="text1"/>
          <w:sz w:val="24"/>
          <w:szCs w:val="24"/>
          <w:lang w:val="en-AU" w:eastAsia="en-AU"/>
        </w:rPr>
      </w:pPr>
      <w:r w:rsidRPr="00E477A9">
        <w:rPr>
          <w:rFonts w:ascii="Times New Roman" w:eastAsiaTheme="minorEastAsia" w:hAnsi="Times New Roman" w:cs="Times New Roman"/>
          <w:color w:val="000000" w:themeColor="text1"/>
          <w:sz w:val="24"/>
          <w:szCs w:val="24"/>
          <w:lang w:val="en-AU" w:eastAsia="en-AU"/>
        </w:rPr>
        <w:t>There is therefore a need for clarity concerning how standards are intended to operate, noting that these complexities may have a material bearing on how these standards practically operate.</w:t>
      </w:r>
      <w:r>
        <w:rPr>
          <w:rFonts w:ascii="Times New Roman" w:eastAsiaTheme="minorEastAsia" w:hAnsi="Times New Roman" w:cs="Times New Roman"/>
          <w:color w:val="000000" w:themeColor="text1"/>
          <w:sz w:val="24"/>
          <w:szCs w:val="24"/>
          <w:lang w:val="en-AU" w:eastAsia="en-AU"/>
        </w:rPr>
        <w:t xml:space="preserve"> </w:t>
      </w:r>
    </w:p>
    <w:p w:rsidR="00651CF6" w:rsidRPr="00824104" w:rsidRDefault="00651CF6" w:rsidP="00CD7168">
      <w:pPr>
        <w:spacing w:before="100" w:beforeAutospacing="1" w:after="100" w:afterAutospacing="1"/>
        <w:jc w:val="both"/>
        <w:rPr>
          <w:rFonts w:ascii="Times New Roman" w:eastAsiaTheme="minorEastAsia" w:hAnsi="Times New Roman" w:cs="Times New Roman"/>
          <w:color w:val="FF0000"/>
          <w:sz w:val="24"/>
          <w:szCs w:val="24"/>
          <w:lang w:val="en-AU" w:eastAsia="en-AU"/>
        </w:rPr>
      </w:pPr>
      <w:bookmarkStart w:id="8" w:name="_GoBack"/>
      <w:bookmarkEnd w:id="8"/>
    </w:p>
    <w:p w:rsidR="00DD0AEA" w:rsidRPr="00DD0AEA" w:rsidRDefault="00DD0AEA" w:rsidP="00DD0AEA">
      <w:pPr>
        <w:keepNext/>
        <w:keepLines/>
        <w:pageBreakBefore/>
        <w:suppressAutoHyphens/>
        <w:spacing w:before="28" w:after="240" w:line="240" w:lineRule="auto"/>
        <w:jc w:val="both"/>
        <w:outlineLvl w:val="0"/>
        <w:rPr>
          <w:rFonts w:ascii="Calibri" w:eastAsia="Arial Unicode MS" w:hAnsi="Calibri" w:cs="font331"/>
          <w:bCs/>
          <w:kern w:val="1"/>
          <w:sz w:val="44"/>
          <w:szCs w:val="28"/>
          <w:lang w:val="en-IE" w:eastAsia="hi-IN" w:bidi="hi-IN"/>
        </w:rPr>
      </w:pPr>
      <w:bookmarkStart w:id="9" w:name="_Toc524350293"/>
      <w:r w:rsidRPr="00DD0AEA">
        <w:rPr>
          <w:rFonts w:ascii="Calibri" w:eastAsia="Arial Unicode MS" w:hAnsi="Calibri" w:cs="font331"/>
          <w:bCs/>
          <w:kern w:val="1"/>
          <w:sz w:val="44"/>
          <w:szCs w:val="28"/>
          <w:lang w:val="en-IE" w:eastAsia="hi-IN" w:bidi="hi-IN"/>
        </w:rPr>
        <w:lastRenderedPageBreak/>
        <w:t>Reference List</w:t>
      </w:r>
      <w:bookmarkEnd w:id="9"/>
    </w:p>
    <w:p w:rsidR="00B34855" w:rsidRDefault="00B34855" w:rsidP="00B34855">
      <w:pPr>
        <w:pStyle w:val="Bibliography"/>
        <w:rPr>
          <w:rFonts w:ascii="Times New Roman" w:hAnsi="Times New Roman" w:cs="Times New Roman"/>
          <w:szCs w:val="24"/>
        </w:rPr>
      </w:pPr>
      <w:r>
        <w:rPr>
          <w:rFonts w:ascii="Times New Roman" w:hAnsi="Times New Roman" w:cs="Times New Roman"/>
          <w:szCs w:val="24"/>
        </w:rPr>
        <w:t>ABS (</w:t>
      </w:r>
      <w:r w:rsidRPr="00A60CD9">
        <w:rPr>
          <w:rFonts w:ascii="Times New Roman" w:hAnsi="Times New Roman" w:cs="Times New Roman"/>
          <w:szCs w:val="24"/>
        </w:rPr>
        <w:t>Australian Bureau of Statistics</w:t>
      </w:r>
      <w:r>
        <w:rPr>
          <w:rFonts w:ascii="Times New Roman" w:hAnsi="Times New Roman" w:cs="Times New Roman"/>
          <w:szCs w:val="24"/>
        </w:rPr>
        <w:t>)</w:t>
      </w:r>
      <w:r w:rsidRPr="00A60CD9">
        <w:rPr>
          <w:rFonts w:ascii="Times New Roman" w:hAnsi="Times New Roman" w:cs="Times New Roman"/>
          <w:szCs w:val="24"/>
        </w:rPr>
        <w:t xml:space="preserve"> 2017, </w:t>
      </w:r>
      <w:r w:rsidRPr="00A60CD9">
        <w:rPr>
          <w:rFonts w:ascii="Times New Roman" w:hAnsi="Times New Roman" w:cs="Times New Roman"/>
          <w:i/>
          <w:iCs/>
          <w:szCs w:val="24"/>
        </w:rPr>
        <w:t>Household Expenditure Survey, Australia: Summary of Results, 2015-16</w:t>
      </w:r>
      <w:r w:rsidRPr="00A60CD9">
        <w:rPr>
          <w:rFonts w:ascii="Times New Roman" w:hAnsi="Times New Roman" w:cs="Times New Roman"/>
          <w:szCs w:val="24"/>
        </w:rPr>
        <w:t>.</w:t>
      </w:r>
    </w:p>
    <w:p w:rsidR="00A60CD9" w:rsidRPr="00A60CD9" w:rsidRDefault="00A60CD9" w:rsidP="00A60CD9">
      <w:pPr>
        <w:pStyle w:val="Bibliography"/>
        <w:rPr>
          <w:rFonts w:ascii="Times New Roman" w:hAnsi="Times New Roman" w:cs="Times New Roman"/>
          <w:szCs w:val="24"/>
        </w:rPr>
      </w:pPr>
      <w:proofErr w:type="gramStart"/>
      <w:r w:rsidRPr="00A60CD9">
        <w:rPr>
          <w:rFonts w:ascii="Times New Roman" w:hAnsi="Times New Roman" w:cs="Times New Roman"/>
          <w:szCs w:val="24"/>
        </w:rPr>
        <w:t>ACCC</w:t>
      </w:r>
      <w:r>
        <w:rPr>
          <w:rFonts w:ascii="Times New Roman" w:hAnsi="Times New Roman" w:cs="Times New Roman"/>
          <w:szCs w:val="24"/>
        </w:rPr>
        <w:t xml:space="preserve"> (Australian Competition and Consumer Commission)</w:t>
      </w:r>
      <w:r w:rsidRPr="00A60CD9">
        <w:rPr>
          <w:rFonts w:ascii="Times New Roman" w:hAnsi="Times New Roman" w:cs="Times New Roman"/>
          <w:szCs w:val="24"/>
        </w:rPr>
        <w:t xml:space="preserve"> 2018</w:t>
      </w:r>
      <w:r>
        <w:rPr>
          <w:rFonts w:ascii="Times New Roman" w:hAnsi="Times New Roman" w:cs="Times New Roman"/>
          <w:szCs w:val="24"/>
        </w:rPr>
        <w:t>a</w:t>
      </w:r>
      <w:r w:rsidRPr="00A60CD9">
        <w:rPr>
          <w:rFonts w:ascii="Times New Roman" w:hAnsi="Times New Roman" w:cs="Times New Roman"/>
          <w:szCs w:val="24"/>
        </w:rPr>
        <w:t xml:space="preserve">, </w:t>
      </w:r>
      <w:r w:rsidRPr="00A60CD9">
        <w:rPr>
          <w:rFonts w:ascii="Times New Roman" w:hAnsi="Times New Roman" w:cs="Times New Roman"/>
          <w:i/>
          <w:iCs/>
          <w:szCs w:val="24"/>
        </w:rPr>
        <w:t>Retail Electricity Pricing Inquiry—Final Report</w:t>
      </w:r>
      <w:r w:rsidRPr="00A60CD9">
        <w:rPr>
          <w:rFonts w:ascii="Times New Roman" w:hAnsi="Times New Roman" w:cs="Times New Roman"/>
          <w:szCs w:val="24"/>
        </w:rPr>
        <w:t>.</w:t>
      </w:r>
      <w:proofErr w:type="gramEnd"/>
    </w:p>
    <w:p w:rsidR="00A60CD9" w:rsidRDefault="00A60CD9" w:rsidP="00A60CD9">
      <w:pPr>
        <w:pStyle w:val="Bibliography"/>
        <w:rPr>
          <w:rFonts w:ascii="Times New Roman" w:hAnsi="Times New Roman" w:cs="Times New Roman"/>
          <w:szCs w:val="24"/>
        </w:rPr>
      </w:pPr>
      <w:proofErr w:type="gramStart"/>
      <w:r>
        <w:rPr>
          <w:rFonts w:ascii="Times New Roman" w:hAnsi="Times New Roman" w:cs="Times New Roman"/>
          <w:szCs w:val="24"/>
        </w:rPr>
        <w:t>ACCC (</w:t>
      </w:r>
      <w:r w:rsidRPr="00A60CD9">
        <w:rPr>
          <w:rFonts w:ascii="Times New Roman" w:hAnsi="Times New Roman" w:cs="Times New Roman"/>
          <w:szCs w:val="24"/>
        </w:rPr>
        <w:t>Australian Competition and Consumer Commission</w:t>
      </w:r>
      <w:r>
        <w:rPr>
          <w:rFonts w:ascii="Times New Roman" w:hAnsi="Times New Roman" w:cs="Times New Roman"/>
          <w:szCs w:val="24"/>
        </w:rPr>
        <w:t>)</w:t>
      </w:r>
      <w:r w:rsidRPr="00A60CD9">
        <w:rPr>
          <w:rFonts w:ascii="Times New Roman" w:hAnsi="Times New Roman" w:cs="Times New Roman"/>
          <w:szCs w:val="24"/>
        </w:rPr>
        <w:t xml:space="preserve"> 2018</w:t>
      </w:r>
      <w:r>
        <w:rPr>
          <w:rFonts w:ascii="Times New Roman" w:hAnsi="Times New Roman" w:cs="Times New Roman"/>
          <w:szCs w:val="24"/>
        </w:rPr>
        <w:t>b</w:t>
      </w:r>
      <w:r w:rsidRPr="00A60CD9">
        <w:rPr>
          <w:rFonts w:ascii="Times New Roman" w:hAnsi="Times New Roman" w:cs="Times New Roman"/>
          <w:szCs w:val="24"/>
        </w:rPr>
        <w:t xml:space="preserve">, </w:t>
      </w:r>
      <w:r w:rsidRPr="00A60CD9">
        <w:rPr>
          <w:rFonts w:ascii="Times New Roman" w:hAnsi="Times New Roman" w:cs="Times New Roman"/>
          <w:i/>
          <w:iCs/>
          <w:szCs w:val="24"/>
        </w:rPr>
        <w:t>Communications Sector Market Study</w:t>
      </w:r>
      <w:r>
        <w:rPr>
          <w:rFonts w:ascii="Times New Roman" w:hAnsi="Times New Roman" w:cs="Times New Roman"/>
          <w:szCs w:val="24"/>
        </w:rPr>
        <w:t>.</w:t>
      </w:r>
      <w:proofErr w:type="gramEnd"/>
    </w:p>
    <w:p w:rsidR="00A60CD9" w:rsidRPr="00A60CD9" w:rsidRDefault="00A60CD9" w:rsidP="00A60CD9">
      <w:pPr>
        <w:pStyle w:val="Bibliography"/>
        <w:rPr>
          <w:rFonts w:ascii="Times New Roman" w:hAnsi="Times New Roman" w:cs="Times New Roman"/>
          <w:szCs w:val="24"/>
        </w:rPr>
      </w:pPr>
      <w:proofErr w:type="spellStart"/>
      <w:r w:rsidRPr="00A60CD9">
        <w:rPr>
          <w:rFonts w:ascii="Times New Roman" w:hAnsi="Times New Roman" w:cs="Times New Roman"/>
          <w:szCs w:val="24"/>
        </w:rPr>
        <w:t>Acquisti</w:t>
      </w:r>
      <w:proofErr w:type="spellEnd"/>
      <w:r w:rsidRPr="00A60CD9">
        <w:rPr>
          <w:rFonts w:ascii="Times New Roman" w:hAnsi="Times New Roman" w:cs="Times New Roman"/>
          <w:szCs w:val="24"/>
        </w:rPr>
        <w:t xml:space="preserve">, A., John, L.K. &amp; </w:t>
      </w:r>
      <w:proofErr w:type="spellStart"/>
      <w:r w:rsidRPr="00A60CD9">
        <w:rPr>
          <w:rFonts w:ascii="Times New Roman" w:hAnsi="Times New Roman" w:cs="Times New Roman"/>
          <w:szCs w:val="24"/>
        </w:rPr>
        <w:t>Loewenstein</w:t>
      </w:r>
      <w:proofErr w:type="spellEnd"/>
      <w:r w:rsidRPr="00A60CD9">
        <w:rPr>
          <w:rFonts w:ascii="Times New Roman" w:hAnsi="Times New Roman" w:cs="Times New Roman"/>
          <w:szCs w:val="24"/>
        </w:rPr>
        <w:t xml:space="preserve">, G. 2013, ‘What is privacy worth?’, </w:t>
      </w:r>
      <w:r w:rsidRPr="00A60CD9">
        <w:rPr>
          <w:rFonts w:ascii="Times New Roman" w:hAnsi="Times New Roman" w:cs="Times New Roman"/>
          <w:i/>
          <w:iCs/>
          <w:szCs w:val="24"/>
        </w:rPr>
        <w:t>The Journal of Legal Studies</w:t>
      </w:r>
      <w:r w:rsidRPr="00A60CD9">
        <w:rPr>
          <w:rFonts w:ascii="Times New Roman" w:hAnsi="Times New Roman" w:cs="Times New Roman"/>
          <w:szCs w:val="24"/>
        </w:rPr>
        <w:t>, vol. 42, no. 2, pp. 249–74.</w:t>
      </w:r>
    </w:p>
    <w:p w:rsidR="00A60CD9" w:rsidRPr="00A60CD9" w:rsidRDefault="00A60CD9" w:rsidP="00A60CD9">
      <w:pPr>
        <w:pStyle w:val="Bibliography"/>
        <w:rPr>
          <w:rFonts w:ascii="Times New Roman" w:hAnsi="Times New Roman" w:cs="Times New Roman"/>
          <w:szCs w:val="24"/>
        </w:rPr>
      </w:pPr>
      <w:proofErr w:type="spellStart"/>
      <w:r w:rsidRPr="00A60CD9">
        <w:rPr>
          <w:rFonts w:ascii="Times New Roman" w:hAnsi="Times New Roman" w:cs="Times New Roman"/>
          <w:szCs w:val="24"/>
        </w:rPr>
        <w:t>Akerlof</w:t>
      </w:r>
      <w:proofErr w:type="spellEnd"/>
      <w:r w:rsidRPr="00A60CD9">
        <w:rPr>
          <w:rFonts w:ascii="Times New Roman" w:hAnsi="Times New Roman" w:cs="Times New Roman"/>
          <w:szCs w:val="24"/>
        </w:rPr>
        <w:t xml:space="preserve">, G. 1970, ‘The Market for “Lemons” Quality Uncertainty and the Market Mechanism’, </w:t>
      </w:r>
      <w:r w:rsidRPr="00A60CD9">
        <w:rPr>
          <w:rFonts w:ascii="Times New Roman" w:hAnsi="Times New Roman" w:cs="Times New Roman"/>
          <w:i/>
          <w:iCs/>
          <w:szCs w:val="24"/>
        </w:rPr>
        <w:t>Quarterly Journal of Economics</w:t>
      </w:r>
      <w:r w:rsidRPr="00A60CD9">
        <w:rPr>
          <w:rFonts w:ascii="Times New Roman" w:hAnsi="Times New Roman" w:cs="Times New Roman"/>
          <w:szCs w:val="24"/>
        </w:rPr>
        <w:t>, vol. 84, no. 3, pp. 488–500.</w:t>
      </w:r>
    </w:p>
    <w:p w:rsidR="00A60CD9" w:rsidRPr="00A60CD9" w:rsidRDefault="00A60CD9" w:rsidP="00A60CD9">
      <w:pPr>
        <w:pStyle w:val="Bibliography"/>
        <w:rPr>
          <w:rFonts w:ascii="Times New Roman" w:hAnsi="Times New Roman" w:cs="Times New Roman"/>
          <w:szCs w:val="24"/>
        </w:rPr>
      </w:pPr>
      <w:r>
        <w:rPr>
          <w:rFonts w:ascii="Times New Roman" w:hAnsi="Times New Roman" w:cs="Times New Roman"/>
          <w:szCs w:val="24"/>
        </w:rPr>
        <w:t>ACMA (</w:t>
      </w:r>
      <w:r w:rsidRPr="00A60CD9">
        <w:rPr>
          <w:rFonts w:ascii="Times New Roman" w:hAnsi="Times New Roman" w:cs="Times New Roman"/>
          <w:szCs w:val="24"/>
        </w:rPr>
        <w:t>Australian Communications and Media Authority</w:t>
      </w:r>
      <w:r>
        <w:rPr>
          <w:rFonts w:ascii="Times New Roman" w:hAnsi="Times New Roman" w:cs="Times New Roman"/>
          <w:szCs w:val="24"/>
        </w:rPr>
        <w:t>)</w:t>
      </w:r>
      <w:r w:rsidRPr="00A60CD9">
        <w:rPr>
          <w:rFonts w:ascii="Times New Roman" w:hAnsi="Times New Roman" w:cs="Times New Roman"/>
          <w:szCs w:val="24"/>
        </w:rPr>
        <w:t xml:space="preserve"> 2018, </w:t>
      </w:r>
      <w:r w:rsidRPr="00A60CD9">
        <w:rPr>
          <w:rFonts w:ascii="Times New Roman" w:hAnsi="Times New Roman" w:cs="Times New Roman"/>
          <w:i/>
          <w:iCs/>
          <w:szCs w:val="24"/>
        </w:rPr>
        <w:t>NBN Consumer Experience - Residential Research Snapshot</w:t>
      </w:r>
      <w:r w:rsidRPr="00A60CD9">
        <w:rPr>
          <w:rFonts w:ascii="Times New Roman" w:hAnsi="Times New Roman" w:cs="Times New Roman"/>
          <w:szCs w:val="24"/>
        </w:rPr>
        <w:t>, trans. ACMA</w:t>
      </w:r>
      <w:proofErr w:type="gramStart"/>
      <w:r w:rsidRPr="00A60CD9">
        <w:rPr>
          <w:rFonts w:ascii="Times New Roman" w:hAnsi="Times New Roman" w:cs="Times New Roman"/>
          <w:szCs w:val="24"/>
        </w:rPr>
        <w:t>,.</w:t>
      </w:r>
      <w:proofErr w:type="gramEnd"/>
    </w:p>
    <w:p w:rsidR="00A60CD9" w:rsidRPr="00A60CD9" w:rsidRDefault="00A60CD9" w:rsidP="00A60CD9">
      <w:pPr>
        <w:pStyle w:val="Bibliography"/>
        <w:rPr>
          <w:rFonts w:ascii="Times New Roman" w:hAnsi="Times New Roman" w:cs="Times New Roman"/>
          <w:szCs w:val="24"/>
        </w:rPr>
      </w:pPr>
      <w:proofErr w:type="gramStart"/>
      <w:r w:rsidRPr="00A60CD9">
        <w:rPr>
          <w:rFonts w:ascii="Times New Roman" w:hAnsi="Times New Roman" w:cs="Times New Roman"/>
          <w:szCs w:val="24"/>
        </w:rPr>
        <w:t xml:space="preserve">Ayres, I. &amp; Schwartz, A. 2014, ‘The no-reading problem in consumer contract law’, </w:t>
      </w:r>
      <w:r w:rsidRPr="00A60CD9">
        <w:rPr>
          <w:rFonts w:ascii="Times New Roman" w:hAnsi="Times New Roman" w:cs="Times New Roman"/>
          <w:i/>
          <w:iCs/>
          <w:szCs w:val="24"/>
        </w:rPr>
        <w:t>Stan.</w:t>
      </w:r>
      <w:proofErr w:type="gramEnd"/>
      <w:r w:rsidRPr="00A60CD9">
        <w:rPr>
          <w:rFonts w:ascii="Times New Roman" w:hAnsi="Times New Roman" w:cs="Times New Roman"/>
          <w:i/>
          <w:iCs/>
          <w:szCs w:val="24"/>
        </w:rPr>
        <w:t xml:space="preserve"> L. Rev.</w:t>
      </w:r>
      <w:r w:rsidRPr="00A60CD9">
        <w:rPr>
          <w:rFonts w:ascii="Times New Roman" w:hAnsi="Times New Roman" w:cs="Times New Roman"/>
          <w:szCs w:val="24"/>
        </w:rPr>
        <w:t>, vol. 66, p. 545.</w:t>
      </w:r>
    </w:p>
    <w:p w:rsidR="00A60CD9" w:rsidRPr="00A60CD9" w:rsidRDefault="00A60CD9" w:rsidP="00A60CD9">
      <w:pPr>
        <w:pStyle w:val="Bibliography"/>
        <w:rPr>
          <w:rFonts w:ascii="Times New Roman" w:hAnsi="Times New Roman" w:cs="Times New Roman"/>
          <w:szCs w:val="24"/>
        </w:rPr>
      </w:pPr>
      <w:r w:rsidRPr="00A60CD9">
        <w:rPr>
          <w:rFonts w:ascii="Times New Roman" w:hAnsi="Times New Roman" w:cs="Times New Roman"/>
          <w:szCs w:val="24"/>
        </w:rPr>
        <w:t>Ben-</w:t>
      </w:r>
      <w:proofErr w:type="spellStart"/>
      <w:r w:rsidRPr="00A60CD9">
        <w:rPr>
          <w:rFonts w:ascii="Times New Roman" w:hAnsi="Times New Roman" w:cs="Times New Roman"/>
          <w:szCs w:val="24"/>
        </w:rPr>
        <w:t>Shahar</w:t>
      </w:r>
      <w:proofErr w:type="spellEnd"/>
      <w:r w:rsidRPr="00A60CD9">
        <w:rPr>
          <w:rFonts w:ascii="Times New Roman" w:hAnsi="Times New Roman" w:cs="Times New Roman"/>
          <w:szCs w:val="24"/>
        </w:rPr>
        <w:t xml:space="preserve">, O. 2009, ‘The Myth of the ‘Opportunity to </w:t>
      </w:r>
      <w:proofErr w:type="spellStart"/>
      <w:r w:rsidRPr="00A60CD9">
        <w:rPr>
          <w:rFonts w:ascii="Times New Roman" w:hAnsi="Times New Roman" w:cs="Times New Roman"/>
          <w:szCs w:val="24"/>
        </w:rPr>
        <w:t>Read’in</w:t>
      </w:r>
      <w:proofErr w:type="spellEnd"/>
      <w:r w:rsidRPr="00A60CD9">
        <w:rPr>
          <w:rFonts w:ascii="Times New Roman" w:hAnsi="Times New Roman" w:cs="Times New Roman"/>
          <w:szCs w:val="24"/>
        </w:rPr>
        <w:t xml:space="preserve"> Contract law’, </w:t>
      </w:r>
      <w:r w:rsidRPr="00A60CD9">
        <w:rPr>
          <w:rFonts w:ascii="Times New Roman" w:hAnsi="Times New Roman" w:cs="Times New Roman"/>
          <w:i/>
          <w:iCs/>
          <w:szCs w:val="24"/>
        </w:rPr>
        <w:t>European Review of Contract Law</w:t>
      </w:r>
      <w:r w:rsidRPr="00A60CD9">
        <w:rPr>
          <w:rFonts w:ascii="Times New Roman" w:hAnsi="Times New Roman" w:cs="Times New Roman"/>
          <w:szCs w:val="24"/>
        </w:rPr>
        <w:t>, vol. 5, no. 1, pp. 1–28.</w:t>
      </w:r>
    </w:p>
    <w:p w:rsidR="00A60CD9" w:rsidRPr="00A60CD9" w:rsidRDefault="00E15E43" w:rsidP="00A60CD9">
      <w:pPr>
        <w:pStyle w:val="Bibliography"/>
        <w:rPr>
          <w:rFonts w:ascii="Times New Roman" w:hAnsi="Times New Roman" w:cs="Times New Roman"/>
          <w:szCs w:val="24"/>
        </w:rPr>
      </w:pPr>
      <w:proofErr w:type="gramStart"/>
      <w:r>
        <w:rPr>
          <w:rFonts w:ascii="Times New Roman" w:hAnsi="Times New Roman" w:cs="Times New Roman"/>
          <w:szCs w:val="24"/>
        </w:rPr>
        <w:t>BCAR (</w:t>
      </w:r>
      <w:r w:rsidR="00A60CD9" w:rsidRPr="00A60CD9">
        <w:rPr>
          <w:rFonts w:ascii="Times New Roman" w:hAnsi="Times New Roman" w:cs="Times New Roman"/>
          <w:szCs w:val="24"/>
        </w:rPr>
        <w:t>Bureau of Communications and Arts Research</w:t>
      </w:r>
      <w:r>
        <w:rPr>
          <w:rFonts w:ascii="Times New Roman" w:hAnsi="Times New Roman" w:cs="Times New Roman"/>
          <w:szCs w:val="24"/>
        </w:rPr>
        <w:t>)</w:t>
      </w:r>
      <w:r w:rsidR="00A60CD9" w:rsidRPr="00A60CD9">
        <w:rPr>
          <w:rFonts w:ascii="Times New Roman" w:hAnsi="Times New Roman" w:cs="Times New Roman"/>
          <w:szCs w:val="24"/>
        </w:rPr>
        <w:t xml:space="preserve"> 2017, </w:t>
      </w:r>
      <w:r w:rsidR="00A60CD9" w:rsidRPr="00A60CD9">
        <w:rPr>
          <w:rFonts w:ascii="Times New Roman" w:hAnsi="Times New Roman" w:cs="Times New Roman"/>
          <w:i/>
          <w:iCs/>
          <w:szCs w:val="24"/>
        </w:rPr>
        <w:t>Trends and drivers in the affordability of communications services for Australian Households</w:t>
      </w:r>
      <w:r w:rsidR="00A60CD9" w:rsidRPr="00A60CD9">
        <w:rPr>
          <w:rFonts w:ascii="Times New Roman" w:hAnsi="Times New Roman" w:cs="Times New Roman"/>
          <w:szCs w:val="24"/>
        </w:rPr>
        <w:t>, Working Paper, Canberra.</w:t>
      </w:r>
      <w:proofErr w:type="gramEnd"/>
    </w:p>
    <w:p w:rsidR="00A60CD9" w:rsidRPr="00A60CD9" w:rsidRDefault="00A60CD9" w:rsidP="00A60CD9">
      <w:pPr>
        <w:pStyle w:val="Bibliography"/>
        <w:rPr>
          <w:rFonts w:ascii="Times New Roman" w:hAnsi="Times New Roman" w:cs="Times New Roman"/>
          <w:szCs w:val="24"/>
        </w:rPr>
      </w:pPr>
      <w:proofErr w:type="spellStart"/>
      <w:proofErr w:type="gramStart"/>
      <w:r w:rsidRPr="00A60CD9">
        <w:rPr>
          <w:rFonts w:ascii="Times New Roman" w:hAnsi="Times New Roman" w:cs="Times New Roman"/>
          <w:szCs w:val="24"/>
        </w:rPr>
        <w:t>Cecot</w:t>
      </w:r>
      <w:proofErr w:type="spellEnd"/>
      <w:r w:rsidRPr="00A60CD9">
        <w:rPr>
          <w:rFonts w:ascii="Times New Roman" w:hAnsi="Times New Roman" w:cs="Times New Roman"/>
          <w:szCs w:val="24"/>
        </w:rPr>
        <w:t xml:space="preserve">, C., Hahn, R., Renda, A. &amp; </w:t>
      </w:r>
      <w:proofErr w:type="spellStart"/>
      <w:r w:rsidRPr="00A60CD9">
        <w:rPr>
          <w:rFonts w:ascii="Times New Roman" w:hAnsi="Times New Roman" w:cs="Times New Roman"/>
          <w:szCs w:val="24"/>
        </w:rPr>
        <w:t>Schrefler</w:t>
      </w:r>
      <w:proofErr w:type="spellEnd"/>
      <w:r w:rsidRPr="00A60CD9">
        <w:rPr>
          <w:rFonts w:ascii="Times New Roman" w:hAnsi="Times New Roman" w:cs="Times New Roman"/>
          <w:szCs w:val="24"/>
        </w:rPr>
        <w:t xml:space="preserve">, L. 2008, ‘An evaluation of the quality of impact assessment in the European Union with lessons for the US and the EU’, </w:t>
      </w:r>
      <w:r w:rsidRPr="00A60CD9">
        <w:rPr>
          <w:rFonts w:ascii="Times New Roman" w:hAnsi="Times New Roman" w:cs="Times New Roman"/>
          <w:i/>
          <w:iCs/>
          <w:szCs w:val="24"/>
        </w:rPr>
        <w:t>Regulation and Governance</w:t>
      </w:r>
      <w:r w:rsidRPr="00A60CD9">
        <w:rPr>
          <w:rFonts w:ascii="Times New Roman" w:hAnsi="Times New Roman" w:cs="Times New Roman"/>
          <w:szCs w:val="24"/>
        </w:rPr>
        <w:t>, vol. 2, no. 4, pp. 405–24.</w:t>
      </w:r>
      <w:proofErr w:type="gramEnd"/>
    </w:p>
    <w:p w:rsidR="00A60CD9" w:rsidRPr="00A60CD9" w:rsidRDefault="00A60CD9" w:rsidP="00A60CD9">
      <w:pPr>
        <w:pStyle w:val="Bibliography"/>
        <w:rPr>
          <w:rFonts w:ascii="Times New Roman" w:hAnsi="Times New Roman" w:cs="Times New Roman"/>
          <w:szCs w:val="24"/>
        </w:rPr>
      </w:pPr>
      <w:r w:rsidRPr="00A60CD9">
        <w:rPr>
          <w:rFonts w:ascii="Times New Roman" w:hAnsi="Times New Roman" w:cs="Times New Roman"/>
          <w:szCs w:val="24"/>
        </w:rPr>
        <w:t xml:space="preserve">Coase, R. 1937, ‘The Nature of the Firm’, </w:t>
      </w:r>
      <w:proofErr w:type="spellStart"/>
      <w:r w:rsidRPr="00A60CD9">
        <w:rPr>
          <w:rFonts w:ascii="Times New Roman" w:hAnsi="Times New Roman" w:cs="Times New Roman"/>
          <w:i/>
          <w:iCs/>
          <w:szCs w:val="24"/>
        </w:rPr>
        <w:t>Economica</w:t>
      </w:r>
      <w:proofErr w:type="spellEnd"/>
      <w:r w:rsidRPr="00A60CD9">
        <w:rPr>
          <w:rFonts w:ascii="Times New Roman" w:hAnsi="Times New Roman" w:cs="Times New Roman"/>
          <w:szCs w:val="24"/>
        </w:rPr>
        <w:t>, vol. 4, no. 1, pp. 386–405.</w:t>
      </w:r>
    </w:p>
    <w:p w:rsidR="00A60CD9" w:rsidRPr="00A60CD9" w:rsidRDefault="00E15E43" w:rsidP="00A60CD9">
      <w:pPr>
        <w:pStyle w:val="Bibliography"/>
        <w:rPr>
          <w:rFonts w:ascii="Times New Roman" w:hAnsi="Times New Roman" w:cs="Times New Roman"/>
          <w:szCs w:val="24"/>
        </w:rPr>
      </w:pPr>
      <w:r>
        <w:rPr>
          <w:rFonts w:ascii="Times New Roman" w:hAnsi="Times New Roman" w:cs="Times New Roman"/>
          <w:szCs w:val="24"/>
        </w:rPr>
        <w:t>CPRC (</w:t>
      </w:r>
      <w:r w:rsidR="00A60CD9" w:rsidRPr="00A60CD9">
        <w:rPr>
          <w:rFonts w:ascii="Times New Roman" w:hAnsi="Times New Roman" w:cs="Times New Roman"/>
          <w:szCs w:val="24"/>
        </w:rPr>
        <w:t>Consumer Policy Research Centre</w:t>
      </w:r>
      <w:r>
        <w:rPr>
          <w:rFonts w:ascii="Times New Roman" w:hAnsi="Times New Roman" w:cs="Times New Roman"/>
          <w:szCs w:val="24"/>
        </w:rPr>
        <w:t>)</w:t>
      </w:r>
      <w:r w:rsidR="00A60CD9" w:rsidRPr="00A60CD9">
        <w:rPr>
          <w:rFonts w:ascii="Times New Roman" w:hAnsi="Times New Roman" w:cs="Times New Roman"/>
          <w:szCs w:val="24"/>
        </w:rPr>
        <w:t xml:space="preserve"> 2018, </w:t>
      </w:r>
      <w:r w:rsidR="00A60CD9" w:rsidRPr="00A60CD9">
        <w:rPr>
          <w:rFonts w:ascii="Times New Roman" w:hAnsi="Times New Roman" w:cs="Times New Roman"/>
          <w:i/>
          <w:iCs/>
          <w:szCs w:val="24"/>
        </w:rPr>
        <w:t>Fact Sheet: Data protection rules are falling Australian Consumers</w:t>
      </w:r>
      <w:r w:rsidR="00A60CD9" w:rsidRPr="00A60CD9">
        <w:rPr>
          <w:rFonts w:ascii="Times New Roman" w:hAnsi="Times New Roman" w:cs="Times New Roman"/>
          <w:szCs w:val="24"/>
        </w:rPr>
        <w:t>.</w:t>
      </w:r>
    </w:p>
    <w:p w:rsidR="00A60CD9" w:rsidRPr="00A60CD9" w:rsidRDefault="00E15E43" w:rsidP="00A60CD9">
      <w:pPr>
        <w:pStyle w:val="Bibliography"/>
        <w:rPr>
          <w:rFonts w:ascii="Times New Roman" w:hAnsi="Times New Roman" w:cs="Times New Roman"/>
          <w:szCs w:val="24"/>
        </w:rPr>
      </w:pPr>
      <w:r>
        <w:rPr>
          <w:rFonts w:ascii="Times New Roman" w:hAnsi="Times New Roman" w:cs="Times New Roman"/>
          <w:szCs w:val="24"/>
        </w:rPr>
        <w:t>DPMC (</w:t>
      </w:r>
      <w:r w:rsidR="00A60CD9" w:rsidRPr="00A60CD9">
        <w:rPr>
          <w:rFonts w:ascii="Times New Roman" w:hAnsi="Times New Roman" w:cs="Times New Roman"/>
          <w:szCs w:val="24"/>
        </w:rPr>
        <w:t>Department of Prime Minister and Cabinet</w:t>
      </w:r>
      <w:r>
        <w:rPr>
          <w:rFonts w:ascii="Times New Roman" w:hAnsi="Times New Roman" w:cs="Times New Roman"/>
          <w:szCs w:val="24"/>
        </w:rPr>
        <w:t>)</w:t>
      </w:r>
      <w:r w:rsidR="00A60CD9" w:rsidRPr="00A60CD9">
        <w:rPr>
          <w:rFonts w:ascii="Times New Roman" w:hAnsi="Times New Roman" w:cs="Times New Roman"/>
          <w:szCs w:val="24"/>
        </w:rPr>
        <w:t xml:space="preserve"> 2014, </w:t>
      </w:r>
      <w:proofErr w:type="gramStart"/>
      <w:r w:rsidR="00A60CD9" w:rsidRPr="00A60CD9">
        <w:rPr>
          <w:rFonts w:ascii="Times New Roman" w:hAnsi="Times New Roman" w:cs="Times New Roman"/>
          <w:i/>
          <w:iCs/>
          <w:szCs w:val="24"/>
        </w:rPr>
        <w:t>The</w:t>
      </w:r>
      <w:proofErr w:type="gramEnd"/>
      <w:r w:rsidR="00A60CD9" w:rsidRPr="00A60CD9">
        <w:rPr>
          <w:rFonts w:ascii="Times New Roman" w:hAnsi="Times New Roman" w:cs="Times New Roman"/>
          <w:i/>
          <w:iCs/>
          <w:szCs w:val="24"/>
        </w:rPr>
        <w:t xml:space="preserve"> Australian Government Guide to Regulation</w:t>
      </w:r>
      <w:r w:rsidR="00A60CD9" w:rsidRPr="00A60CD9">
        <w:rPr>
          <w:rFonts w:ascii="Times New Roman" w:hAnsi="Times New Roman" w:cs="Times New Roman"/>
          <w:szCs w:val="24"/>
        </w:rPr>
        <w:t>.</w:t>
      </w:r>
    </w:p>
    <w:p w:rsidR="00A60CD9" w:rsidRPr="00A60CD9" w:rsidRDefault="00A60CD9" w:rsidP="00A60CD9">
      <w:pPr>
        <w:pStyle w:val="Bibliography"/>
        <w:rPr>
          <w:rFonts w:ascii="Times New Roman" w:hAnsi="Times New Roman" w:cs="Times New Roman"/>
          <w:szCs w:val="24"/>
        </w:rPr>
      </w:pPr>
      <w:r w:rsidRPr="00A60CD9">
        <w:rPr>
          <w:rFonts w:ascii="Times New Roman" w:hAnsi="Times New Roman" w:cs="Times New Roman"/>
          <w:szCs w:val="24"/>
        </w:rPr>
        <w:t xml:space="preserve">Hahn, R. 1998, ‘Government Analysis of the Benefits of Regulation’, </w:t>
      </w:r>
      <w:r w:rsidRPr="00A60CD9">
        <w:rPr>
          <w:rFonts w:ascii="Times New Roman" w:hAnsi="Times New Roman" w:cs="Times New Roman"/>
          <w:i/>
          <w:iCs/>
          <w:szCs w:val="24"/>
        </w:rPr>
        <w:t>Journal of Economic Perspectives</w:t>
      </w:r>
      <w:r w:rsidRPr="00A60CD9">
        <w:rPr>
          <w:rFonts w:ascii="Times New Roman" w:hAnsi="Times New Roman" w:cs="Times New Roman"/>
          <w:szCs w:val="24"/>
        </w:rPr>
        <w:t>, vol. 12, no. 4, pp. 201–10.</w:t>
      </w:r>
    </w:p>
    <w:p w:rsidR="00A60CD9" w:rsidRPr="00A60CD9" w:rsidRDefault="00A60CD9" w:rsidP="00A60CD9">
      <w:pPr>
        <w:pStyle w:val="Bibliography"/>
        <w:rPr>
          <w:rFonts w:ascii="Times New Roman" w:hAnsi="Times New Roman" w:cs="Times New Roman"/>
          <w:szCs w:val="24"/>
        </w:rPr>
      </w:pPr>
      <w:r w:rsidRPr="00A60CD9">
        <w:rPr>
          <w:rFonts w:ascii="Times New Roman" w:hAnsi="Times New Roman" w:cs="Times New Roman"/>
          <w:szCs w:val="24"/>
        </w:rPr>
        <w:t xml:space="preserve">Hahn, R., Burnett, J., Chan, Y., </w:t>
      </w:r>
      <w:proofErr w:type="spellStart"/>
      <w:r w:rsidRPr="00A60CD9">
        <w:rPr>
          <w:rFonts w:ascii="Times New Roman" w:hAnsi="Times New Roman" w:cs="Times New Roman"/>
          <w:szCs w:val="24"/>
        </w:rPr>
        <w:t>Mader</w:t>
      </w:r>
      <w:proofErr w:type="spellEnd"/>
      <w:r w:rsidRPr="00A60CD9">
        <w:rPr>
          <w:rFonts w:ascii="Times New Roman" w:hAnsi="Times New Roman" w:cs="Times New Roman"/>
          <w:szCs w:val="24"/>
        </w:rPr>
        <w:t xml:space="preserve">, E. &amp; Moyle, P. 2000, ‘Assessing the quality of regulatory impact analyses’, </w:t>
      </w:r>
      <w:r w:rsidRPr="00A60CD9">
        <w:rPr>
          <w:rFonts w:ascii="Times New Roman" w:hAnsi="Times New Roman" w:cs="Times New Roman"/>
          <w:i/>
          <w:iCs/>
          <w:szCs w:val="24"/>
        </w:rPr>
        <w:t>The Harvard Journal of Law and Public Policy</w:t>
      </w:r>
      <w:r w:rsidRPr="00A60CD9">
        <w:rPr>
          <w:rFonts w:ascii="Times New Roman" w:hAnsi="Times New Roman" w:cs="Times New Roman"/>
          <w:szCs w:val="24"/>
        </w:rPr>
        <w:t>, vol. 23, no. 3, pp. 859–86.</w:t>
      </w:r>
    </w:p>
    <w:p w:rsidR="00A60CD9" w:rsidRPr="00A60CD9" w:rsidRDefault="00A60CD9" w:rsidP="00A60CD9">
      <w:pPr>
        <w:pStyle w:val="Bibliography"/>
        <w:rPr>
          <w:rFonts w:ascii="Times New Roman" w:hAnsi="Times New Roman" w:cs="Times New Roman"/>
          <w:szCs w:val="24"/>
        </w:rPr>
      </w:pPr>
      <w:r w:rsidRPr="00A60CD9">
        <w:rPr>
          <w:rFonts w:ascii="Times New Roman" w:hAnsi="Times New Roman" w:cs="Times New Roman"/>
          <w:szCs w:val="24"/>
        </w:rPr>
        <w:lastRenderedPageBreak/>
        <w:t>Hahn, R. &amp; Dudley, P. 2007, ‘How well does the US government do benefit-cost analysis?</w:t>
      </w:r>
      <w:proofErr w:type="gramStart"/>
      <w:r w:rsidRPr="00A60CD9">
        <w:rPr>
          <w:rFonts w:ascii="Times New Roman" w:hAnsi="Times New Roman" w:cs="Times New Roman"/>
          <w:szCs w:val="24"/>
        </w:rPr>
        <w:t>’,</w:t>
      </w:r>
      <w:proofErr w:type="gramEnd"/>
      <w:r w:rsidRPr="00A60CD9">
        <w:rPr>
          <w:rFonts w:ascii="Times New Roman" w:hAnsi="Times New Roman" w:cs="Times New Roman"/>
          <w:szCs w:val="24"/>
        </w:rPr>
        <w:t xml:space="preserve"> </w:t>
      </w:r>
      <w:r w:rsidRPr="00A60CD9">
        <w:rPr>
          <w:rFonts w:ascii="Times New Roman" w:hAnsi="Times New Roman" w:cs="Times New Roman"/>
          <w:i/>
          <w:iCs/>
          <w:szCs w:val="24"/>
        </w:rPr>
        <w:t>Review of Environmental Economics and Policy</w:t>
      </w:r>
      <w:r w:rsidRPr="00A60CD9">
        <w:rPr>
          <w:rFonts w:ascii="Times New Roman" w:hAnsi="Times New Roman" w:cs="Times New Roman"/>
          <w:szCs w:val="24"/>
        </w:rPr>
        <w:t>, vol. 1, no. 2, pp. 192–211.</w:t>
      </w:r>
    </w:p>
    <w:p w:rsidR="00A60CD9" w:rsidRPr="00A60CD9" w:rsidRDefault="00A60CD9" w:rsidP="00A60CD9">
      <w:pPr>
        <w:pStyle w:val="Bibliography"/>
        <w:rPr>
          <w:rFonts w:ascii="Times New Roman" w:hAnsi="Times New Roman" w:cs="Times New Roman"/>
          <w:szCs w:val="24"/>
        </w:rPr>
      </w:pPr>
      <w:r w:rsidRPr="00A60CD9">
        <w:rPr>
          <w:rFonts w:ascii="Times New Roman" w:hAnsi="Times New Roman" w:cs="Times New Roman"/>
          <w:szCs w:val="24"/>
        </w:rPr>
        <w:t xml:space="preserve">Hahn, R. &amp; </w:t>
      </w:r>
      <w:proofErr w:type="spellStart"/>
      <w:r w:rsidRPr="00A60CD9">
        <w:rPr>
          <w:rFonts w:ascii="Times New Roman" w:hAnsi="Times New Roman" w:cs="Times New Roman"/>
          <w:szCs w:val="24"/>
        </w:rPr>
        <w:t>Hird</w:t>
      </w:r>
      <w:proofErr w:type="spellEnd"/>
      <w:r w:rsidRPr="00A60CD9">
        <w:rPr>
          <w:rFonts w:ascii="Times New Roman" w:hAnsi="Times New Roman" w:cs="Times New Roman"/>
          <w:szCs w:val="24"/>
        </w:rPr>
        <w:t>, J. 1991, ‘</w:t>
      </w:r>
      <w:proofErr w:type="gramStart"/>
      <w:r w:rsidRPr="00A60CD9">
        <w:rPr>
          <w:rFonts w:ascii="Times New Roman" w:hAnsi="Times New Roman" w:cs="Times New Roman"/>
          <w:szCs w:val="24"/>
        </w:rPr>
        <w:t>The</w:t>
      </w:r>
      <w:proofErr w:type="gramEnd"/>
      <w:r w:rsidRPr="00A60CD9">
        <w:rPr>
          <w:rFonts w:ascii="Times New Roman" w:hAnsi="Times New Roman" w:cs="Times New Roman"/>
          <w:szCs w:val="24"/>
        </w:rPr>
        <w:t xml:space="preserve"> Costs and Benefits of Regulation: Review and Synthesis’, </w:t>
      </w:r>
      <w:r w:rsidRPr="00A60CD9">
        <w:rPr>
          <w:rFonts w:ascii="Times New Roman" w:hAnsi="Times New Roman" w:cs="Times New Roman"/>
          <w:i/>
          <w:iCs/>
          <w:szCs w:val="24"/>
        </w:rPr>
        <w:t>Yale Journal of Regulation</w:t>
      </w:r>
      <w:r w:rsidRPr="00A60CD9">
        <w:rPr>
          <w:rFonts w:ascii="Times New Roman" w:hAnsi="Times New Roman" w:cs="Times New Roman"/>
          <w:szCs w:val="24"/>
        </w:rPr>
        <w:t>, vol. 8, no. 1, pp. 235–78.</w:t>
      </w:r>
    </w:p>
    <w:p w:rsidR="00A60CD9" w:rsidRPr="00A60CD9" w:rsidRDefault="00A60CD9" w:rsidP="00A60CD9">
      <w:pPr>
        <w:pStyle w:val="Bibliography"/>
        <w:rPr>
          <w:rFonts w:ascii="Times New Roman" w:hAnsi="Times New Roman" w:cs="Times New Roman"/>
          <w:szCs w:val="24"/>
        </w:rPr>
      </w:pPr>
      <w:r w:rsidRPr="00A60CD9">
        <w:rPr>
          <w:rFonts w:ascii="Times New Roman" w:hAnsi="Times New Roman" w:cs="Times New Roman"/>
          <w:szCs w:val="24"/>
        </w:rPr>
        <w:t xml:space="preserve">Hahn, R. &amp; </w:t>
      </w:r>
      <w:proofErr w:type="spellStart"/>
      <w:r w:rsidRPr="00A60CD9">
        <w:rPr>
          <w:rFonts w:ascii="Times New Roman" w:hAnsi="Times New Roman" w:cs="Times New Roman"/>
          <w:szCs w:val="24"/>
        </w:rPr>
        <w:t>Tetlock</w:t>
      </w:r>
      <w:proofErr w:type="spellEnd"/>
      <w:r w:rsidRPr="00A60CD9">
        <w:rPr>
          <w:rFonts w:ascii="Times New Roman" w:hAnsi="Times New Roman" w:cs="Times New Roman"/>
          <w:szCs w:val="24"/>
        </w:rPr>
        <w:t xml:space="preserve">, P. 2008, ‘Has economic analysis improved regulatory decisions’, </w:t>
      </w:r>
      <w:r w:rsidRPr="00A60CD9">
        <w:rPr>
          <w:rFonts w:ascii="Times New Roman" w:hAnsi="Times New Roman" w:cs="Times New Roman"/>
          <w:i/>
          <w:iCs/>
          <w:szCs w:val="24"/>
        </w:rPr>
        <w:t>Journal of Economic Perspectives</w:t>
      </w:r>
      <w:r w:rsidRPr="00A60CD9">
        <w:rPr>
          <w:rFonts w:ascii="Times New Roman" w:hAnsi="Times New Roman" w:cs="Times New Roman"/>
          <w:szCs w:val="24"/>
        </w:rPr>
        <w:t>, vol. 22, no. 1, pp. 67–84.</w:t>
      </w:r>
    </w:p>
    <w:p w:rsidR="00A60CD9" w:rsidRPr="00A60CD9" w:rsidRDefault="00A60CD9" w:rsidP="00A60CD9">
      <w:pPr>
        <w:pStyle w:val="Bibliography"/>
        <w:rPr>
          <w:rFonts w:ascii="Times New Roman" w:hAnsi="Times New Roman" w:cs="Times New Roman"/>
          <w:szCs w:val="24"/>
        </w:rPr>
      </w:pPr>
      <w:r w:rsidRPr="00A60CD9">
        <w:rPr>
          <w:rFonts w:ascii="Times New Roman" w:hAnsi="Times New Roman" w:cs="Times New Roman"/>
          <w:szCs w:val="24"/>
        </w:rPr>
        <w:t xml:space="preserve">Hicks, J. 1939, ‘The Foundations of Welfare Economics’, </w:t>
      </w:r>
      <w:proofErr w:type="gramStart"/>
      <w:r w:rsidRPr="00A60CD9">
        <w:rPr>
          <w:rFonts w:ascii="Times New Roman" w:hAnsi="Times New Roman" w:cs="Times New Roman"/>
          <w:i/>
          <w:iCs/>
          <w:szCs w:val="24"/>
        </w:rPr>
        <w:t>The</w:t>
      </w:r>
      <w:proofErr w:type="gramEnd"/>
      <w:r w:rsidRPr="00A60CD9">
        <w:rPr>
          <w:rFonts w:ascii="Times New Roman" w:hAnsi="Times New Roman" w:cs="Times New Roman"/>
          <w:i/>
          <w:iCs/>
          <w:szCs w:val="24"/>
        </w:rPr>
        <w:t xml:space="preserve"> Economic Journal</w:t>
      </w:r>
      <w:r w:rsidRPr="00A60CD9">
        <w:rPr>
          <w:rFonts w:ascii="Times New Roman" w:hAnsi="Times New Roman" w:cs="Times New Roman"/>
          <w:szCs w:val="24"/>
        </w:rPr>
        <w:t>, vol. 49, no. 196, pp. 676–712.</w:t>
      </w:r>
    </w:p>
    <w:p w:rsidR="00A60CD9" w:rsidRPr="00A60CD9" w:rsidRDefault="00A60CD9" w:rsidP="00A60CD9">
      <w:pPr>
        <w:pStyle w:val="Bibliography"/>
        <w:rPr>
          <w:rFonts w:ascii="Times New Roman" w:hAnsi="Times New Roman" w:cs="Times New Roman"/>
          <w:szCs w:val="24"/>
        </w:rPr>
      </w:pPr>
      <w:proofErr w:type="spellStart"/>
      <w:r w:rsidRPr="00A60CD9">
        <w:rPr>
          <w:rFonts w:ascii="Times New Roman" w:hAnsi="Times New Roman" w:cs="Times New Roman"/>
          <w:szCs w:val="24"/>
        </w:rPr>
        <w:t>Kaldor</w:t>
      </w:r>
      <w:proofErr w:type="spellEnd"/>
      <w:r w:rsidRPr="00A60CD9">
        <w:rPr>
          <w:rFonts w:ascii="Times New Roman" w:hAnsi="Times New Roman" w:cs="Times New Roman"/>
          <w:szCs w:val="24"/>
        </w:rPr>
        <w:t xml:space="preserve">, N. 1939, ‘Welfare Propositions of Economics and Interpersonal Comparisons of Utility’, </w:t>
      </w:r>
      <w:proofErr w:type="gramStart"/>
      <w:r w:rsidRPr="00A60CD9">
        <w:rPr>
          <w:rFonts w:ascii="Times New Roman" w:hAnsi="Times New Roman" w:cs="Times New Roman"/>
          <w:i/>
          <w:iCs/>
          <w:szCs w:val="24"/>
        </w:rPr>
        <w:t>The</w:t>
      </w:r>
      <w:proofErr w:type="gramEnd"/>
      <w:r w:rsidRPr="00A60CD9">
        <w:rPr>
          <w:rFonts w:ascii="Times New Roman" w:hAnsi="Times New Roman" w:cs="Times New Roman"/>
          <w:i/>
          <w:iCs/>
          <w:szCs w:val="24"/>
        </w:rPr>
        <w:t xml:space="preserve"> Economic Journal</w:t>
      </w:r>
      <w:r w:rsidRPr="00A60CD9">
        <w:rPr>
          <w:rFonts w:ascii="Times New Roman" w:hAnsi="Times New Roman" w:cs="Times New Roman"/>
          <w:szCs w:val="24"/>
        </w:rPr>
        <w:t>, vol. 49, no. 195, pp. 549–52.</w:t>
      </w:r>
    </w:p>
    <w:p w:rsidR="00A60CD9" w:rsidRPr="00A60CD9" w:rsidRDefault="00A60CD9" w:rsidP="00A60CD9">
      <w:pPr>
        <w:pStyle w:val="Bibliography"/>
        <w:rPr>
          <w:rFonts w:ascii="Times New Roman" w:hAnsi="Times New Roman" w:cs="Times New Roman"/>
          <w:szCs w:val="24"/>
        </w:rPr>
      </w:pPr>
      <w:proofErr w:type="spellStart"/>
      <w:r w:rsidRPr="00A60CD9">
        <w:rPr>
          <w:rFonts w:ascii="Times New Roman" w:hAnsi="Times New Roman" w:cs="Times New Roman"/>
          <w:szCs w:val="24"/>
        </w:rPr>
        <w:t>Kaplow</w:t>
      </w:r>
      <w:proofErr w:type="spellEnd"/>
      <w:r w:rsidRPr="00A60CD9">
        <w:rPr>
          <w:rFonts w:ascii="Times New Roman" w:hAnsi="Times New Roman" w:cs="Times New Roman"/>
          <w:szCs w:val="24"/>
        </w:rPr>
        <w:t xml:space="preserve">, L. 1986, ‘Private versus Social Costs in Bringing Suit’, </w:t>
      </w:r>
      <w:r w:rsidRPr="00A60CD9">
        <w:rPr>
          <w:rFonts w:ascii="Times New Roman" w:hAnsi="Times New Roman" w:cs="Times New Roman"/>
          <w:i/>
          <w:iCs/>
          <w:szCs w:val="24"/>
        </w:rPr>
        <w:t>The Journal of Legal Studies</w:t>
      </w:r>
      <w:r w:rsidRPr="00A60CD9">
        <w:rPr>
          <w:rFonts w:ascii="Times New Roman" w:hAnsi="Times New Roman" w:cs="Times New Roman"/>
          <w:szCs w:val="24"/>
        </w:rPr>
        <w:t>, vol. 15, no. 2, pp. 371–85.</w:t>
      </w:r>
    </w:p>
    <w:p w:rsidR="00A60CD9" w:rsidRPr="00A60CD9" w:rsidRDefault="00A60CD9" w:rsidP="00A60CD9">
      <w:pPr>
        <w:pStyle w:val="Bibliography"/>
        <w:rPr>
          <w:rFonts w:ascii="Times New Roman" w:hAnsi="Times New Roman" w:cs="Times New Roman"/>
          <w:szCs w:val="24"/>
        </w:rPr>
      </w:pPr>
      <w:proofErr w:type="spellStart"/>
      <w:r w:rsidRPr="00A60CD9">
        <w:rPr>
          <w:rFonts w:ascii="Times New Roman" w:hAnsi="Times New Roman" w:cs="Times New Roman"/>
          <w:szCs w:val="24"/>
        </w:rPr>
        <w:t>Kaplow</w:t>
      </w:r>
      <w:proofErr w:type="spellEnd"/>
      <w:r w:rsidRPr="00A60CD9">
        <w:rPr>
          <w:rFonts w:ascii="Times New Roman" w:hAnsi="Times New Roman" w:cs="Times New Roman"/>
          <w:szCs w:val="24"/>
        </w:rPr>
        <w:t xml:space="preserve">, L. 1992, ‘Rules versus standards: An economic analysis’, </w:t>
      </w:r>
      <w:r w:rsidRPr="00A60CD9">
        <w:rPr>
          <w:rFonts w:ascii="Times New Roman" w:hAnsi="Times New Roman" w:cs="Times New Roman"/>
          <w:i/>
          <w:iCs/>
          <w:szCs w:val="24"/>
        </w:rPr>
        <w:t xml:space="preserve">Duke </w:t>
      </w:r>
      <w:proofErr w:type="spellStart"/>
      <w:r w:rsidRPr="00A60CD9">
        <w:rPr>
          <w:rFonts w:ascii="Times New Roman" w:hAnsi="Times New Roman" w:cs="Times New Roman"/>
          <w:i/>
          <w:iCs/>
          <w:szCs w:val="24"/>
        </w:rPr>
        <w:t>Lj</w:t>
      </w:r>
      <w:proofErr w:type="spellEnd"/>
      <w:r w:rsidRPr="00A60CD9">
        <w:rPr>
          <w:rFonts w:ascii="Times New Roman" w:hAnsi="Times New Roman" w:cs="Times New Roman"/>
          <w:szCs w:val="24"/>
        </w:rPr>
        <w:t>, vol. 42, p. 557.</w:t>
      </w:r>
    </w:p>
    <w:p w:rsidR="00A60CD9" w:rsidRPr="00A60CD9" w:rsidRDefault="00A60CD9" w:rsidP="00A60CD9">
      <w:pPr>
        <w:pStyle w:val="Bibliography"/>
        <w:rPr>
          <w:rFonts w:ascii="Times New Roman" w:hAnsi="Times New Roman" w:cs="Times New Roman"/>
          <w:szCs w:val="24"/>
        </w:rPr>
      </w:pPr>
      <w:r w:rsidRPr="00A60CD9">
        <w:rPr>
          <w:rFonts w:ascii="Times New Roman" w:hAnsi="Times New Roman" w:cs="Times New Roman"/>
          <w:szCs w:val="24"/>
        </w:rPr>
        <w:t>King, S. 2009, ‘</w:t>
      </w:r>
      <w:proofErr w:type="gramStart"/>
      <w:r w:rsidRPr="00A60CD9">
        <w:rPr>
          <w:rFonts w:ascii="Times New Roman" w:hAnsi="Times New Roman" w:cs="Times New Roman"/>
          <w:szCs w:val="24"/>
        </w:rPr>
        <w:t>The</w:t>
      </w:r>
      <w:proofErr w:type="gramEnd"/>
      <w:r w:rsidRPr="00A60CD9">
        <w:rPr>
          <w:rFonts w:ascii="Times New Roman" w:hAnsi="Times New Roman" w:cs="Times New Roman"/>
          <w:szCs w:val="24"/>
        </w:rPr>
        <w:t xml:space="preserve"> 2008 ACCC Merger Guidelines: How and Why Have They Changes’, </w:t>
      </w:r>
      <w:r w:rsidRPr="00A60CD9">
        <w:rPr>
          <w:rFonts w:ascii="Times New Roman" w:hAnsi="Times New Roman" w:cs="Times New Roman"/>
          <w:i/>
          <w:iCs/>
          <w:szCs w:val="24"/>
        </w:rPr>
        <w:t>UNSW Law Journal</w:t>
      </w:r>
      <w:r w:rsidRPr="00A60CD9">
        <w:rPr>
          <w:rFonts w:ascii="Times New Roman" w:hAnsi="Times New Roman" w:cs="Times New Roman"/>
          <w:szCs w:val="24"/>
        </w:rPr>
        <w:t>, vol. 32, no. 1, pp. 263–74.</w:t>
      </w:r>
    </w:p>
    <w:p w:rsidR="00A60CD9" w:rsidRPr="00A60CD9" w:rsidRDefault="00A60CD9" w:rsidP="00A60CD9">
      <w:pPr>
        <w:pStyle w:val="Bibliography"/>
        <w:rPr>
          <w:rFonts w:ascii="Times New Roman" w:hAnsi="Times New Roman" w:cs="Times New Roman"/>
          <w:szCs w:val="24"/>
        </w:rPr>
      </w:pPr>
      <w:proofErr w:type="spellStart"/>
      <w:r w:rsidRPr="00A60CD9">
        <w:rPr>
          <w:rFonts w:ascii="Times New Roman" w:hAnsi="Times New Roman" w:cs="Times New Roman"/>
          <w:szCs w:val="24"/>
        </w:rPr>
        <w:t>Marneffe</w:t>
      </w:r>
      <w:proofErr w:type="spellEnd"/>
      <w:r w:rsidRPr="00A60CD9">
        <w:rPr>
          <w:rFonts w:ascii="Times New Roman" w:hAnsi="Times New Roman" w:cs="Times New Roman"/>
          <w:szCs w:val="24"/>
        </w:rPr>
        <w:t xml:space="preserve">, W. &amp; </w:t>
      </w:r>
      <w:proofErr w:type="spellStart"/>
      <w:r w:rsidRPr="00A60CD9">
        <w:rPr>
          <w:rFonts w:ascii="Times New Roman" w:hAnsi="Times New Roman" w:cs="Times New Roman"/>
          <w:szCs w:val="24"/>
        </w:rPr>
        <w:t>Vereeck</w:t>
      </w:r>
      <w:proofErr w:type="spellEnd"/>
      <w:r w:rsidRPr="00A60CD9">
        <w:rPr>
          <w:rFonts w:ascii="Times New Roman" w:hAnsi="Times New Roman" w:cs="Times New Roman"/>
          <w:szCs w:val="24"/>
        </w:rPr>
        <w:t xml:space="preserve">, L. 2011, ‘The meaning of regulatory costs’, </w:t>
      </w:r>
      <w:r w:rsidRPr="00A60CD9">
        <w:rPr>
          <w:rFonts w:ascii="Times New Roman" w:hAnsi="Times New Roman" w:cs="Times New Roman"/>
          <w:i/>
          <w:iCs/>
          <w:szCs w:val="24"/>
        </w:rPr>
        <w:t>European Journal of Law and Economics</w:t>
      </w:r>
      <w:r w:rsidRPr="00A60CD9">
        <w:rPr>
          <w:rFonts w:ascii="Times New Roman" w:hAnsi="Times New Roman" w:cs="Times New Roman"/>
          <w:szCs w:val="24"/>
        </w:rPr>
        <w:t>, vol. 32, no. 3, pp. 341–56.</w:t>
      </w:r>
    </w:p>
    <w:p w:rsidR="00A60CD9" w:rsidRPr="00B34855" w:rsidRDefault="00A60CD9" w:rsidP="00A60CD9">
      <w:pPr>
        <w:pStyle w:val="Bibliography"/>
        <w:rPr>
          <w:rFonts w:ascii="Times New Roman" w:hAnsi="Times New Roman" w:cs="Times New Roman"/>
          <w:szCs w:val="24"/>
        </w:rPr>
      </w:pPr>
      <w:proofErr w:type="spellStart"/>
      <w:r w:rsidRPr="00A60CD9">
        <w:rPr>
          <w:rFonts w:ascii="Times New Roman" w:hAnsi="Times New Roman" w:cs="Times New Roman"/>
          <w:szCs w:val="24"/>
        </w:rPr>
        <w:t>Minifie</w:t>
      </w:r>
      <w:proofErr w:type="spellEnd"/>
      <w:r w:rsidRPr="00A60CD9">
        <w:rPr>
          <w:rFonts w:ascii="Times New Roman" w:hAnsi="Times New Roman" w:cs="Times New Roman"/>
          <w:szCs w:val="24"/>
        </w:rPr>
        <w:t>, J.</w:t>
      </w:r>
      <w:r w:rsidR="00B34855">
        <w:rPr>
          <w:rFonts w:ascii="Times New Roman" w:hAnsi="Times New Roman" w:cs="Times New Roman"/>
          <w:szCs w:val="24"/>
        </w:rPr>
        <w:t xml:space="preserve">, </w:t>
      </w:r>
      <w:proofErr w:type="spellStart"/>
      <w:r w:rsidR="00B34855">
        <w:rPr>
          <w:rFonts w:ascii="Times New Roman" w:hAnsi="Times New Roman" w:cs="Times New Roman"/>
          <w:szCs w:val="24"/>
        </w:rPr>
        <w:t>Chrisholm</w:t>
      </w:r>
      <w:proofErr w:type="spellEnd"/>
      <w:r w:rsidR="00B34855">
        <w:rPr>
          <w:rFonts w:ascii="Times New Roman" w:hAnsi="Times New Roman" w:cs="Times New Roman"/>
          <w:szCs w:val="24"/>
        </w:rPr>
        <w:t>, C.</w:t>
      </w:r>
      <w:r w:rsidRPr="00A60CD9">
        <w:rPr>
          <w:rFonts w:ascii="Times New Roman" w:hAnsi="Times New Roman" w:cs="Times New Roman"/>
          <w:szCs w:val="24"/>
        </w:rPr>
        <w:t xml:space="preserve"> &amp;</w:t>
      </w:r>
      <w:r w:rsidR="00B34855">
        <w:rPr>
          <w:rFonts w:ascii="Times New Roman" w:hAnsi="Times New Roman" w:cs="Times New Roman"/>
          <w:szCs w:val="24"/>
        </w:rPr>
        <w:t xml:space="preserve"> Percival, L.</w:t>
      </w:r>
      <w:r w:rsidRPr="00A60CD9">
        <w:rPr>
          <w:rFonts w:ascii="Times New Roman" w:hAnsi="Times New Roman" w:cs="Times New Roman"/>
          <w:szCs w:val="24"/>
        </w:rPr>
        <w:t xml:space="preserve"> 2017, </w:t>
      </w:r>
      <w:r w:rsidRPr="00A60CD9">
        <w:rPr>
          <w:rFonts w:ascii="Times New Roman" w:hAnsi="Times New Roman" w:cs="Times New Roman"/>
          <w:i/>
          <w:iCs/>
          <w:szCs w:val="24"/>
        </w:rPr>
        <w:t>Competition in Australia: too little of a good thing</w:t>
      </w:r>
      <w:proofErr w:type="gramStart"/>
      <w:r w:rsidRPr="00A60CD9">
        <w:rPr>
          <w:rFonts w:ascii="Times New Roman" w:hAnsi="Times New Roman" w:cs="Times New Roman"/>
          <w:i/>
          <w:iCs/>
          <w:szCs w:val="24"/>
        </w:rPr>
        <w:t>?</w:t>
      </w:r>
      <w:r w:rsidR="00B34855">
        <w:rPr>
          <w:rFonts w:ascii="Times New Roman" w:hAnsi="Times New Roman" w:cs="Times New Roman"/>
          <w:iCs/>
          <w:szCs w:val="24"/>
        </w:rPr>
        <w:t>,</w:t>
      </w:r>
      <w:proofErr w:type="gramEnd"/>
      <w:r w:rsidR="00B34855">
        <w:rPr>
          <w:rFonts w:ascii="Times New Roman" w:hAnsi="Times New Roman" w:cs="Times New Roman"/>
          <w:iCs/>
          <w:szCs w:val="24"/>
        </w:rPr>
        <w:t xml:space="preserve"> </w:t>
      </w:r>
      <w:r w:rsidR="00B34855" w:rsidRPr="00A60CD9">
        <w:rPr>
          <w:rFonts w:ascii="Times New Roman" w:hAnsi="Times New Roman" w:cs="Times New Roman"/>
          <w:szCs w:val="24"/>
        </w:rPr>
        <w:t>Grattan Institute</w:t>
      </w:r>
      <w:r w:rsidR="00B34855">
        <w:rPr>
          <w:rFonts w:ascii="Times New Roman" w:hAnsi="Times New Roman" w:cs="Times New Roman"/>
          <w:szCs w:val="24"/>
        </w:rPr>
        <w:t>.</w:t>
      </w:r>
    </w:p>
    <w:p w:rsidR="00A60CD9" w:rsidRPr="00A60CD9" w:rsidRDefault="00E15E43" w:rsidP="00A60CD9">
      <w:pPr>
        <w:pStyle w:val="Bibliography"/>
        <w:rPr>
          <w:rFonts w:ascii="Times New Roman" w:hAnsi="Times New Roman" w:cs="Times New Roman"/>
          <w:szCs w:val="24"/>
        </w:rPr>
      </w:pPr>
      <w:proofErr w:type="gramStart"/>
      <w:r>
        <w:rPr>
          <w:rFonts w:ascii="Times New Roman" w:hAnsi="Times New Roman" w:cs="Times New Roman"/>
          <w:szCs w:val="24"/>
        </w:rPr>
        <w:t>OECD (</w:t>
      </w:r>
      <w:r w:rsidR="00A60CD9" w:rsidRPr="00A60CD9">
        <w:rPr>
          <w:rFonts w:ascii="Times New Roman" w:hAnsi="Times New Roman" w:cs="Times New Roman"/>
          <w:szCs w:val="24"/>
        </w:rPr>
        <w:t>Organisation for Economic Co-operation and Development</w:t>
      </w:r>
      <w:r>
        <w:rPr>
          <w:rFonts w:ascii="Times New Roman" w:hAnsi="Times New Roman" w:cs="Times New Roman"/>
          <w:szCs w:val="24"/>
        </w:rPr>
        <w:t>)</w:t>
      </w:r>
      <w:r w:rsidR="00A60CD9" w:rsidRPr="00A60CD9">
        <w:rPr>
          <w:rFonts w:ascii="Times New Roman" w:hAnsi="Times New Roman" w:cs="Times New Roman"/>
          <w:szCs w:val="24"/>
        </w:rPr>
        <w:t xml:space="preserve"> 2018, </w:t>
      </w:r>
      <w:r w:rsidR="00A60CD9" w:rsidRPr="00A60CD9">
        <w:rPr>
          <w:rFonts w:ascii="Times New Roman" w:hAnsi="Times New Roman" w:cs="Times New Roman"/>
          <w:i/>
          <w:iCs/>
          <w:szCs w:val="24"/>
        </w:rPr>
        <w:t>Improving Online Disclosures with Behavioural Insights</w:t>
      </w:r>
      <w:r>
        <w:rPr>
          <w:rFonts w:ascii="Times New Roman" w:hAnsi="Times New Roman" w:cs="Times New Roman"/>
          <w:szCs w:val="24"/>
        </w:rPr>
        <w:t>,</w:t>
      </w:r>
      <w:r w:rsidR="00A60CD9" w:rsidRPr="00A60CD9">
        <w:rPr>
          <w:rFonts w:ascii="Times New Roman" w:hAnsi="Times New Roman" w:cs="Times New Roman"/>
          <w:szCs w:val="24"/>
        </w:rPr>
        <w:t xml:space="preserve"> OECD </w:t>
      </w:r>
      <w:r w:rsidRPr="00A60CD9">
        <w:rPr>
          <w:rFonts w:ascii="Times New Roman" w:hAnsi="Times New Roman" w:cs="Times New Roman"/>
          <w:szCs w:val="24"/>
        </w:rPr>
        <w:t>Digital</w:t>
      </w:r>
      <w:r w:rsidR="00A60CD9" w:rsidRPr="00A60CD9">
        <w:rPr>
          <w:rFonts w:ascii="Times New Roman" w:hAnsi="Times New Roman" w:cs="Times New Roman"/>
          <w:szCs w:val="24"/>
        </w:rPr>
        <w:t xml:space="preserve"> Economy Papers, Paris.</w:t>
      </w:r>
      <w:proofErr w:type="gramEnd"/>
    </w:p>
    <w:p w:rsidR="00A60CD9" w:rsidRPr="00A60CD9" w:rsidRDefault="00E15E43" w:rsidP="00A60CD9">
      <w:pPr>
        <w:pStyle w:val="Bibliography"/>
        <w:rPr>
          <w:rFonts w:ascii="Times New Roman" w:hAnsi="Times New Roman" w:cs="Times New Roman"/>
          <w:szCs w:val="24"/>
        </w:rPr>
      </w:pPr>
      <w:r>
        <w:rPr>
          <w:rFonts w:ascii="Times New Roman" w:hAnsi="Times New Roman" w:cs="Times New Roman"/>
          <w:szCs w:val="24"/>
        </w:rPr>
        <w:t>OECD (</w:t>
      </w:r>
      <w:r w:rsidR="00A60CD9" w:rsidRPr="00A60CD9">
        <w:rPr>
          <w:rFonts w:ascii="Times New Roman" w:hAnsi="Times New Roman" w:cs="Times New Roman"/>
          <w:szCs w:val="24"/>
        </w:rPr>
        <w:t>Organisation for Economic Co-operation and Development</w:t>
      </w:r>
      <w:r>
        <w:rPr>
          <w:rFonts w:ascii="Times New Roman" w:hAnsi="Times New Roman" w:cs="Times New Roman"/>
          <w:szCs w:val="24"/>
        </w:rPr>
        <w:t>_</w:t>
      </w:r>
      <w:r w:rsidR="00A60CD9" w:rsidRPr="00A60CD9">
        <w:rPr>
          <w:rFonts w:ascii="Times New Roman" w:hAnsi="Times New Roman" w:cs="Times New Roman"/>
          <w:szCs w:val="24"/>
        </w:rPr>
        <w:t xml:space="preserve"> 2012, </w:t>
      </w:r>
      <w:r w:rsidR="00A60CD9" w:rsidRPr="00A60CD9">
        <w:rPr>
          <w:rFonts w:ascii="Times New Roman" w:hAnsi="Times New Roman" w:cs="Times New Roman"/>
          <w:i/>
          <w:iCs/>
          <w:szCs w:val="24"/>
        </w:rPr>
        <w:t>Recommendation of the Council on Regulatory Policy and Governance</w:t>
      </w:r>
      <w:r w:rsidR="00A60CD9" w:rsidRPr="00A60CD9">
        <w:rPr>
          <w:rFonts w:ascii="Times New Roman" w:hAnsi="Times New Roman" w:cs="Times New Roman"/>
          <w:szCs w:val="24"/>
        </w:rPr>
        <w:t>, Paris.</w:t>
      </w:r>
    </w:p>
    <w:p w:rsidR="00E15E43" w:rsidRPr="00A60CD9" w:rsidRDefault="00E15E43" w:rsidP="00E15E43">
      <w:pPr>
        <w:pStyle w:val="Bibliography"/>
        <w:rPr>
          <w:rFonts w:ascii="Times New Roman" w:hAnsi="Times New Roman" w:cs="Times New Roman"/>
          <w:szCs w:val="24"/>
        </w:rPr>
      </w:pPr>
      <w:r>
        <w:rPr>
          <w:rFonts w:ascii="Times New Roman" w:hAnsi="Times New Roman" w:cs="Times New Roman"/>
          <w:szCs w:val="24"/>
        </w:rPr>
        <w:t>PC (</w:t>
      </w:r>
      <w:r w:rsidRPr="00A60CD9">
        <w:rPr>
          <w:rFonts w:ascii="Times New Roman" w:hAnsi="Times New Roman" w:cs="Times New Roman"/>
          <w:szCs w:val="24"/>
        </w:rPr>
        <w:t>Productivity Commission</w:t>
      </w:r>
      <w:r>
        <w:rPr>
          <w:rFonts w:ascii="Times New Roman" w:hAnsi="Times New Roman" w:cs="Times New Roman"/>
          <w:szCs w:val="24"/>
        </w:rPr>
        <w:t>)</w:t>
      </w:r>
      <w:r w:rsidRPr="00A60CD9">
        <w:rPr>
          <w:rFonts w:ascii="Times New Roman" w:hAnsi="Times New Roman" w:cs="Times New Roman"/>
          <w:szCs w:val="24"/>
        </w:rPr>
        <w:t xml:space="preserve"> 2012, </w:t>
      </w:r>
      <w:r w:rsidRPr="00A60CD9">
        <w:rPr>
          <w:rFonts w:ascii="Times New Roman" w:hAnsi="Times New Roman" w:cs="Times New Roman"/>
          <w:i/>
          <w:iCs/>
          <w:szCs w:val="24"/>
        </w:rPr>
        <w:t>Regulatory Impact Analysis: Benchmarking</w:t>
      </w:r>
      <w:r w:rsidRPr="00A60CD9">
        <w:rPr>
          <w:rFonts w:ascii="Times New Roman" w:hAnsi="Times New Roman" w:cs="Times New Roman"/>
          <w:szCs w:val="24"/>
        </w:rPr>
        <w:t>, Canberra.</w:t>
      </w:r>
    </w:p>
    <w:p w:rsidR="00E15E43" w:rsidRDefault="00E15E43" w:rsidP="00E15E43">
      <w:pPr>
        <w:pStyle w:val="Bibliography"/>
        <w:rPr>
          <w:rFonts w:ascii="Times New Roman" w:hAnsi="Times New Roman" w:cs="Times New Roman"/>
          <w:szCs w:val="24"/>
        </w:rPr>
      </w:pPr>
      <w:proofErr w:type="gramStart"/>
      <w:r>
        <w:rPr>
          <w:rFonts w:ascii="Times New Roman" w:hAnsi="Times New Roman" w:cs="Times New Roman"/>
          <w:szCs w:val="24"/>
        </w:rPr>
        <w:t>PC (</w:t>
      </w:r>
      <w:r w:rsidRPr="00A60CD9">
        <w:rPr>
          <w:rFonts w:ascii="Times New Roman" w:hAnsi="Times New Roman" w:cs="Times New Roman"/>
          <w:szCs w:val="24"/>
        </w:rPr>
        <w:t>Productivity Commission</w:t>
      </w:r>
      <w:r>
        <w:rPr>
          <w:rFonts w:ascii="Times New Roman" w:hAnsi="Times New Roman" w:cs="Times New Roman"/>
          <w:szCs w:val="24"/>
        </w:rPr>
        <w:t>)</w:t>
      </w:r>
      <w:r w:rsidRPr="00A60CD9">
        <w:rPr>
          <w:rFonts w:ascii="Times New Roman" w:hAnsi="Times New Roman" w:cs="Times New Roman"/>
          <w:szCs w:val="24"/>
        </w:rPr>
        <w:t xml:space="preserve"> 2017, </w:t>
      </w:r>
      <w:r w:rsidRPr="00A60CD9">
        <w:rPr>
          <w:rFonts w:ascii="Times New Roman" w:hAnsi="Times New Roman" w:cs="Times New Roman"/>
          <w:i/>
          <w:iCs/>
          <w:szCs w:val="24"/>
        </w:rPr>
        <w:t>Telecommunications Universal Service Obligation</w:t>
      </w:r>
      <w:r>
        <w:rPr>
          <w:rFonts w:ascii="Times New Roman" w:hAnsi="Times New Roman" w:cs="Times New Roman"/>
          <w:szCs w:val="24"/>
        </w:rPr>
        <w:t>, Canberra.</w:t>
      </w:r>
      <w:proofErr w:type="gramEnd"/>
    </w:p>
    <w:p w:rsidR="00A60CD9" w:rsidRPr="00A60CD9" w:rsidRDefault="00E15E43" w:rsidP="00A60CD9">
      <w:pPr>
        <w:pStyle w:val="Bibliography"/>
        <w:rPr>
          <w:rFonts w:ascii="Times New Roman" w:hAnsi="Times New Roman" w:cs="Times New Roman"/>
          <w:szCs w:val="24"/>
        </w:rPr>
      </w:pPr>
      <w:proofErr w:type="gramStart"/>
      <w:r>
        <w:rPr>
          <w:rFonts w:ascii="Times New Roman" w:hAnsi="Times New Roman" w:cs="Times New Roman"/>
          <w:szCs w:val="24"/>
        </w:rPr>
        <w:t>PC (</w:t>
      </w:r>
      <w:r w:rsidR="00A60CD9" w:rsidRPr="00A60CD9">
        <w:rPr>
          <w:rFonts w:ascii="Times New Roman" w:hAnsi="Times New Roman" w:cs="Times New Roman"/>
          <w:szCs w:val="24"/>
        </w:rPr>
        <w:t>Productivity Commission</w:t>
      </w:r>
      <w:r>
        <w:rPr>
          <w:rFonts w:ascii="Times New Roman" w:hAnsi="Times New Roman" w:cs="Times New Roman"/>
          <w:szCs w:val="24"/>
        </w:rPr>
        <w:t>)</w:t>
      </w:r>
      <w:r w:rsidR="00A60CD9" w:rsidRPr="00A60CD9">
        <w:rPr>
          <w:rFonts w:ascii="Times New Roman" w:hAnsi="Times New Roman" w:cs="Times New Roman"/>
          <w:szCs w:val="24"/>
        </w:rPr>
        <w:t xml:space="preserve"> 2018, </w:t>
      </w:r>
      <w:r w:rsidR="00A60CD9" w:rsidRPr="00A60CD9">
        <w:rPr>
          <w:rFonts w:ascii="Times New Roman" w:hAnsi="Times New Roman" w:cs="Times New Roman"/>
          <w:i/>
          <w:iCs/>
          <w:szCs w:val="24"/>
        </w:rPr>
        <w:t>Competition in the Australian Financial System</w:t>
      </w:r>
      <w:r w:rsidR="00A60CD9" w:rsidRPr="00A60CD9">
        <w:rPr>
          <w:rFonts w:ascii="Times New Roman" w:hAnsi="Times New Roman" w:cs="Times New Roman"/>
          <w:szCs w:val="24"/>
        </w:rPr>
        <w:t>, Canberra.</w:t>
      </w:r>
      <w:proofErr w:type="gramEnd"/>
    </w:p>
    <w:p w:rsidR="00A60CD9" w:rsidRPr="00A60CD9" w:rsidRDefault="00A60CD9" w:rsidP="00A60CD9">
      <w:pPr>
        <w:pStyle w:val="Bibliography"/>
        <w:rPr>
          <w:rFonts w:ascii="Times New Roman" w:hAnsi="Times New Roman" w:cs="Times New Roman"/>
          <w:szCs w:val="24"/>
        </w:rPr>
      </w:pPr>
      <w:proofErr w:type="spellStart"/>
      <w:proofErr w:type="gramStart"/>
      <w:r w:rsidRPr="00A60CD9">
        <w:rPr>
          <w:rFonts w:ascii="Times New Roman" w:hAnsi="Times New Roman" w:cs="Times New Roman"/>
          <w:szCs w:val="24"/>
        </w:rPr>
        <w:t>Schmalensee</w:t>
      </w:r>
      <w:proofErr w:type="spellEnd"/>
      <w:r w:rsidRPr="00A60CD9">
        <w:rPr>
          <w:rFonts w:ascii="Times New Roman" w:hAnsi="Times New Roman" w:cs="Times New Roman"/>
          <w:szCs w:val="24"/>
        </w:rPr>
        <w:t xml:space="preserve">, R. 1981, ‘Output and welfare implications of monopolistic third-degree price discrimination’, </w:t>
      </w:r>
      <w:r w:rsidRPr="00A60CD9">
        <w:rPr>
          <w:rFonts w:ascii="Times New Roman" w:hAnsi="Times New Roman" w:cs="Times New Roman"/>
          <w:i/>
          <w:iCs/>
          <w:szCs w:val="24"/>
        </w:rPr>
        <w:t>The American Economic Review</w:t>
      </w:r>
      <w:r w:rsidRPr="00A60CD9">
        <w:rPr>
          <w:rFonts w:ascii="Times New Roman" w:hAnsi="Times New Roman" w:cs="Times New Roman"/>
          <w:szCs w:val="24"/>
        </w:rPr>
        <w:t>, vol. 71, no. 1, pp. 242–7.</w:t>
      </w:r>
      <w:proofErr w:type="gramEnd"/>
    </w:p>
    <w:p w:rsidR="00A60CD9" w:rsidRPr="00A60CD9" w:rsidRDefault="00A60CD9" w:rsidP="00A60CD9">
      <w:pPr>
        <w:pStyle w:val="Bibliography"/>
        <w:rPr>
          <w:rFonts w:ascii="Times New Roman" w:hAnsi="Times New Roman" w:cs="Times New Roman"/>
          <w:szCs w:val="24"/>
        </w:rPr>
      </w:pPr>
      <w:proofErr w:type="spellStart"/>
      <w:r w:rsidRPr="00A60CD9">
        <w:rPr>
          <w:rFonts w:ascii="Times New Roman" w:hAnsi="Times New Roman" w:cs="Times New Roman"/>
          <w:szCs w:val="24"/>
        </w:rPr>
        <w:t>Shavell</w:t>
      </w:r>
      <w:proofErr w:type="spellEnd"/>
      <w:r w:rsidRPr="00A60CD9">
        <w:rPr>
          <w:rFonts w:ascii="Times New Roman" w:hAnsi="Times New Roman" w:cs="Times New Roman"/>
          <w:szCs w:val="24"/>
        </w:rPr>
        <w:t xml:space="preserve">, S. 1982, ‘The social versus the private incentive to bring suit in a costly legal system’, </w:t>
      </w:r>
      <w:r w:rsidRPr="00A60CD9">
        <w:rPr>
          <w:rFonts w:ascii="Times New Roman" w:hAnsi="Times New Roman" w:cs="Times New Roman"/>
          <w:i/>
          <w:iCs/>
          <w:szCs w:val="24"/>
        </w:rPr>
        <w:t>Journal of Legal Studies</w:t>
      </w:r>
      <w:r w:rsidRPr="00A60CD9">
        <w:rPr>
          <w:rFonts w:ascii="Times New Roman" w:hAnsi="Times New Roman" w:cs="Times New Roman"/>
          <w:szCs w:val="24"/>
        </w:rPr>
        <w:t>, vol. 11, no. 2, pp. 333–9.</w:t>
      </w:r>
    </w:p>
    <w:p w:rsidR="00A60CD9" w:rsidRPr="00A60CD9" w:rsidRDefault="00A60CD9" w:rsidP="00A60CD9">
      <w:pPr>
        <w:pStyle w:val="Bibliography"/>
        <w:rPr>
          <w:rFonts w:ascii="Times New Roman" w:hAnsi="Times New Roman" w:cs="Times New Roman"/>
          <w:szCs w:val="24"/>
        </w:rPr>
      </w:pPr>
      <w:r w:rsidRPr="00A60CD9">
        <w:rPr>
          <w:rFonts w:ascii="Times New Roman" w:hAnsi="Times New Roman" w:cs="Times New Roman"/>
          <w:szCs w:val="24"/>
        </w:rPr>
        <w:lastRenderedPageBreak/>
        <w:t xml:space="preserve">Su, J., Shukla, A., </w:t>
      </w:r>
      <w:proofErr w:type="spellStart"/>
      <w:r w:rsidRPr="00A60CD9">
        <w:rPr>
          <w:rFonts w:ascii="Times New Roman" w:hAnsi="Times New Roman" w:cs="Times New Roman"/>
          <w:szCs w:val="24"/>
        </w:rPr>
        <w:t>Goel</w:t>
      </w:r>
      <w:proofErr w:type="spellEnd"/>
      <w:r w:rsidRPr="00A60CD9">
        <w:rPr>
          <w:rFonts w:ascii="Times New Roman" w:hAnsi="Times New Roman" w:cs="Times New Roman"/>
          <w:szCs w:val="24"/>
        </w:rPr>
        <w:t xml:space="preserve">, S. &amp; Narayanan, A. 2017, </w:t>
      </w:r>
      <w:r w:rsidRPr="00A60CD9">
        <w:rPr>
          <w:rFonts w:ascii="Times New Roman" w:hAnsi="Times New Roman" w:cs="Times New Roman"/>
          <w:i/>
          <w:iCs/>
          <w:szCs w:val="24"/>
        </w:rPr>
        <w:t>De-anonymizing web browsing data with social networks</w:t>
      </w:r>
      <w:r w:rsidRPr="00A60CD9">
        <w:rPr>
          <w:rFonts w:ascii="Times New Roman" w:hAnsi="Times New Roman" w:cs="Times New Roman"/>
          <w:szCs w:val="24"/>
        </w:rPr>
        <w:t>, International World Wide Web Conferences Steering Committee, pp. 1261–9.</w:t>
      </w:r>
    </w:p>
    <w:p w:rsidR="00A60CD9" w:rsidRPr="00A60CD9" w:rsidRDefault="00E15E43" w:rsidP="00A60CD9">
      <w:pPr>
        <w:pStyle w:val="Bibliography"/>
        <w:rPr>
          <w:rFonts w:ascii="Times New Roman" w:hAnsi="Times New Roman" w:cs="Times New Roman"/>
          <w:szCs w:val="24"/>
        </w:rPr>
      </w:pPr>
      <w:r>
        <w:rPr>
          <w:rFonts w:ascii="Times New Roman" w:hAnsi="Times New Roman" w:cs="Times New Roman"/>
          <w:szCs w:val="24"/>
        </w:rPr>
        <w:t>TIO (</w:t>
      </w:r>
      <w:r w:rsidR="00A60CD9" w:rsidRPr="00A60CD9">
        <w:rPr>
          <w:rFonts w:ascii="Times New Roman" w:hAnsi="Times New Roman" w:cs="Times New Roman"/>
          <w:szCs w:val="24"/>
        </w:rPr>
        <w:t>Telecommunications Industry Ombudsman</w:t>
      </w:r>
      <w:r>
        <w:rPr>
          <w:rFonts w:ascii="Times New Roman" w:hAnsi="Times New Roman" w:cs="Times New Roman"/>
          <w:szCs w:val="24"/>
        </w:rPr>
        <w:t>)</w:t>
      </w:r>
      <w:r w:rsidR="00A60CD9" w:rsidRPr="00A60CD9">
        <w:rPr>
          <w:rFonts w:ascii="Times New Roman" w:hAnsi="Times New Roman" w:cs="Times New Roman"/>
          <w:szCs w:val="24"/>
        </w:rPr>
        <w:t xml:space="preserve"> 2018, </w:t>
      </w:r>
      <w:r w:rsidR="00A60CD9" w:rsidRPr="00A60CD9">
        <w:rPr>
          <w:rFonts w:ascii="Times New Roman" w:hAnsi="Times New Roman" w:cs="Times New Roman"/>
          <w:i/>
          <w:iCs/>
          <w:szCs w:val="24"/>
        </w:rPr>
        <w:t>2016-2017 Annual Report</w:t>
      </w:r>
      <w:r w:rsidR="00A60CD9" w:rsidRPr="00A60CD9">
        <w:rPr>
          <w:rFonts w:ascii="Times New Roman" w:hAnsi="Times New Roman" w:cs="Times New Roman"/>
          <w:szCs w:val="24"/>
        </w:rPr>
        <w:t>.</w:t>
      </w:r>
    </w:p>
    <w:p w:rsidR="00A60CD9" w:rsidRPr="00A60CD9" w:rsidRDefault="00A60CD9" w:rsidP="00A60CD9">
      <w:pPr>
        <w:pStyle w:val="Bibliography"/>
        <w:rPr>
          <w:rFonts w:ascii="Times New Roman" w:hAnsi="Times New Roman" w:cs="Times New Roman"/>
          <w:szCs w:val="24"/>
        </w:rPr>
      </w:pPr>
      <w:proofErr w:type="gramStart"/>
      <w:r w:rsidRPr="00A60CD9">
        <w:rPr>
          <w:rFonts w:ascii="Times New Roman" w:hAnsi="Times New Roman" w:cs="Times New Roman"/>
          <w:szCs w:val="24"/>
        </w:rPr>
        <w:t xml:space="preserve">Varian, H.R. 1989, ‘Price discrimination’, </w:t>
      </w:r>
      <w:r w:rsidRPr="00A60CD9">
        <w:rPr>
          <w:rFonts w:ascii="Times New Roman" w:hAnsi="Times New Roman" w:cs="Times New Roman"/>
          <w:i/>
          <w:iCs/>
          <w:szCs w:val="24"/>
        </w:rPr>
        <w:t>Handbook of industrial organization</w:t>
      </w:r>
      <w:r w:rsidRPr="00A60CD9">
        <w:rPr>
          <w:rFonts w:ascii="Times New Roman" w:hAnsi="Times New Roman" w:cs="Times New Roman"/>
          <w:szCs w:val="24"/>
        </w:rPr>
        <w:t>, vol. 1, pp. 597–654.</w:t>
      </w:r>
      <w:proofErr w:type="gramEnd"/>
    </w:p>
    <w:p w:rsidR="00A60CD9" w:rsidRPr="00A60CD9" w:rsidRDefault="00A60CD9" w:rsidP="00A60CD9">
      <w:pPr>
        <w:pStyle w:val="Bibliography"/>
        <w:rPr>
          <w:rFonts w:ascii="Times New Roman" w:hAnsi="Times New Roman" w:cs="Times New Roman"/>
          <w:szCs w:val="24"/>
        </w:rPr>
      </w:pPr>
      <w:proofErr w:type="gramStart"/>
      <w:r w:rsidRPr="00A60CD9">
        <w:rPr>
          <w:rFonts w:ascii="Times New Roman" w:hAnsi="Times New Roman" w:cs="Times New Roman"/>
          <w:szCs w:val="24"/>
        </w:rPr>
        <w:t xml:space="preserve">Varian, H.R. 1985, ‘Price discrimination and social welfare’, </w:t>
      </w:r>
      <w:r w:rsidRPr="00A60CD9">
        <w:rPr>
          <w:rFonts w:ascii="Times New Roman" w:hAnsi="Times New Roman" w:cs="Times New Roman"/>
          <w:i/>
          <w:iCs/>
          <w:szCs w:val="24"/>
        </w:rPr>
        <w:t>The American Economic Review</w:t>
      </w:r>
      <w:r w:rsidRPr="00A60CD9">
        <w:rPr>
          <w:rFonts w:ascii="Times New Roman" w:hAnsi="Times New Roman" w:cs="Times New Roman"/>
          <w:szCs w:val="24"/>
        </w:rPr>
        <w:t>, vol. 75, no. 4, pp. 870–5.</w:t>
      </w:r>
      <w:proofErr w:type="gramEnd"/>
    </w:p>
    <w:p w:rsidR="003A17FE" w:rsidRDefault="003A17FE" w:rsidP="00DA23A9">
      <w:pPr>
        <w:pStyle w:val="Bibliography"/>
      </w:pPr>
    </w:p>
    <w:sectPr w:rsidR="003A17FE" w:rsidSect="00DD0AEA">
      <w:headerReference w:type="default" r:id="rId10"/>
      <w:footerReference w:type="default" r:id="rId11"/>
      <w:headerReference w:type="first" r:id="rId12"/>
      <w:footerReference w:type="first" r:id="rId13"/>
      <w:pgSz w:w="11906" w:h="16838" w:code="9"/>
      <w:pgMar w:top="1440" w:right="1440" w:bottom="1440" w:left="1440"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D7E" w:rsidRDefault="00A27D7E" w:rsidP="00DD0AEA">
      <w:pPr>
        <w:spacing w:after="0" w:line="240" w:lineRule="auto"/>
      </w:pPr>
      <w:r>
        <w:separator/>
      </w:r>
    </w:p>
  </w:endnote>
  <w:endnote w:type="continuationSeparator" w:id="0">
    <w:p w:rsidR="00A27D7E" w:rsidRDefault="00A27D7E" w:rsidP="00DD0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font331">
    <w:altName w:val="MS Mincho"/>
    <w:charset w:val="8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468" w:rsidRDefault="00DD5468" w:rsidP="00DD0AEA">
    <w:pPr>
      <w:spacing w:after="0"/>
      <w:rPr>
        <w:noProof/>
      </w:rPr>
    </w:pPr>
    <w:r w:rsidRPr="00E05115">
      <w:rPr>
        <w:color w:val="23B0E6"/>
      </w:rPr>
      <w:t>www.accan.org.au | info@accan.org.au | twitter: @ACCAN_AU</w:t>
    </w:r>
    <w:r>
      <w:rPr>
        <w:color w:val="23B0E6"/>
      </w:rPr>
      <w:ptab w:relativeTo="margin" w:alignment="right" w:leader="none"/>
    </w:r>
    <w:r w:rsidRPr="00C4251E">
      <w:fldChar w:fldCharType="begin"/>
    </w:r>
    <w:r w:rsidRPr="00C4251E">
      <w:instrText xml:space="preserve"> PAGE   \* MERGEFORMAT </w:instrText>
    </w:r>
    <w:r w:rsidRPr="00C4251E">
      <w:fldChar w:fldCharType="separate"/>
    </w:r>
    <w:r w:rsidR="00FA5EBA">
      <w:rPr>
        <w:noProof/>
      </w:rPr>
      <w:t>3</w:t>
    </w:r>
    <w:r w:rsidRPr="00C4251E">
      <w:rPr>
        <w:noProof/>
      </w:rPr>
      <w:fldChar w:fldCharType="end"/>
    </w:r>
  </w:p>
  <w:p w:rsidR="00DD5468" w:rsidRPr="000F58CC" w:rsidRDefault="00DD5468" w:rsidP="00DD0AE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468" w:rsidRDefault="00DD5468" w:rsidP="00DD0AEA">
    <w:pPr>
      <w:pStyle w:val="Footerpage1"/>
    </w:pPr>
    <w:r w:rsidRPr="004A0B0A">
      <w:rPr>
        <w:color w:val="44C8F5"/>
      </w:rPr>
      <w:t>Australian Communications Consumer Action Network (ACCAN)</w:t>
    </w:r>
  </w:p>
  <w:p w:rsidR="00DD5468" w:rsidRDefault="00DD5468" w:rsidP="00DD0AEA">
    <w:pPr>
      <w:pStyle w:val="Footerpage1"/>
      <w:rPr>
        <w:i/>
      </w:rPr>
    </w:pPr>
    <w:r w:rsidRPr="004A0B0A">
      <w:rPr>
        <w:i/>
        <w:color w:val="44C8F5"/>
      </w:rPr>
      <w:t>Australia’s peak telecommunications consumer organisation</w:t>
    </w:r>
  </w:p>
  <w:p w:rsidR="00DD5468" w:rsidRDefault="00DD5468" w:rsidP="00DD0AEA">
    <w:pPr>
      <w:pStyle w:val="Footerpage1"/>
    </w:pPr>
    <w:r w:rsidRPr="008E763A">
      <w:rPr>
        <w:noProof/>
        <w:lang w:val="en-US"/>
      </w:rPr>
      <mc:AlternateContent>
        <mc:Choice Requires="wps">
          <w:drawing>
            <wp:inline distT="0" distB="0" distL="0" distR="0" wp14:anchorId="6B4AEB65" wp14:editId="3435657F">
              <wp:extent cx="6699600" cy="0"/>
              <wp:effectExtent l="0" t="19050" r="6350" b="19050"/>
              <wp:docPr id="5" name="Straight Connector 5"/>
              <wp:cNvGraphicFramePr/>
              <a:graphic xmlns:a="http://schemas.openxmlformats.org/drawingml/2006/main">
                <a:graphicData uri="http://schemas.microsoft.com/office/word/2010/wordprocessingShape">
                  <wps:wsp>
                    <wps:cNvCnPr/>
                    <wps:spPr>
                      <a:xfrm>
                        <a:off x="0" y="0"/>
                        <a:ext cx="6699600" cy="0"/>
                      </a:xfrm>
                      <a:prstGeom prst="line">
                        <a:avLst/>
                      </a:prstGeom>
                      <a:noFill/>
                      <a:ln w="38100" cap="flat" cmpd="sng" algn="ctr">
                        <a:solidFill>
                          <a:srgbClr val="23B0E6"/>
                        </a:solidFill>
                        <a:prstDash val="solid"/>
                      </a:ln>
                      <a:effectLst/>
                    </wps:spPr>
                    <wps:bodyPr/>
                  </wps:wsp>
                </a:graphicData>
              </a:graphic>
            </wp:inline>
          </w:drawing>
        </mc:Choice>
        <mc:Fallback>
          <w:pict>
            <v:line id="Straight Connector 5" o:spid="_x0000_s1026" style="visibility:visible;mso-wrap-style:square;mso-left-percent:-10001;mso-top-percent:-10001;mso-position-horizontal:absolute;mso-position-horizontal-relative:char;mso-position-vertical:absolute;mso-position-vertical-relative:line;mso-left-percent:-10001;mso-top-percent:-10001" from="0,0" to="527.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" strokecolor="#23b0e6" strokeweight="3pt">
              <w10:anchorlock/>
            </v:line>
          </w:pict>
        </mc:Fallback>
      </mc:AlternateContent>
    </w:r>
    <w:r w:rsidRPr="008E763A">
      <w:t>Suite 4.02, 55 Mountain St, Ultimo NSW 2007</w:t>
    </w:r>
  </w:p>
  <w:p w:rsidR="00DD5468" w:rsidRDefault="00DD5468" w:rsidP="00DD0AEA">
    <w:pPr>
      <w:pStyle w:val="Footerpage1"/>
    </w:pPr>
    <w:r w:rsidRPr="008E763A">
      <w:t>Tel: (02) 9288 4000 | TTY: (02) 9281 5322 | Fax: (02) 9288 4019</w:t>
    </w:r>
  </w:p>
  <w:p w:rsidR="00DD5468" w:rsidRDefault="00DD5468" w:rsidP="00DD0AEA">
    <w:pPr>
      <w:pStyle w:val="Footerpage1"/>
    </w:pPr>
    <w:r w:rsidRPr="004A0B0A">
      <w:rPr>
        <w:color w:val="44C8F5"/>
      </w:rPr>
      <w:t>www.accan.org.au | info@accan.org.au | twitter: @ACCAN_AU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D7E" w:rsidRDefault="00A27D7E" w:rsidP="00DD0AEA">
      <w:pPr>
        <w:spacing w:after="0" w:line="240" w:lineRule="auto"/>
      </w:pPr>
      <w:r>
        <w:separator/>
      </w:r>
    </w:p>
  </w:footnote>
  <w:footnote w:type="continuationSeparator" w:id="0">
    <w:p w:rsidR="00A27D7E" w:rsidRDefault="00A27D7E" w:rsidP="00DD0AEA">
      <w:pPr>
        <w:spacing w:after="0" w:line="240" w:lineRule="auto"/>
      </w:pPr>
      <w:r>
        <w:continuationSeparator/>
      </w:r>
    </w:p>
  </w:footnote>
  <w:footnote w:id="1">
    <w:p w:rsidR="00DD5468" w:rsidRPr="002B54EA" w:rsidRDefault="00DD5468" w:rsidP="00585151">
      <w:pPr>
        <w:pStyle w:val="FootnoteText"/>
        <w:jc w:val="both"/>
        <w:rPr>
          <w:rFonts w:ascii="Times New Roman" w:hAnsi="Times New Roman" w:cs="Times New Roman"/>
        </w:rPr>
      </w:pPr>
      <w:r w:rsidRPr="002B54EA">
        <w:rPr>
          <w:rStyle w:val="FootnoteReference"/>
          <w:rFonts w:ascii="Times New Roman" w:hAnsi="Times New Roman" w:cs="Times New Roman"/>
        </w:rPr>
        <w:footnoteRef/>
      </w:r>
      <w:r w:rsidRPr="002B54EA">
        <w:rPr>
          <w:rFonts w:ascii="Times New Roman" w:hAnsi="Times New Roman" w:cs="Times New Roman"/>
        </w:rPr>
        <w:t>. Insofar as the cost of information may be a driver in the emergence of information asymmetries, noting that an analysis of disaggregated costs of observation, communicating and interpreting information amongst others. A reduction in the costs of communicating information, does not necessarily result in a reduction in information asymmetries where consumers are not in a position to observe all product or service characteristics (at reasonable cost) or where a counterparty may raise the costs of transacting through complex contracts, or creating barriers to enforcement.</w:t>
      </w:r>
    </w:p>
  </w:footnote>
  <w:footnote w:id="2">
    <w:p w:rsidR="00DD5468" w:rsidRPr="002B54EA" w:rsidRDefault="00DD5468">
      <w:pPr>
        <w:pStyle w:val="FootnoteText"/>
        <w:rPr>
          <w:rFonts w:ascii="Times New Roman" w:hAnsi="Times New Roman" w:cs="Times New Roman"/>
          <w:lang w:val="en-US"/>
        </w:rPr>
      </w:pPr>
      <w:r w:rsidRPr="002B54EA">
        <w:rPr>
          <w:rStyle w:val="FootnoteReference"/>
          <w:rFonts w:ascii="Times New Roman" w:hAnsi="Times New Roman" w:cs="Times New Roman"/>
        </w:rPr>
        <w:footnoteRef/>
      </w:r>
      <w:r w:rsidRPr="002B54EA">
        <w:rPr>
          <w:rFonts w:ascii="Times New Roman" w:hAnsi="Times New Roman" w:cs="Times New Roman"/>
        </w:rPr>
        <w:t>. This calculation is based on market share as calculated by the Grattan Institute, and ACCC industry revenue figures.</w:t>
      </w:r>
    </w:p>
  </w:footnote>
  <w:footnote w:id="3">
    <w:p w:rsidR="00DD5468" w:rsidRPr="008F601D" w:rsidRDefault="00DD5468" w:rsidP="008F601D">
      <w:pPr>
        <w:spacing w:before="100" w:beforeAutospacing="1" w:after="100" w:afterAutospacing="1"/>
        <w:jc w:val="both"/>
        <w:rPr>
          <w:rFonts w:ascii="Times New Roman" w:hAnsi="Times New Roman" w:cs="Times New Roman"/>
          <w:sz w:val="20"/>
        </w:rPr>
      </w:pPr>
      <w:r w:rsidRPr="008F601D">
        <w:rPr>
          <w:rStyle w:val="FootnoteReference"/>
          <w:rFonts w:ascii="Times New Roman" w:hAnsi="Times New Roman" w:cs="Times New Roman"/>
          <w:sz w:val="20"/>
          <w:szCs w:val="20"/>
        </w:rPr>
        <w:footnoteRef/>
      </w:r>
      <w:r w:rsidRPr="008F601D">
        <w:rPr>
          <w:rFonts w:ascii="Times New Roman" w:hAnsi="Times New Roman" w:cs="Times New Roman"/>
          <w:sz w:val="20"/>
          <w:szCs w:val="20"/>
        </w:rPr>
        <w:t xml:space="preserve"> </w:t>
      </w:r>
      <w:proofErr w:type="gramStart"/>
      <w:r w:rsidRPr="008F601D">
        <w:rPr>
          <w:rFonts w:ascii="Times New Roman" w:hAnsi="Times New Roman" w:cs="Times New Roman"/>
          <w:sz w:val="20"/>
          <w:szCs w:val="20"/>
        </w:rPr>
        <w:t>(</w:t>
      </w:r>
      <w:proofErr w:type="spellStart"/>
      <w:r w:rsidRPr="008F601D">
        <w:rPr>
          <w:rFonts w:ascii="Times New Roman" w:hAnsi="Times New Roman" w:cs="Times New Roman"/>
          <w:sz w:val="20"/>
          <w:szCs w:val="20"/>
        </w:rPr>
        <w:t>Cecot</w:t>
      </w:r>
      <w:proofErr w:type="spellEnd"/>
      <w:r w:rsidRPr="008F601D">
        <w:rPr>
          <w:rFonts w:ascii="Times New Roman" w:hAnsi="Times New Roman" w:cs="Times New Roman"/>
          <w:sz w:val="20"/>
          <w:szCs w:val="20"/>
        </w:rPr>
        <w:t xml:space="preserve"> et al. 2008; Hahn &amp; </w:t>
      </w:r>
      <w:proofErr w:type="spellStart"/>
      <w:r w:rsidRPr="008F601D">
        <w:rPr>
          <w:rFonts w:ascii="Times New Roman" w:hAnsi="Times New Roman" w:cs="Times New Roman"/>
          <w:sz w:val="20"/>
          <w:szCs w:val="20"/>
        </w:rPr>
        <w:t>Hird</w:t>
      </w:r>
      <w:proofErr w:type="spellEnd"/>
      <w:r w:rsidRPr="008F601D">
        <w:rPr>
          <w:rFonts w:ascii="Times New Roman" w:hAnsi="Times New Roman" w:cs="Times New Roman"/>
          <w:sz w:val="20"/>
          <w:szCs w:val="20"/>
        </w:rPr>
        <w:t xml:space="preserve"> 1991; Hahn 1998; Hahn et al. 2000; Hahn &amp; Dudley 2007; Hahn &amp; </w:t>
      </w:r>
      <w:proofErr w:type="spellStart"/>
      <w:r w:rsidRPr="008F601D">
        <w:rPr>
          <w:rFonts w:ascii="Times New Roman" w:hAnsi="Times New Roman" w:cs="Times New Roman"/>
          <w:sz w:val="20"/>
          <w:szCs w:val="20"/>
        </w:rPr>
        <w:t>Tetlock</w:t>
      </w:r>
      <w:proofErr w:type="spellEnd"/>
      <w:r w:rsidRPr="008F601D">
        <w:rPr>
          <w:rFonts w:ascii="Times New Roman" w:hAnsi="Times New Roman" w:cs="Times New Roman"/>
          <w:sz w:val="20"/>
          <w:szCs w:val="20"/>
        </w:rPr>
        <w:t xml:space="preserve"> 2008) and in Australia (PC 2012, p. 11).</w:t>
      </w:r>
      <w:proofErr w:type="gramEnd"/>
      <w:r w:rsidRPr="008F601D">
        <w:rPr>
          <w:rFonts w:ascii="Times New Roman" w:hAnsi="Times New Roman" w:cs="Times New Roman"/>
          <w:sz w:val="20"/>
          <w:szCs w:val="20"/>
        </w:rPr>
        <w:t xml:space="preserve"> </w:t>
      </w:r>
    </w:p>
  </w:footnote>
  <w:footnote w:id="4">
    <w:p w:rsidR="00DD5468" w:rsidRPr="002B54EA" w:rsidRDefault="00DD5468" w:rsidP="005D5DA2">
      <w:pPr>
        <w:pStyle w:val="FootnoteText"/>
        <w:rPr>
          <w:rFonts w:ascii="Times New Roman" w:hAnsi="Times New Roman" w:cs="Times New Roman"/>
          <w:lang w:val="en-US"/>
        </w:rPr>
      </w:pPr>
      <w:r w:rsidRPr="002B54EA">
        <w:rPr>
          <w:rStyle w:val="FootnoteReference"/>
          <w:rFonts w:ascii="Times New Roman" w:hAnsi="Times New Roman" w:cs="Times New Roman"/>
        </w:rPr>
        <w:footnoteRef/>
      </w:r>
      <w:r w:rsidRPr="002B54EA">
        <w:rPr>
          <w:rFonts w:ascii="Times New Roman" w:hAnsi="Times New Roman" w:cs="Times New Roman"/>
        </w:rPr>
        <w:t xml:space="preserve">. Estimated based on market share figures (Grattan 2017), known industry revenue figures (BCAR 2017, p. 11-14) and assuming </w:t>
      </w:r>
      <w:proofErr w:type="gramStart"/>
      <w:r w:rsidRPr="002B54EA">
        <w:rPr>
          <w:rFonts w:ascii="Times New Roman" w:hAnsi="Times New Roman" w:cs="Times New Roman"/>
        </w:rPr>
        <w:t>a revenue</w:t>
      </w:r>
      <w:proofErr w:type="gramEnd"/>
      <w:r w:rsidRPr="002B54EA">
        <w:rPr>
          <w:rFonts w:ascii="Times New Roman" w:hAnsi="Times New Roman" w:cs="Times New Roman"/>
        </w:rPr>
        <w:t xml:space="preserve"> split approximately in line with market share. </w:t>
      </w:r>
    </w:p>
  </w:footnote>
  <w:footnote w:id="5">
    <w:p w:rsidR="00DD5468" w:rsidRPr="002B54EA" w:rsidRDefault="00DD5468" w:rsidP="00651CF6">
      <w:pPr>
        <w:pStyle w:val="FootnoteText"/>
        <w:rPr>
          <w:rFonts w:ascii="Times New Roman" w:hAnsi="Times New Roman" w:cs="Times New Roman"/>
        </w:rPr>
      </w:pPr>
      <w:r w:rsidRPr="002B54EA">
        <w:rPr>
          <w:rStyle w:val="FootnoteReference"/>
          <w:rFonts w:ascii="Times New Roman" w:hAnsi="Times New Roman" w:cs="Times New Roman"/>
        </w:rPr>
        <w:footnoteRef/>
      </w:r>
      <w:r w:rsidRPr="002B54EA">
        <w:rPr>
          <w:rFonts w:ascii="Times New Roman" w:hAnsi="Times New Roman" w:cs="Times New Roman"/>
        </w:rPr>
        <w:t xml:space="preserve">. </w:t>
      </w:r>
      <w:r w:rsidRPr="002B54EA">
        <w:rPr>
          <w:rFonts w:ascii="Times New Roman" w:hAnsi="Times New Roman" w:cs="Times New Roman"/>
          <w:i/>
        </w:rPr>
        <w:t xml:space="preserve">Competition and Consumer Act 2010 </w:t>
      </w:r>
      <w:r w:rsidRPr="002B54EA">
        <w:rPr>
          <w:rFonts w:ascii="Times New Roman" w:hAnsi="Times New Roman" w:cs="Times New Roman"/>
        </w:rPr>
        <w:t>(</w:t>
      </w:r>
      <w:proofErr w:type="spellStart"/>
      <w:r w:rsidRPr="002B54EA">
        <w:rPr>
          <w:rFonts w:ascii="Times New Roman" w:hAnsi="Times New Roman" w:cs="Times New Roman"/>
        </w:rPr>
        <w:t>Cth</w:t>
      </w:r>
      <w:proofErr w:type="spellEnd"/>
      <w:r w:rsidRPr="002B54EA">
        <w:rPr>
          <w:rFonts w:ascii="Times New Roman" w:hAnsi="Times New Roman" w:cs="Times New Roman"/>
        </w:rPr>
        <w:t>) s. 82, s.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468" w:rsidRDefault="00DD5468" w:rsidP="00DD0AEA">
    <w:pPr>
      <w:pStyle w:val="Header"/>
      <w:jc w:val="right"/>
    </w:pPr>
    <w:r>
      <w:rPr>
        <w:noProof/>
        <w:lang w:val="en-US"/>
      </w:rPr>
      <w:drawing>
        <wp:inline distT="0" distB="0" distL="0" distR="0" wp14:anchorId="307F5F80" wp14:editId="217F6D72">
          <wp:extent cx="678787" cy="296066"/>
          <wp:effectExtent l="0" t="0" r="7620" b="8890"/>
          <wp:docPr id="1" name="Picture 1" descr="ACCAN_logo_BLACK_viewing_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CAN_logo_BLACK_viewing_on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7108" cy="295334"/>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468" w:rsidRDefault="00DD5468" w:rsidP="00DD0AEA">
    <w:pPr>
      <w:pStyle w:val="Header"/>
      <w:jc w:val="center"/>
    </w:pPr>
    <w:r>
      <w:rPr>
        <w:noProof/>
        <w:lang w:val="en-US"/>
      </w:rPr>
      <w:drawing>
        <wp:inline distT="0" distB="0" distL="0" distR="0" wp14:anchorId="30966DE1" wp14:editId="160224D0">
          <wp:extent cx="3057525" cy="1581150"/>
          <wp:effectExtent l="0" t="0" r="0" b="0"/>
          <wp:docPr id="6" name="Picture 13" descr="ACCAN_logo_BLUE_viewing_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CAN_logo_BLUE_viewing_onl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7525" cy="15811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F5100"/>
    <w:multiLevelType w:val="hybridMultilevel"/>
    <w:tmpl w:val="5150DB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C166B8E"/>
    <w:multiLevelType w:val="hybridMultilevel"/>
    <w:tmpl w:val="D77C6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D22005"/>
    <w:multiLevelType w:val="hybridMultilevel"/>
    <w:tmpl w:val="52783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AB21D1"/>
    <w:multiLevelType w:val="hybridMultilevel"/>
    <w:tmpl w:val="274AB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944733"/>
    <w:multiLevelType w:val="hybridMultilevel"/>
    <w:tmpl w:val="48926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C4F0862"/>
    <w:multiLevelType w:val="multilevel"/>
    <w:tmpl w:val="6AFEEB4C"/>
    <w:styleLink w:val="Bullets"/>
    <w:lvl w:ilvl="0">
      <w:start w:val="1"/>
      <w:numFmt w:val="bullet"/>
      <w:pStyle w:val="Bulletlist1"/>
      <w:lvlText w:val=""/>
      <w:lvlJc w:val="left"/>
      <w:pPr>
        <w:ind w:left="851" w:hanging="284"/>
      </w:pPr>
      <w:rPr>
        <w:rFonts w:ascii="Symbol" w:hAnsi="Symbol" w:hint="default"/>
      </w:rPr>
    </w:lvl>
    <w:lvl w:ilvl="1">
      <w:start w:val="1"/>
      <w:numFmt w:val="bullet"/>
      <w:pStyle w:val="Bulletlist2"/>
      <w:lvlText w:val=""/>
      <w:lvlJc w:val="left"/>
      <w:pPr>
        <w:ind w:left="1418" w:hanging="284"/>
      </w:pPr>
      <w:rPr>
        <w:rFonts w:ascii="Symbol" w:hAnsi="Symbol" w:hint="default"/>
      </w:rPr>
    </w:lvl>
    <w:lvl w:ilvl="2">
      <w:start w:val="1"/>
      <w:numFmt w:val="bullet"/>
      <w:pStyle w:val="Bulletlist3"/>
      <w:lvlText w:val=""/>
      <w:lvlJc w:val="left"/>
      <w:pPr>
        <w:ind w:left="1985" w:hanging="284"/>
      </w:pPr>
      <w:rPr>
        <w:rFonts w:ascii="Symbol" w:hAnsi="Symbol" w:hint="default"/>
        <w:color w:val="auto"/>
      </w:rPr>
    </w:lvl>
    <w:lvl w:ilvl="3">
      <w:start w:val="1"/>
      <w:numFmt w:val="bullet"/>
      <w:lvlText w:val=""/>
      <w:lvlJc w:val="left"/>
      <w:pPr>
        <w:ind w:left="2552" w:hanging="284"/>
      </w:pPr>
      <w:rPr>
        <w:rFonts w:ascii="Symbol" w:hAnsi="Symbol" w:hint="default"/>
      </w:rPr>
    </w:lvl>
    <w:lvl w:ilvl="4">
      <w:start w:val="1"/>
      <w:numFmt w:val="bullet"/>
      <w:lvlText w:val=""/>
      <w:lvlJc w:val="left"/>
      <w:pPr>
        <w:ind w:left="3119" w:hanging="284"/>
      </w:pPr>
      <w:rPr>
        <w:rFonts w:ascii="Symbol" w:hAnsi="Symbol" w:hint="default"/>
      </w:rPr>
    </w:lvl>
    <w:lvl w:ilvl="5">
      <w:start w:val="1"/>
      <w:numFmt w:val="bullet"/>
      <w:lvlText w:val=""/>
      <w:lvlJc w:val="left"/>
      <w:pPr>
        <w:ind w:left="3686" w:hanging="284"/>
      </w:pPr>
      <w:rPr>
        <w:rFonts w:ascii="Symbol" w:hAnsi="Symbol" w:hint="default"/>
      </w:rPr>
    </w:lvl>
    <w:lvl w:ilvl="6">
      <w:start w:val="1"/>
      <w:numFmt w:val="bullet"/>
      <w:lvlText w:val=""/>
      <w:lvlJc w:val="left"/>
      <w:pPr>
        <w:ind w:left="4253" w:hanging="284"/>
      </w:pPr>
      <w:rPr>
        <w:rFonts w:ascii="Symbol" w:hAnsi="Symbol" w:hint="default"/>
      </w:rPr>
    </w:lvl>
    <w:lvl w:ilvl="7">
      <w:start w:val="1"/>
      <w:numFmt w:val="bullet"/>
      <w:lvlText w:val=""/>
      <w:lvlJc w:val="left"/>
      <w:pPr>
        <w:ind w:left="4820" w:hanging="284"/>
      </w:pPr>
      <w:rPr>
        <w:rFonts w:ascii="Symbol" w:hAnsi="Symbol" w:hint="default"/>
      </w:rPr>
    </w:lvl>
    <w:lvl w:ilvl="8">
      <w:start w:val="1"/>
      <w:numFmt w:val="bullet"/>
      <w:lvlText w:val=""/>
      <w:lvlJc w:val="left"/>
      <w:pPr>
        <w:ind w:left="5387" w:hanging="284"/>
      </w:pPr>
      <w:rPr>
        <w:rFonts w:ascii="Symbol" w:hAnsi="Symbol" w:hint="default"/>
      </w:rPr>
    </w:lvl>
  </w:abstractNum>
  <w:abstractNum w:abstractNumId="6">
    <w:nsid w:val="35F41370"/>
    <w:multiLevelType w:val="multilevel"/>
    <w:tmpl w:val="F2FC669E"/>
    <w:styleLink w:val="Recommendations"/>
    <w:lvl w:ilvl="0">
      <w:start w:val="1"/>
      <w:numFmt w:val="decimal"/>
      <w:pStyle w:val="Recommendation"/>
      <w:lvlText w:val="Recommendation %1:"/>
      <w:lvlJc w:val="left"/>
      <w:pPr>
        <w:ind w:left="851" w:firstLine="0"/>
      </w:pPr>
      <w:rPr>
        <w:rFonts w:hint="default"/>
      </w:rPr>
    </w:lvl>
    <w:lvl w:ilvl="1">
      <w:start w:val="1"/>
      <w:numFmt w:val="none"/>
      <w:lvlText w:val=""/>
      <w:lvlJc w:val="left"/>
      <w:pPr>
        <w:ind w:left="851" w:hanging="851"/>
      </w:pPr>
      <w:rPr>
        <w:rFonts w:hint="default"/>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7">
    <w:nsid w:val="362D1DC5"/>
    <w:multiLevelType w:val="hybridMultilevel"/>
    <w:tmpl w:val="AC18C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B43466A"/>
    <w:multiLevelType w:val="hybridMultilevel"/>
    <w:tmpl w:val="16922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3A6987"/>
    <w:multiLevelType w:val="hybridMultilevel"/>
    <w:tmpl w:val="57D4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DB0B46"/>
    <w:multiLevelType w:val="hybridMultilevel"/>
    <w:tmpl w:val="6B54D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E857923"/>
    <w:multiLevelType w:val="multilevel"/>
    <w:tmpl w:val="989E8E90"/>
    <w:styleLink w:val="Appendices"/>
    <w:lvl w:ilvl="0">
      <w:start w:val="1"/>
      <w:numFmt w:val="upperLetter"/>
      <w:pStyle w:val="Appendixheading1"/>
      <w:lvlText w:val="Appendix %1."/>
      <w:lvlJc w:val="left"/>
      <w:pPr>
        <w:ind w:left="0" w:firstLine="0"/>
      </w:pPr>
      <w:rPr>
        <w:rFonts w:hint="default"/>
      </w:rPr>
    </w:lvl>
    <w:lvl w:ilvl="1">
      <w:start w:val="1"/>
      <w:numFmt w:val="lowerRoman"/>
      <w:pStyle w:val="Appendixheading2"/>
      <w:lvlText w:val="%1.%2"/>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nsid w:val="510207C3"/>
    <w:multiLevelType w:val="hybridMultilevel"/>
    <w:tmpl w:val="0E5AE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334FEF"/>
    <w:multiLevelType w:val="hybridMultilevel"/>
    <w:tmpl w:val="A24CB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467144"/>
    <w:multiLevelType w:val="multilevel"/>
    <w:tmpl w:val="989E8E90"/>
    <w:numStyleLink w:val="Appendices"/>
  </w:abstractNum>
  <w:abstractNum w:abstractNumId="15">
    <w:nsid w:val="67CD6231"/>
    <w:multiLevelType w:val="multilevel"/>
    <w:tmpl w:val="F2FC669E"/>
    <w:numStyleLink w:val="Recommendations"/>
  </w:abstractNum>
  <w:abstractNum w:abstractNumId="16">
    <w:nsid w:val="6A353269"/>
    <w:multiLevelType w:val="hybridMultilevel"/>
    <w:tmpl w:val="5E7E97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CAA0FE4"/>
    <w:multiLevelType w:val="multilevel"/>
    <w:tmpl w:val="E2F45A98"/>
    <w:styleLink w:val="Blockquotebullets"/>
    <w:lvl w:ilvl="0">
      <w:start w:val="1"/>
      <w:numFmt w:val="bullet"/>
      <w:pStyle w:val="Blockquotebulletlist1"/>
      <w:lvlText w:val=""/>
      <w:lvlJc w:val="left"/>
      <w:pPr>
        <w:ind w:left="1701" w:hanging="283"/>
      </w:pPr>
      <w:rPr>
        <w:rFonts w:ascii="Symbol" w:hAnsi="Symbol"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nsid w:val="6F2C347E"/>
    <w:multiLevelType w:val="hybridMultilevel"/>
    <w:tmpl w:val="1F207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E87D1B"/>
    <w:multiLevelType w:val="hybridMultilevel"/>
    <w:tmpl w:val="6DB8A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3B07A96"/>
    <w:multiLevelType w:val="hybridMultilevel"/>
    <w:tmpl w:val="3208C8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76101B4B"/>
    <w:multiLevelType w:val="hybridMultilevel"/>
    <w:tmpl w:val="923C7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7FF45ED"/>
    <w:multiLevelType w:val="multilevel"/>
    <w:tmpl w:val="A7920A6E"/>
    <w:styleLink w:val="Headings"/>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none"/>
      <w:suff w:val="nothing"/>
      <w:lvlText w:val=""/>
      <w:lvlJc w:val="left"/>
      <w:pPr>
        <w:ind w:left="0" w:firstLine="0"/>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23">
    <w:nsid w:val="7DD41085"/>
    <w:multiLevelType w:val="hybridMultilevel"/>
    <w:tmpl w:val="DFFA1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5"/>
  </w:num>
  <w:num w:numId="3">
    <w:abstractNumId w:val="11"/>
  </w:num>
  <w:num w:numId="4">
    <w:abstractNumId w:val="14"/>
  </w:num>
  <w:num w:numId="5">
    <w:abstractNumId w:val="17"/>
  </w:num>
  <w:num w:numId="6">
    <w:abstractNumId w:val="6"/>
  </w:num>
  <w:num w:numId="7">
    <w:abstractNumId w:val="15"/>
  </w:num>
  <w:num w:numId="8">
    <w:abstractNumId w:val="13"/>
  </w:num>
  <w:num w:numId="9">
    <w:abstractNumId w:val="18"/>
  </w:num>
  <w:num w:numId="10">
    <w:abstractNumId w:val="3"/>
  </w:num>
  <w:num w:numId="11">
    <w:abstractNumId w:val="12"/>
  </w:num>
  <w:num w:numId="12">
    <w:abstractNumId w:val="19"/>
  </w:num>
  <w:num w:numId="13">
    <w:abstractNumId w:val="0"/>
  </w:num>
  <w:num w:numId="14">
    <w:abstractNumId w:val="2"/>
  </w:num>
  <w:num w:numId="15">
    <w:abstractNumId w:val="20"/>
  </w:num>
  <w:num w:numId="16">
    <w:abstractNumId w:val="10"/>
  </w:num>
  <w:num w:numId="17">
    <w:abstractNumId w:val="7"/>
  </w:num>
  <w:num w:numId="18">
    <w:abstractNumId w:val="4"/>
  </w:num>
  <w:num w:numId="19">
    <w:abstractNumId w:val="16"/>
  </w:num>
  <w:num w:numId="20">
    <w:abstractNumId w:val="21"/>
  </w:num>
  <w:num w:numId="21">
    <w:abstractNumId w:val="8"/>
  </w:num>
  <w:num w:numId="22">
    <w:abstractNumId w:val="9"/>
  </w:num>
  <w:num w:numId="23">
    <w:abstractNumId w:val="1"/>
  </w:num>
  <w:num w:numId="24">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AEA"/>
    <w:rsid w:val="00003392"/>
    <w:rsid w:val="00003A68"/>
    <w:rsid w:val="00004AD2"/>
    <w:rsid w:val="0000697A"/>
    <w:rsid w:val="00010274"/>
    <w:rsid w:val="00010B72"/>
    <w:rsid w:val="00015584"/>
    <w:rsid w:val="0001659C"/>
    <w:rsid w:val="00016B13"/>
    <w:rsid w:val="00017CB9"/>
    <w:rsid w:val="000234F7"/>
    <w:rsid w:val="0003141F"/>
    <w:rsid w:val="0003308C"/>
    <w:rsid w:val="00033198"/>
    <w:rsid w:val="000331EB"/>
    <w:rsid w:val="0003406C"/>
    <w:rsid w:val="00034C47"/>
    <w:rsid w:val="00034FE6"/>
    <w:rsid w:val="00035C28"/>
    <w:rsid w:val="00037AB7"/>
    <w:rsid w:val="000413C9"/>
    <w:rsid w:val="0004148D"/>
    <w:rsid w:val="00042491"/>
    <w:rsid w:val="000435FC"/>
    <w:rsid w:val="0004472D"/>
    <w:rsid w:val="00044C24"/>
    <w:rsid w:val="0004561D"/>
    <w:rsid w:val="00046608"/>
    <w:rsid w:val="00047639"/>
    <w:rsid w:val="00047762"/>
    <w:rsid w:val="00050D2D"/>
    <w:rsid w:val="00051308"/>
    <w:rsid w:val="000519B4"/>
    <w:rsid w:val="00053843"/>
    <w:rsid w:val="00055B60"/>
    <w:rsid w:val="00055F26"/>
    <w:rsid w:val="00056795"/>
    <w:rsid w:val="00057F21"/>
    <w:rsid w:val="00061692"/>
    <w:rsid w:val="000624F7"/>
    <w:rsid w:val="0006298D"/>
    <w:rsid w:val="00063E08"/>
    <w:rsid w:val="00064FD9"/>
    <w:rsid w:val="000658C0"/>
    <w:rsid w:val="000668FE"/>
    <w:rsid w:val="00066D0B"/>
    <w:rsid w:val="00067B0E"/>
    <w:rsid w:val="0007060B"/>
    <w:rsid w:val="0007225A"/>
    <w:rsid w:val="0007524C"/>
    <w:rsid w:val="000769D6"/>
    <w:rsid w:val="00080711"/>
    <w:rsid w:val="00084427"/>
    <w:rsid w:val="000853F1"/>
    <w:rsid w:val="000877B2"/>
    <w:rsid w:val="00087F08"/>
    <w:rsid w:val="00090C07"/>
    <w:rsid w:val="00090FAF"/>
    <w:rsid w:val="000946B7"/>
    <w:rsid w:val="00096913"/>
    <w:rsid w:val="00097123"/>
    <w:rsid w:val="000A1660"/>
    <w:rsid w:val="000A3048"/>
    <w:rsid w:val="000A647B"/>
    <w:rsid w:val="000A7A92"/>
    <w:rsid w:val="000B2D5F"/>
    <w:rsid w:val="000B3ABA"/>
    <w:rsid w:val="000C6D95"/>
    <w:rsid w:val="000C6F20"/>
    <w:rsid w:val="000D11A6"/>
    <w:rsid w:val="000D2612"/>
    <w:rsid w:val="000D746C"/>
    <w:rsid w:val="000E13A7"/>
    <w:rsid w:val="000E2020"/>
    <w:rsid w:val="000E2A2B"/>
    <w:rsid w:val="000E2D6E"/>
    <w:rsid w:val="000E35F6"/>
    <w:rsid w:val="000E479A"/>
    <w:rsid w:val="000E543D"/>
    <w:rsid w:val="000E59DE"/>
    <w:rsid w:val="000E6CE2"/>
    <w:rsid w:val="000E71AE"/>
    <w:rsid w:val="000F0B07"/>
    <w:rsid w:val="000F47F3"/>
    <w:rsid w:val="000F4995"/>
    <w:rsid w:val="000F74B5"/>
    <w:rsid w:val="00100D57"/>
    <w:rsid w:val="00101348"/>
    <w:rsid w:val="00101782"/>
    <w:rsid w:val="00111E14"/>
    <w:rsid w:val="00113C2C"/>
    <w:rsid w:val="00114C73"/>
    <w:rsid w:val="00116291"/>
    <w:rsid w:val="00121C45"/>
    <w:rsid w:val="00121F80"/>
    <w:rsid w:val="00124A39"/>
    <w:rsid w:val="001259B4"/>
    <w:rsid w:val="001265E5"/>
    <w:rsid w:val="00126FA8"/>
    <w:rsid w:val="001270EF"/>
    <w:rsid w:val="0013146C"/>
    <w:rsid w:val="0013255E"/>
    <w:rsid w:val="00134585"/>
    <w:rsid w:val="001363B8"/>
    <w:rsid w:val="0013687E"/>
    <w:rsid w:val="00136F17"/>
    <w:rsid w:val="001374C1"/>
    <w:rsid w:val="00137C87"/>
    <w:rsid w:val="001410E8"/>
    <w:rsid w:val="00141647"/>
    <w:rsid w:val="001429B7"/>
    <w:rsid w:val="00142AC7"/>
    <w:rsid w:val="001447F9"/>
    <w:rsid w:val="00144A85"/>
    <w:rsid w:val="0014585F"/>
    <w:rsid w:val="00146E77"/>
    <w:rsid w:val="00147481"/>
    <w:rsid w:val="00147AA3"/>
    <w:rsid w:val="0015005E"/>
    <w:rsid w:val="00151504"/>
    <w:rsid w:val="0015202E"/>
    <w:rsid w:val="00153442"/>
    <w:rsid w:val="001547AF"/>
    <w:rsid w:val="0015743E"/>
    <w:rsid w:val="001600B3"/>
    <w:rsid w:val="001625EA"/>
    <w:rsid w:val="001641BC"/>
    <w:rsid w:val="001658CF"/>
    <w:rsid w:val="00170191"/>
    <w:rsid w:val="001717EA"/>
    <w:rsid w:val="00171E49"/>
    <w:rsid w:val="00172DA1"/>
    <w:rsid w:val="00174078"/>
    <w:rsid w:val="001746BF"/>
    <w:rsid w:val="00180975"/>
    <w:rsid w:val="00182364"/>
    <w:rsid w:val="001830C5"/>
    <w:rsid w:val="0018368F"/>
    <w:rsid w:val="00184357"/>
    <w:rsid w:val="0018602F"/>
    <w:rsid w:val="00190EB6"/>
    <w:rsid w:val="0019149E"/>
    <w:rsid w:val="00196A64"/>
    <w:rsid w:val="00197499"/>
    <w:rsid w:val="001A0AD8"/>
    <w:rsid w:val="001A2BF7"/>
    <w:rsid w:val="001A6153"/>
    <w:rsid w:val="001A6552"/>
    <w:rsid w:val="001B1798"/>
    <w:rsid w:val="001B2365"/>
    <w:rsid w:val="001B6EDD"/>
    <w:rsid w:val="001B7422"/>
    <w:rsid w:val="001B7A9C"/>
    <w:rsid w:val="001B7C45"/>
    <w:rsid w:val="001C1418"/>
    <w:rsid w:val="001C4C22"/>
    <w:rsid w:val="001C79E9"/>
    <w:rsid w:val="001D152D"/>
    <w:rsid w:val="001D1B27"/>
    <w:rsid w:val="001D41E6"/>
    <w:rsid w:val="001D5F76"/>
    <w:rsid w:val="001D7238"/>
    <w:rsid w:val="001E21C8"/>
    <w:rsid w:val="001E3DB6"/>
    <w:rsid w:val="001E5100"/>
    <w:rsid w:val="001E6412"/>
    <w:rsid w:val="001E671C"/>
    <w:rsid w:val="001F065B"/>
    <w:rsid w:val="001F2B9B"/>
    <w:rsid w:val="001F4F6C"/>
    <w:rsid w:val="001F7635"/>
    <w:rsid w:val="001F765D"/>
    <w:rsid w:val="00204433"/>
    <w:rsid w:val="00211FFD"/>
    <w:rsid w:val="0021586A"/>
    <w:rsid w:val="0021693D"/>
    <w:rsid w:val="00221EA5"/>
    <w:rsid w:val="00227E87"/>
    <w:rsid w:val="0023010B"/>
    <w:rsid w:val="00231F9A"/>
    <w:rsid w:val="00232EF3"/>
    <w:rsid w:val="0023308E"/>
    <w:rsid w:val="002351DE"/>
    <w:rsid w:val="00236A74"/>
    <w:rsid w:val="002377F2"/>
    <w:rsid w:val="00237DEA"/>
    <w:rsid w:val="00241038"/>
    <w:rsid w:val="002458A0"/>
    <w:rsid w:val="00246B7D"/>
    <w:rsid w:val="002534D0"/>
    <w:rsid w:val="00254602"/>
    <w:rsid w:val="00255DEA"/>
    <w:rsid w:val="00256AC0"/>
    <w:rsid w:val="002573DA"/>
    <w:rsid w:val="00261DAC"/>
    <w:rsid w:val="002624D9"/>
    <w:rsid w:val="00263494"/>
    <w:rsid w:val="00264980"/>
    <w:rsid w:val="00272246"/>
    <w:rsid w:val="00272604"/>
    <w:rsid w:val="0027479A"/>
    <w:rsid w:val="00274A80"/>
    <w:rsid w:val="0027511B"/>
    <w:rsid w:val="00275219"/>
    <w:rsid w:val="002771C8"/>
    <w:rsid w:val="00280CF9"/>
    <w:rsid w:val="00282CE3"/>
    <w:rsid w:val="00283661"/>
    <w:rsid w:val="00285170"/>
    <w:rsid w:val="002871EF"/>
    <w:rsid w:val="00291581"/>
    <w:rsid w:val="00294DFD"/>
    <w:rsid w:val="00294F22"/>
    <w:rsid w:val="002966C7"/>
    <w:rsid w:val="00296CD9"/>
    <w:rsid w:val="00297E6E"/>
    <w:rsid w:val="002A2A16"/>
    <w:rsid w:val="002A4E4D"/>
    <w:rsid w:val="002B54EA"/>
    <w:rsid w:val="002B6CFA"/>
    <w:rsid w:val="002B742B"/>
    <w:rsid w:val="002C7EE5"/>
    <w:rsid w:val="002D0066"/>
    <w:rsid w:val="002D0969"/>
    <w:rsid w:val="002D0DC5"/>
    <w:rsid w:val="002D0F13"/>
    <w:rsid w:val="002D134F"/>
    <w:rsid w:val="002D1D18"/>
    <w:rsid w:val="002D4884"/>
    <w:rsid w:val="002D4E13"/>
    <w:rsid w:val="002D5B22"/>
    <w:rsid w:val="002E06C0"/>
    <w:rsid w:val="002E1311"/>
    <w:rsid w:val="002E334F"/>
    <w:rsid w:val="002E623A"/>
    <w:rsid w:val="002F3022"/>
    <w:rsid w:val="002F4293"/>
    <w:rsid w:val="002F42FE"/>
    <w:rsid w:val="002F68DC"/>
    <w:rsid w:val="002F6CEC"/>
    <w:rsid w:val="003020AB"/>
    <w:rsid w:val="003030F0"/>
    <w:rsid w:val="003034FB"/>
    <w:rsid w:val="00303ECE"/>
    <w:rsid w:val="00304262"/>
    <w:rsid w:val="003042BF"/>
    <w:rsid w:val="00304659"/>
    <w:rsid w:val="00311D60"/>
    <w:rsid w:val="00314913"/>
    <w:rsid w:val="00315928"/>
    <w:rsid w:val="00315F77"/>
    <w:rsid w:val="00320323"/>
    <w:rsid w:val="00320DDA"/>
    <w:rsid w:val="00322CCE"/>
    <w:rsid w:val="00322DEE"/>
    <w:rsid w:val="00324797"/>
    <w:rsid w:val="00325B6A"/>
    <w:rsid w:val="00326601"/>
    <w:rsid w:val="00327750"/>
    <w:rsid w:val="003279A8"/>
    <w:rsid w:val="00327A98"/>
    <w:rsid w:val="00331742"/>
    <w:rsid w:val="003343CA"/>
    <w:rsid w:val="00335E19"/>
    <w:rsid w:val="003403FF"/>
    <w:rsid w:val="00342020"/>
    <w:rsid w:val="0034342B"/>
    <w:rsid w:val="00344CDC"/>
    <w:rsid w:val="003464DD"/>
    <w:rsid w:val="00347720"/>
    <w:rsid w:val="00352240"/>
    <w:rsid w:val="0035283B"/>
    <w:rsid w:val="0035297C"/>
    <w:rsid w:val="00353BAD"/>
    <w:rsid w:val="00354A82"/>
    <w:rsid w:val="00354A96"/>
    <w:rsid w:val="00354DA7"/>
    <w:rsid w:val="003553DB"/>
    <w:rsid w:val="00356467"/>
    <w:rsid w:val="003607BA"/>
    <w:rsid w:val="00361F71"/>
    <w:rsid w:val="0036272B"/>
    <w:rsid w:val="00363C8C"/>
    <w:rsid w:val="0036547B"/>
    <w:rsid w:val="00367560"/>
    <w:rsid w:val="00370F61"/>
    <w:rsid w:val="00371A7A"/>
    <w:rsid w:val="00376D54"/>
    <w:rsid w:val="00377BAB"/>
    <w:rsid w:val="00377D5F"/>
    <w:rsid w:val="00383F30"/>
    <w:rsid w:val="00387215"/>
    <w:rsid w:val="00391816"/>
    <w:rsid w:val="003920BB"/>
    <w:rsid w:val="003921BD"/>
    <w:rsid w:val="003935D5"/>
    <w:rsid w:val="00393A39"/>
    <w:rsid w:val="003956D0"/>
    <w:rsid w:val="00395C98"/>
    <w:rsid w:val="003A17FE"/>
    <w:rsid w:val="003A3800"/>
    <w:rsid w:val="003A3819"/>
    <w:rsid w:val="003A3DFD"/>
    <w:rsid w:val="003A651B"/>
    <w:rsid w:val="003B3045"/>
    <w:rsid w:val="003B53CB"/>
    <w:rsid w:val="003C0E4F"/>
    <w:rsid w:val="003C2AF4"/>
    <w:rsid w:val="003C3AE3"/>
    <w:rsid w:val="003C3B62"/>
    <w:rsid w:val="003D24C4"/>
    <w:rsid w:val="003D2624"/>
    <w:rsid w:val="003D4E72"/>
    <w:rsid w:val="003E754E"/>
    <w:rsid w:val="003F18AF"/>
    <w:rsid w:val="003F6545"/>
    <w:rsid w:val="003F732A"/>
    <w:rsid w:val="00402398"/>
    <w:rsid w:val="00402D40"/>
    <w:rsid w:val="00402DA9"/>
    <w:rsid w:val="00404275"/>
    <w:rsid w:val="0040435E"/>
    <w:rsid w:val="00406AF4"/>
    <w:rsid w:val="00411157"/>
    <w:rsid w:val="00412E73"/>
    <w:rsid w:val="004132EF"/>
    <w:rsid w:val="00413579"/>
    <w:rsid w:val="004166B5"/>
    <w:rsid w:val="00416A2F"/>
    <w:rsid w:val="00416D47"/>
    <w:rsid w:val="00416EF8"/>
    <w:rsid w:val="004206F6"/>
    <w:rsid w:val="00421641"/>
    <w:rsid w:val="0042174C"/>
    <w:rsid w:val="004279F0"/>
    <w:rsid w:val="00432F5F"/>
    <w:rsid w:val="00435046"/>
    <w:rsid w:val="00437BCE"/>
    <w:rsid w:val="00441209"/>
    <w:rsid w:val="00442900"/>
    <w:rsid w:val="00442BE2"/>
    <w:rsid w:val="00443EDE"/>
    <w:rsid w:val="004454E9"/>
    <w:rsid w:val="0044583A"/>
    <w:rsid w:val="00446087"/>
    <w:rsid w:val="0044635C"/>
    <w:rsid w:val="004472A7"/>
    <w:rsid w:val="00447614"/>
    <w:rsid w:val="0045005F"/>
    <w:rsid w:val="004502CA"/>
    <w:rsid w:val="00450EAA"/>
    <w:rsid w:val="0045127F"/>
    <w:rsid w:val="00451699"/>
    <w:rsid w:val="004520DF"/>
    <w:rsid w:val="00452F0D"/>
    <w:rsid w:val="00454507"/>
    <w:rsid w:val="00461853"/>
    <w:rsid w:val="004619D0"/>
    <w:rsid w:val="004659D0"/>
    <w:rsid w:val="00465B8E"/>
    <w:rsid w:val="00467B03"/>
    <w:rsid w:val="00470761"/>
    <w:rsid w:val="00470D62"/>
    <w:rsid w:val="00472E94"/>
    <w:rsid w:val="004739B5"/>
    <w:rsid w:val="00476C27"/>
    <w:rsid w:val="0048029F"/>
    <w:rsid w:val="00480D20"/>
    <w:rsid w:val="00481203"/>
    <w:rsid w:val="00481D83"/>
    <w:rsid w:val="004837BA"/>
    <w:rsid w:val="00485C8E"/>
    <w:rsid w:val="00491257"/>
    <w:rsid w:val="0049149C"/>
    <w:rsid w:val="00492392"/>
    <w:rsid w:val="0049337D"/>
    <w:rsid w:val="00494BA4"/>
    <w:rsid w:val="00495886"/>
    <w:rsid w:val="004959CE"/>
    <w:rsid w:val="00496EC4"/>
    <w:rsid w:val="004A136C"/>
    <w:rsid w:val="004A3BF0"/>
    <w:rsid w:val="004A3C66"/>
    <w:rsid w:val="004A47CF"/>
    <w:rsid w:val="004A4A20"/>
    <w:rsid w:val="004A7372"/>
    <w:rsid w:val="004A7D2E"/>
    <w:rsid w:val="004B0966"/>
    <w:rsid w:val="004B5C19"/>
    <w:rsid w:val="004B5D6B"/>
    <w:rsid w:val="004C044C"/>
    <w:rsid w:val="004C059C"/>
    <w:rsid w:val="004C0D03"/>
    <w:rsid w:val="004C0F7C"/>
    <w:rsid w:val="004C127F"/>
    <w:rsid w:val="004C26B4"/>
    <w:rsid w:val="004C3A18"/>
    <w:rsid w:val="004C5128"/>
    <w:rsid w:val="004C68E0"/>
    <w:rsid w:val="004C7340"/>
    <w:rsid w:val="004D213E"/>
    <w:rsid w:val="004D2F00"/>
    <w:rsid w:val="004D4267"/>
    <w:rsid w:val="004D4E46"/>
    <w:rsid w:val="004D508C"/>
    <w:rsid w:val="004D7E66"/>
    <w:rsid w:val="004E04F3"/>
    <w:rsid w:val="004E2ACB"/>
    <w:rsid w:val="004E58A4"/>
    <w:rsid w:val="004E6D0D"/>
    <w:rsid w:val="004F083E"/>
    <w:rsid w:val="004F3578"/>
    <w:rsid w:val="004F628A"/>
    <w:rsid w:val="0050625D"/>
    <w:rsid w:val="005062DB"/>
    <w:rsid w:val="005069C8"/>
    <w:rsid w:val="005121FC"/>
    <w:rsid w:val="00513D8B"/>
    <w:rsid w:val="00513F6C"/>
    <w:rsid w:val="00514002"/>
    <w:rsid w:val="005156B8"/>
    <w:rsid w:val="00515EA1"/>
    <w:rsid w:val="005206E9"/>
    <w:rsid w:val="00522232"/>
    <w:rsid w:val="005264CC"/>
    <w:rsid w:val="00526DC0"/>
    <w:rsid w:val="00527902"/>
    <w:rsid w:val="00530F73"/>
    <w:rsid w:val="00532703"/>
    <w:rsid w:val="005377B5"/>
    <w:rsid w:val="005416A5"/>
    <w:rsid w:val="00543616"/>
    <w:rsid w:val="0054685D"/>
    <w:rsid w:val="00551903"/>
    <w:rsid w:val="00556538"/>
    <w:rsid w:val="00557149"/>
    <w:rsid w:val="00560699"/>
    <w:rsid w:val="00562802"/>
    <w:rsid w:val="00563B9C"/>
    <w:rsid w:val="00564BCB"/>
    <w:rsid w:val="00564C3B"/>
    <w:rsid w:val="00566EFC"/>
    <w:rsid w:val="00567221"/>
    <w:rsid w:val="00572F1C"/>
    <w:rsid w:val="00573104"/>
    <w:rsid w:val="0057425E"/>
    <w:rsid w:val="0057732B"/>
    <w:rsid w:val="00583822"/>
    <w:rsid w:val="00585151"/>
    <w:rsid w:val="00585621"/>
    <w:rsid w:val="005868B7"/>
    <w:rsid w:val="0058768E"/>
    <w:rsid w:val="005907DA"/>
    <w:rsid w:val="0059181C"/>
    <w:rsid w:val="005A5460"/>
    <w:rsid w:val="005B2279"/>
    <w:rsid w:val="005B2BEB"/>
    <w:rsid w:val="005B46F8"/>
    <w:rsid w:val="005B4BCE"/>
    <w:rsid w:val="005C15EF"/>
    <w:rsid w:val="005C4860"/>
    <w:rsid w:val="005C6899"/>
    <w:rsid w:val="005C7060"/>
    <w:rsid w:val="005C7439"/>
    <w:rsid w:val="005D05BE"/>
    <w:rsid w:val="005D16F8"/>
    <w:rsid w:val="005D1F51"/>
    <w:rsid w:val="005D4709"/>
    <w:rsid w:val="005D5DA2"/>
    <w:rsid w:val="005E0640"/>
    <w:rsid w:val="005E0670"/>
    <w:rsid w:val="005E24C0"/>
    <w:rsid w:val="005E3E23"/>
    <w:rsid w:val="005E50EA"/>
    <w:rsid w:val="005E6C4B"/>
    <w:rsid w:val="005E773E"/>
    <w:rsid w:val="005F1F18"/>
    <w:rsid w:val="005F31BF"/>
    <w:rsid w:val="005F4B20"/>
    <w:rsid w:val="005F5B26"/>
    <w:rsid w:val="005F61ED"/>
    <w:rsid w:val="005F6CA0"/>
    <w:rsid w:val="00600610"/>
    <w:rsid w:val="006013DA"/>
    <w:rsid w:val="00606D1C"/>
    <w:rsid w:val="00606E63"/>
    <w:rsid w:val="00611494"/>
    <w:rsid w:val="00612822"/>
    <w:rsid w:val="006133F4"/>
    <w:rsid w:val="00615A5B"/>
    <w:rsid w:val="00615B00"/>
    <w:rsid w:val="00615FA3"/>
    <w:rsid w:val="006162CE"/>
    <w:rsid w:val="006174D3"/>
    <w:rsid w:val="0062111F"/>
    <w:rsid w:val="006239A4"/>
    <w:rsid w:val="006242A4"/>
    <w:rsid w:val="00626A02"/>
    <w:rsid w:val="00627D07"/>
    <w:rsid w:val="0063078E"/>
    <w:rsid w:val="00632BAF"/>
    <w:rsid w:val="00633C30"/>
    <w:rsid w:val="006356C2"/>
    <w:rsid w:val="00636BD6"/>
    <w:rsid w:val="006373C2"/>
    <w:rsid w:val="0064008B"/>
    <w:rsid w:val="00640ADB"/>
    <w:rsid w:val="00642AA2"/>
    <w:rsid w:val="00642D31"/>
    <w:rsid w:val="00642EAC"/>
    <w:rsid w:val="00645FA2"/>
    <w:rsid w:val="00647B26"/>
    <w:rsid w:val="00651CF6"/>
    <w:rsid w:val="006524FE"/>
    <w:rsid w:val="00653E10"/>
    <w:rsid w:val="00655063"/>
    <w:rsid w:val="00655F93"/>
    <w:rsid w:val="00656A82"/>
    <w:rsid w:val="006578A0"/>
    <w:rsid w:val="006646D8"/>
    <w:rsid w:val="0066669A"/>
    <w:rsid w:val="0066746F"/>
    <w:rsid w:val="006703B0"/>
    <w:rsid w:val="00670764"/>
    <w:rsid w:val="006730E8"/>
    <w:rsid w:val="0067666A"/>
    <w:rsid w:val="00677387"/>
    <w:rsid w:val="00685C3D"/>
    <w:rsid w:val="006867A0"/>
    <w:rsid w:val="00696688"/>
    <w:rsid w:val="006A1297"/>
    <w:rsid w:val="006A1624"/>
    <w:rsid w:val="006A3F73"/>
    <w:rsid w:val="006B167E"/>
    <w:rsid w:val="006B1F2C"/>
    <w:rsid w:val="006B6CCF"/>
    <w:rsid w:val="006B6D6A"/>
    <w:rsid w:val="006C025B"/>
    <w:rsid w:val="006C0E3E"/>
    <w:rsid w:val="006C23E7"/>
    <w:rsid w:val="006C7140"/>
    <w:rsid w:val="006D11CF"/>
    <w:rsid w:val="006D51AF"/>
    <w:rsid w:val="006E2279"/>
    <w:rsid w:val="006E38DE"/>
    <w:rsid w:val="006E55DE"/>
    <w:rsid w:val="006E7AD9"/>
    <w:rsid w:val="006E7CE7"/>
    <w:rsid w:val="006F1135"/>
    <w:rsid w:val="006F132E"/>
    <w:rsid w:val="006F28D1"/>
    <w:rsid w:val="006F4D60"/>
    <w:rsid w:val="006F6129"/>
    <w:rsid w:val="007056F2"/>
    <w:rsid w:val="00707CC6"/>
    <w:rsid w:val="00710396"/>
    <w:rsid w:val="00710E4C"/>
    <w:rsid w:val="0071162E"/>
    <w:rsid w:val="00711D4D"/>
    <w:rsid w:val="00712139"/>
    <w:rsid w:val="00713F4D"/>
    <w:rsid w:val="0071761C"/>
    <w:rsid w:val="0071770B"/>
    <w:rsid w:val="00721B19"/>
    <w:rsid w:val="00724C9D"/>
    <w:rsid w:val="00726243"/>
    <w:rsid w:val="0072706B"/>
    <w:rsid w:val="007304A2"/>
    <w:rsid w:val="00732B40"/>
    <w:rsid w:val="00733134"/>
    <w:rsid w:val="007337FA"/>
    <w:rsid w:val="007347EA"/>
    <w:rsid w:val="00734E67"/>
    <w:rsid w:val="00741738"/>
    <w:rsid w:val="00741E0F"/>
    <w:rsid w:val="00742CF5"/>
    <w:rsid w:val="007444A3"/>
    <w:rsid w:val="007451C2"/>
    <w:rsid w:val="00746279"/>
    <w:rsid w:val="00746A10"/>
    <w:rsid w:val="00753998"/>
    <w:rsid w:val="007639BC"/>
    <w:rsid w:val="00764FBB"/>
    <w:rsid w:val="007663D5"/>
    <w:rsid w:val="00766A18"/>
    <w:rsid w:val="00766D5B"/>
    <w:rsid w:val="00773220"/>
    <w:rsid w:val="0077406C"/>
    <w:rsid w:val="00774E63"/>
    <w:rsid w:val="00776360"/>
    <w:rsid w:val="00776649"/>
    <w:rsid w:val="007776F2"/>
    <w:rsid w:val="00777DE0"/>
    <w:rsid w:val="00780BF3"/>
    <w:rsid w:val="00780C18"/>
    <w:rsid w:val="00780E23"/>
    <w:rsid w:val="007827C1"/>
    <w:rsid w:val="0078337D"/>
    <w:rsid w:val="00786552"/>
    <w:rsid w:val="0078745C"/>
    <w:rsid w:val="00792CE3"/>
    <w:rsid w:val="0079319E"/>
    <w:rsid w:val="00795634"/>
    <w:rsid w:val="00795CA7"/>
    <w:rsid w:val="007A0C16"/>
    <w:rsid w:val="007A6C10"/>
    <w:rsid w:val="007B33BA"/>
    <w:rsid w:val="007B40EF"/>
    <w:rsid w:val="007B58FE"/>
    <w:rsid w:val="007B7633"/>
    <w:rsid w:val="007B77D5"/>
    <w:rsid w:val="007C026D"/>
    <w:rsid w:val="007C12E5"/>
    <w:rsid w:val="007C3B0C"/>
    <w:rsid w:val="007C53B5"/>
    <w:rsid w:val="007C58AE"/>
    <w:rsid w:val="007C69E5"/>
    <w:rsid w:val="007D1B98"/>
    <w:rsid w:val="007D4222"/>
    <w:rsid w:val="007D4CBB"/>
    <w:rsid w:val="007D65FF"/>
    <w:rsid w:val="007D6A9F"/>
    <w:rsid w:val="007E2CF1"/>
    <w:rsid w:val="007E3C05"/>
    <w:rsid w:val="007E461C"/>
    <w:rsid w:val="007E7BFC"/>
    <w:rsid w:val="007F0558"/>
    <w:rsid w:val="007F0ABC"/>
    <w:rsid w:val="007F0AFE"/>
    <w:rsid w:val="007F39E1"/>
    <w:rsid w:val="007F4A60"/>
    <w:rsid w:val="007F514C"/>
    <w:rsid w:val="007F6B53"/>
    <w:rsid w:val="007F7D8F"/>
    <w:rsid w:val="007F7F23"/>
    <w:rsid w:val="007F7F2C"/>
    <w:rsid w:val="0080516E"/>
    <w:rsid w:val="0081316D"/>
    <w:rsid w:val="008159AB"/>
    <w:rsid w:val="00815A64"/>
    <w:rsid w:val="00816B41"/>
    <w:rsid w:val="00817418"/>
    <w:rsid w:val="0082132C"/>
    <w:rsid w:val="00824104"/>
    <w:rsid w:val="00826FF4"/>
    <w:rsid w:val="008312E1"/>
    <w:rsid w:val="00831558"/>
    <w:rsid w:val="00831EE3"/>
    <w:rsid w:val="008340A5"/>
    <w:rsid w:val="00834C38"/>
    <w:rsid w:val="00834FED"/>
    <w:rsid w:val="0083630D"/>
    <w:rsid w:val="00837A23"/>
    <w:rsid w:val="008400C9"/>
    <w:rsid w:val="00840306"/>
    <w:rsid w:val="00840ADC"/>
    <w:rsid w:val="00842EE4"/>
    <w:rsid w:val="00843D49"/>
    <w:rsid w:val="0084480B"/>
    <w:rsid w:val="00850A6A"/>
    <w:rsid w:val="008516A2"/>
    <w:rsid w:val="0085315F"/>
    <w:rsid w:val="008620BB"/>
    <w:rsid w:val="00865A84"/>
    <w:rsid w:val="008701E9"/>
    <w:rsid w:val="008718F7"/>
    <w:rsid w:val="00876762"/>
    <w:rsid w:val="00882D53"/>
    <w:rsid w:val="00883988"/>
    <w:rsid w:val="00884E97"/>
    <w:rsid w:val="008862B8"/>
    <w:rsid w:val="00887972"/>
    <w:rsid w:val="00894ECE"/>
    <w:rsid w:val="0089624D"/>
    <w:rsid w:val="00896E22"/>
    <w:rsid w:val="0089787C"/>
    <w:rsid w:val="008A3A53"/>
    <w:rsid w:val="008A3DF2"/>
    <w:rsid w:val="008A4F77"/>
    <w:rsid w:val="008A7645"/>
    <w:rsid w:val="008B1F1B"/>
    <w:rsid w:val="008B2897"/>
    <w:rsid w:val="008B502C"/>
    <w:rsid w:val="008B5761"/>
    <w:rsid w:val="008B5865"/>
    <w:rsid w:val="008B6B18"/>
    <w:rsid w:val="008C26C4"/>
    <w:rsid w:val="008C3A70"/>
    <w:rsid w:val="008C4EBF"/>
    <w:rsid w:val="008C5AD9"/>
    <w:rsid w:val="008C5CCC"/>
    <w:rsid w:val="008C6403"/>
    <w:rsid w:val="008C68EA"/>
    <w:rsid w:val="008D00E2"/>
    <w:rsid w:val="008D0A3A"/>
    <w:rsid w:val="008D3D8E"/>
    <w:rsid w:val="008D4FE2"/>
    <w:rsid w:val="008D751F"/>
    <w:rsid w:val="008E15BA"/>
    <w:rsid w:val="008E29A2"/>
    <w:rsid w:val="008E4F45"/>
    <w:rsid w:val="008E639A"/>
    <w:rsid w:val="008E6BBE"/>
    <w:rsid w:val="008E6F51"/>
    <w:rsid w:val="008F27BC"/>
    <w:rsid w:val="008F3159"/>
    <w:rsid w:val="008F601D"/>
    <w:rsid w:val="008F69A1"/>
    <w:rsid w:val="00902872"/>
    <w:rsid w:val="00903796"/>
    <w:rsid w:val="009039AD"/>
    <w:rsid w:val="009049CC"/>
    <w:rsid w:val="00905726"/>
    <w:rsid w:val="0091280A"/>
    <w:rsid w:val="009166A7"/>
    <w:rsid w:val="00921A1D"/>
    <w:rsid w:val="00922B0B"/>
    <w:rsid w:val="009325F6"/>
    <w:rsid w:val="0093511E"/>
    <w:rsid w:val="00940B68"/>
    <w:rsid w:val="0094141B"/>
    <w:rsid w:val="00941CBB"/>
    <w:rsid w:val="00942FF8"/>
    <w:rsid w:val="00943CE4"/>
    <w:rsid w:val="00944CC8"/>
    <w:rsid w:val="0094557B"/>
    <w:rsid w:val="009469FF"/>
    <w:rsid w:val="009507BA"/>
    <w:rsid w:val="00950B40"/>
    <w:rsid w:val="00956382"/>
    <w:rsid w:val="00956EDA"/>
    <w:rsid w:val="00964D63"/>
    <w:rsid w:val="009657D0"/>
    <w:rsid w:val="0096758E"/>
    <w:rsid w:val="00971F22"/>
    <w:rsid w:val="009721F9"/>
    <w:rsid w:val="00972996"/>
    <w:rsid w:val="00974AA3"/>
    <w:rsid w:val="00974DE3"/>
    <w:rsid w:val="00976021"/>
    <w:rsid w:val="00976869"/>
    <w:rsid w:val="009809C7"/>
    <w:rsid w:val="00980C15"/>
    <w:rsid w:val="00982F6E"/>
    <w:rsid w:val="00983651"/>
    <w:rsid w:val="00984060"/>
    <w:rsid w:val="009851DD"/>
    <w:rsid w:val="00987F8E"/>
    <w:rsid w:val="009968E8"/>
    <w:rsid w:val="009A1EB1"/>
    <w:rsid w:val="009A3FE1"/>
    <w:rsid w:val="009A49A4"/>
    <w:rsid w:val="009A50D0"/>
    <w:rsid w:val="009A6BA8"/>
    <w:rsid w:val="009B0813"/>
    <w:rsid w:val="009B1230"/>
    <w:rsid w:val="009B178B"/>
    <w:rsid w:val="009B42DF"/>
    <w:rsid w:val="009B619F"/>
    <w:rsid w:val="009B6AC6"/>
    <w:rsid w:val="009C344C"/>
    <w:rsid w:val="009C4DF6"/>
    <w:rsid w:val="009C52F4"/>
    <w:rsid w:val="009C5ECB"/>
    <w:rsid w:val="009C71EF"/>
    <w:rsid w:val="009C7AA0"/>
    <w:rsid w:val="009D05C8"/>
    <w:rsid w:val="009D10CB"/>
    <w:rsid w:val="009D1D79"/>
    <w:rsid w:val="009D241C"/>
    <w:rsid w:val="009D2CA2"/>
    <w:rsid w:val="009E175E"/>
    <w:rsid w:val="009E2A09"/>
    <w:rsid w:val="009E4794"/>
    <w:rsid w:val="009F0660"/>
    <w:rsid w:val="009F1C57"/>
    <w:rsid w:val="009F1F82"/>
    <w:rsid w:val="009F2CE5"/>
    <w:rsid w:val="009F31CF"/>
    <w:rsid w:val="009F384E"/>
    <w:rsid w:val="009F39B1"/>
    <w:rsid w:val="009F4482"/>
    <w:rsid w:val="00A00C57"/>
    <w:rsid w:val="00A06188"/>
    <w:rsid w:val="00A07115"/>
    <w:rsid w:val="00A07213"/>
    <w:rsid w:val="00A07B6E"/>
    <w:rsid w:val="00A122C0"/>
    <w:rsid w:val="00A1352F"/>
    <w:rsid w:val="00A136C2"/>
    <w:rsid w:val="00A143BB"/>
    <w:rsid w:val="00A16B1C"/>
    <w:rsid w:val="00A23A19"/>
    <w:rsid w:val="00A25078"/>
    <w:rsid w:val="00A27D7E"/>
    <w:rsid w:val="00A30E0D"/>
    <w:rsid w:val="00A3181E"/>
    <w:rsid w:val="00A31B67"/>
    <w:rsid w:val="00A31D94"/>
    <w:rsid w:val="00A339D0"/>
    <w:rsid w:val="00A33D18"/>
    <w:rsid w:val="00A36126"/>
    <w:rsid w:val="00A366DB"/>
    <w:rsid w:val="00A366EF"/>
    <w:rsid w:val="00A428C2"/>
    <w:rsid w:val="00A42F42"/>
    <w:rsid w:val="00A47523"/>
    <w:rsid w:val="00A54AE0"/>
    <w:rsid w:val="00A55C32"/>
    <w:rsid w:val="00A56017"/>
    <w:rsid w:val="00A5744B"/>
    <w:rsid w:val="00A602C9"/>
    <w:rsid w:val="00A60CD9"/>
    <w:rsid w:val="00A615F1"/>
    <w:rsid w:val="00A63898"/>
    <w:rsid w:val="00A65083"/>
    <w:rsid w:val="00A65B92"/>
    <w:rsid w:val="00A727EA"/>
    <w:rsid w:val="00A739E0"/>
    <w:rsid w:val="00A74A74"/>
    <w:rsid w:val="00A752FD"/>
    <w:rsid w:val="00A77FF5"/>
    <w:rsid w:val="00A807C8"/>
    <w:rsid w:val="00A81CCB"/>
    <w:rsid w:val="00A82C86"/>
    <w:rsid w:val="00A904C2"/>
    <w:rsid w:val="00A90C27"/>
    <w:rsid w:val="00A9131D"/>
    <w:rsid w:val="00A927A2"/>
    <w:rsid w:val="00A92887"/>
    <w:rsid w:val="00A95E50"/>
    <w:rsid w:val="00AA1499"/>
    <w:rsid w:val="00AA259E"/>
    <w:rsid w:val="00AB1FA5"/>
    <w:rsid w:val="00AB3274"/>
    <w:rsid w:val="00AB3F53"/>
    <w:rsid w:val="00AB45EF"/>
    <w:rsid w:val="00AB5934"/>
    <w:rsid w:val="00AC06E2"/>
    <w:rsid w:val="00AC201E"/>
    <w:rsid w:val="00AC4C40"/>
    <w:rsid w:val="00AC55D2"/>
    <w:rsid w:val="00AC600C"/>
    <w:rsid w:val="00AC67EF"/>
    <w:rsid w:val="00AD4E6F"/>
    <w:rsid w:val="00AD6B7D"/>
    <w:rsid w:val="00AE0530"/>
    <w:rsid w:val="00AE1D9C"/>
    <w:rsid w:val="00AE1FA2"/>
    <w:rsid w:val="00AE22C9"/>
    <w:rsid w:val="00AE2334"/>
    <w:rsid w:val="00AE28C5"/>
    <w:rsid w:val="00AE3F98"/>
    <w:rsid w:val="00AF12B7"/>
    <w:rsid w:val="00AF18E8"/>
    <w:rsid w:val="00AF4522"/>
    <w:rsid w:val="00AF45D0"/>
    <w:rsid w:val="00AF7362"/>
    <w:rsid w:val="00B012D0"/>
    <w:rsid w:val="00B01DDD"/>
    <w:rsid w:val="00B0338E"/>
    <w:rsid w:val="00B04B84"/>
    <w:rsid w:val="00B066AB"/>
    <w:rsid w:val="00B07049"/>
    <w:rsid w:val="00B10975"/>
    <w:rsid w:val="00B11225"/>
    <w:rsid w:val="00B11242"/>
    <w:rsid w:val="00B112DD"/>
    <w:rsid w:val="00B11CDF"/>
    <w:rsid w:val="00B1325D"/>
    <w:rsid w:val="00B1377A"/>
    <w:rsid w:val="00B137FC"/>
    <w:rsid w:val="00B143A2"/>
    <w:rsid w:val="00B14A7F"/>
    <w:rsid w:val="00B1590F"/>
    <w:rsid w:val="00B15E0D"/>
    <w:rsid w:val="00B15F38"/>
    <w:rsid w:val="00B21BE3"/>
    <w:rsid w:val="00B2284C"/>
    <w:rsid w:val="00B22C9F"/>
    <w:rsid w:val="00B23DD5"/>
    <w:rsid w:val="00B2554D"/>
    <w:rsid w:val="00B25D20"/>
    <w:rsid w:val="00B26A44"/>
    <w:rsid w:val="00B31249"/>
    <w:rsid w:val="00B32F94"/>
    <w:rsid w:val="00B33EDE"/>
    <w:rsid w:val="00B34855"/>
    <w:rsid w:val="00B35E4C"/>
    <w:rsid w:val="00B3689A"/>
    <w:rsid w:val="00B36DCB"/>
    <w:rsid w:val="00B41CB2"/>
    <w:rsid w:val="00B42BD5"/>
    <w:rsid w:val="00B44FE6"/>
    <w:rsid w:val="00B471BE"/>
    <w:rsid w:val="00B507AC"/>
    <w:rsid w:val="00B55327"/>
    <w:rsid w:val="00B55516"/>
    <w:rsid w:val="00B569DA"/>
    <w:rsid w:val="00B5701D"/>
    <w:rsid w:val="00B575C8"/>
    <w:rsid w:val="00B60DBE"/>
    <w:rsid w:val="00B615E4"/>
    <w:rsid w:val="00B6343D"/>
    <w:rsid w:val="00B638CC"/>
    <w:rsid w:val="00B63AB1"/>
    <w:rsid w:val="00B63D31"/>
    <w:rsid w:val="00B6570E"/>
    <w:rsid w:val="00B67F4E"/>
    <w:rsid w:val="00B7038A"/>
    <w:rsid w:val="00B71784"/>
    <w:rsid w:val="00B73960"/>
    <w:rsid w:val="00B75C98"/>
    <w:rsid w:val="00B76566"/>
    <w:rsid w:val="00B766F3"/>
    <w:rsid w:val="00B81B9E"/>
    <w:rsid w:val="00B82D46"/>
    <w:rsid w:val="00B85AB8"/>
    <w:rsid w:val="00B91934"/>
    <w:rsid w:val="00B92BDC"/>
    <w:rsid w:val="00B95FD1"/>
    <w:rsid w:val="00B96C46"/>
    <w:rsid w:val="00BA0904"/>
    <w:rsid w:val="00BA3C92"/>
    <w:rsid w:val="00BA46D3"/>
    <w:rsid w:val="00BA705A"/>
    <w:rsid w:val="00BA744A"/>
    <w:rsid w:val="00BB21AC"/>
    <w:rsid w:val="00BB2222"/>
    <w:rsid w:val="00BB3661"/>
    <w:rsid w:val="00BB4586"/>
    <w:rsid w:val="00BB6950"/>
    <w:rsid w:val="00BB7148"/>
    <w:rsid w:val="00BB7C5E"/>
    <w:rsid w:val="00BC20FF"/>
    <w:rsid w:val="00BC3D4D"/>
    <w:rsid w:val="00BC4AD7"/>
    <w:rsid w:val="00BC64F0"/>
    <w:rsid w:val="00BC7836"/>
    <w:rsid w:val="00BD368F"/>
    <w:rsid w:val="00BD3ABF"/>
    <w:rsid w:val="00BD3D5A"/>
    <w:rsid w:val="00BD4E54"/>
    <w:rsid w:val="00BD690E"/>
    <w:rsid w:val="00BD6B34"/>
    <w:rsid w:val="00BE009C"/>
    <w:rsid w:val="00BE0DCE"/>
    <w:rsid w:val="00BE6EB4"/>
    <w:rsid w:val="00BE79AE"/>
    <w:rsid w:val="00BF1FA6"/>
    <w:rsid w:val="00BF38FA"/>
    <w:rsid w:val="00BF41DC"/>
    <w:rsid w:val="00BF5C3F"/>
    <w:rsid w:val="00BF70D1"/>
    <w:rsid w:val="00C00E81"/>
    <w:rsid w:val="00C01FDE"/>
    <w:rsid w:val="00C03328"/>
    <w:rsid w:val="00C077BF"/>
    <w:rsid w:val="00C1081F"/>
    <w:rsid w:val="00C1342E"/>
    <w:rsid w:val="00C14B9E"/>
    <w:rsid w:val="00C16C96"/>
    <w:rsid w:val="00C2008A"/>
    <w:rsid w:val="00C229FA"/>
    <w:rsid w:val="00C22A71"/>
    <w:rsid w:val="00C27AFF"/>
    <w:rsid w:val="00C3101E"/>
    <w:rsid w:val="00C3485F"/>
    <w:rsid w:val="00C35DED"/>
    <w:rsid w:val="00C365BF"/>
    <w:rsid w:val="00C3799F"/>
    <w:rsid w:val="00C400B0"/>
    <w:rsid w:val="00C411EE"/>
    <w:rsid w:val="00C42884"/>
    <w:rsid w:val="00C42B5E"/>
    <w:rsid w:val="00C43B4E"/>
    <w:rsid w:val="00C478BB"/>
    <w:rsid w:val="00C50431"/>
    <w:rsid w:val="00C510F5"/>
    <w:rsid w:val="00C52D15"/>
    <w:rsid w:val="00C557FA"/>
    <w:rsid w:val="00C61D9A"/>
    <w:rsid w:val="00C62078"/>
    <w:rsid w:val="00C70D97"/>
    <w:rsid w:val="00C70FC7"/>
    <w:rsid w:val="00C71B14"/>
    <w:rsid w:val="00C7274B"/>
    <w:rsid w:val="00C76CC9"/>
    <w:rsid w:val="00C773CD"/>
    <w:rsid w:val="00C77CC3"/>
    <w:rsid w:val="00C81D10"/>
    <w:rsid w:val="00C824ED"/>
    <w:rsid w:val="00C83F94"/>
    <w:rsid w:val="00C8634A"/>
    <w:rsid w:val="00C8710B"/>
    <w:rsid w:val="00C90729"/>
    <w:rsid w:val="00C912C4"/>
    <w:rsid w:val="00C95C69"/>
    <w:rsid w:val="00CA088C"/>
    <w:rsid w:val="00CA11B7"/>
    <w:rsid w:val="00CA20B0"/>
    <w:rsid w:val="00CA58DD"/>
    <w:rsid w:val="00CB051B"/>
    <w:rsid w:val="00CB67A0"/>
    <w:rsid w:val="00CB7501"/>
    <w:rsid w:val="00CC0CC2"/>
    <w:rsid w:val="00CC2A4E"/>
    <w:rsid w:val="00CC33AD"/>
    <w:rsid w:val="00CC5376"/>
    <w:rsid w:val="00CC630F"/>
    <w:rsid w:val="00CC79EF"/>
    <w:rsid w:val="00CD079E"/>
    <w:rsid w:val="00CD1B6E"/>
    <w:rsid w:val="00CD7168"/>
    <w:rsid w:val="00CE1AF9"/>
    <w:rsid w:val="00CE2377"/>
    <w:rsid w:val="00CE371C"/>
    <w:rsid w:val="00CE4C87"/>
    <w:rsid w:val="00CE7006"/>
    <w:rsid w:val="00CF40BB"/>
    <w:rsid w:val="00CF50DC"/>
    <w:rsid w:val="00D007F8"/>
    <w:rsid w:val="00D01314"/>
    <w:rsid w:val="00D01C70"/>
    <w:rsid w:val="00D0244A"/>
    <w:rsid w:val="00D04C2F"/>
    <w:rsid w:val="00D06F15"/>
    <w:rsid w:val="00D07E30"/>
    <w:rsid w:val="00D20353"/>
    <w:rsid w:val="00D20496"/>
    <w:rsid w:val="00D21459"/>
    <w:rsid w:val="00D21DDA"/>
    <w:rsid w:val="00D24EC7"/>
    <w:rsid w:val="00D257B5"/>
    <w:rsid w:val="00D27A66"/>
    <w:rsid w:val="00D27D25"/>
    <w:rsid w:val="00D3502E"/>
    <w:rsid w:val="00D351D7"/>
    <w:rsid w:val="00D3647E"/>
    <w:rsid w:val="00D36A54"/>
    <w:rsid w:val="00D400F6"/>
    <w:rsid w:val="00D42EEA"/>
    <w:rsid w:val="00D471C6"/>
    <w:rsid w:val="00D50149"/>
    <w:rsid w:val="00D50CD1"/>
    <w:rsid w:val="00D51AE5"/>
    <w:rsid w:val="00D51B97"/>
    <w:rsid w:val="00D51C0D"/>
    <w:rsid w:val="00D52CA9"/>
    <w:rsid w:val="00D53B20"/>
    <w:rsid w:val="00D55204"/>
    <w:rsid w:val="00D567CB"/>
    <w:rsid w:val="00D570A8"/>
    <w:rsid w:val="00D57947"/>
    <w:rsid w:val="00D57E6C"/>
    <w:rsid w:val="00D61EFE"/>
    <w:rsid w:val="00D6639A"/>
    <w:rsid w:val="00D66BA3"/>
    <w:rsid w:val="00D67D01"/>
    <w:rsid w:val="00D714F3"/>
    <w:rsid w:val="00D80025"/>
    <w:rsid w:val="00D80F4E"/>
    <w:rsid w:val="00D83F66"/>
    <w:rsid w:val="00D840CC"/>
    <w:rsid w:val="00D84E52"/>
    <w:rsid w:val="00D859DD"/>
    <w:rsid w:val="00D86C60"/>
    <w:rsid w:val="00DA23A9"/>
    <w:rsid w:val="00DA4E07"/>
    <w:rsid w:val="00DB1513"/>
    <w:rsid w:val="00DB4752"/>
    <w:rsid w:val="00DB5895"/>
    <w:rsid w:val="00DB79A3"/>
    <w:rsid w:val="00DB7CFC"/>
    <w:rsid w:val="00DC08F3"/>
    <w:rsid w:val="00DC1FFB"/>
    <w:rsid w:val="00DC24E1"/>
    <w:rsid w:val="00DC436F"/>
    <w:rsid w:val="00DC683E"/>
    <w:rsid w:val="00DC76AF"/>
    <w:rsid w:val="00DD0523"/>
    <w:rsid w:val="00DD0AEA"/>
    <w:rsid w:val="00DD276C"/>
    <w:rsid w:val="00DD5468"/>
    <w:rsid w:val="00DD575D"/>
    <w:rsid w:val="00DD670B"/>
    <w:rsid w:val="00DD6853"/>
    <w:rsid w:val="00DE004B"/>
    <w:rsid w:val="00DE03E1"/>
    <w:rsid w:val="00DE13B6"/>
    <w:rsid w:val="00DE2D2C"/>
    <w:rsid w:val="00DE3564"/>
    <w:rsid w:val="00DE42BC"/>
    <w:rsid w:val="00DE462D"/>
    <w:rsid w:val="00DE4659"/>
    <w:rsid w:val="00DE489D"/>
    <w:rsid w:val="00DE4E16"/>
    <w:rsid w:val="00DE69B3"/>
    <w:rsid w:val="00DF059B"/>
    <w:rsid w:val="00DF29C4"/>
    <w:rsid w:val="00DF2D9A"/>
    <w:rsid w:val="00DF4880"/>
    <w:rsid w:val="00DF5092"/>
    <w:rsid w:val="00DF78EB"/>
    <w:rsid w:val="00E00FED"/>
    <w:rsid w:val="00E02478"/>
    <w:rsid w:val="00E04190"/>
    <w:rsid w:val="00E06A1A"/>
    <w:rsid w:val="00E07B92"/>
    <w:rsid w:val="00E1192E"/>
    <w:rsid w:val="00E11C7A"/>
    <w:rsid w:val="00E12446"/>
    <w:rsid w:val="00E1368F"/>
    <w:rsid w:val="00E14D42"/>
    <w:rsid w:val="00E155E4"/>
    <w:rsid w:val="00E155EE"/>
    <w:rsid w:val="00E15E43"/>
    <w:rsid w:val="00E15F59"/>
    <w:rsid w:val="00E16016"/>
    <w:rsid w:val="00E16EF5"/>
    <w:rsid w:val="00E20658"/>
    <w:rsid w:val="00E21722"/>
    <w:rsid w:val="00E22331"/>
    <w:rsid w:val="00E257E8"/>
    <w:rsid w:val="00E2669E"/>
    <w:rsid w:val="00E274FB"/>
    <w:rsid w:val="00E27A50"/>
    <w:rsid w:val="00E31305"/>
    <w:rsid w:val="00E3255D"/>
    <w:rsid w:val="00E32693"/>
    <w:rsid w:val="00E327CF"/>
    <w:rsid w:val="00E33E4C"/>
    <w:rsid w:val="00E35599"/>
    <w:rsid w:val="00E36884"/>
    <w:rsid w:val="00E400FD"/>
    <w:rsid w:val="00E401A3"/>
    <w:rsid w:val="00E40AF5"/>
    <w:rsid w:val="00E42DF0"/>
    <w:rsid w:val="00E435B4"/>
    <w:rsid w:val="00E46BFD"/>
    <w:rsid w:val="00E477A9"/>
    <w:rsid w:val="00E47C63"/>
    <w:rsid w:val="00E51D09"/>
    <w:rsid w:val="00E5439F"/>
    <w:rsid w:val="00E55B49"/>
    <w:rsid w:val="00E56BCF"/>
    <w:rsid w:val="00E575ED"/>
    <w:rsid w:val="00E6035E"/>
    <w:rsid w:val="00E615F8"/>
    <w:rsid w:val="00E677ED"/>
    <w:rsid w:val="00E67C2A"/>
    <w:rsid w:val="00E701E1"/>
    <w:rsid w:val="00E70B6F"/>
    <w:rsid w:val="00E75E95"/>
    <w:rsid w:val="00E8013B"/>
    <w:rsid w:val="00E820B6"/>
    <w:rsid w:val="00E82DEE"/>
    <w:rsid w:val="00E85221"/>
    <w:rsid w:val="00E860AF"/>
    <w:rsid w:val="00E8755E"/>
    <w:rsid w:val="00E90053"/>
    <w:rsid w:val="00E92BFE"/>
    <w:rsid w:val="00E92E60"/>
    <w:rsid w:val="00E94BED"/>
    <w:rsid w:val="00E95C4B"/>
    <w:rsid w:val="00E96A8D"/>
    <w:rsid w:val="00E97B9C"/>
    <w:rsid w:val="00E97C49"/>
    <w:rsid w:val="00EA005B"/>
    <w:rsid w:val="00EA00B5"/>
    <w:rsid w:val="00EA26A2"/>
    <w:rsid w:val="00EA3A4D"/>
    <w:rsid w:val="00EA497C"/>
    <w:rsid w:val="00EA5F96"/>
    <w:rsid w:val="00EB0D1E"/>
    <w:rsid w:val="00EB22E6"/>
    <w:rsid w:val="00EB24E2"/>
    <w:rsid w:val="00EB407F"/>
    <w:rsid w:val="00EC036B"/>
    <w:rsid w:val="00EC7F6A"/>
    <w:rsid w:val="00ED0F64"/>
    <w:rsid w:val="00ED27D2"/>
    <w:rsid w:val="00ED4353"/>
    <w:rsid w:val="00ED6F7E"/>
    <w:rsid w:val="00ED758E"/>
    <w:rsid w:val="00EE183A"/>
    <w:rsid w:val="00EE5078"/>
    <w:rsid w:val="00EE5D18"/>
    <w:rsid w:val="00EE7BD5"/>
    <w:rsid w:val="00EF31C1"/>
    <w:rsid w:val="00EF32D1"/>
    <w:rsid w:val="00EF68DF"/>
    <w:rsid w:val="00EF6E99"/>
    <w:rsid w:val="00EF74BD"/>
    <w:rsid w:val="00F00736"/>
    <w:rsid w:val="00F04B97"/>
    <w:rsid w:val="00F10312"/>
    <w:rsid w:val="00F131EB"/>
    <w:rsid w:val="00F13407"/>
    <w:rsid w:val="00F13697"/>
    <w:rsid w:val="00F13807"/>
    <w:rsid w:val="00F15F8F"/>
    <w:rsid w:val="00F16480"/>
    <w:rsid w:val="00F16F33"/>
    <w:rsid w:val="00F209AC"/>
    <w:rsid w:val="00F21780"/>
    <w:rsid w:val="00F2715E"/>
    <w:rsid w:val="00F331F3"/>
    <w:rsid w:val="00F419F2"/>
    <w:rsid w:val="00F41CD6"/>
    <w:rsid w:val="00F422D2"/>
    <w:rsid w:val="00F42A37"/>
    <w:rsid w:val="00F442A5"/>
    <w:rsid w:val="00F44622"/>
    <w:rsid w:val="00F46275"/>
    <w:rsid w:val="00F467F4"/>
    <w:rsid w:val="00F46A19"/>
    <w:rsid w:val="00F501C2"/>
    <w:rsid w:val="00F5022A"/>
    <w:rsid w:val="00F50A07"/>
    <w:rsid w:val="00F5291A"/>
    <w:rsid w:val="00F574EA"/>
    <w:rsid w:val="00F577F7"/>
    <w:rsid w:val="00F600F9"/>
    <w:rsid w:val="00F619ED"/>
    <w:rsid w:val="00F62324"/>
    <w:rsid w:val="00F64584"/>
    <w:rsid w:val="00F647C0"/>
    <w:rsid w:val="00F6667D"/>
    <w:rsid w:val="00F67167"/>
    <w:rsid w:val="00F67C30"/>
    <w:rsid w:val="00F70DE3"/>
    <w:rsid w:val="00F777A1"/>
    <w:rsid w:val="00F77FC6"/>
    <w:rsid w:val="00F8335E"/>
    <w:rsid w:val="00F836FC"/>
    <w:rsid w:val="00F859D4"/>
    <w:rsid w:val="00F86C03"/>
    <w:rsid w:val="00F872BB"/>
    <w:rsid w:val="00F90E8A"/>
    <w:rsid w:val="00F912DB"/>
    <w:rsid w:val="00F925FB"/>
    <w:rsid w:val="00F93DBE"/>
    <w:rsid w:val="00F95409"/>
    <w:rsid w:val="00F96358"/>
    <w:rsid w:val="00F9742B"/>
    <w:rsid w:val="00F9783D"/>
    <w:rsid w:val="00FA18DC"/>
    <w:rsid w:val="00FA30F1"/>
    <w:rsid w:val="00FA3784"/>
    <w:rsid w:val="00FA4B0A"/>
    <w:rsid w:val="00FA5EBA"/>
    <w:rsid w:val="00FA7AAD"/>
    <w:rsid w:val="00FB2C46"/>
    <w:rsid w:val="00FB31ED"/>
    <w:rsid w:val="00FC088F"/>
    <w:rsid w:val="00FC2163"/>
    <w:rsid w:val="00FC2490"/>
    <w:rsid w:val="00FC607C"/>
    <w:rsid w:val="00FD6A49"/>
    <w:rsid w:val="00FD789C"/>
    <w:rsid w:val="00FE0015"/>
    <w:rsid w:val="00FE1347"/>
    <w:rsid w:val="00FE17A9"/>
    <w:rsid w:val="00FE21CB"/>
    <w:rsid w:val="00FE456E"/>
    <w:rsid w:val="00FE46E9"/>
    <w:rsid w:val="00FE7339"/>
    <w:rsid w:val="00FF1ADC"/>
    <w:rsid w:val="00FF3055"/>
    <w:rsid w:val="00FF3295"/>
    <w:rsid w:val="00FF486C"/>
    <w:rsid w:val="00FF5C58"/>
    <w:rsid w:val="00FF5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qFormat/>
    <w:rsid w:val="00DD0AEA"/>
    <w:pPr>
      <w:keepNext/>
      <w:keepLines/>
      <w:pageBreakBefore/>
      <w:numPr>
        <w:numId w:val="1"/>
      </w:numPr>
      <w:spacing w:before="100" w:beforeAutospacing="1" w:after="240" w:line="240" w:lineRule="auto"/>
      <w:outlineLvl w:val="0"/>
    </w:pPr>
    <w:rPr>
      <w:rFonts w:ascii="Calibri" w:eastAsiaTheme="majorEastAsia" w:hAnsi="Calibri" w:cstheme="majorBidi"/>
      <w:bCs/>
      <w:sz w:val="48"/>
      <w:szCs w:val="28"/>
      <w:lang w:val="en-AU"/>
    </w:rPr>
  </w:style>
  <w:style w:type="paragraph" w:styleId="Heading2">
    <w:name w:val="heading 2"/>
    <w:next w:val="Normal"/>
    <w:link w:val="Heading2Char"/>
    <w:qFormat/>
    <w:rsid w:val="00DD0AEA"/>
    <w:pPr>
      <w:keepNext/>
      <w:numPr>
        <w:ilvl w:val="1"/>
        <w:numId w:val="1"/>
      </w:numPr>
      <w:spacing w:before="100" w:beforeAutospacing="1" w:after="240" w:line="240" w:lineRule="auto"/>
      <w:outlineLvl w:val="1"/>
    </w:pPr>
    <w:rPr>
      <w:rFonts w:ascii="Calibri" w:eastAsia="Times New Roman" w:hAnsi="Calibri" w:cs="Times New Roman"/>
      <w:bCs/>
      <w:iCs/>
      <w:sz w:val="32"/>
      <w:szCs w:val="24"/>
      <w:lang w:val="en-AU"/>
    </w:rPr>
  </w:style>
  <w:style w:type="paragraph" w:styleId="Heading3">
    <w:name w:val="heading 3"/>
    <w:next w:val="Normal"/>
    <w:link w:val="Heading3Char"/>
    <w:qFormat/>
    <w:rsid w:val="00DD0AEA"/>
    <w:pPr>
      <w:keepNext/>
      <w:numPr>
        <w:ilvl w:val="2"/>
        <w:numId w:val="1"/>
      </w:numPr>
      <w:spacing w:before="100" w:beforeAutospacing="1" w:after="240" w:line="240" w:lineRule="auto"/>
      <w:outlineLvl w:val="2"/>
    </w:pPr>
    <w:rPr>
      <w:rFonts w:ascii="Calibri" w:eastAsia="Times New Roman" w:hAnsi="Calibri" w:cs="Times New Roman"/>
      <w:bCs/>
      <w:iCs/>
      <w:sz w:val="28"/>
      <w:szCs w:val="24"/>
      <w:lang w:val="en-AU"/>
    </w:rPr>
  </w:style>
  <w:style w:type="paragraph" w:styleId="Heading4">
    <w:name w:val="heading 4"/>
    <w:next w:val="Normal"/>
    <w:link w:val="Heading4Char"/>
    <w:uiPriority w:val="9"/>
    <w:unhideWhenUsed/>
    <w:qFormat/>
    <w:rsid w:val="00DD0AEA"/>
    <w:pPr>
      <w:keepNext/>
      <w:keepLines/>
      <w:spacing w:before="100" w:beforeAutospacing="1" w:after="240" w:line="240" w:lineRule="auto"/>
      <w:outlineLvl w:val="3"/>
    </w:pPr>
    <w:rPr>
      <w:rFonts w:ascii="Calibri" w:eastAsiaTheme="majorEastAsia" w:hAnsi="Calibri" w:cstheme="majorBidi"/>
      <w:b/>
      <w:bCs/>
      <w:i/>
      <w:iCs/>
      <w:sz w:val="24"/>
      <w:lang w:val="en-AU"/>
    </w:rPr>
  </w:style>
  <w:style w:type="paragraph" w:styleId="Heading5">
    <w:name w:val="heading 5"/>
    <w:next w:val="Normal"/>
    <w:link w:val="Heading5Char"/>
    <w:uiPriority w:val="9"/>
    <w:unhideWhenUsed/>
    <w:qFormat/>
    <w:rsid w:val="00DD0AEA"/>
    <w:pPr>
      <w:keepNext/>
      <w:keepLines/>
      <w:spacing w:after="0" w:line="240" w:lineRule="auto"/>
      <w:outlineLvl w:val="4"/>
    </w:pPr>
    <w:rPr>
      <w:rFonts w:ascii="Calibri" w:eastAsiaTheme="majorEastAsia" w:hAnsi="Calibri" w:cstheme="majorBidi"/>
      <w:sz w:val="23"/>
      <w:u w:val="single"/>
      <w:lang w:val="en-AU"/>
    </w:rPr>
  </w:style>
  <w:style w:type="paragraph" w:styleId="Heading6">
    <w:name w:val="heading 6"/>
    <w:next w:val="Normal"/>
    <w:link w:val="Heading6Char"/>
    <w:uiPriority w:val="9"/>
    <w:unhideWhenUsed/>
    <w:qFormat/>
    <w:rsid w:val="00DD0AEA"/>
    <w:pPr>
      <w:keepNext/>
      <w:keepLines/>
      <w:spacing w:before="200" w:after="0" w:line="240" w:lineRule="auto"/>
      <w:outlineLvl w:val="5"/>
    </w:pPr>
    <w:rPr>
      <w:rFonts w:ascii="Calibri" w:eastAsiaTheme="majorEastAsia" w:hAnsi="Calibri" w:cstheme="majorBidi"/>
      <w:i/>
      <w:iCs/>
      <w:sz w:val="23"/>
      <w:lang w:val="en-AU"/>
    </w:rPr>
  </w:style>
  <w:style w:type="paragraph" w:styleId="Heading7">
    <w:name w:val="heading 7"/>
    <w:next w:val="Normal"/>
    <w:link w:val="Heading7Char"/>
    <w:uiPriority w:val="9"/>
    <w:semiHidden/>
    <w:unhideWhenUsed/>
    <w:rsid w:val="00DD0AEA"/>
    <w:pPr>
      <w:keepNext/>
      <w:keepLines/>
      <w:spacing w:before="200" w:after="0" w:line="240" w:lineRule="auto"/>
      <w:outlineLvl w:val="6"/>
    </w:pPr>
    <w:rPr>
      <w:rFonts w:asciiTheme="majorHAnsi" w:eastAsiaTheme="majorEastAsia" w:hAnsiTheme="majorHAnsi" w:cstheme="majorBidi"/>
      <w:i/>
      <w:iCs/>
      <w:color w:val="404040" w:themeColor="text1" w:themeTint="BF"/>
      <w:sz w:val="23"/>
      <w:lang w:val="en-AU" w:eastAsia="en-AU"/>
    </w:rPr>
  </w:style>
  <w:style w:type="paragraph" w:styleId="Heading8">
    <w:name w:val="heading 8"/>
    <w:basedOn w:val="Normal"/>
    <w:next w:val="Normal"/>
    <w:link w:val="Heading8Char"/>
    <w:uiPriority w:val="9"/>
    <w:semiHidden/>
    <w:unhideWhenUsed/>
    <w:qFormat/>
    <w:rsid w:val="00DD0AEA"/>
    <w:pPr>
      <w:keepNext/>
      <w:keepLines/>
      <w:spacing w:before="200" w:beforeAutospacing="1" w:after="0" w:afterAutospacing="1" w:line="240" w:lineRule="auto"/>
      <w:jc w:val="both"/>
      <w:outlineLvl w:val="7"/>
    </w:pPr>
    <w:rPr>
      <w:rFonts w:asciiTheme="majorHAnsi" w:eastAsiaTheme="majorEastAsia" w:hAnsiTheme="majorHAnsi" w:cstheme="majorBidi"/>
      <w:color w:val="404040" w:themeColor="text1" w:themeTint="BF"/>
      <w:sz w:val="20"/>
      <w:szCs w:val="20"/>
      <w:lang w:val="en-AU" w:eastAsia="en-AU"/>
    </w:rPr>
  </w:style>
  <w:style w:type="paragraph" w:styleId="Heading9">
    <w:name w:val="heading 9"/>
    <w:basedOn w:val="Normal"/>
    <w:next w:val="Normal"/>
    <w:link w:val="Heading9Char"/>
    <w:uiPriority w:val="9"/>
    <w:semiHidden/>
    <w:unhideWhenUsed/>
    <w:qFormat/>
    <w:rsid w:val="00DD0AEA"/>
    <w:pPr>
      <w:keepNext/>
      <w:keepLines/>
      <w:spacing w:before="200" w:beforeAutospacing="1" w:after="0" w:afterAutospacing="1" w:line="240" w:lineRule="auto"/>
      <w:jc w:val="both"/>
      <w:outlineLvl w:val="8"/>
    </w:pPr>
    <w:rPr>
      <w:rFonts w:asciiTheme="majorHAnsi" w:eastAsiaTheme="majorEastAsia" w:hAnsiTheme="majorHAnsi" w:cstheme="majorBidi"/>
      <w:i/>
      <w:iCs/>
      <w:color w:val="404040" w:themeColor="text1" w:themeTint="BF"/>
      <w:sz w:val="20"/>
      <w:szCs w:val="20"/>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AEA"/>
    <w:rPr>
      <w:rFonts w:ascii="Calibri" w:eastAsiaTheme="majorEastAsia" w:hAnsi="Calibri" w:cstheme="majorBidi"/>
      <w:bCs/>
      <w:sz w:val="48"/>
      <w:szCs w:val="28"/>
      <w:lang w:val="en-AU"/>
    </w:rPr>
  </w:style>
  <w:style w:type="character" w:customStyle="1" w:styleId="Heading2Char">
    <w:name w:val="Heading 2 Char"/>
    <w:basedOn w:val="DefaultParagraphFont"/>
    <w:link w:val="Heading2"/>
    <w:rsid w:val="00DD0AEA"/>
    <w:rPr>
      <w:rFonts w:ascii="Calibri" w:eastAsia="Times New Roman" w:hAnsi="Calibri" w:cs="Times New Roman"/>
      <w:bCs/>
      <w:iCs/>
      <w:sz w:val="32"/>
      <w:szCs w:val="24"/>
      <w:lang w:val="en-AU"/>
    </w:rPr>
  </w:style>
  <w:style w:type="character" w:customStyle="1" w:styleId="Heading3Char">
    <w:name w:val="Heading 3 Char"/>
    <w:basedOn w:val="DefaultParagraphFont"/>
    <w:link w:val="Heading3"/>
    <w:rsid w:val="00DD0AEA"/>
    <w:rPr>
      <w:rFonts w:ascii="Calibri" w:eastAsia="Times New Roman" w:hAnsi="Calibri" w:cs="Times New Roman"/>
      <w:bCs/>
      <w:iCs/>
      <w:sz w:val="28"/>
      <w:szCs w:val="24"/>
      <w:lang w:val="en-AU"/>
    </w:rPr>
  </w:style>
  <w:style w:type="character" w:customStyle="1" w:styleId="Heading4Char">
    <w:name w:val="Heading 4 Char"/>
    <w:basedOn w:val="DefaultParagraphFont"/>
    <w:link w:val="Heading4"/>
    <w:uiPriority w:val="9"/>
    <w:rsid w:val="00DD0AEA"/>
    <w:rPr>
      <w:rFonts w:ascii="Calibri" w:eastAsiaTheme="majorEastAsia" w:hAnsi="Calibri" w:cstheme="majorBidi"/>
      <w:b/>
      <w:bCs/>
      <w:i/>
      <w:iCs/>
      <w:sz w:val="24"/>
      <w:lang w:val="en-AU"/>
    </w:rPr>
  </w:style>
  <w:style w:type="character" w:customStyle="1" w:styleId="Heading5Char">
    <w:name w:val="Heading 5 Char"/>
    <w:basedOn w:val="DefaultParagraphFont"/>
    <w:link w:val="Heading5"/>
    <w:uiPriority w:val="9"/>
    <w:rsid w:val="00DD0AEA"/>
    <w:rPr>
      <w:rFonts w:ascii="Calibri" w:eastAsiaTheme="majorEastAsia" w:hAnsi="Calibri" w:cstheme="majorBidi"/>
      <w:sz w:val="23"/>
      <w:u w:val="single"/>
      <w:lang w:val="en-AU"/>
    </w:rPr>
  </w:style>
  <w:style w:type="character" w:customStyle="1" w:styleId="Heading6Char">
    <w:name w:val="Heading 6 Char"/>
    <w:basedOn w:val="DefaultParagraphFont"/>
    <w:link w:val="Heading6"/>
    <w:uiPriority w:val="9"/>
    <w:rsid w:val="00DD0AEA"/>
    <w:rPr>
      <w:rFonts w:ascii="Calibri" w:eastAsiaTheme="majorEastAsia" w:hAnsi="Calibri" w:cstheme="majorBidi"/>
      <w:i/>
      <w:iCs/>
      <w:sz w:val="23"/>
      <w:lang w:val="en-AU"/>
    </w:rPr>
  </w:style>
  <w:style w:type="character" w:customStyle="1" w:styleId="Heading7Char">
    <w:name w:val="Heading 7 Char"/>
    <w:basedOn w:val="DefaultParagraphFont"/>
    <w:link w:val="Heading7"/>
    <w:uiPriority w:val="9"/>
    <w:semiHidden/>
    <w:rsid w:val="00DD0AEA"/>
    <w:rPr>
      <w:rFonts w:asciiTheme="majorHAnsi" w:eastAsiaTheme="majorEastAsia" w:hAnsiTheme="majorHAnsi" w:cstheme="majorBidi"/>
      <w:i/>
      <w:iCs/>
      <w:color w:val="404040" w:themeColor="text1" w:themeTint="BF"/>
      <w:sz w:val="23"/>
      <w:lang w:val="en-AU" w:eastAsia="en-AU"/>
    </w:rPr>
  </w:style>
  <w:style w:type="character" w:customStyle="1" w:styleId="Heading8Char">
    <w:name w:val="Heading 8 Char"/>
    <w:basedOn w:val="DefaultParagraphFont"/>
    <w:link w:val="Heading8"/>
    <w:uiPriority w:val="9"/>
    <w:semiHidden/>
    <w:rsid w:val="00DD0AEA"/>
    <w:rPr>
      <w:rFonts w:asciiTheme="majorHAnsi" w:eastAsiaTheme="majorEastAsia" w:hAnsiTheme="majorHAnsi" w:cstheme="majorBidi"/>
      <w:color w:val="404040" w:themeColor="text1" w:themeTint="BF"/>
      <w:sz w:val="20"/>
      <w:szCs w:val="20"/>
      <w:lang w:val="en-AU" w:eastAsia="en-AU"/>
    </w:rPr>
  </w:style>
  <w:style w:type="character" w:customStyle="1" w:styleId="Heading9Char">
    <w:name w:val="Heading 9 Char"/>
    <w:basedOn w:val="DefaultParagraphFont"/>
    <w:link w:val="Heading9"/>
    <w:uiPriority w:val="9"/>
    <w:semiHidden/>
    <w:rsid w:val="00DD0AEA"/>
    <w:rPr>
      <w:rFonts w:asciiTheme="majorHAnsi" w:eastAsiaTheme="majorEastAsia" w:hAnsiTheme="majorHAnsi" w:cstheme="majorBidi"/>
      <w:i/>
      <w:iCs/>
      <w:color w:val="404040" w:themeColor="text1" w:themeTint="BF"/>
      <w:sz w:val="20"/>
      <w:szCs w:val="20"/>
      <w:lang w:val="en-AU" w:eastAsia="en-AU"/>
    </w:rPr>
  </w:style>
  <w:style w:type="numbering" w:customStyle="1" w:styleId="NoList1">
    <w:name w:val="No List1"/>
    <w:next w:val="NoList"/>
    <w:uiPriority w:val="99"/>
    <w:semiHidden/>
    <w:unhideWhenUsed/>
    <w:rsid w:val="00DD0AEA"/>
  </w:style>
  <w:style w:type="paragraph" w:customStyle="1" w:styleId="Normal0">
    <w:name w:val="[Normal]"/>
    <w:uiPriority w:val="99"/>
    <w:rsid w:val="00DD0AEA"/>
    <w:pPr>
      <w:widowControl w:val="0"/>
      <w:autoSpaceDE w:val="0"/>
      <w:autoSpaceDN w:val="0"/>
      <w:adjustRightInd w:val="0"/>
      <w:spacing w:after="0" w:line="240" w:lineRule="auto"/>
    </w:pPr>
    <w:rPr>
      <w:rFonts w:ascii="Arial" w:hAnsi="Arial" w:cs="Arial"/>
      <w:sz w:val="24"/>
      <w:szCs w:val="24"/>
      <w:lang w:val="en-AU"/>
    </w:rPr>
  </w:style>
  <w:style w:type="character" w:customStyle="1" w:styleId="DHSText10ptChar">
    <w:name w:val="DHS Text 10pt Char"/>
    <w:uiPriority w:val="99"/>
    <w:rsid w:val="00DD0AEA"/>
    <w:rPr>
      <w:rFonts w:ascii="Verdana" w:hAnsi="Verdana"/>
      <w:lang w:val="en-AU" w:eastAsia="en-US"/>
    </w:rPr>
  </w:style>
  <w:style w:type="character" w:customStyle="1" w:styleId="notranslate">
    <w:name w:val="notranslate"/>
    <w:basedOn w:val="DefaultParagraphFont"/>
    <w:rsid w:val="00DD0AEA"/>
  </w:style>
  <w:style w:type="paragraph" w:customStyle="1" w:styleId="LineLast">
    <w:name w:val="Line Last"/>
    <w:basedOn w:val="Normal"/>
    <w:rsid w:val="00DD0AEA"/>
    <w:pPr>
      <w:tabs>
        <w:tab w:val="left" w:leader="underscore" w:pos="8640"/>
      </w:tabs>
      <w:spacing w:before="60" w:beforeAutospacing="1" w:after="360" w:afterAutospacing="1" w:line="240" w:lineRule="auto"/>
      <w:jc w:val="both"/>
    </w:pPr>
    <w:rPr>
      <w:rFonts w:ascii="Tahoma" w:eastAsia="Times New Roman" w:hAnsi="Tahoma" w:cs="Times New Roman"/>
      <w:sz w:val="20"/>
      <w:szCs w:val="24"/>
      <w:lang w:val="en-AU"/>
    </w:rPr>
  </w:style>
  <w:style w:type="paragraph" w:customStyle="1" w:styleId="Line">
    <w:name w:val="Line"/>
    <w:basedOn w:val="Normal"/>
    <w:rsid w:val="00DD0AEA"/>
    <w:pPr>
      <w:tabs>
        <w:tab w:val="left" w:leader="underscore" w:pos="8640"/>
      </w:tabs>
      <w:spacing w:before="60" w:beforeAutospacing="1" w:after="100" w:afterAutospacing="1" w:line="240" w:lineRule="auto"/>
      <w:jc w:val="both"/>
    </w:pPr>
    <w:rPr>
      <w:rFonts w:ascii="Tahoma" w:eastAsia="Times New Roman" w:hAnsi="Tahoma" w:cs="Times New Roman"/>
      <w:sz w:val="20"/>
      <w:szCs w:val="24"/>
      <w:lang w:val="en-AU"/>
    </w:rPr>
  </w:style>
  <w:style w:type="paragraph" w:customStyle="1" w:styleId="Thankyou">
    <w:name w:val="Thankyou"/>
    <w:basedOn w:val="Normal"/>
    <w:rsid w:val="00DD0AEA"/>
    <w:pPr>
      <w:keepNext/>
      <w:spacing w:before="100" w:beforeAutospacing="1" w:after="100" w:afterAutospacing="1" w:line="240" w:lineRule="auto"/>
      <w:jc w:val="center"/>
    </w:pPr>
    <w:rPr>
      <w:rFonts w:ascii="Tahoma" w:eastAsia="Times New Roman" w:hAnsi="Tahoma" w:cs="Times New Roman"/>
      <w:sz w:val="20"/>
      <w:szCs w:val="24"/>
      <w:lang w:val="en-AU"/>
    </w:rPr>
  </w:style>
  <w:style w:type="character" w:customStyle="1" w:styleId="maintitle">
    <w:name w:val="maintitle"/>
    <w:basedOn w:val="DefaultParagraphFont"/>
    <w:rsid w:val="00DD0AEA"/>
  </w:style>
  <w:style w:type="paragraph" w:customStyle="1" w:styleId="Tablecell">
    <w:name w:val="Table cell"/>
    <w:rsid w:val="00DD0AEA"/>
    <w:pPr>
      <w:keepLines/>
      <w:suppressAutoHyphens/>
      <w:spacing w:before="40" w:after="40" w:line="240" w:lineRule="auto"/>
    </w:pPr>
    <w:rPr>
      <w:rFonts w:ascii="Arial" w:eastAsia="Times New Roman" w:hAnsi="Arial" w:cs="Arial"/>
      <w:sz w:val="16"/>
      <w:szCs w:val="20"/>
      <w:lang w:val="en-AU"/>
    </w:rPr>
  </w:style>
  <w:style w:type="paragraph" w:styleId="Header">
    <w:name w:val="header"/>
    <w:link w:val="HeaderChar"/>
    <w:uiPriority w:val="99"/>
    <w:unhideWhenUsed/>
    <w:rsid w:val="00DD0AEA"/>
    <w:pPr>
      <w:tabs>
        <w:tab w:val="center" w:pos="4513"/>
        <w:tab w:val="right" w:pos="9026"/>
      </w:tabs>
      <w:spacing w:after="240" w:line="240" w:lineRule="auto"/>
    </w:pPr>
    <w:rPr>
      <w:rFonts w:ascii="Calibri" w:hAnsi="Calibri"/>
      <w:sz w:val="23"/>
      <w:lang w:val="en-AU"/>
    </w:rPr>
  </w:style>
  <w:style w:type="character" w:customStyle="1" w:styleId="HeaderChar">
    <w:name w:val="Header Char"/>
    <w:basedOn w:val="DefaultParagraphFont"/>
    <w:link w:val="Header"/>
    <w:uiPriority w:val="99"/>
    <w:rsid w:val="00DD0AEA"/>
    <w:rPr>
      <w:rFonts w:ascii="Calibri" w:hAnsi="Calibri"/>
      <w:sz w:val="23"/>
      <w:lang w:val="en-AU"/>
    </w:rPr>
  </w:style>
  <w:style w:type="paragraph" w:styleId="TOC1">
    <w:name w:val="toc 1"/>
    <w:basedOn w:val="Normal"/>
    <w:next w:val="Normal"/>
    <w:autoRedefine/>
    <w:uiPriority w:val="39"/>
    <w:unhideWhenUsed/>
    <w:qFormat/>
    <w:rsid w:val="00DD0AEA"/>
    <w:pPr>
      <w:tabs>
        <w:tab w:val="left" w:pos="440"/>
        <w:tab w:val="right" w:leader="dot" w:pos="9016"/>
      </w:tabs>
      <w:spacing w:before="120" w:after="120" w:line="240" w:lineRule="auto"/>
      <w:jc w:val="both"/>
    </w:pPr>
    <w:rPr>
      <w:rFonts w:ascii="Calibri" w:eastAsiaTheme="minorEastAsia" w:hAnsi="Calibri"/>
      <w:sz w:val="24"/>
      <w:lang w:val="en-AU" w:eastAsia="en-AU"/>
    </w:rPr>
  </w:style>
  <w:style w:type="paragraph" w:styleId="TOC2">
    <w:name w:val="toc 2"/>
    <w:basedOn w:val="Normal"/>
    <w:next w:val="Normal"/>
    <w:autoRedefine/>
    <w:uiPriority w:val="39"/>
    <w:unhideWhenUsed/>
    <w:qFormat/>
    <w:rsid w:val="00DD0AEA"/>
    <w:pPr>
      <w:tabs>
        <w:tab w:val="left" w:pos="880"/>
        <w:tab w:val="right" w:leader="dot" w:pos="9016"/>
      </w:tabs>
      <w:spacing w:before="120" w:after="120" w:line="240" w:lineRule="auto"/>
      <w:ind w:left="232"/>
      <w:jc w:val="both"/>
    </w:pPr>
    <w:rPr>
      <w:rFonts w:ascii="Calibri" w:eastAsiaTheme="minorEastAsia" w:hAnsi="Calibri"/>
      <w:noProof/>
      <w:sz w:val="24"/>
      <w:lang w:val="en-AU" w:eastAsia="en-AU"/>
    </w:rPr>
  </w:style>
  <w:style w:type="paragraph" w:styleId="TOC3">
    <w:name w:val="toc 3"/>
    <w:basedOn w:val="Normal"/>
    <w:next w:val="Normal"/>
    <w:autoRedefine/>
    <w:uiPriority w:val="39"/>
    <w:unhideWhenUsed/>
    <w:qFormat/>
    <w:rsid w:val="00DD0AEA"/>
    <w:pPr>
      <w:tabs>
        <w:tab w:val="left" w:pos="1320"/>
        <w:tab w:val="right" w:leader="dot" w:pos="9016"/>
      </w:tabs>
      <w:spacing w:before="120" w:after="120" w:line="240" w:lineRule="auto"/>
      <w:ind w:left="459"/>
      <w:jc w:val="both"/>
    </w:pPr>
    <w:rPr>
      <w:rFonts w:ascii="Calibri" w:eastAsiaTheme="minorEastAsia" w:hAnsi="Calibri"/>
      <w:noProof/>
      <w:sz w:val="24"/>
      <w:lang w:val="en-AU" w:eastAsia="en-AU"/>
    </w:rPr>
  </w:style>
  <w:style w:type="numbering" w:customStyle="1" w:styleId="Appendices">
    <w:name w:val="Appendices"/>
    <w:uiPriority w:val="99"/>
    <w:rsid w:val="00DD0AEA"/>
    <w:pPr>
      <w:numPr>
        <w:numId w:val="3"/>
      </w:numPr>
    </w:pPr>
  </w:style>
  <w:style w:type="paragraph" w:styleId="FootnoteText">
    <w:name w:val="footnote text"/>
    <w:link w:val="FootnoteTextChar"/>
    <w:uiPriority w:val="99"/>
    <w:unhideWhenUsed/>
    <w:rsid w:val="00DD0AEA"/>
    <w:pPr>
      <w:spacing w:after="120" w:line="240" w:lineRule="auto"/>
    </w:pPr>
    <w:rPr>
      <w:rFonts w:ascii="Calibri" w:hAnsi="Calibri"/>
      <w:sz w:val="18"/>
      <w:szCs w:val="20"/>
      <w:lang w:val="en-AU"/>
    </w:rPr>
  </w:style>
  <w:style w:type="character" w:customStyle="1" w:styleId="FootnoteTextChar">
    <w:name w:val="Footnote Text Char"/>
    <w:basedOn w:val="DefaultParagraphFont"/>
    <w:link w:val="FootnoteText"/>
    <w:uiPriority w:val="99"/>
    <w:rsid w:val="00DD0AEA"/>
    <w:rPr>
      <w:rFonts w:ascii="Calibri" w:hAnsi="Calibri"/>
      <w:sz w:val="18"/>
      <w:szCs w:val="20"/>
      <w:lang w:val="en-AU"/>
    </w:rPr>
  </w:style>
  <w:style w:type="paragraph" w:styleId="CommentText">
    <w:name w:val="annotation text"/>
    <w:basedOn w:val="Normal"/>
    <w:link w:val="CommentTextChar"/>
    <w:uiPriority w:val="99"/>
    <w:unhideWhenUsed/>
    <w:rsid w:val="00DD0AEA"/>
    <w:pPr>
      <w:spacing w:before="100" w:beforeAutospacing="1" w:after="100" w:afterAutospacing="1" w:line="240" w:lineRule="auto"/>
      <w:jc w:val="both"/>
    </w:pPr>
    <w:rPr>
      <w:rFonts w:ascii="Calibri" w:hAnsi="Calibri"/>
      <w:sz w:val="20"/>
      <w:szCs w:val="20"/>
      <w:lang w:val="en-AU"/>
    </w:rPr>
  </w:style>
  <w:style w:type="character" w:customStyle="1" w:styleId="CommentTextChar">
    <w:name w:val="Comment Text Char"/>
    <w:basedOn w:val="DefaultParagraphFont"/>
    <w:link w:val="CommentText"/>
    <w:uiPriority w:val="99"/>
    <w:rsid w:val="00DD0AEA"/>
    <w:rPr>
      <w:rFonts w:ascii="Calibri" w:hAnsi="Calibri"/>
      <w:sz w:val="20"/>
      <w:szCs w:val="20"/>
      <w:lang w:val="en-AU"/>
    </w:rPr>
  </w:style>
  <w:style w:type="paragraph" w:styleId="Footer">
    <w:name w:val="footer"/>
    <w:basedOn w:val="Normal"/>
    <w:link w:val="FooterChar"/>
    <w:uiPriority w:val="99"/>
    <w:unhideWhenUsed/>
    <w:rsid w:val="00DD0AEA"/>
    <w:pPr>
      <w:tabs>
        <w:tab w:val="center" w:pos="4513"/>
        <w:tab w:val="right" w:pos="9026"/>
      </w:tabs>
      <w:spacing w:before="100" w:beforeAutospacing="1" w:after="100" w:afterAutospacing="1" w:line="240" w:lineRule="auto"/>
      <w:ind w:left="8505"/>
      <w:jc w:val="both"/>
    </w:pPr>
    <w:rPr>
      <w:rFonts w:ascii="Calibri" w:hAnsi="Calibri"/>
      <w:sz w:val="24"/>
      <w:lang w:val="en-AU"/>
    </w:rPr>
  </w:style>
  <w:style w:type="character" w:customStyle="1" w:styleId="FooterChar">
    <w:name w:val="Footer Char"/>
    <w:basedOn w:val="DefaultParagraphFont"/>
    <w:link w:val="Footer"/>
    <w:uiPriority w:val="99"/>
    <w:rsid w:val="00DD0AEA"/>
    <w:rPr>
      <w:rFonts w:ascii="Calibri" w:hAnsi="Calibri"/>
      <w:sz w:val="24"/>
      <w:lang w:val="en-AU"/>
    </w:rPr>
  </w:style>
  <w:style w:type="paragraph" w:styleId="Caption">
    <w:name w:val="caption"/>
    <w:basedOn w:val="Normal"/>
    <w:next w:val="Normal"/>
    <w:uiPriority w:val="35"/>
    <w:unhideWhenUsed/>
    <w:rsid w:val="00DD0AEA"/>
    <w:pPr>
      <w:spacing w:before="100" w:beforeAutospacing="1" w:after="100" w:afterAutospacing="1" w:line="240" w:lineRule="auto"/>
      <w:jc w:val="both"/>
    </w:pPr>
    <w:rPr>
      <w:rFonts w:ascii="Calibri" w:hAnsi="Calibri"/>
      <w:b/>
      <w:bCs/>
      <w:color w:val="4F81BD" w:themeColor="accent1"/>
      <w:sz w:val="18"/>
      <w:szCs w:val="18"/>
      <w:lang w:val="en-AU"/>
    </w:rPr>
  </w:style>
  <w:style w:type="character" w:styleId="FootnoteReference">
    <w:name w:val="footnote reference"/>
    <w:basedOn w:val="DefaultParagraphFont"/>
    <w:uiPriority w:val="99"/>
    <w:unhideWhenUsed/>
    <w:rsid w:val="00DD0AEA"/>
    <w:rPr>
      <w:vertAlign w:val="superscript"/>
    </w:rPr>
  </w:style>
  <w:style w:type="character" w:styleId="CommentReference">
    <w:name w:val="annotation reference"/>
    <w:basedOn w:val="DefaultParagraphFont"/>
    <w:uiPriority w:val="99"/>
    <w:semiHidden/>
    <w:unhideWhenUsed/>
    <w:rsid w:val="00DD0AEA"/>
    <w:rPr>
      <w:sz w:val="16"/>
      <w:szCs w:val="16"/>
    </w:rPr>
  </w:style>
  <w:style w:type="character" w:styleId="EndnoteReference">
    <w:name w:val="endnote reference"/>
    <w:basedOn w:val="DefaultParagraphFont"/>
    <w:uiPriority w:val="99"/>
    <w:semiHidden/>
    <w:unhideWhenUsed/>
    <w:rsid w:val="00DD0AEA"/>
    <w:rPr>
      <w:vertAlign w:val="superscript"/>
    </w:rPr>
  </w:style>
  <w:style w:type="paragraph" w:styleId="EndnoteText">
    <w:name w:val="endnote text"/>
    <w:basedOn w:val="Normal"/>
    <w:link w:val="EndnoteTextChar"/>
    <w:uiPriority w:val="99"/>
    <w:semiHidden/>
    <w:unhideWhenUsed/>
    <w:rsid w:val="00DD0AEA"/>
    <w:pPr>
      <w:spacing w:before="100" w:beforeAutospacing="1" w:after="100" w:afterAutospacing="1" w:line="240" w:lineRule="auto"/>
      <w:jc w:val="both"/>
    </w:pPr>
    <w:rPr>
      <w:rFonts w:ascii="Calibri" w:hAnsi="Calibri"/>
      <w:sz w:val="20"/>
      <w:szCs w:val="20"/>
      <w:lang w:val="en-GB"/>
    </w:rPr>
  </w:style>
  <w:style w:type="character" w:customStyle="1" w:styleId="EndnoteTextChar">
    <w:name w:val="Endnote Text Char"/>
    <w:basedOn w:val="DefaultParagraphFont"/>
    <w:link w:val="EndnoteText"/>
    <w:uiPriority w:val="99"/>
    <w:semiHidden/>
    <w:rsid w:val="00DD0AEA"/>
    <w:rPr>
      <w:rFonts w:ascii="Calibri" w:hAnsi="Calibri"/>
      <w:sz w:val="20"/>
      <w:szCs w:val="20"/>
      <w:lang w:val="en-GB"/>
    </w:rPr>
  </w:style>
  <w:style w:type="paragraph" w:styleId="Title">
    <w:name w:val="Title"/>
    <w:aliases w:val="Submission"/>
    <w:next w:val="Normal"/>
    <w:link w:val="TitleChar"/>
    <w:uiPriority w:val="10"/>
    <w:qFormat/>
    <w:rsid w:val="00DD0AEA"/>
    <w:pPr>
      <w:spacing w:before="2040" w:after="120" w:line="240" w:lineRule="auto"/>
      <w:contextualSpacing/>
      <w:jc w:val="center"/>
    </w:pPr>
    <w:rPr>
      <w:rFonts w:ascii="Calibri" w:eastAsiaTheme="majorEastAsia" w:hAnsi="Calibri" w:cstheme="majorBidi"/>
      <w:b/>
      <w:spacing w:val="5"/>
      <w:kern w:val="28"/>
      <w:sz w:val="52"/>
      <w:szCs w:val="52"/>
      <w:lang w:val="en-AU"/>
    </w:rPr>
  </w:style>
  <w:style w:type="character" w:customStyle="1" w:styleId="TitleChar">
    <w:name w:val="Title Char"/>
    <w:aliases w:val="Submission Char"/>
    <w:basedOn w:val="DefaultParagraphFont"/>
    <w:link w:val="Title"/>
    <w:uiPriority w:val="10"/>
    <w:rsid w:val="00DD0AEA"/>
    <w:rPr>
      <w:rFonts w:ascii="Calibri" w:eastAsiaTheme="majorEastAsia" w:hAnsi="Calibri" w:cstheme="majorBidi"/>
      <w:b/>
      <w:spacing w:val="5"/>
      <w:kern w:val="28"/>
      <w:sz w:val="52"/>
      <w:szCs w:val="52"/>
      <w:lang w:val="en-AU"/>
    </w:rPr>
  </w:style>
  <w:style w:type="paragraph" w:styleId="BodyText">
    <w:name w:val="Body Text"/>
    <w:basedOn w:val="Normal"/>
    <w:link w:val="BodyTextChar"/>
    <w:rsid w:val="00DD0AEA"/>
    <w:pPr>
      <w:spacing w:before="100" w:beforeAutospacing="1" w:after="100" w:afterAutospacing="1" w:line="240" w:lineRule="auto"/>
      <w:jc w:val="both"/>
    </w:pPr>
    <w:rPr>
      <w:rFonts w:ascii="Times New Roman" w:eastAsia="Times New Roman" w:hAnsi="Times New Roman" w:cs="Times New Roman"/>
      <w:sz w:val="24"/>
      <w:szCs w:val="24"/>
      <w:lang w:val="en-AU"/>
    </w:rPr>
  </w:style>
  <w:style w:type="character" w:customStyle="1" w:styleId="BodyTextChar">
    <w:name w:val="Body Text Char"/>
    <w:basedOn w:val="DefaultParagraphFont"/>
    <w:link w:val="BodyText"/>
    <w:rsid w:val="00DD0AEA"/>
    <w:rPr>
      <w:rFonts w:ascii="Times New Roman" w:eastAsia="Times New Roman" w:hAnsi="Times New Roman" w:cs="Times New Roman"/>
      <w:sz w:val="24"/>
      <w:szCs w:val="24"/>
      <w:lang w:val="en-AU"/>
    </w:rPr>
  </w:style>
  <w:style w:type="character" w:styleId="Hyperlink">
    <w:name w:val="Hyperlink"/>
    <w:basedOn w:val="DefaultParagraphFont"/>
    <w:uiPriority w:val="99"/>
    <w:unhideWhenUsed/>
    <w:rsid w:val="00DD0AEA"/>
    <w:rPr>
      <w:color w:val="0000FF" w:themeColor="hyperlink"/>
      <w:u w:val="single"/>
    </w:rPr>
  </w:style>
  <w:style w:type="character" w:styleId="Strong">
    <w:name w:val="Strong"/>
    <w:basedOn w:val="DefaultParagraphFont"/>
    <w:uiPriority w:val="22"/>
    <w:rsid w:val="00DD0AEA"/>
    <w:rPr>
      <w:b/>
      <w:bCs/>
    </w:rPr>
  </w:style>
  <w:style w:type="paragraph" w:styleId="NormalWeb">
    <w:name w:val="Normal (Web)"/>
    <w:basedOn w:val="Normal"/>
    <w:uiPriority w:val="99"/>
    <w:semiHidden/>
    <w:unhideWhenUsed/>
    <w:rsid w:val="00DD0AEA"/>
    <w:pPr>
      <w:spacing w:before="140" w:beforeAutospacing="1" w:after="140" w:afterAutospacing="1" w:line="240" w:lineRule="auto"/>
      <w:jc w:val="both"/>
    </w:pPr>
    <w:rPr>
      <w:rFonts w:ascii="Trebuchet MS" w:eastAsia="Times New Roman" w:hAnsi="Trebuchet MS" w:cs="Times New Roman"/>
      <w:sz w:val="24"/>
      <w:szCs w:val="24"/>
      <w:lang w:val="en-AU" w:eastAsia="en-AU"/>
    </w:rPr>
  </w:style>
  <w:style w:type="paragraph" w:styleId="CommentSubject">
    <w:name w:val="annotation subject"/>
    <w:basedOn w:val="CommentText"/>
    <w:next w:val="CommentText"/>
    <w:link w:val="CommentSubjectChar"/>
    <w:uiPriority w:val="99"/>
    <w:semiHidden/>
    <w:unhideWhenUsed/>
    <w:rsid w:val="00DD0AEA"/>
    <w:rPr>
      <w:b/>
      <w:bCs/>
    </w:rPr>
  </w:style>
  <w:style w:type="character" w:customStyle="1" w:styleId="CommentSubjectChar">
    <w:name w:val="Comment Subject Char"/>
    <w:basedOn w:val="CommentTextChar"/>
    <w:link w:val="CommentSubject"/>
    <w:uiPriority w:val="99"/>
    <w:semiHidden/>
    <w:rsid w:val="00DD0AEA"/>
    <w:rPr>
      <w:rFonts w:ascii="Calibri" w:hAnsi="Calibri"/>
      <w:b/>
      <w:bCs/>
      <w:sz w:val="20"/>
      <w:szCs w:val="20"/>
      <w:lang w:val="en-AU"/>
    </w:rPr>
  </w:style>
  <w:style w:type="paragraph" w:styleId="BalloonText">
    <w:name w:val="Balloon Text"/>
    <w:basedOn w:val="Normal"/>
    <w:link w:val="BalloonTextChar"/>
    <w:uiPriority w:val="99"/>
    <w:semiHidden/>
    <w:unhideWhenUsed/>
    <w:rsid w:val="00DD0AEA"/>
    <w:pPr>
      <w:spacing w:before="100" w:beforeAutospacing="1" w:after="100" w:afterAutospacing="1" w:line="240" w:lineRule="auto"/>
      <w:jc w:val="both"/>
    </w:pPr>
    <w:rPr>
      <w:rFonts w:ascii="Tahoma" w:hAnsi="Tahoma" w:cs="Tahoma"/>
      <w:sz w:val="16"/>
      <w:szCs w:val="16"/>
      <w:lang w:val="en-GB"/>
    </w:rPr>
  </w:style>
  <w:style w:type="character" w:customStyle="1" w:styleId="BalloonTextChar">
    <w:name w:val="Balloon Text Char"/>
    <w:basedOn w:val="DefaultParagraphFont"/>
    <w:link w:val="BalloonText"/>
    <w:uiPriority w:val="99"/>
    <w:semiHidden/>
    <w:rsid w:val="00DD0AEA"/>
    <w:rPr>
      <w:rFonts w:ascii="Tahoma" w:hAnsi="Tahoma" w:cs="Tahoma"/>
      <w:sz w:val="16"/>
      <w:szCs w:val="16"/>
      <w:lang w:val="en-GB"/>
    </w:rPr>
  </w:style>
  <w:style w:type="table" w:styleId="TableGrid">
    <w:name w:val="Table Grid"/>
    <w:basedOn w:val="TableNormal"/>
    <w:uiPriority w:val="59"/>
    <w:rsid w:val="00DD0AEA"/>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0AEA"/>
    <w:pPr>
      <w:spacing w:before="100" w:beforeAutospacing="1" w:after="100" w:afterAutospacing="1" w:line="240" w:lineRule="auto"/>
      <w:ind w:left="720"/>
      <w:contextualSpacing/>
      <w:jc w:val="both"/>
    </w:pPr>
    <w:rPr>
      <w:rFonts w:ascii="Calibri" w:hAnsi="Calibri"/>
      <w:sz w:val="24"/>
      <w:lang w:val="en-AU"/>
    </w:rPr>
  </w:style>
  <w:style w:type="paragraph" w:styleId="TOCHeading">
    <w:name w:val="TOC Heading"/>
    <w:basedOn w:val="Heading1"/>
    <w:next w:val="Normal"/>
    <w:uiPriority w:val="39"/>
    <w:unhideWhenUsed/>
    <w:qFormat/>
    <w:rsid w:val="00DD0AEA"/>
    <w:pPr>
      <w:numPr>
        <w:numId w:val="0"/>
      </w:numPr>
      <w:spacing w:line="276" w:lineRule="auto"/>
      <w:outlineLvl w:val="9"/>
    </w:pPr>
  </w:style>
  <w:style w:type="character" w:styleId="FollowedHyperlink">
    <w:name w:val="FollowedHyperlink"/>
    <w:basedOn w:val="DefaultParagraphFont"/>
    <w:uiPriority w:val="99"/>
    <w:semiHidden/>
    <w:unhideWhenUsed/>
    <w:rsid w:val="00DD0AEA"/>
    <w:rPr>
      <w:color w:val="800080" w:themeColor="followedHyperlink"/>
      <w:u w:val="single"/>
    </w:rPr>
  </w:style>
  <w:style w:type="paragraph" w:styleId="NoSpacing">
    <w:name w:val="No Spacing"/>
    <w:uiPriority w:val="1"/>
    <w:rsid w:val="00DD0AEA"/>
    <w:pPr>
      <w:spacing w:after="0" w:line="240" w:lineRule="auto"/>
    </w:pPr>
    <w:rPr>
      <w:rFonts w:ascii="Calibri" w:eastAsiaTheme="minorEastAsia" w:hAnsi="Calibri"/>
      <w:sz w:val="23"/>
      <w:lang w:val="en-AU" w:eastAsia="en-AU"/>
    </w:rPr>
  </w:style>
  <w:style w:type="paragraph" w:customStyle="1" w:styleId="About">
    <w:name w:val="About"/>
    <w:basedOn w:val="Normal"/>
    <w:link w:val="AboutChar"/>
    <w:qFormat/>
    <w:rsid w:val="00DD0AEA"/>
    <w:pPr>
      <w:spacing w:before="100" w:beforeAutospacing="1" w:after="100" w:afterAutospacing="1" w:line="240" w:lineRule="auto"/>
      <w:jc w:val="both"/>
    </w:pPr>
    <w:rPr>
      <w:rFonts w:ascii="Calibri" w:eastAsiaTheme="minorEastAsia" w:hAnsi="Calibri"/>
      <w:b/>
      <w:sz w:val="24"/>
      <w:lang w:val="en-AU" w:eastAsia="en-AU"/>
    </w:rPr>
  </w:style>
  <w:style w:type="table" w:customStyle="1" w:styleId="ACCANtable">
    <w:name w:val="ACCAN table"/>
    <w:basedOn w:val="TableNormal"/>
    <w:uiPriority w:val="99"/>
    <w:rsid w:val="00DD0AEA"/>
    <w:pPr>
      <w:spacing w:after="0" w:line="240" w:lineRule="auto"/>
    </w:pPr>
    <w:rPr>
      <w:lang w:val="en-AU"/>
    </w:rPr>
    <w:tblPr>
      <w:jc w:val="center"/>
      <w:tblBorders>
        <w:top w:val="single" w:sz="4" w:space="0" w:color="44C8F5"/>
        <w:bottom w:val="single" w:sz="4" w:space="0" w:color="44C8F5"/>
        <w:insideH w:val="single" w:sz="4" w:space="0" w:color="44C8F5"/>
      </w:tblBorders>
      <w:tblCellMar>
        <w:top w:w="108" w:type="dxa"/>
        <w:bottom w:w="108" w:type="dxa"/>
      </w:tblCellMar>
    </w:tblPr>
    <w:trPr>
      <w:jc w:val="center"/>
    </w:trPr>
    <w:tblStylePr w:type="firstRow">
      <w:pPr>
        <w:jc w:val="left"/>
      </w:pPr>
      <w:rPr>
        <w:rFonts w:asciiTheme="minorHAnsi" w:hAnsiTheme="minorHAnsi"/>
        <w:b/>
        <w:color w:val="auto"/>
        <w:sz w:val="22"/>
      </w:rPr>
      <w:tblPr/>
      <w:tcPr>
        <w:shd w:val="clear" w:color="auto" w:fill="44C8F5"/>
      </w:tcPr>
    </w:tblStylePr>
    <w:tblStylePr w:type="lastRow">
      <w:pPr>
        <w:jc w:val="left"/>
      </w:pPr>
    </w:tblStylePr>
  </w:style>
  <w:style w:type="character" w:customStyle="1" w:styleId="AboutChar">
    <w:name w:val="About Char"/>
    <w:basedOn w:val="DefaultParagraphFont"/>
    <w:link w:val="About"/>
    <w:rsid w:val="00DD0AEA"/>
    <w:rPr>
      <w:rFonts w:ascii="Calibri" w:eastAsiaTheme="minorEastAsia" w:hAnsi="Calibri"/>
      <w:b/>
      <w:sz w:val="24"/>
      <w:lang w:val="en-AU" w:eastAsia="en-AU"/>
    </w:rPr>
  </w:style>
  <w:style w:type="paragraph" w:styleId="Subtitle">
    <w:name w:val="Subtitle"/>
    <w:next w:val="Normal"/>
    <w:link w:val="SubtitleChar"/>
    <w:uiPriority w:val="11"/>
    <w:rsid w:val="00DD0AEA"/>
    <w:pPr>
      <w:spacing w:before="360" w:after="360" w:line="240" w:lineRule="auto"/>
      <w:jc w:val="center"/>
    </w:pPr>
    <w:rPr>
      <w:rFonts w:ascii="Calibri" w:eastAsiaTheme="minorEastAsia" w:hAnsi="Calibri"/>
      <w:sz w:val="32"/>
      <w:szCs w:val="32"/>
      <w:lang w:val="en-AU"/>
    </w:rPr>
  </w:style>
  <w:style w:type="character" w:customStyle="1" w:styleId="SubtitleChar">
    <w:name w:val="Subtitle Char"/>
    <w:basedOn w:val="DefaultParagraphFont"/>
    <w:link w:val="Subtitle"/>
    <w:uiPriority w:val="11"/>
    <w:rsid w:val="00DD0AEA"/>
    <w:rPr>
      <w:rFonts w:ascii="Calibri" w:eastAsiaTheme="minorEastAsia" w:hAnsi="Calibri"/>
      <w:sz w:val="32"/>
      <w:szCs w:val="32"/>
      <w:lang w:val="en-AU"/>
    </w:rPr>
  </w:style>
  <w:style w:type="paragraph" w:customStyle="1" w:styleId="Recommendation">
    <w:name w:val="Recommendation"/>
    <w:basedOn w:val="Normal"/>
    <w:link w:val="RecommendationChar"/>
    <w:qFormat/>
    <w:rsid w:val="00DD0AEA"/>
    <w:pPr>
      <w:numPr>
        <w:numId w:val="7"/>
      </w:numPr>
      <w:pBdr>
        <w:top w:val="single" w:sz="8" w:space="6" w:color="44C8F5"/>
        <w:left w:val="single" w:sz="8" w:space="5" w:color="44C8F5"/>
        <w:bottom w:val="single" w:sz="8" w:space="6" w:color="44C8F5"/>
        <w:right w:val="single" w:sz="8" w:space="5" w:color="44C8F5"/>
      </w:pBdr>
      <w:spacing w:before="100" w:beforeAutospacing="1" w:after="100" w:afterAutospacing="1" w:line="240" w:lineRule="auto"/>
      <w:ind w:right="851"/>
      <w:jc w:val="both"/>
    </w:pPr>
    <w:rPr>
      <w:rFonts w:ascii="Calibri" w:eastAsiaTheme="minorEastAsia" w:hAnsi="Calibri"/>
      <w:sz w:val="24"/>
      <w:lang w:val="en-AU"/>
    </w:rPr>
  </w:style>
  <w:style w:type="table" w:styleId="LightShading-Accent1">
    <w:name w:val="Light Shading Accent 1"/>
    <w:basedOn w:val="TableNormal"/>
    <w:uiPriority w:val="60"/>
    <w:rsid w:val="00DD0AEA"/>
    <w:pPr>
      <w:spacing w:after="0" w:line="240" w:lineRule="auto"/>
    </w:pPr>
    <w:rPr>
      <w:color w:val="365F91" w:themeColor="accent1" w:themeShade="BF"/>
      <w:lang w:val="en-AU"/>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RecommendationChar">
    <w:name w:val="Recommendation Char"/>
    <w:basedOn w:val="DefaultParagraphFont"/>
    <w:link w:val="Recommendation"/>
    <w:rsid w:val="00DD0AEA"/>
    <w:rPr>
      <w:rFonts w:ascii="Calibri" w:eastAsiaTheme="minorEastAsia" w:hAnsi="Calibri"/>
      <w:sz w:val="24"/>
      <w:lang w:val="en-AU"/>
    </w:rPr>
  </w:style>
  <w:style w:type="paragraph" w:customStyle="1" w:styleId="Blockquote">
    <w:name w:val="Blockquote"/>
    <w:basedOn w:val="Normal"/>
    <w:link w:val="BlockquoteChar"/>
    <w:qFormat/>
    <w:rsid w:val="00DD0AEA"/>
    <w:pPr>
      <w:spacing w:before="100" w:beforeAutospacing="1" w:after="100" w:afterAutospacing="1" w:line="240" w:lineRule="auto"/>
      <w:ind w:left="851" w:right="851"/>
      <w:jc w:val="both"/>
    </w:pPr>
    <w:rPr>
      <w:rFonts w:ascii="Calibri" w:eastAsiaTheme="minorEastAsia" w:hAnsi="Calibri"/>
      <w:sz w:val="24"/>
      <w:lang w:val="en-AU"/>
    </w:rPr>
  </w:style>
  <w:style w:type="character" w:customStyle="1" w:styleId="BlockquoteChar">
    <w:name w:val="Blockquote Char"/>
    <w:basedOn w:val="DefaultParagraphFont"/>
    <w:link w:val="Blockquote"/>
    <w:rsid w:val="00DD0AEA"/>
    <w:rPr>
      <w:rFonts w:ascii="Calibri" w:eastAsiaTheme="minorEastAsia" w:hAnsi="Calibri"/>
      <w:sz w:val="24"/>
      <w:lang w:val="en-AU"/>
    </w:rPr>
  </w:style>
  <w:style w:type="numbering" w:customStyle="1" w:styleId="Headings">
    <w:name w:val="Headings"/>
    <w:uiPriority w:val="99"/>
    <w:rsid w:val="00DD0AEA"/>
    <w:pPr>
      <w:numPr>
        <w:numId w:val="1"/>
      </w:numPr>
    </w:pPr>
  </w:style>
  <w:style w:type="numbering" w:customStyle="1" w:styleId="Bullets">
    <w:name w:val="Bullets"/>
    <w:uiPriority w:val="99"/>
    <w:rsid w:val="00DD0AEA"/>
    <w:pPr>
      <w:numPr>
        <w:numId w:val="2"/>
      </w:numPr>
    </w:pPr>
  </w:style>
  <w:style w:type="paragraph" w:customStyle="1" w:styleId="Bulletlist1">
    <w:name w:val="Bullet list 1"/>
    <w:basedOn w:val="Normal"/>
    <w:link w:val="Bulletlist1Char"/>
    <w:qFormat/>
    <w:rsid w:val="00DD0AEA"/>
    <w:pPr>
      <w:numPr>
        <w:numId w:val="2"/>
      </w:numPr>
      <w:spacing w:before="100" w:beforeAutospacing="1" w:after="100" w:afterAutospacing="1" w:line="240" w:lineRule="auto"/>
      <w:jc w:val="both"/>
    </w:pPr>
    <w:rPr>
      <w:rFonts w:ascii="Calibri" w:eastAsiaTheme="minorEastAsia" w:hAnsi="Calibri"/>
      <w:sz w:val="24"/>
      <w:lang w:val="en-AU" w:eastAsia="en-AU"/>
    </w:rPr>
  </w:style>
  <w:style w:type="paragraph" w:customStyle="1" w:styleId="Bulletlist2">
    <w:name w:val="Bullet list 2"/>
    <w:basedOn w:val="Bulletlist1"/>
    <w:link w:val="Bulletlist2Char"/>
    <w:qFormat/>
    <w:rsid w:val="00DD0AEA"/>
    <w:pPr>
      <w:numPr>
        <w:ilvl w:val="1"/>
      </w:numPr>
    </w:pPr>
  </w:style>
  <w:style w:type="character" w:customStyle="1" w:styleId="Bulletlist1Char">
    <w:name w:val="Bullet list 1 Char"/>
    <w:basedOn w:val="DefaultParagraphFont"/>
    <w:link w:val="Bulletlist1"/>
    <w:rsid w:val="00DD0AEA"/>
    <w:rPr>
      <w:rFonts w:ascii="Calibri" w:eastAsiaTheme="minorEastAsia" w:hAnsi="Calibri"/>
      <w:sz w:val="24"/>
      <w:lang w:val="en-AU" w:eastAsia="en-AU"/>
    </w:rPr>
  </w:style>
  <w:style w:type="paragraph" w:customStyle="1" w:styleId="Bulletlist3">
    <w:name w:val="Bullet list 3"/>
    <w:basedOn w:val="Bulletlist2"/>
    <w:link w:val="Bulletlist3Char"/>
    <w:qFormat/>
    <w:rsid w:val="00DD0AEA"/>
    <w:pPr>
      <w:numPr>
        <w:ilvl w:val="2"/>
      </w:numPr>
    </w:pPr>
  </w:style>
  <w:style w:type="character" w:customStyle="1" w:styleId="Bulletlist2Char">
    <w:name w:val="Bullet list 2 Char"/>
    <w:basedOn w:val="Bulletlist1Char"/>
    <w:link w:val="Bulletlist2"/>
    <w:rsid w:val="00DD0AEA"/>
    <w:rPr>
      <w:rFonts w:ascii="Calibri" w:eastAsiaTheme="minorEastAsia" w:hAnsi="Calibri"/>
      <w:sz w:val="24"/>
      <w:lang w:val="en-AU" w:eastAsia="en-AU"/>
    </w:rPr>
  </w:style>
  <w:style w:type="character" w:customStyle="1" w:styleId="Bulletlist3Char">
    <w:name w:val="Bullet list 3 Char"/>
    <w:basedOn w:val="Bulletlist2Char"/>
    <w:link w:val="Bulletlist3"/>
    <w:rsid w:val="00DD0AEA"/>
    <w:rPr>
      <w:rFonts w:ascii="Calibri" w:eastAsiaTheme="minorEastAsia" w:hAnsi="Calibri"/>
      <w:sz w:val="24"/>
      <w:lang w:val="en-AU" w:eastAsia="en-AU"/>
    </w:rPr>
  </w:style>
  <w:style w:type="paragraph" w:customStyle="1" w:styleId="Footerpage1">
    <w:name w:val="Footer page 1"/>
    <w:rsid w:val="00DD0AEA"/>
    <w:pPr>
      <w:spacing w:line="240" w:lineRule="auto"/>
      <w:ind w:left="-754"/>
      <w:contextualSpacing/>
    </w:pPr>
    <w:rPr>
      <w:sz w:val="20"/>
      <w:szCs w:val="20"/>
      <w:lang w:val="en-AU"/>
    </w:rPr>
  </w:style>
  <w:style w:type="paragraph" w:customStyle="1" w:styleId="Celltext">
    <w:name w:val="Cell text"/>
    <w:basedOn w:val="Normal"/>
    <w:qFormat/>
    <w:rsid w:val="00DD0AEA"/>
    <w:pPr>
      <w:spacing w:before="100" w:beforeAutospacing="1" w:after="100" w:afterAutospacing="1" w:line="240" w:lineRule="auto"/>
      <w:contextualSpacing/>
      <w:jc w:val="both"/>
    </w:pPr>
    <w:rPr>
      <w:rFonts w:ascii="Calibri" w:eastAsiaTheme="minorEastAsia" w:hAnsi="Calibri"/>
      <w:sz w:val="20"/>
      <w:lang w:val="en-AU" w:eastAsia="en-AU"/>
    </w:rPr>
  </w:style>
  <w:style w:type="paragraph" w:customStyle="1" w:styleId="Appendixheading1">
    <w:name w:val="Appendix heading 1"/>
    <w:basedOn w:val="Heading1"/>
    <w:next w:val="Normal"/>
    <w:link w:val="Appendixheading1Char"/>
    <w:qFormat/>
    <w:rsid w:val="00DD0AEA"/>
    <w:pPr>
      <w:numPr>
        <w:numId w:val="4"/>
      </w:numPr>
    </w:pPr>
  </w:style>
  <w:style w:type="character" w:customStyle="1" w:styleId="Appendixheading1Char">
    <w:name w:val="Appendix heading 1 Char"/>
    <w:basedOn w:val="Heading1Char"/>
    <w:link w:val="Appendixheading1"/>
    <w:rsid w:val="00DD0AEA"/>
    <w:rPr>
      <w:rFonts w:ascii="Calibri" w:eastAsiaTheme="majorEastAsia" w:hAnsi="Calibri" w:cstheme="majorBidi"/>
      <w:bCs/>
      <w:sz w:val="48"/>
      <w:szCs w:val="28"/>
      <w:lang w:val="en-AU"/>
    </w:rPr>
  </w:style>
  <w:style w:type="paragraph" w:customStyle="1" w:styleId="Appendixheading2">
    <w:name w:val="Appendix heading 2"/>
    <w:basedOn w:val="Heading2"/>
    <w:next w:val="Normal"/>
    <w:link w:val="Appendixheading2Char"/>
    <w:qFormat/>
    <w:rsid w:val="00DD0AEA"/>
    <w:pPr>
      <w:numPr>
        <w:numId w:val="4"/>
      </w:numPr>
    </w:pPr>
    <w:rPr>
      <w:b/>
    </w:rPr>
  </w:style>
  <w:style w:type="character" w:customStyle="1" w:styleId="Appendixheading2Char">
    <w:name w:val="Appendix heading 2 Char"/>
    <w:basedOn w:val="Heading2Char"/>
    <w:link w:val="Appendixheading2"/>
    <w:rsid w:val="00DD0AEA"/>
    <w:rPr>
      <w:rFonts w:ascii="Calibri" w:eastAsia="Times New Roman" w:hAnsi="Calibri" w:cs="Times New Roman"/>
      <w:b/>
      <w:bCs/>
      <w:iCs/>
      <w:sz w:val="32"/>
      <w:szCs w:val="24"/>
      <w:lang w:val="en-AU"/>
    </w:rPr>
  </w:style>
  <w:style w:type="paragraph" w:customStyle="1" w:styleId="Appendixheading3">
    <w:name w:val="Appendix heading 3"/>
    <w:basedOn w:val="Heading3"/>
    <w:next w:val="Normal"/>
    <w:link w:val="Appendixheading3Char"/>
    <w:qFormat/>
    <w:rsid w:val="00DD0AEA"/>
    <w:pPr>
      <w:numPr>
        <w:ilvl w:val="0"/>
        <w:numId w:val="0"/>
      </w:numPr>
    </w:pPr>
    <w:rPr>
      <w:b/>
      <w:sz w:val="24"/>
    </w:rPr>
  </w:style>
  <w:style w:type="character" w:customStyle="1" w:styleId="Appendixheading3Char">
    <w:name w:val="Appendix heading 3 Char"/>
    <w:basedOn w:val="Heading3Char"/>
    <w:link w:val="Appendixheading3"/>
    <w:rsid w:val="00DD0AEA"/>
    <w:rPr>
      <w:rFonts w:ascii="Calibri" w:eastAsia="Times New Roman" w:hAnsi="Calibri" w:cs="Times New Roman"/>
      <w:b/>
      <w:bCs/>
      <w:iCs/>
      <w:sz w:val="24"/>
      <w:szCs w:val="24"/>
      <w:lang w:val="en-AU"/>
    </w:rPr>
  </w:style>
  <w:style w:type="paragraph" w:customStyle="1" w:styleId="Blockquote2">
    <w:name w:val="Blockquote 2"/>
    <w:basedOn w:val="Blockquote"/>
    <w:link w:val="Blockquote2Char"/>
    <w:qFormat/>
    <w:rsid w:val="00DD0AEA"/>
    <w:pPr>
      <w:ind w:left="1418"/>
      <w:contextualSpacing/>
    </w:pPr>
  </w:style>
  <w:style w:type="character" w:customStyle="1" w:styleId="Blockquote2Char">
    <w:name w:val="Blockquote 2 Char"/>
    <w:basedOn w:val="BlockquoteChar"/>
    <w:link w:val="Blockquote2"/>
    <w:rsid w:val="00DD0AEA"/>
    <w:rPr>
      <w:rFonts w:ascii="Calibri" w:eastAsiaTheme="minorEastAsia" w:hAnsi="Calibri"/>
      <w:sz w:val="24"/>
      <w:lang w:val="en-AU"/>
    </w:rPr>
  </w:style>
  <w:style w:type="paragraph" w:customStyle="1" w:styleId="Blockquote3">
    <w:name w:val="Blockquote 3"/>
    <w:basedOn w:val="Blockquote"/>
    <w:link w:val="Blockquote3Char"/>
    <w:qFormat/>
    <w:rsid w:val="00DD0AEA"/>
    <w:pPr>
      <w:ind w:left="1985"/>
      <w:contextualSpacing/>
    </w:pPr>
  </w:style>
  <w:style w:type="character" w:customStyle="1" w:styleId="Blockquote3Char">
    <w:name w:val="Blockquote 3 Char"/>
    <w:basedOn w:val="BlockquoteChar"/>
    <w:link w:val="Blockquote3"/>
    <w:rsid w:val="00DD0AEA"/>
    <w:rPr>
      <w:rFonts w:ascii="Calibri" w:eastAsiaTheme="minorEastAsia" w:hAnsi="Calibri"/>
      <w:sz w:val="24"/>
      <w:lang w:val="en-AU"/>
    </w:rPr>
  </w:style>
  <w:style w:type="paragraph" w:customStyle="1" w:styleId="Blockquotebulletlist1">
    <w:name w:val="Blockquote bullet list 1"/>
    <w:basedOn w:val="Blockquote"/>
    <w:link w:val="Blockquotebulletlist1Char"/>
    <w:qFormat/>
    <w:rsid w:val="00DD0AEA"/>
    <w:pPr>
      <w:numPr>
        <w:numId w:val="5"/>
      </w:numPr>
    </w:pPr>
  </w:style>
  <w:style w:type="character" w:customStyle="1" w:styleId="Blockquotebulletlist1Char">
    <w:name w:val="Blockquote bullet list 1 Char"/>
    <w:basedOn w:val="BlockquoteChar"/>
    <w:link w:val="Blockquotebulletlist1"/>
    <w:rsid w:val="00DD0AEA"/>
    <w:rPr>
      <w:rFonts w:ascii="Calibri" w:eastAsiaTheme="minorEastAsia" w:hAnsi="Calibri"/>
      <w:sz w:val="24"/>
      <w:lang w:val="en-AU"/>
    </w:rPr>
  </w:style>
  <w:style w:type="numbering" w:customStyle="1" w:styleId="Blockquotebullets">
    <w:name w:val="Blockquote bullets"/>
    <w:uiPriority w:val="99"/>
    <w:rsid w:val="00DD0AEA"/>
    <w:pPr>
      <w:numPr>
        <w:numId w:val="5"/>
      </w:numPr>
    </w:pPr>
  </w:style>
  <w:style w:type="paragraph" w:customStyle="1" w:styleId="Casestudyheading">
    <w:name w:val="Case study heading"/>
    <w:basedOn w:val="Normal"/>
    <w:next w:val="Normal"/>
    <w:link w:val="CasestudyheadingChar"/>
    <w:qFormat/>
    <w:rsid w:val="00DD0AEA"/>
    <w:pPr>
      <w:keepNext/>
      <w:spacing w:before="100" w:beforeAutospacing="1" w:after="100" w:afterAutospacing="1" w:line="240" w:lineRule="auto"/>
      <w:ind w:left="851" w:right="851"/>
      <w:jc w:val="both"/>
    </w:pPr>
    <w:rPr>
      <w:rFonts w:ascii="Calibri" w:eastAsiaTheme="minorEastAsia" w:hAnsi="Calibri"/>
      <w:b/>
      <w:sz w:val="24"/>
      <w:lang w:val="en-AU"/>
    </w:rPr>
  </w:style>
  <w:style w:type="character" w:customStyle="1" w:styleId="CasestudyheadingChar">
    <w:name w:val="Case study heading Char"/>
    <w:basedOn w:val="DefaultParagraphFont"/>
    <w:link w:val="Casestudyheading"/>
    <w:rsid w:val="00DD0AEA"/>
    <w:rPr>
      <w:rFonts w:ascii="Calibri" w:eastAsiaTheme="minorEastAsia" w:hAnsi="Calibri"/>
      <w:b/>
      <w:sz w:val="24"/>
      <w:lang w:val="en-AU"/>
    </w:rPr>
  </w:style>
  <w:style w:type="paragraph" w:customStyle="1" w:styleId="Casestudy">
    <w:name w:val="Case study"/>
    <w:basedOn w:val="Casestudyheading"/>
    <w:link w:val="CasestudyChar"/>
    <w:qFormat/>
    <w:rsid w:val="00DD0AEA"/>
    <w:pPr>
      <w:keepNext w:val="0"/>
    </w:pPr>
    <w:rPr>
      <w:b w:val="0"/>
    </w:rPr>
  </w:style>
  <w:style w:type="character" w:customStyle="1" w:styleId="CasestudyChar">
    <w:name w:val="Case study Char"/>
    <w:basedOn w:val="CasestudyheadingChar"/>
    <w:link w:val="Casestudy"/>
    <w:rsid w:val="00DD0AEA"/>
    <w:rPr>
      <w:rFonts w:ascii="Calibri" w:eastAsiaTheme="minorEastAsia" w:hAnsi="Calibri"/>
      <w:b w:val="0"/>
      <w:sz w:val="24"/>
      <w:lang w:val="en-AU"/>
    </w:rPr>
  </w:style>
  <w:style w:type="paragraph" w:customStyle="1" w:styleId="Casestudyquote">
    <w:name w:val="Case study quote"/>
    <w:basedOn w:val="Casestudy"/>
    <w:link w:val="CasestudyquoteChar"/>
    <w:qFormat/>
    <w:rsid w:val="00DD0AEA"/>
    <w:pPr>
      <w:ind w:left="1418" w:right="1418"/>
    </w:pPr>
  </w:style>
  <w:style w:type="character" w:customStyle="1" w:styleId="CasestudyquoteChar">
    <w:name w:val="Case study quote Char"/>
    <w:basedOn w:val="CasestudyChar"/>
    <w:link w:val="Casestudyquote"/>
    <w:rsid w:val="00DD0AEA"/>
    <w:rPr>
      <w:rFonts w:ascii="Calibri" w:eastAsiaTheme="minorEastAsia" w:hAnsi="Calibri"/>
      <w:b w:val="0"/>
      <w:sz w:val="24"/>
      <w:lang w:val="en-AU"/>
    </w:rPr>
  </w:style>
  <w:style w:type="numbering" w:customStyle="1" w:styleId="Recommendations">
    <w:name w:val="Recommendations"/>
    <w:uiPriority w:val="99"/>
    <w:rsid w:val="00DD0AEA"/>
    <w:pPr>
      <w:numPr>
        <w:numId w:val="6"/>
      </w:numPr>
    </w:pPr>
  </w:style>
  <w:style w:type="character" w:customStyle="1" w:styleId="FootnoteReference1">
    <w:name w:val="Footnote Reference1"/>
    <w:basedOn w:val="DefaultParagraphFont"/>
    <w:rsid w:val="00DD0AEA"/>
    <w:rPr>
      <w:vertAlign w:val="superscript"/>
    </w:rPr>
  </w:style>
  <w:style w:type="character" w:customStyle="1" w:styleId="FootnoteCharacters">
    <w:name w:val="Footnote Characters"/>
    <w:rsid w:val="00DD0AEA"/>
  </w:style>
  <w:style w:type="paragraph" w:customStyle="1" w:styleId="FootnoteText1">
    <w:name w:val="Footnote Text1"/>
    <w:rsid w:val="00DD0AEA"/>
    <w:pPr>
      <w:suppressAutoHyphens/>
      <w:spacing w:after="120" w:line="240" w:lineRule="auto"/>
    </w:pPr>
    <w:rPr>
      <w:rFonts w:ascii="Calibri" w:eastAsia="Arial Unicode MS" w:hAnsi="Calibri" w:cs="Arial Unicode MS"/>
      <w:kern w:val="1"/>
      <w:sz w:val="18"/>
      <w:szCs w:val="20"/>
      <w:lang w:val="en-IE" w:eastAsia="hi-IN" w:bidi="hi-IN"/>
    </w:rPr>
  </w:style>
  <w:style w:type="paragraph" w:customStyle="1" w:styleId="Caption1">
    <w:name w:val="Caption1"/>
    <w:basedOn w:val="Normal"/>
    <w:rsid w:val="00DD0AEA"/>
    <w:pPr>
      <w:suppressAutoHyphens/>
      <w:spacing w:before="28" w:after="28" w:line="240" w:lineRule="auto"/>
      <w:jc w:val="both"/>
    </w:pPr>
    <w:rPr>
      <w:rFonts w:ascii="Calibri" w:eastAsia="Arial Unicode MS" w:hAnsi="Calibri" w:cs="Calibri"/>
      <w:b/>
      <w:bCs/>
      <w:color w:val="4F81BD"/>
      <w:kern w:val="1"/>
      <w:sz w:val="18"/>
      <w:szCs w:val="18"/>
      <w:lang w:val="en-IE" w:eastAsia="hi-IN" w:bidi="hi-IN"/>
    </w:rPr>
  </w:style>
  <w:style w:type="paragraph" w:styleId="TOC4">
    <w:name w:val="toc 4"/>
    <w:basedOn w:val="Normal"/>
    <w:next w:val="Normal"/>
    <w:autoRedefine/>
    <w:uiPriority w:val="39"/>
    <w:unhideWhenUsed/>
    <w:rsid w:val="00DD0AEA"/>
    <w:pPr>
      <w:spacing w:after="100"/>
      <w:ind w:left="660"/>
    </w:pPr>
    <w:rPr>
      <w:rFonts w:eastAsiaTheme="minorEastAsia"/>
      <w:lang w:val="en-AU" w:eastAsia="en-AU"/>
    </w:rPr>
  </w:style>
  <w:style w:type="paragraph" w:styleId="TOC5">
    <w:name w:val="toc 5"/>
    <w:basedOn w:val="Normal"/>
    <w:next w:val="Normal"/>
    <w:autoRedefine/>
    <w:uiPriority w:val="39"/>
    <w:unhideWhenUsed/>
    <w:rsid w:val="00DD0AEA"/>
    <w:pPr>
      <w:spacing w:after="100"/>
      <w:ind w:left="880"/>
    </w:pPr>
    <w:rPr>
      <w:rFonts w:eastAsiaTheme="minorEastAsia"/>
      <w:lang w:val="en-AU" w:eastAsia="en-AU"/>
    </w:rPr>
  </w:style>
  <w:style w:type="paragraph" w:styleId="TOC6">
    <w:name w:val="toc 6"/>
    <w:basedOn w:val="Normal"/>
    <w:next w:val="Normal"/>
    <w:autoRedefine/>
    <w:uiPriority w:val="39"/>
    <w:unhideWhenUsed/>
    <w:rsid w:val="00DD0AEA"/>
    <w:pPr>
      <w:spacing w:after="100"/>
      <w:ind w:left="1100"/>
    </w:pPr>
    <w:rPr>
      <w:rFonts w:eastAsiaTheme="minorEastAsia"/>
      <w:lang w:val="en-AU" w:eastAsia="en-AU"/>
    </w:rPr>
  </w:style>
  <w:style w:type="paragraph" w:styleId="TOC7">
    <w:name w:val="toc 7"/>
    <w:basedOn w:val="Normal"/>
    <w:next w:val="Normal"/>
    <w:autoRedefine/>
    <w:uiPriority w:val="39"/>
    <w:unhideWhenUsed/>
    <w:rsid w:val="00DD0AEA"/>
    <w:pPr>
      <w:spacing w:after="100"/>
      <w:ind w:left="1320"/>
    </w:pPr>
    <w:rPr>
      <w:rFonts w:eastAsiaTheme="minorEastAsia"/>
      <w:lang w:val="en-AU" w:eastAsia="en-AU"/>
    </w:rPr>
  </w:style>
  <w:style w:type="paragraph" w:styleId="TOC8">
    <w:name w:val="toc 8"/>
    <w:basedOn w:val="Normal"/>
    <w:next w:val="Normal"/>
    <w:autoRedefine/>
    <w:uiPriority w:val="39"/>
    <w:unhideWhenUsed/>
    <w:rsid w:val="00DD0AEA"/>
    <w:pPr>
      <w:spacing w:after="100"/>
      <w:ind w:left="1540"/>
    </w:pPr>
    <w:rPr>
      <w:rFonts w:eastAsiaTheme="minorEastAsia"/>
      <w:lang w:val="en-AU" w:eastAsia="en-AU"/>
    </w:rPr>
  </w:style>
  <w:style w:type="paragraph" w:styleId="TOC9">
    <w:name w:val="toc 9"/>
    <w:basedOn w:val="Normal"/>
    <w:next w:val="Normal"/>
    <w:autoRedefine/>
    <w:uiPriority w:val="39"/>
    <w:unhideWhenUsed/>
    <w:rsid w:val="00DD0AEA"/>
    <w:pPr>
      <w:spacing w:after="100"/>
      <w:ind w:left="1760"/>
    </w:pPr>
    <w:rPr>
      <w:rFonts w:eastAsiaTheme="minorEastAsia"/>
      <w:lang w:val="en-AU" w:eastAsia="en-AU"/>
    </w:rPr>
  </w:style>
  <w:style w:type="paragraph" w:styleId="Bibliography">
    <w:name w:val="Bibliography"/>
    <w:basedOn w:val="Normal"/>
    <w:next w:val="Normal"/>
    <w:uiPriority w:val="37"/>
    <w:unhideWhenUsed/>
    <w:rsid w:val="00DD0AEA"/>
    <w:pPr>
      <w:spacing w:before="100" w:beforeAutospacing="1" w:after="240" w:afterAutospacing="1" w:line="240" w:lineRule="auto"/>
      <w:ind w:left="720" w:hanging="720"/>
      <w:jc w:val="both"/>
    </w:pPr>
    <w:rPr>
      <w:rFonts w:ascii="Calibri" w:eastAsiaTheme="minorEastAsia" w:hAnsi="Calibri"/>
      <w:sz w:val="24"/>
      <w:lang w:val="en-AU" w:eastAsia="en-AU"/>
    </w:rPr>
  </w:style>
  <w:style w:type="paragraph" w:styleId="Revision">
    <w:name w:val="Revision"/>
    <w:hidden/>
    <w:uiPriority w:val="99"/>
    <w:semiHidden/>
    <w:rsid w:val="00DD0AEA"/>
    <w:pPr>
      <w:spacing w:after="0" w:line="240" w:lineRule="auto"/>
    </w:pPr>
    <w:rPr>
      <w:rFonts w:ascii="Calibri" w:eastAsiaTheme="minorEastAsia" w:hAnsi="Calibri"/>
      <w:sz w:val="24"/>
      <w:lang w:val="en-AU" w:eastAsia="en-AU"/>
    </w:rPr>
  </w:style>
  <w:style w:type="table" w:styleId="LightShading-Accent3">
    <w:name w:val="Light Shading Accent 3"/>
    <w:basedOn w:val="TableNormal"/>
    <w:uiPriority w:val="60"/>
    <w:rsid w:val="00DD0AEA"/>
    <w:pPr>
      <w:spacing w:after="0" w:line="240" w:lineRule="auto"/>
    </w:pPr>
    <w:rPr>
      <w:color w:val="76923C" w:themeColor="accent3" w:themeShade="BF"/>
      <w:lang w:val="en-AU"/>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Accent3">
    <w:name w:val="Light List Accent 3"/>
    <w:basedOn w:val="TableNormal"/>
    <w:uiPriority w:val="61"/>
    <w:rsid w:val="00DD0AEA"/>
    <w:pPr>
      <w:spacing w:after="0" w:line="240" w:lineRule="auto"/>
    </w:pPr>
    <w:rPr>
      <w:lang w:val="en-AU"/>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Shading1-Accent3">
    <w:name w:val="Medium Shading 1 Accent 3"/>
    <w:basedOn w:val="TableNormal"/>
    <w:uiPriority w:val="63"/>
    <w:rsid w:val="00DD0AEA"/>
    <w:pPr>
      <w:spacing w:after="0" w:line="240" w:lineRule="auto"/>
    </w:pPr>
    <w:rPr>
      <w:lang w:val="en-AU"/>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qFormat/>
    <w:rsid w:val="00DD0AEA"/>
    <w:pPr>
      <w:keepNext/>
      <w:keepLines/>
      <w:pageBreakBefore/>
      <w:numPr>
        <w:numId w:val="1"/>
      </w:numPr>
      <w:spacing w:before="100" w:beforeAutospacing="1" w:after="240" w:line="240" w:lineRule="auto"/>
      <w:outlineLvl w:val="0"/>
    </w:pPr>
    <w:rPr>
      <w:rFonts w:ascii="Calibri" w:eastAsiaTheme="majorEastAsia" w:hAnsi="Calibri" w:cstheme="majorBidi"/>
      <w:bCs/>
      <w:sz w:val="48"/>
      <w:szCs w:val="28"/>
      <w:lang w:val="en-AU"/>
    </w:rPr>
  </w:style>
  <w:style w:type="paragraph" w:styleId="Heading2">
    <w:name w:val="heading 2"/>
    <w:next w:val="Normal"/>
    <w:link w:val="Heading2Char"/>
    <w:qFormat/>
    <w:rsid w:val="00DD0AEA"/>
    <w:pPr>
      <w:keepNext/>
      <w:numPr>
        <w:ilvl w:val="1"/>
        <w:numId w:val="1"/>
      </w:numPr>
      <w:spacing w:before="100" w:beforeAutospacing="1" w:after="240" w:line="240" w:lineRule="auto"/>
      <w:outlineLvl w:val="1"/>
    </w:pPr>
    <w:rPr>
      <w:rFonts w:ascii="Calibri" w:eastAsia="Times New Roman" w:hAnsi="Calibri" w:cs="Times New Roman"/>
      <w:bCs/>
      <w:iCs/>
      <w:sz w:val="32"/>
      <w:szCs w:val="24"/>
      <w:lang w:val="en-AU"/>
    </w:rPr>
  </w:style>
  <w:style w:type="paragraph" w:styleId="Heading3">
    <w:name w:val="heading 3"/>
    <w:next w:val="Normal"/>
    <w:link w:val="Heading3Char"/>
    <w:qFormat/>
    <w:rsid w:val="00DD0AEA"/>
    <w:pPr>
      <w:keepNext/>
      <w:numPr>
        <w:ilvl w:val="2"/>
        <w:numId w:val="1"/>
      </w:numPr>
      <w:spacing w:before="100" w:beforeAutospacing="1" w:after="240" w:line="240" w:lineRule="auto"/>
      <w:outlineLvl w:val="2"/>
    </w:pPr>
    <w:rPr>
      <w:rFonts w:ascii="Calibri" w:eastAsia="Times New Roman" w:hAnsi="Calibri" w:cs="Times New Roman"/>
      <w:bCs/>
      <w:iCs/>
      <w:sz w:val="28"/>
      <w:szCs w:val="24"/>
      <w:lang w:val="en-AU"/>
    </w:rPr>
  </w:style>
  <w:style w:type="paragraph" w:styleId="Heading4">
    <w:name w:val="heading 4"/>
    <w:next w:val="Normal"/>
    <w:link w:val="Heading4Char"/>
    <w:uiPriority w:val="9"/>
    <w:unhideWhenUsed/>
    <w:qFormat/>
    <w:rsid w:val="00DD0AEA"/>
    <w:pPr>
      <w:keepNext/>
      <w:keepLines/>
      <w:spacing w:before="100" w:beforeAutospacing="1" w:after="240" w:line="240" w:lineRule="auto"/>
      <w:outlineLvl w:val="3"/>
    </w:pPr>
    <w:rPr>
      <w:rFonts w:ascii="Calibri" w:eastAsiaTheme="majorEastAsia" w:hAnsi="Calibri" w:cstheme="majorBidi"/>
      <w:b/>
      <w:bCs/>
      <w:i/>
      <w:iCs/>
      <w:sz w:val="24"/>
      <w:lang w:val="en-AU"/>
    </w:rPr>
  </w:style>
  <w:style w:type="paragraph" w:styleId="Heading5">
    <w:name w:val="heading 5"/>
    <w:next w:val="Normal"/>
    <w:link w:val="Heading5Char"/>
    <w:uiPriority w:val="9"/>
    <w:unhideWhenUsed/>
    <w:qFormat/>
    <w:rsid w:val="00DD0AEA"/>
    <w:pPr>
      <w:keepNext/>
      <w:keepLines/>
      <w:spacing w:after="0" w:line="240" w:lineRule="auto"/>
      <w:outlineLvl w:val="4"/>
    </w:pPr>
    <w:rPr>
      <w:rFonts w:ascii="Calibri" w:eastAsiaTheme="majorEastAsia" w:hAnsi="Calibri" w:cstheme="majorBidi"/>
      <w:sz w:val="23"/>
      <w:u w:val="single"/>
      <w:lang w:val="en-AU"/>
    </w:rPr>
  </w:style>
  <w:style w:type="paragraph" w:styleId="Heading6">
    <w:name w:val="heading 6"/>
    <w:next w:val="Normal"/>
    <w:link w:val="Heading6Char"/>
    <w:uiPriority w:val="9"/>
    <w:unhideWhenUsed/>
    <w:qFormat/>
    <w:rsid w:val="00DD0AEA"/>
    <w:pPr>
      <w:keepNext/>
      <w:keepLines/>
      <w:spacing w:before="200" w:after="0" w:line="240" w:lineRule="auto"/>
      <w:outlineLvl w:val="5"/>
    </w:pPr>
    <w:rPr>
      <w:rFonts w:ascii="Calibri" w:eastAsiaTheme="majorEastAsia" w:hAnsi="Calibri" w:cstheme="majorBidi"/>
      <w:i/>
      <w:iCs/>
      <w:sz w:val="23"/>
      <w:lang w:val="en-AU"/>
    </w:rPr>
  </w:style>
  <w:style w:type="paragraph" w:styleId="Heading7">
    <w:name w:val="heading 7"/>
    <w:next w:val="Normal"/>
    <w:link w:val="Heading7Char"/>
    <w:uiPriority w:val="9"/>
    <w:semiHidden/>
    <w:unhideWhenUsed/>
    <w:rsid w:val="00DD0AEA"/>
    <w:pPr>
      <w:keepNext/>
      <w:keepLines/>
      <w:spacing w:before="200" w:after="0" w:line="240" w:lineRule="auto"/>
      <w:outlineLvl w:val="6"/>
    </w:pPr>
    <w:rPr>
      <w:rFonts w:asciiTheme="majorHAnsi" w:eastAsiaTheme="majorEastAsia" w:hAnsiTheme="majorHAnsi" w:cstheme="majorBidi"/>
      <w:i/>
      <w:iCs/>
      <w:color w:val="404040" w:themeColor="text1" w:themeTint="BF"/>
      <w:sz w:val="23"/>
      <w:lang w:val="en-AU" w:eastAsia="en-AU"/>
    </w:rPr>
  </w:style>
  <w:style w:type="paragraph" w:styleId="Heading8">
    <w:name w:val="heading 8"/>
    <w:basedOn w:val="Normal"/>
    <w:next w:val="Normal"/>
    <w:link w:val="Heading8Char"/>
    <w:uiPriority w:val="9"/>
    <w:semiHidden/>
    <w:unhideWhenUsed/>
    <w:qFormat/>
    <w:rsid w:val="00DD0AEA"/>
    <w:pPr>
      <w:keepNext/>
      <w:keepLines/>
      <w:spacing w:before="200" w:beforeAutospacing="1" w:after="0" w:afterAutospacing="1" w:line="240" w:lineRule="auto"/>
      <w:jc w:val="both"/>
      <w:outlineLvl w:val="7"/>
    </w:pPr>
    <w:rPr>
      <w:rFonts w:asciiTheme="majorHAnsi" w:eastAsiaTheme="majorEastAsia" w:hAnsiTheme="majorHAnsi" w:cstheme="majorBidi"/>
      <w:color w:val="404040" w:themeColor="text1" w:themeTint="BF"/>
      <w:sz w:val="20"/>
      <w:szCs w:val="20"/>
      <w:lang w:val="en-AU" w:eastAsia="en-AU"/>
    </w:rPr>
  </w:style>
  <w:style w:type="paragraph" w:styleId="Heading9">
    <w:name w:val="heading 9"/>
    <w:basedOn w:val="Normal"/>
    <w:next w:val="Normal"/>
    <w:link w:val="Heading9Char"/>
    <w:uiPriority w:val="9"/>
    <w:semiHidden/>
    <w:unhideWhenUsed/>
    <w:qFormat/>
    <w:rsid w:val="00DD0AEA"/>
    <w:pPr>
      <w:keepNext/>
      <w:keepLines/>
      <w:spacing w:before="200" w:beforeAutospacing="1" w:after="0" w:afterAutospacing="1" w:line="240" w:lineRule="auto"/>
      <w:jc w:val="both"/>
      <w:outlineLvl w:val="8"/>
    </w:pPr>
    <w:rPr>
      <w:rFonts w:asciiTheme="majorHAnsi" w:eastAsiaTheme="majorEastAsia" w:hAnsiTheme="majorHAnsi" w:cstheme="majorBidi"/>
      <w:i/>
      <w:iCs/>
      <w:color w:val="404040" w:themeColor="text1" w:themeTint="BF"/>
      <w:sz w:val="20"/>
      <w:szCs w:val="20"/>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AEA"/>
    <w:rPr>
      <w:rFonts w:ascii="Calibri" w:eastAsiaTheme="majorEastAsia" w:hAnsi="Calibri" w:cstheme="majorBidi"/>
      <w:bCs/>
      <w:sz w:val="48"/>
      <w:szCs w:val="28"/>
      <w:lang w:val="en-AU"/>
    </w:rPr>
  </w:style>
  <w:style w:type="character" w:customStyle="1" w:styleId="Heading2Char">
    <w:name w:val="Heading 2 Char"/>
    <w:basedOn w:val="DefaultParagraphFont"/>
    <w:link w:val="Heading2"/>
    <w:rsid w:val="00DD0AEA"/>
    <w:rPr>
      <w:rFonts w:ascii="Calibri" w:eastAsia="Times New Roman" w:hAnsi="Calibri" w:cs="Times New Roman"/>
      <w:bCs/>
      <w:iCs/>
      <w:sz w:val="32"/>
      <w:szCs w:val="24"/>
      <w:lang w:val="en-AU"/>
    </w:rPr>
  </w:style>
  <w:style w:type="character" w:customStyle="1" w:styleId="Heading3Char">
    <w:name w:val="Heading 3 Char"/>
    <w:basedOn w:val="DefaultParagraphFont"/>
    <w:link w:val="Heading3"/>
    <w:rsid w:val="00DD0AEA"/>
    <w:rPr>
      <w:rFonts w:ascii="Calibri" w:eastAsia="Times New Roman" w:hAnsi="Calibri" w:cs="Times New Roman"/>
      <w:bCs/>
      <w:iCs/>
      <w:sz w:val="28"/>
      <w:szCs w:val="24"/>
      <w:lang w:val="en-AU"/>
    </w:rPr>
  </w:style>
  <w:style w:type="character" w:customStyle="1" w:styleId="Heading4Char">
    <w:name w:val="Heading 4 Char"/>
    <w:basedOn w:val="DefaultParagraphFont"/>
    <w:link w:val="Heading4"/>
    <w:uiPriority w:val="9"/>
    <w:rsid w:val="00DD0AEA"/>
    <w:rPr>
      <w:rFonts w:ascii="Calibri" w:eastAsiaTheme="majorEastAsia" w:hAnsi="Calibri" w:cstheme="majorBidi"/>
      <w:b/>
      <w:bCs/>
      <w:i/>
      <w:iCs/>
      <w:sz w:val="24"/>
      <w:lang w:val="en-AU"/>
    </w:rPr>
  </w:style>
  <w:style w:type="character" w:customStyle="1" w:styleId="Heading5Char">
    <w:name w:val="Heading 5 Char"/>
    <w:basedOn w:val="DefaultParagraphFont"/>
    <w:link w:val="Heading5"/>
    <w:uiPriority w:val="9"/>
    <w:rsid w:val="00DD0AEA"/>
    <w:rPr>
      <w:rFonts w:ascii="Calibri" w:eastAsiaTheme="majorEastAsia" w:hAnsi="Calibri" w:cstheme="majorBidi"/>
      <w:sz w:val="23"/>
      <w:u w:val="single"/>
      <w:lang w:val="en-AU"/>
    </w:rPr>
  </w:style>
  <w:style w:type="character" w:customStyle="1" w:styleId="Heading6Char">
    <w:name w:val="Heading 6 Char"/>
    <w:basedOn w:val="DefaultParagraphFont"/>
    <w:link w:val="Heading6"/>
    <w:uiPriority w:val="9"/>
    <w:rsid w:val="00DD0AEA"/>
    <w:rPr>
      <w:rFonts w:ascii="Calibri" w:eastAsiaTheme="majorEastAsia" w:hAnsi="Calibri" w:cstheme="majorBidi"/>
      <w:i/>
      <w:iCs/>
      <w:sz w:val="23"/>
      <w:lang w:val="en-AU"/>
    </w:rPr>
  </w:style>
  <w:style w:type="character" w:customStyle="1" w:styleId="Heading7Char">
    <w:name w:val="Heading 7 Char"/>
    <w:basedOn w:val="DefaultParagraphFont"/>
    <w:link w:val="Heading7"/>
    <w:uiPriority w:val="9"/>
    <w:semiHidden/>
    <w:rsid w:val="00DD0AEA"/>
    <w:rPr>
      <w:rFonts w:asciiTheme="majorHAnsi" w:eastAsiaTheme="majorEastAsia" w:hAnsiTheme="majorHAnsi" w:cstheme="majorBidi"/>
      <w:i/>
      <w:iCs/>
      <w:color w:val="404040" w:themeColor="text1" w:themeTint="BF"/>
      <w:sz w:val="23"/>
      <w:lang w:val="en-AU" w:eastAsia="en-AU"/>
    </w:rPr>
  </w:style>
  <w:style w:type="character" w:customStyle="1" w:styleId="Heading8Char">
    <w:name w:val="Heading 8 Char"/>
    <w:basedOn w:val="DefaultParagraphFont"/>
    <w:link w:val="Heading8"/>
    <w:uiPriority w:val="9"/>
    <w:semiHidden/>
    <w:rsid w:val="00DD0AEA"/>
    <w:rPr>
      <w:rFonts w:asciiTheme="majorHAnsi" w:eastAsiaTheme="majorEastAsia" w:hAnsiTheme="majorHAnsi" w:cstheme="majorBidi"/>
      <w:color w:val="404040" w:themeColor="text1" w:themeTint="BF"/>
      <w:sz w:val="20"/>
      <w:szCs w:val="20"/>
      <w:lang w:val="en-AU" w:eastAsia="en-AU"/>
    </w:rPr>
  </w:style>
  <w:style w:type="character" w:customStyle="1" w:styleId="Heading9Char">
    <w:name w:val="Heading 9 Char"/>
    <w:basedOn w:val="DefaultParagraphFont"/>
    <w:link w:val="Heading9"/>
    <w:uiPriority w:val="9"/>
    <w:semiHidden/>
    <w:rsid w:val="00DD0AEA"/>
    <w:rPr>
      <w:rFonts w:asciiTheme="majorHAnsi" w:eastAsiaTheme="majorEastAsia" w:hAnsiTheme="majorHAnsi" w:cstheme="majorBidi"/>
      <w:i/>
      <w:iCs/>
      <w:color w:val="404040" w:themeColor="text1" w:themeTint="BF"/>
      <w:sz w:val="20"/>
      <w:szCs w:val="20"/>
      <w:lang w:val="en-AU" w:eastAsia="en-AU"/>
    </w:rPr>
  </w:style>
  <w:style w:type="numbering" w:customStyle="1" w:styleId="NoList1">
    <w:name w:val="No List1"/>
    <w:next w:val="NoList"/>
    <w:uiPriority w:val="99"/>
    <w:semiHidden/>
    <w:unhideWhenUsed/>
    <w:rsid w:val="00DD0AEA"/>
  </w:style>
  <w:style w:type="paragraph" w:customStyle="1" w:styleId="Normal0">
    <w:name w:val="[Normal]"/>
    <w:uiPriority w:val="99"/>
    <w:rsid w:val="00DD0AEA"/>
    <w:pPr>
      <w:widowControl w:val="0"/>
      <w:autoSpaceDE w:val="0"/>
      <w:autoSpaceDN w:val="0"/>
      <w:adjustRightInd w:val="0"/>
      <w:spacing w:after="0" w:line="240" w:lineRule="auto"/>
    </w:pPr>
    <w:rPr>
      <w:rFonts w:ascii="Arial" w:hAnsi="Arial" w:cs="Arial"/>
      <w:sz w:val="24"/>
      <w:szCs w:val="24"/>
      <w:lang w:val="en-AU"/>
    </w:rPr>
  </w:style>
  <w:style w:type="character" w:customStyle="1" w:styleId="DHSText10ptChar">
    <w:name w:val="DHS Text 10pt Char"/>
    <w:uiPriority w:val="99"/>
    <w:rsid w:val="00DD0AEA"/>
    <w:rPr>
      <w:rFonts w:ascii="Verdana" w:hAnsi="Verdana"/>
      <w:lang w:val="en-AU" w:eastAsia="en-US"/>
    </w:rPr>
  </w:style>
  <w:style w:type="character" w:customStyle="1" w:styleId="notranslate">
    <w:name w:val="notranslate"/>
    <w:basedOn w:val="DefaultParagraphFont"/>
    <w:rsid w:val="00DD0AEA"/>
  </w:style>
  <w:style w:type="paragraph" w:customStyle="1" w:styleId="LineLast">
    <w:name w:val="Line Last"/>
    <w:basedOn w:val="Normal"/>
    <w:rsid w:val="00DD0AEA"/>
    <w:pPr>
      <w:tabs>
        <w:tab w:val="left" w:leader="underscore" w:pos="8640"/>
      </w:tabs>
      <w:spacing w:before="60" w:beforeAutospacing="1" w:after="360" w:afterAutospacing="1" w:line="240" w:lineRule="auto"/>
      <w:jc w:val="both"/>
    </w:pPr>
    <w:rPr>
      <w:rFonts w:ascii="Tahoma" w:eastAsia="Times New Roman" w:hAnsi="Tahoma" w:cs="Times New Roman"/>
      <w:sz w:val="20"/>
      <w:szCs w:val="24"/>
      <w:lang w:val="en-AU"/>
    </w:rPr>
  </w:style>
  <w:style w:type="paragraph" w:customStyle="1" w:styleId="Line">
    <w:name w:val="Line"/>
    <w:basedOn w:val="Normal"/>
    <w:rsid w:val="00DD0AEA"/>
    <w:pPr>
      <w:tabs>
        <w:tab w:val="left" w:leader="underscore" w:pos="8640"/>
      </w:tabs>
      <w:spacing w:before="60" w:beforeAutospacing="1" w:after="100" w:afterAutospacing="1" w:line="240" w:lineRule="auto"/>
      <w:jc w:val="both"/>
    </w:pPr>
    <w:rPr>
      <w:rFonts w:ascii="Tahoma" w:eastAsia="Times New Roman" w:hAnsi="Tahoma" w:cs="Times New Roman"/>
      <w:sz w:val="20"/>
      <w:szCs w:val="24"/>
      <w:lang w:val="en-AU"/>
    </w:rPr>
  </w:style>
  <w:style w:type="paragraph" w:customStyle="1" w:styleId="Thankyou">
    <w:name w:val="Thankyou"/>
    <w:basedOn w:val="Normal"/>
    <w:rsid w:val="00DD0AEA"/>
    <w:pPr>
      <w:keepNext/>
      <w:spacing w:before="100" w:beforeAutospacing="1" w:after="100" w:afterAutospacing="1" w:line="240" w:lineRule="auto"/>
      <w:jc w:val="center"/>
    </w:pPr>
    <w:rPr>
      <w:rFonts w:ascii="Tahoma" w:eastAsia="Times New Roman" w:hAnsi="Tahoma" w:cs="Times New Roman"/>
      <w:sz w:val="20"/>
      <w:szCs w:val="24"/>
      <w:lang w:val="en-AU"/>
    </w:rPr>
  </w:style>
  <w:style w:type="character" w:customStyle="1" w:styleId="maintitle">
    <w:name w:val="maintitle"/>
    <w:basedOn w:val="DefaultParagraphFont"/>
    <w:rsid w:val="00DD0AEA"/>
  </w:style>
  <w:style w:type="paragraph" w:customStyle="1" w:styleId="Tablecell">
    <w:name w:val="Table cell"/>
    <w:rsid w:val="00DD0AEA"/>
    <w:pPr>
      <w:keepLines/>
      <w:suppressAutoHyphens/>
      <w:spacing w:before="40" w:after="40" w:line="240" w:lineRule="auto"/>
    </w:pPr>
    <w:rPr>
      <w:rFonts w:ascii="Arial" w:eastAsia="Times New Roman" w:hAnsi="Arial" w:cs="Arial"/>
      <w:sz w:val="16"/>
      <w:szCs w:val="20"/>
      <w:lang w:val="en-AU"/>
    </w:rPr>
  </w:style>
  <w:style w:type="paragraph" w:styleId="Header">
    <w:name w:val="header"/>
    <w:link w:val="HeaderChar"/>
    <w:uiPriority w:val="99"/>
    <w:unhideWhenUsed/>
    <w:rsid w:val="00DD0AEA"/>
    <w:pPr>
      <w:tabs>
        <w:tab w:val="center" w:pos="4513"/>
        <w:tab w:val="right" w:pos="9026"/>
      </w:tabs>
      <w:spacing w:after="240" w:line="240" w:lineRule="auto"/>
    </w:pPr>
    <w:rPr>
      <w:rFonts w:ascii="Calibri" w:hAnsi="Calibri"/>
      <w:sz w:val="23"/>
      <w:lang w:val="en-AU"/>
    </w:rPr>
  </w:style>
  <w:style w:type="character" w:customStyle="1" w:styleId="HeaderChar">
    <w:name w:val="Header Char"/>
    <w:basedOn w:val="DefaultParagraphFont"/>
    <w:link w:val="Header"/>
    <w:uiPriority w:val="99"/>
    <w:rsid w:val="00DD0AEA"/>
    <w:rPr>
      <w:rFonts w:ascii="Calibri" w:hAnsi="Calibri"/>
      <w:sz w:val="23"/>
      <w:lang w:val="en-AU"/>
    </w:rPr>
  </w:style>
  <w:style w:type="paragraph" w:styleId="TOC1">
    <w:name w:val="toc 1"/>
    <w:basedOn w:val="Normal"/>
    <w:next w:val="Normal"/>
    <w:autoRedefine/>
    <w:uiPriority w:val="39"/>
    <w:unhideWhenUsed/>
    <w:qFormat/>
    <w:rsid w:val="00DD0AEA"/>
    <w:pPr>
      <w:tabs>
        <w:tab w:val="left" w:pos="440"/>
        <w:tab w:val="right" w:leader="dot" w:pos="9016"/>
      </w:tabs>
      <w:spacing w:before="120" w:after="120" w:line="240" w:lineRule="auto"/>
      <w:jc w:val="both"/>
    </w:pPr>
    <w:rPr>
      <w:rFonts w:ascii="Calibri" w:eastAsiaTheme="minorEastAsia" w:hAnsi="Calibri"/>
      <w:sz w:val="24"/>
      <w:lang w:val="en-AU" w:eastAsia="en-AU"/>
    </w:rPr>
  </w:style>
  <w:style w:type="paragraph" w:styleId="TOC2">
    <w:name w:val="toc 2"/>
    <w:basedOn w:val="Normal"/>
    <w:next w:val="Normal"/>
    <w:autoRedefine/>
    <w:uiPriority w:val="39"/>
    <w:unhideWhenUsed/>
    <w:qFormat/>
    <w:rsid w:val="00DD0AEA"/>
    <w:pPr>
      <w:tabs>
        <w:tab w:val="left" w:pos="880"/>
        <w:tab w:val="right" w:leader="dot" w:pos="9016"/>
      </w:tabs>
      <w:spacing w:before="120" w:after="120" w:line="240" w:lineRule="auto"/>
      <w:ind w:left="232"/>
      <w:jc w:val="both"/>
    </w:pPr>
    <w:rPr>
      <w:rFonts w:ascii="Calibri" w:eastAsiaTheme="minorEastAsia" w:hAnsi="Calibri"/>
      <w:noProof/>
      <w:sz w:val="24"/>
      <w:lang w:val="en-AU" w:eastAsia="en-AU"/>
    </w:rPr>
  </w:style>
  <w:style w:type="paragraph" w:styleId="TOC3">
    <w:name w:val="toc 3"/>
    <w:basedOn w:val="Normal"/>
    <w:next w:val="Normal"/>
    <w:autoRedefine/>
    <w:uiPriority w:val="39"/>
    <w:unhideWhenUsed/>
    <w:qFormat/>
    <w:rsid w:val="00DD0AEA"/>
    <w:pPr>
      <w:tabs>
        <w:tab w:val="left" w:pos="1320"/>
        <w:tab w:val="right" w:leader="dot" w:pos="9016"/>
      </w:tabs>
      <w:spacing w:before="120" w:after="120" w:line="240" w:lineRule="auto"/>
      <w:ind w:left="459"/>
      <w:jc w:val="both"/>
    </w:pPr>
    <w:rPr>
      <w:rFonts w:ascii="Calibri" w:eastAsiaTheme="minorEastAsia" w:hAnsi="Calibri"/>
      <w:noProof/>
      <w:sz w:val="24"/>
      <w:lang w:val="en-AU" w:eastAsia="en-AU"/>
    </w:rPr>
  </w:style>
  <w:style w:type="numbering" w:customStyle="1" w:styleId="Appendices">
    <w:name w:val="Appendices"/>
    <w:uiPriority w:val="99"/>
    <w:rsid w:val="00DD0AEA"/>
    <w:pPr>
      <w:numPr>
        <w:numId w:val="3"/>
      </w:numPr>
    </w:pPr>
  </w:style>
  <w:style w:type="paragraph" w:styleId="FootnoteText">
    <w:name w:val="footnote text"/>
    <w:link w:val="FootnoteTextChar"/>
    <w:uiPriority w:val="99"/>
    <w:unhideWhenUsed/>
    <w:rsid w:val="00DD0AEA"/>
    <w:pPr>
      <w:spacing w:after="120" w:line="240" w:lineRule="auto"/>
    </w:pPr>
    <w:rPr>
      <w:rFonts w:ascii="Calibri" w:hAnsi="Calibri"/>
      <w:sz w:val="18"/>
      <w:szCs w:val="20"/>
      <w:lang w:val="en-AU"/>
    </w:rPr>
  </w:style>
  <w:style w:type="character" w:customStyle="1" w:styleId="FootnoteTextChar">
    <w:name w:val="Footnote Text Char"/>
    <w:basedOn w:val="DefaultParagraphFont"/>
    <w:link w:val="FootnoteText"/>
    <w:uiPriority w:val="99"/>
    <w:rsid w:val="00DD0AEA"/>
    <w:rPr>
      <w:rFonts w:ascii="Calibri" w:hAnsi="Calibri"/>
      <w:sz w:val="18"/>
      <w:szCs w:val="20"/>
      <w:lang w:val="en-AU"/>
    </w:rPr>
  </w:style>
  <w:style w:type="paragraph" w:styleId="CommentText">
    <w:name w:val="annotation text"/>
    <w:basedOn w:val="Normal"/>
    <w:link w:val="CommentTextChar"/>
    <w:uiPriority w:val="99"/>
    <w:unhideWhenUsed/>
    <w:rsid w:val="00DD0AEA"/>
    <w:pPr>
      <w:spacing w:before="100" w:beforeAutospacing="1" w:after="100" w:afterAutospacing="1" w:line="240" w:lineRule="auto"/>
      <w:jc w:val="both"/>
    </w:pPr>
    <w:rPr>
      <w:rFonts w:ascii="Calibri" w:hAnsi="Calibri"/>
      <w:sz w:val="20"/>
      <w:szCs w:val="20"/>
      <w:lang w:val="en-AU"/>
    </w:rPr>
  </w:style>
  <w:style w:type="character" w:customStyle="1" w:styleId="CommentTextChar">
    <w:name w:val="Comment Text Char"/>
    <w:basedOn w:val="DefaultParagraphFont"/>
    <w:link w:val="CommentText"/>
    <w:uiPriority w:val="99"/>
    <w:rsid w:val="00DD0AEA"/>
    <w:rPr>
      <w:rFonts w:ascii="Calibri" w:hAnsi="Calibri"/>
      <w:sz w:val="20"/>
      <w:szCs w:val="20"/>
      <w:lang w:val="en-AU"/>
    </w:rPr>
  </w:style>
  <w:style w:type="paragraph" w:styleId="Footer">
    <w:name w:val="footer"/>
    <w:basedOn w:val="Normal"/>
    <w:link w:val="FooterChar"/>
    <w:uiPriority w:val="99"/>
    <w:unhideWhenUsed/>
    <w:rsid w:val="00DD0AEA"/>
    <w:pPr>
      <w:tabs>
        <w:tab w:val="center" w:pos="4513"/>
        <w:tab w:val="right" w:pos="9026"/>
      </w:tabs>
      <w:spacing w:before="100" w:beforeAutospacing="1" w:after="100" w:afterAutospacing="1" w:line="240" w:lineRule="auto"/>
      <w:ind w:left="8505"/>
      <w:jc w:val="both"/>
    </w:pPr>
    <w:rPr>
      <w:rFonts w:ascii="Calibri" w:hAnsi="Calibri"/>
      <w:sz w:val="24"/>
      <w:lang w:val="en-AU"/>
    </w:rPr>
  </w:style>
  <w:style w:type="character" w:customStyle="1" w:styleId="FooterChar">
    <w:name w:val="Footer Char"/>
    <w:basedOn w:val="DefaultParagraphFont"/>
    <w:link w:val="Footer"/>
    <w:uiPriority w:val="99"/>
    <w:rsid w:val="00DD0AEA"/>
    <w:rPr>
      <w:rFonts w:ascii="Calibri" w:hAnsi="Calibri"/>
      <w:sz w:val="24"/>
      <w:lang w:val="en-AU"/>
    </w:rPr>
  </w:style>
  <w:style w:type="paragraph" w:styleId="Caption">
    <w:name w:val="caption"/>
    <w:basedOn w:val="Normal"/>
    <w:next w:val="Normal"/>
    <w:uiPriority w:val="35"/>
    <w:unhideWhenUsed/>
    <w:rsid w:val="00DD0AEA"/>
    <w:pPr>
      <w:spacing w:before="100" w:beforeAutospacing="1" w:after="100" w:afterAutospacing="1" w:line="240" w:lineRule="auto"/>
      <w:jc w:val="both"/>
    </w:pPr>
    <w:rPr>
      <w:rFonts w:ascii="Calibri" w:hAnsi="Calibri"/>
      <w:b/>
      <w:bCs/>
      <w:color w:val="4F81BD" w:themeColor="accent1"/>
      <w:sz w:val="18"/>
      <w:szCs w:val="18"/>
      <w:lang w:val="en-AU"/>
    </w:rPr>
  </w:style>
  <w:style w:type="character" w:styleId="FootnoteReference">
    <w:name w:val="footnote reference"/>
    <w:basedOn w:val="DefaultParagraphFont"/>
    <w:uiPriority w:val="99"/>
    <w:unhideWhenUsed/>
    <w:rsid w:val="00DD0AEA"/>
    <w:rPr>
      <w:vertAlign w:val="superscript"/>
    </w:rPr>
  </w:style>
  <w:style w:type="character" w:styleId="CommentReference">
    <w:name w:val="annotation reference"/>
    <w:basedOn w:val="DefaultParagraphFont"/>
    <w:uiPriority w:val="99"/>
    <w:semiHidden/>
    <w:unhideWhenUsed/>
    <w:rsid w:val="00DD0AEA"/>
    <w:rPr>
      <w:sz w:val="16"/>
      <w:szCs w:val="16"/>
    </w:rPr>
  </w:style>
  <w:style w:type="character" w:styleId="EndnoteReference">
    <w:name w:val="endnote reference"/>
    <w:basedOn w:val="DefaultParagraphFont"/>
    <w:uiPriority w:val="99"/>
    <w:semiHidden/>
    <w:unhideWhenUsed/>
    <w:rsid w:val="00DD0AEA"/>
    <w:rPr>
      <w:vertAlign w:val="superscript"/>
    </w:rPr>
  </w:style>
  <w:style w:type="paragraph" w:styleId="EndnoteText">
    <w:name w:val="endnote text"/>
    <w:basedOn w:val="Normal"/>
    <w:link w:val="EndnoteTextChar"/>
    <w:uiPriority w:val="99"/>
    <w:semiHidden/>
    <w:unhideWhenUsed/>
    <w:rsid w:val="00DD0AEA"/>
    <w:pPr>
      <w:spacing w:before="100" w:beforeAutospacing="1" w:after="100" w:afterAutospacing="1" w:line="240" w:lineRule="auto"/>
      <w:jc w:val="both"/>
    </w:pPr>
    <w:rPr>
      <w:rFonts w:ascii="Calibri" w:hAnsi="Calibri"/>
      <w:sz w:val="20"/>
      <w:szCs w:val="20"/>
      <w:lang w:val="en-GB"/>
    </w:rPr>
  </w:style>
  <w:style w:type="character" w:customStyle="1" w:styleId="EndnoteTextChar">
    <w:name w:val="Endnote Text Char"/>
    <w:basedOn w:val="DefaultParagraphFont"/>
    <w:link w:val="EndnoteText"/>
    <w:uiPriority w:val="99"/>
    <w:semiHidden/>
    <w:rsid w:val="00DD0AEA"/>
    <w:rPr>
      <w:rFonts w:ascii="Calibri" w:hAnsi="Calibri"/>
      <w:sz w:val="20"/>
      <w:szCs w:val="20"/>
      <w:lang w:val="en-GB"/>
    </w:rPr>
  </w:style>
  <w:style w:type="paragraph" w:styleId="Title">
    <w:name w:val="Title"/>
    <w:aliases w:val="Submission"/>
    <w:next w:val="Normal"/>
    <w:link w:val="TitleChar"/>
    <w:uiPriority w:val="10"/>
    <w:qFormat/>
    <w:rsid w:val="00DD0AEA"/>
    <w:pPr>
      <w:spacing w:before="2040" w:after="120" w:line="240" w:lineRule="auto"/>
      <w:contextualSpacing/>
      <w:jc w:val="center"/>
    </w:pPr>
    <w:rPr>
      <w:rFonts w:ascii="Calibri" w:eastAsiaTheme="majorEastAsia" w:hAnsi="Calibri" w:cstheme="majorBidi"/>
      <w:b/>
      <w:spacing w:val="5"/>
      <w:kern w:val="28"/>
      <w:sz w:val="52"/>
      <w:szCs w:val="52"/>
      <w:lang w:val="en-AU"/>
    </w:rPr>
  </w:style>
  <w:style w:type="character" w:customStyle="1" w:styleId="TitleChar">
    <w:name w:val="Title Char"/>
    <w:aliases w:val="Submission Char"/>
    <w:basedOn w:val="DefaultParagraphFont"/>
    <w:link w:val="Title"/>
    <w:uiPriority w:val="10"/>
    <w:rsid w:val="00DD0AEA"/>
    <w:rPr>
      <w:rFonts w:ascii="Calibri" w:eastAsiaTheme="majorEastAsia" w:hAnsi="Calibri" w:cstheme="majorBidi"/>
      <w:b/>
      <w:spacing w:val="5"/>
      <w:kern w:val="28"/>
      <w:sz w:val="52"/>
      <w:szCs w:val="52"/>
      <w:lang w:val="en-AU"/>
    </w:rPr>
  </w:style>
  <w:style w:type="paragraph" w:styleId="BodyText">
    <w:name w:val="Body Text"/>
    <w:basedOn w:val="Normal"/>
    <w:link w:val="BodyTextChar"/>
    <w:rsid w:val="00DD0AEA"/>
    <w:pPr>
      <w:spacing w:before="100" w:beforeAutospacing="1" w:after="100" w:afterAutospacing="1" w:line="240" w:lineRule="auto"/>
      <w:jc w:val="both"/>
    </w:pPr>
    <w:rPr>
      <w:rFonts w:ascii="Times New Roman" w:eastAsia="Times New Roman" w:hAnsi="Times New Roman" w:cs="Times New Roman"/>
      <w:sz w:val="24"/>
      <w:szCs w:val="24"/>
      <w:lang w:val="en-AU"/>
    </w:rPr>
  </w:style>
  <w:style w:type="character" w:customStyle="1" w:styleId="BodyTextChar">
    <w:name w:val="Body Text Char"/>
    <w:basedOn w:val="DefaultParagraphFont"/>
    <w:link w:val="BodyText"/>
    <w:rsid w:val="00DD0AEA"/>
    <w:rPr>
      <w:rFonts w:ascii="Times New Roman" w:eastAsia="Times New Roman" w:hAnsi="Times New Roman" w:cs="Times New Roman"/>
      <w:sz w:val="24"/>
      <w:szCs w:val="24"/>
      <w:lang w:val="en-AU"/>
    </w:rPr>
  </w:style>
  <w:style w:type="character" w:styleId="Hyperlink">
    <w:name w:val="Hyperlink"/>
    <w:basedOn w:val="DefaultParagraphFont"/>
    <w:uiPriority w:val="99"/>
    <w:unhideWhenUsed/>
    <w:rsid w:val="00DD0AEA"/>
    <w:rPr>
      <w:color w:val="0000FF" w:themeColor="hyperlink"/>
      <w:u w:val="single"/>
    </w:rPr>
  </w:style>
  <w:style w:type="character" w:styleId="Strong">
    <w:name w:val="Strong"/>
    <w:basedOn w:val="DefaultParagraphFont"/>
    <w:uiPriority w:val="22"/>
    <w:rsid w:val="00DD0AEA"/>
    <w:rPr>
      <w:b/>
      <w:bCs/>
    </w:rPr>
  </w:style>
  <w:style w:type="paragraph" w:styleId="NormalWeb">
    <w:name w:val="Normal (Web)"/>
    <w:basedOn w:val="Normal"/>
    <w:uiPriority w:val="99"/>
    <w:semiHidden/>
    <w:unhideWhenUsed/>
    <w:rsid w:val="00DD0AEA"/>
    <w:pPr>
      <w:spacing w:before="140" w:beforeAutospacing="1" w:after="140" w:afterAutospacing="1" w:line="240" w:lineRule="auto"/>
      <w:jc w:val="both"/>
    </w:pPr>
    <w:rPr>
      <w:rFonts w:ascii="Trebuchet MS" w:eastAsia="Times New Roman" w:hAnsi="Trebuchet MS" w:cs="Times New Roman"/>
      <w:sz w:val="24"/>
      <w:szCs w:val="24"/>
      <w:lang w:val="en-AU" w:eastAsia="en-AU"/>
    </w:rPr>
  </w:style>
  <w:style w:type="paragraph" w:styleId="CommentSubject">
    <w:name w:val="annotation subject"/>
    <w:basedOn w:val="CommentText"/>
    <w:next w:val="CommentText"/>
    <w:link w:val="CommentSubjectChar"/>
    <w:uiPriority w:val="99"/>
    <w:semiHidden/>
    <w:unhideWhenUsed/>
    <w:rsid w:val="00DD0AEA"/>
    <w:rPr>
      <w:b/>
      <w:bCs/>
    </w:rPr>
  </w:style>
  <w:style w:type="character" w:customStyle="1" w:styleId="CommentSubjectChar">
    <w:name w:val="Comment Subject Char"/>
    <w:basedOn w:val="CommentTextChar"/>
    <w:link w:val="CommentSubject"/>
    <w:uiPriority w:val="99"/>
    <w:semiHidden/>
    <w:rsid w:val="00DD0AEA"/>
    <w:rPr>
      <w:rFonts w:ascii="Calibri" w:hAnsi="Calibri"/>
      <w:b/>
      <w:bCs/>
      <w:sz w:val="20"/>
      <w:szCs w:val="20"/>
      <w:lang w:val="en-AU"/>
    </w:rPr>
  </w:style>
  <w:style w:type="paragraph" w:styleId="BalloonText">
    <w:name w:val="Balloon Text"/>
    <w:basedOn w:val="Normal"/>
    <w:link w:val="BalloonTextChar"/>
    <w:uiPriority w:val="99"/>
    <w:semiHidden/>
    <w:unhideWhenUsed/>
    <w:rsid w:val="00DD0AEA"/>
    <w:pPr>
      <w:spacing w:before="100" w:beforeAutospacing="1" w:after="100" w:afterAutospacing="1" w:line="240" w:lineRule="auto"/>
      <w:jc w:val="both"/>
    </w:pPr>
    <w:rPr>
      <w:rFonts w:ascii="Tahoma" w:hAnsi="Tahoma" w:cs="Tahoma"/>
      <w:sz w:val="16"/>
      <w:szCs w:val="16"/>
      <w:lang w:val="en-GB"/>
    </w:rPr>
  </w:style>
  <w:style w:type="character" w:customStyle="1" w:styleId="BalloonTextChar">
    <w:name w:val="Balloon Text Char"/>
    <w:basedOn w:val="DefaultParagraphFont"/>
    <w:link w:val="BalloonText"/>
    <w:uiPriority w:val="99"/>
    <w:semiHidden/>
    <w:rsid w:val="00DD0AEA"/>
    <w:rPr>
      <w:rFonts w:ascii="Tahoma" w:hAnsi="Tahoma" w:cs="Tahoma"/>
      <w:sz w:val="16"/>
      <w:szCs w:val="16"/>
      <w:lang w:val="en-GB"/>
    </w:rPr>
  </w:style>
  <w:style w:type="table" w:styleId="TableGrid">
    <w:name w:val="Table Grid"/>
    <w:basedOn w:val="TableNormal"/>
    <w:uiPriority w:val="59"/>
    <w:rsid w:val="00DD0AEA"/>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0AEA"/>
    <w:pPr>
      <w:spacing w:before="100" w:beforeAutospacing="1" w:after="100" w:afterAutospacing="1" w:line="240" w:lineRule="auto"/>
      <w:ind w:left="720"/>
      <w:contextualSpacing/>
      <w:jc w:val="both"/>
    </w:pPr>
    <w:rPr>
      <w:rFonts w:ascii="Calibri" w:hAnsi="Calibri"/>
      <w:sz w:val="24"/>
      <w:lang w:val="en-AU"/>
    </w:rPr>
  </w:style>
  <w:style w:type="paragraph" w:styleId="TOCHeading">
    <w:name w:val="TOC Heading"/>
    <w:basedOn w:val="Heading1"/>
    <w:next w:val="Normal"/>
    <w:uiPriority w:val="39"/>
    <w:unhideWhenUsed/>
    <w:qFormat/>
    <w:rsid w:val="00DD0AEA"/>
    <w:pPr>
      <w:numPr>
        <w:numId w:val="0"/>
      </w:numPr>
      <w:spacing w:line="276" w:lineRule="auto"/>
      <w:outlineLvl w:val="9"/>
    </w:pPr>
  </w:style>
  <w:style w:type="character" w:styleId="FollowedHyperlink">
    <w:name w:val="FollowedHyperlink"/>
    <w:basedOn w:val="DefaultParagraphFont"/>
    <w:uiPriority w:val="99"/>
    <w:semiHidden/>
    <w:unhideWhenUsed/>
    <w:rsid w:val="00DD0AEA"/>
    <w:rPr>
      <w:color w:val="800080" w:themeColor="followedHyperlink"/>
      <w:u w:val="single"/>
    </w:rPr>
  </w:style>
  <w:style w:type="paragraph" w:styleId="NoSpacing">
    <w:name w:val="No Spacing"/>
    <w:uiPriority w:val="1"/>
    <w:rsid w:val="00DD0AEA"/>
    <w:pPr>
      <w:spacing w:after="0" w:line="240" w:lineRule="auto"/>
    </w:pPr>
    <w:rPr>
      <w:rFonts w:ascii="Calibri" w:eastAsiaTheme="minorEastAsia" w:hAnsi="Calibri"/>
      <w:sz w:val="23"/>
      <w:lang w:val="en-AU" w:eastAsia="en-AU"/>
    </w:rPr>
  </w:style>
  <w:style w:type="paragraph" w:customStyle="1" w:styleId="About">
    <w:name w:val="About"/>
    <w:basedOn w:val="Normal"/>
    <w:link w:val="AboutChar"/>
    <w:qFormat/>
    <w:rsid w:val="00DD0AEA"/>
    <w:pPr>
      <w:spacing w:before="100" w:beforeAutospacing="1" w:after="100" w:afterAutospacing="1" w:line="240" w:lineRule="auto"/>
      <w:jc w:val="both"/>
    </w:pPr>
    <w:rPr>
      <w:rFonts w:ascii="Calibri" w:eastAsiaTheme="minorEastAsia" w:hAnsi="Calibri"/>
      <w:b/>
      <w:sz w:val="24"/>
      <w:lang w:val="en-AU" w:eastAsia="en-AU"/>
    </w:rPr>
  </w:style>
  <w:style w:type="table" w:customStyle="1" w:styleId="ACCANtable">
    <w:name w:val="ACCAN table"/>
    <w:basedOn w:val="TableNormal"/>
    <w:uiPriority w:val="99"/>
    <w:rsid w:val="00DD0AEA"/>
    <w:pPr>
      <w:spacing w:after="0" w:line="240" w:lineRule="auto"/>
    </w:pPr>
    <w:rPr>
      <w:lang w:val="en-AU"/>
    </w:rPr>
    <w:tblPr>
      <w:jc w:val="center"/>
      <w:tblBorders>
        <w:top w:val="single" w:sz="4" w:space="0" w:color="44C8F5"/>
        <w:bottom w:val="single" w:sz="4" w:space="0" w:color="44C8F5"/>
        <w:insideH w:val="single" w:sz="4" w:space="0" w:color="44C8F5"/>
      </w:tblBorders>
      <w:tblCellMar>
        <w:top w:w="108" w:type="dxa"/>
        <w:bottom w:w="108" w:type="dxa"/>
      </w:tblCellMar>
    </w:tblPr>
    <w:trPr>
      <w:jc w:val="center"/>
    </w:trPr>
    <w:tblStylePr w:type="firstRow">
      <w:pPr>
        <w:jc w:val="left"/>
      </w:pPr>
      <w:rPr>
        <w:rFonts w:asciiTheme="minorHAnsi" w:hAnsiTheme="minorHAnsi"/>
        <w:b/>
        <w:color w:val="auto"/>
        <w:sz w:val="22"/>
      </w:rPr>
      <w:tblPr/>
      <w:tcPr>
        <w:shd w:val="clear" w:color="auto" w:fill="44C8F5"/>
      </w:tcPr>
    </w:tblStylePr>
    <w:tblStylePr w:type="lastRow">
      <w:pPr>
        <w:jc w:val="left"/>
      </w:pPr>
    </w:tblStylePr>
  </w:style>
  <w:style w:type="character" w:customStyle="1" w:styleId="AboutChar">
    <w:name w:val="About Char"/>
    <w:basedOn w:val="DefaultParagraphFont"/>
    <w:link w:val="About"/>
    <w:rsid w:val="00DD0AEA"/>
    <w:rPr>
      <w:rFonts w:ascii="Calibri" w:eastAsiaTheme="minorEastAsia" w:hAnsi="Calibri"/>
      <w:b/>
      <w:sz w:val="24"/>
      <w:lang w:val="en-AU" w:eastAsia="en-AU"/>
    </w:rPr>
  </w:style>
  <w:style w:type="paragraph" w:styleId="Subtitle">
    <w:name w:val="Subtitle"/>
    <w:next w:val="Normal"/>
    <w:link w:val="SubtitleChar"/>
    <w:uiPriority w:val="11"/>
    <w:rsid w:val="00DD0AEA"/>
    <w:pPr>
      <w:spacing w:before="360" w:after="360" w:line="240" w:lineRule="auto"/>
      <w:jc w:val="center"/>
    </w:pPr>
    <w:rPr>
      <w:rFonts w:ascii="Calibri" w:eastAsiaTheme="minorEastAsia" w:hAnsi="Calibri"/>
      <w:sz w:val="32"/>
      <w:szCs w:val="32"/>
      <w:lang w:val="en-AU"/>
    </w:rPr>
  </w:style>
  <w:style w:type="character" w:customStyle="1" w:styleId="SubtitleChar">
    <w:name w:val="Subtitle Char"/>
    <w:basedOn w:val="DefaultParagraphFont"/>
    <w:link w:val="Subtitle"/>
    <w:uiPriority w:val="11"/>
    <w:rsid w:val="00DD0AEA"/>
    <w:rPr>
      <w:rFonts w:ascii="Calibri" w:eastAsiaTheme="minorEastAsia" w:hAnsi="Calibri"/>
      <w:sz w:val="32"/>
      <w:szCs w:val="32"/>
      <w:lang w:val="en-AU"/>
    </w:rPr>
  </w:style>
  <w:style w:type="paragraph" w:customStyle="1" w:styleId="Recommendation">
    <w:name w:val="Recommendation"/>
    <w:basedOn w:val="Normal"/>
    <w:link w:val="RecommendationChar"/>
    <w:qFormat/>
    <w:rsid w:val="00DD0AEA"/>
    <w:pPr>
      <w:numPr>
        <w:numId w:val="7"/>
      </w:numPr>
      <w:pBdr>
        <w:top w:val="single" w:sz="8" w:space="6" w:color="44C8F5"/>
        <w:left w:val="single" w:sz="8" w:space="5" w:color="44C8F5"/>
        <w:bottom w:val="single" w:sz="8" w:space="6" w:color="44C8F5"/>
        <w:right w:val="single" w:sz="8" w:space="5" w:color="44C8F5"/>
      </w:pBdr>
      <w:spacing w:before="100" w:beforeAutospacing="1" w:after="100" w:afterAutospacing="1" w:line="240" w:lineRule="auto"/>
      <w:ind w:right="851"/>
      <w:jc w:val="both"/>
    </w:pPr>
    <w:rPr>
      <w:rFonts w:ascii="Calibri" w:eastAsiaTheme="minorEastAsia" w:hAnsi="Calibri"/>
      <w:sz w:val="24"/>
      <w:lang w:val="en-AU"/>
    </w:rPr>
  </w:style>
  <w:style w:type="table" w:styleId="LightShading-Accent1">
    <w:name w:val="Light Shading Accent 1"/>
    <w:basedOn w:val="TableNormal"/>
    <w:uiPriority w:val="60"/>
    <w:rsid w:val="00DD0AEA"/>
    <w:pPr>
      <w:spacing w:after="0" w:line="240" w:lineRule="auto"/>
    </w:pPr>
    <w:rPr>
      <w:color w:val="365F91" w:themeColor="accent1" w:themeShade="BF"/>
      <w:lang w:val="en-AU"/>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RecommendationChar">
    <w:name w:val="Recommendation Char"/>
    <w:basedOn w:val="DefaultParagraphFont"/>
    <w:link w:val="Recommendation"/>
    <w:rsid w:val="00DD0AEA"/>
    <w:rPr>
      <w:rFonts w:ascii="Calibri" w:eastAsiaTheme="minorEastAsia" w:hAnsi="Calibri"/>
      <w:sz w:val="24"/>
      <w:lang w:val="en-AU"/>
    </w:rPr>
  </w:style>
  <w:style w:type="paragraph" w:customStyle="1" w:styleId="Blockquote">
    <w:name w:val="Blockquote"/>
    <w:basedOn w:val="Normal"/>
    <w:link w:val="BlockquoteChar"/>
    <w:qFormat/>
    <w:rsid w:val="00DD0AEA"/>
    <w:pPr>
      <w:spacing w:before="100" w:beforeAutospacing="1" w:after="100" w:afterAutospacing="1" w:line="240" w:lineRule="auto"/>
      <w:ind w:left="851" w:right="851"/>
      <w:jc w:val="both"/>
    </w:pPr>
    <w:rPr>
      <w:rFonts w:ascii="Calibri" w:eastAsiaTheme="minorEastAsia" w:hAnsi="Calibri"/>
      <w:sz w:val="24"/>
      <w:lang w:val="en-AU"/>
    </w:rPr>
  </w:style>
  <w:style w:type="character" w:customStyle="1" w:styleId="BlockquoteChar">
    <w:name w:val="Blockquote Char"/>
    <w:basedOn w:val="DefaultParagraphFont"/>
    <w:link w:val="Blockquote"/>
    <w:rsid w:val="00DD0AEA"/>
    <w:rPr>
      <w:rFonts w:ascii="Calibri" w:eastAsiaTheme="minorEastAsia" w:hAnsi="Calibri"/>
      <w:sz w:val="24"/>
      <w:lang w:val="en-AU"/>
    </w:rPr>
  </w:style>
  <w:style w:type="numbering" w:customStyle="1" w:styleId="Headings">
    <w:name w:val="Headings"/>
    <w:uiPriority w:val="99"/>
    <w:rsid w:val="00DD0AEA"/>
    <w:pPr>
      <w:numPr>
        <w:numId w:val="1"/>
      </w:numPr>
    </w:pPr>
  </w:style>
  <w:style w:type="numbering" w:customStyle="1" w:styleId="Bullets">
    <w:name w:val="Bullets"/>
    <w:uiPriority w:val="99"/>
    <w:rsid w:val="00DD0AEA"/>
    <w:pPr>
      <w:numPr>
        <w:numId w:val="2"/>
      </w:numPr>
    </w:pPr>
  </w:style>
  <w:style w:type="paragraph" w:customStyle="1" w:styleId="Bulletlist1">
    <w:name w:val="Bullet list 1"/>
    <w:basedOn w:val="Normal"/>
    <w:link w:val="Bulletlist1Char"/>
    <w:qFormat/>
    <w:rsid w:val="00DD0AEA"/>
    <w:pPr>
      <w:numPr>
        <w:numId w:val="2"/>
      </w:numPr>
      <w:spacing w:before="100" w:beforeAutospacing="1" w:after="100" w:afterAutospacing="1" w:line="240" w:lineRule="auto"/>
      <w:jc w:val="both"/>
    </w:pPr>
    <w:rPr>
      <w:rFonts w:ascii="Calibri" w:eastAsiaTheme="minorEastAsia" w:hAnsi="Calibri"/>
      <w:sz w:val="24"/>
      <w:lang w:val="en-AU" w:eastAsia="en-AU"/>
    </w:rPr>
  </w:style>
  <w:style w:type="paragraph" w:customStyle="1" w:styleId="Bulletlist2">
    <w:name w:val="Bullet list 2"/>
    <w:basedOn w:val="Bulletlist1"/>
    <w:link w:val="Bulletlist2Char"/>
    <w:qFormat/>
    <w:rsid w:val="00DD0AEA"/>
    <w:pPr>
      <w:numPr>
        <w:ilvl w:val="1"/>
      </w:numPr>
    </w:pPr>
  </w:style>
  <w:style w:type="character" w:customStyle="1" w:styleId="Bulletlist1Char">
    <w:name w:val="Bullet list 1 Char"/>
    <w:basedOn w:val="DefaultParagraphFont"/>
    <w:link w:val="Bulletlist1"/>
    <w:rsid w:val="00DD0AEA"/>
    <w:rPr>
      <w:rFonts w:ascii="Calibri" w:eastAsiaTheme="minorEastAsia" w:hAnsi="Calibri"/>
      <w:sz w:val="24"/>
      <w:lang w:val="en-AU" w:eastAsia="en-AU"/>
    </w:rPr>
  </w:style>
  <w:style w:type="paragraph" w:customStyle="1" w:styleId="Bulletlist3">
    <w:name w:val="Bullet list 3"/>
    <w:basedOn w:val="Bulletlist2"/>
    <w:link w:val="Bulletlist3Char"/>
    <w:qFormat/>
    <w:rsid w:val="00DD0AEA"/>
    <w:pPr>
      <w:numPr>
        <w:ilvl w:val="2"/>
      </w:numPr>
    </w:pPr>
  </w:style>
  <w:style w:type="character" w:customStyle="1" w:styleId="Bulletlist2Char">
    <w:name w:val="Bullet list 2 Char"/>
    <w:basedOn w:val="Bulletlist1Char"/>
    <w:link w:val="Bulletlist2"/>
    <w:rsid w:val="00DD0AEA"/>
    <w:rPr>
      <w:rFonts w:ascii="Calibri" w:eastAsiaTheme="minorEastAsia" w:hAnsi="Calibri"/>
      <w:sz w:val="24"/>
      <w:lang w:val="en-AU" w:eastAsia="en-AU"/>
    </w:rPr>
  </w:style>
  <w:style w:type="character" w:customStyle="1" w:styleId="Bulletlist3Char">
    <w:name w:val="Bullet list 3 Char"/>
    <w:basedOn w:val="Bulletlist2Char"/>
    <w:link w:val="Bulletlist3"/>
    <w:rsid w:val="00DD0AEA"/>
    <w:rPr>
      <w:rFonts w:ascii="Calibri" w:eastAsiaTheme="minorEastAsia" w:hAnsi="Calibri"/>
      <w:sz w:val="24"/>
      <w:lang w:val="en-AU" w:eastAsia="en-AU"/>
    </w:rPr>
  </w:style>
  <w:style w:type="paragraph" w:customStyle="1" w:styleId="Footerpage1">
    <w:name w:val="Footer page 1"/>
    <w:rsid w:val="00DD0AEA"/>
    <w:pPr>
      <w:spacing w:line="240" w:lineRule="auto"/>
      <w:ind w:left="-754"/>
      <w:contextualSpacing/>
    </w:pPr>
    <w:rPr>
      <w:sz w:val="20"/>
      <w:szCs w:val="20"/>
      <w:lang w:val="en-AU"/>
    </w:rPr>
  </w:style>
  <w:style w:type="paragraph" w:customStyle="1" w:styleId="Celltext">
    <w:name w:val="Cell text"/>
    <w:basedOn w:val="Normal"/>
    <w:qFormat/>
    <w:rsid w:val="00DD0AEA"/>
    <w:pPr>
      <w:spacing w:before="100" w:beforeAutospacing="1" w:after="100" w:afterAutospacing="1" w:line="240" w:lineRule="auto"/>
      <w:contextualSpacing/>
      <w:jc w:val="both"/>
    </w:pPr>
    <w:rPr>
      <w:rFonts w:ascii="Calibri" w:eastAsiaTheme="minorEastAsia" w:hAnsi="Calibri"/>
      <w:sz w:val="20"/>
      <w:lang w:val="en-AU" w:eastAsia="en-AU"/>
    </w:rPr>
  </w:style>
  <w:style w:type="paragraph" w:customStyle="1" w:styleId="Appendixheading1">
    <w:name w:val="Appendix heading 1"/>
    <w:basedOn w:val="Heading1"/>
    <w:next w:val="Normal"/>
    <w:link w:val="Appendixheading1Char"/>
    <w:qFormat/>
    <w:rsid w:val="00DD0AEA"/>
    <w:pPr>
      <w:numPr>
        <w:numId w:val="4"/>
      </w:numPr>
    </w:pPr>
  </w:style>
  <w:style w:type="character" w:customStyle="1" w:styleId="Appendixheading1Char">
    <w:name w:val="Appendix heading 1 Char"/>
    <w:basedOn w:val="Heading1Char"/>
    <w:link w:val="Appendixheading1"/>
    <w:rsid w:val="00DD0AEA"/>
    <w:rPr>
      <w:rFonts w:ascii="Calibri" w:eastAsiaTheme="majorEastAsia" w:hAnsi="Calibri" w:cstheme="majorBidi"/>
      <w:bCs/>
      <w:sz w:val="48"/>
      <w:szCs w:val="28"/>
      <w:lang w:val="en-AU"/>
    </w:rPr>
  </w:style>
  <w:style w:type="paragraph" w:customStyle="1" w:styleId="Appendixheading2">
    <w:name w:val="Appendix heading 2"/>
    <w:basedOn w:val="Heading2"/>
    <w:next w:val="Normal"/>
    <w:link w:val="Appendixheading2Char"/>
    <w:qFormat/>
    <w:rsid w:val="00DD0AEA"/>
    <w:pPr>
      <w:numPr>
        <w:numId w:val="4"/>
      </w:numPr>
    </w:pPr>
    <w:rPr>
      <w:b/>
    </w:rPr>
  </w:style>
  <w:style w:type="character" w:customStyle="1" w:styleId="Appendixheading2Char">
    <w:name w:val="Appendix heading 2 Char"/>
    <w:basedOn w:val="Heading2Char"/>
    <w:link w:val="Appendixheading2"/>
    <w:rsid w:val="00DD0AEA"/>
    <w:rPr>
      <w:rFonts w:ascii="Calibri" w:eastAsia="Times New Roman" w:hAnsi="Calibri" w:cs="Times New Roman"/>
      <w:b/>
      <w:bCs/>
      <w:iCs/>
      <w:sz w:val="32"/>
      <w:szCs w:val="24"/>
      <w:lang w:val="en-AU"/>
    </w:rPr>
  </w:style>
  <w:style w:type="paragraph" w:customStyle="1" w:styleId="Appendixheading3">
    <w:name w:val="Appendix heading 3"/>
    <w:basedOn w:val="Heading3"/>
    <w:next w:val="Normal"/>
    <w:link w:val="Appendixheading3Char"/>
    <w:qFormat/>
    <w:rsid w:val="00DD0AEA"/>
    <w:pPr>
      <w:numPr>
        <w:ilvl w:val="0"/>
        <w:numId w:val="0"/>
      </w:numPr>
    </w:pPr>
    <w:rPr>
      <w:b/>
      <w:sz w:val="24"/>
    </w:rPr>
  </w:style>
  <w:style w:type="character" w:customStyle="1" w:styleId="Appendixheading3Char">
    <w:name w:val="Appendix heading 3 Char"/>
    <w:basedOn w:val="Heading3Char"/>
    <w:link w:val="Appendixheading3"/>
    <w:rsid w:val="00DD0AEA"/>
    <w:rPr>
      <w:rFonts w:ascii="Calibri" w:eastAsia="Times New Roman" w:hAnsi="Calibri" w:cs="Times New Roman"/>
      <w:b/>
      <w:bCs/>
      <w:iCs/>
      <w:sz w:val="24"/>
      <w:szCs w:val="24"/>
      <w:lang w:val="en-AU"/>
    </w:rPr>
  </w:style>
  <w:style w:type="paragraph" w:customStyle="1" w:styleId="Blockquote2">
    <w:name w:val="Blockquote 2"/>
    <w:basedOn w:val="Blockquote"/>
    <w:link w:val="Blockquote2Char"/>
    <w:qFormat/>
    <w:rsid w:val="00DD0AEA"/>
    <w:pPr>
      <w:ind w:left="1418"/>
      <w:contextualSpacing/>
    </w:pPr>
  </w:style>
  <w:style w:type="character" w:customStyle="1" w:styleId="Blockquote2Char">
    <w:name w:val="Blockquote 2 Char"/>
    <w:basedOn w:val="BlockquoteChar"/>
    <w:link w:val="Blockquote2"/>
    <w:rsid w:val="00DD0AEA"/>
    <w:rPr>
      <w:rFonts w:ascii="Calibri" w:eastAsiaTheme="minorEastAsia" w:hAnsi="Calibri"/>
      <w:sz w:val="24"/>
      <w:lang w:val="en-AU"/>
    </w:rPr>
  </w:style>
  <w:style w:type="paragraph" w:customStyle="1" w:styleId="Blockquote3">
    <w:name w:val="Blockquote 3"/>
    <w:basedOn w:val="Blockquote"/>
    <w:link w:val="Blockquote3Char"/>
    <w:qFormat/>
    <w:rsid w:val="00DD0AEA"/>
    <w:pPr>
      <w:ind w:left="1985"/>
      <w:contextualSpacing/>
    </w:pPr>
  </w:style>
  <w:style w:type="character" w:customStyle="1" w:styleId="Blockquote3Char">
    <w:name w:val="Blockquote 3 Char"/>
    <w:basedOn w:val="BlockquoteChar"/>
    <w:link w:val="Blockquote3"/>
    <w:rsid w:val="00DD0AEA"/>
    <w:rPr>
      <w:rFonts w:ascii="Calibri" w:eastAsiaTheme="minorEastAsia" w:hAnsi="Calibri"/>
      <w:sz w:val="24"/>
      <w:lang w:val="en-AU"/>
    </w:rPr>
  </w:style>
  <w:style w:type="paragraph" w:customStyle="1" w:styleId="Blockquotebulletlist1">
    <w:name w:val="Blockquote bullet list 1"/>
    <w:basedOn w:val="Blockquote"/>
    <w:link w:val="Blockquotebulletlist1Char"/>
    <w:qFormat/>
    <w:rsid w:val="00DD0AEA"/>
    <w:pPr>
      <w:numPr>
        <w:numId w:val="5"/>
      </w:numPr>
    </w:pPr>
  </w:style>
  <w:style w:type="character" w:customStyle="1" w:styleId="Blockquotebulletlist1Char">
    <w:name w:val="Blockquote bullet list 1 Char"/>
    <w:basedOn w:val="BlockquoteChar"/>
    <w:link w:val="Blockquotebulletlist1"/>
    <w:rsid w:val="00DD0AEA"/>
    <w:rPr>
      <w:rFonts w:ascii="Calibri" w:eastAsiaTheme="minorEastAsia" w:hAnsi="Calibri"/>
      <w:sz w:val="24"/>
      <w:lang w:val="en-AU"/>
    </w:rPr>
  </w:style>
  <w:style w:type="numbering" w:customStyle="1" w:styleId="Blockquotebullets">
    <w:name w:val="Blockquote bullets"/>
    <w:uiPriority w:val="99"/>
    <w:rsid w:val="00DD0AEA"/>
    <w:pPr>
      <w:numPr>
        <w:numId w:val="5"/>
      </w:numPr>
    </w:pPr>
  </w:style>
  <w:style w:type="paragraph" w:customStyle="1" w:styleId="Casestudyheading">
    <w:name w:val="Case study heading"/>
    <w:basedOn w:val="Normal"/>
    <w:next w:val="Normal"/>
    <w:link w:val="CasestudyheadingChar"/>
    <w:qFormat/>
    <w:rsid w:val="00DD0AEA"/>
    <w:pPr>
      <w:keepNext/>
      <w:spacing w:before="100" w:beforeAutospacing="1" w:after="100" w:afterAutospacing="1" w:line="240" w:lineRule="auto"/>
      <w:ind w:left="851" w:right="851"/>
      <w:jc w:val="both"/>
    </w:pPr>
    <w:rPr>
      <w:rFonts w:ascii="Calibri" w:eastAsiaTheme="minorEastAsia" w:hAnsi="Calibri"/>
      <w:b/>
      <w:sz w:val="24"/>
      <w:lang w:val="en-AU"/>
    </w:rPr>
  </w:style>
  <w:style w:type="character" w:customStyle="1" w:styleId="CasestudyheadingChar">
    <w:name w:val="Case study heading Char"/>
    <w:basedOn w:val="DefaultParagraphFont"/>
    <w:link w:val="Casestudyheading"/>
    <w:rsid w:val="00DD0AEA"/>
    <w:rPr>
      <w:rFonts w:ascii="Calibri" w:eastAsiaTheme="minorEastAsia" w:hAnsi="Calibri"/>
      <w:b/>
      <w:sz w:val="24"/>
      <w:lang w:val="en-AU"/>
    </w:rPr>
  </w:style>
  <w:style w:type="paragraph" w:customStyle="1" w:styleId="Casestudy">
    <w:name w:val="Case study"/>
    <w:basedOn w:val="Casestudyheading"/>
    <w:link w:val="CasestudyChar"/>
    <w:qFormat/>
    <w:rsid w:val="00DD0AEA"/>
    <w:pPr>
      <w:keepNext w:val="0"/>
    </w:pPr>
    <w:rPr>
      <w:b w:val="0"/>
    </w:rPr>
  </w:style>
  <w:style w:type="character" w:customStyle="1" w:styleId="CasestudyChar">
    <w:name w:val="Case study Char"/>
    <w:basedOn w:val="CasestudyheadingChar"/>
    <w:link w:val="Casestudy"/>
    <w:rsid w:val="00DD0AEA"/>
    <w:rPr>
      <w:rFonts w:ascii="Calibri" w:eastAsiaTheme="minorEastAsia" w:hAnsi="Calibri"/>
      <w:b w:val="0"/>
      <w:sz w:val="24"/>
      <w:lang w:val="en-AU"/>
    </w:rPr>
  </w:style>
  <w:style w:type="paragraph" w:customStyle="1" w:styleId="Casestudyquote">
    <w:name w:val="Case study quote"/>
    <w:basedOn w:val="Casestudy"/>
    <w:link w:val="CasestudyquoteChar"/>
    <w:qFormat/>
    <w:rsid w:val="00DD0AEA"/>
    <w:pPr>
      <w:ind w:left="1418" w:right="1418"/>
    </w:pPr>
  </w:style>
  <w:style w:type="character" w:customStyle="1" w:styleId="CasestudyquoteChar">
    <w:name w:val="Case study quote Char"/>
    <w:basedOn w:val="CasestudyChar"/>
    <w:link w:val="Casestudyquote"/>
    <w:rsid w:val="00DD0AEA"/>
    <w:rPr>
      <w:rFonts w:ascii="Calibri" w:eastAsiaTheme="minorEastAsia" w:hAnsi="Calibri"/>
      <w:b w:val="0"/>
      <w:sz w:val="24"/>
      <w:lang w:val="en-AU"/>
    </w:rPr>
  </w:style>
  <w:style w:type="numbering" w:customStyle="1" w:styleId="Recommendations">
    <w:name w:val="Recommendations"/>
    <w:uiPriority w:val="99"/>
    <w:rsid w:val="00DD0AEA"/>
    <w:pPr>
      <w:numPr>
        <w:numId w:val="6"/>
      </w:numPr>
    </w:pPr>
  </w:style>
  <w:style w:type="character" w:customStyle="1" w:styleId="FootnoteReference1">
    <w:name w:val="Footnote Reference1"/>
    <w:basedOn w:val="DefaultParagraphFont"/>
    <w:rsid w:val="00DD0AEA"/>
    <w:rPr>
      <w:vertAlign w:val="superscript"/>
    </w:rPr>
  </w:style>
  <w:style w:type="character" w:customStyle="1" w:styleId="FootnoteCharacters">
    <w:name w:val="Footnote Characters"/>
    <w:rsid w:val="00DD0AEA"/>
  </w:style>
  <w:style w:type="paragraph" w:customStyle="1" w:styleId="FootnoteText1">
    <w:name w:val="Footnote Text1"/>
    <w:rsid w:val="00DD0AEA"/>
    <w:pPr>
      <w:suppressAutoHyphens/>
      <w:spacing w:after="120" w:line="240" w:lineRule="auto"/>
    </w:pPr>
    <w:rPr>
      <w:rFonts w:ascii="Calibri" w:eastAsia="Arial Unicode MS" w:hAnsi="Calibri" w:cs="Arial Unicode MS"/>
      <w:kern w:val="1"/>
      <w:sz w:val="18"/>
      <w:szCs w:val="20"/>
      <w:lang w:val="en-IE" w:eastAsia="hi-IN" w:bidi="hi-IN"/>
    </w:rPr>
  </w:style>
  <w:style w:type="paragraph" w:customStyle="1" w:styleId="Caption1">
    <w:name w:val="Caption1"/>
    <w:basedOn w:val="Normal"/>
    <w:rsid w:val="00DD0AEA"/>
    <w:pPr>
      <w:suppressAutoHyphens/>
      <w:spacing w:before="28" w:after="28" w:line="240" w:lineRule="auto"/>
      <w:jc w:val="both"/>
    </w:pPr>
    <w:rPr>
      <w:rFonts w:ascii="Calibri" w:eastAsia="Arial Unicode MS" w:hAnsi="Calibri" w:cs="Calibri"/>
      <w:b/>
      <w:bCs/>
      <w:color w:val="4F81BD"/>
      <w:kern w:val="1"/>
      <w:sz w:val="18"/>
      <w:szCs w:val="18"/>
      <w:lang w:val="en-IE" w:eastAsia="hi-IN" w:bidi="hi-IN"/>
    </w:rPr>
  </w:style>
  <w:style w:type="paragraph" w:styleId="TOC4">
    <w:name w:val="toc 4"/>
    <w:basedOn w:val="Normal"/>
    <w:next w:val="Normal"/>
    <w:autoRedefine/>
    <w:uiPriority w:val="39"/>
    <w:unhideWhenUsed/>
    <w:rsid w:val="00DD0AEA"/>
    <w:pPr>
      <w:spacing w:after="100"/>
      <w:ind w:left="660"/>
    </w:pPr>
    <w:rPr>
      <w:rFonts w:eastAsiaTheme="minorEastAsia"/>
      <w:lang w:val="en-AU" w:eastAsia="en-AU"/>
    </w:rPr>
  </w:style>
  <w:style w:type="paragraph" w:styleId="TOC5">
    <w:name w:val="toc 5"/>
    <w:basedOn w:val="Normal"/>
    <w:next w:val="Normal"/>
    <w:autoRedefine/>
    <w:uiPriority w:val="39"/>
    <w:unhideWhenUsed/>
    <w:rsid w:val="00DD0AEA"/>
    <w:pPr>
      <w:spacing w:after="100"/>
      <w:ind w:left="880"/>
    </w:pPr>
    <w:rPr>
      <w:rFonts w:eastAsiaTheme="minorEastAsia"/>
      <w:lang w:val="en-AU" w:eastAsia="en-AU"/>
    </w:rPr>
  </w:style>
  <w:style w:type="paragraph" w:styleId="TOC6">
    <w:name w:val="toc 6"/>
    <w:basedOn w:val="Normal"/>
    <w:next w:val="Normal"/>
    <w:autoRedefine/>
    <w:uiPriority w:val="39"/>
    <w:unhideWhenUsed/>
    <w:rsid w:val="00DD0AEA"/>
    <w:pPr>
      <w:spacing w:after="100"/>
      <w:ind w:left="1100"/>
    </w:pPr>
    <w:rPr>
      <w:rFonts w:eastAsiaTheme="minorEastAsia"/>
      <w:lang w:val="en-AU" w:eastAsia="en-AU"/>
    </w:rPr>
  </w:style>
  <w:style w:type="paragraph" w:styleId="TOC7">
    <w:name w:val="toc 7"/>
    <w:basedOn w:val="Normal"/>
    <w:next w:val="Normal"/>
    <w:autoRedefine/>
    <w:uiPriority w:val="39"/>
    <w:unhideWhenUsed/>
    <w:rsid w:val="00DD0AEA"/>
    <w:pPr>
      <w:spacing w:after="100"/>
      <w:ind w:left="1320"/>
    </w:pPr>
    <w:rPr>
      <w:rFonts w:eastAsiaTheme="minorEastAsia"/>
      <w:lang w:val="en-AU" w:eastAsia="en-AU"/>
    </w:rPr>
  </w:style>
  <w:style w:type="paragraph" w:styleId="TOC8">
    <w:name w:val="toc 8"/>
    <w:basedOn w:val="Normal"/>
    <w:next w:val="Normal"/>
    <w:autoRedefine/>
    <w:uiPriority w:val="39"/>
    <w:unhideWhenUsed/>
    <w:rsid w:val="00DD0AEA"/>
    <w:pPr>
      <w:spacing w:after="100"/>
      <w:ind w:left="1540"/>
    </w:pPr>
    <w:rPr>
      <w:rFonts w:eastAsiaTheme="minorEastAsia"/>
      <w:lang w:val="en-AU" w:eastAsia="en-AU"/>
    </w:rPr>
  </w:style>
  <w:style w:type="paragraph" w:styleId="TOC9">
    <w:name w:val="toc 9"/>
    <w:basedOn w:val="Normal"/>
    <w:next w:val="Normal"/>
    <w:autoRedefine/>
    <w:uiPriority w:val="39"/>
    <w:unhideWhenUsed/>
    <w:rsid w:val="00DD0AEA"/>
    <w:pPr>
      <w:spacing w:after="100"/>
      <w:ind w:left="1760"/>
    </w:pPr>
    <w:rPr>
      <w:rFonts w:eastAsiaTheme="minorEastAsia"/>
      <w:lang w:val="en-AU" w:eastAsia="en-AU"/>
    </w:rPr>
  </w:style>
  <w:style w:type="paragraph" w:styleId="Bibliography">
    <w:name w:val="Bibliography"/>
    <w:basedOn w:val="Normal"/>
    <w:next w:val="Normal"/>
    <w:uiPriority w:val="37"/>
    <w:unhideWhenUsed/>
    <w:rsid w:val="00DD0AEA"/>
    <w:pPr>
      <w:spacing w:before="100" w:beforeAutospacing="1" w:after="240" w:afterAutospacing="1" w:line="240" w:lineRule="auto"/>
      <w:ind w:left="720" w:hanging="720"/>
      <w:jc w:val="both"/>
    </w:pPr>
    <w:rPr>
      <w:rFonts w:ascii="Calibri" w:eastAsiaTheme="minorEastAsia" w:hAnsi="Calibri"/>
      <w:sz w:val="24"/>
      <w:lang w:val="en-AU" w:eastAsia="en-AU"/>
    </w:rPr>
  </w:style>
  <w:style w:type="paragraph" w:styleId="Revision">
    <w:name w:val="Revision"/>
    <w:hidden/>
    <w:uiPriority w:val="99"/>
    <w:semiHidden/>
    <w:rsid w:val="00DD0AEA"/>
    <w:pPr>
      <w:spacing w:after="0" w:line="240" w:lineRule="auto"/>
    </w:pPr>
    <w:rPr>
      <w:rFonts w:ascii="Calibri" w:eastAsiaTheme="minorEastAsia" w:hAnsi="Calibri"/>
      <w:sz w:val="24"/>
      <w:lang w:val="en-AU" w:eastAsia="en-AU"/>
    </w:rPr>
  </w:style>
  <w:style w:type="table" w:styleId="LightShading-Accent3">
    <w:name w:val="Light Shading Accent 3"/>
    <w:basedOn w:val="TableNormal"/>
    <w:uiPriority w:val="60"/>
    <w:rsid w:val="00DD0AEA"/>
    <w:pPr>
      <w:spacing w:after="0" w:line="240" w:lineRule="auto"/>
    </w:pPr>
    <w:rPr>
      <w:color w:val="76923C" w:themeColor="accent3" w:themeShade="BF"/>
      <w:lang w:val="en-AU"/>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Accent3">
    <w:name w:val="Light List Accent 3"/>
    <w:basedOn w:val="TableNormal"/>
    <w:uiPriority w:val="61"/>
    <w:rsid w:val="00DD0AEA"/>
    <w:pPr>
      <w:spacing w:after="0" w:line="240" w:lineRule="auto"/>
    </w:pPr>
    <w:rPr>
      <w:lang w:val="en-AU"/>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Shading1-Accent3">
    <w:name w:val="Medium Shading 1 Accent 3"/>
    <w:basedOn w:val="TableNormal"/>
    <w:uiPriority w:val="63"/>
    <w:rsid w:val="00DD0AEA"/>
    <w:pPr>
      <w:spacing w:after="0" w:line="240" w:lineRule="auto"/>
    </w:pPr>
    <w:rPr>
      <w:lang w:val="en-AU"/>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80413">
      <w:bodyDiv w:val="1"/>
      <w:marLeft w:val="0"/>
      <w:marRight w:val="0"/>
      <w:marTop w:val="0"/>
      <w:marBottom w:val="0"/>
      <w:divBdr>
        <w:top w:val="none" w:sz="0" w:space="0" w:color="auto"/>
        <w:left w:val="none" w:sz="0" w:space="0" w:color="auto"/>
        <w:bottom w:val="none" w:sz="0" w:space="0" w:color="auto"/>
        <w:right w:val="none" w:sz="0" w:space="0" w:color="auto"/>
      </w:divBdr>
      <w:divsChild>
        <w:div w:id="940798207">
          <w:marLeft w:val="0"/>
          <w:marRight w:val="0"/>
          <w:marTop w:val="0"/>
          <w:marBottom w:val="0"/>
          <w:divBdr>
            <w:top w:val="none" w:sz="0" w:space="0" w:color="auto"/>
            <w:left w:val="none" w:sz="0" w:space="0" w:color="auto"/>
            <w:bottom w:val="none" w:sz="0" w:space="0" w:color="auto"/>
            <w:right w:val="none" w:sz="0" w:space="0" w:color="auto"/>
          </w:divBdr>
          <w:divsChild>
            <w:div w:id="1076048821">
              <w:marLeft w:val="0"/>
              <w:marRight w:val="0"/>
              <w:marTop w:val="0"/>
              <w:marBottom w:val="0"/>
              <w:divBdr>
                <w:top w:val="none" w:sz="0" w:space="0" w:color="auto"/>
                <w:left w:val="none" w:sz="0" w:space="0" w:color="auto"/>
                <w:bottom w:val="none" w:sz="0" w:space="0" w:color="auto"/>
                <w:right w:val="none" w:sz="0" w:space="0" w:color="auto"/>
              </w:divBdr>
              <w:divsChild>
                <w:div w:id="71658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960654">
      <w:bodyDiv w:val="1"/>
      <w:marLeft w:val="0"/>
      <w:marRight w:val="0"/>
      <w:marTop w:val="0"/>
      <w:marBottom w:val="0"/>
      <w:divBdr>
        <w:top w:val="none" w:sz="0" w:space="0" w:color="auto"/>
        <w:left w:val="none" w:sz="0" w:space="0" w:color="auto"/>
        <w:bottom w:val="none" w:sz="0" w:space="0" w:color="auto"/>
        <w:right w:val="none" w:sz="0" w:space="0" w:color="auto"/>
      </w:divBdr>
      <w:divsChild>
        <w:div w:id="1379431745">
          <w:marLeft w:val="0"/>
          <w:marRight w:val="0"/>
          <w:marTop w:val="0"/>
          <w:marBottom w:val="0"/>
          <w:divBdr>
            <w:top w:val="none" w:sz="0" w:space="0" w:color="auto"/>
            <w:left w:val="none" w:sz="0" w:space="0" w:color="auto"/>
            <w:bottom w:val="none" w:sz="0" w:space="0" w:color="auto"/>
            <w:right w:val="none" w:sz="0" w:space="0" w:color="auto"/>
          </w:divBdr>
          <w:divsChild>
            <w:div w:id="2054114418">
              <w:marLeft w:val="0"/>
              <w:marRight w:val="0"/>
              <w:marTop w:val="0"/>
              <w:marBottom w:val="0"/>
              <w:divBdr>
                <w:top w:val="none" w:sz="0" w:space="0" w:color="auto"/>
                <w:left w:val="none" w:sz="0" w:space="0" w:color="auto"/>
                <w:bottom w:val="none" w:sz="0" w:space="0" w:color="auto"/>
                <w:right w:val="none" w:sz="0" w:space="0" w:color="auto"/>
              </w:divBdr>
              <w:divsChild>
                <w:div w:id="75347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customXml" Target="../customXml/item5.xml"/><Relationship Id="rId4" Type="http://schemas.microsoft.com/office/2007/relationships/stylesWithEffects" Target="stylesWithEffects.xml"/><Relationship Id="rId9" Type="http://schemas.openxmlformats.org/officeDocument/2006/relationships/hyperlink" Target="mailto:info@accan.org.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AFF7E1A29DE64F981B4EA50562BA75" ma:contentTypeVersion="14258" ma:contentTypeDescription="" ma:contentTypeScope="" ma:versionID="be6ff70404880fcef315cf05a6fd465c">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16f59817d12c356334f63fdd4cbf933c"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KeywordTaxHTField" ma:index="19" nillable="true" ma:taxonomy="true" ma:internalName="TaxKeywordTaxHTField" ma:taxonomyFieldName="TaxKeyword" ma:displayName="Enterprise Keywords"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0f563589-9cf9-4143-b1eb-fb0534803d38">2018MG-133-34942</_dlc_DocId>
    <TaxCatchAll xmlns="0f563589-9cf9-4143-b1eb-fb0534803d38">
      <Value>2</Value>
    </TaxCatchAll>
    <_dlc_DocIdUrl xmlns="0f563589-9cf9-4143-b1eb-fb0534803d38">
      <Url>http://tweb/sites/mg/sbccpd/_layouts/15/DocIdRedir.aspx?ID=2018MG-133-34942</Url>
      <Description>2018MG-133-34942</Description>
    </_dlc_DocIdUrl>
    <IconOverlay xmlns="http://schemas.microsoft.com/sharepoint/v4" xsi:nil="true"/>
    <TaxKeywordTaxHTField xmlns="0f563589-9cf9-4143-b1eb-fb0534803d38">
      <Terms xmlns="http://schemas.microsoft.com/office/infopath/2007/PartnerControls"/>
    </TaxKeywordTaxHTField>
  </documentManagement>
</p:properties>
</file>

<file path=customXml/itemProps1.xml><?xml version="1.0" encoding="utf-8"?>
<ds:datastoreItem xmlns:ds="http://schemas.openxmlformats.org/officeDocument/2006/customXml" ds:itemID="{F63B9D27-196E-450B-BA22-BB17D73C54FB}">
  <ds:schemaRefs>
    <ds:schemaRef ds:uri="http://schemas.openxmlformats.org/officeDocument/2006/bibliography"/>
  </ds:schemaRefs>
</ds:datastoreItem>
</file>

<file path=customXml/itemProps2.xml><?xml version="1.0" encoding="utf-8"?>
<ds:datastoreItem xmlns:ds="http://schemas.openxmlformats.org/officeDocument/2006/customXml" ds:itemID="{22963C14-2A42-4D8D-9F7F-21E8122F9EFB}"/>
</file>

<file path=customXml/itemProps3.xml><?xml version="1.0" encoding="utf-8"?>
<ds:datastoreItem xmlns:ds="http://schemas.openxmlformats.org/officeDocument/2006/customXml" ds:itemID="{126336DC-0E46-45DE-BB02-7C2521CAF38E}"/>
</file>

<file path=customXml/itemProps4.xml><?xml version="1.0" encoding="utf-8"?>
<ds:datastoreItem xmlns:ds="http://schemas.openxmlformats.org/officeDocument/2006/customXml" ds:itemID="{E0F17F1C-B99D-4FC5-A4EC-FCFE1D45874B}"/>
</file>

<file path=customXml/itemProps5.xml><?xml version="1.0" encoding="utf-8"?>
<ds:datastoreItem xmlns:ds="http://schemas.openxmlformats.org/officeDocument/2006/customXml" ds:itemID="{ECA1A3F1-3F46-4F84-8248-FD1589AA9000}"/>
</file>

<file path=customXml/itemProps6.xml><?xml version="1.0" encoding="utf-8"?>
<ds:datastoreItem xmlns:ds="http://schemas.openxmlformats.org/officeDocument/2006/customXml" ds:itemID="{DC6932ED-0198-406F-A123-E58B75D9063F}"/>
</file>

<file path=docProps/app.xml><?xml version="1.0" encoding="utf-8"?>
<Properties xmlns="http://schemas.openxmlformats.org/officeDocument/2006/extended-properties" xmlns:vt="http://schemas.openxmlformats.org/officeDocument/2006/docPropsVTypes">
  <Template>Normal</Template>
  <TotalTime>2</TotalTime>
  <Pages>35</Pages>
  <Words>10498</Words>
  <Characters>59840</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Gareth Downing</dc:creator>
  <cp:lastModifiedBy>Gareth Downing</cp:lastModifiedBy>
  <cp:revision>3</cp:revision>
  <cp:lastPrinted>2018-09-07T04:29:00Z</cp:lastPrinted>
  <dcterms:created xsi:type="dcterms:W3CDTF">2018-09-11T00:01:00Z</dcterms:created>
  <dcterms:modified xsi:type="dcterms:W3CDTF">2018-09-11T00:02:00Z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zotero-version="5.0.55"&gt;&lt;session id="Fv89KS0j"/&gt;&lt;style id="http://www.zotero.org/styles/harvard-university-of-technology-sydney" hasBibliography="1" bibliographyStyleHasBeenSet="1"/&gt;&lt;prefs&gt;&lt;pref name="fieldType" value="Field"/&gt;&lt;pref</vt:lpwstr>
  </property>
  <property fmtid="{D5CDD505-2E9C-101B-9397-08002B2CF9AE}" pid="3" name="ZOTERO_PREF_2">
    <vt:lpwstr> name="automaticJournalAbbreviations" value="true"/&gt;&lt;pref name="delayCitationUpdates" value="true"/&gt;&lt;pref name="dontAskDelayCitationUpdates" value="true"/&gt;&lt;/prefs&gt;&lt;/data&gt;</vt:lpwstr>
  </property>
  <property fmtid="{D5CDD505-2E9C-101B-9397-08002B2CF9AE}" pid="4" name="ContentTypeId">
    <vt:lpwstr>0x010100E95D40E5DFEA714B90E88DB5CE07A6B500DDAFF7E1A29DE64F981B4EA50562BA75</vt:lpwstr>
  </property>
  <property fmtid="{D5CDD505-2E9C-101B-9397-08002B2CF9AE}" pid="5" name="TSYRecordClass">
    <vt:lpwstr>2;#TSY RA-9081 - Retain as national archives|bbf0bcde-1687-4ff2-bc57-f31b5d545d4b</vt:lpwstr>
  </property>
  <property fmtid="{D5CDD505-2E9C-101B-9397-08002B2CF9AE}" pid="6" name="_dlc_DocIdItemGuid">
    <vt:lpwstr>8a49ac53-885d-4508-a456-f8952f9e1e6e</vt:lpwstr>
  </property>
  <property fmtid="{D5CDD505-2E9C-101B-9397-08002B2CF9AE}" pid="7" name="TaxKeyword">
    <vt:lpwstr/>
  </property>
  <property fmtid="{D5CDD505-2E9C-101B-9397-08002B2CF9AE}" pid="8" name="RecordPoint_WorkflowType">
    <vt:lpwstr>ActiveSubmitStub</vt:lpwstr>
  </property>
  <property fmtid="{D5CDD505-2E9C-101B-9397-08002B2CF9AE}" pid="9" name="RecordPoint_ActiveItemListId">
    <vt:lpwstr>{020b99f8-d659-456c-88bf-b1c791ab809a}</vt:lpwstr>
  </property>
  <property fmtid="{D5CDD505-2E9C-101B-9397-08002B2CF9AE}" pid="10" name="RecordPoint_ActiveItemUniqueId">
    <vt:lpwstr>{8a49ac53-885d-4508-a456-f8952f9e1e6e}</vt:lpwstr>
  </property>
  <property fmtid="{D5CDD505-2E9C-101B-9397-08002B2CF9AE}" pid="11" name="RecordPoint_ActiveItemWebId">
    <vt:lpwstr>{682871c2-4073-4158-957a-6d924b9ba0a6}</vt:lpwstr>
  </property>
  <property fmtid="{D5CDD505-2E9C-101B-9397-08002B2CF9AE}" pid="12" name="RecordPoint_ActiveItemSiteId">
    <vt:lpwstr>{08cedf7d-7ad2-4b81-a81f-47e3ec332c41}</vt:lpwstr>
  </property>
  <property fmtid="{D5CDD505-2E9C-101B-9397-08002B2CF9AE}" pid="13" name="RecordPoint_RecordNumberSubmitted">
    <vt:lpwstr>R0001869377</vt:lpwstr>
  </property>
  <property fmtid="{D5CDD505-2E9C-101B-9397-08002B2CF9AE}" pid="14" name="RecordPoint_SubmissionCompleted">
    <vt:lpwstr>2018-09-11T10:39:54.3772991+10:00</vt:lpwstr>
  </property>
  <property fmtid="{D5CDD505-2E9C-101B-9397-08002B2CF9AE}" pid="15" name="_AdHocReviewCycleID">
    <vt:i4>-941715472</vt:i4>
  </property>
  <property fmtid="{D5CDD505-2E9C-101B-9397-08002B2CF9AE}" pid="16" name="_NewReviewCycle">
    <vt:lpwstr/>
  </property>
  <property fmtid="{D5CDD505-2E9C-101B-9397-08002B2CF9AE}" pid="17" name="_EmailSubject">
    <vt:lpwstr>#S79744 has been logged with the Publishing &amp; Design Team. [SEC=UNCLASSIFIED]</vt:lpwstr>
  </property>
  <property fmtid="{D5CDD505-2E9C-101B-9397-08002B2CF9AE}" pid="18" name="_AuthorEmail">
    <vt:lpwstr>Kathryn.Wardell@TREASURY.GOV.AU</vt:lpwstr>
  </property>
  <property fmtid="{D5CDD505-2E9C-101B-9397-08002B2CF9AE}" pid="19" name="_AuthorEmailDisplayName">
    <vt:lpwstr>Wardell, Kathryn</vt:lpwstr>
  </property>
</Properties>
</file>