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E0B74" w:rsidRPr="006D0240" w:rsidRDefault="000E0B74" w:rsidP="008E6292">
      <w:bookmarkStart w:id="0" w:name="_GoBack"/>
      <w:bookmarkEnd w:id="0"/>
    </w:p>
    <w:p w:rsidR="000E0B74" w:rsidRPr="006D0240" w:rsidRDefault="000E0B74" w:rsidP="00794499">
      <w:pPr>
        <w:pStyle w:val="Crest"/>
        <w:spacing w:after="3000"/>
        <w:jc w:val="right"/>
      </w:pPr>
    </w:p>
    <w:p w:rsidR="00636373" w:rsidRDefault="00636373" w:rsidP="000E0B74">
      <w:pPr>
        <w:pStyle w:val="Title"/>
      </w:pPr>
      <w:r>
        <w:t xml:space="preserve">Review of the </w:t>
      </w:r>
    </w:p>
    <w:p w:rsidR="000E0B74" w:rsidRPr="00A524B9" w:rsidRDefault="00636373" w:rsidP="000E0B74">
      <w:pPr>
        <w:pStyle w:val="Title"/>
      </w:pPr>
      <w:r>
        <w:t>Tax Practitioners Board</w:t>
      </w:r>
    </w:p>
    <w:p w:rsidR="000E0B74" w:rsidRPr="00D45AF8" w:rsidRDefault="00636373" w:rsidP="00D45AF8">
      <w:pPr>
        <w:pStyle w:val="Subtitle"/>
      </w:pPr>
      <w:r>
        <w:t>Background to the review</w:t>
      </w:r>
    </w:p>
    <w:p w:rsidR="00056880" w:rsidRDefault="00636373" w:rsidP="000E0B74">
      <w:pPr>
        <w:pStyle w:val="ReportDate"/>
        <w:ind w:right="0"/>
        <w:rPr>
          <w:rFonts w:ascii="Rockwell" w:hAnsi="Rockwell"/>
          <w:sz w:val="24"/>
        </w:rPr>
      </w:pPr>
      <w:r>
        <w:rPr>
          <w:rStyle w:val="ReportDateChar"/>
        </w:rPr>
        <w:t>March 2019</w:t>
      </w:r>
    </w:p>
    <w:p w:rsidR="002F617F" w:rsidRPr="005D561D" w:rsidRDefault="002F617F" w:rsidP="00A16E03">
      <w:pPr>
        <w:pStyle w:val="Divider"/>
        <w:spacing w:after="3000"/>
      </w:pPr>
    </w:p>
    <w:p w:rsidR="002F617F" w:rsidRDefault="002F617F"/>
    <w:p w:rsidR="000E0B74" w:rsidRDefault="000E0B74" w:rsidP="000E0B74">
      <w:pPr>
        <w:rPr>
          <w:rFonts w:cs="Calibri"/>
          <w:sz w:val="20"/>
        </w:rPr>
      </w:pPr>
    </w:p>
    <w:p w:rsidR="000E0B74" w:rsidRDefault="000E0B74" w:rsidP="000E0B74">
      <w:pPr>
        <w:sectPr w:rsidR="000E0B74" w:rsidSect="00E1136B">
          <w:headerReference w:type="even" r:id="rId14"/>
          <w:headerReference w:type="default" r:id="rId15"/>
          <w:footerReference w:type="even" r:id="rId16"/>
          <w:footerReference w:type="default" r:id="rId17"/>
          <w:headerReference w:type="first" r:id="rId18"/>
          <w:footerReference w:type="first" r:id="rId19"/>
          <w:pgSz w:w="11906" w:h="16838"/>
          <w:pgMar w:top="1418" w:right="1418" w:bottom="1418" w:left="1418" w:header="709" w:footer="709" w:gutter="0"/>
          <w:pgNumType w:fmt="lowerRoman" w:start="1"/>
          <w:cols w:space="720"/>
        </w:sectPr>
      </w:pPr>
    </w:p>
    <w:p w:rsidR="000E0B74" w:rsidRPr="00636373" w:rsidRDefault="000E0B74" w:rsidP="000E0B74">
      <w:pPr>
        <w:spacing w:before="240"/>
      </w:pPr>
      <w:r w:rsidRPr="00661BF0">
        <w:lastRenderedPageBreak/>
        <w:t xml:space="preserve">© </w:t>
      </w:r>
      <w:r w:rsidRPr="00636373">
        <w:t>Commonwealth of Australia 201</w:t>
      </w:r>
      <w:r w:rsidR="00636373" w:rsidRPr="00636373">
        <w:t>9.</w:t>
      </w:r>
    </w:p>
    <w:p w:rsidR="000E0B74" w:rsidRPr="00636373" w:rsidRDefault="000E0B74" w:rsidP="000E0B74">
      <w:pPr>
        <w:tabs>
          <w:tab w:val="left" w:pos="1650"/>
        </w:tabs>
        <w:spacing w:before="240"/>
        <w:rPr>
          <w:rFonts w:cstheme="minorBidi"/>
          <w:sz w:val="24"/>
          <w:szCs w:val="24"/>
        </w:rPr>
      </w:pPr>
      <w:r w:rsidRPr="00636373">
        <w:t>This publication is available for your use under a</w:t>
      </w:r>
      <w:r w:rsidRPr="00636373">
        <w:rPr>
          <w:rFonts w:cstheme="minorHAnsi"/>
          <w:sz w:val="24"/>
          <w:szCs w:val="24"/>
        </w:rPr>
        <w:t xml:space="preserve"> </w:t>
      </w:r>
      <w:hyperlink r:id="rId20" w:history="1">
        <w:r w:rsidRPr="00636373">
          <w:rPr>
            <w:rStyle w:val="Hyperlink"/>
            <w:color w:val="auto"/>
          </w:rPr>
          <w:t>Creative Commons Attribution 3.0 Australia</w:t>
        </w:r>
      </w:hyperlink>
      <w:r w:rsidRPr="00636373">
        <w:rPr>
          <w:rFonts w:cstheme="minorHAnsi"/>
          <w:sz w:val="24"/>
          <w:szCs w:val="24"/>
        </w:rPr>
        <w:t xml:space="preserve"> </w:t>
      </w:r>
      <w:r w:rsidRPr="00636373">
        <w:t xml:space="preserve">licence, with the exception of the Commonwealth Coat of Arms, the Treasury logo, photographs, images, signatures </w:t>
      </w:r>
      <w:r w:rsidR="00636373" w:rsidRPr="00636373">
        <w:t>and where otherwise stated</w:t>
      </w:r>
      <w:r w:rsidRPr="00636373">
        <w:t>. The full licence terms are available from</w:t>
      </w:r>
      <w:r w:rsidRPr="00636373">
        <w:rPr>
          <w:rFonts w:cstheme="minorHAnsi"/>
          <w:sz w:val="24"/>
          <w:szCs w:val="24"/>
        </w:rPr>
        <w:t xml:space="preserve"> </w:t>
      </w:r>
      <w:hyperlink r:id="rId21" w:history="1">
        <w:r w:rsidRPr="00636373">
          <w:rPr>
            <w:rStyle w:val="Hyperlink"/>
            <w:color w:val="auto"/>
          </w:rPr>
          <w:t>http://creativecommons.org/licenses/by/3.0/au/legalcode</w:t>
        </w:r>
      </w:hyperlink>
      <w:r w:rsidRPr="00636373">
        <w:rPr>
          <w:rStyle w:val="Hyperlink"/>
          <w:color w:val="auto"/>
        </w:rPr>
        <w:t>.</w:t>
      </w:r>
      <w:r w:rsidRPr="00636373">
        <w:rPr>
          <w:sz w:val="24"/>
          <w:szCs w:val="24"/>
        </w:rPr>
        <w:t xml:space="preserve"> </w:t>
      </w:r>
    </w:p>
    <w:p w:rsidR="000E0B74" w:rsidRDefault="000E0B74" w:rsidP="000E0B74">
      <w:pPr>
        <w:pStyle w:val="ChartGraphic"/>
        <w:jc w:val="left"/>
      </w:pPr>
      <w:r w:rsidRPr="00E56DFB">
        <w:rPr>
          <w:noProof/>
        </w:rPr>
        <w:drawing>
          <wp:inline distT="0" distB="0" distL="0" distR="0" wp14:anchorId="10605617" wp14:editId="5AD36661">
            <wp:extent cx="809625" cy="285750"/>
            <wp:effectExtent l="0" t="0" r="9525" b="0"/>
            <wp:docPr id="3" name="Picture 1" descr="Creative Commons attribution licence 3.0 icon. " title="Creative Commons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rsidR="000E0B74" w:rsidRPr="00636373" w:rsidRDefault="000E0B74" w:rsidP="000E0B74">
      <w:pPr>
        <w:tabs>
          <w:tab w:val="left" w:pos="1650"/>
        </w:tabs>
        <w:spacing w:before="240"/>
      </w:pPr>
      <w:r w:rsidRPr="00636373">
        <w:t>Use of Treasury material under a</w:t>
      </w:r>
      <w:r w:rsidRPr="00636373">
        <w:rPr>
          <w:rFonts w:cstheme="minorHAnsi"/>
          <w:sz w:val="24"/>
          <w:szCs w:val="24"/>
        </w:rPr>
        <w:t xml:space="preserve"> </w:t>
      </w:r>
      <w:hyperlink r:id="rId23" w:history="1">
        <w:r w:rsidRPr="00636373">
          <w:rPr>
            <w:rStyle w:val="Hyperlink"/>
            <w:color w:val="auto"/>
          </w:rPr>
          <w:t>Creative Commons Attribution 3.0 Australia</w:t>
        </w:r>
      </w:hyperlink>
      <w:r w:rsidRPr="00636373">
        <w:rPr>
          <w:rStyle w:val="Hyperlink"/>
          <w:color w:val="auto"/>
        </w:rPr>
        <w:t xml:space="preserve"> </w:t>
      </w:r>
      <w:r w:rsidRPr="00636373">
        <w:t>licence requires you to attribute the work (but not in any way that suggests that the Treasury endorses you or your use of the work).</w:t>
      </w:r>
    </w:p>
    <w:p w:rsidR="000E0B74" w:rsidRPr="00636373" w:rsidRDefault="000E0B74" w:rsidP="000E0B74">
      <w:pPr>
        <w:ind w:left="709"/>
        <w:rPr>
          <w:i/>
        </w:rPr>
      </w:pPr>
      <w:r w:rsidRPr="00636373">
        <w:rPr>
          <w:i/>
        </w:rPr>
        <w:t>Treasury material used ‘as supplied’.</w:t>
      </w:r>
    </w:p>
    <w:p w:rsidR="000E0B74" w:rsidRPr="00636373" w:rsidRDefault="000E0B74" w:rsidP="000E0B74">
      <w:pPr>
        <w:spacing w:before="240"/>
      </w:pPr>
      <w:r w:rsidRPr="00636373">
        <w:t xml:space="preserve">Provided you have not modified or transformed Treasury material in any way including, for example, by changing the Treasury text; calculating percentage changes; graphing or charting data; or deriving new statistics from published Treasury statistics — then Treasury prefers the following attribution: </w:t>
      </w:r>
    </w:p>
    <w:p w:rsidR="000E0B74" w:rsidRPr="00636373" w:rsidRDefault="000E0B74" w:rsidP="000E0B74">
      <w:pPr>
        <w:ind w:firstLine="720"/>
      </w:pPr>
      <w:r w:rsidRPr="00636373">
        <w:rPr>
          <w:i/>
        </w:rPr>
        <w:t xml:space="preserve">Source: The </w:t>
      </w:r>
      <w:r w:rsidRPr="00636373">
        <w:rPr>
          <w:i/>
          <w:iCs/>
        </w:rPr>
        <w:t>Australian G</w:t>
      </w:r>
      <w:r w:rsidR="00636373" w:rsidRPr="00636373">
        <w:rPr>
          <w:i/>
          <w:iCs/>
        </w:rPr>
        <w:t>overnment the Treasury</w:t>
      </w:r>
      <w:r w:rsidRPr="00636373">
        <w:t>.</w:t>
      </w:r>
    </w:p>
    <w:p w:rsidR="000E0B74" w:rsidRPr="00636373" w:rsidRDefault="000E0B74" w:rsidP="000E0B74">
      <w:pPr>
        <w:spacing w:before="240"/>
      </w:pPr>
      <w:r w:rsidRPr="00636373">
        <w:rPr>
          <w:b/>
        </w:rPr>
        <w:t>Derivative</w:t>
      </w:r>
      <w:r w:rsidRPr="00636373">
        <w:t xml:space="preserve"> </w:t>
      </w:r>
      <w:r w:rsidRPr="00636373">
        <w:rPr>
          <w:b/>
        </w:rPr>
        <w:t>material</w:t>
      </w:r>
    </w:p>
    <w:p w:rsidR="000E0B74" w:rsidRPr="00636373" w:rsidRDefault="000E0B74" w:rsidP="000E0B74">
      <w:r w:rsidRPr="00636373">
        <w:t xml:space="preserve">If you have modified or transformed Treasury material, or derived new material from those of the Treasury in any way, then Treasury prefers the following attribution: </w:t>
      </w:r>
    </w:p>
    <w:p w:rsidR="000E0B74" w:rsidRPr="00636373" w:rsidRDefault="000E0B74" w:rsidP="000E0B74">
      <w:pPr>
        <w:ind w:firstLine="720"/>
      </w:pPr>
      <w:r w:rsidRPr="00636373">
        <w:rPr>
          <w:i/>
        </w:rPr>
        <w:t>Based on The Australian Government the Treasury data</w:t>
      </w:r>
      <w:r w:rsidRPr="00636373">
        <w:t>.</w:t>
      </w:r>
    </w:p>
    <w:p w:rsidR="000E0B74" w:rsidRPr="00636373" w:rsidRDefault="000E0B74" w:rsidP="000E0B74">
      <w:pPr>
        <w:spacing w:before="240"/>
        <w:rPr>
          <w:b/>
        </w:rPr>
      </w:pPr>
      <w:r w:rsidRPr="00636373">
        <w:rPr>
          <w:b/>
        </w:rPr>
        <w:t>Use of the Coat of Arms</w:t>
      </w:r>
    </w:p>
    <w:p w:rsidR="000E0B74" w:rsidRPr="00636373" w:rsidRDefault="004A7BC2" w:rsidP="000E0B74">
      <w:r w:rsidRPr="00636373">
        <w:t xml:space="preserve">The terms under which the Coat of Arms can be used are set out on the Department of the Prime Minister and Cabinet website (see </w:t>
      </w:r>
      <w:hyperlink r:id="rId24" w:history="1">
        <w:r w:rsidRPr="00636373">
          <w:rPr>
            <w:rStyle w:val="Hyperlink"/>
            <w:color w:val="auto"/>
          </w:rPr>
          <w:t>www.pmc.gov.au/government/commonwealth-coat-arm</w:t>
        </w:r>
      </w:hyperlink>
      <w:r w:rsidRPr="00636373">
        <w:t>s).</w:t>
      </w:r>
    </w:p>
    <w:p w:rsidR="000E0B74" w:rsidRPr="00636373" w:rsidRDefault="000E0B74" w:rsidP="000E0B74">
      <w:pPr>
        <w:spacing w:before="240"/>
        <w:rPr>
          <w:b/>
        </w:rPr>
      </w:pPr>
      <w:r w:rsidRPr="00636373">
        <w:rPr>
          <w:b/>
        </w:rPr>
        <w:t>Other uses</w:t>
      </w:r>
    </w:p>
    <w:p w:rsidR="000E0B74" w:rsidRPr="00636373" w:rsidRDefault="000E0B74" w:rsidP="000E0B74">
      <w:r w:rsidRPr="00636373">
        <w:t>Enquiries regarding this licence and any other use of this document are welcome at:</w:t>
      </w:r>
    </w:p>
    <w:p w:rsidR="000E0B74" w:rsidRPr="00636373" w:rsidRDefault="000E0B74" w:rsidP="000E0B74">
      <w:pPr>
        <w:ind w:left="720"/>
        <w:rPr>
          <w:rStyle w:val="Hyperlink"/>
          <w:color w:val="auto"/>
        </w:rPr>
      </w:pPr>
      <w:r w:rsidRPr="00636373">
        <w:t>Manager</w:t>
      </w:r>
      <w:r w:rsidR="009A668A" w:rsidRPr="00636373">
        <w:br/>
      </w:r>
      <w:r w:rsidRPr="00636373">
        <w:t>Media and Speeches Unit</w:t>
      </w:r>
      <w:r w:rsidRPr="00636373">
        <w:br/>
        <w:t>The Treasury</w:t>
      </w:r>
      <w:r w:rsidRPr="00636373">
        <w:br/>
        <w:t xml:space="preserve">Langton Crescent </w:t>
      </w:r>
      <w:r w:rsidRPr="00636373">
        <w:br/>
        <w:t>Parkes  ACT  2600</w:t>
      </w:r>
      <w:r w:rsidRPr="00636373">
        <w:br/>
        <w:t xml:space="preserve">Email: </w:t>
      </w:r>
      <w:hyperlink r:id="rId25" w:history="1">
        <w:r w:rsidRPr="00636373">
          <w:rPr>
            <w:rStyle w:val="Hyperlink"/>
            <w:color w:val="auto"/>
          </w:rPr>
          <w:t>medialiaison@treasury.gov.au</w:t>
        </w:r>
      </w:hyperlink>
    </w:p>
    <w:p w:rsidR="000E0B74" w:rsidRDefault="000E0B74" w:rsidP="000E0B74">
      <w:pPr>
        <w:pStyle w:val="SingleParagraph"/>
        <w:sectPr w:rsidR="000E0B74" w:rsidSect="00475B7B">
          <w:headerReference w:type="even" r:id="rId26"/>
          <w:headerReference w:type="default" r:id="rId27"/>
          <w:footerReference w:type="even" r:id="rId28"/>
          <w:pgSz w:w="11906" w:h="16838" w:code="9"/>
          <w:pgMar w:top="1418" w:right="1418" w:bottom="1418" w:left="1418" w:header="709" w:footer="709" w:gutter="0"/>
          <w:pgNumType w:fmt="lowerRoman"/>
          <w:cols w:space="708"/>
          <w:titlePg/>
          <w:docGrid w:linePitch="360"/>
        </w:sectPr>
      </w:pPr>
    </w:p>
    <w:p w:rsidR="000E0B74" w:rsidRDefault="00636373" w:rsidP="000E0B74">
      <w:pPr>
        <w:pStyle w:val="Heading1"/>
      </w:pPr>
      <w:r>
        <w:lastRenderedPageBreak/>
        <w:t>Background to the review of the Tax Practitioners Board</w:t>
      </w:r>
    </w:p>
    <w:p w:rsidR="000E0B74" w:rsidRDefault="00636373" w:rsidP="000E0B74">
      <w:pPr>
        <w:pStyle w:val="Heading2"/>
      </w:pPr>
      <w:r>
        <w:t>Previous regime</w:t>
      </w:r>
    </w:p>
    <w:p w:rsidR="00636373" w:rsidRDefault="00636373" w:rsidP="00636373">
      <w:pPr>
        <w:pStyle w:val="Bullet"/>
        <w:numPr>
          <w:ilvl w:val="0"/>
          <w:numId w:val="15"/>
        </w:numPr>
        <w:spacing w:before="120"/>
      </w:pPr>
      <w:r>
        <w:t xml:space="preserve">The previous regime for regulating tax agents was contained in the tax legislation and was originally introduced in 1943. During that time the tax environment changed and there were a much larger proportion of taxpayers using tax agents to lodge their returns and help them comply with their obligations (see </w:t>
      </w:r>
      <w:r>
        <w:rPr>
          <w:u w:val="single"/>
        </w:rPr>
        <w:t>Appendix</w:t>
      </w:r>
      <w:r>
        <w:t>).  A large part of this was moving to a self-assessment regime in the 1980s.</w:t>
      </w:r>
    </w:p>
    <w:p w:rsidR="00636373" w:rsidRDefault="00636373" w:rsidP="00636373">
      <w:pPr>
        <w:pStyle w:val="Bullet"/>
        <w:numPr>
          <w:ilvl w:val="0"/>
          <w:numId w:val="15"/>
        </w:numPr>
        <w:spacing w:after="200" w:line="276" w:lineRule="auto"/>
      </w:pPr>
      <w:r w:rsidRPr="00075E68">
        <w:t>With the introduction of self-assessment in 1986 it was recognised that the way the tax profession was being regulated needed to be reviewed.</w:t>
      </w:r>
    </w:p>
    <w:p w:rsidR="00636373" w:rsidRPr="003E6693" w:rsidRDefault="00636373" w:rsidP="00636373">
      <w:pPr>
        <w:pStyle w:val="Bullet"/>
        <w:numPr>
          <w:ilvl w:val="0"/>
          <w:numId w:val="15"/>
        </w:numPr>
        <w:spacing w:before="120"/>
      </w:pPr>
      <w:r w:rsidRPr="003E6693">
        <w:t>The regime which existed post self-assessment, included:</w:t>
      </w:r>
    </w:p>
    <w:p w:rsidR="00636373" w:rsidRPr="003E6693" w:rsidRDefault="00636373" w:rsidP="00636373">
      <w:pPr>
        <w:pStyle w:val="Dash"/>
        <w:numPr>
          <w:ilvl w:val="1"/>
          <w:numId w:val="15"/>
        </w:numPr>
        <w:spacing w:before="120"/>
      </w:pPr>
      <w:r w:rsidRPr="003E6693">
        <w:t>a registration process for tax agents, but not Business Activity Statement (BAS) agents;</w:t>
      </w:r>
    </w:p>
    <w:p w:rsidR="00636373" w:rsidRPr="003E6693" w:rsidRDefault="00636373" w:rsidP="00636373">
      <w:pPr>
        <w:pStyle w:val="Dash"/>
        <w:numPr>
          <w:ilvl w:val="1"/>
          <w:numId w:val="15"/>
        </w:numPr>
        <w:spacing w:before="120"/>
      </w:pPr>
      <w:r w:rsidRPr="003E6693">
        <w:t>provisions which provided that only tax agents were entitled to supply certain tax agent services for a fee;</w:t>
      </w:r>
    </w:p>
    <w:p w:rsidR="00636373" w:rsidRPr="003E6693" w:rsidRDefault="00636373" w:rsidP="00636373">
      <w:pPr>
        <w:pStyle w:val="Dash"/>
        <w:numPr>
          <w:ilvl w:val="1"/>
          <w:numId w:val="15"/>
        </w:numPr>
        <w:spacing w:before="120"/>
      </w:pPr>
      <w:r w:rsidRPr="003E6693">
        <w:t>separate state Tax Agents’ Boards responsible for registration of tax agents; and</w:t>
      </w:r>
    </w:p>
    <w:p w:rsidR="00636373" w:rsidRDefault="00636373" w:rsidP="00636373">
      <w:pPr>
        <w:pStyle w:val="Dash"/>
        <w:numPr>
          <w:ilvl w:val="1"/>
          <w:numId w:val="15"/>
        </w:numPr>
        <w:spacing w:before="120"/>
      </w:pPr>
      <w:r w:rsidRPr="003E6693">
        <w:t>administrative penalties for taxpayers making a false or misleading statement resulting in a shortfall amount, or for late lodgment, irrespective of whether they engaged a tax agent to prepare and/or lodge the document.</w:t>
      </w:r>
    </w:p>
    <w:p w:rsidR="00636373" w:rsidRDefault="00636373" w:rsidP="00636373">
      <w:pPr>
        <w:pStyle w:val="Bullet"/>
        <w:numPr>
          <w:ilvl w:val="0"/>
          <w:numId w:val="15"/>
        </w:numPr>
        <w:spacing w:before="120"/>
      </w:pPr>
      <w:r>
        <w:t>The legislative regime introduced in 2009 was intended to ensure that tax agent and BAS services provided to the public were of an appropriate ethical and professional standard. It sought to do so by:</w:t>
      </w:r>
    </w:p>
    <w:p w:rsidR="00636373" w:rsidRDefault="00636373" w:rsidP="00636373">
      <w:pPr>
        <w:pStyle w:val="Dash"/>
        <w:numPr>
          <w:ilvl w:val="1"/>
          <w:numId w:val="15"/>
        </w:numPr>
        <w:spacing w:before="120"/>
      </w:pPr>
      <w:r>
        <w:t xml:space="preserve">requiring tax and BAS agents to be registered and to comply with a nationally consistent </w:t>
      </w:r>
      <w:r w:rsidRPr="003E6693">
        <w:t>and enforceable</w:t>
      </w:r>
      <w:r>
        <w:t xml:space="preserve"> professional code of conduct; </w:t>
      </w:r>
    </w:p>
    <w:p w:rsidR="00636373" w:rsidRDefault="00636373" w:rsidP="00636373">
      <w:pPr>
        <w:pStyle w:val="Dash"/>
        <w:numPr>
          <w:ilvl w:val="1"/>
          <w:numId w:val="15"/>
        </w:numPr>
        <w:spacing w:before="120"/>
      </w:pPr>
      <w:r>
        <w:t>creating appropriate sanctions for misconduct by tax practitioners and safe harbours for taxpayers; and</w:t>
      </w:r>
    </w:p>
    <w:p w:rsidR="00636373" w:rsidRPr="00075E68" w:rsidRDefault="00636373" w:rsidP="00636373">
      <w:pPr>
        <w:pStyle w:val="Dash"/>
        <w:numPr>
          <w:ilvl w:val="1"/>
          <w:numId w:val="15"/>
        </w:numPr>
        <w:spacing w:before="120"/>
      </w:pPr>
      <w:r>
        <w:t>establishing an independent national board to register tax and BAS agents and to monitor and enforce compliance with those standards.</w:t>
      </w:r>
    </w:p>
    <w:p w:rsidR="000E0B74" w:rsidRPr="00636373" w:rsidRDefault="00636373" w:rsidP="000E0B74">
      <w:pPr>
        <w:pStyle w:val="Heading2"/>
        <w:rPr>
          <w:i/>
        </w:rPr>
      </w:pPr>
      <w:bookmarkStart w:id="1" w:name="_Toc306887372"/>
      <w:bookmarkStart w:id="2" w:name="_Toc432064636"/>
      <w:bookmarkStart w:id="3" w:name="_Toc476214106"/>
      <w:r>
        <w:t>K</w:t>
      </w:r>
      <w:bookmarkEnd w:id="1"/>
      <w:bookmarkEnd w:id="2"/>
      <w:bookmarkEnd w:id="3"/>
      <w:r>
        <w:t xml:space="preserve">ey elements of the </w:t>
      </w:r>
      <w:r>
        <w:rPr>
          <w:i/>
        </w:rPr>
        <w:t>Tax Agent Services Act 2009</w:t>
      </w:r>
    </w:p>
    <w:p w:rsidR="00636373" w:rsidRPr="004D411F" w:rsidRDefault="00636373" w:rsidP="00636373">
      <w:r>
        <w:t>The key elements identified when the current regime was implemented in 2009 were:</w:t>
      </w:r>
    </w:p>
    <w:p w:rsidR="00636373" w:rsidRPr="00547800" w:rsidRDefault="00636373" w:rsidP="00636373">
      <w:pPr>
        <w:rPr>
          <w:b/>
        </w:rPr>
      </w:pPr>
      <w:r>
        <w:rPr>
          <w:b/>
        </w:rPr>
        <w:t>The establishment of a national Tax Practitioners Board (TPB)</w:t>
      </w:r>
    </w:p>
    <w:p w:rsidR="00636373" w:rsidRDefault="00636373" w:rsidP="00636373">
      <w:pPr>
        <w:pStyle w:val="Bullet"/>
        <w:numPr>
          <w:ilvl w:val="0"/>
          <w:numId w:val="15"/>
        </w:numPr>
        <w:spacing w:before="120"/>
      </w:pPr>
      <w:r>
        <w:t>The TPB was created to have responsibility for registering tax and BAS agents, ensuring that agents maintain appropriate skills and knowledge, investigating complaints against agents and ensuring that unregistered entities do not hold themselves out to be agents.</w:t>
      </w:r>
    </w:p>
    <w:p w:rsidR="00636373" w:rsidRPr="00547800" w:rsidRDefault="00636373" w:rsidP="00636373">
      <w:pPr>
        <w:pStyle w:val="Bullet"/>
        <w:numPr>
          <w:ilvl w:val="0"/>
          <w:numId w:val="0"/>
        </w:numPr>
        <w:spacing w:before="120"/>
        <w:rPr>
          <w:b/>
        </w:rPr>
      </w:pPr>
      <w:r>
        <w:rPr>
          <w:b/>
        </w:rPr>
        <w:t>A wide scope of application</w:t>
      </w:r>
    </w:p>
    <w:p w:rsidR="00636373" w:rsidRDefault="00636373" w:rsidP="00636373">
      <w:pPr>
        <w:pStyle w:val="Bullet"/>
        <w:numPr>
          <w:ilvl w:val="0"/>
          <w:numId w:val="15"/>
        </w:numPr>
        <w:spacing w:before="120"/>
      </w:pPr>
      <w:r>
        <w:t>BAS agents were to be governed the same way as tax agents, but would only be able to provide a limited range of services relating to BAS.</w:t>
      </w:r>
    </w:p>
    <w:p w:rsidR="00636373" w:rsidRPr="00D733F1" w:rsidRDefault="00636373" w:rsidP="00636373">
      <w:pPr>
        <w:pStyle w:val="Bullet"/>
        <w:numPr>
          <w:ilvl w:val="0"/>
          <w:numId w:val="0"/>
        </w:numPr>
        <w:spacing w:before="120"/>
        <w:rPr>
          <w:b/>
        </w:rPr>
      </w:pPr>
      <w:r>
        <w:rPr>
          <w:b/>
        </w:rPr>
        <w:lastRenderedPageBreak/>
        <w:t>Registration requirements</w:t>
      </w:r>
    </w:p>
    <w:p w:rsidR="00636373" w:rsidRDefault="00636373" w:rsidP="00636373">
      <w:pPr>
        <w:pStyle w:val="Bullet"/>
        <w:numPr>
          <w:ilvl w:val="0"/>
          <w:numId w:val="15"/>
        </w:numPr>
        <w:spacing w:before="120"/>
      </w:pPr>
      <w:r>
        <w:t>Meeting the fit and proper person test, as well as minimum educational qualifications and relevant experience requirements, were required in order to obtain registration. These requirements were less demanding for BAS agents, in recognition of the narrower scope of services they provide.</w:t>
      </w:r>
    </w:p>
    <w:p w:rsidR="00636373" w:rsidRDefault="00636373" w:rsidP="00636373">
      <w:pPr>
        <w:pStyle w:val="Bullet"/>
        <w:numPr>
          <w:ilvl w:val="0"/>
          <w:numId w:val="15"/>
        </w:numPr>
        <w:spacing w:before="120"/>
      </w:pPr>
      <w:r>
        <w:t>To allow for the registration of ‘specialist’ tax and BAS agents, the TPB was empowered to impose conditions on registration limiting the scope of services agents could provide.</w:t>
      </w:r>
    </w:p>
    <w:p w:rsidR="00636373" w:rsidRPr="00D733F1" w:rsidRDefault="00636373" w:rsidP="00636373">
      <w:pPr>
        <w:pStyle w:val="Bullet"/>
        <w:numPr>
          <w:ilvl w:val="0"/>
          <w:numId w:val="0"/>
        </w:numPr>
        <w:spacing w:before="120"/>
        <w:rPr>
          <w:b/>
        </w:rPr>
      </w:pPr>
      <w:r>
        <w:rPr>
          <w:b/>
        </w:rPr>
        <w:t>The introduction of a Code of Professional Conduct</w:t>
      </w:r>
    </w:p>
    <w:p w:rsidR="00636373" w:rsidRDefault="00636373" w:rsidP="00636373">
      <w:pPr>
        <w:pStyle w:val="Bullet"/>
        <w:numPr>
          <w:ilvl w:val="0"/>
          <w:numId w:val="15"/>
        </w:numPr>
        <w:spacing w:before="120"/>
      </w:pPr>
      <w:r>
        <w:t>The Code of Professional Conduct (Code) was introduced to govern the ethical and professional standards of tax and BAS agents.</w:t>
      </w:r>
    </w:p>
    <w:p w:rsidR="00636373" w:rsidRPr="00075E68" w:rsidRDefault="00636373" w:rsidP="00636373">
      <w:pPr>
        <w:pStyle w:val="Bullet"/>
        <w:numPr>
          <w:ilvl w:val="0"/>
          <w:numId w:val="15"/>
        </w:numPr>
        <w:spacing w:after="200" w:line="276" w:lineRule="auto"/>
        <w:rPr>
          <w:b/>
        </w:rPr>
      </w:pPr>
      <w:r>
        <w:t xml:space="preserve">The code came out of the 1994 Report of the National Review of Standards for the Tax Profession, </w:t>
      </w:r>
      <w:r w:rsidRPr="00075E68">
        <w:rPr>
          <w:i/>
        </w:rPr>
        <w:t>Tax Services for the Public</w:t>
      </w:r>
      <w:r>
        <w:t>, which recommended that any code should be legislated to enable a board to impose sanctions for breaches and thereby to enforce compliance.</w:t>
      </w:r>
    </w:p>
    <w:p w:rsidR="00636373" w:rsidRPr="003254A9" w:rsidRDefault="00636373" w:rsidP="00636373">
      <w:pPr>
        <w:pStyle w:val="Bullet"/>
        <w:numPr>
          <w:ilvl w:val="0"/>
          <w:numId w:val="0"/>
        </w:numPr>
        <w:spacing w:before="120"/>
      </w:pPr>
      <w:r>
        <w:rPr>
          <w:b/>
        </w:rPr>
        <w:t>A range of sanctions for breaches of the Code of Professional Conduct</w:t>
      </w:r>
    </w:p>
    <w:p w:rsidR="00636373" w:rsidRDefault="00636373" w:rsidP="00636373">
      <w:pPr>
        <w:pStyle w:val="Bullet"/>
        <w:numPr>
          <w:ilvl w:val="0"/>
          <w:numId w:val="15"/>
        </w:numPr>
        <w:spacing w:before="120"/>
      </w:pPr>
      <w:r>
        <w:t xml:space="preserve">The TPB was given a range of sanction powers where a tax or BAS agent was found to breach the Code. </w:t>
      </w:r>
    </w:p>
    <w:p w:rsidR="00636373" w:rsidRDefault="00636373" w:rsidP="00636373">
      <w:pPr>
        <w:pStyle w:val="Bullet"/>
        <w:numPr>
          <w:ilvl w:val="0"/>
          <w:numId w:val="15"/>
        </w:numPr>
        <w:spacing w:after="200" w:line="276" w:lineRule="auto"/>
      </w:pPr>
      <w:r>
        <w:t>The TPB may caution the agent, require the agent to complete training, subject the agent to practising restrictions, require the agent to practise under supervision, or suspend or terminate the agent’s registration. The TPB may also apply to the Federal Court for an order to pay a pecuniary penalty for certain serious misconduct.</w:t>
      </w:r>
    </w:p>
    <w:p w:rsidR="00636373" w:rsidRPr="004D411F" w:rsidRDefault="00636373" w:rsidP="00636373">
      <w:pPr>
        <w:pStyle w:val="Bullet"/>
        <w:numPr>
          <w:ilvl w:val="0"/>
          <w:numId w:val="0"/>
        </w:numPr>
        <w:spacing w:before="120"/>
        <w:rPr>
          <w:b/>
        </w:rPr>
      </w:pPr>
      <w:r>
        <w:rPr>
          <w:b/>
        </w:rPr>
        <w:t>Safe harbour from penalties</w:t>
      </w:r>
    </w:p>
    <w:p w:rsidR="00636373" w:rsidRDefault="00636373" w:rsidP="00636373">
      <w:pPr>
        <w:pStyle w:val="Bullet"/>
        <w:numPr>
          <w:ilvl w:val="0"/>
          <w:numId w:val="15"/>
        </w:numPr>
        <w:spacing w:before="120"/>
      </w:pPr>
      <w:r>
        <w:t>A taxpayer who used a tax or BAS agent would benefit from a safe harbour from certain administrative penalties in certain circumstances. Penalties would no longer apply:</w:t>
      </w:r>
    </w:p>
    <w:p w:rsidR="00636373" w:rsidRDefault="00636373" w:rsidP="00636373">
      <w:pPr>
        <w:pStyle w:val="Dash"/>
        <w:numPr>
          <w:ilvl w:val="1"/>
          <w:numId w:val="15"/>
        </w:numPr>
        <w:spacing w:before="120"/>
      </w:pPr>
      <w:r>
        <w:t>where a false or misleading statement is made carelessly, provided the taxpayer has taken reasonable care to comply with the tax obligations by giving their tax or BAS agent the information necessary to make the statement; and</w:t>
      </w:r>
    </w:p>
    <w:p w:rsidR="00636373" w:rsidRDefault="00636373" w:rsidP="00636373">
      <w:pPr>
        <w:pStyle w:val="Dash"/>
        <w:numPr>
          <w:ilvl w:val="1"/>
          <w:numId w:val="15"/>
        </w:numPr>
        <w:spacing w:before="120"/>
      </w:pPr>
      <w:r>
        <w:t>where a document is not lodged on time in the approved form due to the tax or BAS agent’s carelessness, provided the taxpayer gave the agent the necessary information, in sufficient time, to lodge the document on time and in the approved form.</w:t>
      </w:r>
    </w:p>
    <w:p w:rsidR="00636373" w:rsidRPr="003B19B8" w:rsidRDefault="00636373" w:rsidP="00636373">
      <w:pPr>
        <w:pStyle w:val="Bullet"/>
        <w:numPr>
          <w:ilvl w:val="0"/>
          <w:numId w:val="0"/>
        </w:numPr>
        <w:spacing w:before="120"/>
        <w:ind w:left="520" w:hanging="520"/>
        <w:rPr>
          <w:b/>
        </w:rPr>
      </w:pPr>
      <w:r>
        <w:rPr>
          <w:b/>
        </w:rPr>
        <w:t>Tax (Financial) Advisers (TFAs)</w:t>
      </w:r>
    </w:p>
    <w:p w:rsidR="00636373" w:rsidRDefault="00636373" w:rsidP="00636373">
      <w:pPr>
        <w:pStyle w:val="Bullet"/>
        <w:numPr>
          <w:ilvl w:val="0"/>
          <w:numId w:val="15"/>
        </w:numPr>
        <w:spacing w:before="120"/>
      </w:pPr>
      <w:r>
        <w:t>Up until 30 June 2014, financial services licensees and their authorised representatives did not need to register with the TPB if they provided tax advice in the course of providing financial product advice, unless they provided a broader range of tax or BAS agent services.</w:t>
      </w:r>
    </w:p>
    <w:p w:rsidR="00636373" w:rsidRDefault="00636373" w:rsidP="00636373">
      <w:pPr>
        <w:pStyle w:val="Bullet"/>
        <w:numPr>
          <w:ilvl w:val="0"/>
          <w:numId w:val="15"/>
        </w:numPr>
        <w:spacing w:before="120"/>
      </w:pPr>
      <w:r>
        <w:t>From 1 July 2014, entities that give tax advice in the course of giving advice that is usually provided by financial services licensees need to be registered with the TPB and comply with the various regulatory requirements.</w:t>
      </w:r>
    </w:p>
    <w:p w:rsidR="00636373" w:rsidRDefault="00636373" w:rsidP="00636373">
      <w:pPr>
        <w:pStyle w:val="Bullet"/>
        <w:numPr>
          <w:ilvl w:val="0"/>
          <w:numId w:val="15"/>
        </w:numPr>
        <w:spacing w:before="120"/>
      </w:pPr>
      <w:r>
        <w:t>This was to ensure the consistent regulation of all forms of tax advice, irrespective of whether it is provided by a tax agent, a BAS agent or an entity in the financial services industry. It also sought to minimise compliance costs by avoiding regulatory overlap between the TPB and ASIC, achieved in part by removing legislative impediments to the TPB and ASIC sharing information.</w:t>
      </w:r>
    </w:p>
    <w:p w:rsidR="00636373" w:rsidRDefault="007E255A" w:rsidP="000E0B74">
      <w:pPr>
        <w:pStyle w:val="Heading2"/>
      </w:pPr>
      <w:bookmarkStart w:id="4" w:name="_Toc306887373"/>
      <w:bookmarkStart w:id="5" w:name="_Toc432064637"/>
      <w:bookmarkStart w:id="6" w:name="_Toc476214107"/>
      <w:r>
        <w:t>Purpose of the 2009</w:t>
      </w:r>
      <w:r w:rsidR="00636373">
        <w:t xml:space="preserve"> regime</w:t>
      </w:r>
    </w:p>
    <w:p w:rsidR="007E255A" w:rsidRDefault="007E255A" w:rsidP="00636373">
      <w:pPr>
        <w:pStyle w:val="Bullet"/>
        <w:numPr>
          <w:ilvl w:val="0"/>
          <w:numId w:val="15"/>
        </w:numPr>
        <w:spacing w:before="120"/>
      </w:pPr>
      <w:r>
        <w:t>A national TPB was to:</w:t>
      </w:r>
    </w:p>
    <w:p w:rsidR="00636373" w:rsidRDefault="00636373" w:rsidP="007E255A">
      <w:pPr>
        <w:pStyle w:val="Bullet"/>
        <w:numPr>
          <w:ilvl w:val="1"/>
          <w:numId w:val="15"/>
        </w:numPr>
        <w:spacing w:before="120"/>
      </w:pPr>
      <w:r>
        <w:t>provide a nationally consistent regulation that could allocate and</w:t>
      </w:r>
      <w:r w:rsidR="007E255A">
        <w:t xml:space="preserve"> use resources more efficiently;</w:t>
      </w:r>
    </w:p>
    <w:p w:rsidR="00636373" w:rsidRDefault="00636373" w:rsidP="007E255A">
      <w:pPr>
        <w:pStyle w:val="Bullet"/>
        <w:numPr>
          <w:ilvl w:val="1"/>
          <w:numId w:val="15"/>
        </w:numPr>
        <w:spacing w:before="120"/>
      </w:pPr>
      <w:r>
        <w:t>provide certainty to agents of what is expected of them through registration, broader regulation and the introduction of the Code. This was also to improve taxpayer confidence</w:t>
      </w:r>
      <w:r w:rsidR="007E255A">
        <w:t>;</w:t>
      </w:r>
    </w:p>
    <w:p w:rsidR="00636373" w:rsidRDefault="00636373" w:rsidP="007E255A">
      <w:pPr>
        <w:pStyle w:val="Bullet"/>
        <w:numPr>
          <w:ilvl w:val="1"/>
          <w:numId w:val="15"/>
        </w:numPr>
        <w:spacing w:before="120"/>
      </w:pPr>
      <w:r>
        <w:t>introduce a wider range of more constructive and administrative sanctio</w:t>
      </w:r>
      <w:r w:rsidR="007E255A">
        <w:t>ns to improve agent performance; and</w:t>
      </w:r>
    </w:p>
    <w:p w:rsidR="00636373" w:rsidRDefault="00636373" w:rsidP="007E255A">
      <w:pPr>
        <w:pStyle w:val="Bullet"/>
        <w:numPr>
          <w:ilvl w:val="1"/>
          <w:numId w:val="15"/>
        </w:numPr>
        <w:spacing w:before="120"/>
      </w:pPr>
      <w:r>
        <w:t>provide appropriate consequences and disincentives for misconduct by replacing criminal penalties with civil penalties.</w:t>
      </w:r>
    </w:p>
    <w:bookmarkEnd w:id="4"/>
    <w:bookmarkEnd w:id="5"/>
    <w:bookmarkEnd w:id="6"/>
    <w:p w:rsidR="000E0B74" w:rsidRDefault="00636373" w:rsidP="000E0B74">
      <w:pPr>
        <w:pStyle w:val="Heading2"/>
      </w:pPr>
      <w:r>
        <w:t>Why is there a TPB review?</w:t>
      </w:r>
    </w:p>
    <w:p w:rsidR="00636373" w:rsidRDefault="00636373" w:rsidP="00636373">
      <w:pPr>
        <w:pStyle w:val="Bullet"/>
        <w:numPr>
          <w:ilvl w:val="0"/>
          <w:numId w:val="15"/>
        </w:numPr>
        <w:spacing w:before="120"/>
      </w:pPr>
      <w:r>
        <w:t>As part of its establishment phase, it was considered efficient for the TPB to sit within the ATO, due to the administrative obligations that would otherwise apply to it as a separate agency.  However, it was intended for there to be a post-implementation review to assess whether this arrangement remains appropriate and satisfactory.</w:t>
      </w:r>
    </w:p>
    <w:p w:rsidR="007E255A" w:rsidRDefault="00636373" w:rsidP="007E255A">
      <w:pPr>
        <w:pStyle w:val="Bullet"/>
        <w:numPr>
          <w:ilvl w:val="0"/>
          <w:numId w:val="15"/>
        </w:numPr>
        <w:spacing w:before="120"/>
      </w:pPr>
      <w:r>
        <w:t>The role of tax practitioners and new entrants into the profession is evolving. Technological advancements have both changed the landscape for tax practitioners and created new opportunities to assist taxpayers comply with their tax obligations. Given the tax system has changed considerably since the Act was introduced, there is a need to reconsider the current regulatory framework of the tax profession and the current structure of the TPB.</w:t>
      </w:r>
    </w:p>
    <w:p w:rsidR="007E255A" w:rsidRDefault="007E255A" w:rsidP="007E255A">
      <w:pPr>
        <w:pStyle w:val="Bullet"/>
        <w:numPr>
          <w:ilvl w:val="0"/>
          <w:numId w:val="15"/>
        </w:numPr>
        <w:spacing w:before="120"/>
      </w:pPr>
      <w:r>
        <w:t xml:space="preserve">The review will </w:t>
      </w:r>
      <w:r w:rsidRPr="007E255A">
        <w:t>provide an opportunity to evaluate current and future suitability and effectiveness of the legislative and governance framework, the regulation of the sector and to identify possible improvements</w:t>
      </w:r>
      <w:r>
        <w:t>.</w:t>
      </w:r>
    </w:p>
    <w:p w:rsidR="007E255A" w:rsidRDefault="007E255A" w:rsidP="007E255A">
      <w:pPr>
        <w:pStyle w:val="Bullet"/>
        <w:numPr>
          <w:ilvl w:val="0"/>
          <w:numId w:val="0"/>
        </w:numPr>
        <w:spacing w:before="120"/>
        <w:ind w:left="284" w:hanging="284"/>
      </w:pPr>
    </w:p>
    <w:p w:rsidR="007E255A" w:rsidRDefault="007E255A" w:rsidP="007E255A">
      <w:pPr>
        <w:pStyle w:val="Bullet"/>
        <w:numPr>
          <w:ilvl w:val="0"/>
          <w:numId w:val="0"/>
        </w:numPr>
        <w:spacing w:before="120"/>
        <w:ind w:left="284" w:hanging="284"/>
        <w:sectPr w:rsidR="007E255A" w:rsidSect="00E1136B">
          <w:headerReference w:type="even" r:id="rId29"/>
          <w:headerReference w:type="default" r:id="rId30"/>
          <w:footerReference w:type="even" r:id="rId31"/>
          <w:footerReference w:type="default" r:id="rId32"/>
          <w:headerReference w:type="first" r:id="rId33"/>
          <w:footerReference w:type="first" r:id="rId34"/>
          <w:pgSz w:w="11906" w:h="16838" w:code="9"/>
          <w:pgMar w:top="1418" w:right="1418" w:bottom="1418" w:left="1418" w:header="709" w:footer="709" w:gutter="0"/>
          <w:pgNumType w:start="1"/>
          <w:cols w:space="708"/>
          <w:docGrid w:linePitch="360"/>
        </w:sectPr>
      </w:pPr>
    </w:p>
    <w:p w:rsidR="00636373" w:rsidRPr="00636373" w:rsidRDefault="00636373" w:rsidP="00636373">
      <w:pPr>
        <w:pStyle w:val="Heading2"/>
        <w:spacing w:before="0"/>
      </w:pPr>
      <w:r>
        <w:t>Appendix</w:t>
      </w:r>
      <w:r w:rsidRPr="006363D5">
        <w:rPr>
          <w:noProof/>
        </w:rPr>
        <w:drawing>
          <wp:inline distT="0" distB="0" distL="0" distR="0" wp14:anchorId="4C2C9F70" wp14:editId="66ED611B">
            <wp:extent cx="8315325" cy="5400675"/>
            <wp:effectExtent l="0" t="0" r="9525" b="9525"/>
            <wp:docPr id="4" name="Picture 3">
              <a:extLst xmlns:a="http://schemas.openxmlformats.org/drawingml/2006/main">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46A3DC63-B493-425C-AB3F-76126A3E73C3}"/>
                </a:ext>
              </a:extLst>
            </wp:docPr>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lc="http://schemas.openxmlformats.org/drawingml/2006/lockedCanvas" xmlns="" xmlns:a16="http://schemas.microsoft.com/office/drawing/2014/main" xmlns:p="http://schemas.openxmlformats.org/presentationml/2006/main" xmlns:w="http://schemas.openxmlformats.org/wordprocessingml/2006/main" xmlns:w10="urn:schemas-microsoft-com:office:word" xmlns:v="urn:schemas-microsoft-com:vml" xmlns:o="urn:schemas-microsoft-com:office:office" id="{46A3DC63-B493-425C-AB3F-76126A3E73C3}"/>
                        </a:ext>
                      </a:extLst>
                    </pic:cNvPr>
                    <pic:cNvPicPr/>
                  </pic:nvPicPr>
                  <pic:blipFill>
                    <a:blip r:embed="rId35"/>
                    <a:stretch>
                      <a:fillRect/>
                    </a:stretch>
                  </pic:blipFill>
                  <pic:spPr>
                    <a:xfrm>
                      <a:off x="0" y="0"/>
                      <a:ext cx="8319484" cy="5403376"/>
                    </a:xfrm>
                    <a:prstGeom prst="rect">
                      <a:avLst/>
                    </a:prstGeom>
                  </pic:spPr>
                </pic:pic>
              </a:graphicData>
            </a:graphic>
          </wp:inline>
        </w:drawing>
      </w:r>
    </w:p>
    <w:sectPr w:rsidR="00636373" w:rsidRPr="00636373" w:rsidSect="00636373">
      <w:pgSz w:w="16838" w:h="11906" w:orient="landscape" w:code="9"/>
      <w:pgMar w:top="1418"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36373" w:rsidRDefault="00636373">
      <w:pPr>
        <w:spacing w:before="0" w:after="0"/>
      </w:pPr>
      <w:r>
        <w:separator/>
      </w:r>
    </w:p>
  </w:endnote>
  <w:endnote w:type="continuationSeparator" w:id="0">
    <w:p w:rsidR="00636373" w:rsidRDefault="0063637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Bold">
    <w:panose1 w:val="020B0704020202020204"/>
    <w:charset w:val="00"/>
    <w:family w:val="roman"/>
    <w:notTrueType/>
    <w:pitch w:val="default"/>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Rockwell">
    <w:panose1 w:val="02060603020205020403"/>
    <w:charset w:val="00"/>
    <w:family w:val="roman"/>
    <w:pitch w:val="variable"/>
    <w:sig w:usb0="00000007" w:usb1="00000000" w:usb2="00000000" w:usb3="00000000" w:csb0="00000003"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9C" w:rsidRDefault="00DD359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136B" w:rsidRPr="00E1136B" w:rsidRDefault="00475B7B" w:rsidP="00E1136B">
    <w:pPr>
      <w:pStyle w:val="Footer"/>
    </w:pPr>
    <w:r>
      <w:rPr>
        <w:noProof/>
      </w:rPr>
      <w:drawing>
        <wp:anchor distT="0" distB="0" distL="114300" distR="114300" simplePos="0" relativeHeight="251661312" behindDoc="1" locked="0" layoutInCell="1" allowOverlap="1" wp14:anchorId="05F50FD8" wp14:editId="256D8CE4">
          <wp:simplePos x="0" y="0"/>
          <wp:positionH relativeFrom="page">
            <wp:align>center</wp:align>
          </wp:positionH>
          <wp:positionV relativeFrom="page">
            <wp:posOffset>4860925</wp:posOffset>
          </wp:positionV>
          <wp:extent cx="7199640" cy="5675760"/>
          <wp:effectExtent l="0" t="0" r="1270" b="127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background.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5675760"/>
                  </a:xfrm>
                  <a:prstGeom prst="rect">
                    <a:avLst/>
                  </a:prstGeom>
                </pic:spPr>
              </pic:pic>
            </a:graphicData>
          </a:graphic>
          <wp14:sizeRelH relativeFrom="margin">
            <wp14:pctWidth>0</wp14:pctWidth>
          </wp14:sizeRelH>
          <wp14:sizeRelV relativeFrom="margin">
            <wp14:pctHeight>0</wp14:pctHeight>
          </wp14:sizeRelV>
        </wp:anchor>
      </w:drawing>
    </w:r>
    <w:r w:rsidR="00E1136B">
      <w:fldChar w:fldCharType="begin"/>
    </w:r>
    <w:r w:rsidR="00E1136B">
      <w:instrText xml:space="preserve"> PAGE   \* MERGEFORMAT </w:instrText>
    </w:r>
    <w:r w:rsidR="00E1136B">
      <w:fldChar w:fldCharType="separate"/>
    </w:r>
    <w:r w:rsidR="002B2281">
      <w:rPr>
        <w:noProof/>
      </w:rPr>
      <w:t>i</w:t>
    </w:r>
    <w:r w:rsidR="00E1136B">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9C" w:rsidRDefault="00DD359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D2" w:rsidRPr="00E77C89" w:rsidRDefault="002314D2" w:rsidP="0017089D">
    <w:r>
      <w:fldChar w:fldCharType="begin"/>
    </w:r>
    <w:r>
      <w:instrText xml:space="preserve"> PAGE  \* Arabic  \* MERGEFORMAT </w:instrText>
    </w:r>
    <w:r>
      <w:fldChar w:fldCharType="separate"/>
    </w:r>
    <w:r>
      <w:t>6</w:t>
    </w:r>
    <w: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D2" w:rsidRPr="00E77C89" w:rsidRDefault="002314D2" w:rsidP="0017089D"/>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9C" w:rsidRPr="00DD359C" w:rsidRDefault="00DD359C" w:rsidP="00DD359C">
    <w:pPr>
      <w:pStyle w:val="Footer"/>
      <w:jc w:val="left"/>
      <w:rPr>
        <w:i/>
      </w:rPr>
    </w:pPr>
    <w:r>
      <w:rPr>
        <w:i/>
      </w:rPr>
      <w:t>Source: Tax Practitioners Board</w:t>
    </w:r>
  </w:p>
  <w:p w:rsidR="00E1136B" w:rsidRPr="00E1136B" w:rsidRDefault="00E1136B" w:rsidP="00E1136B">
    <w:pPr>
      <w:pStyle w:val="Footer"/>
    </w:pPr>
    <w:r>
      <w:fldChar w:fldCharType="begin"/>
    </w:r>
    <w:r>
      <w:instrText xml:space="preserve"> PAGE   \* MERGEFORMAT </w:instrText>
    </w:r>
    <w:r>
      <w:fldChar w:fldCharType="separate"/>
    </w:r>
    <w:r w:rsidR="002B2281">
      <w:rPr>
        <w:noProof/>
      </w:rPr>
      <w:t>1</w:t>
    </w:r>
    <w:r>
      <w:rPr>
        <w:noProof/>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D2" w:rsidRDefault="002314D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36373" w:rsidRDefault="00636373">
      <w:pPr>
        <w:spacing w:before="0" w:after="0"/>
      </w:pPr>
      <w:r>
        <w:separator/>
      </w:r>
    </w:p>
  </w:footnote>
  <w:footnote w:type="continuationSeparator" w:id="0">
    <w:p w:rsidR="00636373" w:rsidRDefault="0063637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9C" w:rsidRDefault="00DD359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5B7B" w:rsidRDefault="00475B7B">
    <w:pPr>
      <w:pStyle w:val="Header"/>
    </w:pPr>
    <w:r>
      <w:rPr>
        <w:noProof/>
      </w:rPr>
      <w:drawing>
        <wp:anchor distT="0" distB="0" distL="114300" distR="114300" simplePos="0" relativeHeight="251659264" behindDoc="1" locked="0" layoutInCell="1" allowOverlap="1" wp14:anchorId="63AED44A" wp14:editId="451306B4">
          <wp:simplePos x="0" y="0"/>
          <wp:positionH relativeFrom="page">
            <wp:align>center</wp:align>
          </wp:positionH>
          <wp:positionV relativeFrom="page">
            <wp:posOffset>180340</wp:posOffset>
          </wp:positionV>
          <wp:extent cx="7199640" cy="1079640"/>
          <wp:effectExtent l="0" t="0" r="1270" b="635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 report_heade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199640" cy="107964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359C" w:rsidRDefault="00DD359C">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D2" w:rsidRPr="001F3912" w:rsidRDefault="002314D2" w:rsidP="0017089D">
    <w:r>
      <w:fldChar w:fldCharType="begin"/>
    </w:r>
    <w:r>
      <w:instrText xml:space="preserve"> macrobutton nomacro [Click and add Publication Title] </w:instrTex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D2" w:rsidRPr="001F3912" w:rsidRDefault="002314D2" w:rsidP="0017089D"/>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D2" w:rsidRPr="001F3912" w:rsidRDefault="002314D2" w:rsidP="0017089D"/>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D2" w:rsidRPr="001F3912" w:rsidRDefault="00636373" w:rsidP="001606CF">
    <w:pPr>
      <w:pStyle w:val="Header"/>
    </w:pPr>
    <w:r>
      <w:t xml:space="preserve">Review of the </w:t>
    </w:r>
    <w:r w:rsidR="002B2281">
      <w:fldChar w:fldCharType="begin"/>
    </w:r>
    <w:r w:rsidR="002B2281">
      <w:instrText xml:space="preserve"> ST</w:instrText>
    </w:r>
    <w:r w:rsidR="002B2281">
      <w:instrText xml:space="preserve">YLEREF  Title  \* MERGEFORMAT </w:instrText>
    </w:r>
    <w:r w:rsidR="002B2281">
      <w:fldChar w:fldCharType="separate"/>
    </w:r>
    <w:r w:rsidR="002B2281">
      <w:rPr>
        <w:noProof/>
      </w:rPr>
      <w:t>Tax Practitioners Board</w:t>
    </w:r>
    <w:r w:rsidR="002B2281">
      <w:rPr>
        <w:noProof/>
      </w:rPr>
      <w:fldChar w:fldCharType="end"/>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14D2" w:rsidRDefault="002314D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ED3FC7"/>
    <w:multiLevelType w:val="multilevel"/>
    <w:tmpl w:val="79E48CD8"/>
    <w:styleLink w:val="BoxBulletedList"/>
    <w:lvl w:ilvl="0">
      <w:start w:val="1"/>
      <w:numFmt w:val="bullet"/>
      <w:lvlRestart w:val="0"/>
      <w:pStyle w:val="BoxBullet"/>
      <w:lvlText w:val="•"/>
      <w:lvlJc w:val="left"/>
      <w:pPr>
        <w:tabs>
          <w:tab w:val="num" w:pos="283"/>
        </w:tabs>
        <w:ind w:left="283" w:hanging="283"/>
      </w:pPr>
      <w:rPr>
        <w:rFonts w:ascii="Times New Roman" w:hAnsi="Times New Roman" w:cs="Times New Roman" w:hint="default"/>
        <w:b w:val="0"/>
        <w:i w:val="0"/>
        <w:sz w:val="20"/>
      </w:rPr>
    </w:lvl>
    <w:lvl w:ilvl="1">
      <w:start w:val="1"/>
      <w:numFmt w:val="bullet"/>
      <w:pStyle w:val="BoxDash"/>
      <w:lvlText w:val="–"/>
      <w:lvlJc w:val="left"/>
      <w:pPr>
        <w:tabs>
          <w:tab w:val="num" w:pos="567"/>
        </w:tabs>
        <w:ind w:left="567" w:hanging="284"/>
      </w:pPr>
      <w:rPr>
        <w:rFonts w:hint="default"/>
        <w:b w:val="0"/>
        <w:i w:val="0"/>
      </w:rPr>
    </w:lvl>
    <w:lvl w:ilvl="2">
      <w:start w:val="1"/>
      <w:numFmt w:val="bullet"/>
      <w:pStyle w:val="BoxDoubleDot"/>
      <w:lvlText w:val=":"/>
      <w:lvlJc w:val="left"/>
      <w:pPr>
        <w:tabs>
          <w:tab w:val="num" w:pos="850"/>
        </w:tabs>
        <w:ind w:left="850" w:hanging="283"/>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
    <w:nsid w:val="0B8F13AF"/>
    <w:multiLevelType w:val="multilevel"/>
    <w:tmpl w:val="4192E21C"/>
    <w:lvl w:ilvl="0">
      <w:start w:val="1"/>
      <w:numFmt w:val="lowerLetter"/>
      <w:lvlText w:val="%1."/>
      <w:lvlJc w:val="left"/>
      <w:pPr>
        <w:tabs>
          <w:tab w:val="num" w:pos="425"/>
        </w:tabs>
        <w:ind w:left="425"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10653560"/>
    <w:multiLevelType w:val="multilevel"/>
    <w:tmpl w:val="72F8140E"/>
    <w:styleLink w:val="OutlineList"/>
    <w:lvl w:ilvl="0">
      <w:start w:val="1"/>
      <w:numFmt w:val="decimal"/>
      <w:pStyle w:val="OutlineNumbered1"/>
      <w:lvlText w:val="%1."/>
      <w:lvlJc w:val="left"/>
      <w:pPr>
        <w:tabs>
          <w:tab w:val="num" w:pos="851"/>
        </w:tabs>
        <w:ind w:left="851" w:hanging="851"/>
      </w:pPr>
      <w:rPr>
        <w:rFonts w:hint="default"/>
      </w:rPr>
    </w:lvl>
    <w:lvl w:ilvl="1">
      <w:start w:val="1"/>
      <w:numFmt w:val="decimal"/>
      <w:pStyle w:val="OutlineNumbered2"/>
      <w:lvlText w:val="%1.%2"/>
      <w:lvlJc w:val="left"/>
      <w:pPr>
        <w:tabs>
          <w:tab w:val="num" w:pos="1134"/>
        </w:tabs>
        <w:ind w:left="1134" w:hanging="1134"/>
      </w:pPr>
      <w:rPr>
        <w:rFonts w:hint="default"/>
      </w:rPr>
    </w:lvl>
    <w:lvl w:ilvl="2">
      <w:start w:val="1"/>
      <w:numFmt w:val="decimal"/>
      <w:pStyle w:val="OutlineNumbered3"/>
      <w:lvlText w:val="%1.%2.%3"/>
      <w:lvlJc w:val="left"/>
      <w:pPr>
        <w:tabs>
          <w:tab w:val="num" w:pos="1418"/>
        </w:tabs>
        <w:ind w:left="1418" w:hanging="141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16CC4E5D"/>
    <w:multiLevelType w:val="multilevel"/>
    <w:tmpl w:val="D10E9CF6"/>
    <w:numStyleLink w:val="OneLevelList"/>
  </w:abstractNum>
  <w:abstractNum w:abstractNumId="4">
    <w:nsid w:val="17DF7717"/>
    <w:multiLevelType w:val="multilevel"/>
    <w:tmpl w:val="B91AC3AC"/>
    <w:lvl w:ilvl="0">
      <w:start w:val="1"/>
      <w:numFmt w:val="decimal"/>
      <w:pStyle w:val="Heading1Numbered"/>
      <w:lvlText w:val="%1."/>
      <w:lvlJc w:val="left"/>
      <w:pPr>
        <w:ind w:left="360" w:hanging="360"/>
      </w:pPr>
      <w:rPr>
        <w:rFonts w:hint="default"/>
      </w:rPr>
    </w:lvl>
    <w:lvl w:ilvl="1">
      <w:start w:val="1"/>
      <w:numFmt w:val="decimal"/>
      <w:pStyle w:val="Heading2Numbered"/>
      <w:lvlText w:val="%1.%2"/>
      <w:lvlJc w:val="left"/>
      <w:pPr>
        <w:ind w:left="720" w:hanging="360"/>
      </w:pPr>
      <w:rPr>
        <w:rFonts w:hint="default"/>
      </w:rPr>
    </w:lvl>
    <w:lvl w:ilvl="2">
      <w:start w:val="1"/>
      <w:numFmt w:val="decimal"/>
      <w:pStyle w:val="Heading3Numbered"/>
      <w:lvlText w:val="%1.%2.%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nsid w:val="27826BF0"/>
    <w:multiLevelType w:val="multilevel"/>
    <w:tmpl w:val="2A44CE48"/>
    <w:lvl w:ilvl="0">
      <w:start w:val="1"/>
      <w:numFmt w:val="lowerRoman"/>
      <w:pStyle w:val="Romannumeral"/>
      <w:lvlText w:val="%1."/>
      <w:lvlJc w:val="left"/>
      <w:pPr>
        <w:tabs>
          <w:tab w:val="num" w:pos="720"/>
        </w:tabs>
        <w:ind w:left="720" w:hanging="720"/>
      </w:pPr>
      <w:rPr>
        <w:rFonts w:hint="default"/>
      </w:rPr>
    </w:lvl>
    <w:lvl w:ilvl="1">
      <w:start w:val="1"/>
      <w:numFmt w:val="lowerLetter"/>
      <w:pStyle w:val="AlphaParagraph"/>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nsid w:val="308C2710"/>
    <w:multiLevelType w:val="multilevel"/>
    <w:tmpl w:val="0D723674"/>
    <w:styleLink w:val="BulletedList"/>
    <w:lvl w:ilvl="0">
      <w:start w:val="1"/>
      <w:numFmt w:val="bullet"/>
      <w:lvlRestart w:val="0"/>
      <w:pStyle w:val="Bullet"/>
      <w:lvlText w:val="•"/>
      <w:lvlJc w:val="left"/>
      <w:pPr>
        <w:tabs>
          <w:tab w:val="num" w:pos="283"/>
        </w:tabs>
        <w:ind w:left="283" w:hanging="283"/>
      </w:pPr>
      <w:rPr>
        <w:rFonts w:ascii="Times New Roman" w:hAnsi="Times New Roman" w:cs="Times New Roman" w:hint="default"/>
        <w:b w:val="0"/>
        <w:i w:val="0"/>
      </w:rPr>
    </w:lvl>
    <w:lvl w:ilvl="1">
      <w:start w:val="1"/>
      <w:numFmt w:val="bullet"/>
      <w:pStyle w:val="Dash"/>
      <w:lvlText w:val="–"/>
      <w:lvlJc w:val="left"/>
      <w:pPr>
        <w:tabs>
          <w:tab w:val="num" w:pos="567"/>
        </w:tabs>
        <w:ind w:left="567" w:hanging="284"/>
      </w:pPr>
      <w:rPr>
        <w:rFonts w:ascii="Times New Roman" w:hAnsi="Times New Roman" w:cs="Times New Roman" w:hint="default"/>
        <w:b w:val="0"/>
        <w:i w:val="0"/>
      </w:rPr>
    </w:lvl>
    <w:lvl w:ilvl="2">
      <w:start w:val="1"/>
      <w:numFmt w:val="bullet"/>
      <w:pStyle w:val="DoubleDot"/>
      <w:lvlText w:val=":"/>
      <w:lvlJc w:val="left"/>
      <w:pPr>
        <w:tabs>
          <w:tab w:val="num" w:pos="850"/>
        </w:tabs>
        <w:ind w:left="850" w:hanging="283"/>
      </w:pPr>
      <w:rPr>
        <w:rFonts w:ascii="Times New Roman" w:hAnsi="Times New Roman" w:cs="Times New Roman"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7">
    <w:nsid w:val="3238442C"/>
    <w:multiLevelType w:val="multilevel"/>
    <w:tmpl w:val="FEB87FB6"/>
    <w:styleLink w:val="ChartandTableFootnoteAlphaList"/>
    <w:lvl w:ilvl="0">
      <w:start w:val="1"/>
      <w:numFmt w:val="lowerLetter"/>
      <w:pStyle w:val="ChartandTableFootnoteAlpha"/>
      <w:lvlText w:val="(%1)"/>
      <w:lvlJc w:val="left"/>
      <w:pPr>
        <w:tabs>
          <w:tab w:val="num" w:pos="284"/>
        </w:tabs>
        <w:ind w:left="284" w:hanging="284"/>
      </w:pPr>
      <w:rPr>
        <w:rFonts w:ascii="Arial" w:hAnsi="Arial" w:hint="default"/>
        <w:b w:val="0"/>
        <w:i w:val="0"/>
        <w:sz w:val="16"/>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330C16AD"/>
    <w:multiLevelType w:val="multilevel"/>
    <w:tmpl w:val="D10E9CF6"/>
    <w:styleLink w:val="OneLevelList"/>
    <w:lvl w:ilvl="0">
      <w:start w:val="1"/>
      <w:numFmt w:val="decimal"/>
      <w:pStyle w:val="OneLevelNumberedParagraph"/>
      <w:lvlText w:val="%1."/>
      <w:lvlJc w:val="left"/>
      <w:pPr>
        <w:tabs>
          <w:tab w:val="num" w:pos="284"/>
        </w:tabs>
        <w:ind w:left="284" w:hanging="284"/>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nsid w:val="3D27453C"/>
    <w:multiLevelType w:val="multilevel"/>
    <w:tmpl w:val="2D78BE40"/>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510D2021"/>
    <w:multiLevelType w:val="multilevel"/>
    <w:tmpl w:val="72F8140E"/>
    <w:numStyleLink w:val="OutlineList"/>
  </w:abstractNum>
  <w:abstractNum w:abstractNumId="11">
    <w:nsid w:val="7EBF275E"/>
    <w:multiLevelType w:val="multilevel"/>
    <w:tmpl w:val="A6800B9E"/>
    <w:lvl w:ilvl="0">
      <w:start w:val="1"/>
      <w:numFmt w:val="decimal"/>
      <w:lvlRestart w:val="0"/>
      <w:lvlText w:val="%1."/>
      <w:lvlJc w:val="left"/>
      <w:pPr>
        <w:tabs>
          <w:tab w:val="num" w:pos="567"/>
        </w:tabs>
        <w:ind w:left="567" w:hanging="567"/>
      </w:pPr>
      <w:rPr>
        <w:rFonts w:hint="default"/>
        <w:b w:val="0"/>
        <w:i w:val="0"/>
      </w:rPr>
    </w:lvl>
    <w:lvl w:ilvl="1">
      <w:start w:val="1"/>
      <w:numFmt w:val="decimal"/>
      <w:lvlText w:val="%1.%2."/>
      <w:lvlJc w:val="left"/>
      <w:pPr>
        <w:tabs>
          <w:tab w:val="num" w:pos="1134"/>
        </w:tabs>
        <w:ind w:left="1134" w:hanging="567"/>
      </w:pPr>
      <w:rPr>
        <w:rFonts w:hint="default"/>
        <w:b w:val="0"/>
        <w:i w:val="0"/>
      </w:rPr>
    </w:lvl>
    <w:lvl w:ilvl="2">
      <w:start w:val="1"/>
      <w:numFmt w:val="decimal"/>
      <w:lvlText w:val="%1.%2.%3."/>
      <w:lvlJc w:val="left"/>
      <w:pPr>
        <w:tabs>
          <w:tab w:val="num" w:pos="1984"/>
        </w:tabs>
        <w:ind w:left="1984" w:hanging="850"/>
      </w:pPr>
      <w:rPr>
        <w:rFonts w:hint="default"/>
        <w:b w:val="0"/>
        <w:i w:val="0"/>
      </w:rPr>
    </w:lvl>
    <w:lvl w:ilvl="3">
      <w:start w:val="1"/>
      <w:numFmt w:val="decimal"/>
      <w:lvlText w:val="(%4)"/>
      <w:lvlJc w:val="left"/>
      <w:pPr>
        <w:tabs>
          <w:tab w:val="num" w:pos="1440"/>
        </w:tabs>
        <w:ind w:left="1440" w:hanging="360"/>
      </w:pPr>
      <w:rPr>
        <w:rFonts w:hint="default"/>
        <w:b w:val="0"/>
        <w:i w:val="0"/>
      </w:rPr>
    </w:lvl>
    <w:lvl w:ilvl="4">
      <w:start w:val="1"/>
      <w:numFmt w:val="lowerLetter"/>
      <w:lvlText w:val="(%5)"/>
      <w:lvlJc w:val="left"/>
      <w:pPr>
        <w:tabs>
          <w:tab w:val="num" w:pos="1800"/>
        </w:tabs>
        <w:ind w:left="1800" w:hanging="360"/>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num w:numId="1">
    <w:abstractNumId w:val="6"/>
  </w:num>
  <w:num w:numId="2">
    <w:abstractNumId w:val="0"/>
  </w:num>
  <w:num w:numId="3">
    <w:abstractNumId w:val="8"/>
  </w:num>
  <w:num w:numId="4">
    <w:abstractNumId w:val="2"/>
  </w:num>
  <w:num w:numId="5">
    <w:abstractNumId w:val="3"/>
  </w:num>
  <w:num w:numId="6">
    <w:abstractNumId w:val="10"/>
  </w:num>
  <w:num w:numId="7">
    <w:abstractNumId w:val="7"/>
    <w:lvlOverride w:ilvl="0">
      <w:lvl w:ilvl="0">
        <w:start w:val="1"/>
        <w:numFmt w:val="lowerLetter"/>
        <w:pStyle w:val="ChartandTableFootnoteAlpha"/>
        <w:lvlText w:val="(%1)"/>
        <w:lvlJc w:val="left"/>
        <w:pPr>
          <w:ind w:left="360" w:hanging="360"/>
        </w:pPr>
        <w:rPr>
          <w:rFonts w:ascii="Calibri" w:hAnsi="Calibri" w:hint="default"/>
          <w:b w:val="0"/>
          <w:i w:val="0"/>
          <w:caps w:val="0"/>
          <w:strike w:val="0"/>
          <w:dstrike w:val="0"/>
          <w:vanish w:val="0"/>
          <w:sz w:val="18"/>
          <w:vertAlign w:val="baseline"/>
        </w:rPr>
      </w:lvl>
    </w:lvlOverride>
    <w:lvlOverride w:ilvl="1">
      <w:lvl w:ilvl="1" w:tentative="1">
        <w:start w:val="1"/>
        <w:numFmt w:val="lowerLetter"/>
        <w:lvlText w:val="%2."/>
        <w:lvlJc w:val="left"/>
        <w:pPr>
          <w:ind w:left="1080" w:hanging="360"/>
        </w:pPr>
      </w:lvl>
    </w:lvlOverride>
    <w:lvlOverride w:ilvl="2">
      <w:lvl w:ilvl="2" w:tentative="1">
        <w:start w:val="1"/>
        <w:numFmt w:val="lowerRoman"/>
        <w:lvlText w:val="%3."/>
        <w:lvlJc w:val="right"/>
        <w:pPr>
          <w:ind w:left="1800" w:hanging="180"/>
        </w:pPr>
      </w:lvl>
    </w:lvlOverride>
    <w:lvlOverride w:ilvl="3">
      <w:lvl w:ilvl="3" w:tentative="1">
        <w:start w:val="1"/>
        <w:numFmt w:val="decimal"/>
        <w:lvlText w:val="%4."/>
        <w:lvlJc w:val="left"/>
        <w:pPr>
          <w:ind w:left="2520" w:hanging="360"/>
        </w:pPr>
      </w:lvl>
    </w:lvlOverride>
    <w:lvlOverride w:ilvl="4">
      <w:lvl w:ilvl="4" w:tentative="1">
        <w:start w:val="1"/>
        <w:numFmt w:val="lowerLetter"/>
        <w:lvlText w:val="%5."/>
        <w:lvlJc w:val="left"/>
        <w:pPr>
          <w:ind w:left="3240" w:hanging="360"/>
        </w:pPr>
      </w:lvl>
    </w:lvlOverride>
    <w:lvlOverride w:ilvl="5">
      <w:lvl w:ilvl="5" w:tentative="1">
        <w:start w:val="1"/>
        <w:numFmt w:val="lowerRoman"/>
        <w:lvlText w:val="%6."/>
        <w:lvlJc w:val="right"/>
        <w:pPr>
          <w:ind w:left="3960" w:hanging="180"/>
        </w:pPr>
      </w:lvl>
    </w:lvlOverride>
    <w:lvlOverride w:ilvl="6">
      <w:lvl w:ilvl="6" w:tentative="1">
        <w:start w:val="1"/>
        <w:numFmt w:val="decimal"/>
        <w:lvlText w:val="%7."/>
        <w:lvlJc w:val="left"/>
        <w:pPr>
          <w:ind w:left="4680" w:hanging="360"/>
        </w:pPr>
      </w:lvl>
    </w:lvlOverride>
    <w:lvlOverride w:ilvl="7">
      <w:lvl w:ilvl="7" w:tentative="1">
        <w:start w:val="1"/>
        <w:numFmt w:val="lowerLetter"/>
        <w:lvlText w:val="%8."/>
        <w:lvlJc w:val="left"/>
        <w:pPr>
          <w:ind w:left="5400" w:hanging="360"/>
        </w:pPr>
      </w:lvl>
    </w:lvlOverride>
    <w:lvlOverride w:ilvl="8">
      <w:lvl w:ilvl="8" w:tentative="1">
        <w:start w:val="1"/>
        <w:numFmt w:val="lowerRoman"/>
        <w:lvlText w:val="%9."/>
        <w:lvlJc w:val="right"/>
        <w:pPr>
          <w:ind w:left="6120" w:hanging="180"/>
        </w:pPr>
      </w:lvl>
    </w:lvlOverride>
  </w:num>
  <w:num w:numId="8">
    <w:abstractNumId w:val="4"/>
  </w:num>
  <w:num w:numId="9">
    <w:abstractNumId w:val="1"/>
  </w:num>
  <w:num w:numId="10">
    <w:abstractNumId w:val="5"/>
  </w:num>
  <w:num w:numId="11">
    <w:abstractNumId w:val="11"/>
  </w:num>
  <w:num w:numId="12">
    <w:abstractNumId w:val="10"/>
  </w:num>
  <w:num w:numId="13">
    <w:abstractNumId w:val="5"/>
  </w:num>
  <w:num w:numId="14">
    <w:abstractNumId w:val="7"/>
  </w:num>
  <w:num w:numId="15">
    <w:abstractNumId w:val="9"/>
  </w:num>
  <w:num w:numId="1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attachedTemplate r:id="rId1"/>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6373"/>
    <w:rsid w:val="00011725"/>
    <w:rsid w:val="00012C62"/>
    <w:rsid w:val="0002544D"/>
    <w:rsid w:val="00041A8B"/>
    <w:rsid w:val="0004274D"/>
    <w:rsid w:val="00044C0A"/>
    <w:rsid w:val="00056880"/>
    <w:rsid w:val="000675D1"/>
    <w:rsid w:val="0007102C"/>
    <w:rsid w:val="00073521"/>
    <w:rsid w:val="000775DE"/>
    <w:rsid w:val="000858F2"/>
    <w:rsid w:val="00087FAF"/>
    <w:rsid w:val="000C5F40"/>
    <w:rsid w:val="000E0B74"/>
    <w:rsid w:val="000F0BF8"/>
    <w:rsid w:val="000F7517"/>
    <w:rsid w:val="0014091C"/>
    <w:rsid w:val="001606CF"/>
    <w:rsid w:val="0016128D"/>
    <w:rsid w:val="0017089D"/>
    <w:rsid w:val="0019101A"/>
    <w:rsid w:val="001C358D"/>
    <w:rsid w:val="0022190E"/>
    <w:rsid w:val="00231049"/>
    <w:rsid w:val="002314D2"/>
    <w:rsid w:val="002372A6"/>
    <w:rsid w:val="00257AEE"/>
    <w:rsid w:val="00263B6C"/>
    <w:rsid w:val="0027590B"/>
    <w:rsid w:val="00285969"/>
    <w:rsid w:val="002940EC"/>
    <w:rsid w:val="002B2281"/>
    <w:rsid w:val="002B3829"/>
    <w:rsid w:val="002B5C39"/>
    <w:rsid w:val="002D488F"/>
    <w:rsid w:val="002F617F"/>
    <w:rsid w:val="003122F4"/>
    <w:rsid w:val="003268D5"/>
    <w:rsid w:val="00344779"/>
    <w:rsid w:val="00354D27"/>
    <w:rsid w:val="003839F0"/>
    <w:rsid w:val="003858A6"/>
    <w:rsid w:val="00392DCC"/>
    <w:rsid w:val="003E4D87"/>
    <w:rsid w:val="003F71F2"/>
    <w:rsid w:val="00416762"/>
    <w:rsid w:val="00445265"/>
    <w:rsid w:val="004559CE"/>
    <w:rsid w:val="00475B7B"/>
    <w:rsid w:val="00475F4D"/>
    <w:rsid w:val="00482AD1"/>
    <w:rsid w:val="00483049"/>
    <w:rsid w:val="00492FCB"/>
    <w:rsid w:val="004938D1"/>
    <w:rsid w:val="004951A8"/>
    <w:rsid w:val="004A7BC2"/>
    <w:rsid w:val="004F1164"/>
    <w:rsid w:val="00516785"/>
    <w:rsid w:val="0052419D"/>
    <w:rsid w:val="005301F8"/>
    <w:rsid w:val="005312FC"/>
    <w:rsid w:val="0053603D"/>
    <w:rsid w:val="005868DE"/>
    <w:rsid w:val="0060595B"/>
    <w:rsid w:val="00605AFD"/>
    <w:rsid w:val="00607C7C"/>
    <w:rsid w:val="006123D4"/>
    <w:rsid w:val="00636373"/>
    <w:rsid w:val="00637C14"/>
    <w:rsid w:val="00656356"/>
    <w:rsid w:val="006755BF"/>
    <w:rsid w:val="00686165"/>
    <w:rsid w:val="00691CB5"/>
    <w:rsid w:val="006A6EE1"/>
    <w:rsid w:val="006B5E7C"/>
    <w:rsid w:val="006C645D"/>
    <w:rsid w:val="006D42C7"/>
    <w:rsid w:val="006E3CC3"/>
    <w:rsid w:val="006F656C"/>
    <w:rsid w:val="00707014"/>
    <w:rsid w:val="00745A87"/>
    <w:rsid w:val="0078509F"/>
    <w:rsid w:val="00794499"/>
    <w:rsid w:val="007D5AA6"/>
    <w:rsid w:val="007E255A"/>
    <w:rsid w:val="007E2AB9"/>
    <w:rsid w:val="007E6456"/>
    <w:rsid w:val="00834243"/>
    <w:rsid w:val="00855618"/>
    <w:rsid w:val="00857969"/>
    <w:rsid w:val="008A1187"/>
    <w:rsid w:val="008B1499"/>
    <w:rsid w:val="008D339F"/>
    <w:rsid w:val="008D7F38"/>
    <w:rsid w:val="008E6292"/>
    <w:rsid w:val="008F5F84"/>
    <w:rsid w:val="00925AA5"/>
    <w:rsid w:val="0094019D"/>
    <w:rsid w:val="00942C11"/>
    <w:rsid w:val="009732EC"/>
    <w:rsid w:val="009821CE"/>
    <w:rsid w:val="009852CF"/>
    <w:rsid w:val="009A658F"/>
    <w:rsid w:val="009A668A"/>
    <w:rsid w:val="00A16E03"/>
    <w:rsid w:val="00A260CD"/>
    <w:rsid w:val="00A3749B"/>
    <w:rsid w:val="00A62E42"/>
    <w:rsid w:val="00A64A71"/>
    <w:rsid w:val="00AE2F90"/>
    <w:rsid w:val="00B3149D"/>
    <w:rsid w:val="00B770FF"/>
    <w:rsid w:val="00B82EF9"/>
    <w:rsid w:val="00B85F47"/>
    <w:rsid w:val="00B87927"/>
    <w:rsid w:val="00B92619"/>
    <w:rsid w:val="00BD5650"/>
    <w:rsid w:val="00C30297"/>
    <w:rsid w:val="00C54E4E"/>
    <w:rsid w:val="00C663AB"/>
    <w:rsid w:val="00C85314"/>
    <w:rsid w:val="00CA46D6"/>
    <w:rsid w:val="00CA4BC0"/>
    <w:rsid w:val="00CC559D"/>
    <w:rsid w:val="00CD654B"/>
    <w:rsid w:val="00CD6BD4"/>
    <w:rsid w:val="00CE223E"/>
    <w:rsid w:val="00D145F5"/>
    <w:rsid w:val="00D355F0"/>
    <w:rsid w:val="00D45AF8"/>
    <w:rsid w:val="00D51C05"/>
    <w:rsid w:val="00D83BD9"/>
    <w:rsid w:val="00D95FB9"/>
    <w:rsid w:val="00DA686B"/>
    <w:rsid w:val="00DB7F09"/>
    <w:rsid w:val="00DC00E8"/>
    <w:rsid w:val="00DD359C"/>
    <w:rsid w:val="00E10D39"/>
    <w:rsid w:val="00E1136B"/>
    <w:rsid w:val="00E22D51"/>
    <w:rsid w:val="00E35FA1"/>
    <w:rsid w:val="00E50E7C"/>
    <w:rsid w:val="00E51545"/>
    <w:rsid w:val="00E55326"/>
    <w:rsid w:val="00E711D7"/>
    <w:rsid w:val="00E902B0"/>
    <w:rsid w:val="00E902E8"/>
    <w:rsid w:val="00EB030F"/>
    <w:rsid w:val="00EC6B16"/>
    <w:rsid w:val="00EE677F"/>
    <w:rsid w:val="00F0082D"/>
    <w:rsid w:val="00F07C90"/>
    <w:rsid w:val="00F20469"/>
    <w:rsid w:val="00F66B9F"/>
    <w:rsid w:val="00F71A0E"/>
    <w:rsid w:val="00F92279"/>
    <w:rsid w:val="00FB64AA"/>
    <w:rsid w:val="00FC6AD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636373"/>
    <w:rPr>
      <w:rFonts w:ascii="Calibri" w:eastAsia="Times New Roman" w:hAnsi="Calibri" w:cs="Times New Roman"/>
      <w:szCs w:val="20"/>
      <w:lang w:eastAsia="en-AU"/>
    </w:rPr>
  </w:style>
  <w:style w:type="character" w:customStyle="1" w:styleId="DashChar">
    <w:name w:val="Dash Char"/>
    <w:basedOn w:val="DefaultParagraphFont"/>
    <w:link w:val="Dash"/>
    <w:rsid w:val="00636373"/>
    <w:rPr>
      <w:rFonts w:ascii="Calibri" w:eastAsia="Times New Roman" w:hAnsi="Calibri" w:cs="Times New Roman"/>
      <w:szCs w:val="20"/>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37C14"/>
    <w:pPr>
      <w:spacing w:before="120" w:after="120" w:line="240" w:lineRule="auto"/>
    </w:pPr>
    <w:rPr>
      <w:rFonts w:ascii="Calibri" w:eastAsia="Times New Roman" w:hAnsi="Calibri" w:cs="Times New Roman"/>
      <w:szCs w:val="20"/>
      <w:lang w:eastAsia="en-AU"/>
    </w:rPr>
  </w:style>
  <w:style w:type="paragraph" w:styleId="Heading1">
    <w:name w:val="heading 1"/>
    <w:basedOn w:val="HeadingBase"/>
    <w:next w:val="Normal"/>
    <w:link w:val="Heading1Char"/>
    <w:qFormat/>
    <w:rsid w:val="00E1136B"/>
    <w:pPr>
      <w:spacing w:before="480"/>
      <w:outlineLvl w:val="0"/>
    </w:pPr>
    <w:rPr>
      <w:bCs w:val="0"/>
      <w:sz w:val="48"/>
    </w:rPr>
  </w:style>
  <w:style w:type="paragraph" w:styleId="Heading2">
    <w:name w:val="heading 2"/>
    <w:basedOn w:val="HeadingBase"/>
    <w:next w:val="Normal"/>
    <w:link w:val="Heading2Char"/>
    <w:qFormat/>
    <w:rsid w:val="000E0B74"/>
    <w:pPr>
      <w:spacing w:before="360"/>
      <w:outlineLvl w:val="1"/>
    </w:pPr>
    <w:rPr>
      <w:bCs w:val="0"/>
      <w:iCs/>
      <w:sz w:val="36"/>
      <w:szCs w:val="28"/>
    </w:rPr>
  </w:style>
  <w:style w:type="paragraph" w:styleId="Heading3">
    <w:name w:val="heading 3"/>
    <w:basedOn w:val="HeadingBase"/>
    <w:next w:val="Normal"/>
    <w:link w:val="Heading3Char"/>
    <w:qFormat/>
    <w:rsid w:val="003E4D87"/>
    <w:pPr>
      <w:spacing w:before="240"/>
      <w:outlineLvl w:val="2"/>
    </w:pPr>
    <w:rPr>
      <w:bCs w:val="0"/>
      <w:color w:val="7F7F7F"/>
      <w:sz w:val="28"/>
      <w:szCs w:val="26"/>
    </w:rPr>
  </w:style>
  <w:style w:type="paragraph" w:styleId="Heading4">
    <w:name w:val="heading 4"/>
    <w:basedOn w:val="HeadingBase"/>
    <w:next w:val="Normal"/>
    <w:link w:val="Heading4Char"/>
    <w:qFormat/>
    <w:rsid w:val="000E0B74"/>
    <w:pPr>
      <w:outlineLvl w:val="3"/>
    </w:pPr>
    <w:rPr>
      <w:bCs w:val="0"/>
      <w:color w:val="336E98"/>
      <w:sz w:val="26"/>
      <w:szCs w:val="26"/>
    </w:rPr>
  </w:style>
  <w:style w:type="paragraph" w:styleId="Heading5">
    <w:name w:val="heading 5"/>
    <w:basedOn w:val="HeadingBase"/>
    <w:next w:val="Normal"/>
    <w:link w:val="Heading5Char"/>
    <w:qFormat/>
    <w:rsid w:val="003E4D87"/>
    <w:pPr>
      <w:outlineLvl w:val="4"/>
    </w:pPr>
    <w:rPr>
      <w:b/>
      <w:bCs w:val="0"/>
      <w:iCs/>
    </w:rPr>
  </w:style>
  <w:style w:type="paragraph" w:styleId="Heading6">
    <w:name w:val="heading 6"/>
    <w:basedOn w:val="HeadingBase"/>
    <w:next w:val="Normal"/>
    <w:link w:val="Heading6Char"/>
    <w:qFormat/>
    <w:rsid w:val="003E4D87"/>
    <w:pPr>
      <w:outlineLvl w:val="5"/>
    </w:pPr>
    <w:rPr>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136B"/>
    <w:rPr>
      <w:rFonts w:ascii="Calibri" w:eastAsia="Times New Roman" w:hAnsi="Calibri" w:cs="Arial"/>
      <w:color w:val="004A7F"/>
      <w:kern w:val="32"/>
      <w:sz w:val="48"/>
      <w:szCs w:val="36"/>
      <w:lang w:eastAsia="en-AU"/>
    </w:rPr>
  </w:style>
  <w:style w:type="character" w:customStyle="1" w:styleId="Heading2Char">
    <w:name w:val="Heading 2 Char"/>
    <w:basedOn w:val="DefaultParagraphFont"/>
    <w:link w:val="Heading2"/>
    <w:rsid w:val="003E4D87"/>
    <w:rPr>
      <w:rFonts w:ascii="Calibri" w:eastAsia="Times New Roman" w:hAnsi="Calibri" w:cs="Arial"/>
      <w:iCs/>
      <w:color w:val="004A7F"/>
      <w:kern w:val="32"/>
      <w:sz w:val="36"/>
      <w:szCs w:val="28"/>
      <w:lang w:eastAsia="en-AU"/>
    </w:rPr>
  </w:style>
  <w:style w:type="character" w:customStyle="1" w:styleId="Heading3Char">
    <w:name w:val="Heading 3 Char"/>
    <w:basedOn w:val="DefaultParagraphFont"/>
    <w:link w:val="Heading3"/>
    <w:rsid w:val="003E4D87"/>
    <w:rPr>
      <w:rFonts w:ascii="Calibri" w:eastAsia="Times New Roman" w:hAnsi="Calibri" w:cs="Arial"/>
      <w:color w:val="7F7F7F"/>
      <w:kern w:val="32"/>
      <w:sz w:val="28"/>
      <w:szCs w:val="26"/>
      <w:lang w:eastAsia="en-AU"/>
    </w:rPr>
  </w:style>
  <w:style w:type="character" w:customStyle="1" w:styleId="Heading4Char">
    <w:name w:val="Heading 4 Char"/>
    <w:basedOn w:val="DefaultParagraphFont"/>
    <w:link w:val="Heading4"/>
    <w:rsid w:val="003E4D87"/>
    <w:rPr>
      <w:rFonts w:ascii="Calibri" w:eastAsia="Times New Roman" w:hAnsi="Calibri" w:cs="Arial"/>
      <w:color w:val="336E98"/>
      <w:kern w:val="32"/>
      <w:sz w:val="26"/>
      <w:szCs w:val="26"/>
      <w:lang w:eastAsia="en-AU"/>
    </w:rPr>
  </w:style>
  <w:style w:type="character" w:customStyle="1" w:styleId="Heading5Char">
    <w:name w:val="Heading 5 Char"/>
    <w:basedOn w:val="DefaultParagraphFont"/>
    <w:link w:val="Heading5"/>
    <w:rsid w:val="003E4D87"/>
    <w:rPr>
      <w:rFonts w:ascii="Calibri" w:eastAsia="Times New Roman" w:hAnsi="Calibri" w:cs="Arial"/>
      <w:b/>
      <w:iCs/>
      <w:color w:val="004A7F"/>
      <w:kern w:val="32"/>
      <w:szCs w:val="36"/>
      <w:lang w:eastAsia="en-AU"/>
    </w:rPr>
  </w:style>
  <w:style w:type="character" w:customStyle="1" w:styleId="Heading6Char">
    <w:name w:val="Heading 6 Char"/>
    <w:basedOn w:val="DefaultParagraphFont"/>
    <w:link w:val="Heading6"/>
    <w:rsid w:val="003E4D87"/>
    <w:rPr>
      <w:rFonts w:ascii="Calibri" w:eastAsia="Times New Roman" w:hAnsi="Calibri" w:cs="Arial"/>
      <w:color w:val="004A7F"/>
      <w:kern w:val="32"/>
      <w:lang w:eastAsia="en-AU"/>
    </w:rPr>
  </w:style>
  <w:style w:type="paragraph" w:customStyle="1" w:styleId="ChartGraphic">
    <w:name w:val="Chart Graphic"/>
    <w:basedOn w:val="Normal"/>
    <w:next w:val="Normal"/>
    <w:rsid w:val="000E0B74"/>
    <w:pPr>
      <w:keepNext/>
      <w:spacing w:before="0" w:after="0"/>
      <w:jc w:val="center"/>
    </w:pPr>
    <w:rPr>
      <w:color w:val="004A7F"/>
      <w:sz w:val="20"/>
    </w:rPr>
  </w:style>
  <w:style w:type="paragraph" w:customStyle="1" w:styleId="AlphaParagraph">
    <w:name w:val="Alpha Paragraph"/>
    <w:basedOn w:val="Normal"/>
    <w:qFormat/>
    <w:rsid w:val="000E0B74"/>
    <w:pPr>
      <w:numPr>
        <w:ilvl w:val="1"/>
        <w:numId w:val="13"/>
      </w:numPr>
      <w:spacing w:before="0"/>
    </w:pPr>
  </w:style>
  <w:style w:type="paragraph" w:customStyle="1" w:styleId="BoxBullet">
    <w:name w:val="Box Bullet"/>
    <w:basedOn w:val="Normal"/>
    <w:rsid w:val="000E0B74"/>
    <w:pPr>
      <w:numPr>
        <w:numId w:val="2"/>
      </w:numPr>
      <w:spacing w:before="0"/>
      <w:ind w:left="284" w:hanging="284"/>
    </w:pPr>
  </w:style>
  <w:style w:type="paragraph" w:customStyle="1" w:styleId="BoxDash">
    <w:name w:val="Box Dash"/>
    <w:basedOn w:val="Normal"/>
    <w:rsid w:val="000E0B74"/>
    <w:pPr>
      <w:numPr>
        <w:ilvl w:val="1"/>
        <w:numId w:val="2"/>
      </w:numPr>
      <w:spacing w:before="0"/>
      <w:ind w:left="568"/>
    </w:pPr>
  </w:style>
  <w:style w:type="paragraph" w:customStyle="1" w:styleId="BoxDoubleDot">
    <w:name w:val="Box Double Dot"/>
    <w:basedOn w:val="Normal"/>
    <w:rsid w:val="000E0B74"/>
    <w:pPr>
      <w:numPr>
        <w:ilvl w:val="2"/>
        <w:numId w:val="2"/>
      </w:numPr>
      <w:spacing w:before="0"/>
      <w:ind w:left="851" w:hanging="284"/>
    </w:pPr>
  </w:style>
  <w:style w:type="paragraph" w:customStyle="1" w:styleId="BoxHeading">
    <w:name w:val="Box Heading"/>
    <w:basedOn w:val="Normal"/>
    <w:next w:val="Normal"/>
    <w:rsid w:val="00CE223E"/>
    <w:pPr>
      <w:keepNext/>
      <w:spacing w:before="240"/>
    </w:pPr>
    <w:rPr>
      <w:b/>
      <w:color w:val="004A7F"/>
      <w:sz w:val="26"/>
      <w:szCs w:val="26"/>
    </w:rPr>
  </w:style>
  <w:style w:type="paragraph" w:customStyle="1" w:styleId="BoxText">
    <w:name w:val="Box Text"/>
    <w:basedOn w:val="Normal"/>
    <w:rsid w:val="000E0B74"/>
  </w:style>
  <w:style w:type="paragraph" w:customStyle="1" w:styleId="Bullet">
    <w:name w:val="Bullet"/>
    <w:basedOn w:val="Normal"/>
    <w:link w:val="BulletChar"/>
    <w:rsid w:val="000E0B74"/>
    <w:pPr>
      <w:numPr>
        <w:numId w:val="1"/>
      </w:numPr>
      <w:spacing w:before="0"/>
    </w:pPr>
  </w:style>
  <w:style w:type="paragraph" w:customStyle="1" w:styleId="ChartandTableFootnoteAlpha">
    <w:name w:val="Chart and Table Footnote Alpha"/>
    <w:rsid w:val="002D488F"/>
    <w:pPr>
      <w:numPr>
        <w:numId w:val="7"/>
      </w:numPr>
      <w:tabs>
        <w:tab w:val="num" w:pos="284"/>
      </w:tabs>
      <w:spacing w:after="0" w:line="240" w:lineRule="auto"/>
      <w:ind w:left="284" w:hanging="284"/>
      <w:jc w:val="both"/>
    </w:pPr>
    <w:rPr>
      <w:rFonts w:ascii="Calibri" w:eastAsia="Times New Roman" w:hAnsi="Calibri" w:cs="Times New Roman"/>
      <w:color w:val="000000"/>
      <w:sz w:val="18"/>
      <w:szCs w:val="16"/>
      <w:lang w:eastAsia="en-AU"/>
    </w:rPr>
  </w:style>
  <w:style w:type="paragraph" w:customStyle="1" w:styleId="ChartMainHeading">
    <w:name w:val="Chart Main Heading"/>
    <w:basedOn w:val="TableMainHeading"/>
    <w:next w:val="ChartGraphic"/>
    <w:rsid w:val="000E0B74"/>
    <w:pPr>
      <w:jc w:val="center"/>
    </w:pPr>
  </w:style>
  <w:style w:type="paragraph" w:customStyle="1" w:styleId="ChartorTableNote">
    <w:name w:val="Chart or Table Note"/>
    <w:next w:val="Normal"/>
    <w:rsid w:val="000E0B74"/>
    <w:pPr>
      <w:spacing w:after="0" w:line="240" w:lineRule="auto"/>
      <w:jc w:val="both"/>
    </w:pPr>
    <w:rPr>
      <w:rFonts w:ascii="Calibri" w:eastAsia="Times New Roman" w:hAnsi="Calibri" w:cs="Times New Roman"/>
      <w:color w:val="000000"/>
      <w:sz w:val="18"/>
      <w:szCs w:val="20"/>
      <w:lang w:eastAsia="en-AU"/>
    </w:rPr>
  </w:style>
  <w:style w:type="paragraph" w:customStyle="1" w:styleId="ChartSecondHeading">
    <w:name w:val="Chart Second Heading"/>
    <w:basedOn w:val="TableSecondHeading"/>
    <w:next w:val="ChartGraphic"/>
    <w:rsid w:val="000E0B74"/>
    <w:pPr>
      <w:jc w:val="center"/>
    </w:pPr>
  </w:style>
  <w:style w:type="paragraph" w:customStyle="1" w:styleId="ReportDate">
    <w:name w:val="Report Date"/>
    <w:basedOn w:val="Normal"/>
    <w:link w:val="ReportDateChar"/>
    <w:rsid w:val="00056880"/>
    <w:pPr>
      <w:keepNext/>
      <w:spacing w:before="0" w:after="360"/>
      <w:ind w:right="139"/>
      <w:jc w:val="right"/>
    </w:pPr>
    <w:rPr>
      <w:color w:val="004A7F"/>
      <w:sz w:val="44"/>
    </w:rPr>
  </w:style>
  <w:style w:type="paragraph" w:customStyle="1" w:styleId="Dash">
    <w:name w:val="Dash"/>
    <w:basedOn w:val="Normal"/>
    <w:link w:val="DashChar"/>
    <w:rsid w:val="000E0B74"/>
    <w:pPr>
      <w:numPr>
        <w:ilvl w:val="1"/>
        <w:numId w:val="1"/>
      </w:numPr>
      <w:spacing w:before="0"/>
      <w:ind w:left="568"/>
    </w:pPr>
  </w:style>
  <w:style w:type="paragraph" w:customStyle="1" w:styleId="DoubleDot">
    <w:name w:val="Double Dot"/>
    <w:basedOn w:val="Normal"/>
    <w:rsid w:val="000E0B74"/>
    <w:pPr>
      <w:numPr>
        <w:ilvl w:val="2"/>
        <w:numId w:val="1"/>
      </w:numPr>
      <w:spacing w:before="0"/>
      <w:ind w:left="851" w:hanging="284"/>
    </w:pPr>
  </w:style>
  <w:style w:type="paragraph" w:customStyle="1" w:styleId="TableMainHeading">
    <w:name w:val="Table Main Heading"/>
    <w:basedOn w:val="Heading3"/>
    <w:next w:val="Normal"/>
    <w:rsid w:val="000E0B74"/>
    <w:pPr>
      <w:spacing w:before="120" w:after="0"/>
    </w:pPr>
    <w:rPr>
      <w:b/>
    </w:rPr>
  </w:style>
  <w:style w:type="paragraph" w:customStyle="1" w:styleId="FooterEven">
    <w:name w:val="Footer Even"/>
    <w:basedOn w:val="Footer"/>
    <w:rsid w:val="000E0B74"/>
    <w:pPr>
      <w:keepNext/>
      <w:tabs>
        <w:tab w:val="clear" w:pos="4513"/>
        <w:tab w:val="clear" w:pos="9026"/>
      </w:tabs>
    </w:pPr>
    <w:rPr>
      <w:noProof/>
    </w:rPr>
  </w:style>
  <w:style w:type="paragraph" w:customStyle="1" w:styleId="FooterOdd">
    <w:name w:val="Footer Odd"/>
    <w:basedOn w:val="Footer"/>
    <w:rsid w:val="000E0B74"/>
    <w:pPr>
      <w:keepNext/>
      <w:tabs>
        <w:tab w:val="clear" w:pos="4513"/>
        <w:tab w:val="clear" w:pos="9026"/>
      </w:tabs>
      <w:jc w:val="right"/>
    </w:pPr>
  </w:style>
  <w:style w:type="character" w:styleId="Hyperlink">
    <w:name w:val="Hyperlink"/>
    <w:basedOn w:val="DefaultParagraphFont"/>
    <w:uiPriority w:val="99"/>
    <w:rsid w:val="00D45AF8"/>
    <w:rPr>
      <w:color w:val="004A7F"/>
      <w:u w:val="none"/>
    </w:rPr>
  </w:style>
  <w:style w:type="paragraph" w:customStyle="1" w:styleId="OutlineNumbered1">
    <w:name w:val="Outline Numbered 1"/>
    <w:basedOn w:val="Normal"/>
    <w:rsid w:val="000E0B74"/>
    <w:pPr>
      <w:numPr>
        <w:numId w:val="6"/>
      </w:numPr>
      <w:spacing w:before="0"/>
    </w:pPr>
  </w:style>
  <w:style w:type="paragraph" w:customStyle="1" w:styleId="OneLevelNumberedParagraph">
    <w:name w:val="One Level Numbered Paragraph"/>
    <w:basedOn w:val="Normal"/>
    <w:rsid w:val="000E0B74"/>
    <w:pPr>
      <w:numPr>
        <w:numId w:val="5"/>
      </w:numPr>
      <w:spacing w:before="0"/>
    </w:pPr>
  </w:style>
  <w:style w:type="paragraph" w:customStyle="1" w:styleId="OutlineNumbered2">
    <w:name w:val="Outline Numbered 2"/>
    <w:basedOn w:val="Normal"/>
    <w:rsid w:val="000E0B74"/>
    <w:pPr>
      <w:numPr>
        <w:ilvl w:val="1"/>
        <w:numId w:val="6"/>
      </w:numPr>
      <w:spacing w:before="0"/>
    </w:pPr>
  </w:style>
  <w:style w:type="paragraph" w:customStyle="1" w:styleId="OutlineNumbered3">
    <w:name w:val="Outline Numbered 3"/>
    <w:basedOn w:val="Normal"/>
    <w:rsid w:val="000E0B74"/>
    <w:pPr>
      <w:numPr>
        <w:ilvl w:val="2"/>
        <w:numId w:val="6"/>
      </w:numPr>
      <w:spacing w:before="0"/>
    </w:pPr>
  </w:style>
  <w:style w:type="paragraph" w:customStyle="1" w:styleId="Romannumeral">
    <w:name w:val="Roman numeral"/>
    <w:basedOn w:val="Normal"/>
    <w:rsid w:val="00E35FA1"/>
    <w:pPr>
      <w:numPr>
        <w:numId w:val="13"/>
      </w:numPr>
      <w:tabs>
        <w:tab w:val="clear" w:pos="720"/>
        <w:tab w:val="left" w:pos="851"/>
      </w:tabs>
      <w:spacing w:before="0"/>
      <w:ind w:left="851" w:hanging="851"/>
    </w:pPr>
  </w:style>
  <w:style w:type="paragraph" w:customStyle="1" w:styleId="SingleParagraph">
    <w:name w:val="Single Paragraph"/>
    <w:basedOn w:val="Normal"/>
    <w:link w:val="SingleParagraphChar"/>
    <w:rsid w:val="000E0B74"/>
    <w:pPr>
      <w:spacing w:before="0" w:after="0"/>
    </w:pPr>
  </w:style>
  <w:style w:type="paragraph" w:customStyle="1" w:styleId="TableSecondHeading">
    <w:name w:val="Table Second Heading"/>
    <w:basedOn w:val="Normal"/>
    <w:next w:val="Normal"/>
    <w:rsid w:val="000E0B74"/>
    <w:pPr>
      <w:keepNext/>
      <w:spacing w:before="0" w:after="20"/>
    </w:pPr>
    <w:rPr>
      <w:b/>
      <w:color w:val="004A7F"/>
    </w:rPr>
  </w:style>
  <w:style w:type="paragraph" w:customStyle="1" w:styleId="TableColumnHeadingCentred">
    <w:name w:val="Table Column Heading Centred"/>
    <w:basedOn w:val="TableTextLeft"/>
    <w:rsid w:val="000E0B74"/>
    <w:pPr>
      <w:jc w:val="center"/>
    </w:pPr>
    <w:rPr>
      <w:b/>
      <w:color w:val="004A7F"/>
      <w:sz w:val="20"/>
    </w:rPr>
  </w:style>
  <w:style w:type="paragraph" w:customStyle="1" w:styleId="TableColumnHeadingLeft">
    <w:name w:val="Table Column Heading Left"/>
    <w:basedOn w:val="TableTextLeft"/>
    <w:rsid w:val="000E0B74"/>
    <w:rPr>
      <w:b/>
      <w:color w:val="004A7F"/>
      <w:sz w:val="20"/>
    </w:rPr>
  </w:style>
  <w:style w:type="paragraph" w:customStyle="1" w:styleId="TableColumnHeadingRight">
    <w:name w:val="Table Column Heading Right"/>
    <w:basedOn w:val="TableTextLeft"/>
    <w:rsid w:val="000E0B74"/>
    <w:pPr>
      <w:jc w:val="right"/>
    </w:pPr>
    <w:rPr>
      <w:b/>
      <w:color w:val="004A7F"/>
      <w:sz w:val="20"/>
    </w:rPr>
  </w:style>
  <w:style w:type="table" w:styleId="TableGrid">
    <w:name w:val="Table Grid"/>
    <w:basedOn w:val="TableNormal"/>
    <w:rsid w:val="000E0B74"/>
    <w:pPr>
      <w:spacing w:after="240" w:line="260" w:lineRule="exact"/>
      <w:jc w:val="both"/>
    </w:pPr>
    <w:rPr>
      <w:rFonts w:ascii="Times New Roman" w:eastAsia="Times New Roman" w:hAnsi="Times New Roman" w:cs="Times New Roman"/>
      <w:sz w:val="20"/>
      <w:szCs w:val="20"/>
      <w:lang w:eastAsia="en-AU"/>
    </w:rPr>
    <w:tblPr/>
    <w:tcPr>
      <w:shd w:val="clear" w:color="auto" w:fill="E6E6E6"/>
    </w:tcPr>
  </w:style>
  <w:style w:type="paragraph" w:customStyle="1" w:styleId="TableTextCentered">
    <w:name w:val="Table Text Centered"/>
    <w:basedOn w:val="TableTextRight"/>
    <w:rsid w:val="0060595B"/>
    <w:pPr>
      <w:jc w:val="center"/>
    </w:pPr>
  </w:style>
  <w:style w:type="paragraph" w:customStyle="1" w:styleId="TableTextLeft">
    <w:name w:val="Table Text Left"/>
    <w:basedOn w:val="TableTextRight"/>
    <w:rsid w:val="000E0B74"/>
    <w:pPr>
      <w:jc w:val="left"/>
    </w:pPr>
  </w:style>
  <w:style w:type="paragraph" w:customStyle="1" w:styleId="TableTextRight">
    <w:name w:val="Table Text Right"/>
    <w:basedOn w:val="Normal"/>
    <w:rsid w:val="000E0B74"/>
    <w:pPr>
      <w:spacing w:before="40" w:after="40"/>
      <w:jc w:val="right"/>
    </w:pPr>
    <w:rPr>
      <w:color w:val="000000"/>
      <w:sz w:val="18"/>
    </w:rPr>
  </w:style>
  <w:style w:type="paragraph" w:styleId="TOC1">
    <w:name w:val="toc 1"/>
    <w:basedOn w:val="Normal"/>
    <w:next w:val="Normal"/>
    <w:uiPriority w:val="39"/>
    <w:qFormat/>
    <w:rsid w:val="00656356"/>
    <w:pPr>
      <w:keepNext/>
      <w:tabs>
        <w:tab w:val="right" w:leader="dot" w:pos="9072"/>
      </w:tabs>
      <w:spacing w:before="180" w:after="0"/>
      <w:ind w:right="-2"/>
    </w:pPr>
    <w:rPr>
      <w:b/>
      <w:noProof/>
      <w:color w:val="004A7F"/>
      <w:szCs w:val="22"/>
    </w:rPr>
  </w:style>
  <w:style w:type="paragraph" w:styleId="TOC2">
    <w:name w:val="toc 2"/>
    <w:basedOn w:val="Normal"/>
    <w:next w:val="Normal"/>
    <w:uiPriority w:val="39"/>
    <w:qFormat/>
    <w:rsid w:val="00656356"/>
    <w:pPr>
      <w:keepNext/>
      <w:tabs>
        <w:tab w:val="right" w:leader="dot" w:pos="9072"/>
      </w:tabs>
      <w:spacing w:before="40" w:after="20"/>
      <w:ind w:right="-2"/>
    </w:pPr>
    <w:rPr>
      <w:noProof/>
      <w:color w:val="004A7F"/>
    </w:rPr>
  </w:style>
  <w:style w:type="paragraph" w:styleId="TOC3">
    <w:name w:val="toc 3"/>
    <w:basedOn w:val="Normal"/>
    <w:next w:val="Normal"/>
    <w:uiPriority w:val="39"/>
    <w:qFormat/>
    <w:rsid w:val="00E55326"/>
    <w:pPr>
      <w:tabs>
        <w:tab w:val="right" w:leader="dot" w:pos="9072"/>
      </w:tabs>
      <w:spacing w:before="20" w:after="0"/>
      <w:ind w:left="284" w:right="-2"/>
    </w:pPr>
    <w:rPr>
      <w:rFonts w:cs="Calibri"/>
      <w:noProof/>
      <w:color w:val="7F7F7F"/>
    </w:rPr>
  </w:style>
  <w:style w:type="numbering" w:customStyle="1" w:styleId="OutlineList">
    <w:name w:val="OutlineList"/>
    <w:uiPriority w:val="99"/>
    <w:rsid w:val="000E0B74"/>
    <w:pPr>
      <w:numPr>
        <w:numId w:val="4"/>
      </w:numPr>
    </w:pPr>
  </w:style>
  <w:style w:type="numbering" w:customStyle="1" w:styleId="BulletedList">
    <w:name w:val="Bulleted List"/>
    <w:uiPriority w:val="99"/>
    <w:rsid w:val="000E0B74"/>
    <w:pPr>
      <w:numPr>
        <w:numId w:val="1"/>
      </w:numPr>
    </w:pPr>
  </w:style>
  <w:style w:type="numbering" w:customStyle="1" w:styleId="BoxBulletedList">
    <w:name w:val="Box Bulleted List"/>
    <w:uiPriority w:val="99"/>
    <w:rsid w:val="000E0B74"/>
    <w:pPr>
      <w:numPr>
        <w:numId w:val="2"/>
      </w:numPr>
    </w:pPr>
  </w:style>
  <w:style w:type="numbering" w:customStyle="1" w:styleId="OneLevelList">
    <w:name w:val="OneLevelList"/>
    <w:uiPriority w:val="99"/>
    <w:rsid w:val="000E0B74"/>
    <w:pPr>
      <w:numPr>
        <w:numId w:val="3"/>
      </w:numPr>
    </w:pPr>
  </w:style>
  <w:style w:type="numbering" w:customStyle="1" w:styleId="ChartandTableFootnoteAlphaList">
    <w:name w:val="ChartandTableFootnoteAlphaList"/>
    <w:uiPriority w:val="99"/>
    <w:rsid w:val="000E0B74"/>
    <w:pPr>
      <w:numPr>
        <w:numId w:val="14"/>
      </w:numPr>
    </w:pPr>
  </w:style>
  <w:style w:type="paragraph" w:customStyle="1" w:styleId="Crest">
    <w:name w:val="Crest"/>
    <w:basedOn w:val="Header"/>
    <w:rsid w:val="000E0B74"/>
    <w:pPr>
      <w:spacing w:after="480"/>
      <w:jc w:val="center"/>
    </w:pPr>
    <w:rPr>
      <w:color w:val="000000" w:themeColor="text1"/>
    </w:rPr>
  </w:style>
  <w:style w:type="paragraph" w:customStyle="1" w:styleId="Heading1Numbered">
    <w:name w:val="Heading 1 Numbered"/>
    <w:basedOn w:val="Heading1"/>
    <w:next w:val="Normal"/>
    <w:rsid w:val="000E0B74"/>
    <w:pPr>
      <w:numPr>
        <w:numId w:val="8"/>
      </w:numPr>
    </w:pPr>
  </w:style>
  <w:style w:type="character" w:customStyle="1" w:styleId="SingleParagraphChar">
    <w:name w:val="Single Paragraph Char"/>
    <w:basedOn w:val="DefaultParagraphFont"/>
    <w:link w:val="SingleParagraph"/>
    <w:rsid w:val="000E0B74"/>
    <w:rPr>
      <w:rFonts w:ascii="Calibri" w:eastAsia="Times New Roman" w:hAnsi="Calibri" w:cs="Times New Roman"/>
      <w:szCs w:val="20"/>
      <w:lang w:eastAsia="en-AU"/>
    </w:rPr>
  </w:style>
  <w:style w:type="paragraph" w:customStyle="1" w:styleId="Heading2Numbered">
    <w:name w:val="Heading 2 Numbered"/>
    <w:basedOn w:val="Heading2"/>
    <w:next w:val="Normal"/>
    <w:rsid w:val="000E0B74"/>
    <w:pPr>
      <w:numPr>
        <w:ilvl w:val="1"/>
        <w:numId w:val="8"/>
      </w:numPr>
      <w:ind w:left="284" w:hanging="284"/>
    </w:pPr>
  </w:style>
  <w:style w:type="paragraph" w:customStyle="1" w:styleId="Heading3Numbered">
    <w:name w:val="Heading 3 Numbered"/>
    <w:basedOn w:val="Heading3"/>
    <w:qFormat/>
    <w:rsid w:val="000E0B74"/>
    <w:pPr>
      <w:numPr>
        <w:ilvl w:val="2"/>
        <w:numId w:val="8"/>
      </w:numPr>
      <w:ind w:left="284" w:hanging="284"/>
    </w:pPr>
  </w:style>
  <w:style w:type="paragraph" w:styleId="Title">
    <w:name w:val="Title"/>
    <w:basedOn w:val="Normal"/>
    <w:next w:val="Normal"/>
    <w:link w:val="TitleChar"/>
    <w:uiPriority w:val="10"/>
    <w:qFormat/>
    <w:rsid w:val="000E0B74"/>
    <w:pPr>
      <w:spacing w:before="0" w:after="300"/>
      <w:contextualSpacing/>
      <w:jc w:val="right"/>
    </w:pPr>
    <w:rPr>
      <w:rFonts w:eastAsiaTheme="majorEastAsia" w:cstheme="majorBidi"/>
      <w:b/>
      <w:color w:val="004A7F"/>
      <w:spacing w:val="5"/>
      <w:kern w:val="28"/>
      <w:sz w:val="72"/>
      <w:szCs w:val="52"/>
    </w:rPr>
  </w:style>
  <w:style w:type="character" w:customStyle="1" w:styleId="TitleChar">
    <w:name w:val="Title Char"/>
    <w:basedOn w:val="DefaultParagraphFont"/>
    <w:link w:val="Title"/>
    <w:uiPriority w:val="10"/>
    <w:rsid w:val="000E0B74"/>
    <w:rPr>
      <w:rFonts w:ascii="Calibri" w:eastAsiaTheme="majorEastAsia" w:hAnsi="Calibri" w:cstheme="majorBidi"/>
      <w:b/>
      <w:color w:val="004A7F"/>
      <w:spacing w:val="5"/>
      <w:kern w:val="28"/>
      <w:sz w:val="72"/>
      <w:szCs w:val="52"/>
      <w:lang w:eastAsia="en-AU"/>
    </w:rPr>
  </w:style>
  <w:style w:type="paragraph" w:styleId="Subtitle">
    <w:name w:val="Subtitle"/>
    <w:basedOn w:val="Normal"/>
    <w:next w:val="Normal"/>
    <w:link w:val="SubtitleChar"/>
    <w:uiPriority w:val="11"/>
    <w:qFormat/>
    <w:rsid w:val="00E1136B"/>
    <w:pPr>
      <w:numPr>
        <w:ilvl w:val="1"/>
      </w:numPr>
      <w:jc w:val="right"/>
    </w:pPr>
    <w:rPr>
      <w:rFonts w:eastAsiaTheme="majorEastAsia" w:cstheme="majorBidi"/>
      <w:iCs/>
      <w:color w:val="7F7F7F" w:themeColor="text1" w:themeTint="80"/>
      <w:sz w:val="44"/>
      <w:szCs w:val="44"/>
    </w:rPr>
  </w:style>
  <w:style w:type="character" w:customStyle="1" w:styleId="SubtitleChar">
    <w:name w:val="Subtitle Char"/>
    <w:basedOn w:val="DefaultParagraphFont"/>
    <w:link w:val="Subtitle"/>
    <w:uiPriority w:val="11"/>
    <w:rsid w:val="00E1136B"/>
    <w:rPr>
      <w:rFonts w:ascii="Calibri" w:eastAsiaTheme="majorEastAsia" w:hAnsi="Calibri" w:cstheme="majorBidi"/>
      <w:iCs/>
      <w:color w:val="7F7F7F" w:themeColor="text1" w:themeTint="80"/>
      <w:sz w:val="44"/>
      <w:szCs w:val="44"/>
      <w:lang w:eastAsia="en-AU"/>
    </w:rPr>
  </w:style>
  <w:style w:type="character" w:styleId="SubtleEmphasis">
    <w:name w:val="Subtle Emphasis"/>
    <w:basedOn w:val="DefaultParagraphFont"/>
    <w:uiPriority w:val="19"/>
    <w:qFormat/>
    <w:rsid w:val="000E0B74"/>
    <w:rPr>
      <w:i/>
      <w:iCs/>
      <w:color w:val="808080" w:themeColor="text1" w:themeTint="7F"/>
    </w:rPr>
  </w:style>
  <w:style w:type="paragraph" w:styleId="Footer">
    <w:name w:val="footer"/>
    <w:basedOn w:val="Normal"/>
    <w:link w:val="FooterChar"/>
    <w:unhideWhenUsed/>
    <w:rsid w:val="001606CF"/>
    <w:pPr>
      <w:tabs>
        <w:tab w:val="center" w:pos="4513"/>
        <w:tab w:val="right" w:pos="9026"/>
      </w:tabs>
      <w:spacing w:before="0" w:after="0"/>
      <w:jc w:val="center"/>
    </w:pPr>
    <w:rPr>
      <w:color w:val="004A7F"/>
      <w:sz w:val="20"/>
    </w:rPr>
  </w:style>
  <w:style w:type="character" w:customStyle="1" w:styleId="FooterChar">
    <w:name w:val="Footer Char"/>
    <w:basedOn w:val="DefaultParagraphFont"/>
    <w:link w:val="Footer"/>
    <w:rsid w:val="001606CF"/>
    <w:rPr>
      <w:rFonts w:ascii="Calibri" w:eastAsia="Times New Roman" w:hAnsi="Calibri" w:cs="Times New Roman"/>
      <w:color w:val="004A7F"/>
      <w:sz w:val="20"/>
      <w:szCs w:val="20"/>
      <w:lang w:eastAsia="en-AU"/>
    </w:rPr>
  </w:style>
  <w:style w:type="paragraph" w:styleId="Header">
    <w:name w:val="header"/>
    <w:basedOn w:val="Normal"/>
    <w:link w:val="HeaderChar"/>
    <w:uiPriority w:val="99"/>
    <w:unhideWhenUsed/>
    <w:rsid w:val="001606CF"/>
    <w:pPr>
      <w:keepNext/>
      <w:spacing w:before="0" w:after="0"/>
      <w:jc w:val="right"/>
    </w:pPr>
    <w:rPr>
      <w:color w:val="004A7F"/>
      <w:sz w:val="20"/>
    </w:rPr>
  </w:style>
  <w:style w:type="character" w:customStyle="1" w:styleId="HeaderChar">
    <w:name w:val="Header Char"/>
    <w:basedOn w:val="DefaultParagraphFont"/>
    <w:link w:val="Header"/>
    <w:uiPriority w:val="99"/>
    <w:rsid w:val="001606CF"/>
    <w:rPr>
      <w:rFonts w:ascii="Calibri" w:eastAsia="Times New Roman" w:hAnsi="Calibri" w:cs="Times New Roman"/>
      <w:color w:val="004A7F"/>
      <w:sz w:val="20"/>
      <w:szCs w:val="20"/>
      <w:lang w:eastAsia="en-AU"/>
    </w:rPr>
  </w:style>
  <w:style w:type="character" w:styleId="PlaceholderText">
    <w:name w:val="Placeholder Text"/>
    <w:basedOn w:val="DefaultParagraphFont"/>
    <w:uiPriority w:val="99"/>
    <w:semiHidden/>
    <w:rsid w:val="00056880"/>
    <w:rPr>
      <w:color w:val="808080"/>
    </w:rPr>
  </w:style>
  <w:style w:type="paragraph" w:customStyle="1" w:styleId="AppendixHeading">
    <w:name w:val="Appendix Heading"/>
    <w:basedOn w:val="Normal"/>
    <w:next w:val="Normal"/>
    <w:rsid w:val="00285969"/>
    <w:pPr>
      <w:keepNext/>
      <w:spacing w:before="720" w:after="360"/>
    </w:pPr>
    <w:rPr>
      <w:rFonts w:ascii="Arial Bold" w:hAnsi="Arial Bold"/>
      <w:b/>
      <w:smallCaps/>
      <w:color w:val="004A7F"/>
      <w:sz w:val="36"/>
      <w:szCs w:val="36"/>
    </w:rPr>
  </w:style>
  <w:style w:type="paragraph" w:customStyle="1" w:styleId="HeadingBase">
    <w:name w:val="Heading Base"/>
    <w:qFormat/>
    <w:rsid w:val="00263B6C"/>
    <w:pPr>
      <w:keepNext/>
      <w:spacing w:after="120" w:line="240" w:lineRule="auto"/>
    </w:pPr>
    <w:rPr>
      <w:rFonts w:ascii="Calibri" w:eastAsia="Times New Roman" w:hAnsi="Calibri" w:cs="Arial"/>
      <w:bCs/>
      <w:color w:val="004A7F"/>
      <w:kern w:val="32"/>
      <w:szCs w:val="36"/>
      <w:lang w:eastAsia="en-AU"/>
    </w:rPr>
  </w:style>
  <w:style w:type="character" w:customStyle="1" w:styleId="ReportDateChar">
    <w:name w:val="Report Date Char"/>
    <w:basedOn w:val="DefaultParagraphFont"/>
    <w:link w:val="ReportDate"/>
    <w:rsid w:val="00925AA5"/>
    <w:rPr>
      <w:rFonts w:ascii="Calibri" w:eastAsia="Times New Roman" w:hAnsi="Calibri" w:cs="Times New Roman"/>
      <w:color w:val="004A7F"/>
      <w:sz w:val="44"/>
      <w:szCs w:val="20"/>
      <w:lang w:eastAsia="en-AU"/>
    </w:rPr>
  </w:style>
  <w:style w:type="paragraph" w:customStyle="1" w:styleId="Disclaimer">
    <w:name w:val="Disclaimer"/>
    <w:basedOn w:val="ReportDate"/>
    <w:rsid w:val="002F617F"/>
    <w:pPr>
      <w:spacing w:after="1800"/>
      <w:ind w:right="142"/>
    </w:pPr>
    <w:rPr>
      <w:rFonts w:ascii="Century Gothic" w:hAnsi="Century Gothic"/>
      <w:b/>
      <w:bCs/>
      <w:color w:val="44546A" w:themeColor="text2"/>
      <w:sz w:val="22"/>
    </w:rPr>
  </w:style>
  <w:style w:type="paragraph" w:customStyle="1" w:styleId="NotesHeading">
    <w:name w:val="Notes Heading"/>
    <w:basedOn w:val="Normal"/>
    <w:rsid w:val="002F617F"/>
    <w:pPr>
      <w:keepNext/>
      <w:spacing w:before="240" w:after="360"/>
      <w:jc w:val="center"/>
    </w:pPr>
    <w:rPr>
      <w:rFonts w:ascii="Century Gothic" w:hAnsi="Century Gothic"/>
      <w:smallCaps/>
      <w:color w:val="44546A" w:themeColor="text2"/>
      <w:sz w:val="36"/>
      <w:szCs w:val="36"/>
    </w:rPr>
  </w:style>
  <w:style w:type="paragraph" w:customStyle="1" w:styleId="Divider">
    <w:name w:val="Divider"/>
    <w:basedOn w:val="ReportDate"/>
    <w:qFormat/>
    <w:rsid w:val="002F617F"/>
    <w:pPr>
      <w:spacing w:after="1800"/>
      <w:ind w:right="0"/>
    </w:pPr>
    <w:rPr>
      <w:rFonts w:ascii="Rockwell" w:hAnsi="Rockwell"/>
      <w:sz w:val="24"/>
    </w:rPr>
  </w:style>
  <w:style w:type="character" w:customStyle="1" w:styleId="FramedFooter">
    <w:name w:val="Framed Footer"/>
    <w:rsid w:val="00E22D51"/>
    <w:rPr>
      <w:rFonts w:ascii="Arial" w:hAnsi="Arial"/>
      <w:color w:val="004A7F"/>
      <w:sz w:val="18"/>
    </w:rPr>
  </w:style>
  <w:style w:type="character" w:customStyle="1" w:styleId="FramedHeader">
    <w:name w:val="Framed Header"/>
    <w:basedOn w:val="DefaultParagraphFont"/>
    <w:rsid w:val="0027590B"/>
    <w:rPr>
      <w:rFonts w:ascii="Arial" w:hAnsi="Arial"/>
      <w:dstrike w:val="0"/>
      <w:color w:val="auto"/>
      <w:sz w:val="18"/>
      <w:vertAlign w:val="baseline"/>
    </w:rPr>
  </w:style>
  <w:style w:type="paragraph" w:customStyle="1" w:styleId="TableTextIndented">
    <w:name w:val="Table Text Indented"/>
    <w:basedOn w:val="TableTextLeft"/>
    <w:qFormat/>
    <w:rsid w:val="008E6292"/>
    <w:pPr>
      <w:ind w:left="284"/>
    </w:pPr>
  </w:style>
  <w:style w:type="paragraph" w:customStyle="1" w:styleId="TableHeadingContinued">
    <w:name w:val="Table Heading Continued"/>
    <w:basedOn w:val="TableMainHeading"/>
    <w:next w:val="TableGraphic"/>
    <w:qFormat/>
    <w:rsid w:val="007E2AB9"/>
  </w:style>
  <w:style w:type="paragraph" w:customStyle="1" w:styleId="TableGraphic">
    <w:name w:val="Table Graphic"/>
    <w:basedOn w:val="HeadingBase"/>
    <w:next w:val="Normal"/>
    <w:qFormat/>
    <w:rsid w:val="008E6292"/>
    <w:pPr>
      <w:spacing w:after="0"/>
    </w:pPr>
  </w:style>
  <w:style w:type="character" w:styleId="FootnoteReference">
    <w:name w:val="footnote reference"/>
    <w:basedOn w:val="DefaultParagraphFont"/>
    <w:uiPriority w:val="99"/>
    <w:rsid w:val="000F7517"/>
    <w:rPr>
      <w:rFonts w:ascii="Calibri" w:hAnsi="Calibri"/>
      <w:sz w:val="20"/>
      <w:vertAlign w:val="superscript"/>
    </w:rPr>
  </w:style>
  <w:style w:type="paragraph" w:styleId="FootnoteText">
    <w:name w:val="footnote text"/>
    <w:basedOn w:val="Normal"/>
    <w:link w:val="FootnoteTextChar"/>
    <w:uiPriority w:val="99"/>
    <w:rsid w:val="0060595B"/>
    <w:pPr>
      <w:spacing w:before="0" w:after="0"/>
    </w:pPr>
    <w:rPr>
      <w:sz w:val="20"/>
    </w:rPr>
  </w:style>
  <w:style w:type="character" w:customStyle="1" w:styleId="FootnoteTextChar">
    <w:name w:val="Footnote Text Char"/>
    <w:basedOn w:val="DefaultParagraphFont"/>
    <w:link w:val="FootnoteText"/>
    <w:uiPriority w:val="99"/>
    <w:rsid w:val="0060595B"/>
    <w:rPr>
      <w:rFonts w:ascii="Calibri" w:eastAsia="Times New Roman" w:hAnsi="Calibri" w:cs="Times New Roman"/>
      <w:sz w:val="20"/>
      <w:szCs w:val="20"/>
      <w:lang w:eastAsia="en-AU"/>
    </w:rPr>
  </w:style>
  <w:style w:type="paragraph" w:customStyle="1" w:styleId="Heading3noTOC">
    <w:name w:val="Heading 3 no TOC"/>
    <w:basedOn w:val="Heading3"/>
    <w:qFormat/>
    <w:rsid w:val="00257AEE"/>
    <w:rPr>
      <w:rFonts w:cs="Calibri"/>
    </w:rPr>
  </w:style>
  <w:style w:type="paragraph" w:styleId="BalloonText">
    <w:name w:val="Balloon Text"/>
    <w:basedOn w:val="Normal"/>
    <w:link w:val="BalloonTextChar"/>
    <w:uiPriority w:val="99"/>
    <w:semiHidden/>
    <w:unhideWhenUsed/>
    <w:rsid w:val="00475B7B"/>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75B7B"/>
    <w:rPr>
      <w:rFonts w:ascii="Tahoma" w:eastAsia="Times New Roman" w:hAnsi="Tahoma" w:cs="Tahoma"/>
      <w:sz w:val="16"/>
      <w:szCs w:val="16"/>
      <w:lang w:eastAsia="en-AU"/>
    </w:rPr>
  </w:style>
  <w:style w:type="character" w:customStyle="1" w:styleId="BulletChar">
    <w:name w:val="Bullet Char"/>
    <w:basedOn w:val="DefaultParagraphFont"/>
    <w:link w:val="Bullet"/>
    <w:rsid w:val="00636373"/>
    <w:rPr>
      <w:rFonts w:ascii="Calibri" w:eastAsia="Times New Roman" w:hAnsi="Calibri" w:cs="Times New Roman"/>
      <w:szCs w:val="20"/>
      <w:lang w:eastAsia="en-AU"/>
    </w:rPr>
  </w:style>
  <w:style w:type="character" w:customStyle="1" w:styleId="DashChar">
    <w:name w:val="Dash Char"/>
    <w:basedOn w:val="DefaultParagraphFont"/>
    <w:link w:val="Dash"/>
    <w:rsid w:val="00636373"/>
    <w:rPr>
      <w:rFonts w:ascii="Calibri" w:eastAsia="Times New Roman" w:hAnsi="Calibri" w:cs="Times New Roman"/>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creativecommons.org/licenses/by/3.0/au/legalcode" TargetMode="External"/><Relationship Id="rId34" Type="http://schemas.openxmlformats.org/officeDocument/2006/relationships/footer" Target="footer7.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2.xml"/><Relationship Id="rId25" Type="http://schemas.openxmlformats.org/officeDocument/2006/relationships/hyperlink" Target="mailto:medialiaison@treasury.gov.au" TargetMode="External"/><Relationship Id="rId33"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creativecommons.org/licenses/by/3.0/au/deed.en" TargetMode="External"/><Relationship Id="rId29"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http://www.pmc.gov.au/government/commonwealth-coat-arm" TargetMode="External"/><Relationship Id="rId32" Type="http://schemas.openxmlformats.org/officeDocument/2006/relationships/footer" Target="footer6.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hyperlink" Target="http://creativecommons.org/licenses/by/3.0/au/deed.en" TargetMode="External"/><Relationship Id="rId28" Type="http://schemas.openxmlformats.org/officeDocument/2006/relationships/footer" Target="footer4.xml"/><Relationship Id="rId36"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footer" Target="footer3.xml"/><Relationship Id="rId31" Type="http://schemas.openxmlformats.org/officeDocument/2006/relationships/footer" Target="footer5.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eader" Target="header1.xml"/><Relationship Id="rId22" Type="http://schemas.openxmlformats.org/officeDocument/2006/relationships/image" Target="media/image3.wmf"/><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Consultation%20Discussion%20Pap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363702FFD4E55488CDA69C4B4D25361" ma:contentTypeVersion="18741" ma:contentTypeDescription="" ma:contentTypeScope="" ma:versionID="41172c98cca47a833ec949e689292997">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ab47aa5662834dbcfec7917f2c900548"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8;#TSY RA-9242 - Destroy 10 years after action completed|f06ddbdb-86df-426a-bbc0-a9044fd46ab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RA-9242 - Destroy 10 years after action completed</TermName>
          <TermId xmlns="http://schemas.microsoft.com/office/infopath/2007/PartnerControls">f06ddbdb-86df-426a-bbc0-a9044fd46ab3</TermId>
        </TermInfo>
      </Terms>
    </lb508a4dc5e84436a0fe496b536466aa>
    <_dlc_DocId xmlns="0f563589-9cf9-4143-b1eb-fb0534803d38">2019RG-266-477</_dlc_DocId>
    <TaxCatchAll xmlns="0f563589-9cf9-4143-b1eb-fb0534803d38">
      <Value>8</Value>
    </TaxCatchAll>
    <_dlc_DocIdUrl xmlns="0f563589-9cf9-4143-b1eb-fb0534803d38">
      <Url>http://tweb/sites/rg/iitd/rr/_layouts/15/DocIdRedir.aspx?ID=2019RG-266-477</Url>
      <Description>2019RG-266-477</Description>
    </_dlc_DocIdUrl>
    <IconOverlay xmlns="http://schemas.microsoft.com/sharepoint/v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9D2B9-C8B6-42A7-8D5F-18D0DA67FF92}">
  <ds:schemaRefs>
    <ds:schemaRef ds:uri="http://schemas.microsoft.com/sharepoint/events"/>
  </ds:schemaRefs>
</ds:datastoreItem>
</file>

<file path=customXml/itemProps2.xml><?xml version="1.0" encoding="utf-8"?>
<ds:datastoreItem xmlns:ds="http://schemas.openxmlformats.org/officeDocument/2006/customXml" ds:itemID="{8ACE0F41-29AE-4CE1-B9F5-61034CF0E86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B2FB3C-FEF4-4D53-9A9D-AA7DAB92A795}">
  <ds:schemaRefs>
    <ds:schemaRef ds:uri="http://schemas.microsoft.com/sharepoint/v4"/>
    <ds:schemaRef ds:uri="http://schemas.microsoft.com/office/2006/documentManagement/types"/>
    <ds:schemaRef ds:uri="http://www.w3.org/XML/1998/namespace"/>
    <ds:schemaRef ds:uri="0f563589-9cf9-4143-b1eb-fb0534803d38"/>
    <ds:schemaRef ds:uri="http://schemas.openxmlformats.org/package/2006/metadata/core-properties"/>
    <ds:schemaRef ds:uri="http://purl.org/dc/elements/1.1/"/>
    <ds:schemaRef ds:uri="http://purl.org/dc/dcmitype/"/>
    <ds:schemaRef ds:uri="http://schemas.microsoft.com/office/2006/metadata/properties"/>
    <ds:schemaRef ds:uri="http://schemas.microsoft.com/office/infopath/2007/PartnerControls"/>
    <ds:schemaRef ds:uri="9f7bc583-7cbe-45b9-a2bd-8bbb6543b37e"/>
    <ds:schemaRef ds:uri="http://schemas.microsoft.com/sharepoint/v3"/>
    <ds:schemaRef ds:uri="http://purl.org/dc/terms/"/>
  </ds:schemaRefs>
</ds:datastoreItem>
</file>

<file path=customXml/itemProps4.xml><?xml version="1.0" encoding="utf-8"?>
<ds:datastoreItem xmlns:ds="http://schemas.openxmlformats.org/officeDocument/2006/customXml" ds:itemID="{B02592A9-7630-4B83-B77D-2FC863BA8851}">
  <ds:schemaRefs>
    <ds:schemaRef ds:uri="http://schemas.microsoft.com/sharepoint/v3/contenttype/forms"/>
  </ds:schemaRefs>
</ds:datastoreItem>
</file>

<file path=customXml/itemProps5.xml><?xml version="1.0" encoding="utf-8"?>
<ds:datastoreItem xmlns:ds="http://schemas.openxmlformats.org/officeDocument/2006/customXml" ds:itemID="{8814E6AB-E3C5-482F-9D7F-7C2BD0239E56}">
  <ds:schemaRefs>
    <ds:schemaRef ds:uri="office.server.policy"/>
  </ds:schemaRefs>
</ds:datastoreItem>
</file>

<file path=customXml/itemProps6.xml><?xml version="1.0" encoding="utf-8"?>
<ds:datastoreItem xmlns:ds="http://schemas.openxmlformats.org/officeDocument/2006/customXml" ds:itemID="{9C19841E-5E15-43DF-8CA7-3840CD8A2F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Consultation Discussion Paper.dotm</Template>
  <TotalTime>19</TotalTime>
  <Pages>6</Pages>
  <Words>1397</Words>
  <Characters>7620</Characters>
  <Application>Microsoft Office Word</Application>
  <DocSecurity>0</DocSecurity>
  <Lines>149</Lines>
  <Paragraphs>79</Paragraphs>
  <ScaleCrop>false</ScaleCrop>
  <HeadingPairs>
    <vt:vector size="2" baseType="variant">
      <vt:variant>
        <vt:lpstr>Title</vt:lpstr>
      </vt:variant>
      <vt:variant>
        <vt:i4>1</vt:i4>
      </vt:variant>
    </vt:vector>
  </HeadingPairs>
  <TitlesOfParts>
    <vt:vector size="1" baseType="lpstr">
      <vt:lpstr>Background to the review of the Tax Practitioners Board</vt:lpstr>
    </vt:vector>
  </TitlesOfParts>
  <Company>Australian Government - The Treasury</Company>
  <LinksUpToDate>false</LinksUpToDate>
  <CharactersWithSpaces>8938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Background to the review of the Tax Practitioners Board</dc:title>
  <dc:creator>Treasury</dc:creator>
  <cp:lastModifiedBy>Hill, Christine</cp:lastModifiedBy>
  <cp:revision>4</cp:revision>
  <dcterms:created xsi:type="dcterms:W3CDTF">2019-03-28T02:20:00Z</dcterms:created>
  <dcterms:modified xsi:type="dcterms:W3CDTF">2019-03-28T05:47:00Z</dcterms:modified>
</cp:coreProperties>
</file>