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4E042" w14:textId="77777777" w:rsidR="00503F7C" w:rsidRDefault="00503F7C" w:rsidP="00006F7E">
      <w:pPr>
        <w:pStyle w:val="CoverTitleSub"/>
        <w:rPr>
          <w:rFonts w:cs="Calibri"/>
          <w:szCs w:val="36"/>
        </w:rPr>
      </w:pPr>
    </w:p>
    <w:p w14:paraId="2984E043" w14:textId="77777777" w:rsidR="00503F7C" w:rsidRDefault="00503F7C" w:rsidP="00006F7E">
      <w:pPr>
        <w:pStyle w:val="CoverTitleSub"/>
        <w:rPr>
          <w:rFonts w:cs="Calibri"/>
          <w:szCs w:val="36"/>
        </w:rPr>
      </w:pPr>
    </w:p>
    <w:p w14:paraId="2984E044" w14:textId="77777777" w:rsidR="00503F7C" w:rsidRDefault="00503F7C" w:rsidP="00006F7E">
      <w:pPr>
        <w:pStyle w:val="CoverTitleSub"/>
        <w:rPr>
          <w:rFonts w:cs="Calibri"/>
          <w:szCs w:val="36"/>
        </w:rPr>
      </w:pPr>
    </w:p>
    <w:p w14:paraId="2984E045" w14:textId="77777777" w:rsidR="00503F7C" w:rsidRDefault="00503F7C" w:rsidP="00006F7E">
      <w:pPr>
        <w:pStyle w:val="CoverTitleSub"/>
        <w:rPr>
          <w:rFonts w:cs="Calibri"/>
          <w:szCs w:val="36"/>
        </w:rPr>
      </w:pPr>
    </w:p>
    <w:p w14:paraId="2984E046" w14:textId="77777777" w:rsidR="00503F7C" w:rsidRDefault="00503F7C" w:rsidP="00006F7E">
      <w:pPr>
        <w:pStyle w:val="CoverTitleSub"/>
        <w:rPr>
          <w:rFonts w:cs="Calibri"/>
          <w:szCs w:val="36"/>
        </w:rPr>
      </w:pPr>
    </w:p>
    <w:p w14:paraId="2984E047" w14:textId="77777777" w:rsidR="00503F7C" w:rsidRDefault="00503F7C" w:rsidP="00006F7E">
      <w:pPr>
        <w:pStyle w:val="CoverTitleSub"/>
        <w:rPr>
          <w:rFonts w:cs="Calibri"/>
          <w:szCs w:val="36"/>
        </w:rPr>
      </w:pPr>
    </w:p>
    <w:p w14:paraId="2984E048" w14:textId="77777777" w:rsidR="00A077F9" w:rsidRDefault="00C46EA4" w:rsidP="00503F7C">
      <w:pPr>
        <w:pStyle w:val="CoverTitleSub"/>
      </w:pPr>
      <w:r>
        <w:rPr>
          <w:noProof/>
        </w:rPr>
        <mc:AlternateContent>
          <mc:Choice Requires="wpc">
            <w:drawing>
              <wp:anchor distT="0" distB="0" distL="114300" distR="114300" simplePos="0" relativeHeight="251658240" behindDoc="0" locked="0" layoutInCell="1" allowOverlap="1" wp14:anchorId="2984E0BE" wp14:editId="2984E0BF">
                <wp:simplePos x="0" y="0"/>
                <wp:positionH relativeFrom="margin">
                  <wp:align>center</wp:align>
                </wp:positionH>
                <wp:positionV relativeFrom="margin">
                  <wp:align>center</wp:align>
                </wp:positionV>
                <wp:extent cx="7543800" cy="2316480"/>
                <wp:effectExtent l="0" t="0" r="0" b="0"/>
                <wp:wrapSquare wrapText="bothSides"/>
                <wp:docPr id="3"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2"/>
                        <wps:cNvSpPr txBox="1">
                          <a:spLocks noChangeArrowheads="1"/>
                        </wps:cNvSpPr>
                        <wps:spPr bwMode="auto">
                          <a:xfrm>
                            <a:off x="0" y="0"/>
                            <a:ext cx="7543800" cy="2281079"/>
                          </a:xfrm>
                          <a:prstGeom prst="rect">
                            <a:avLst/>
                          </a:prstGeom>
                          <a:gradFill rotWithShape="1">
                            <a:gsLst>
                              <a:gs pos="0">
                                <a:srgbClr val="342E82"/>
                              </a:gs>
                              <a:gs pos="100000">
                                <a:srgbClr val="18153C"/>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4E0CB" w14:textId="77777777" w:rsidR="00693051" w:rsidRDefault="00693051" w:rsidP="0086243B">
                              <w:pPr>
                                <w:pStyle w:val="NormalWeb"/>
                                <w:spacing w:before="0" w:beforeAutospacing="0" w:after="200" w:afterAutospacing="0" w:line="276" w:lineRule="auto"/>
                                <w:jc w:val="right"/>
                              </w:pPr>
                              <w:r>
                                <w:rPr>
                                  <w:rFonts w:ascii="Calibri" w:hAnsi="Calibri" w:cs="Calibri"/>
                                  <w:sz w:val="48"/>
                                  <w:szCs w:val="48"/>
                                </w:rPr>
                                <w:t> </w:t>
                              </w:r>
                            </w:p>
                            <w:p w14:paraId="2984E0CC" w14:textId="77777777" w:rsidR="00693051" w:rsidRDefault="00693051" w:rsidP="0086243B">
                              <w:pPr>
                                <w:pStyle w:val="NormalWeb"/>
                                <w:spacing w:before="240" w:beforeAutospacing="0" w:after="200" w:afterAutospacing="0" w:line="360" w:lineRule="auto"/>
                                <w:jc w:val="right"/>
                              </w:pPr>
                              <w:r>
                                <w:rPr>
                                  <w:rFonts w:ascii="Calibri" w:hAnsi="Calibri"/>
                                  <w:color w:val="FFFFFF"/>
                                  <w:sz w:val="56"/>
                                  <w:szCs w:val="56"/>
                                </w:rPr>
                                <w:t xml:space="preserve">Clarifying the definition of limited recourse debt </w:t>
                              </w:r>
                            </w:p>
                            <w:p w14:paraId="2984E0CD" w14:textId="77777777" w:rsidR="00693051" w:rsidRDefault="00693051" w:rsidP="0086243B">
                              <w:pPr>
                                <w:pStyle w:val="NormalWeb"/>
                                <w:spacing w:before="0" w:beforeAutospacing="0" w:after="200" w:afterAutospacing="0" w:line="276" w:lineRule="auto"/>
                                <w:jc w:val="right"/>
                              </w:pPr>
                              <w:r>
                                <w:rPr>
                                  <w:rFonts w:ascii="Calibri" w:hAnsi="Calibri" w:cs="Calibri"/>
                                  <w:b/>
                                  <w:bCs/>
                                  <w:sz w:val="48"/>
                                  <w:szCs w:val="48"/>
                                </w:rPr>
                                <w:t> </w:t>
                              </w:r>
                            </w:p>
                          </w:txbxContent>
                        </wps:txbx>
                        <wps:bodyPr rot="0" vert="horz" wrap="square" lIns="91440" tIns="45720" rIns="90000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 o:spid="_x0000_s1026" editas="canvas" style="position:absolute;left:0;text-align:left;margin-left:0;margin-top:0;width:594pt;height:182.4pt;z-index:251658240;mso-position-horizontal:center;mso-position-horizontal-relative:margin;mso-position-vertical:center;mso-position-vertical-relative:margin" coordsize="75438,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438;height:23164;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width:75438;height:22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4w8MEA&#10;AADaAAAADwAAAGRycy9kb3ducmV2LnhtbESP0WoCMRRE3wv+Q7iCbzWpiNit2WUrCIJQ0PoBl83t&#10;7tLNTbqJmv59UxB8HGbmDLOpkh3ElcbQO9bwMlcgiBtnem41nD93z2sQISIbHByThl8KUJWTpw0W&#10;xt34SNdTbEWGcChQQxejL6QMTUcWw9x54ux9udFizHJspRnxluF2kAulVtJiz3mhQ0/bjprv08Vq&#10;CLX/SEtZv76fvfpRq3QYVHPQejZN9RuISCk+wvf23mhYwP+VfAN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eMPDBAAAA2gAAAA8AAAAAAAAAAAAAAAAAmAIAAGRycy9kb3du&#10;cmV2LnhtbFBLBQYAAAAABAAEAPUAAACGAwAAAAA=&#10;" fillcolor="#342e82" stroked="f">
                  <v:fill color2="#18153c" rotate="t" focus="100%" type="gradient"/>
                  <v:textbox inset=",,25mm">
                    <w:txbxContent>
                      <w:p w:rsidR="00693051" w:rsidRDefault="00693051" w:rsidP="0086243B">
                        <w:pPr>
                          <w:pStyle w:val="NormalWeb"/>
                          <w:spacing w:before="0" w:beforeAutospacing="0" w:after="200" w:afterAutospacing="0" w:line="276" w:lineRule="auto"/>
                          <w:jc w:val="right"/>
                        </w:pPr>
                        <w:r>
                          <w:rPr>
                            <w:rFonts w:ascii="Calibri" w:hAnsi="Calibri" w:cs="Calibri"/>
                            <w:sz w:val="48"/>
                            <w:szCs w:val="48"/>
                          </w:rPr>
                          <w:t> </w:t>
                        </w:r>
                      </w:p>
                      <w:p w:rsidR="00693051" w:rsidRDefault="00693051" w:rsidP="0086243B">
                        <w:pPr>
                          <w:pStyle w:val="NormalWeb"/>
                          <w:spacing w:before="240" w:beforeAutospacing="0" w:after="200" w:afterAutospacing="0" w:line="360" w:lineRule="auto"/>
                          <w:jc w:val="right"/>
                        </w:pPr>
                        <w:r>
                          <w:rPr>
                            <w:rFonts w:ascii="Calibri" w:hAnsi="Calibri"/>
                            <w:color w:val="FFFFFF"/>
                            <w:sz w:val="56"/>
                            <w:szCs w:val="56"/>
                          </w:rPr>
                          <w:t xml:space="preserve">Clarifying the definition of limited recourse debt </w:t>
                        </w:r>
                      </w:p>
                      <w:p w:rsidR="00693051" w:rsidRDefault="00693051" w:rsidP="0086243B">
                        <w:pPr>
                          <w:pStyle w:val="NormalWeb"/>
                          <w:spacing w:before="0" w:beforeAutospacing="0" w:after="200" w:afterAutospacing="0" w:line="276" w:lineRule="auto"/>
                          <w:jc w:val="right"/>
                        </w:pPr>
                        <w:r>
                          <w:rPr>
                            <w:rFonts w:ascii="Calibri" w:hAnsi="Calibri" w:cs="Calibri"/>
                            <w:b/>
                            <w:bCs/>
                            <w:sz w:val="48"/>
                            <w:szCs w:val="48"/>
                          </w:rPr>
                          <w:t> </w:t>
                        </w:r>
                      </w:p>
                    </w:txbxContent>
                  </v:textbox>
                </v:shape>
                <w10:wrap type="square" anchorx="margin" anchory="margin"/>
              </v:group>
            </w:pict>
          </mc:Fallback>
        </mc:AlternateContent>
      </w:r>
    </w:p>
    <w:p w14:paraId="2984E049" w14:textId="77777777" w:rsidR="00A077F9" w:rsidRDefault="00A077F9" w:rsidP="00006F7E">
      <w:pPr>
        <w:pStyle w:val="CoverTitleSub"/>
      </w:pPr>
      <w:r>
        <w:rPr>
          <w:rFonts w:cs="Calibri"/>
        </w:rPr>
        <w:t>Discussion paper</w:t>
      </w:r>
      <w:r>
        <w:rPr>
          <w:rFonts w:cs="Calibri"/>
        </w:rPr>
        <w:br/>
      </w:r>
      <w:r>
        <w:rPr>
          <w:szCs w:val="28"/>
        </w:rPr>
        <w:t>Ju</w:t>
      </w:r>
      <w:r w:rsidR="00893DAC">
        <w:rPr>
          <w:szCs w:val="28"/>
        </w:rPr>
        <w:t>ly</w:t>
      </w:r>
      <w:r>
        <w:rPr>
          <w:szCs w:val="28"/>
        </w:rPr>
        <w:t xml:space="preserve"> 2012</w:t>
      </w:r>
    </w:p>
    <w:p w14:paraId="2984E04A" w14:textId="77777777" w:rsidR="00A077F9" w:rsidRPr="00687279" w:rsidRDefault="00A077F9" w:rsidP="00006F7E">
      <w:pPr>
        <w:rPr>
          <w:rFonts w:ascii="Calibri" w:hAnsi="Calibri" w:cs="Calibri"/>
          <w:sz w:val="20"/>
        </w:rPr>
      </w:pPr>
    </w:p>
    <w:p w14:paraId="2984E04B" w14:textId="77777777" w:rsidR="00A077F9" w:rsidRPr="00687279" w:rsidRDefault="00A077F9" w:rsidP="00006F7E">
      <w:pPr>
        <w:rPr>
          <w:rFonts w:ascii="Calibri" w:hAnsi="Calibri"/>
        </w:rPr>
        <w:sectPr w:rsidR="00A077F9" w:rsidRPr="00687279">
          <w:pgSz w:w="11906" w:h="16838"/>
          <w:pgMar w:top="1418" w:right="1418" w:bottom="1418" w:left="1418" w:header="709" w:footer="709" w:gutter="0"/>
          <w:cols w:space="720"/>
        </w:sectPr>
      </w:pPr>
    </w:p>
    <w:p w14:paraId="2984E04C" w14:textId="77777777" w:rsidR="00A077F9" w:rsidRPr="00687279" w:rsidRDefault="00A077F9" w:rsidP="00240AAC">
      <w:pPr>
        <w:rPr>
          <w:rFonts w:ascii="Calibri" w:hAnsi="Calibri"/>
        </w:rPr>
      </w:pPr>
      <w:r w:rsidRPr="00687279">
        <w:rPr>
          <w:rFonts w:ascii="Calibri" w:hAnsi="Calibri"/>
        </w:rPr>
        <w:lastRenderedPageBreak/>
        <w:t>© Commonwealth of Australia 2012</w:t>
      </w:r>
    </w:p>
    <w:p w14:paraId="2984E04D" w14:textId="3411D026" w:rsidR="00A077F9" w:rsidRPr="00687279" w:rsidRDefault="00A077F9" w:rsidP="00240AAC">
      <w:pPr>
        <w:rPr>
          <w:rFonts w:ascii="Calibri" w:hAnsi="Calibri"/>
        </w:rPr>
      </w:pPr>
      <w:r w:rsidRPr="00687279">
        <w:rPr>
          <w:rFonts w:ascii="Calibri" w:hAnsi="Calibri"/>
        </w:rPr>
        <w:t xml:space="preserve">ISBN </w:t>
      </w:r>
      <w:r w:rsidR="00A421C7">
        <w:rPr>
          <w:rFonts w:ascii="Calibri" w:hAnsi="Calibri"/>
        </w:rPr>
        <w:t>978 0 642 74838 6</w:t>
      </w:r>
    </w:p>
    <w:p w14:paraId="2984E04E" w14:textId="6994C02C" w:rsidR="00A077F9" w:rsidRPr="00687279" w:rsidRDefault="00A077F9" w:rsidP="00240AAC">
      <w:pPr>
        <w:tabs>
          <w:tab w:val="left" w:pos="1650"/>
        </w:tabs>
        <w:spacing w:before="100" w:beforeAutospacing="1" w:after="100" w:afterAutospacing="1"/>
        <w:rPr>
          <w:rStyle w:val="A5"/>
          <w:rFonts w:ascii="Calibri" w:hAnsi="Calibri"/>
          <w:sz w:val="24"/>
          <w:szCs w:val="24"/>
        </w:rPr>
      </w:pPr>
      <w:r w:rsidRPr="00687279">
        <w:rPr>
          <w:rFonts w:ascii="Calibri" w:hAnsi="Calibri"/>
        </w:rPr>
        <w:t>This publication is available for your use under a</w:t>
      </w:r>
      <w:r w:rsidRPr="00687279">
        <w:rPr>
          <w:rStyle w:val="A5"/>
          <w:rFonts w:ascii="Calibri" w:hAnsi="Calibri" w:cs="Calibri"/>
          <w:sz w:val="24"/>
          <w:szCs w:val="24"/>
        </w:rPr>
        <w:t xml:space="preserve"> </w:t>
      </w:r>
      <w:hyperlink r:id="rId12" w:history="1">
        <w:r w:rsidRPr="00687279">
          <w:rPr>
            <w:rStyle w:val="Hyperlink"/>
            <w:rFonts w:ascii="Calibri" w:hAnsi="Calibri"/>
          </w:rPr>
          <w:t>Creative Commons Attribution 3.0 Australia</w:t>
        </w:r>
      </w:hyperlink>
      <w:r w:rsidRPr="00687279">
        <w:rPr>
          <w:rStyle w:val="A5"/>
          <w:rFonts w:ascii="Calibri" w:hAnsi="Calibri" w:cs="Calibri"/>
          <w:sz w:val="24"/>
          <w:szCs w:val="24"/>
        </w:rPr>
        <w:t xml:space="preserve"> </w:t>
      </w:r>
      <w:r w:rsidRPr="00687279">
        <w:rPr>
          <w:rFonts w:ascii="Calibri" w:hAnsi="Calibri"/>
        </w:rPr>
        <w:t>licence, with the exception of the Commonwealth Coat of Arms, the Treasury logo, photographs, images, signatures and where otherwise stated</w:t>
      </w:r>
      <w:r w:rsidR="00A421C7">
        <w:rPr>
          <w:rFonts w:ascii="Calibri" w:hAnsi="Calibri"/>
        </w:rPr>
        <w:t xml:space="preserve">. </w:t>
      </w:r>
      <w:r w:rsidRPr="00687279">
        <w:rPr>
          <w:rFonts w:ascii="Calibri" w:hAnsi="Calibri"/>
        </w:rPr>
        <w:t>The full licence terms are available from</w:t>
      </w:r>
      <w:r w:rsidRPr="00687279">
        <w:rPr>
          <w:rStyle w:val="A5"/>
          <w:rFonts w:ascii="Calibri" w:hAnsi="Calibri" w:cs="Calibri"/>
          <w:sz w:val="24"/>
          <w:szCs w:val="24"/>
        </w:rPr>
        <w:t xml:space="preserve"> </w:t>
      </w:r>
      <w:hyperlink r:id="rId13" w:history="1">
        <w:r w:rsidRPr="00687279">
          <w:rPr>
            <w:rStyle w:val="Hyperlink"/>
            <w:rFonts w:ascii="Calibri" w:hAnsi="Calibri"/>
          </w:rPr>
          <w:t>http://creativecommons.org/licenses/by/3.0/au/legalcode</w:t>
        </w:r>
      </w:hyperlink>
      <w:r w:rsidRPr="00687279">
        <w:rPr>
          <w:rStyle w:val="Hyperlink"/>
          <w:rFonts w:ascii="Calibri" w:hAnsi="Calibri"/>
        </w:rPr>
        <w:t>.</w:t>
      </w:r>
      <w:r w:rsidRPr="00687279">
        <w:rPr>
          <w:rFonts w:ascii="Calibri" w:hAnsi="Calibri"/>
          <w:sz w:val="24"/>
          <w:szCs w:val="24"/>
        </w:rPr>
        <w:t xml:space="preserve"> </w:t>
      </w:r>
    </w:p>
    <w:p w14:paraId="2984E04F" w14:textId="77777777" w:rsidR="00A077F9" w:rsidRPr="00687279" w:rsidRDefault="00C46EA4" w:rsidP="00240AAC">
      <w:pPr>
        <w:tabs>
          <w:tab w:val="left" w:pos="1650"/>
        </w:tabs>
        <w:spacing w:before="100" w:beforeAutospacing="1" w:after="100" w:afterAutospacing="1" w:line="240" w:lineRule="auto"/>
        <w:rPr>
          <w:rFonts w:ascii="Calibri" w:hAnsi="Calibri" w:cs="Calibri"/>
          <w:sz w:val="24"/>
          <w:szCs w:val="24"/>
        </w:rPr>
      </w:pPr>
      <w:r>
        <w:rPr>
          <w:rFonts w:ascii="Calibri" w:hAnsi="Calibri" w:cs="Calibri"/>
          <w:noProof/>
          <w:sz w:val="24"/>
          <w:szCs w:val="24"/>
        </w:rPr>
        <w:drawing>
          <wp:inline distT="0" distB="0" distL="0" distR="0" wp14:anchorId="2984E0C0" wp14:editId="2984E0C1">
            <wp:extent cx="803275" cy="278130"/>
            <wp:effectExtent l="0" t="0" r="0" b="7620"/>
            <wp:docPr id="1"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3275" cy="278130"/>
                    </a:xfrm>
                    <a:prstGeom prst="rect">
                      <a:avLst/>
                    </a:prstGeom>
                    <a:noFill/>
                    <a:ln>
                      <a:noFill/>
                    </a:ln>
                  </pic:spPr>
                </pic:pic>
              </a:graphicData>
            </a:graphic>
          </wp:inline>
        </w:drawing>
      </w:r>
    </w:p>
    <w:p w14:paraId="2984E050" w14:textId="77777777" w:rsidR="00A077F9" w:rsidRPr="00687279" w:rsidRDefault="00A077F9" w:rsidP="00240AAC">
      <w:pPr>
        <w:tabs>
          <w:tab w:val="left" w:pos="1650"/>
        </w:tabs>
        <w:spacing w:before="100" w:beforeAutospacing="1" w:after="100" w:afterAutospacing="1"/>
        <w:rPr>
          <w:rFonts w:ascii="Calibri" w:hAnsi="Calibri"/>
        </w:rPr>
      </w:pPr>
      <w:r w:rsidRPr="00687279">
        <w:rPr>
          <w:rFonts w:ascii="Calibri" w:hAnsi="Calibri"/>
        </w:rPr>
        <w:t>Use of Treasury material under a</w:t>
      </w:r>
      <w:r w:rsidRPr="00687279">
        <w:rPr>
          <w:rFonts w:ascii="Calibri" w:hAnsi="Calibri" w:cs="Calibri"/>
          <w:sz w:val="24"/>
          <w:szCs w:val="24"/>
        </w:rPr>
        <w:t xml:space="preserve"> </w:t>
      </w:r>
      <w:hyperlink r:id="rId15" w:history="1">
        <w:r w:rsidRPr="00687279">
          <w:rPr>
            <w:rStyle w:val="Hyperlink"/>
            <w:rFonts w:ascii="Calibri" w:hAnsi="Calibri"/>
          </w:rPr>
          <w:t>Creative Commons Attribution 3.0 Australia</w:t>
        </w:r>
      </w:hyperlink>
      <w:r w:rsidRPr="00687279">
        <w:rPr>
          <w:rStyle w:val="Hyperlink"/>
          <w:rFonts w:ascii="Calibri" w:hAnsi="Calibri"/>
        </w:rPr>
        <w:t xml:space="preserve"> </w:t>
      </w:r>
      <w:r w:rsidRPr="00687279">
        <w:rPr>
          <w:rFonts w:ascii="Calibri" w:hAnsi="Calibri"/>
        </w:rPr>
        <w:t xml:space="preserve">licence requires you to attribute the work (but not in any way that suggests that the Treasury endorses you or your use of the work). </w:t>
      </w:r>
    </w:p>
    <w:p w14:paraId="2984E051" w14:textId="77777777" w:rsidR="00A077F9" w:rsidRPr="00687279" w:rsidRDefault="00A077F9" w:rsidP="00240AAC">
      <w:pPr>
        <w:rPr>
          <w:rFonts w:ascii="Calibri" w:hAnsi="Calibri"/>
          <w:i/>
        </w:rPr>
      </w:pPr>
      <w:r w:rsidRPr="00687279">
        <w:rPr>
          <w:rFonts w:ascii="Calibri" w:hAnsi="Calibri"/>
          <w:i/>
        </w:rPr>
        <w:t>Treasury material used 'as supplied'</w:t>
      </w:r>
    </w:p>
    <w:p w14:paraId="2984E052" w14:textId="6CE99FB6" w:rsidR="00A077F9" w:rsidRPr="00687279" w:rsidRDefault="00A077F9" w:rsidP="00240AAC">
      <w:pPr>
        <w:rPr>
          <w:rFonts w:ascii="Calibri" w:hAnsi="Calibri"/>
        </w:rPr>
      </w:pPr>
      <w:r w:rsidRPr="00687279">
        <w:rPr>
          <w:rFonts w:ascii="Calibri" w:hAnsi="Calibri"/>
        </w:rPr>
        <w:t>Provided you have not modified or transformed Treasury material in any way including, for example, by changing the Treasury text; calculating percentage changes; graphing or charting data; or deriving new statistics from published Treasury statistics</w:t>
      </w:r>
      <w:r w:rsidR="00A421C7">
        <w:rPr>
          <w:rFonts w:ascii="Calibri" w:hAnsi="Calibri"/>
        </w:rPr>
        <w:t xml:space="preserve"> — </w:t>
      </w:r>
      <w:r w:rsidRPr="00687279">
        <w:rPr>
          <w:rFonts w:ascii="Calibri" w:hAnsi="Calibri"/>
        </w:rPr>
        <w:t xml:space="preserve">then Treasury prefers the following attribution: </w:t>
      </w:r>
    </w:p>
    <w:p w14:paraId="2984E053" w14:textId="77777777" w:rsidR="00A077F9" w:rsidRPr="00687279" w:rsidRDefault="00A077F9" w:rsidP="00240AAC">
      <w:pPr>
        <w:ind w:firstLine="720"/>
        <w:rPr>
          <w:rFonts w:ascii="Calibri" w:hAnsi="Calibri"/>
        </w:rPr>
      </w:pPr>
      <w:r w:rsidRPr="00687279">
        <w:rPr>
          <w:rFonts w:ascii="Calibri" w:hAnsi="Calibri"/>
          <w:i/>
        </w:rPr>
        <w:t xml:space="preserve">Source: The </w:t>
      </w:r>
      <w:r w:rsidRPr="00687279">
        <w:rPr>
          <w:rFonts w:ascii="Calibri" w:hAnsi="Calibri"/>
          <w:i/>
          <w:iCs/>
        </w:rPr>
        <w:t>Australian Government the Treasury</w:t>
      </w:r>
    </w:p>
    <w:p w14:paraId="2984E054" w14:textId="77777777" w:rsidR="00A077F9" w:rsidRPr="00687279" w:rsidRDefault="00A077F9" w:rsidP="00240AAC">
      <w:pPr>
        <w:rPr>
          <w:rFonts w:ascii="Calibri" w:hAnsi="Calibri"/>
        </w:rPr>
      </w:pPr>
      <w:r w:rsidRPr="00687279">
        <w:rPr>
          <w:rFonts w:ascii="Calibri" w:hAnsi="Calibri"/>
        </w:rPr>
        <w:t>Derivative material</w:t>
      </w:r>
    </w:p>
    <w:p w14:paraId="2984E055" w14:textId="77777777" w:rsidR="00A077F9" w:rsidRPr="00687279" w:rsidRDefault="00A077F9" w:rsidP="00240AAC">
      <w:pPr>
        <w:rPr>
          <w:rFonts w:ascii="Calibri" w:hAnsi="Calibri"/>
        </w:rPr>
      </w:pPr>
      <w:r w:rsidRPr="00687279">
        <w:rPr>
          <w:rFonts w:ascii="Calibri" w:hAnsi="Calibri"/>
        </w:rPr>
        <w:t xml:space="preserve">If you have modified or transformed Treasury material, or derived new material from those of the Treasury in any way, then Treasury prefers the following attribution: </w:t>
      </w:r>
    </w:p>
    <w:p w14:paraId="2984E056" w14:textId="77777777" w:rsidR="00A077F9" w:rsidRPr="00687279" w:rsidRDefault="00A077F9" w:rsidP="00240AAC">
      <w:pPr>
        <w:ind w:firstLine="720"/>
        <w:rPr>
          <w:rFonts w:ascii="Calibri" w:hAnsi="Calibri"/>
        </w:rPr>
      </w:pPr>
      <w:r w:rsidRPr="00687279">
        <w:rPr>
          <w:rFonts w:ascii="Calibri" w:hAnsi="Calibri"/>
          <w:i/>
        </w:rPr>
        <w:t>Based on The Australian Government the Treasury data</w:t>
      </w:r>
    </w:p>
    <w:p w14:paraId="2984E057" w14:textId="77777777" w:rsidR="00A077F9" w:rsidRPr="00687279" w:rsidRDefault="00A077F9" w:rsidP="00240AAC">
      <w:pPr>
        <w:spacing w:after="40"/>
        <w:rPr>
          <w:rFonts w:ascii="Calibri" w:hAnsi="Calibri"/>
          <w:b/>
        </w:rPr>
      </w:pPr>
      <w:r w:rsidRPr="00687279">
        <w:rPr>
          <w:rFonts w:ascii="Calibri" w:hAnsi="Calibri"/>
          <w:b/>
        </w:rPr>
        <w:t>Use of the Coat of Arms</w:t>
      </w:r>
    </w:p>
    <w:p w14:paraId="2984E058" w14:textId="77777777" w:rsidR="00A077F9" w:rsidRPr="00687279" w:rsidRDefault="00A077F9" w:rsidP="00240AAC">
      <w:pPr>
        <w:rPr>
          <w:rFonts w:ascii="Calibri" w:hAnsi="Calibri"/>
        </w:rPr>
      </w:pPr>
      <w:r w:rsidRPr="00687279">
        <w:rPr>
          <w:rFonts w:ascii="Calibri" w:hAnsi="Calibri"/>
        </w:rPr>
        <w:t xml:space="preserve">The terms under which the Coat of Arms can be used are set out on the It’s an Honour website (see </w:t>
      </w:r>
      <w:hyperlink r:id="rId16" w:history="1">
        <w:r w:rsidRPr="00687279">
          <w:rPr>
            <w:rFonts w:ascii="Calibri" w:hAnsi="Calibri"/>
          </w:rPr>
          <w:t>www.itsanhonour.gov.au</w:t>
        </w:r>
      </w:hyperlink>
      <w:r w:rsidRPr="00687279">
        <w:rPr>
          <w:rFonts w:ascii="Calibri" w:hAnsi="Calibri"/>
        </w:rPr>
        <w:t>)</w:t>
      </w:r>
    </w:p>
    <w:p w14:paraId="2984E059" w14:textId="77777777" w:rsidR="00A077F9" w:rsidRPr="00687279" w:rsidRDefault="00A077F9" w:rsidP="00240AAC">
      <w:pPr>
        <w:spacing w:after="40"/>
        <w:rPr>
          <w:rFonts w:ascii="Calibri" w:hAnsi="Calibri"/>
          <w:b/>
        </w:rPr>
      </w:pPr>
      <w:r w:rsidRPr="00687279">
        <w:rPr>
          <w:rFonts w:ascii="Calibri" w:hAnsi="Calibri"/>
          <w:b/>
        </w:rPr>
        <w:t>Other Uses</w:t>
      </w:r>
    </w:p>
    <w:p w14:paraId="2984E05A" w14:textId="77777777" w:rsidR="00A077F9" w:rsidRPr="00687279" w:rsidRDefault="00A077F9" w:rsidP="00240AAC">
      <w:pPr>
        <w:rPr>
          <w:rFonts w:ascii="Calibri" w:hAnsi="Calibri"/>
        </w:rPr>
      </w:pPr>
      <w:r w:rsidRPr="00687279">
        <w:rPr>
          <w:rFonts w:ascii="Calibri" w:hAnsi="Calibri"/>
        </w:rPr>
        <w:t>Inquiries regarding this licence and any other use of this document are welcome at:</w:t>
      </w:r>
    </w:p>
    <w:p w14:paraId="2984E05B" w14:textId="77777777" w:rsidR="00A077F9" w:rsidRPr="00687279" w:rsidRDefault="00A077F9" w:rsidP="00240AAC">
      <w:pPr>
        <w:spacing w:after="0"/>
        <w:ind w:left="720"/>
        <w:rPr>
          <w:rFonts w:ascii="Calibri" w:hAnsi="Calibri"/>
        </w:rPr>
      </w:pPr>
      <w:r w:rsidRPr="00687279">
        <w:rPr>
          <w:rFonts w:ascii="Calibri" w:hAnsi="Calibri"/>
        </w:rPr>
        <w:t>Manager</w:t>
      </w:r>
    </w:p>
    <w:p w14:paraId="2984E05C" w14:textId="77777777" w:rsidR="00A077F9" w:rsidRPr="00687279" w:rsidRDefault="00A077F9" w:rsidP="00240AAC">
      <w:pPr>
        <w:spacing w:after="0"/>
        <w:ind w:left="720"/>
        <w:rPr>
          <w:rFonts w:ascii="Calibri" w:hAnsi="Calibri"/>
        </w:rPr>
      </w:pPr>
      <w:r w:rsidRPr="00687279">
        <w:rPr>
          <w:rFonts w:ascii="Calibri" w:hAnsi="Calibri"/>
        </w:rPr>
        <w:t xml:space="preserve">Communications </w:t>
      </w:r>
    </w:p>
    <w:p w14:paraId="2984E05D" w14:textId="77777777" w:rsidR="00A077F9" w:rsidRPr="00687279" w:rsidRDefault="00A077F9" w:rsidP="00240AAC">
      <w:pPr>
        <w:spacing w:after="0"/>
        <w:ind w:left="720"/>
        <w:rPr>
          <w:rFonts w:ascii="Calibri" w:hAnsi="Calibri"/>
        </w:rPr>
      </w:pPr>
      <w:r w:rsidRPr="00687279">
        <w:rPr>
          <w:rFonts w:ascii="Calibri" w:hAnsi="Calibri"/>
        </w:rPr>
        <w:t>The Treasury</w:t>
      </w:r>
    </w:p>
    <w:p w14:paraId="2984E05E" w14:textId="77777777" w:rsidR="00A077F9" w:rsidRPr="00687279" w:rsidRDefault="00A077F9" w:rsidP="00240AAC">
      <w:pPr>
        <w:spacing w:after="0"/>
        <w:ind w:left="720"/>
        <w:rPr>
          <w:rFonts w:ascii="Calibri" w:hAnsi="Calibri"/>
        </w:rPr>
      </w:pPr>
      <w:r w:rsidRPr="00687279">
        <w:rPr>
          <w:rFonts w:ascii="Calibri" w:hAnsi="Calibri"/>
        </w:rPr>
        <w:t>Langton Crescent Parkes ACT 2600</w:t>
      </w:r>
    </w:p>
    <w:p w14:paraId="2984E05F" w14:textId="77777777" w:rsidR="00A077F9" w:rsidRPr="00687279" w:rsidRDefault="00A077F9" w:rsidP="00240AAC">
      <w:pPr>
        <w:spacing w:after="0"/>
        <w:ind w:left="720"/>
        <w:rPr>
          <w:rStyle w:val="Hyperlink"/>
          <w:rFonts w:ascii="Calibri" w:hAnsi="Calibri"/>
        </w:rPr>
      </w:pPr>
      <w:r w:rsidRPr="00687279">
        <w:rPr>
          <w:rFonts w:ascii="Calibri" w:hAnsi="Calibri"/>
        </w:rPr>
        <w:t xml:space="preserve">Email: </w:t>
      </w:r>
      <w:hyperlink r:id="rId17" w:history="1">
        <w:r w:rsidRPr="00687279">
          <w:rPr>
            <w:rStyle w:val="Hyperlink"/>
            <w:rFonts w:ascii="Calibri" w:hAnsi="Calibri"/>
          </w:rPr>
          <w:t>medialiaison@treasury.gov.au</w:t>
        </w:r>
      </w:hyperlink>
      <w:r w:rsidRPr="00687279">
        <w:rPr>
          <w:rStyle w:val="Hyperlink"/>
          <w:rFonts w:ascii="Calibri" w:hAnsi="Calibri"/>
        </w:rPr>
        <w:t xml:space="preserve"> </w:t>
      </w:r>
    </w:p>
    <w:p w14:paraId="2984E060" w14:textId="77777777" w:rsidR="00A077F9" w:rsidRPr="00687279" w:rsidRDefault="00A077F9" w:rsidP="007F7C8E">
      <w:pPr>
        <w:rPr>
          <w:rFonts w:ascii="Calibri" w:hAnsi="Calibri" w:cs="Arial"/>
        </w:rPr>
      </w:pPr>
    </w:p>
    <w:p w14:paraId="2984E061" w14:textId="77777777" w:rsidR="00A077F9" w:rsidRPr="00687279" w:rsidRDefault="00A077F9" w:rsidP="00006F7E">
      <w:pPr>
        <w:rPr>
          <w:rFonts w:ascii="Calibri" w:hAnsi="Calibri"/>
        </w:rPr>
        <w:sectPr w:rsidR="00A077F9" w:rsidRPr="00687279">
          <w:pgSz w:w="11906" w:h="16838"/>
          <w:pgMar w:top="1418" w:right="1418" w:bottom="1418" w:left="1418" w:header="709" w:footer="709" w:gutter="0"/>
          <w:cols w:space="720"/>
        </w:sectPr>
      </w:pPr>
    </w:p>
    <w:p w14:paraId="2984E062" w14:textId="77777777" w:rsidR="00A077F9" w:rsidRDefault="00A077F9" w:rsidP="00006F7E">
      <w:pPr>
        <w:pStyle w:val="Heading2NotNumbered"/>
        <w:rPr>
          <w:rFonts w:cs="Calibri"/>
          <w:caps/>
        </w:rPr>
      </w:pPr>
      <w:r>
        <w:rPr>
          <w:rFonts w:cs="Calibri"/>
        </w:rPr>
        <w:lastRenderedPageBreak/>
        <w:t>Consultation Process</w:t>
      </w:r>
    </w:p>
    <w:p w14:paraId="2984E063" w14:textId="77777777" w:rsidR="00A077F9" w:rsidRDefault="00A077F9" w:rsidP="00006F7E">
      <w:pPr>
        <w:pStyle w:val="Heading4"/>
      </w:pPr>
      <w:r>
        <w:rPr>
          <w:rFonts w:cs="Calibri"/>
          <w:bCs w:val="0"/>
        </w:rPr>
        <w:t>Request for feedback and comments</w:t>
      </w:r>
    </w:p>
    <w:p w14:paraId="2984E064" w14:textId="68C32FC7" w:rsidR="00A077F9" w:rsidRPr="00687279" w:rsidRDefault="00A077F9" w:rsidP="00EA2E97">
      <w:pPr>
        <w:rPr>
          <w:rFonts w:ascii="Calibri" w:hAnsi="Calibri" w:cs="Arial"/>
        </w:rPr>
      </w:pPr>
      <w:r w:rsidRPr="00687279">
        <w:rPr>
          <w:rFonts w:ascii="Calibri" w:hAnsi="Calibri" w:cs="Arial"/>
        </w:rPr>
        <w:t>The Government seeks your feedback and comments on the issue outlined in this consultation paper</w:t>
      </w:r>
      <w:r w:rsidR="00A421C7">
        <w:rPr>
          <w:rFonts w:ascii="Calibri" w:hAnsi="Calibri" w:cs="Arial"/>
        </w:rPr>
        <w:t xml:space="preserve">. </w:t>
      </w:r>
      <w:r w:rsidRPr="00687279">
        <w:rPr>
          <w:rFonts w:ascii="Calibri" w:hAnsi="Calibri" w:cs="Arial"/>
        </w:rPr>
        <w:t>To assist those wishing to make a submission, questions for consultation are located at the end of each section</w:t>
      </w:r>
      <w:r w:rsidR="00A421C7">
        <w:rPr>
          <w:rFonts w:ascii="Calibri" w:hAnsi="Calibri" w:cs="Arial"/>
        </w:rPr>
        <w:t xml:space="preserve">. </w:t>
      </w:r>
      <w:r w:rsidRPr="00687279">
        <w:rPr>
          <w:rFonts w:ascii="Calibri" w:hAnsi="Calibri" w:cs="Arial"/>
        </w:rPr>
        <w:t>However, you should feel free to address any issue raised in this paper, and should not feel obliged to address every question</w:t>
      </w:r>
      <w:r w:rsidR="00A421C7">
        <w:rPr>
          <w:rFonts w:ascii="Calibri" w:hAnsi="Calibri" w:cs="Arial"/>
        </w:rPr>
        <w:t xml:space="preserve">. </w:t>
      </w:r>
      <w:r w:rsidRPr="00687279">
        <w:rPr>
          <w:rFonts w:ascii="Calibri" w:hAnsi="Calibri" w:cs="Arial"/>
        </w:rPr>
        <w:t>The information obtained through this process will inform the Government’s approach on the way forward and also assist in meeting the requirements of the Office of Best Practice Regulation.</w:t>
      </w:r>
    </w:p>
    <w:p w14:paraId="2984E065" w14:textId="06768C1E" w:rsidR="00A077F9" w:rsidRPr="00687279" w:rsidRDefault="00A077F9" w:rsidP="00EA2E97">
      <w:pPr>
        <w:rPr>
          <w:rFonts w:ascii="Calibri" w:hAnsi="Calibri" w:cs="Arial"/>
        </w:rPr>
      </w:pPr>
      <w:r w:rsidRPr="00687279">
        <w:rPr>
          <w:rFonts w:ascii="Calibri" w:hAnsi="Calibri" w:cs="Arial"/>
        </w:rPr>
        <w:t>All information (including name and address details) contained in submissions will be made available to the public on the Treasury website, unless you indicate that you would like all or part of your submission to remain in confidence</w:t>
      </w:r>
      <w:r w:rsidR="00A421C7">
        <w:rPr>
          <w:rFonts w:ascii="Calibri" w:hAnsi="Calibri" w:cs="Arial"/>
        </w:rPr>
        <w:t xml:space="preserve">. </w:t>
      </w:r>
      <w:r w:rsidRPr="00687279">
        <w:rPr>
          <w:rFonts w:ascii="Calibri" w:hAnsi="Calibri" w:cs="Arial"/>
        </w:rPr>
        <w:t>Automatically generated confidentiality statements in emails do not suffice for this purpose</w:t>
      </w:r>
      <w:r w:rsidR="00A421C7">
        <w:rPr>
          <w:rFonts w:ascii="Calibri" w:hAnsi="Calibri" w:cs="Arial"/>
        </w:rPr>
        <w:t xml:space="preserve">. </w:t>
      </w:r>
      <w:r w:rsidRPr="00687279">
        <w:rPr>
          <w:rFonts w:ascii="Calibri" w:hAnsi="Calibri" w:cs="Arial"/>
        </w:rPr>
        <w:t>Respondents who wish that part of their submission to remain in confidence should provide this information marked as such in a separate attachment</w:t>
      </w:r>
      <w:r w:rsidR="00A421C7">
        <w:rPr>
          <w:rFonts w:ascii="Calibri" w:hAnsi="Calibri" w:cs="Arial"/>
        </w:rPr>
        <w:t xml:space="preserve">. </w:t>
      </w:r>
      <w:r w:rsidRPr="00687279">
        <w:rPr>
          <w:rFonts w:ascii="Calibri" w:hAnsi="Calibri" w:cs="Arial"/>
        </w:rPr>
        <w:t xml:space="preserve">A request made under the </w:t>
      </w:r>
      <w:r w:rsidRPr="00A421C7">
        <w:rPr>
          <w:rFonts w:ascii="Calibri" w:hAnsi="Calibri" w:cs="Arial"/>
          <w:i/>
        </w:rPr>
        <w:t>Freedom of Information Act 1982</w:t>
      </w:r>
      <w:r w:rsidRPr="00687279">
        <w:rPr>
          <w:rFonts w:ascii="Calibri" w:hAnsi="Calibri" w:cs="Arial"/>
        </w:rPr>
        <w:t xml:space="preserve"> (Commonwealth) for a submission marked ‘confidential’ to be made available will be determined in accordance with that Act.</w:t>
      </w:r>
    </w:p>
    <w:p w14:paraId="2984E066" w14:textId="2B5FD144" w:rsidR="00A077F9" w:rsidRPr="00687279" w:rsidRDefault="00A077F9" w:rsidP="00EA2E97">
      <w:pPr>
        <w:rPr>
          <w:rFonts w:ascii="Calibri" w:hAnsi="Calibri" w:cs="Arial"/>
        </w:rPr>
      </w:pPr>
      <w:r w:rsidRPr="00687279">
        <w:rPr>
          <w:rFonts w:ascii="Calibri" w:hAnsi="Calibri" w:cs="Arial"/>
        </w:rPr>
        <w:t>While submissions may be lodged electronically or by post, electronic lodgement is preferred</w:t>
      </w:r>
      <w:r w:rsidR="00A421C7">
        <w:rPr>
          <w:rFonts w:ascii="Calibri" w:hAnsi="Calibri" w:cs="Arial"/>
        </w:rPr>
        <w:t xml:space="preserve">. </w:t>
      </w:r>
      <w:r w:rsidRPr="00687279">
        <w:rPr>
          <w:rFonts w:ascii="Calibri" w:hAnsi="Calibri" w:cs="Arial"/>
        </w:rPr>
        <w:t>For accessibility reasons, please email responses in a Word or RTF format</w:t>
      </w:r>
      <w:r w:rsidR="00A421C7">
        <w:rPr>
          <w:rFonts w:ascii="Calibri" w:hAnsi="Calibri" w:cs="Arial"/>
        </w:rPr>
        <w:t xml:space="preserve">. </w:t>
      </w:r>
      <w:r w:rsidRPr="00687279">
        <w:rPr>
          <w:rFonts w:ascii="Calibri" w:hAnsi="Calibri" w:cs="Arial"/>
        </w:rPr>
        <w:t>An additional PDF version may also be submitted.</w:t>
      </w:r>
    </w:p>
    <w:p w14:paraId="2984E067" w14:textId="77777777" w:rsidR="00A077F9" w:rsidRDefault="00A077F9" w:rsidP="00006F7E">
      <w:pPr>
        <w:pStyle w:val="Heading4"/>
      </w:pPr>
      <w:r>
        <w:rPr>
          <w:rFonts w:cs="Calibri"/>
          <w:bCs w:val="0"/>
        </w:rPr>
        <w:t>Closing date for submissions</w:t>
      </w:r>
      <w:r w:rsidRPr="00EA72BD">
        <w:rPr>
          <w:rFonts w:cs="Calibri"/>
          <w:bCs w:val="0"/>
        </w:rPr>
        <w:t xml:space="preserve">: </w:t>
      </w:r>
      <w:r w:rsidRPr="00EA72BD">
        <w:t xml:space="preserve">  </w:t>
      </w:r>
      <w:r w:rsidR="00EA72BD" w:rsidRPr="00EA72BD">
        <w:t>10 August</w:t>
      </w:r>
      <w:r w:rsidRPr="00EA72BD">
        <w:t xml:space="preserve"> 2012</w:t>
      </w:r>
    </w:p>
    <w:tbl>
      <w:tblPr>
        <w:tblW w:w="0" w:type="auto"/>
        <w:tblLook w:val="01E0" w:firstRow="1" w:lastRow="1" w:firstColumn="1" w:lastColumn="1" w:noHBand="0" w:noVBand="0"/>
      </w:tblPr>
      <w:tblGrid>
        <w:gridCol w:w="1668"/>
        <w:gridCol w:w="7618"/>
      </w:tblGrid>
      <w:tr w:rsidR="00A077F9" w14:paraId="2984E06A" w14:textId="77777777" w:rsidTr="00006F7E">
        <w:tc>
          <w:tcPr>
            <w:tcW w:w="1668" w:type="dxa"/>
          </w:tcPr>
          <w:p w14:paraId="2984E068" w14:textId="77777777" w:rsidR="00A077F9" w:rsidRDefault="00A077F9">
            <w:pPr>
              <w:pStyle w:val="SingleParagraph"/>
              <w:rPr>
                <w:rFonts w:cs="Arial"/>
              </w:rPr>
            </w:pPr>
            <w:bookmarkStart w:id="0" w:name="OLE_LINK5" w:colFirst="0" w:colLast="0"/>
            <w:bookmarkStart w:id="1" w:name="OLE_LINK6" w:colFirst="0" w:colLast="0"/>
            <w:r w:rsidRPr="00687279">
              <w:rPr>
                <w:rFonts w:ascii="Calibri" w:hAnsi="Calibri" w:cs="Arial"/>
              </w:rPr>
              <w:t xml:space="preserve">Email: </w:t>
            </w:r>
          </w:p>
        </w:tc>
        <w:tc>
          <w:tcPr>
            <w:tcW w:w="7618" w:type="dxa"/>
          </w:tcPr>
          <w:p w14:paraId="2984E069" w14:textId="77777777" w:rsidR="00A077F9" w:rsidRDefault="00B03E58">
            <w:pPr>
              <w:rPr>
                <w:rFonts w:ascii="Calibri" w:hAnsi="Calibri" w:cs="Arial"/>
              </w:rPr>
            </w:pPr>
            <w:hyperlink r:id="rId18" w:history="1">
              <w:r w:rsidR="00A077F9" w:rsidRPr="00687279">
                <w:rPr>
                  <w:rStyle w:val="Hyperlink"/>
                  <w:rFonts w:ascii="Calibri" w:hAnsi="Calibri" w:cs="Arial"/>
                </w:rPr>
                <w:t>financetax@treasury.gov.au</w:t>
              </w:r>
            </w:hyperlink>
            <w:r w:rsidR="00A077F9" w:rsidRPr="00687279">
              <w:rPr>
                <w:rFonts w:ascii="Calibri" w:hAnsi="Calibri" w:cs="Arial"/>
              </w:rPr>
              <w:t xml:space="preserve"> </w:t>
            </w:r>
          </w:p>
        </w:tc>
      </w:tr>
      <w:bookmarkEnd w:id="0"/>
      <w:bookmarkEnd w:id="1"/>
      <w:tr w:rsidR="00A077F9" w14:paraId="2984E071" w14:textId="77777777" w:rsidTr="00006F7E">
        <w:tc>
          <w:tcPr>
            <w:tcW w:w="1668" w:type="dxa"/>
          </w:tcPr>
          <w:p w14:paraId="2984E06B" w14:textId="77777777" w:rsidR="00A077F9" w:rsidRDefault="00A077F9">
            <w:pPr>
              <w:pStyle w:val="SingleParagraph"/>
              <w:rPr>
                <w:rFonts w:cs="Arial"/>
              </w:rPr>
            </w:pPr>
            <w:r w:rsidRPr="00687279">
              <w:rPr>
                <w:rFonts w:ascii="Calibri" w:hAnsi="Calibri" w:cs="Arial"/>
              </w:rPr>
              <w:t>Mail:</w:t>
            </w:r>
          </w:p>
        </w:tc>
        <w:tc>
          <w:tcPr>
            <w:tcW w:w="7618" w:type="dxa"/>
          </w:tcPr>
          <w:p w14:paraId="2984E06C" w14:textId="77777777" w:rsidR="00A077F9" w:rsidRPr="00687279" w:rsidRDefault="00A077F9" w:rsidP="008E6336">
            <w:pPr>
              <w:pStyle w:val="SingleParagraph"/>
              <w:rPr>
                <w:rFonts w:ascii="Calibri" w:hAnsi="Calibri" w:cs="Arial"/>
              </w:rPr>
            </w:pPr>
            <w:r w:rsidRPr="00687279">
              <w:rPr>
                <w:rFonts w:ascii="Calibri" w:hAnsi="Calibri" w:cs="Arial"/>
              </w:rPr>
              <w:t>The General Manager</w:t>
            </w:r>
          </w:p>
          <w:p w14:paraId="2984E06D" w14:textId="77777777" w:rsidR="00A077F9" w:rsidRPr="00687279" w:rsidRDefault="00A077F9" w:rsidP="008E6336">
            <w:pPr>
              <w:pStyle w:val="SingleParagraph"/>
              <w:rPr>
                <w:rFonts w:ascii="Calibri" w:hAnsi="Calibri" w:cs="Arial"/>
              </w:rPr>
            </w:pPr>
            <w:r w:rsidRPr="00687279">
              <w:rPr>
                <w:rFonts w:ascii="Calibri" w:hAnsi="Calibri" w:cs="Arial"/>
              </w:rPr>
              <w:t>Business Tax Division</w:t>
            </w:r>
          </w:p>
          <w:p w14:paraId="2984E06E" w14:textId="77777777" w:rsidR="00A077F9" w:rsidRPr="00687279" w:rsidRDefault="00A077F9" w:rsidP="008E6336">
            <w:pPr>
              <w:pStyle w:val="SingleParagraph"/>
              <w:rPr>
                <w:rFonts w:ascii="Calibri" w:hAnsi="Calibri" w:cs="Arial"/>
              </w:rPr>
            </w:pPr>
            <w:r w:rsidRPr="00687279">
              <w:rPr>
                <w:rFonts w:ascii="Calibri" w:hAnsi="Calibri" w:cs="Arial"/>
              </w:rPr>
              <w:t>The Treasury</w:t>
            </w:r>
          </w:p>
          <w:p w14:paraId="2984E06F" w14:textId="77777777" w:rsidR="00A077F9" w:rsidRPr="00687279" w:rsidRDefault="00A077F9">
            <w:pPr>
              <w:pStyle w:val="SingleParagraph"/>
              <w:rPr>
                <w:rFonts w:ascii="Calibri" w:hAnsi="Calibri" w:cs="Arial"/>
              </w:rPr>
            </w:pPr>
            <w:r w:rsidRPr="00687279">
              <w:rPr>
                <w:rFonts w:ascii="Calibri" w:hAnsi="Calibri" w:cs="Arial"/>
              </w:rPr>
              <w:t>Langton Crescent</w:t>
            </w:r>
          </w:p>
          <w:p w14:paraId="2984E070" w14:textId="77777777" w:rsidR="00A077F9" w:rsidRDefault="00A077F9">
            <w:pPr>
              <w:rPr>
                <w:rFonts w:ascii="Calibri" w:hAnsi="Calibri" w:cs="Arial"/>
              </w:rPr>
            </w:pPr>
            <w:r w:rsidRPr="00687279">
              <w:rPr>
                <w:rFonts w:ascii="Calibri" w:hAnsi="Calibri" w:cs="Arial"/>
              </w:rPr>
              <w:t>PARKES ACT 2600</w:t>
            </w:r>
          </w:p>
        </w:tc>
      </w:tr>
      <w:tr w:rsidR="00A077F9" w14:paraId="2984E074" w14:textId="77777777" w:rsidTr="00006F7E">
        <w:tc>
          <w:tcPr>
            <w:tcW w:w="1668" w:type="dxa"/>
          </w:tcPr>
          <w:p w14:paraId="2984E072" w14:textId="77777777" w:rsidR="00A077F9" w:rsidRDefault="00A077F9">
            <w:pPr>
              <w:pStyle w:val="SingleParagraph"/>
              <w:rPr>
                <w:rFonts w:cs="Arial"/>
              </w:rPr>
            </w:pPr>
            <w:r w:rsidRPr="00687279">
              <w:rPr>
                <w:rFonts w:ascii="Calibri" w:hAnsi="Calibri" w:cs="Arial"/>
              </w:rPr>
              <w:t>Enq</w:t>
            </w:r>
            <w:r w:rsidRPr="00687279">
              <w:rPr>
                <w:rStyle w:val="SingleParagraphChar"/>
                <w:rFonts w:ascii="Calibri" w:hAnsi="Calibri" w:cs="Calibri"/>
              </w:rPr>
              <w:t>u</w:t>
            </w:r>
            <w:r w:rsidRPr="00687279">
              <w:rPr>
                <w:rFonts w:ascii="Calibri" w:hAnsi="Calibri" w:cs="Arial"/>
              </w:rPr>
              <w:t>iries:</w:t>
            </w:r>
          </w:p>
        </w:tc>
        <w:tc>
          <w:tcPr>
            <w:tcW w:w="7618" w:type="dxa"/>
          </w:tcPr>
          <w:p w14:paraId="2984E073" w14:textId="77777777" w:rsidR="00A077F9" w:rsidRDefault="00A077F9" w:rsidP="009B5B5B">
            <w:pPr>
              <w:rPr>
                <w:rFonts w:ascii="Calibri" w:hAnsi="Calibri" w:cs="Arial"/>
              </w:rPr>
            </w:pPr>
            <w:r w:rsidRPr="00687279">
              <w:rPr>
                <w:rFonts w:ascii="Calibri" w:hAnsi="Calibri" w:cs="Arial"/>
              </w:rPr>
              <w:t>Enquiries can be initially directed to Teresa Bostle</w:t>
            </w:r>
          </w:p>
        </w:tc>
      </w:tr>
      <w:tr w:rsidR="00A077F9" w:rsidRPr="00687279" w14:paraId="2984E077" w14:textId="77777777" w:rsidTr="00006F7E">
        <w:tc>
          <w:tcPr>
            <w:tcW w:w="1668" w:type="dxa"/>
          </w:tcPr>
          <w:p w14:paraId="2984E075" w14:textId="77777777" w:rsidR="00A077F9" w:rsidRDefault="00A077F9">
            <w:pPr>
              <w:rPr>
                <w:rFonts w:ascii="Calibri" w:hAnsi="Calibri" w:cs="Arial"/>
              </w:rPr>
            </w:pPr>
            <w:r w:rsidRPr="00687279">
              <w:rPr>
                <w:rFonts w:ascii="Calibri" w:hAnsi="Calibri" w:cs="Arial"/>
              </w:rPr>
              <w:t>Phone:</w:t>
            </w:r>
          </w:p>
        </w:tc>
        <w:tc>
          <w:tcPr>
            <w:tcW w:w="7618" w:type="dxa"/>
          </w:tcPr>
          <w:p w14:paraId="2984E076" w14:textId="77777777" w:rsidR="00A077F9" w:rsidRDefault="00A077F9" w:rsidP="00B81FEA">
            <w:pPr>
              <w:rPr>
                <w:rFonts w:ascii="Calibri" w:hAnsi="Calibri" w:cs="Arial"/>
              </w:rPr>
            </w:pPr>
            <w:r w:rsidRPr="00687279">
              <w:rPr>
                <w:rFonts w:ascii="Calibri" w:hAnsi="Calibri" w:cs="Arial"/>
              </w:rPr>
              <w:t>02 6263 3005</w:t>
            </w:r>
          </w:p>
        </w:tc>
      </w:tr>
    </w:tbl>
    <w:p w14:paraId="2984E078" w14:textId="77777777" w:rsidR="00A077F9" w:rsidRDefault="00A077F9" w:rsidP="00006F7E">
      <w:pPr>
        <w:pStyle w:val="SingleParagraph"/>
        <w:rPr>
          <w:rFonts w:ascii="Calibri" w:hAnsi="Calibri" w:cs="Arial"/>
        </w:rPr>
      </w:pPr>
    </w:p>
    <w:p w14:paraId="2984E079" w14:textId="77777777" w:rsidR="00A077F9" w:rsidRPr="00687279" w:rsidRDefault="00A077F9" w:rsidP="00006F7E">
      <w:pPr>
        <w:rPr>
          <w:rFonts w:ascii="Calibri" w:hAnsi="Calibri"/>
        </w:rPr>
        <w:sectPr w:rsidR="00A077F9" w:rsidRPr="00687279" w:rsidSect="00B03E58">
          <w:footerReference w:type="default" r:id="rId19"/>
          <w:pgSz w:w="11906" w:h="16838"/>
          <w:pgMar w:top="1418" w:right="1418" w:bottom="1418" w:left="1418" w:header="709" w:footer="709" w:gutter="0"/>
          <w:pgNumType w:fmt="lowerRoman" w:start="3"/>
          <w:cols w:space="720"/>
        </w:sectPr>
      </w:pPr>
      <w:bookmarkStart w:id="2" w:name="_GoBack"/>
      <w:bookmarkEnd w:id="2"/>
    </w:p>
    <w:p w14:paraId="2984E07A" w14:textId="77777777" w:rsidR="00A077F9" w:rsidRDefault="00A077F9" w:rsidP="00006F7E">
      <w:pPr>
        <w:pStyle w:val="ContentsHeading"/>
      </w:pPr>
      <w:r>
        <w:rPr>
          <w:rFonts w:cs="Calibri"/>
        </w:rPr>
        <w:lastRenderedPageBreak/>
        <w:t>Contents</w:t>
      </w:r>
    </w:p>
    <w:p w14:paraId="2984E07B" w14:textId="77777777" w:rsidR="004865E3" w:rsidRDefault="00A077F9">
      <w:pPr>
        <w:pStyle w:val="TOC1"/>
        <w:rPr>
          <w:rFonts w:asciiTheme="minorHAnsi" w:eastAsiaTheme="minorEastAsia" w:hAnsiTheme="minorHAnsi" w:cstheme="minorBidi"/>
          <w:b w:val="0"/>
          <w:smallCaps w:val="0"/>
          <w:noProof/>
          <w:color w:val="auto"/>
        </w:rPr>
      </w:pPr>
      <w:r w:rsidRPr="00AD79AC">
        <w:fldChar w:fldCharType="begin"/>
      </w:r>
      <w:r w:rsidRPr="00AD79AC">
        <w:instrText xml:space="preserve"> TOC \o "1-2" \t "Heading 1 Not Numbered,1" </w:instrText>
      </w:r>
      <w:r w:rsidRPr="00AD79AC">
        <w:fldChar w:fldCharType="separate"/>
      </w:r>
      <w:r w:rsidR="004865E3" w:rsidRPr="0058542E">
        <w:rPr>
          <w:rFonts w:cs="Calibri"/>
          <w:noProof/>
        </w:rPr>
        <w:t>1.</w:t>
      </w:r>
      <w:r w:rsidR="004865E3">
        <w:rPr>
          <w:rFonts w:asciiTheme="minorHAnsi" w:eastAsiaTheme="minorEastAsia" w:hAnsiTheme="minorHAnsi" w:cstheme="minorBidi"/>
          <w:b w:val="0"/>
          <w:smallCaps w:val="0"/>
          <w:noProof/>
          <w:color w:val="auto"/>
        </w:rPr>
        <w:tab/>
      </w:r>
      <w:r w:rsidR="004865E3">
        <w:rPr>
          <w:noProof/>
        </w:rPr>
        <w:t>Background</w:t>
      </w:r>
      <w:r w:rsidR="004865E3">
        <w:rPr>
          <w:noProof/>
        </w:rPr>
        <w:tab/>
      </w:r>
      <w:r w:rsidR="004865E3">
        <w:rPr>
          <w:noProof/>
        </w:rPr>
        <w:fldChar w:fldCharType="begin"/>
      </w:r>
      <w:r w:rsidR="004865E3">
        <w:rPr>
          <w:noProof/>
        </w:rPr>
        <w:instrText xml:space="preserve"> PAGEREF _Toc329348000 \h </w:instrText>
      </w:r>
      <w:r w:rsidR="004865E3">
        <w:rPr>
          <w:noProof/>
        </w:rPr>
      </w:r>
      <w:r w:rsidR="004865E3">
        <w:rPr>
          <w:noProof/>
        </w:rPr>
        <w:fldChar w:fldCharType="separate"/>
      </w:r>
      <w:r w:rsidR="00A421C7">
        <w:rPr>
          <w:noProof/>
        </w:rPr>
        <w:t>1</w:t>
      </w:r>
      <w:r w:rsidR="004865E3">
        <w:rPr>
          <w:noProof/>
        </w:rPr>
        <w:fldChar w:fldCharType="end"/>
      </w:r>
    </w:p>
    <w:p w14:paraId="2984E07C" w14:textId="77777777" w:rsidR="004865E3" w:rsidRDefault="004865E3">
      <w:pPr>
        <w:pStyle w:val="TOC2"/>
        <w:rPr>
          <w:rFonts w:asciiTheme="minorHAnsi" w:eastAsiaTheme="minorEastAsia" w:hAnsiTheme="minorHAnsi" w:cstheme="minorBidi"/>
          <w:noProof/>
          <w:color w:val="auto"/>
          <w:sz w:val="22"/>
          <w:szCs w:val="22"/>
        </w:rPr>
      </w:pPr>
      <w:r w:rsidRPr="0058542E">
        <w:rPr>
          <w:rFonts w:cs="Calibri"/>
          <w:noProof/>
        </w:rPr>
        <w:t>1.1</w:t>
      </w:r>
      <w:r>
        <w:rPr>
          <w:rFonts w:asciiTheme="minorHAnsi" w:eastAsiaTheme="minorEastAsia" w:hAnsiTheme="minorHAnsi" w:cstheme="minorBidi"/>
          <w:noProof/>
          <w:color w:val="auto"/>
          <w:sz w:val="22"/>
          <w:szCs w:val="22"/>
        </w:rPr>
        <w:tab/>
      </w:r>
      <w:r>
        <w:rPr>
          <w:noProof/>
        </w:rPr>
        <w:t>Limited recourse debt</w:t>
      </w:r>
      <w:r>
        <w:rPr>
          <w:noProof/>
        </w:rPr>
        <w:tab/>
      </w:r>
      <w:r>
        <w:rPr>
          <w:noProof/>
        </w:rPr>
        <w:fldChar w:fldCharType="begin"/>
      </w:r>
      <w:r>
        <w:rPr>
          <w:noProof/>
        </w:rPr>
        <w:instrText xml:space="preserve"> PAGEREF _Toc329348001 \h </w:instrText>
      </w:r>
      <w:r>
        <w:rPr>
          <w:noProof/>
        </w:rPr>
      </w:r>
      <w:r>
        <w:rPr>
          <w:noProof/>
        </w:rPr>
        <w:fldChar w:fldCharType="separate"/>
      </w:r>
      <w:r w:rsidR="00A421C7">
        <w:rPr>
          <w:noProof/>
        </w:rPr>
        <w:t>1</w:t>
      </w:r>
      <w:r>
        <w:rPr>
          <w:noProof/>
        </w:rPr>
        <w:fldChar w:fldCharType="end"/>
      </w:r>
    </w:p>
    <w:p w14:paraId="2984E07D" w14:textId="77777777" w:rsidR="004865E3" w:rsidRDefault="004865E3">
      <w:pPr>
        <w:pStyle w:val="TOC1"/>
        <w:rPr>
          <w:rFonts w:asciiTheme="minorHAnsi" w:eastAsiaTheme="minorEastAsia" w:hAnsiTheme="minorHAnsi" w:cstheme="minorBidi"/>
          <w:b w:val="0"/>
          <w:smallCaps w:val="0"/>
          <w:noProof/>
          <w:color w:val="auto"/>
        </w:rPr>
      </w:pPr>
      <w:r w:rsidRPr="0058542E">
        <w:rPr>
          <w:rFonts w:cs="Calibri"/>
          <w:noProof/>
        </w:rPr>
        <w:t>2.</w:t>
      </w:r>
      <w:r>
        <w:rPr>
          <w:rFonts w:asciiTheme="minorHAnsi" w:eastAsiaTheme="minorEastAsia" w:hAnsiTheme="minorHAnsi" w:cstheme="minorBidi"/>
          <w:b w:val="0"/>
          <w:smallCaps w:val="0"/>
          <w:noProof/>
          <w:color w:val="auto"/>
        </w:rPr>
        <w:tab/>
      </w:r>
      <w:r>
        <w:rPr>
          <w:noProof/>
        </w:rPr>
        <w:t>Outline of current law</w:t>
      </w:r>
      <w:r>
        <w:rPr>
          <w:noProof/>
        </w:rPr>
        <w:tab/>
      </w:r>
      <w:r>
        <w:rPr>
          <w:noProof/>
        </w:rPr>
        <w:fldChar w:fldCharType="begin"/>
      </w:r>
      <w:r>
        <w:rPr>
          <w:noProof/>
        </w:rPr>
        <w:instrText xml:space="preserve"> PAGEREF _Toc329348002 \h </w:instrText>
      </w:r>
      <w:r>
        <w:rPr>
          <w:noProof/>
        </w:rPr>
      </w:r>
      <w:r>
        <w:rPr>
          <w:noProof/>
        </w:rPr>
        <w:fldChar w:fldCharType="separate"/>
      </w:r>
      <w:r w:rsidR="00A421C7">
        <w:rPr>
          <w:noProof/>
        </w:rPr>
        <w:t>1</w:t>
      </w:r>
      <w:r>
        <w:rPr>
          <w:noProof/>
        </w:rPr>
        <w:fldChar w:fldCharType="end"/>
      </w:r>
    </w:p>
    <w:p w14:paraId="2984E07E" w14:textId="77777777" w:rsidR="004865E3" w:rsidRDefault="004865E3">
      <w:pPr>
        <w:pStyle w:val="TOC2"/>
        <w:rPr>
          <w:rFonts w:asciiTheme="minorHAnsi" w:eastAsiaTheme="minorEastAsia" w:hAnsiTheme="minorHAnsi" w:cstheme="minorBidi"/>
          <w:noProof/>
          <w:color w:val="auto"/>
          <w:sz w:val="22"/>
          <w:szCs w:val="22"/>
        </w:rPr>
      </w:pPr>
      <w:r w:rsidRPr="0058542E">
        <w:rPr>
          <w:rFonts w:cs="Calibri"/>
          <w:noProof/>
        </w:rPr>
        <w:t>2.1</w:t>
      </w:r>
      <w:r>
        <w:rPr>
          <w:rFonts w:asciiTheme="minorHAnsi" w:eastAsiaTheme="minorEastAsia" w:hAnsiTheme="minorHAnsi" w:cstheme="minorBidi"/>
          <w:noProof/>
          <w:color w:val="auto"/>
          <w:sz w:val="22"/>
          <w:szCs w:val="22"/>
        </w:rPr>
        <w:tab/>
      </w:r>
      <w:r>
        <w:rPr>
          <w:noProof/>
        </w:rPr>
        <w:t>Interaction with other provisions</w:t>
      </w:r>
      <w:r>
        <w:rPr>
          <w:noProof/>
        </w:rPr>
        <w:tab/>
      </w:r>
      <w:r>
        <w:rPr>
          <w:noProof/>
        </w:rPr>
        <w:fldChar w:fldCharType="begin"/>
      </w:r>
      <w:r>
        <w:rPr>
          <w:noProof/>
        </w:rPr>
        <w:instrText xml:space="preserve"> PAGEREF _Toc329348003 \h </w:instrText>
      </w:r>
      <w:r>
        <w:rPr>
          <w:noProof/>
        </w:rPr>
      </w:r>
      <w:r>
        <w:rPr>
          <w:noProof/>
        </w:rPr>
        <w:fldChar w:fldCharType="separate"/>
      </w:r>
      <w:r w:rsidR="00A421C7">
        <w:rPr>
          <w:noProof/>
        </w:rPr>
        <w:t>2</w:t>
      </w:r>
      <w:r>
        <w:rPr>
          <w:noProof/>
        </w:rPr>
        <w:fldChar w:fldCharType="end"/>
      </w:r>
    </w:p>
    <w:p w14:paraId="2984E07F" w14:textId="77777777" w:rsidR="004865E3" w:rsidRDefault="004865E3">
      <w:pPr>
        <w:pStyle w:val="TOC2"/>
        <w:rPr>
          <w:rFonts w:asciiTheme="minorHAnsi" w:eastAsiaTheme="minorEastAsia" w:hAnsiTheme="minorHAnsi" w:cstheme="minorBidi"/>
          <w:noProof/>
          <w:color w:val="auto"/>
          <w:sz w:val="22"/>
          <w:szCs w:val="22"/>
        </w:rPr>
      </w:pPr>
      <w:r w:rsidRPr="0058542E">
        <w:rPr>
          <w:rFonts w:cs="Calibri"/>
          <w:noProof/>
        </w:rPr>
        <w:t>2.2</w:t>
      </w:r>
      <w:r>
        <w:rPr>
          <w:rFonts w:asciiTheme="minorHAnsi" w:eastAsiaTheme="minorEastAsia" w:hAnsiTheme="minorHAnsi" w:cstheme="minorBidi"/>
          <w:noProof/>
          <w:color w:val="auto"/>
          <w:sz w:val="22"/>
          <w:szCs w:val="22"/>
        </w:rPr>
        <w:tab/>
      </w:r>
      <w:r w:rsidRPr="0058542E">
        <w:rPr>
          <w:i/>
          <w:noProof/>
        </w:rPr>
        <w:t xml:space="preserve">Commissioner of Taxation v BHP Billiton Limited &amp; others </w:t>
      </w:r>
      <w:r>
        <w:rPr>
          <w:noProof/>
        </w:rPr>
        <w:t>[2011] HCA 17</w:t>
      </w:r>
      <w:r>
        <w:rPr>
          <w:noProof/>
        </w:rPr>
        <w:tab/>
      </w:r>
      <w:r>
        <w:rPr>
          <w:noProof/>
        </w:rPr>
        <w:fldChar w:fldCharType="begin"/>
      </w:r>
      <w:r>
        <w:rPr>
          <w:noProof/>
        </w:rPr>
        <w:instrText xml:space="preserve"> PAGEREF _Toc329348004 \h </w:instrText>
      </w:r>
      <w:r>
        <w:rPr>
          <w:noProof/>
        </w:rPr>
      </w:r>
      <w:r>
        <w:rPr>
          <w:noProof/>
        </w:rPr>
        <w:fldChar w:fldCharType="separate"/>
      </w:r>
      <w:r w:rsidR="00A421C7">
        <w:rPr>
          <w:noProof/>
        </w:rPr>
        <w:t>3</w:t>
      </w:r>
      <w:r>
        <w:rPr>
          <w:noProof/>
        </w:rPr>
        <w:fldChar w:fldCharType="end"/>
      </w:r>
    </w:p>
    <w:p w14:paraId="2984E080" w14:textId="77777777" w:rsidR="004865E3" w:rsidRDefault="004865E3">
      <w:pPr>
        <w:pStyle w:val="TOC1"/>
        <w:rPr>
          <w:rFonts w:asciiTheme="minorHAnsi" w:eastAsiaTheme="minorEastAsia" w:hAnsiTheme="minorHAnsi" w:cstheme="minorBidi"/>
          <w:b w:val="0"/>
          <w:smallCaps w:val="0"/>
          <w:noProof/>
          <w:color w:val="auto"/>
        </w:rPr>
      </w:pPr>
      <w:r w:rsidRPr="0058542E">
        <w:rPr>
          <w:rFonts w:cs="Calibri"/>
          <w:noProof/>
        </w:rPr>
        <w:t>3.</w:t>
      </w:r>
      <w:r>
        <w:rPr>
          <w:rFonts w:asciiTheme="minorHAnsi" w:eastAsiaTheme="minorEastAsia" w:hAnsiTheme="minorHAnsi" w:cstheme="minorBidi"/>
          <w:b w:val="0"/>
          <w:smallCaps w:val="0"/>
          <w:noProof/>
          <w:color w:val="auto"/>
        </w:rPr>
        <w:tab/>
      </w:r>
      <w:r>
        <w:rPr>
          <w:noProof/>
        </w:rPr>
        <w:t>Ensuring that Division 243 operates as intended</w:t>
      </w:r>
      <w:r>
        <w:rPr>
          <w:noProof/>
        </w:rPr>
        <w:tab/>
      </w:r>
      <w:r>
        <w:rPr>
          <w:noProof/>
        </w:rPr>
        <w:fldChar w:fldCharType="begin"/>
      </w:r>
      <w:r>
        <w:rPr>
          <w:noProof/>
        </w:rPr>
        <w:instrText xml:space="preserve"> PAGEREF _Toc329348005 \h </w:instrText>
      </w:r>
      <w:r>
        <w:rPr>
          <w:noProof/>
        </w:rPr>
      </w:r>
      <w:r>
        <w:rPr>
          <w:noProof/>
        </w:rPr>
        <w:fldChar w:fldCharType="separate"/>
      </w:r>
      <w:r w:rsidR="00A421C7">
        <w:rPr>
          <w:noProof/>
        </w:rPr>
        <w:t>4</w:t>
      </w:r>
      <w:r>
        <w:rPr>
          <w:noProof/>
        </w:rPr>
        <w:fldChar w:fldCharType="end"/>
      </w:r>
    </w:p>
    <w:p w14:paraId="2984E081" w14:textId="77777777" w:rsidR="004865E3" w:rsidRDefault="004865E3">
      <w:pPr>
        <w:pStyle w:val="TOC2"/>
        <w:rPr>
          <w:rFonts w:asciiTheme="minorHAnsi" w:eastAsiaTheme="minorEastAsia" w:hAnsiTheme="minorHAnsi" w:cstheme="minorBidi"/>
          <w:noProof/>
          <w:color w:val="auto"/>
          <w:sz w:val="22"/>
          <w:szCs w:val="22"/>
        </w:rPr>
      </w:pPr>
      <w:r w:rsidRPr="0058542E">
        <w:rPr>
          <w:rFonts w:cs="Calibri"/>
          <w:noProof/>
        </w:rPr>
        <w:t>3.1</w:t>
      </w:r>
      <w:r>
        <w:rPr>
          <w:rFonts w:asciiTheme="minorHAnsi" w:eastAsiaTheme="minorEastAsia" w:hAnsiTheme="minorHAnsi" w:cstheme="minorBidi"/>
          <w:noProof/>
          <w:color w:val="auto"/>
          <w:sz w:val="22"/>
          <w:szCs w:val="22"/>
        </w:rPr>
        <w:tab/>
      </w:r>
      <w:r>
        <w:rPr>
          <w:noProof/>
        </w:rPr>
        <w:t>Amending the definition of limited recourse debt</w:t>
      </w:r>
      <w:r>
        <w:rPr>
          <w:noProof/>
        </w:rPr>
        <w:tab/>
      </w:r>
      <w:r>
        <w:rPr>
          <w:noProof/>
        </w:rPr>
        <w:fldChar w:fldCharType="begin"/>
      </w:r>
      <w:r>
        <w:rPr>
          <w:noProof/>
        </w:rPr>
        <w:instrText xml:space="preserve"> PAGEREF _Toc329348006 \h </w:instrText>
      </w:r>
      <w:r>
        <w:rPr>
          <w:noProof/>
        </w:rPr>
      </w:r>
      <w:r>
        <w:rPr>
          <w:noProof/>
        </w:rPr>
        <w:fldChar w:fldCharType="separate"/>
      </w:r>
      <w:r w:rsidR="00A421C7">
        <w:rPr>
          <w:noProof/>
        </w:rPr>
        <w:t>4</w:t>
      </w:r>
      <w:r>
        <w:rPr>
          <w:noProof/>
        </w:rPr>
        <w:fldChar w:fldCharType="end"/>
      </w:r>
    </w:p>
    <w:p w14:paraId="2984E082" w14:textId="77777777" w:rsidR="00A077F9" w:rsidRPr="00AC2624" w:rsidRDefault="00A077F9" w:rsidP="007A17F0">
      <w:pPr>
        <w:pStyle w:val="TOC1"/>
        <w:tabs>
          <w:tab w:val="clear" w:pos="567"/>
        </w:tabs>
        <w:sectPr w:rsidR="00A077F9" w:rsidRPr="00AC2624">
          <w:pgSz w:w="11906" w:h="16838"/>
          <w:pgMar w:top="1418" w:right="1418" w:bottom="1418" w:left="1418" w:header="709" w:footer="709" w:gutter="0"/>
          <w:pgNumType w:fmt="lowerRoman"/>
          <w:cols w:space="720"/>
        </w:sectPr>
      </w:pPr>
      <w:r w:rsidRPr="00AD79AC">
        <w:fldChar w:fldCharType="end"/>
      </w:r>
    </w:p>
    <w:p w14:paraId="2984E083" w14:textId="77777777" w:rsidR="00A077F9" w:rsidRPr="00337829" w:rsidRDefault="00A077F9" w:rsidP="001D23BC">
      <w:pPr>
        <w:pStyle w:val="Heading1"/>
      </w:pPr>
      <w:bookmarkStart w:id="3" w:name="_Toc329348000"/>
      <w:r>
        <w:lastRenderedPageBreak/>
        <w:t>Background</w:t>
      </w:r>
      <w:bookmarkEnd w:id="3"/>
      <w:r w:rsidRPr="00337829">
        <w:t xml:space="preserve"> </w:t>
      </w:r>
    </w:p>
    <w:p w14:paraId="2984E084" w14:textId="72F0581F" w:rsidR="00A077F9" w:rsidRPr="00687279" w:rsidRDefault="00A077F9" w:rsidP="00687279">
      <w:pPr>
        <w:pStyle w:val="OneLevelNumberedParagraph"/>
        <w:rPr>
          <w:rFonts w:ascii="Calibri" w:hAnsi="Calibri"/>
        </w:rPr>
      </w:pPr>
      <w:r w:rsidRPr="00687279">
        <w:rPr>
          <w:rFonts w:ascii="Calibri" w:hAnsi="Calibri"/>
        </w:rPr>
        <w:t>In the 2012</w:t>
      </w:r>
      <w:r w:rsidR="00A421C7">
        <w:rPr>
          <w:rFonts w:ascii="Calibri" w:hAnsi="Calibri"/>
        </w:rPr>
        <w:noBreakHyphen/>
      </w:r>
      <w:r w:rsidRPr="00687279">
        <w:rPr>
          <w:rFonts w:ascii="Calibri" w:hAnsi="Calibri"/>
        </w:rPr>
        <w:t>13 Budget, the Government announced that it will amend the definition of limited recourse debt in the income tax law, to ensure that tax deductions are not available for capital expenditure on assets that have been financed by limited recourse debt, to the extent that the taxpayer is not effectively at risk for the expenditure and does not make an economic loss.</w:t>
      </w:r>
    </w:p>
    <w:p w14:paraId="2984E085" w14:textId="77777777" w:rsidR="00D95E43" w:rsidRDefault="00A077F9" w:rsidP="00D95E43">
      <w:pPr>
        <w:pStyle w:val="OneLevelNumberedParagraph"/>
      </w:pPr>
      <w:r w:rsidRPr="00687279">
        <w:rPr>
          <w:rFonts w:ascii="Calibri" w:hAnsi="Calibri"/>
        </w:rPr>
        <w:t>The proposed measure will affect the financing of projects where the borrower is a special purpose entity that has minimal or no other assets or income from other sources apart from the project assets.</w:t>
      </w:r>
    </w:p>
    <w:p w14:paraId="2984E086" w14:textId="77777777" w:rsidR="00A077F9" w:rsidRDefault="00A077F9" w:rsidP="00710D38">
      <w:pPr>
        <w:pStyle w:val="Heading2"/>
        <w:tabs>
          <w:tab w:val="clear" w:pos="6237"/>
          <w:tab w:val="num" w:pos="0"/>
        </w:tabs>
        <w:ind w:left="0" w:firstLine="0"/>
        <w:jc w:val="both"/>
      </w:pPr>
      <w:bookmarkStart w:id="4" w:name="_Toc329348001"/>
      <w:r w:rsidRPr="00247618">
        <w:t>Limited recourse debt</w:t>
      </w:r>
      <w:bookmarkEnd w:id="4"/>
      <w:r w:rsidRPr="00247618">
        <w:t xml:space="preserve"> </w:t>
      </w:r>
    </w:p>
    <w:p w14:paraId="2984E087" w14:textId="0514A0CE" w:rsidR="00A077F9" w:rsidRPr="00687279" w:rsidRDefault="00A077F9" w:rsidP="00687279">
      <w:pPr>
        <w:pStyle w:val="OneLevelNumberedParagraph"/>
        <w:rPr>
          <w:rFonts w:ascii="Calibri" w:hAnsi="Calibri"/>
        </w:rPr>
      </w:pPr>
      <w:r w:rsidRPr="008B384D">
        <w:rPr>
          <w:rFonts w:ascii="Calibri" w:hAnsi="Calibri" w:cs="Calibri"/>
          <w:szCs w:val="22"/>
        </w:rPr>
        <w:t xml:space="preserve">Limited recourse is a financing arrangement that is often used in </w:t>
      </w:r>
      <w:r w:rsidR="009D44D2">
        <w:rPr>
          <w:rFonts w:ascii="Calibri" w:hAnsi="Calibri" w:cs="Calibri"/>
          <w:szCs w:val="22"/>
        </w:rPr>
        <w:t>long term</w:t>
      </w:r>
      <w:r w:rsidRPr="008B384D">
        <w:rPr>
          <w:rFonts w:ascii="Calibri" w:hAnsi="Calibri" w:cs="Calibri"/>
          <w:szCs w:val="22"/>
        </w:rPr>
        <w:t xml:space="preserve"> projects</w:t>
      </w:r>
      <w:r w:rsidR="00A421C7">
        <w:rPr>
          <w:rFonts w:ascii="Calibri" w:hAnsi="Calibri" w:cs="Calibri"/>
          <w:szCs w:val="22"/>
        </w:rPr>
        <w:t xml:space="preserve">. </w:t>
      </w:r>
      <w:r w:rsidRPr="008B384D">
        <w:rPr>
          <w:rFonts w:ascii="Calibri" w:hAnsi="Calibri" w:cs="Calibri"/>
          <w:szCs w:val="22"/>
        </w:rPr>
        <w:t>Broadly, in such project financing, the creditor seeks to wholly or primarily rely on the cash flows and assets of the project for repayment and security</w:t>
      </w:r>
      <w:r w:rsidR="00A421C7">
        <w:rPr>
          <w:rFonts w:ascii="Calibri" w:hAnsi="Calibri" w:cs="Calibri"/>
          <w:szCs w:val="22"/>
        </w:rPr>
        <w:t xml:space="preserve">. </w:t>
      </w:r>
      <w:r w:rsidRPr="008B384D">
        <w:rPr>
          <w:rFonts w:ascii="Calibri" w:hAnsi="Calibri" w:cs="Calibri"/>
          <w:szCs w:val="22"/>
        </w:rPr>
        <w:t>This depends on the project being completed</w:t>
      </w:r>
      <w:r w:rsidR="00A421C7">
        <w:rPr>
          <w:rFonts w:ascii="Calibri" w:hAnsi="Calibri" w:cs="Calibri"/>
          <w:szCs w:val="22"/>
        </w:rPr>
        <w:t xml:space="preserve">. </w:t>
      </w:r>
      <w:r w:rsidRPr="008B384D">
        <w:rPr>
          <w:rFonts w:ascii="Calibri" w:hAnsi="Calibri" w:cs="Calibri"/>
          <w:szCs w:val="22"/>
        </w:rPr>
        <w:t>The decision to finance the project is based on an evaluation of the commercial viability of the project, rather than on the financial strength of the project sponsor</w:t>
      </w:r>
      <w:r w:rsidR="00A421C7">
        <w:rPr>
          <w:rFonts w:ascii="Calibri" w:hAnsi="Calibri"/>
        </w:rPr>
        <w:t xml:space="preserve">. </w:t>
      </w:r>
    </w:p>
    <w:p w14:paraId="2984E088" w14:textId="4818AB5B" w:rsidR="00A077F9" w:rsidRPr="00FE1D38" w:rsidRDefault="00A077F9" w:rsidP="00687279">
      <w:pPr>
        <w:pStyle w:val="OneLevelNumberedParagraph"/>
        <w:rPr>
          <w:rFonts w:ascii="Calibri" w:hAnsi="Calibri"/>
          <w:szCs w:val="22"/>
        </w:rPr>
      </w:pPr>
      <w:r w:rsidRPr="00FE1D38">
        <w:rPr>
          <w:rFonts w:ascii="Calibri" w:hAnsi="Calibri"/>
          <w:szCs w:val="22"/>
        </w:rPr>
        <w:t>In light of this, a key objective of the project sponsor will be to limit their exposure to the creditor’s financial recourse, in the event of a default on the loan</w:t>
      </w:r>
      <w:r w:rsidR="00A421C7">
        <w:rPr>
          <w:rFonts w:ascii="Calibri" w:hAnsi="Calibri"/>
          <w:szCs w:val="22"/>
        </w:rPr>
        <w:t xml:space="preserve">. </w:t>
      </w:r>
      <w:r w:rsidRPr="00FE1D38">
        <w:rPr>
          <w:rFonts w:ascii="Calibri" w:hAnsi="Calibri"/>
          <w:szCs w:val="22"/>
        </w:rPr>
        <w:t>Broadly, this is done in two</w:t>
      </w:r>
      <w:r w:rsidR="00A421C7">
        <w:rPr>
          <w:rFonts w:ascii="Calibri" w:hAnsi="Calibri"/>
          <w:szCs w:val="22"/>
        </w:rPr>
        <w:t> </w:t>
      </w:r>
      <w:r w:rsidRPr="00FE1D38">
        <w:rPr>
          <w:rFonts w:ascii="Calibri" w:hAnsi="Calibri"/>
          <w:szCs w:val="22"/>
        </w:rPr>
        <w:t>ways</w:t>
      </w:r>
      <w:r w:rsidR="00893DAC">
        <w:rPr>
          <w:rFonts w:ascii="Calibri" w:hAnsi="Calibri"/>
          <w:szCs w:val="22"/>
        </w:rPr>
        <w:t xml:space="preserve"> that differ legally but are </w:t>
      </w:r>
      <w:r w:rsidR="00E124BD">
        <w:rPr>
          <w:rFonts w:ascii="Calibri" w:hAnsi="Calibri"/>
          <w:szCs w:val="22"/>
        </w:rPr>
        <w:t>economic</w:t>
      </w:r>
      <w:r w:rsidR="00893DAC">
        <w:rPr>
          <w:rFonts w:ascii="Calibri" w:hAnsi="Calibri"/>
          <w:szCs w:val="22"/>
        </w:rPr>
        <w:t>ally</w:t>
      </w:r>
      <w:r w:rsidR="00E124BD">
        <w:rPr>
          <w:rFonts w:ascii="Calibri" w:hAnsi="Calibri"/>
          <w:szCs w:val="22"/>
        </w:rPr>
        <w:t xml:space="preserve"> and substantive</w:t>
      </w:r>
      <w:r w:rsidR="00893DAC">
        <w:rPr>
          <w:rFonts w:ascii="Calibri" w:hAnsi="Calibri"/>
          <w:szCs w:val="22"/>
        </w:rPr>
        <w:t>ly</w:t>
      </w:r>
      <w:r w:rsidR="00E124BD">
        <w:rPr>
          <w:rFonts w:ascii="Calibri" w:hAnsi="Calibri"/>
          <w:szCs w:val="22"/>
        </w:rPr>
        <w:t xml:space="preserve"> </w:t>
      </w:r>
      <w:r w:rsidR="00893DAC">
        <w:rPr>
          <w:rFonts w:ascii="Calibri" w:hAnsi="Calibri"/>
          <w:szCs w:val="22"/>
        </w:rPr>
        <w:t>similar</w:t>
      </w:r>
      <w:r w:rsidR="00A421C7">
        <w:rPr>
          <w:rFonts w:ascii="Calibri" w:hAnsi="Calibri"/>
          <w:szCs w:val="22"/>
        </w:rPr>
        <w:t xml:space="preserve">. </w:t>
      </w:r>
    </w:p>
    <w:p w14:paraId="2984E089" w14:textId="77777777" w:rsidR="00455D34" w:rsidRPr="003F13CA" w:rsidRDefault="00455D34" w:rsidP="00455D34">
      <w:pPr>
        <w:pStyle w:val="OneLevelNumberedParagraph"/>
        <w:rPr>
          <w:rFonts w:ascii="Calibri" w:hAnsi="Calibri"/>
          <w:szCs w:val="22"/>
        </w:rPr>
      </w:pPr>
      <w:r>
        <w:rPr>
          <w:rFonts w:ascii="Calibri" w:hAnsi="Calibri"/>
          <w:szCs w:val="22"/>
        </w:rPr>
        <w:t>One</w:t>
      </w:r>
      <w:r w:rsidRPr="002465F4">
        <w:rPr>
          <w:rFonts w:ascii="Calibri" w:hAnsi="Calibri"/>
          <w:szCs w:val="22"/>
        </w:rPr>
        <w:t xml:space="preserve"> financing approach is where the creditor lends directly to the project sponsor (or an entity controlled by the sponsor) and contractually limits its rights of financial recourse </w:t>
      </w:r>
      <w:r w:rsidRPr="00DB3128">
        <w:rPr>
          <w:rFonts w:ascii="Calibri" w:hAnsi="Calibri"/>
          <w:szCs w:val="22"/>
        </w:rPr>
        <w:t>to ri</w:t>
      </w:r>
      <w:r w:rsidRPr="001156DD">
        <w:rPr>
          <w:rFonts w:ascii="Calibri" w:hAnsi="Calibri"/>
          <w:szCs w:val="22"/>
        </w:rPr>
        <w:t>ghts in relation to the assets that are wholly or predominantly financed or secured by the loan</w:t>
      </w:r>
      <w:r w:rsidRPr="003F13CA">
        <w:rPr>
          <w:rFonts w:ascii="Calibri" w:hAnsi="Calibri"/>
          <w:szCs w:val="22"/>
        </w:rPr>
        <w:t xml:space="preserve">. </w:t>
      </w:r>
    </w:p>
    <w:p w14:paraId="2984E08A" w14:textId="60C6D6A7" w:rsidR="00A077F9" w:rsidRPr="00FE1D38" w:rsidRDefault="00455D34" w:rsidP="00687279">
      <w:pPr>
        <w:pStyle w:val="OneLevelNumberedParagraph"/>
        <w:rPr>
          <w:rFonts w:ascii="Calibri" w:hAnsi="Calibri"/>
          <w:szCs w:val="22"/>
        </w:rPr>
      </w:pPr>
      <w:r>
        <w:rPr>
          <w:rFonts w:ascii="Calibri" w:hAnsi="Calibri"/>
          <w:szCs w:val="22"/>
        </w:rPr>
        <w:t>Another</w:t>
      </w:r>
      <w:r w:rsidR="00A077F9" w:rsidRPr="00FE1D38">
        <w:rPr>
          <w:rFonts w:ascii="Calibri" w:hAnsi="Calibri"/>
          <w:szCs w:val="22"/>
        </w:rPr>
        <w:t xml:space="preserve"> approach is where the project sponsor establishes a special purpose entity as the borrower, with the effect of separating the </w:t>
      </w:r>
      <w:r w:rsidR="00FE1D38">
        <w:rPr>
          <w:rFonts w:ascii="Calibri" w:hAnsi="Calibri"/>
          <w:szCs w:val="22"/>
        </w:rPr>
        <w:t>special purpose entity</w:t>
      </w:r>
      <w:r w:rsidR="00A077F9" w:rsidRPr="00FE1D38">
        <w:rPr>
          <w:rFonts w:ascii="Calibri" w:hAnsi="Calibri"/>
          <w:szCs w:val="22"/>
        </w:rPr>
        <w:t>’s</w:t>
      </w:r>
      <w:r w:rsidR="00FE1D38">
        <w:rPr>
          <w:rFonts w:ascii="Calibri" w:hAnsi="Calibri"/>
          <w:szCs w:val="22"/>
        </w:rPr>
        <w:t xml:space="preserve"> </w:t>
      </w:r>
      <w:r w:rsidR="00682652">
        <w:rPr>
          <w:rFonts w:ascii="Calibri" w:hAnsi="Calibri"/>
          <w:szCs w:val="22"/>
        </w:rPr>
        <w:t xml:space="preserve">assets and </w:t>
      </w:r>
      <w:r w:rsidR="00A077F9" w:rsidRPr="00FE1D38">
        <w:rPr>
          <w:rFonts w:ascii="Calibri" w:hAnsi="Calibri"/>
          <w:szCs w:val="22"/>
        </w:rPr>
        <w:t>liabilit</w:t>
      </w:r>
      <w:r w:rsidR="00682652">
        <w:rPr>
          <w:rFonts w:ascii="Calibri" w:hAnsi="Calibri"/>
          <w:szCs w:val="22"/>
        </w:rPr>
        <w:t>ies</w:t>
      </w:r>
      <w:r w:rsidR="00A077F9" w:rsidRPr="00FE1D38">
        <w:rPr>
          <w:rFonts w:ascii="Calibri" w:hAnsi="Calibri"/>
          <w:szCs w:val="22"/>
        </w:rPr>
        <w:t xml:space="preserve"> from </w:t>
      </w:r>
      <w:r w:rsidR="00682652">
        <w:rPr>
          <w:rFonts w:ascii="Calibri" w:hAnsi="Calibri"/>
          <w:szCs w:val="22"/>
        </w:rPr>
        <w:t xml:space="preserve">that of </w:t>
      </w:r>
      <w:r w:rsidR="00A077F9" w:rsidRPr="00FE1D38">
        <w:rPr>
          <w:rFonts w:ascii="Calibri" w:hAnsi="Calibri"/>
          <w:szCs w:val="22"/>
        </w:rPr>
        <w:t>the sponsor</w:t>
      </w:r>
      <w:r w:rsidR="00A421C7">
        <w:rPr>
          <w:rFonts w:ascii="Calibri" w:hAnsi="Calibri"/>
          <w:szCs w:val="22"/>
        </w:rPr>
        <w:t xml:space="preserve">. </w:t>
      </w:r>
      <w:r w:rsidR="00A077F9" w:rsidRPr="00FE1D38">
        <w:rPr>
          <w:rFonts w:ascii="Calibri" w:hAnsi="Calibri"/>
          <w:szCs w:val="22"/>
        </w:rPr>
        <w:t xml:space="preserve">The </w:t>
      </w:r>
      <w:r w:rsidR="00FE1D38">
        <w:rPr>
          <w:rFonts w:ascii="Calibri" w:hAnsi="Calibri"/>
          <w:szCs w:val="22"/>
        </w:rPr>
        <w:t xml:space="preserve">special purpose entity </w:t>
      </w:r>
      <w:r w:rsidR="00A077F9" w:rsidRPr="00FE1D38">
        <w:rPr>
          <w:rFonts w:ascii="Calibri" w:hAnsi="Calibri"/>
          <w:szCs w:val="22"/>
        </w:rPr>
        <w:t xml:space="preserve">becomes the project entity and its assets will comprise project assets financed wholly or predominantly </w:t>
      </w:r>
      <w:r w:rsidR="00893DAC">
        <w:rPr>
          <w:rFonts w:ascii="Calibri" w:hAnsi="Calibri"/>
          <w:szCs w:val="22"/>
        </w:rPr>
        <w:t>by</w:t>
      </w:r>
      <w:r w:rsidR="00A077F9" w:rsidRPr="00FE1D38">
        <w:rPr>
          <w:rFonts w:ascii="Calibri" w:hAnsi="Calibri"/>
          <w:szCs w:val="22"/>
        </w:rPr>
        <w:t xml:space="preserve"> the loan</w:t>
      </w:r>
      <w:r w:rsidR="00A421C7">
        <w:rPr>
          <w:rFonts w:ascii="Calibri" w:hAnsi="Calibri"/>
          <w:szCs w:val="22"/>
        </w:rPr>
        <w:t xml:space="preserve">. </w:t>
      </w:r>
    </w:p>
    <w:p w14:paraId="2984E08B" w14:textId="77777777" w:rsidR="00893DAC" w:rsidRDefault="00A077F9" w:rsidP="00687279">
      <w:pPr>
        <w:pStyle w:val="OneLevelNumberedParagraph"/>
        <w:rPr>
          <w:rFonts w:ascii="Calibri" w:hAnsi="Calibri"/>
          <w:szCs w:val="22"/>
        </w:rPr>
      </w:pPr>
      <w:r w:rsidRPr="005E2E84">
        <w:rPr>
          <w:rFonts w:ascii="Calibri" w:hAnsi="Calibri"/>
          <w:szCs w:val="22"/>
        </w:rPr>
        <w:t>Th</w:t>
      </w:r>
      <w:r w:rsidR="002F0543" w:rsidRPr="00913650">
        <w:rPr>
          <w:rFonts w:ascii="Calibri" w:hAnsi="Calibri"/>
          <w:szCs w:val="22"/>
        </w:rPr>
        <w:t xml:space="preserve">e effect of </w:t>
      </w:r>
      <w:r w:rsidR="00E124BD">
        <w:rPr>
          <w:rFonts w:ascii="Calibri" w:hAnsi="Calibri"/>
          <w:szCs w:val="22"/>
        </w:rPr>
        <w:t>a special purpose entity</w:t>
      </w:r>
      <w:r w:rsidR="002F0543" w:rsidRPr="00913650">
        <w:rPr>
          <w:rFonts w:ascii="Calibri" w:hAnsi="Calibri"/>
          <w:szCs w:val="22"/>
        </w:rPr>
        <w:t xml:space="preserve"> financing structure is that, should the contract be terminated as a result of a default in repayment by the special purpose entity, </w:t>
      </w:r>
      <w:r w:rsidRPr="00913650">
        <w:rPr>
          <w:rFonts w:ascii="Calibri" w:hAnsi="Calibri"/>
          <w:szCs w:val="22"/>
        </w:rPr>
        <w:t>the creditor</w:t>
      </w:r>
      <w:r w:rsidR="002F0543" w:rsidRPr="00913650">
        <w:rPr>
          <w:rFonts w:ascii="Calibri" w:hAnsi="Calibri"/>
          <w:szCs w:val="22"/>
        </w:rPr>
        <w:t xml:space="preserve"> can only seek </w:t>
      </w:r>
      <w:r w:rsidRPr="00913650">
        <w:rPr>
          <w:rFonts w:ascii="Calibri" w:hAnsi="Calibri"/>
          <w:szCs w:val="22"/>
        </w:rPr>
        <w:t>recourse</w:t>
      </w:r>
      <w:r w:rsidR="00981A14" w:rsidRPr="00913650">
        <w:rPr>
          <w:rFonts w:ascii="Calibri" w:hAnsi="Calibri"/>
          <w:szCs w:val="22"/>
        </w:rPr>
        <w:t xml:space="preserve"> on </w:t>
      </w:r>
      <w:r w:rsidR="002F0543" w:rsidRPr="00913650">
        <w:rPr>
          <w:rFonts w:ascii="Calibri" w:hAnsi="Calibri"/>
          <w:szCs w:val="22"/>
        </w:rPr>
        <w:t xml:space="preserve">assets </w:t>
      </w:r>
      <w:r w:rsidR="00981A14" w:rsidRPr="00913650">
        <w:rPr>
          <w:rFonts w:ascii="Calibri" w:hAnsi="Calibri"/>
          <w:szCs w:val="22"/>
        </w:rPr>
        <w:t xml:space="preserve">that are wholly or predominantly </w:t>
      </w:r>
      <w:r w:rsidR="002F0543" w:rsidRPr="00913650">
        <w:rPr>
          <w:rFonts w:ascii="Calibri" w:hAnsi="Calibri"/>
          <w:szCs w:val="22"/>
        </w:rPr>
        <w:t>financed or secured by the loan</w:t>
      </w:r>
      <w:r w:rsidRPr="00913650">
        <w:rPr>
          <w:rFonts w:ascii="Calibri" w:hAnsi="Calibri"/>
          <w:szCs w:val="22"/>
        </w:rPr>
        <w:t xml:space="preserve">. </w:t>
      </w:r>
    </w:p>
    <w:p w14:paraId="2984E08C" w14:textId="77777777" w:rsidR="00A077F9" w:rsidRPr="00913650" w:rsidRDefault="00A077F9" w:rsidP="00687279">
      <w:pPr>
        <w:pStyle w:val="OneLevelNumberedParagraph"/>
        <w:rPr>
          <w:rFonts w:ascii="Calibri" w:hAnsi="Calibri"/>
          <w:szCs w:val="22"/>
        </w:rPr>
      </w:pPr>
      <w:r w:rsidRPr="00913650">
        <w:rPr>
          <w:rFonts w:ascii="Calibri" w:hAnsi="Calibri"/>
          <w:szCs w:val="22"/>
        </w:rPr>
        <w:t xml:space="preserve"> </w:t>
      </w:r>
      <w:r w:rsidR="003843A3">
        <w:rPr>
          <w:rFonts w:ascii="Calibri" w:hAnsi="Calibri"/>
          <w:szCs w:val="22"/>
        </w:rPr>
        <w:t>This is the same economic and substantive outcome as that achieve by directly contractually limiting the creditor’s rights to assets that are wholly or predominantly financed by a loan.</w:t>
      </w:r>
    </w:p>
    <w:p w14:paraId="2984E08D" w14:textId="77777777" w:rsidR="00A077F9" w:rsidRPr="002078C2" w:rsidRDefault="00A077F9" w:rsidP="00980D7A">
      <w:pPr>
        <w:pStyle w:val="Heading1"/>
      </w:pPr>
      <w:bookmarkStart w:id="5" w:name="_Toc329348002"/>
      <w:r>
        <w:t>Outline of current law</w:t>
      </w:r>
      <w:bookmarkEnd w:id="5"/>
    </w:p>
    <w:p w14:paraId="2984E08E" w14:textId="77777777" w:rsidR="00A077F9" w:rsidRPr="00687279" w:rsidRDefault="00A077F9" w:rsidP="00687279">
      <w:pPr>
        <w:pStyle w:val="OneLevelNumberedParagraph"/>
        <w:rPr>
          <w:rFonts w:ascii="Calibri" w:hAnsi="Calibri"/>
        </w:rPr>
      </w:pPr>
      <w:r w:rsidRPr="00687279">
        <w:rPr>
          <w:rFonts w:ascii="Calibri" w:hAnsi="Calibri"/>
        </w:rPr>
        <w:t xml:space="preserve">Legislative references are to the </w:t>
      </w:r>
      <w:r w:rsidRPr="00687279">
        <w:rPr>
          <w:rFonts w:ascii="Calibri" w:hAnsi="Calibri"/>
          <w:i/>
        </w:rPr>
        <w:t>Income Tax Assessment Act 1997</w:t>
      </w:r>
      <w:r w:rsidRPr="00687279">
        <w:rPr>
          <w:rFonts w:ascii="Calibri" w:hAnsi="Calibri"/>
        </w:rPr>
        <w:t xml:space="preserve"> unless otherwise stated.</w:t>
      </w:r>
    </w:p>
    <w:p w14:paraId="2984E08F" w14:textId="0E29BA42" w:rsidR="00804464" w:rsidRPr="00804464" w:rsidRDefault="00A077F9" w:rsidP="005E7244">
      <w:pPr>
        <w:pStyle w:val="OneLevelNumberedParagraph"/>
      </w:pPr>
      <w:r w:rsidRPr="005E7244">
        <w:rPr>
          <w:rFonts w:asciiTheme="minorHAnsi" w:hAnsiTheme="minorHAnsi" w:cstheme="minorHAnsi"/>
        </w:rPr>
        <w:lastRenderedPageBreak/>
        <w:t>The limited recourse debt provisions are in Division 243</w:t>
      </w:r>
      <w:r w:rsidR="00A421C7">
        <w:rPr>
          <w:rFonts w:asciiTheme="minorHAnsi" w:hAnsiTheme="minorHAnsi" w:cstheme="minorHAnsi"/>
        </w:rPr>
        <w:t xml:space="preserve">. </w:t>
      </w:r>
      <w:r w:rsidR="001E66A1" w:rsidRPr="005E7244">
        <w:rPr>
          <w:rFonts w:asciiTheme="minorHAnsi" w:hAnsiTheme="minorHAnsi" w:cstheme="minorHAnsi"/>
        </w:rPr>
        <w:t>The policy objective</w:t>
      </w:r>
      <w:r w:rsidR="005E7244" w:rsidRPr="005E7244">
        <w:rPr>
          <w:rFonts w:asciiTheme="minorHAnsi" w:hAnsiTheme="minorHAnsi" w:cstheme="minorHAnsi"/>
        </w:rPr>
        <w:t>, as expressed in the Explanatory Memorandum to the Taxation Laws Amendment Bill (No. 5) 1999</w:t>
      </w:r>
      <w:r w:rsidR="005E7244">
        <w:rPr>
          <w:rFonts w:asciiTheme="minorHAnsi" w:hAnsiTheme="minorHAnsi" w:cstheme="minorHAnsi"/>
        </w:rPr>
        <w:t>,</w:t>
      </w:r>
      <w:r w:rsidR="001E66A1" w:rsidRPr="005E7244">
        <w:rPr>
          <w:rFonts w:asciiTheme="minorHAnsi" w:hAnsiTheme="minorHAnsi" w:cstheme="minorHAnsi"/>
        </w:rPr>
        <w:t xml:space="preserve"> is </w:t>
      </w:r>
      <w:r w:rsidR="00942911" w:rsidRPr="005E7244">
        <w:rPr>
          <w:rFonts w:asciiTheme="minorHAnsi" w:hAnsiTheme="minorHAnsi" w:cstheme="minorHAnsi"/>
        </w:rPr>
        <w:t>to ensure that total deductions for allowable capital expenditure</w:t>
      </w:r>
      <w:r w:rsidR="00942911" w:rsidRPr="00942911">
        <w:rPr>
          <w:rFonts w:ascii="Calibri" w:hAnsi="Calibri"/>
        </w:rPr>
        <w:t xml:space="preserve"> do not exceed the total amount actually expended by a taxpayer where the expenditure has been financed under hire purchase or limited recourse debt arrangements.</w:t>
      </w:r>
      <w:r w:rsidR="00942911">
        <w:rPr>
          <w:rFonts w:ascii="Calibri" w:hAnsi="Calibri"/>
        </w:rPr>
        <w:t xml:space="preserve"> </w:t>
      </w:r>
    </w:p>
    <w:p w14:paraId="2984E090" w14:textId="77777777" w:rsidR="00942911" w:rsidRDefault="00942911" w:rsidP="005E7244">
      <w:pPr>
        <w:pStyle w:val="OneLevelNumberedParagraph"/>
      </w:pPr>
      <w:r>
        <w:rPr>
          <w:rFonts w:ascii="Calibri" w:hAnsi="Calibri"/>
        </w:rPr>
        <w:t xml:space="preserve">That is, the deductions are limited to the actual economic loss experienced by the </w:t>
      </w:r>
      <w:r w:rsidR="00804464">
        <w:rPr>
          <w:rFonts w:ascii="Calibri" w:hAnsi="Calibri"/>
        </w:rPr>
        <w:t>debtor</w:t>
      </w:r>
      <w:r>
        <w:rPr>
          <w:rFonts w:ascii="Calibri" w:hAnsi="Calibri"/>
        </w:rPr>
        <w:t>.</w:t>
      </w:r>
    </w:p>
    <w:p w14:paraId="2984E091" w14:textId="77777777" w:rsidR="007F3966" w:rsidRDefault="00942911" w:rsidP="00687279">
      <w:pPr>
        <w:pStyle w:val="OneLevelNumberedParagraph"/>
        <w:rPr>
          <w:rFonts w:asciiTheme="minorHAnsi" w:hAnsiTheme="minorHAnsi" w:cstheme="minorHAnsi"/>
        </w:rPr>
      </w:pPr>
      <w:r>
        <w:rPr>
          <w:rFonts w:asciiTheme="minorHAnsi" w:hAnsiTheme="minorHAnsi" w:cstheme="minorHAnsi"/>
        </w:rPr>
        <w:t>The legislation achieves this policy outcome by</w:t>
      </w:r>
      <w:r w:rsidR="001E66A1" w:rsidRPr="00CB5299">
        <w:rPr>
          <w:rFonts w:asciiTheme="minorHAnsi" w:hAnsiTheme="minorHAnsi" w:cstheme="minorHAnsi"/>
        </w:rPr>
        <w:t xml:space="preserve"> </w:t>
      </w:r>
      <w:r w:rsidR="007F3966" w:rsidRPr="00CB5299">
        <w:rPr>
          <w:rFonts w:asciiTheme="minorHAnsi" w:hAnsiTheme="minorHAnsi" w:cstheme="minorHAnsi"/>
        </w:rPr>
        <w:t>revers</w:t>
      </w:r>
      <w:r>
        <w:rPr>
          <w:rFonts w:asciiTheme="minorHAnsi" w:hAnsiTheme="minorHAnsi" w:cstheme="minorHAnsi"/>
        </w:rPr>
        <w:t>ing</w:t>
      </w:r>
      <w:r w:rsidR="007F3966" w:rsidRPr="00CB5299">
        <w:rPr>
          <w:rFonts w:asciiTheme="minorHAnsi" w:hAnsiTheme="minorHAnsi" w:cstheme="minorHAnsi"/>
        </w:rPr>
        <w:t xml:space="preserve"> capital allowance deductions that have been obtained for expenditure that is funded by debt where the debtor is not fully at risk in relation to the expenditure and the debt is not fully repaid</w:t>
      </w:r>
      <w:r w:rsidR="005C40EC">
        <w:rPr>
          <w:rFonts w:asciiTheme="minorHAnsi" w:hAnsiTheme="minorHAnsi" w:cstheme="minorHAnsi"/>
        </w:rPr>
        <w:t xml:space="preserve"> upon termination of the debt arrangement.</w:t>
      </w:r>
    </w:p>
    <w:p w14:paraId="2984E092" w14:textId="77777777" w:rsidR="00893DAC" w:rsidRDefault="00893DAC" w:rsidP="00687279">
      <w:pPr>
        <w:pStyle w:val="OneLevelNumberedParagraph"/>
        <w:rPr>
          <w:rFonts w:ascii="Calibri" w:hAnsi="Calibri"/>
        </w:rPr>
      </w:pPr>
      <w:r>
        <w:rPr>
          <w:rFonts w:ascii="Calibri" w:hAnsi="Calibri"/>
        </w:rPr>
        <w:t>An additional amount (worked out under the provisions) will be included in the taxpayer’s assessable income where the taxpayer has:</w:t>
      </w:r>
    </w:p>
    <w:p w14:paraId="2984E093" w14:textId="77777777" w:rsidR="00893DAC" w:rsidRDefault="004101F7" w:rsidP="00893DAC">
      <w:pPr>
        <w:pStyle w:val="Bullet"/>
        <w:rPr>
          <w:rFonts w:asciiTheme="minorHAnsi" w:hAnsiTheme="minorHAnsi" w:cstheme="minorHAnsi"/>
        </w:rPr>
      </w:pPr>
      <w:r w:rsidRPr="00893DAC">
        <w:rPr>
          <w:rFonts w:asciiTheme="minorHAnsi" w:hAnsiTheme="minorHAnsi" w:cstheme="minorHAnsi"/>
        </w:rPr>
        <w:t xml:space="preserve">not been fully at risk in relation to an amount of </w:t>
      </w:r>
      <w:r w:rsidR="009E163C" w:rsidRPr="00893DAC">
        <w:rPr>
          <w:rFonts w:asciiTheme="minorHAnsi" w:hAnsiTheme="minorHAnsi" w:cstheme="minorHAnsi"/>
        </w:rPr>
        <w:t xml:space="preserve">capital </w:t>
      </w:r>
      <w:r w:rsidRPr="00893DAC">
        <w:rPr>
          <w:rFonts w:asciiTheme="minorHAnsi" w:hAnsiTheme="minorHAnsi" w:cstheme="minorHAnsi"/>
        </w:rPr>
        <w:t xml:space="preserve">expenditure, </w:t>
      </w:r>
      <w:r w:rsidR="009F20B5" w:rsidRPr="00893DAC">
        <w:rPr>
          <w:rFonts w:asciiTheme="minorHAnsi" w:hAnsiTheme="minorHAnsi" w:cstheme="minorHAnsi"/>
        </w:rPr>
        <w:t xml:space="preserve">and </w:t>
      </w:r>
    </w:p>
    <w:p w14:paraId="2984E094" w14:textId="77777777" w:rsidR="008F3E3B" w:rsidRPr="00893DAC" w:rsidRDefault="009F20B5" w:rsidP="00893DAC">
      <w:pPr>
        <w:pStyle w:val="Bullet"/>
        <w:rPr>
          <w:rFonts w:asciiTheme="minorHAnsi" w:hAnsiTheme="minorHAnsi" w:cstheme="minorHAnsi"/>
        </w:rPr>
      </w:pPr>
      <w:proofErr w:type="gramStart"/>
      <w:r w:rsidRPr="00893DAC">
        <w:rPr>
          <w:rFonts w:asciiTheme="minorHAnsi" w:hAnsiTheme="minorHAnsi" w:cstheme="minorHAnsi"/>
        </w:rPr>
        <w:t>obtained</w:t>
      </w:r>
      <w:proofErr w:type="gramEnd"/>
      <w:r w:rsidRPr="00893DAC">
        <w:rPr>
          <w:rFonts w:asciiTheme="minorHAnsi" w:hAnsiTheme="minorHAnsi" w:cstheme="minorHAnsi"/>
        </w:rPr>
        <w:t xml:space="preserve"> </w:t>
      </w:r>
      <w:r w:rsidR="004101F7" w:rsidRPr="00893DAC">
        <w:rPr>
          <w:rFonts w:asciiTheme="minorHAnsi" w:hAnsiTheme="minorHAnsi" w:cstheme="minorHAnsi"/>
        </w:rPr>
        <w:t xml:space="preserve">net </w:t>
      </w:r>
      <w:r w:rsidR="0029035E" w:rsidRPr="00893DAC">
        <w:rPr>
          <w:rFonts w:asciiTheme="minorHAnsi" w:hAnsiTheme="minorHAnsi" w:cstheme="minorHAnsi"/>
        </w:rPr>
        <w:t xml:space="preserve">capital allowance </w:t>
      </w:r>
      <w:r w:rsidR="004101F7" w:rsidRPr="00893DAC">
        <w:rPr>
          <w:rFonts w:asciiTheme="minorHAnsi" w:hAnsiTheme="minorHAnsi" w:cstheme="minorHAnsi"/>
        </w:rPr>
        <w:t>deduction</w:t>
      </w:r>
      <w:r w:rsidR="0029035E" w:rsidRPr="00893DAC">
        <w:rPr>
          <w:rFonts w:asciiTheme="minorHAnsi" w:hAnsiTheme="minorHAnsi" w:cstheme="minorHAnsi"/>
        </w:rPr>
        <w:t xml:space="preserve">s </w:t>
      </w:r>
      <w:r w:rsidRPr="00893DAC">
        <w:rPr>
          <w:rFonts w:asciiTheme="minorHAnsi" w:hAnsiTheme="minorHAnsi" w:cstheme="minorHAnsi"/>
        </w:rPr>
        <w:t xml:space="preserve">that </w:t>
      </w:r>
      <w:r w:rsidR="00893DAC">
        <w:rPr>
          <w:rFonts w:asciiTheme="minorHAnsi" w:hAnsiTheme="minorHAnsi" w:cstheme="minorHAnsi"/>
        </w:rPr>
        <w:t>exceed</w:t>
      </w:r>
      <w:r w:rsidRPr="00893DAC">
        <w:rPr>
          <w:rFonts w:asciiTheme="minorHAnsi" w:hAnsiTheme="minorHAnsi" w:cstheme="minorHAnsi"/>
        </w:rPr>
        <w:t xml:space="preserve"> </w:t>
      </w:r>
      <w:r w:rsidR="005617F4" w:rsidRPr="00893DAC">
        <w:rPr>
          <w:rFonts w:asciiTheme="minorHAnsi" w:hAnsiTheme="minorHAnsi" w:cstheme="minorHAnsi"/>
        </w:rPr>
        <w:t xml:space="preserve">the amount of the debt that </w:t>
      </w:r>
      <w:r w:rsidR="00893DAC">
        <w:rPr>
          <w:rFonts w:asciiTheme="minorHAnsi" w:hAnsiTheme="minorHAnsi" w:cstheme="minorHAnsi"/>
        </w:rPr>
        <w:t>had</w:t>
      </w:r>
      <w:r w:rsidR="005617F4" w:rsidRPr="00893DAC">
        <w:rPr>
          <w:rFonts w:asciiTheme="minorHAnsi" w:hAnsiTheme="minorHAnsi" w:cstheme="minorHAnsi"/>
        </w:rPr>
        <w:t xml:space="preserve"> </w:t>
      </w:r>
      <w:r w:rsidR="00893DAC">
        <w:rPr>
          <w:rFonts w:asciiTheme="minorHAnsi" w:hAnsiTheme="minorHAnsi" w:cstheme="minorHAnsi"/>
        </w:rPr>
        <w:t>been re</w:t>
      </w:r>
      <w:r w:rsidR="005617F4" w:rsidRPr="00893DAC">
        <w:rPr>
          <w:rFonts w:asciiTheme="minorHAnsi" w:hAnsiTheme="minorHAnsi" w:cstheme="minorHAnsi"/>
        </w:rPr>
        <w:t>paid</w:t>
      </w:r>
      <w:r w:rsidR="001825EE" w:rsidRPr="00893DAC">
        <w:rPr>
          <w:rFonts w:asciiTheme="minorHAnsi" w:hAnsiTheme="minorHAnsi" w:cstheme="minorHAnsi"/>
        </w:rPr>
        <w:t xml:space="preserve"> </w:t>
      </w:r>
      <w:r w:rsidR="007F3966" w:rsidRPr="00893DAC">
        <w:rPr>
          <w:rFonts w:asciiTheme="minorHAnsi" w:hAnsiTheme="minorHAnsi" w:cstheme="minorHAnsi"/>
        </w:rPr>
        <w:t>whe</w:t>
      </w:r>
      <w:r w:rsidR="00893DAC">
        <w:rPr>
          <w:rFonts w:asciiTheme="minorHAnsi" w:hAnsiTheme="minorHAnsi" w:cstheme="minorHAnsi"/>
        </w:rPr>
        <w:t>n</w:t>
      </w:r>
      <w:r w:rsidR="007F3966" w:rsidRPr="00893DAC">
        <w:rPr>
          <w:rFonts w:asciiTheme="minorHAnsi" w:hAnsiTheme="minorHAnsi" w:cstheme="minorHAnsi"/>
        </w:rPr>
        <w:t xml:space="preserve"> </w:t>
      </w:r>
      <w:r w:rsidR="00893DAC">
        <w:rPr>
          <w:rFonts w:asciiTheme="minorHAnsi" w:hAnsiTheme="minorHAnsi" w:cstheme="minorHAnsi"/>
        </w:rPr>
        <w:t>the arrangement is terminated</w:t>
      </w:r>
      <w:r w:rsidR="008F3E3B" w:rsidRPr="00893DAC">
        <w:rPr>
          <w:rFonts w:asciiTheme="minorHAnsi" w:hAnsiTheme="minorHAnsi" w:cstheme="minorHAnsi"/>
        </w:rPr>
        <w:t xml:space="preserve">. </w:t>
      </w:r>
    </w:p>
    <w:p w14:paraId="2984E095" w14:textId="7F761CF3" w:rsidR="00B319FC" w:rsidRDefault="00713220" w:rsidP="00687279">
      <w:pPr>
        <w:pStyle w:val="OneLevelNumberedParagraph"/>
        <w:rPr>
          <w:rFonts w:ascii="Calibri" w:hAnsi="Calibri"/>
        </w:rPr>
      </w:pPr>
      <w:r>
        <w:rPr>
          <w:rFonts w:ascii="Calibri" w:hAnsi="Calibri"/>
        </w:rPr>
        <w:t>This applies to</w:t>
      </w:r>
      <w:r w:rsidR="00B319FC">
        <w:rPr>
          <w:rFonts w:ascii="Calibri" w:hAnsi="Calibri"/>
        </w:rPr>
        <w:t xml:space="preserve"> limited recourse debt</w:t>
      </w:r>
      <w:r>
        <w:rPr>
          <w:rFonts w:ascii="Calibri" w:hAnsi="Calibri"/>
        </w:rPr>
        <w:t xml:space="preserve"> arrangements because the debtor is not fully at risk</w:t>
      </w:r>
      <w:r w:rsidR="00A421C7">
        <w:rPr>
          <w:rFonts w:ascii="Calibri" w:hAnsi="Calibri"/>
        </w:rPr>
        <w:t xml:space="preserve">. </w:t>
      </w:r>
    </w:p>
    <w:p w14:paraId="2984E096" w14:textId="77777777" w:rsidR="00C56305" w:rsidRPr="006335D2" w:rsidRDefault="007264C1" w:rsidP="0014181C">
      <w:pPr>
        <w:pStyle w:val="OneLevelNumberedParagraph"/>
        <w:rPr>
          <w:rFonts w:asciiTheme="minorHAnsi" w:hAnsiTheme="minorHAnsi" w:cstheme="minorHAnsi"/>
          <w:szCs w:val="22"/>
        </w:rPr>
      </w:pPr>
      <w:r w:rsidRPr="006335D2">
        <w:rPr>
          <w:rFonts w:asciiTheme="minorHAnsi" w:hAnsiTheme="minorHAnsi" w:cstheme="minorHAnsi"/>
          <w:szCs w:val="22"/>
        </w:rPr>
        <w:t>Broadly, t</w:t>
      </w:r>
      <w:r w:rsidR="00C56305" w:rsidRPr="006335D2">
        <w:rPr>
          <w:rFonts w:asciiTheme="minorHAnsi" w:hAnsiTheme="minorHAnsi" w:cstheme="minorHAnsi"/>
          <w:szCs w:val="22"/>
        </w:rPr>
        <w:t xml:space="preserve">he definition of limited recourse debt in Division 243 covers: </w:t>
      </w:r>
    </w:p>
    <w:p w14:paraId="2984E097" w14:textId="629C5F0D" w:rsidR="00E976B5" w:rsidRPr="003079D4" w:rsidRDefault="00C56305" w:rsidP="00E27B87">
      <w:pPr>
        <w:pStyle w:val="Bullet"/>
        <w:tabs>
          <w:tab w:val="clear" w:pos="566"/>
          <w:tab w:val="num" w:pos="1134"/>
        </w:tabs>
        <w:ind w:left="1134"/>
        <w:rPr>
          <w:rFonts w:asciiTheme="minorHAnsi" w:hAnsiTheme="minorHAnsi" w:cstheme="minorHAnsi"/>
          <w:szCs w:val="22"/>
        </w:rPr>
      </w:pPr>
      <w:r w:rsidRPr="003C22C3">
        <w:rPr>
          <w:rFonts w:asciiTheme="minorHAnsi" w:hAnsiTheme="minorHAnsi" w:cstheme="minorHAnsi"/>
          <w:szCs w:val="22"/>
        </w:rPr>
        <w:t xml:space="preserve">an </w:t>
      </w:r>
      <w:r w:rsidR="00D66A3C" w:rsidRPr="003C22C3">
        <w:rPr>
          <w:rFonts w:asciiTheme="minorHAnsi" w:hAnsiTheme="minorHAnsi" w:cstheme="minorHAnsi"/>
          <w:szCs w:val="22"/>
        </w:rPr>
        <w:t>arrangement where there is a legal (contractual) limitation on the creditor's rights of recourse if the debtor defaults</w:t>
      </w:r>
      <w:r w:rsidRPr="003C22C3">
        <w:rPr>
          <w:rFonts w:asciiTheme="minorHAnsi" w:hAnsiTheme="minorHAnsi" w:cstheme="minorHAnsi"/>
          <w:szCs w:val="22"/>
        </w:rPr>
        <w:t xml:space="preserve"> </w:t>
      </w:r>
      <w:r w:rsidR="0014181C" w:rsidRPr="003079D4">
        <w:rPr>
          <w:rFonts w:asciiTheme="minorHAnsi" w:hAnsiTheme="minorHAnsi" w:cstheme="minorHAnsi"/>
          <w:szCs w:val="22"/>
        </w:rPr>
        <w:t>(</w:t>
      </w:r>
      <w:r w:rsidR="00D66A3C" w:rsidRPr="003079D4">
        <w:rPr>
          <w:rFonts w:asciiTheme="minorHAnsi" w:hAnsiTheme="minorHAnsi" w:cstheme="minorHAnsi"/>
          <w:szCs w:val="22"/>
        </w:rPr>
        <w:t>s</w:t>
      </w:r>
      <w:r w:rsidR="00713220">
        <w:rPr>
          <w:rFonts w:asciiTheme="minorHAnsi" w:hAnsiTheme="minorHAnsi" w:cstheme="minorHAnsi"/>
          <w:szCs w:val="22"/>
        </w:rPr>
        <w:t>ubs</w:t>
      </w:r>
      <w:r w:rsidRPr="003079D4">
        <w:rPr>
          <w:rFonts w:asciiTheme="minorHAnsi" w:hAnsiTheme="minorHAnsi" w:cstheme="minorHAnsi"/>
          <w:szCs w:val="22"/>
        </w:rPr>
        <w:t>ection 243</w:t>
      </w:r>
      <w:r w:rsidR="00A421C7">
        <w:rPr>
          <w:rFonts w:asciiTheme="minorHAnsi" w:hAnsiTheme="minorHAnsi" w:cstheme="minorHAnsi"/>
          <w:szCs w:val="22"/>
        </w:rPr>
        <w:noBreakHyphen/>
      </w:r>
      <w:r w:rsidRPr="003079D4">
        <w:rPr>
          <w:rFonts w:asciiTheme="minorHAnsi" w:hAnsiTheme="minorHAnsi" w:cstheme="minorHAnsi"/>
          <w:szCs w:val="22"/>
        </w:rPr>
        <w:t>20(1</w:t>
      </w:r>
      <w:r w:rsidR="00713220">
        <w:rPr>
          <w:rFonts w:asciiTheme="minorHAnsi" w:hAnsiTheme="minorHAnsi" w:cstheme="minorHAnsi"/>
          <w:szCs w:val="22"/>
        </w:rPr>
        <w:t>)</w:t>
      </w:r>
      <w:r w:rsidRPr="003079D4">
        <w:rPr>
          <w:rFonts w:asciiTheme="minorHAnsi" w:hAnsiTheme="minorHAnsi" w:cstheme="minorHAnsi"/>
          <w:szCs w:val="22"/>
        </w:rPr>
        <w:t xml:space="preserve">); </w:t>
      </w:r>
    </w:p>
    <w:p w14:paraId="2984E098" w14:textId="6343A702" w:rsidR="00FE0E32" w:rsidRDefault="00D66A3C" w:rsidP="00E27B87">
      <w:pPr>
        <w:pStyle w:val="Bullet"/>
        <w:tabs>
          <w:tab w:val="clear" w:pos="566"/>
          <w:tab w:val="num" w:pos="1134"/>
        </w:tabs>
        <w:ind w:left="1134"/>
        <w:rPr>
          <w:rFonts w:asciiTheme="minorHAnsi" w:hAnsiTheme="minorHAnsi" w:cstheme="minorHAnsi"/>
          <w:szCs w:val="22"/>
        </w:rPr>
      </w:pPr>
      <w:proofErr w:type="gramStart"/>
      <w:r w:rsidRPr="003079D4">
        <w:rPr>
          <w:rFonts w:asciiTheme="minorHAnsi" w:hAnsiTheme="minorHAnsi" w:cstheme="minorHAnsi"/>
          <w:szCs w:val="22"/>
        </w:rPr>
        <w:t>an</w:t>
      </w:r>
      <w:proofErr w:type="gramEnd"/>
      <w:r w:rsidRPr="003079D4">
        <w:rPr>
          <w:rFonts w:asciiTheme="minorHAnsi" w:hAnsiTheme="minorHAnsi" w:cstheme="minorHAnsi"/>
          <w:szCs w:val="22"/>
        </w:rPr>
        <w:t xml:space="preserve"> arrangement where </w:t>
      </w:r>
      <w:r w:rsidR="007264C1" w:rsidRPr="006335D2">
        <w:rPr>
          <w:rFonts w:asciiTheme="minorHAnsi" w:hAnsiTheme="minorHAnsi" w:cstheme="minorHAnsi"/>
          <w:szCs w:val="22"/>
        </w:rPr>
        <w:t xml:space="preserve">notwithstanding the absence of an express limitation in the loan, it is reasonable to conclude that the creditor’s rights against the debtor in the event of default are </w:t>
      </w:r>
      <w:r w:rsidR="00C857E1">
        <w:rPr>
          <w:rFonts w:asciiTheme="minorHAnsi" w:hAnsiTheme="minorHAnsi" w:cstheme="minorHAnsi"/>
          <w:szCs w:val="22"/>
        </w:rPr>
        <w:t xml:space="preserve">‘capable of being </w:t>
      </w:r>
      <w:r w:rsidR="007264C1" w:rsidRPr="006335D2">
        <w:rPr>
          <w:rFonts w:asciiTheme="minorHAnsi" w:hAnsiTheme="minorHAnsi" w:cstheme="minorHAnsi"/>
          <w:szCs w:val="22"/>
        </w:rPr>
        <w:t>limited</w:t>
      </w:r>
      <w:r w:rsidR="00C857E1">
        <w:rPr>
          <w:rFonts w:asciiTheme="minorHAnsi" w:hAnsiTheme="minorHAnsi" w:cstheme="minorHAnsi"/>
          <w:szCs w:val="22"/>
        </w:rPr>
        <w:t>’</w:t>
      </w:r>
      <w:r w:rsidR="00713220">
        <w:rPr>
          <w:rFonts w:asciiTheme="minorHAnsi" w:hAnsiTheme="minorHAnsi" w:cstheme="minorHAnsi"/>
          <w:szCs w:val="22"/>
        </w:rPr>
        <w:t xml:space="preserve"> </w:t>
      </w:r>
      <w:r w:rsidR="00C56305" w:rsidRPr="003C22C3">
        <w:rPr>
          <w:rFonts w:asciiTheme="minorHAnsi" w:hAnsiTheme="minorHAnsi" w:cstheme="minorHAnsi"/>
          <w:szCs w:val="22"/>
        </w:rPr>
        <w:t>(</w:t>
      </w:r>
      <w:r w:rsidRPr="003C22C3">
        <w:rPr>
          <w:rFonts w:asciiTheme="minorHAnsi" w:hAnsiTheme="minorHAnsi" w:cstheme="minorHAnsi"/>
          <w:szCs w:val="22"/>
        </w:rPr>
        <w:t>s</w:t>
      </w:r>
      <w:r w:rsidR="00713220">
        <w:rPr>
          <w:rFonts w:asciiTheme="minorHAnsi" w:hAnsiTheme="minorHAnsi" w:cstheme="minorHAnsi"/>
          <w:szCs w:val="22"/>
        </w:rPr>
        <w:t>ubs</w:t>
      </w:r>
      <w:r w:rsidR="00C56305" w:rsidRPr="003C22C3">
        <w:rPr>
          <w:rFonts w:asciiTheme="minorHAnsi" w:hAnsiTheme="minorHAnsi" w:cstheme="minorHAnsi"/>
          <w:szCs w:val="22"/>
        </w:rPr>
        <w:t xml:space="preserve">ection </w:t>
      </w:r>
      <w:r w:rsidRPr="003C22C3">
        <w:rPr>
          <w:rFonts w:asciiTheme="minorHAnsi" w:hAnsiTheme="minorHAnsi" w:cstheme="minorHAnsi"/>
          <w:szCs w:val="22"/>
        </w:rPr>
        <w:t>243</w:t>
      </w:r>
      <w:r w:rsidR="00A421C7">
        <w:rPr>
          <w:rFonts w:asciiTheme="minorHAnsi" w:hAnsiTheme="minorHAnsi" w:cstheme="minorHAnsi"/>
          <w:szCs w:val="22"/>
        </w:rPr>
        <w:noBreakHyphen/>
      </w:r>
      <w:r w:rsidRPr="003C22C3">
        <w:rPr>
          <w:rFonts w:asciiTheme="minorHAnsi" w:hAnsiTheme="minorHAnsi" w:cstheme="minorHAnsi"/>
          <w:szCs w:val="22"/>
        </w:rPr>
        <w:t>20(2)</w:t>
      </w:r>
      <w:r w:rsidR="00E976B5" w:rsidRPr="003C22C3">
        <w:rPr>
          <w:rFonts w:asciiTheme="minorHAnsi" w:hAnsiTheme="minorHAnsi" w:cstheme="minorHAnsi"/>
          <w:szCs w:val="22"/>
        </w:rPr>
        <w:t>)</w:t>
      </w:r>
      <w:r w:rsidR="00A421C7">
        <w:rPr>
          <w:rFonts w:asciiTheme="minorHAnsi" w:hAnsiTheme="minorHAnsi" w:cstheme="minorHAnsi"/>
          <w:szCs w:val="22"/>
        </w:rPr>
        <w:t xml:space="preserve">. </w:t>
      </w:r>
    </w:p>
    <w:p w14:paraId="2984E099" w14:textId="5E49D598" w:rsidR="00D67600" w:rsidRPr="003079D4" w:rsidRDefault="00D66A3C" w:rsidP="00E27B87">
      <w:pPr>
        <w:pStyle w:val="Bullet"/>
        <w:tabs>
          <w:tab w:val="clear" w:pos="566"/>
          <w:tab w:val="num" w:pos="1134"/>
        </w:tabs>
        <w:ind w:left="1134"/>
        <w:rPr>
          <w:rFonts w:asciiTheme="minorHAnsi" w:hAnsiTheme="minorHAnsi" w:cstheme="minorHAnsi"/>
          <w:szCs w:val="22"/>
        </w:rPr>
      </w:pPr>
      <w:r w:rsidRPr="003C22C3">
        <w:rPr>
          <w:rFonts w:asciiTheme="minorHAnsi" w:hAnsiTheme="minorHAnsi" w:cstheme="minorHAnsi"/>
          <w:szCs w:val="22"/>
        </w:rPr>
        <w:t>an arrangement where there is no property</w:t>
      </w:r>
      <w:r w:rsidR="00E976B5" w:rsidRPr="003079D4">
        <w:rPr>
          <w:rFonts w:asciiTheme="minorHAnsi" w:hAnsiTheme="minorHAnsi" w:cstheme="minorHAnsi"/>
          <w:szCs w:val="22"/>
        </w:rPr>
        <w:t xml:space="preserve"> </w:t>
      </w:r>
      <w:r w:rsidR="00FE0E32">
        <w:rPr>
          <w:rFonts w:asciiTheme="minorHAnsi" w:hAnsiTheme="minorHAnsi" w:cstheme="minorHAnsi"/>
          <w:szCs w:val="22"/>
        </w:rPr>
        <w:t xml:space="preserve">financed by the debt or provided as security for the debt but where </w:t>
      </w:r>
      <w:r w:rsidR="00FE0E32" w:rsidRPr="00FE0E32">
        <w:rPr>
          <w:rFonts w:ascii="Calibri" w:hAnsi="Calibri" w:cs="Calibri"/>
          <w:szCs w:val="22"/>
        </w:rPr>
        <w:t xml:space="preserve">it is reasonable to conclude that the creditor’s rights against the debtor in the event of default are </w:t>
      </w:r>
      <w:r w:rsidR="00713220">
        <w:rPr>
          <w:rFonts w:ascii="Calibri" w:hAnsi="Calibri" w:cs="Calibri"/>
          <w:szCs w:val="22"/>
        </w:rPr>
        <w:t>capable of being limited</w:t>
      </w:r>
      <w:r w:rsidR="00FE0E32">
        <w:rPr>
          <w:rFonts w:ascii="Calibri" w:hAnsi="Calibri" w:cs="Calibri"/>
          <w:szCs w:val="22"/>
        </w:rPr>
        <w:t xml:space="preserve"> </w:t>
      </w:r>
      <w:r w:rsidR="00E976B5" w:rsidRPr="003079D4">
        <w:rPr>
          <w:rFonts w:asciiTheme="minorHAnsi" w:hAnsiTheme="minorHAnsi" w:cstheme="minorHAnsi"/>
          <w:szCs w:val="22"/>
        </w:rPr>
        <w:t>(</w:t>
      </w:r>
      <w:r w:rsidR="00C56305" w:rsidRPr="003079D4">
        <w:rPr>
          <w:rFonts w:asciiTheme="minorHAnsi" w:hAnsiTheme="minorHAnsi" w:cstheme="minorHAnsi"/>
          <w:szCs w:val="22"/>
        </w:rPr>
        <w:t>s</w:t>
      </w:r>
      <w:r w:rsidR="00713220">
        <w:rPr>
          <w:rFonts w:asciiTheme="minorHAnsi" w:hAnsiTheme="minorHAnsi" w:cstheme="minorHAnsi"/>
          <w:szCs w:val="22"/>
        </w:rPr>
        <w:t>ubs</w:t>
      </w:r>
      <w:r w:rsidR="00C56305" w:rsidRPr="003079D4">
        <w:rPr>
          <w:rFonts w:asciiTheme="minorHAnsi" w:hAnsiTheme="minorHAnsi" w:cstheme="minorHAnsi"/>
          <w:szCs w:val="22"/>
        </w:rPr>
        <w:t>ection</w:t>
      </w:r>
      <w:r w:rsidRPr="003079D4">
        <w:rPr>
          <w:rFonts w:asciiTheme="minorHAnsi" w:hAnsiTheme="minorHAnsi" w:cstheme="minorHAnsi"/>
          <w:szCs w:val="22"/>
        </w:rPr>
        <w:t xml:space="preserve"> 243</w:t>
      </w:r>
      <w:r w:rsidR="00A421C7">
        <w:rPr>
          <w:rFonts w:asciiTheme="minorHAnsi" w:hAnsiTheme="minorHAnsi" w:cstheme="minorHAnsi"/>
          <w:szCs w:val="22"/>
        </w:rPr>
        <w:noBreakHyphen/>
      </w:r>
      <w:r w:rsidRPr="003079D4">
        <w:rPr>
          <w:rFonts w:asciiTheme="minorHAnsi" w:hAnsiTheme="minorHAnsi" w:cstheme="minorHAnsi"/>
          <w:szCs w:val="22"/>
        </w:rPr>
        <w:t>20(3)</w:t>
      </w:r>
      <w:r w:rsidR="00E976B5" w:rsidRPr="003079D4">
        <w:rPr>
          <w:rFonts w:asciiTheme="minorHAnsi" w:hAnsiTheme="minorHAnsi" w:cstheme="minorHAnsi"/>
          <w:szCs w:val="22"/>
        </w:rPr>
        <w:t>)</w:t>
      </w:r>
      <w:r w:rsidRPr="003079D4">
        <w:rPr>
          <w:rFonts w:asciiTheme="minorHAnsi" w:hAnsiTheme="minorHAnsi" w:cstheme="minorHAnsi"/>
          <w:szCs w:val="22"/>
        </w:rPr>
        <w:t xml:space="preserve">; and  </w:t>
      </w:r>
    </w:p>
    <w:p w14:paraId="2984E09A" w14:textId="3B24B150" w:rsidR="00D66A3C" w:rsidRDefault="00D66A3C" w:rsidP="00E27B87">
      <w:pPr>
        <w:pStyle w:val="Bullet"/>
        <w:tabs>
          <w:tab w:val="clear" w:pos="566"/>
          <w:tab w:val="num" w:pos="1134"/>
        </w:tabs>
        <w:ind w:left="1134"/>
        <w:rPr>
          <w:rFonts w:asciiTheme="minorHAnsi" w:hAnsiTheme="minorHAnsi" w:cstheme="minorHAnsi"/>
          <w:szCs w:val="22"/>
        </w:rPr>
      </w:pPr>
      <w:r w:rsidRPr="008B38A7">
        <w:rPr>
          <w:rFonts w:asciiTheme="minorHAnsi" w:hAnsiTheme="minorHAnsi" w:cstheme="minorHAnsi"/>
          <w:szCs w:val="22"/>
        </w:rPr>
        <w:t>notional loans under Div</w:t>
      </w:r>
      <w:r w:rsidR="0014181C" w:rsidRPr="008B38A7">
        <w:rPr>
          <w:rFonts w:asciiTheme="minorHAnsi" w:hAnsiTheme="minorHAnsi" w:cstheme="minorHAnsi"/>
          <w:szCs w:val="22"/>
        </w:rPr>
        <w:t>ision</w:t>
      </w:r>
      <w:r w:rsidRPr="00676FEA">
        <w:rPr>
          <w:rFonts w:asciiTheme="minorHAnsi" w:hAnsiTheme="minorHAnsi" w:cstheme="minorHAnsi"/>
          <w:szCs w:val="22"/>
        </w:rPr>
        <w:t xml:space="preserve"> 240</w:t>
      </w:r>
      <w:r w:rsidR="00713220">
        <w:rPr>
          <w:rFonts w:asciiTheme="minorHAnsi" w:hAnsiTheme="minorHAnsi" w:cstheme="minorHAnsi"/>
          <w:szCs w:val="22"/>
        </w:rPr>
        <w:t>,</w:t>
      </w:r>
      <w:r w:rsidR="0014181C" w:rsidRPr="00676FEA">
        <w:rPr>
          <w:rFonts w:asciiTheme="minorHAnsi" w:hAnsiTheme="minorHAnsi" w:cstheme="minorHAnsi"/>
          <w:szCs w:val="22"/>
        </w:rPr>
        <w:t xml:space="preserve"> </w:t>
      </w:r>
      <w:r w:rsidR="005633E0">
        <w:rPr>
          <w:rFonts w:asciiTheme="minorHAnsi" w:hAnsiTheme="minorHAnsi" w:cstheme="minorHAnsi"/>
          <w:szCs w:val="22"/>
        </w:rPr>
        <w:t xml:space="preserve">which </w:t>
      </w:r>
      <w:r w:rsidR="005633E0" w:rsidRPr="005633E0">
        <w:rPr>
          <w:rFonts w:ascii="Calibri" w:hAnsi="Calibri" w:cs="Calibri"/>
          <w:szCs w:val="22"/>
        </w:rPr>
        <w:t>treat hire purchase agreements as if they involve the sale of property to a notional buyer using loan funds provided by the notional seller</w:t>
      </w:r>
      <w:r w:rsidR="005633E0">
        <w:rPr>
          <w:rFonts w:ascii="Calibri" w:hAnsi="Calibri" w:cs="Calibri"/>
          <w:szCs w:val="22"/>
        </w:rPr>
        <w:t xml:space="preserve"> </w:t>
      </w:r>
      <w:r w:rsidR="0014181C" w:rsidRPr="00676FEA">
        <w:rPr>
          <w:rFonts w:asciiTheme="minorHAnsi" w:hAnsiTheme="minorHAnsi" w:cstheme="minorHAnsi"/>
          <w:szCs w:val="22"/>
        </w:rPr>
        <w:t>(s</w:t>
      </w:r>
      <w:r w:rsidR="00713220">
        <w:rPr>
          <w:rFonts w:asciiTheme="minorHAnsi" w:hAnsiTheme="minorHAnsi" w:cstheme="minorHAnsi"/>
          <w:szCs w:val="22"/>
        </w:rPr>
        <w:t>ubs</w:t>
      </w:r>
      <w:r w:rsidR="0014181C" w:rsidRPr="00676FEA">
        <w:rPr>
          <w:rFonts w:asciiTheme="minorHAnsi" w:hAnsiTheme="minorHAnsi" w:cstheme="minorHAnsi"/>
          <w:szCs w:val="22"/>
        </w:rPr>
        <w:t xml:space="preserve">ection </w:t>
      </w:r>
      <w:r w:rsidRPr="00676FEA">
        <w:rPr>
          <w:rFonts w:asciiTheme="minorHAnsi" w:hAnsiTheme="minorHAnsi" w:cstheme="minorHAnsi"/>
          <w:szCs w:val="22"/>
        </w:rPr>
        <w:t>243</w:t>
      </w:r>
      <w:r w:rsidR="00A421C7">
        <w:rPr>
          <w:rFonts w:asciiTheme="minorHAnsi" w:hAnsiTheme="minorHAnsi" w:cstheme="minorHAnsi"/>
          <w:szCs w:val="22"/>
        </w:rPr>
        <w:noBreakHyphen/>
      </w:r>
      <w:r w:rsidRPr="00676FEA">
        <w:rPr>
          <w:rFonts w:asciiTheme="minorHAnsi" w:hAnsiTheme="minorHAnsi" w:cstheme="minorHAnsi"/>
          <w:szCs w:val="22"/>
        </w:rPr>
        <w:t>20(4)</w:t>
      </w:r>
      <w:r w:rsidR="0014181C" w:rsidRPr="00676FEA">
        <w:rPr>
          <w:rFonts w:asciiTheme="minorHAnsi" w:hAnsiTheme="minorHAnsi" w:cstheme="minorHAnsi"/>
          <w:szCs w:val="22"/>
        </w:rPr>
        <w:t>)</w:t>
      </w:r>
      <w:r w:rsidRPr="00D95E43">
        <w:rPr>
          <w:rFonts w:asciiTheme="minorHAnsi" w:hAnsiTheme="minorHAnsi" w:cstheme="minorHAnsi"/>
          <w:szCs w:val="22"/>
        </w:rPr>
        <w:t>.</w:t>
      </w:r>
    </w:p>
    <w:p w14:paraId="2984E09B" w14:textId="77777777" w:rsidR="003079D4" w:rsidRPr="003079D4" w:rsidRDefault="003079D4" w:rsidP="00892054">
      <w:pPr>
        <w:pStyle w:val="Heading2"/>
        <w:tabs>
          <w:tab w:val="clear" w:pos="6237"/>
          <w:tab w:val="num" w:pos="0"/>
        </w:tabs>
        <w:ind w:left="0" w:firstLine="0"/>
        <w:jc w:val="both"/>
      </w:pPr>
      <w:bookmarkStart w:id="6" w:name="_Toc329348003"/>
      <w:r w:rsidRPr="003079D4">
        <w:t>Interaction with other provisions</w:t>
      </w:r>
      <w:bookmarkEnd w:id="6"/>
    </w:p>
    <w:p w14:paraId="2984E09C" w14:textId="77777777" w:rsidR="00A077F9" w:rsidRPr="00D54602" w:rsidRDefault="009F62ED" w:rsidP="00DB62C9">
      <w:pPr>
        <w:pStyle w:val="Heading4"/>
      </w:pPr>
      <w:r w:rsidRPr="00D54602">
        <w:t>Commercial</w:t>
      </w:r>
      <w:r w:rsidR="00A077F9" w:rsidRPr="00D54602">
        <w:t xml:space="preserve"> debt forgiveness</w:t>
      </w:r>
      <w:r w:rsidR="002252F8">
        <w:t xml:space="preserve"> (</w:t>
      </w:r>
      <w:r w:rsidR="00880873">
        <w:t>Division 245</w:t>
      </w:r>
      <w:r w:rsidR="002252F8">
        <w:t>)</w:t>
      </w:r>
    </w:p>
    <w:p w14:paraId="2984E09D" w14:textId="77777777" w:rsidR="002C1E49" w:rsidRDefault="002C1E49" w:rsidP="00BA7176">
      <w:pPr>
        <w:pStyle w:val="OneLevelNumberedParagraph"/>
        <w:rPr>
          <w:rFonts w:ascii="Calibri" w:hAnsi="Calibri" w:cs="Calibri"/>
        </w:rPr>
      </w:pPr>
      <w:r>
        <w:rPr>
          <w:rFonts w:ascii="Calibri" w:hAnsi="Calibri" w:cs="Calibri"/>
        </w:rPr>
        <w:t>Broadly, a debt is a commercial debt if the borrower can deduct all or part of the interest that is payable to the creditor (or where, the interest is not deductible, could have deducted it if the interest was deductible). Generally, for a debt to be forgiven, the creditor must legally waive, release or extinguish the debt other than through paying the outstanding monies.</w:t>
      </w:r>
    </w:p>
    <w:p w14:paraId="2984E09E" w14:textId="384A0888" w:rsidR="00A17F84" w:rsidRDefault="00A17F84" w:rsidP="00BA7176">
      <w:pPr>
        <w:pStyle w:val="OneLevelNumberedParagraph"/>
        <w:rPr>
          <w:rFonts w:ascii="Calibri" w:hAnsi="Calibri" w:cs="Calibri"/>
        </w:rPr>
      </w:pPr>
      <w:r w:rsidRPr="00BA7176">
        <w:rPr>
          <w:rFonts w:ascii="Calibri" w:hAnsi="Calibri" w:cs="Calibri"/>
        </w:rPr>
        <w:t>There can be some overlap between the limited recourse debt provisions and the commercial debt forgiveness rules</w:t>
      </w:r>
      <w:r w:rsidR="00A421C7">
        <w:rPr>
          <w:rFonts w:ascii="Calibri" w:hAnsi="Calibri" w:cs="Calibri"/>
        </w:rPr>
        <w:t xml:space="preserve">. </w:t>
      </w:r>
      <w:r w:rsidRPr="00BA7176">
        <w:rPr>
          <w:rFonts w:ascii="Calibri" w:hAnsi="Calibri" w:cs="Calibri"/>
        </w:rPr>
        <w:t>If this occurs, the limited recourse debt provisions will be applied f</w:t>
      </w:r>
      <w:r w:rsidRPr="00E32A44">
        <w:rPr>
          <w:rFonts w:ascii="Calibri" w:hAnsi="Calibri" w:cs="Calibri"/>
        </w:rPr>
        <w:t xml:space="preserve">irst, </w:t>
      </w:r>
      <w:r w:rsidRPr="00E32A44">
        <w:rPr>
          <w:rFonts w:ascii="Calibri" w:hAnsi="Calibri" w:cs="Calibri"/>
        </w:rPr>
        <w:lastRenderedPageBreak/>
        <w:t>to disregard any operation of the commercial debt forgiveness rules (see section 243</w:t>
      </w:r>
      <w:r w:rsidR="00A421C7">
        <w:rPr>
          <w:rFonts w:ascii="Calibri" w:hAnsi="Calibri" w:cs="Calibri"/>
        </w:rPr>
        <w:noBreakHyphen/>
      </w:r>
      <w:r w:rsidRPr="00E32A44">
        <w:rPr>
          <w:rFonts w:ascii="Calibri" w:hAnsi="Calibri" w:cs="Calibri"/>
        </w:rPr>
        <w:t>75)</w:t>
      </w:r>
      <w:r w:rsidR="00A421C7">
        <w:rPr>
          <w:rFonts w:ascii="Calibri" w:hAnsi="Calibri" w:cs="Calibri"/>
        </w:rPr>
        <w:t xml:space="preserve">. </w:t>
      </w:r>
      <w:r w:rsidRPr="00E32A44">
        <w:rPr>
          <w:rFonts w:ascii="Calibri" w:hAnsi="Calibri" w:cs="Calibri"/>
        </w:rPr>
        <w:t>The debtor’s taxable income will be adjusted under the limited recourse debt provisions and the assessed amounts taken into account when reducing the gross forgiven amount under the commercial debt forgiveness rules.</w:t>
      </w:r>
    </w:p>
    <w:p w14:paraId="2984E09F" w14:textId="77777777" w:rsidR="00A41B68" w:rsidRDefault="001214C8" w:rsidP="00DB62C9">
      <w:pPr>
        <w:pStyle w:val="Heading4"/>
      </w:pPr>
      <w:bookmarkStart w:id="7" w:name="top"/>
      <w:bookmarkStart w:id="8" w:name="FN14"/>
      <w:bookmarkEnd w:id="7"/>
      <w:bookmarkEnd w:id="8"/>
      <w:r w:rsidRPr="001214C8">
        <w:t>C</w:t>
      </w:r>
      <w:r>
        <w:t xml:space="preserve">apital protected </w:t>
      </w:r>
      <w:r w:rsidR="00A41B68">
        <w:t>borrowings</w:t>
      </w:r>
      <w:r w:rsidR="002252F8">
        <w:t xml:space="preserve"> (</w:t>
      </w:r>
      <w:r w:rsidRPr="00E16E02">
        <w:t>Div</w:t>
      </w:r>
      <w:r w:rsidR="002252F8">
        <w:t>ision</w:t>
      </w:r>
      <w:r w:rsidRPr="00E16E02">
        <w:t xml:space="preserve"> 247</w:t>
      </w:r>
      <w:r w:rsidR="002252F8">
        <w:t>)</w:t>
      </w:r>
      <w:r w:rsidR="001614FE">
        <w:t xml:space="preserve"> </w:t>
      </w:r>
    </w:p>
    <w:p w14:paraId="2984E0A0" w14:textId="685CBD88" w:rsidR="00854D36" w:rsidRDefault="003B4FCF" w:rsidP="002C1230">
      <w:pPr>
        <w:pStyle w:val="OneLevelNumberedParagraph"/>
        <w:rPr>
          <w:rFonts w:ascii="Calibri" w:hAnsi="Calibri" w:cs="Calibri"/>
        </w:rPr>
      </w:pPr>
      <w:r>
        <w:rPr>
          <w:rFonts w:ascii="Calibri" w:hAnsi="Calibri" w:cs="Calibri"/>
        </w:rPr>
        <w:t>A c</w:t>
      </w:r>
      <w:r w:rsidR="002C1230" w:rsidRPr="002C1230">
        <w:rPr>
          <w:rFonts w:ascii="Calibri" w:hAnsi="Calibri" w:cs="Calibri"/>
        </w:rPr>
        <w:t>apital protected borrowing</w:t>
      </w:r>
      <w:r w:rsidR="002C1230">
        <w:rPr>
          <w:rFonts w:ascii="Calibri" w:hAnsi="Calibri" w:cs="Calibri"/>
        </w:rPr>
        <w:t xml:space="preserve"> </w:t>
      </w:r>
      <w:r w:rsidR="002C1230" w:rsidRPr="002C1230">
        <w:rPr>
          <w:rFonts w:ascii="Calibri" w:hAnsi="Calibri" w:cs="Calibri"/>
        </w:rPr>
        <w:t>involves a loan facility to fund the purchase of listed shares, unit trusts, or stapled securities</w:t>
      </w:r>
      <w:r w:rsidR="00702FCA">
        <w:rPr>
          <w:rFonts w:ascii="Calibri" w:hAnsi="Calibri" w:cs="Calibri"/>
        </w:rPr>
        <w:t xml:space="preserve"> and where the borrower is not liable to fully repay the loan under certain circumstances</w:t>
      </w:r>
      <w:r w:rsidR="00A421C7">
        <w:rPr>
          <w:rFonts w:ascii="Calibri" w:hAnsi="Calibri" w:cs="Calibri"/>
        </w:rPr>
        <w:t xml:space="preserve">. </w:t>
      </w:r>
    </w:p>
    <w:p w14:paraId="2984E0A1" w14:textId="531B55D7" w:rsidR="00713220" w:rsidRDefault="003B4FCF" w:rsidP="002C1230">
      <w:pPr>
        <w:pStyle w:val="OneLevelNumberedParagraph"/>
        <w:rPr>
          <w:rFonts w:ascii="Calibri" w:hAnsi="Calibri" w:cs="Calibri"/>
        </w:rPr>
      </w:pPr>
      <w:r>
        <w:rPr>
          <w:rFonts w:ascii="Calibri" w:hAnsi="Calibri" w:cs="Calibri"/>
        </w:rPr>
        <w:t xml:space="preserve">The arrangement is a limited recourse borrowing as it </w:t>
      </w:r>
      <w:r w:rsidR="00854D36" w:rsidRPr="00854D36">
        <w:rPr>
          <w:rFonts w:ascii="Calibri" w:hAnsi="Calibri" w:cs="Calibri"/>
        </w:rPr>
        <w:t>includes a</w:t>
      </w:r>
      <w:r w:rsidR="002C1230" w:rsidRPr="00854D36">
        <w:rPr>
          <w:rFonts w:ascii="Calibri" w:hAnsi="Calibri" w:cs="Calibri"/>
        </w:rPr>
        <w:t xml:space="preserve"> mechanism to ensure that where the value of the securities acquired is less than the value of the loan principal, the securities may be used to satisfy the loan in full</w:t>
      </w:r>
      <w:r w:rsidR="00A421C7">
        <w:rPr>
          <w:rFonts w:ascii="Calibri" w:hAnsi="Calibri" w:cs="Calibri"/>
        </w:rPr>
        <w:t xml:space="preserve">. </w:t>
      </w:r>
    </w:p>
    <w:p w14:paraId="2984E0A2" w14:textId="77777777" w:rsidR="00854D36" w:rsidRPr="00702FCA" w:rsidRDefault="003B4FCF" w:rsidP="002C1230">
      <w:pPr>
        <w:pStyle w:val="OneLevelNumberedParagraph"/>
        <w:rPr>
          <w:rFonts w:ascii="Calibri" w:hAnsi="Calibri" w:cs="Calibri"/>
        </w:rPr>
      </w:pPr>
      <w:r>
        <w:rPr>
          <w:rFonts w:ascii="Calibri" w:hAnsi="Calibri" w:cs="Calibri"/>
        </w:rPr>
        <w:t xml:space="preserve">The creditor’s rights of recourse are limited </w:t>
      </w:r>
      <w:r w:rsidR="00854D36" w:rsidRPr="00702FCA">
        <w:rPr>
          <w:rFonts w:ascii="Calibri" w:hAnsi="Calibri" w:cs="Calibri"/>
        </w:rPr>
        <w:t>as the borrower is granted</w:t>
      </w:r>
      <w:r w:rsidR="00713220">
        <w:rPr>
          <w:rFonts w:ascii="Calibri" w:hAnsi="Calibri" w:cs="Calibri"/>
        </w:rPr>
        <w:t xml:space="preserve"> (or effectively granted)</w:t>
      </w:r>
      <w:r w:rsidR="00854D36" w:rsidRPr="00702FCA">
        <w:rPr>
          <w:rFonts w:ascii="Calibri" w:hAnsi="Calibri" w:cs="Calibri"/>
        </w:rPr>
        <w:t xml:space="preserve"> a put option to transfer the property to the lender for the value of the loan.</w:t>
      </w:r>
    </w:p>
    <w:p w14:paraId="2984E0A3" w14:textId="77777777" w:rsidR="002252F8" w:rsidRDefault="002252F8" w:rsidP="00DB62C9">
      <w:pPr>
        <w:pStyle w:val="Heading4"/>
      </w:pPr>
      <w:r>
        <w:t>Assets put to tax preferred use (</w:t>
      </w:r>
      <w:r w:rsidRPr="002252F8">
        <w:t>Div</w:t>
      </w:r>
      <w:r>
        <w:t>ision 250)</w:t>
      </w:r>
    </w:p>
    <w:p w14:paraId="2984E0A4" w14:textId="77777777" w:rsidR="002252F8" w:rsidRPr="000C1AFB" w:rsidRDefault="006B02D2" w:rsidP="000C1AFB">
      <w:pPr>
        <w:pStyle w:val="OneLevelNumberedParagraph"/>
        <w:rPr>
          <w:rFonts w:ascii="Calibri" w:hAnsi="Calibri" w:cs="Calibri"/>
        </w:rPr>
      </w:pPr>
      <w:r>
        <w:rPr>
          <w:rFonts w:ascii="Calibri" w:hAnsi="Calibri" w:cs="Calibri"/>
        </w:rPr>
        <w:t xml:space="preserve">These provisions </w:t>
      </w:r>
      <w:r w:rsidR="002252F8" w:rsidRPr="000C1AFB">
        <w:rPr>
          <w:rFonts w:ascii="Calibri" w:hAnsi="Calibri" w:cs="Calibri"/>
        </w:rPr>
        <w:t xml:space="preserve">seek to deny capital allowance deductions where an asset is put to a tax preferred use and the taxpayer does not have a predominant economic interest in the asset. </w:t>
      </w:r>
    </w:p>
    <w:p w14:paraId="2984E0A5" w14:textId="34A5B412" w:rsidR="00755D0E" w:rsidRPr="00755D0E" w:rsidRDefault="00755D0E" w:rsidP="00755D0E">
      <w:pPr>
        <w:pStyle w:val="OneLevelNumberedParagraph"/>
        <w:rPr>
          <w:rFonts w:ascii="Calibri" w:hAnsi="Calibri" w:cs="Calibri"/>
        </w:rPr>
      </w:pPr>
      <w:r>
        <w:rPr>
          <w:rFonts w:ascii="Calibri" w:hAnsi="Calibri" w:cs="Calibri"/>
        </w:rPr>
        <w:t>O</w:t>
      </w:r>
      <w:r w:rsidRPr="00755D0E">
        <w:rPr>
          <w:rFonts w:ascii="Calibri" w:hAnsi="Calibri" w:cs="Calibri"/>
        </w:rPr>
        <w:t>ne of the tests for predominant economic interest is that the asset is not financed, more than a specified percentage limit (80% or 55%) by limited recourse debt (section 250</w:t>
      </w:r>
      <w:r w:rsidR="00A421C7">
        <w:rPr>
          <w:rFonts w:ascii="Calibri" w:hAnsi="Calibri" w:cs="Calibri"/>
        </w:rPr>
        <w:noBreakHyphen/>
      </w:r>
      <w:r w:rsidRPr="00755D0E">
        <w:rPr>
          <w:rFonts w:ascii="Calibri" w:hAnsi="Calibri" w:cs="Calibri"/>
        </w:rPr>
        <w:t>115).</w:t>
      </w:r>
    </w:p>
    <w:p w14:paraId="2984E0A6" w14:textId="77777777" w:rsidR="00A41B68" w:rsidRDefault="006B02D2" w:rsidP="00755D0E">
      <w:pPr>
        <w:pStyle w:val="OneLevelNumberedParagraph"/>
      </w:pPr>
      <w:r w:rsidRPr="00755D0E">
        <w:rPr>
          <w:rFonts w:ascii="Calibri" w:hAnsi="Calibri" w:cs="Calibri"/>
        </w:rPr>
        <w:t>Th</w:t>
      </w:r>
      <w:r w:rsidR="00755D0E">
        <w:rPr>
          <w:rFonts w:ascii="Calibri" w:hAnsi="Calibri" w:cs="Calibri"/>
        </w:rPr>
        <w:t xml:space="preserve">us the </w:t>
      </w:r>
      <w:r w:rsidRPr="00755D0E">
        <w:rPr>
          <w:rFonts w:ascii="Calibri" w:hAnsi="Calibri" w:cs="Calibri"/>
        </w:rPr>
        <w:t>limited recourse nature of financing may determine whether or not a taxpayer has a predominant economic interest in an asset</w:t>
      </w:r>
      <w:r w:rsidR="00755D0E">
        <w:rPr>
          <w:rFonts w:ascii="Calibri" w:hAnsi="Calibri" w:cs="Calibri"/>
        </w:rPr>
        <w:t>.</w:t>
      </w:r>
    </w:p>
    <w:p w14:paraId="2984E0A7" w14:textId="77777777" w:rsidR="00A077F9" w:rsidRPr="00D633C3" w:rsidRDefault="00A077F9" w:rsidP="00ED538E">
      <w:pPr>
        <w:pStyle w:val="Heading2"/>
        <w:tabs>
          <w:tab w:val="clear" w:pos="6237"/>
          <w:tab w:val="num" w:pos="0"/>
        </w:tabs>
        <w:ind w:left="0" w:firstLine="0"/>
        <w:jc w:val="both"/>
      </w:pPr>
      <w:bookmarkStart w:id="9" w:name="_Toc329348004"/>
      <w:r w:rsidRPr="00ED538E">
        <w:rPr>
          <w:i/>
        </w:rPr>
        <w:t xml:space="preserve">Commissioner of Taxation v BHP Billiton Limited &amp; others </w:t>
      </w:r>
      <w:r w:rsidRPr="00295C7A">
        <w:t>[2011] HCA 17</w:t>
      </w:r>
      <w:bookmarkEnd w:id="9"/>
    </w:p>
    <w:p w14:paraId="2984E0A8" w14:textId="03362C22" w:rsidR="0055391D" w:rsidRPr="00382FDB" w:rsidRDefault="009A04E2" w:rsidP="00687279">
      <w:pPr>
        <w:pStyle w:val="OneLevelNumberedParagraph"/>
        <w:rPr>
          <w:rFonts w:asciiTheme="minorHAnsi" w:hAnsiTheme="minorHAnsi" w:cstheme="minorHAnsi"/>
        </w:rPr>
      </w:pPr>
      <w:r w:rsidRPr="005D7698">
        <w:rPr>
          <w:rFonts w:asciiTheme="minorHAnsi" w:hAnsiTheme="minorHAnsi" w:cstheme="minorHAnsi"/>
        </w:rPr>
        <w:t>In June 2011, t</w:t>
      </w:r>
      <w:r w:rsidR="00A077F9" w:rsidRPr="004732BF">
        <w:rPr>
          <w:rFonts w:asciiTheme="minorHAnsi" w:hAnsiTheme="minorHAnsi" w:cstheme="minorHAnsi"/>
        </w:rPr>
        <w:t xml:space="preserve">he High Court of Australia, </w:t>
      </w:r>
      <w:r w:rsidR="0062418E">
        <w:rPr>
          <w:rFonts w:asciiTheme="minorHAnsi" w:hAnsiTheme="minorHAnsi" w:cstheme="minorHAnsi"/>
        </w:rPr>
        <w:t>handed down its judgment in</w:t>
      </w:r>
      <w:r w:rsidR="00A077F9" w:rsidRPr="00382FDB">
        <w:rPr>
          <w:rFonts w:asciiTheme="minorHAnsi" w:hAnsiTheme="minorHAnsi" w:cstheme="minorHAnsi"/>
        </w:rPr>
        <w:t xml:space="preserve"> </w:t>
      </w:r>
      <w:r w:rsidR="0055391D" w:rsidRPr="004732BF">
        <w:rPr>
          <w:rFonts w:asciiTheme="minorHAnsi" w:hAnsiTheme="minorHAnsi" w:cstheme="minorHAnsi"/>
          <w:i/>
        </w:rPr>
        <w:t>Commissioner of Taxation of the Commonwealth of Australia</w:t>
      </w:r>
      <w:r w:rsidR="0055391D" w:rsidRPr="004732BF">
        <w:rPr>
          <w:rFonts w:asciiTheme="minorHAnsi" w:hAnsiTheme="minorHAnsi" w:cstheme="minorHAnsi"/>
        </w:rPr>
        <w:t xml:space="preserve"> </w:t>
      </w:r>
      <w:r w:rsidR="00A077F9" w:rsidRPr="004732BF">
        <w:rPr>
          <w:rFonts w:asciiTheme="minorHAnsi" w:hAnsiTheme="minorHAnsi" w:cstheme="minorHAnsi"/>
        </w:rPr>
        <w:t xml:space="preserve">v </w:t>
      </w:r>
      <w:r w:rsidR="00A077F9" w:rsidRPr="004732BF">
        <w:rPr>
          <w:rFonts w:asciiTheme="minorHAnsi" w:hAnsiTheme="minorHAnsi" w:cstheme="minorHAnsi"/>
          <w:i/>
        </w:rPr>
        <w:t>BHP Billiton Limited &amp; others</w:t>
      </w:r>
      <w:r w:rsidR="00A077F9" w:rsidRPr="00794B0A">
        <w:rPr>
          <w:rFonts w:asciiTheme="minorHAnsi" w:hAnsiTheme="minorHAnsi" w:cstheme="minorHAnsi"/>
        </w:rPr>
        <w:t xml:space="preserve"> [2011] HCA 17</w:t>
      </w:r>
      <w:r w:rsidR="0062418E">
        <w:rPr>
          <w:rFonts w:asciiTheme="minorHAnsi" w:hAnsiTheme="minorHAnsi" w:cstheme="minorHAnsi"/>
        </w:rPr>
        <w:t xml:space="preserve"> (</w:t>
      </w:r>
      <w:r w:rsidR="0062418E" w:rsidRPr="0062418E">
        <w:rPr>
          <w:rFonts w:asciiTheme="minorHAnsi" w:hAnsiTheme="minorHAnsi" w:cstheme="minorHAnsi"/>
          <w:i/>
        </w:rPr>
        <w:t>BHP Billiton</w:t>
      </w:r>
      <w:r w:rsidR="0062418E">
        <w:rPr>
          <w:rFonts w:asciiTheme="minorHAnsi" w:hAnsiTheme="minorHAnsi" w:cstheme="minorHAnsi"/>
        </w:rPr>
        <w:t>)</w:t>
      </w:r>
      <w:r w:rsidR="00A421C7">
        <w:rPr>
          <w:rFonts w:asciiTheme="minorHAnsi" w:hAnsiTheme="minorHAnsi" w:cstheme="minorHAnsi"/>
        </w:rPr>
        <w:t xml:space="preserve">. </w:t>
      </w:r>
    </w:p>
    <w:p w14:paraId="2984E0A9" w14:textId="2BE37D69" w:rsidR="00693051" w:rsidRDefault="0062418E" w:rsidP="00F4332C">
      <w:pPr>
        <w:pStyle w:val="OneLevelNumberedParagraph"/>
        <w:rPr>
          <w:rFonts w:asciiTheme="minorHAnsi" w:hAnsiTheme="minorHAnsi" w:cstheme="minorHAnsi"/>
        </w:rPr>
      </w:pPr>
      <w:r w:rsidRPr="000A52EC">
        <w:rPr>
          <w:rFonts w:ascii="Calibri" w:hAnsi="Calibri" w:cs="Calibri"/>
        </w:rPr>
        <w:t xml:space="preserve">The High Court considered the meaning of </w:t>
      </w:r>
      <w:r w:rsidRPr="00693051">
        <w:rPr>
          <w:rFonts w:ascii="Calibri" w:hAnsi="Calibri" w:cs="Calibri"/>
        </w:rPr>
        <w:t>subsection 243</w:t>
      </w:r>
      <w:r w:rsidR="00A421C7">
        <w:rPr>
          <w:rFonts w:ascii="Calibri" w:hAnsi="Calibri" w:cs="Calibri"/>
        </w:rPr>
        <w:noBreakHyphen/>
      </w:r>
      <w:proofErr w:type="gramStart"/>
      <w:r w:rsidRPr="00693051">
        <w:rPr>
          <w:rFonts w:ascii="Calibri" w:hAnsi="Calibri" w:cs="Calibri"/>
        </w:rPr>
        <w:t>20(</w:t>
      </w:r>
      <w:proofErr w:type="gramEnd"/>
      <w:r w:rsidRPr="00693051">
        <w:rPr>
          <w:rFonts w:ascii="Calibri" w:hAnsi="Calibri" w:cs="Calibri"/>
        </w:rPr>
        <w:t>2),</w:t>
      </w:r>
      <w:r w:rsidRPr="000A52EC">
        <w:rPr>
          <w:rFonts w:ascii="Calibri" w:hAnsi="Calibri" w:cs="Calibri"/>
        </w:rPr>
        <w:t xml:space="preserve"> and the </w:t>
      </w:r>
      <w:r w:rsidR="000A52EC" w:rsidRPr="000A52EC">
        <w:rPr>
          <w:rFonts w:ascii="Calibri" w:hAnsi="Calibri" w:cs="Calibri"/>
        </w:rPr>
        <w:t>phrase</w:t>
      </w:r>
      <w:r w:rsidRPr="000A52EC">
        <w:rPr>
          <w:rFonts w:ascii="Calibri" w:hAnsi="Calibri" w:cs="Calibri"/>
        </w:rPr>
        <w:t xml:space="preserve"> </w:t>
      </w:r>
      <w:r w:rsidR="00A421C7">
        <w:rPr>
          <w:rFonts w:ascii="Calibri" w:hAnsi="Calibri" w:cs="Calibri"/>
        </w:rPr>
        <w:t>‘</w:t>
      </w:r>
      <w:r w:rsidRPr="000A52EC">
        <w:rPr>
          <w:rFonts w:ascii="Calibri" w:hAnsi="Calibri" w:cs="Calibri"/>
        </w:rPr>
        <w:t xml:space="preserve">that </w:t>
      </w:r>
      <w:r w:rsidR="000A52EC" w:rsidRPr="000A52EC">
        <w:rPr>
          <w:rFonts w:ascii="Calibri" w:hAnsi="Calibri" w:cs="Calibri"/>
        </w:rPr>
        <w:t xml:space="preserve">the rights of the </w:t>
      </w:r>
      <w:r w:rsidRPr="000A52EC">
        <w:rPr>
          <w:rFonts w:ascii="Calibri" w:hAnsi="Calibri" w:cs="Calibri"/>
        </w:rPr>
        <w:t>creditor</w:t>
      </w:r>
      <w:r w:rsidR="000A52EC" w:rsidRPr="000A52EC">
        <w:rPr>
          <w:rFonts w:ascii="Calibri" w:hAnsi="Calibri" w:cs="Calibri"/>
        </w:rPr>
        <w:t xml:space="preserve"> …</w:t>
      </w:r>
      <w:r w:rsidRPr="000A52EC">
        <w:rPr>
          <w:rFonts w:ascii="Calibri" w:hAnsi="Calibri" w:cs="Calibri"/>
        </w:rPr>
        <w:t xml:space="preserve"> are capable of being limited</w:t>
      </w:r>
      <w:r w:rsidR="00A421C7">
        <w:rPr>
          <w:rFonts w:ascii="Calibri" w:hAnsi="Calibri" w:cs="Calibri"/>
        </w:rPr>
        <w:t xml:space="preserve">’. </w:t>
      </w:r>
    </w:p>
    <w:p w14:paraId="2984E0AA" w14:textId="7A4B4681" w:rsidR="00382FDB" w:rsidRPr="000A52EC" w:rsidRDefault="00693051" w:rsidP="00F4332C">
      <w:pPr>
        <w:pStyle w:val="OneLevelNumberedParagraph"/>
        <w:rPr>
          <w:rFonts w:asciiTheme="minorHAnsi" w:hAnsiTheme="minorHAnsi" w:cstheme="minorHAnsi"/>
        </w:rPr>
      </w:pPr>
      <w:r>
        <w:rPr>
          <w:rFonts w:asciiTheme="minorHAnsi" w:hAnsiTheme="minorHAnsi" w:cstheme="minorHAnsi"/>
        </w:rPr>
        <w:t xml:space="preserve">The High Court </w:t>
      </w:r>
      <w:r w:rsidR="000A52EC" w:rsidRPr="000A52EC">
        <w:rPr>
          <w:rFonts w:asciiTheme="minorHAnsi" w:hAnsiTheme="minorHAnsi" w:cstheme="minorHAnsi"/>
        </w:rPr>
        <w:t xml:space="preserve">considered that </w:t>
      </w:r>
      <w:r w:rsidR="00A077F9" w:rsidRPr="000A52EC">
        <w:rPr>
          <w:rFonts w:asciiTheme="minorHAnsi" w:hAnsiTheme="minorHAnsi" w:cstheme="minorHAnsi"/>
        </w:rPr>
        <w:t xml:space="preserve">the creditor’s rights to recourse against the borrower in the event of default are </w:t>
      </w:r>
      <w:r w:rsidR="000A52EC">
        <w:rPr>
          <w:rFonts w:asciiTheme="minorHAnsi" w:hAnsiTheme="minorHAnsi" w:cstheme="minorHAnsi"/>
        </w:rPr>
        <w:t xml:space="preserve">only </w:t>
      </w:r>
      <w:r w:rsidR="00A077F9" w:rsidRPr="000A52EC">
        <w:rPr>
          <w:rFonts w:asciiTheme="minorHAnsi" w:hAnsiTheme="minorHAnsi" w:cstheme="minorHAnsi"/>
        </w:rPr>
        <w:t>limited</w:t>
      </w:r>
      <w:r w:rsidR="00BE76A6" w:rsidRPr="000A52EC">
        <w:rPr>
          <w:rFonts w:asciiTheme="minorHAnsi" w:hAnsiTheme="minorHAnsi" w:cstheme="minorHAnsi"/>
        </w:rPr>
        <w:t xml:space="preserve"> where</w:t>
      </w:r>
      <w:r w:rsidR="000A52EC">
        <w:rPr>
          <w:rFonts w:asciiTheme="minorHAnsi" w:hAnsiTheme="minorHAnsi" w:cstheme="minorHAnsi"/>
        </w:rPr>
        <w:t>,</w:t>
      </w:r>
      <w:r w:rsidR="00382FDB" w:rsidRPr="000A52EC">
        <w:rPr>
          <w:rFonts w:asciiTheme="minorHAnsi" w:hAnsiTheme="minorHAnsi" w:cstheme="minorHAnsi"/>
        </w:rPr>
        <w:t xml:space="preserve"> </w:t>
      </w:r>
      <w:r w:rsidR="00A077F9" w:rsidRPr="000A52EC">
        <w:rPr>
          <w:rFonts w:asciiTheme="minorHAnsi" w:hAnsiTheme="minorHAnsi" w:cstheme="minorHAnsi"/>
        </w:rPr>
        <w:t xml:space="preserve">at the </w:t>
      </w:r>
      <w:r>
        <w:rPr>
          <w:rFonts w:asciiTheme="minorHAnsi" w:hAnsiTheme="minorHAnsi" w:cstheme="minorHAnsi"/>
        </w:rPr>
        <w:t>inception of the loan</w:t>
      </w:r>
      <w:r w:rsidR="00A077F9" w:rsidRPr="000A52EC">
        <w:rPr>
          <w:rFonts w:asciiTheme="minorHAnsi" w:hAnsiTheme="minorHAnsi" w:cstheme="minorHAnsi"/>
        </w:rPr>
        <w:t>, the borrower (or someone else) has the capacity to</w:t>
      </w:r>
      <w:r w:rsidR="00AC41AE" w:rsidRPr="000A52EC">
        <w:rPr>
          <w:rFonts w:asciiTheme="minorHAnsi" w:hAnsiTheme="minorHAnsi" w:cstheme="minorHAnsi"/>
        </w:rPr>
        <w:t xml:space="preserve"> </w:t>
      </w:r>
      <w:r w:rsidR="00A077F9" w:rsidRPr="000A52EC">
        <w:rPr>
          <w:rFonts w:asciiTheme="minorHAnsi" w:hAnsiTheme="minorHAnsi" w:cstheme="minorHAnsi"/>
        </w:rPr>
        <w:t>bring about th</w:t>
      </w:r>
      <w:r w:rsidR="00B67E3E" w:rsidRPr="000A52EC">
        <w:rPr>
          <w:rFonts w:asciiTheme="minorHAnsi" w:hAnsiTheme="minorHAnsi" w:cstheme="minorHAnsi"/>
        </w:rPr>
        <w:t>e limitation</w:t>
      </w:r>
      <w:r>
        <w:rPr>
          <w:rFonts w:asciiTheme="minorHAnsi" w:hAnsiTheme="minorHAnsi" w:cstheme="minorHAnsi"/>
        </w:rPr>
        <w:t xml:space="preserve"> whether by arrangement, circumstance, conduct or some other way covered by </w:t>
      </w:r>
      <w:r w:rsidRPr="00693051">
        <w:rPr>
          <w:rFonts w:ascii="Calibri" w:hAnsi="Calibri" w:cs="Calibri"/>
        </w:rPr>
        <w:t>subsection 243</w:t>
      </w:r>
      <w:r w:rsidR="00A421C7">
        <w:rPr>
          <w:rFonts w:ascii="Calibri" w:hAnsi="Calibri" w:cs="Calibri"/>
        </w:rPr>
        <w:noBreakHyphen/>
      </w:r>
      <w:r w:rsidRPr="00693051">
        <w:rPr>
          <w:rFonts w:ascii="Calibri" w:hAnsi="Calibri" w:cs="Calibri"/>
        </w:rPr>
        <w:t>20(</w:t>
      </w:r>
      <w:r>
        <w:rPr>
          <w:rFonts w:ascii="Calibri" w:hAnsi="Calibri" w:cs="Calibri"/>
        </w:rPr>
        <w:t>1</w:t>
      </w:r>
      <w:r w:rsidRPr="00693051">
        <w:rPr>
          <w:rFonts w:ascii="Calibri" w:hAnsi="Calibri" w:cs="Calibri"/>
        </w:rPr>
        <w:t>)</w:t>
      </w:r>
      <w:r w:rsidR="00382FDB" w:rsidRPr="000A52EC">
        <w:rPr>
          <w:rFonts w:asciiTheme="minorHAnsi" w:hAnsiTheme="minorHAnsi" w:cstheme="minorHAnsi"/>
        </w:rPr>
        <w:t>.</w:t>
      </w:r>
    </w:p>
    <w:p w14:paraId="2984E0AB" w14:textId="77777777" w:rsidR="008D310D" w:rsidRPr="00F4332C" w:rsidRDefault="00382FDB" w:rsidP="00382FDB">
      <w:pPr>
        <w:pStyle w:val="OneLevelNumberedParagraph"/>
        <w:rPr>
          <w:rFonts w:asciiTheme="minorHAnsi" w:hAnsiTheme="minorHAnsi" w:cstheme="minorHAnsi"/>
          <w:szCs w:val="22"/>
        </w:rPr>
      </w:pPr>
      <w:r w:rsidRPr="00382FDB">
        <w:rPr>
          <w:rFonts w:asciiTheme="minorHAnsi" w:hAnsiTheme="minorHAnsi" w:cstheme="minorHAnsi"/>
        </w:rPr>
        <w:t xml:space="preserve">The Court </w:t>
      </w:r>
      <w:r w:rsidR="00693051">
        <w:rPr>
          <w:rFonts w:asciiTheme="minorHAnsi" w:hAnsiTheme="minorHAnsi" w:cstheme="minorHAnsi"/>
        </w:rPr>
        <w:t>further considered</w:t>
      </w:r>
      <w:r w:rsidRPr="00382FDB">
        <w:rPr>
          <w:rFonts w:asciiTheme="minorHAnsi" w:hAnsiTheme="minorHAnsi" w:cstheme="minorHAnsi"/>
        </w:rPr>
        <w:t xml:space="preserve"> that</w:t>
      </w:r>
      <w:r w:rsidRPr="00CD2462">
        <w:rPr>
          <w:rFonts w:asciiTheme="minorHAnsi" w:hAnsiTheme="minorHAnsi" w:cstheme="minorHAnsi"/>
        </w:rPr>
        <w:t xml:space="preserve"> t</w:t>
      </w:r>
      <w:bookmarkStart w:id="10" w:name="Content"/>
      <w:r w:rsidR="008D310D" w:rsidRPr="00CD2462">
        <w:rPr>
          <w:rFonts w:asciiTheme="minorHAnsi" w:hAnsiTheme="minorHAnsi" w:cstheme="minorHAnsi"/>
          <w:szCs w:val="22"/>
        </w:rPr>
        <w:t>he power to limit the creditor</w:t>
      </w:r>
      <w:r w:rsidR="008D310D" w:rsidRPr="00ED538E">
        <w:rPr>
          <w:rFonts w:asciiTheme="minorHAnsi" w:hAnsiTheme="minorHAnsi" w:cstheme="minorHAnsi"/>
          <w:szCs w:val="22"/>
        </w:rPr>
        <w:t>’s rights of recourse</w:t>
      </w:r>
      <w:r w:rsidR="00693051">
        <w:rPr>
          <w:rFonts w:asciiTheme="minorHAnsi" w:hAnsiTheme="minorHAnsi" w:cstheme="minorHAnsi"/>
          <w:szCs w:val="22"/>
        </w:rPr>
        <w:t xml:space="preserve"> </w:t>
      </w:r>
      <w:r w:rsidR="00693051" w:rsidRPr="00693051">
        <w:rPr>
          <w:rFonts w:ascii="Calibri" w:hAnsi="Calibri" w:cs="Calibri"/>
        </w:rPr>
        <w:t>would not be satisfied by the existence, at the inception of the loan, of a possibility of a person acquiring a capacity (that is a power) to limit, or a power to cause the relevant limitation of, a creditor's rights of recourse at some point in the future</w:t>
      </w:r>
      <w:r w:rsidR="00693051">
        <w:rPr>
          <w:rFonts w:ascii="Calibri" w:hAnsi="Calibri" w:cs="Calibri"/>
        </w:rPr>
        <w:t>.</w:t>
      </w:r>
    </w:p>
    <w:bookmarkEnd w:id="10"/>
    <w:p w14:paraId="2984E0AC" w14:textId="77777777" w:rsidR="00713220" w:rsidRDefault="00713220" w:rsidP="00713220">
      <w:pPr>
        <w:pStyle w:val="OneLevelNumberedParagraph"/>
        <w:rPr>
          <w:rFonts w:ascii="Calibri" w:hAnsi="Calibri"/>
        </w:rPr>
      </w:pPr>
      <w:r>
        <w:rPr>
          <w:rFonts w:ascii="Calibri" w:hAnsi="Calibri"/>
        </w:rPr>
        <w:t xml:space="preserve">Currently, if such a limitation occurs and the arrangement is terminated upon the borrower’s default, where the debt has not been fully repaid, </w:t>
      </w:r>
      <w:proofErr w:type="gramStart"/>
      <w:r>
        <w:rPr>
          <w:rFonts w:ascii="Calibri" w:hAnsi="Calibri"/>
        </w:rPr>
        <w:t>capital</w:t>
      </w:r>
      <w:proofErr w:type="gramEnd"/>
      <w:r>
        <w:rPr>
          <w:rFonts w:ascii="Calibri" w:hAnsi="Calibri"/>
        </w:rPr>
        <w:t xml:space="preserve"> allowance deductions that exceed the repaid amounts will not be included in assessable income. </w:t>
      </w:r>
    </w:p>
    <w:p w14:paraId="2984E0AD" w14:textId="77777777" w:rsidR="00116E83" w:rsidRDefault="00713220" w:rsidP="00687279">
      <w:pPr>
        <w:pStyle w:val="OneLevelNumberedParagraph"/>
        <w:rPr>
          <w:rFonts w:ascii="Calibri" w:hAnsi="Calibri"/>
        </w:rPr>
      </w:pPr>
      <w:r>
        <w:rPr>
          <w:rFonts w:ascii="Calibri" w:hAnsi="Calibri"/>
        </w:rPr>
        <w:lastRenderedPageBreak/>
        <w:t>This</w:t>
      </w:r>
      <w:r w:rsidR="00116E83">
        <w:rPr>
          <w:rFonts w:ascii="Calibri" w:hAnsi="Calibri"/>
        </w:rPr>
        <w:t xml:space="preserve"> interpretation may result in different treatment for arrangements that have the same economic and substantive outcome, based on the timing and form of the ‘capacity to bring about the limitation’.</w:t>
      </w:r>
    </w:p>
    <w:p w14:paraId="2984E0AE" w14:textId="77777777" w:rsidR="00116E83" w:rsidRPr="00116E83" w:rsidRDefault="00116E83" w:rsidP="00116E83">
      <w:pPr>
        <w:pStyle w:val="OneLevelNumberedParagraph"/>
        <w:rPr>
          <w:rFonts w:ascii="Calibri" w:hAnsi="Calibri"/>
        </w:rPr>
      </w:pPr>
      <w:r w:rsidRPr="00116E83">
        <w:rPr>
          <w:rFonts w:ascii="Calibri" w:hAnsi="Calibri"/>
        </w:rPr>
        <w:t xml:space="preserve">This is contrary to the </w:t>
      </w:r>
      <w:r w:rsidR="00CC403A" w:rsidRPr="00116E83">
        <w:rPr>
          <w:rFonts w:ascii="Calibri" w:hAnsi="Calibri"/>
        </w:rPr>
        <w:t>policy objectives of Division 243</w:t>
      </w:r>
      <w:r w:rsidRPr="00116E83">
        <w:rPr>
          <w:rFonts w:ascii="Calibri" w:hAnsi="Calibri"/>
        </w:rPr>
        <w:t xml:space="preserve">, as expressed in the </w:t>
      </w:r>
      <w:bookmarkStart w:id="11" w:name="_Toc323810498"/>
      <w:r w:rsidRPr="00116E83">
        <w:rPr>
          <w:rFonts w:ascii="Calibri" w:hAnsi="Calibri" w:cs="Calibri"/>
        </w:rPr>
        <w:t xml:space="preserve">Explanatory Memorandum to the Taxation Laws Amendment Bill (No. 5) 1999, </w:t>
      </w:r>
      <w:r>
        <w:rPr>
          <w:rFonts w:ascii="Calibri" w:hAnsi="Calibri" w:cs="Calibri"/>
        </w:rPr>
        <w:t xml:space="preserve">which </w:t>
      </w:r>
      <w:r w:rsidRPr="00116E83">
        <w:rPr>
          <w:rFonts w:ascii="Calibri" w:hAnsi="Calibri" w:cs="Calibri"/>
        </w:rPr>
        <w:t>is to ensure that total deductions for allowable capital expenditure</w:t>
      </w:r>
      <w:r w:rsidRPr="00116E83">
        <w:rPr>
          <w:rFonts w:ascii="Calibri" w:hAnsi="Calibri"/>
        </w:rPr>
        <w:t xml:space="preserve"> do not exceed the total amount actually expended by a taxpayer where the expenditure has been financed under hire purchase or limited recourse debt arrangements.</w:t>
      </w:r>
    </w:p>
    <w:p w14:paraId="2984E0AF" w14:textId="77777777" w:rsidR="00A077F9" w:rsidRDefault="00A077F9" w:rsidP="001C2FC0">
      <w:pPr>
        <w:pStyle w:val="Heading1"/>
      </w:pPr>
      <w:bookmarkStart w:id="12" w:name="_Toc329348005"/>
      <w:r>
        <w:t>Ensuring that Division 243 operates as intended</w:t>
      </w:r>
      <w:bookmarkEnd w:id="11"/>
      <w:bookmarkEnd w:id="12"/>
    </w:p>
    <w:p w14:paraId="2984E0B0" w14:textId="77777777" w:rsidR="00DB08F9" w:rsidRDefault="00DB08F9" w:rsidP="00F4332C">
      <w:pPr>
        <w:pStyle w:val="Heading2"/>
        <w:tabs>
          <w:tab w:val="clear" w:pos="6237"/>
          <w:tab w:val="num" w:pos="0"/>
        </w:tabs>
        <w:ind w:left="0" w:firstLine="0"/>
        <w:jc w:val="both"/>
      </w:pPr>
      <w:bookmarkStart w:id="13" w:name="_Toc329348006"/>
      <w:r>
        <w:t>Amending the definition of limited recourse debt</w:t>
      </w:r>
      <w:bookmarkEnd w:id="13"/>
    </w:p>
    <w:p w14:paraId="2984E0B1" w14:textId="77777777" w:rsidR="00713220" w:rsidRDefault="00927873" w:rsidP="00927873">
      <w:pPr>
        <w:pStyle w:val="OneLevelNumberedParagraph"/>
        <w:rPr>
          <w:rFonts w:ascii="Calibri" w:hAnsi="Calibri" w:cs="Calibri"/>
        </w:rPr>
      </w:pPr>
      <w:r w:rsidRPr="00927873">
        <w:rPr>
          <w:rFonts w:ascii="Calibri" w:hAnsi="Calibri" w:cs="Calibri"/>
        </w:rPr>
        <w:t xml:space="preserve">The reversal of capital allowance deductions is not intended to be restricted to situations where the arrangement specifies conditions that limit the recourse of the creditor. </w:t>
      </w:r>
    </w:p>
    <w:p w14:paraId="2984E0B2" w14:textId="26A39911" w:rsidR="00927873" w:rsidRPr="00927873" w:rsidRDefault="00713220" w:rsidP="00927873">
      <w:pPr>
        <w:pStyle w:val="OneLevelNumberedParagraph"/>
        <w:rPr>
          <w:rFonts w:ascii="Calibri" w:hAnsi="Calibri" w:cs="Calibri"/>
        </w:rPr>
      </w:pPr>
      <w:r>
        <w:rPr>
          <w:rFonts w:ascii="Calibri" w:hAnsi="Calibri" w:cs="Calibri"/>
        </w:rPr>
        <w:t>T</w:t>
      </w:r>
      <w:r w:rsidR="00927873" w:rsidRPr="00927873">
        <w:rPr>
          <w:rFonts w:ascii="Calibri" w:hAnsi="Calibri" w:cs="Calibri"/>
        </w:rPr>
        <w:t>he Explanatory Memorandum to the Taxation Laws Amendment Bill</w:t>
      </w:r>
      <w:r w:rsidR="00A421C7">
        <w:rPr>
          <w:rFonts w:ascii="Calibri" w:hAnsi="Calibri" w:cs="Calibri"/>
        </w:rPr>
        <w:t xml:space="preserve"> (No. 5) 1999 states that </w:t>
      </w:r>
      <w:proofErr w:type="gramStart"/>
      <w:r w:rsidR="00A421C7">
        <w:rPr>
          <w:rFonts w:ascii="Calibri" w:hAnsi="Calibri" w:cs="Calibri"/>
        </w:rPr>
        <w:t>‘ </w:t>
      </w:r>
      <w:r w:rsidR="00927873" w:rsidRPr="00927873">
        <w:rPr>
          <w:rFonts w:ascii="Calibri" w:hAnsi="Calibri" w:cs="Calibri"/>
        </w:rPr>
        <w:t>…</w:t>
      </w:r>
      <w:proofErr w:type="gramEnd"/>
      <w:r w:rsidR="00A421C7">
        <w:rPr>
          <w:rFonts w:ascii="Calibri" w:hAnsi="Calibri" w:cs="Calibri"/>
        </w:rPr>
        <w:t xml:space="preserve"> </w:t>
      </w:r>
      <w:r w:rsidR="00927873" w:rsidRPr="00927873">
        <w:rPr>
          <w:rFonts w:ascii="Calibri" w:hAnsi="Calibri" w:cs="Calibri"/>
        </w:rPr>
        <w:t>a debt is also limited recourse if, notwithstanding that there may be no specific conditions to that effect, it is reasonable to conclude that the creditor’s rights against the debtor are able to be limited, directly or indirectly, to those property rights specified in new subsection</w:t>
      </w:r>
      <w:r w:rsidR="00A421C7">
        <w:rPr>
          <w:rFonts w:ascii="Calibri" w:hAnsi="Calibri" w:cs="Calibri"/>
        </w:rPr>
        <w:t> </w:t>
      </w:r>
      <w:r w:rsidR="00927873" w:rsidRPr="00927873">
        <w:rPr>
          <w:rFonts w:ascii="Calibri" w:hAnsi="Calibri" w:cs="Calibri"/>
        </w:rPr>
        <w:t>243</w:t>
      </w:r>
      <w:r w:rsidR="00A421C7">
        <w:rPr>
          <w:rFonts w:ascii="Calibri" w:hAnsi="Calibri" w:cs="Calibri"/>
        </w:rPr>
        <w:noBreakHyphen/>
      </w:r>
      <w:r w:rsidR="00927873" w:rsidRPr="00927873">
        <w:rPr>
          <w:rFonts w:ascii="Calibri" w:hAnsi="Calibri" w:cs="Calibri"/>
        </w:rPr>
        <w:t>20(1) in rel</w:t>
      </w:r>
      <w:r w:rsidR="00A421C7">
        <w:rPr>
          <w:rFonts w:ascii="Calibri" w:hAnsi="Calibri" w:cs="Calibri"/>
        </w:rPr>
        <w:t>ation to the financed property.’</w:t>
      </w:r>
    </w:p>
    <w:p w14:paraId="2984E0B3" w14:textId="77777777" w:rsidR="00DB08F9" w:rsidRDefault="00DB08F9" w:rsidP="00687279">
      <w:pPr>
        <w:pStyle w:val="OneLevelNumberedParagraph"/>
        <w:rPr>
          <w:rFonts w:ascii="Calibri" w:hAnsi="Calibri"/>
        </w:rPr>
      </w:pPr>
      <w:r>
        <w:rPr>
          <w:rFonts w:ascii="Calibri" w:hAnsi="Calibri"/>
        </w:rPr>
        <w:t>The definition of limited recourse debt will be amended in order to achieve the policy objectives of Division 243</w:t>
      </w:r>
      <w:r w:rsidR="00713220">
        <w:rPr>
          <w:rFonts w:ascii="Calibri" w:hAnsi="Calibri"/>
        </w:rPr>
        <w:t xml:space="preserve"> and provide the same tax treatment for arrangements that are economically and substantively the same, notwithstanding their different legal form</w:t>
      </w:r>
      <w:r>
        <w:rPr>
          <w:rFonts w:ascii="Calibri" w:hAnsi="Calibri"/>
        </w:rPr>
        <w:t>.</w:t>
      </w:r>
    </w:p>
    <w:p w14:paraId="2984E0B4" w14:textId="77777777" w:rsidR="00A077F9" w:rsidRPr="004D5209" w:rsidRDefault="00CF12D5" w:rsidP="00687279">
      <w:pPr>
        <w:pStyle w:val="OneLevelNumberedParagraph"/>
        <w:rPr>
          <w:rFonts w:ascii="Calibri" w:hAnsi="Calibri"/>
        </w:rPr>
      </w:pPr>
      <w:r>
        <w:rPr>
          <w:rFonts w:ascii="Calibri" w:hAnsi="Calibri"/>
        </w:rPr>
        <w:t>T</w:t>
      </w:r>
      <w:r w:rsidR="004F2D0C" w:rsidRPr="005868D2">
        <w:rPr>
          <w:rFonts w:ascii="Calibri" w:hAnsi="Calibri"/>
        </w:rPr>
        <w:t xml:space="preserve">his </w:t>
      </w:r>
      <w:r>
        <w:rPr>
          <w:rFonts w:ascii="Calibri" w:hAnsi="Calibri"/>
        </w:rPr>
        <w:t xml:space="preserve">will enable </w:t>
      </w:r>
      <w:r w:rsidR="006168E9" w:rsidRPr="005868D2">
        <w:rPr>
          <w:rFonts w:ascii="Calibri" w:hAnsi="Calibri"/>
        </w:rPr>
        <w:t xml:space="preserve">appropriate adjustments </w:t>
      </w:r>
      <w:r>
        <w:rPr>
          <w:rFonts w:ascii="Calibri" w:hAnsi="Calibri"/>
        </w:rPr>
        <w:t xml:space="preserve">to </w:t>
      </w:r>
      <w:r w:rsidR="00BA5AED" w:rsidRPr="005868D2">
        <w:rPr>
          <w:rFonts w:ascii="Calibri" w:hAnsi="Calibri"/>
        </w:rPr>
        <w:t xml:space="preserve">be </w:t>
      </w:r>
      <w:r w:rsidR="006168E9" w:rsidRPr="005868D2">
        <w:rPr>
          <w:rFonts w:ascii="Calibri" w:hAnsi="Calibri"/>
        </w:rPr>
        <w:t xml:space="preserve">made to the borrower’s taxable income, where </w:t>
      </w:r>
      <w:r w:rsidR="00B54744">
        <w:rPr>
          <w:rFonts w:ascii="Calibri" w:hAnsi="Calibri"/>
        </w:rPr>
        <w:t xml:space="preserve">the arrangement is terminated and the debt has not been paid in full by </w:t>
      </w:r>
      <w:r w:rsidR="006168E9" w:rsidRPr="005868D2">
        <w:rPr>
          <w:rFonts w:ascii="Calibri" w:hAnsi="Calibri"/>
        </w:rPr>
        <w:t xml:space="preserve">the </w:t>
      </w:r>
      <w:r w:rsidR="00B54744">
        <w:rPr>
          <w:rFonts w:ascii="Calibri" w:hAnsi="Calibri"/>
        </w:rPr>
        <w:t xml:space="preserve">debtor and the </w:t>
      </w:r>
      <w:r w:rsidR="006168E9" w:rsidRPr="005868D2">
        <w:rPr>
          <w:rFonts w:ascii="Calibri" w:hAnsi="Calibri"/>
        </w:rPr>
        <w:t xml:space="preserve">creditor’s rights </w:t>
      </w:r>
      <w:r w:rsidR="00B54744">
        <w:rPr>
          <w:rFonts w:ascii="Calibri" w:hAnsi="Calibri"/>
        </w:rPr>
        <w:t xml:space="preserve">of recourse </w:t>
      </w:r>
      <w:r>
        <w:rPr>
          <w:rFonts w:ascii="Calibri" w:hAnsi="Calibri"/>
        </w:rPr>
        <w:t xml:space="preserve">are limited </w:t>
      </w:r>
      <w:r w:rsidR="001331F2" w:rsidRPr="005868D2">
        <w:rPr>
          <w:rFonts w:ascii="Calibri" w:hAnsi="Calibri"/>
        </w:rPr>
        <w:t>wholly or predominantly</w:t>
      </w:r>
      <w:r>
        <w:rPr>
          <w:rFonts w:ascii="Calibri" w:hAnsi="Calibri"/>
        </w:rPr>
        <w:t xml:space="preserve"> </w:t>
      </w:r>
      <w:r w:rsidR="006168E9" w:rsidRPr="005868D2">
        <w:rPr>
          <w:rFonts w:ascii="Calibri" w:hAnsi="Calibri"/>
        </w:rPr>
        <w:t>(whether or not by contract)</w:t>
      </w:r>
      <w:r>
        <w:rPr>
          <w:rFonts w:ascii="Calibri" w:hAnsi="Calibri"/>
        </w:rPr>
        <w:t xml:space="preserve"> to certain rights in respect of the financed property or other property</w:t>
      </w:r>
      <w:r w:rsidR="00B54744">
        <w:rPr>
          <w:rFonts w:ascii="Calibri" w:hAnsi="Calibri"/>
        </w:rPr>
        <w:t>.</w:t>
      </w:r>
    </w:p>
    <w:p w14:paraId="2984E0B5" w14:textId="77777777" w:rsidR="00A077F9" w:rsidRPr="00745A28" w:rsidRDefault="00A077F9" w:rsidP="006B287D">
      <w:pPr>
        <w:pStyle w:val="Heading4"/>
      </w:pPr>
      <w:r w:rsidRPr="00745A28">
        <w:t>Proposed changes</w:t>
      </w:r>
    </w:p>
    <w:p w14:paraId="2984E0B6" w14:textId="0F6D34FB" w:rsidR="00A077F9" w:rsidRPr="00DD555A" w:rsidRDefault="00A077F9" w:rsidP="0095095D">
      <w:pPr>
        <w:pStyle w:val="OneLevelNumberedParagraph"/>
        <w:rPr>
          <w:rFonts w:ascii="Calibri" w:hAnsi="Calibri"/>
        </w:rPr>
      </w:pPr>
      <w:r w:rsidRPr="00DD555A">
        <w:rPr>
          <w:rFonts w:asciiTheme="minorHAnsi" w:hAnsiTheme="minorHAnsi" w:cstheme="minorHAnsi"/>
        </w:rPr>
        <w:t>Section 243</w:t>
      </w:r>
      <w:r w:rsidR="00A421C7">
        <w:rPr>
          <w:rFonts w:asciiTheme="minorHAnsi" w:hAnsiTheme="minorHAnsi" w:cstheme="minorHAnsi"/>
        </w:rPr>
        <w:noBreakHyphen/>
      </w:r>
      <w:r w:rsidRPr="00DD555A">
        <w:rPr>
          <w:rFonts w:asciiTheme="minorHAnsi" w:hAnsiTheme="minorHAnsi" w:cstheme="minorHAnsi"/>
        </w:rPr>
        <w:t xml:space="preserve">20 will be amended to define a limited recourse debt as </w:t>
      </w:r>
      <w:r w:rsidR="00515BEF" w:rsidRPr="00DD555A">
        <w:rPr>
          <w:rFonts w:asciiTheme="minorHAnsi" w:hAnsiTheme="minorHAnsi" w:cstheme="minorHAnsi"/>
        </w:rPr>
        <w:t xml:space="preserve">including </w:t>
      </w:r>
      <w:r w:rsidR="00FC2E4C" w:rsidRPr="00DD555A">
        <w:rPr>
          <w:rFonts w:asciiTheme="minorHAnsi" w:hAnsiTheme="minorHAnsi" w:cstheme="minorHAnsi"/>
        </w:rPr>
        <w:t xml:space="preserve">arrangements </w:t>
      </w:r>
      <w:r w:rsidR="00463959" w:rsidRPr="00DD555A">
        <w:rPr>
          <w:rFonts w:asciiTheme="minorHAnsi" w:hAnsiTheme="minorHAnsi" w:cstheme="minorHAnsi"/>
        </w:rPr>
        <w:t xml:space="preserve">where </w:t>
      </w:r>
      <w:r w:rsidRPr="00DD555A">
        <w:rPr>
          <w:rFonts w:asciiTheme="minorHAnsi" w:hAnsiTheme="minorHAnsi" w:cstheme="minorHAnsi"/>
        </w:rPr>
        <w:t>at the beginning</w:t>
      </w:r>
      <w:r w:rsidR="00547FFE" w:rsidRPr="00DD555A">
        <w:rPr>
          <w:rFonts w:asciiTheme="minorHAnsi" w:hAnsiTheme="minorHAnsi" w:cstheme="minorHAnsi"/>
        </w:rPr>
        <w:t>,</w:t>
      </w:r>
      <w:r w:rsidR="00FC2E4C" w:rsidRPr="00DD555A">
        <w:rPr>
          <w:rFonts w:asciiTheme="minorHAnsi" w:hAnsiTheme="minorHAnsi" w:cstheme="minorHAnsi"/>
        </w:rPr>
        <w:t xml:space="preserve"> </w:t>
      </w:r>
      <w:r w:rsidR="0048400E" w:rsidRPr="00DD555A">
        <w:rPr>
          <w:rFonts w:asciiTheme="minorHAnsi" w:hAnsiTheme="minorHAnsi" w:cstheme="minorHAnsi"/>
        </w:rPr>
        <w:t xml:space="preserve">the creditor’s </w:t>
      </w:r>
      <w:r w:rsidR="00AE7776" w:rsidRPr="00AE7776">
        <w:rPr>
          <w:rFonts w:asciiTheme="minorHAnsi" w:hAnsiTheme="minorHAnsi" w:cstheme="minorHAnsi"/>
        </w:rPr>
        <w:t xml:space="preserve">rights </w:t>
      </w:r>
      <w:r w:rsidR="00547FFE" w:rsidRPr="00DD555A">
        <w:rPr>
          <w:rFonts w:asciiTheme="minorHAnsi" w:hAnsiTheme="minorHAnsi" w:cstheme="minorHAnsi"/>
        </w:rPr>
        <w:t>against the debtor, in the event of default in payment of the debt, are limited wholly or predominantly (whether or not by contract) to certain rights in respect of the financed property or other property.</w:t>
      </w:r>
    </w:p>
    <w:p w14:paraId="2984E0B7" w14:textId="77777777" w:rsidR="003529EF" w:rsidRPr="00EB4AE0" w:rsidRDefault="003529EF" w:rsidP="00B90AD9">
      <w:pPr>
        <w:pStyle w:val="Heading4"/>
        <w:rPr>
          <w:b w:val="0"/>
        </w:rPr>
      </w:pPr>
      <w:r w:rsidRPr="00EB4AE0">
        <w:rPr>
          <w:b w:val="0"/>
        </w:rPr>
        <w:t>Example of arrangement</w:t>
      </w:r>
    </w:p>
    <w:p w14:paraId="2984E0B8" w14:textId="7F184A6A" w:rsidR="00144F5F" w:rsidRDefault="003529EF" w:rsidP="00B90AD9">
      <w:pPr>
        <w:pStyle w:val="OneLevelNumberedParagraph"/>
        <w:rPr>
          <w:rFonts w:ascii="Calibri" w:hAnsi="Calibri"/>
        </w:rPr>
      </w:pPr>
      <w:r w:rsidRPr="00B90AD9">
        <w:rPr>
          <w:rFonts w:ascii="Calibri" w:hAnsi="Calibri"/>
        </w:rPr>
        <w:t>Company C, a special purpose vehicle owned by an off</w:t>
      </w:r>
      <w:r w:rsidR="00A421C7">
        <w:rPr>
          <w:rFonts w:ascii="Calibri" w:hAnsi="Calibri"/>
        </w:rPr>
        <w:noBreakHyphen/>
      </w:r>
      <w:r w:rsidRPr="00B90AD9">
        <w:rPr>
          <w:rFonts w:ascii="Calibri" w:hAnsi="Calibri"/>
        </w:rPr>
        <w:t xml:space="preserve">shore </w:t>
      </w:r>
      <w:r w:rsidR="001E1E7C">
        <w:rPr>
          <w:rFonts w:ascii="Calibri" w:hAnsi="Calibri"/>
        </w:rPr>
        <w:t>company, acquires</w:t>
      </w:r>
      <w:r w:rsidRPr="00B90AD9">
        <w:rPr>
          <w:rFonts w:ascii="Calibri" w:hAnsi="Calibri"/>
        </w:rPr>
        <w:t xml:space="preserve"> </w:t>
      </w:r>
      <w:r w:rsidR="001E1E7C">
        <w:rPr>
          <w:rFonts w:ascii="Calibri" w:hAnsi="Calibri"/>
        </w:rPr>
        <w:t>an asset</w:t>
      </w:r>
      <w:r w:rsidRPr="00B90AD9">
        <w:rPr>
          <w:rFonts w:ascii="Calibri" w:hAnsi="Calibri"/>
        </w:rPr>
        <w:t xml:space="preserve"> for $325 million</w:t>
      </w:r>
      <w:r w:rsidR="00A421C7">
        <w:rPr>
          <w:rFonts w:ascii="Calibri" w:hAnsi="Calibri"/>
        </w:rPr>
        <w:t xml:space="preserve">. </w:t>
      </w:r>
      <w:r w:rsidRPr="00B90AD9">
        <w:rPr>
          <w:rFonts w:ascii="Calibri" w:hAnsi="Calibri"/>
        </w:rPr>
        <w:t>Company C has no other assets</w:t>
      </w:r>
      <w:r w:rsidR="00A421C7">
        <w:rPr>
          <w:rFonts w:ascii="Calibri" w:hAnsi="Calibri"/>
        </w:rPr>
        <w:t xml:space="preserve">. </w:t>
      </w:r>
    </w:p>
    <w:p w14:paraId="2984E0B9" w14:textId="2A346AE7" w:rsidR="00144F5F" w:rsidRDefault="003529EF" w:rsidP="00B90AD9">
      <w:pPr>
        <w:pStyle w:val="OneLevelNumberedParagraph"/>
        <w:rPr>
          <w:rFonts w:ascii="Calibri" w:hAnsi="Calibri"/>
        </w:rPr>
      </w:pPr>
      <w:r w:rsidRPr="00B90AD9">
        <w:rPr>
          <w:rFonts w:ascii="Calibri" w:hAnsi="Calibri"/>
        </w:rPr>
        <w:t>Company C finances the acquisition using $65 million equity contributed by the off</w:t>
      </w:r>
      <w:r w:rsidR="00A421C7">
        <w:rPr>
          <w:rFonts w:ascii="Calibri" w:hAnsi="Calibri"/>
        </w:rPr>
        <w:noBreakHyphen/>
      </w:r>
      <w:r w:rsidRPr="00B90AD9">
        <w:rPr>
          <w:rFonts w:ascii="Calibri" w:hAnsi="Calibri"/>
        </w:rPr>
        <w:t>shore parent company and $260 million debt borrowed from Bank B, wh</w:t>
      </w:r>
      <w:r w:rsidR="00842DE8">
        <w:rPr>
          <w:rFonts w:ascii="Calibri" w:hAnsi="Calibri"/>
        </w:rPr>
        <w:t>ich</w:t>
      </w:r>
      <w:r w:rsidRPr="00B90AD9">
        <w:rPr>
          <w:rFonts w:ascii="Calibri" w:hAnsi="Calibri"/>
        </w:rPr>
        <w:t xml:space="preserve"> only has recourse to the asset and revenue of Company C in the event of default</w:t>
      </w:r>
      <w:r w:rsidR="00A421C7">
        <w:rPr>
          <w:rFonts w:ascii="Calibri" w:hAnsi="Calibri"/>
        </w:rPr>
        <w:t xml:space="preserve">. </w:t>
      </w:r>
      <w:r w:rsidRPr="00B90AD9">
        <w:rPr>
          <w:rFonts w:ascii="Calibri" w:hAnsi="Calibri"/>
        </w:rPr>
        <w:t>There is no contractual limitation on Bank B’s rights to recover the debt from Company C.</w:t>
      </w:r>
    </w:p>
    <w:p w14:paraId="2984E0BA" w14:textId="77777777" w:rsidR="003529EF" w:rsidRPr="00B90AD9" w:rsidRDefault="001E1E7C" w:rsidP="00B90AD9">
      <w:pPr>
        <w:pStyle w:val="OneLevelNumberedParagraph"/>
        <w:rPr>
          <w:rFonts w:ascii="Calibri" w:hAnsi="Calibri"/>
        </w:rPr>
      </w:pPr>
      <w:r>
        <w:rPr>
          <w:rFonts w:ascii="Calibri" w:hAnsi="Calibri"/>
        </w:rPr>
        <w:lastRenderedPageBreak/>
        <w:t>U</w:t>
      </w:r>
      <w:r w:rsidR="003529EF" w:rsidRPr="00B90AD9">
        <w:rPr>
          <w:rFonts w:ascii="Calibri" w:hAnsi="Calibri"/>
        </w:rPr>
        <w:t>nder the proposed changes, the debt would be limited recourse debt as Bank B’s rights against Company C are effectively limited wholly or predominantly to the assets of Company C</w:t>
      </w:r>
      <w:r w:rsidR="003529EF" w:rsidRPr="009B28CD">
        <w:rPr>
          <w:rFonts w:ascii="Calibri" w:hAnsi="Calibri"/>
        </w:rPr>
        <w:t xml:space="preserve"> which</w:t>
      </w:r>
      <w:r w:rsidR="003529EF" w:rsidRPr="00B90AD9">
        <w:rPr>
          <w:rFonts w:ascii="Calibri" w:hAnsi="Calibri"/>
        </w:rPr>
        <w:t xml:space="preserve"> are financed by the debt</w:t>
      </w:r>
      <w:r w:rsidR="00713220">
        <w:rPr>
          <w:rFonts w:ascii="Calibri" w:hAnsi="Calibri"/>
        </w:rPr>
        <w:t xml:space="preserve">, </w:t>
      </w:r>
      <w:r w:rsidR="00713220" w:rsidRPr="009B28CD">
        <w:rPr>
          <w:rFonts w:ascii="Calibri" w:hAnsi="Calibri"/>
        </w:rPr>
        <w:t>notwithstanding there is no contractual limit</w:t>
      </w:r>
      <w:r w:rsidR="003529EF" w:rsidRPr="00B90AD9">
        <w:rPr>
          <w:rFonts w:ascii="Calibri" w:hAnsi="Calibri"/>
        </w:rPr>
        <w:t>.</w:t>
      </w:r>
    </w:p>
    <w:p w14:paraId="2984E0BB" w14:textId="77777777" w:rsidR="00A077F9" w:rsidRPr="00B90AD9" w:rsidRDefault="00A077F9" w:rsidP="006B287D">
      <w:pPr>
        <w:pStyle w:val="Heading4"/>
        <w:rPr>
          <w:b w:val="0"/>
        </w:rPr>
      </w:pPr>
      <w:r w:rsidRPr="00B90AD9">
        <w:rPr>
          <w:b w:val="0"/>
        </w:rPr>
        <w:t>Date of application</w:t>
      </w:r>
    </w:p>
    <w:p w14:paraId="2984E0BC" w14:textId="718C264D" w:rsidR="00A077F9" w:rsidRPr="00687279" w:rsidRDefault="00A077F9" w:rsidP="00687279">
      <w:pPr>
        <w:pStyle w:val="OneLevelNumberedParagraph"/>
        <w:rPr>
          <w:rFonts w:ascii="Calibri" w:hAnsi="Calibri"/>
        </w:rPr>
      </w:pPr>
      <w:r w:rsidRPr="00687279">
        <w:rPr>
          <w:rFonts w:ascii="Calibri" w:hAnsi="Calibri"/>
        </w:rPr>
        <w:t>This measure will have effect from 7.30pm (AEST) on 8 May 2012</w:t>
      </w:r>
      <w:r w:rsidR="00A421C7">
        <w:rPr>
          <w:rFonts w:ascii="Calibri" w:hAnsi="Calibri"/>
        </w:rPr>
        <w:t xml:space="preserve">. </w:t>
      </w:r>
    </w:p>
    <w:p w14:paraId="2984E0BD" w14:textId="0CD73309" w:rsidR="00E60B5C" w:rsidRPr="00DB08F9" w:rsidRDefault="002B2004" w:rsidP="00850E89">
      <w:pPr>
        <w:pStyle w:val="OneLevelNumberedParagraph"/>
        <w:rPr>
          <w:rFonts w:ascii="Calibri" w:hAnsi="Calibri"/>
        </w:rPr>
      </w:pPr>
      <w:r w:rsidRPr="00DB08F9">
        <w:rPr>
          <w:rFonts w:ascii="Calibri" w:hAnsi="Calibri"/>
        </w:rPr>
        <w:t>The proposed definition will apply to terminations</w:t>
      </w:r>
      <w:r w:rsidR="002044B6" w:rsidRPr="00DB08F9">
        <w:rPr>
          <w:rFonts w:ascii="Calibri" w:hAnsi="Calibri"/>
        </w:rPr>
        <w:t xml:space="preserve"> (arising from the borrower’s default)</w:t>
      </w:r>
      <w:r w:rsidRPr="00DB08F9">
        <w:rPr>
          <w:rFonts w:ascii="Calibri" w:hAnsi="Calibri"/>
        </w:rPr>
        <w:t xml:space="preserve"> that occur after th</w:t>
      </w:r>
      <w:r w:rsidR="008D1E20" w:rsidRPr="00DB08F9">
        <w:rPr>
          <w:rFonts w:ascii="Calibri" w:hAnsi="Calibri"/>
        </w:rPr>
        <w:t>is time</w:t>
      </w:r>
      <w:r w:rsidR="00A421C7">
        <w:rPr>
          <w:rFonts w:ascii="Calibri" w:hAnsi="Calibri"/>
        </w:rPr>
        <w:t xml:space="preserve">. </w:t>
      </w:r>
      <w:r w:rsidR="00E60B5C" w:rsidRPr="00DB08F9">
        <w:rPr>
          <w:rFonts w:ascii="Calibri" w:hAnsi="Calibri"/>
        </w:rPr>
        <w:t>Although the beginning of the arrangement is not relevant to the question of whether there is a termination, it is appropriate to have regard to the beginning of the arrangement when determining if the arrangement is a limited recourse debt. This is because the terms, rights and other matters that affect its qualification as a limited recourse debt are determined at that point, regardless of whether or not a termination occurs.</w:t>
      </w:r>
    </w:p>
    <w:sectPr w:rsidR="00E60B5C" w:rsidRPr="00DB08F9" w:rsidSect="00577071">
      <w:headerReference w:type="default" r:id="rId20"/>
      <w:footerReference w:type="default" r:id="rId21"/>
      <w:headerReference w:type="first" r:id="rId22"/>
      <w:footerReference w:type="first" r:id="rId2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4E0C4" w14:textId="77777777" w:rsidR="00693051" w:rsidRDefault="00693051">
      <w:r>
        <w:separator/>
      </w:r>
    </w:p>
  </w:endnote>
  <w:endnote w:type="continuationSeparator" w:id="0">
    <w:p w14:paraId="2984E0C5" w14:textId="77777777" w:rsidR="00693051" w:rsidRDefault="0069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C5584" w14:textId="1E5D1F19" w:rsidR="00B03E58" w:rsidRDefault="00B03E58" w:rsidP="00B03E58">
    <w:pPr>
      <w:pStyle w:val="Footer"/>
      <w:jc w:val="right"/>
    </w:pPr>
    <w:r>
      <w:t xml:space="preserve">Page </w:t>
    </w:r>
    <w:r>
      <w:fldChar w:fldCharType="begin"/>
    </w:r>
    <w:r>
      <w:instrText xml:space="preserve"> PAGE   \* MERGEFORMAT </w:instrText>
    </w:r>
    <w:r>
      <w:fldChar w:fldCharType="separate"/>
    </w:r>
    <w:r>
      <w:rPr>
        <w:noProof/>
      </w:rPr>
      <w:t>iv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E0C7" w14:textId="77777777" w:rsidR="00693051" w:rsidRDefault="00693051">
    <w:pPr>
      <w:pStyle w:val="Footer"/>
      <w:jc w:val="right"/>
    </w:pPr>
    <w:r>
      <w:t xml:space="preserve">Page </w:t>
    </w:r>
    <w:r>
      <w:fldChar w:fldCharType="begin"/>
    </w:r>
    <w:r>
      <w:instrText xml:space="preserve"> PAGE   \* MERGEFORMAT </w:instrText>
    </w:r>
    <w:r>
      <w:fldChar w:fldCharType="separate"/>
    </w:r>
    <w:r w:rsidR="00B03E58">
      <w:rPr>
        <w:noProof/>
      </w:rPr>
      <w:t>5</w:t>
    </w:r>
    <w:r>
      <w:rPr>
        <w:noProof/>
      </w:rPr>
      <w:fldChar w:fldCharType="end"/>
    </w:r>
  </w:p>
  <w:p w14:paraId="2984E0C8" w14:textId="77777777" w:rsidR="00693051" w:rsidRDefault="006930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E0CA" w14:textId="77777777" w:rsidR="00693051" w:rsidRDefault="00693051">
    <w:pPr>
      <w:pStyle w:val="FooterOdd"/>
    </w:pPr>
    <w:r w:rsidRPr="005317EF">
      <w:t xml:space="preserve">Page </w:t>
    </w: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4E0C2" w14:textId="77777777" w:rsidR="00693051" w:rsidRDefault="00693051">
      <w:r>
        <w:separator/>
      </w:r>
    </w:p>
  </w:footnote>
  <w:footnote w:type="continuationSeparator" w:id="0">
    <w:p w14:paraId="2984E0C3" w14:textId="77777777" w:rsidR="00693051" w:rsidRDefault="00693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E0C6" w14:textId="77777777" w:rsidR="00693051" w:rsidRDefault="00693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E0C9" w14:textId="77777777" w:rsidR="00693051" w:rsidRDefault="00693051" w:rsidP="00F23AEE">
    <w:pPr>
      <w:pStyle w:val="Cre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6AF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EA2744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F43C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8D6C6D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46E06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AA54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1C2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16C7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B282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B6BB02"/>
    <w:lvl w:ilvl="0">
      <w:start w:val="1"/>
      <w:numFmt w:val="bullet"/>
      <w:lvlText w:val=""/>
      <w:lvlJc w:val="left"/>
      <w:pPr>
        <w:tabs>
          <w:tab w:val="num" w:pos="360"/>
        </w:tabs>
        <w:ind w:left="360" w:hanging="360"/>
      </w:pPr>
      <w:rPr>
        <w:rFonts w:ascii="Symbol" w:hAnsi="Symbol" w:hint="default"/>
      </w:rPr>
    </w:lvl>
  </w:abstractNum>
  <w:abstractNum w:abstractNumId="10">
    <w:nsid w:val="06C743A2"/>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236A5BB3"/>
    <w:multiLevelType w:val="multilevel"/>
    <w:tmpl w:val="FA9E4CAC"/>
    <w:lvl w:ilvl="0">
      <w:start w:val="1"/>
      <w:numFmt w:val="decimal"/>
      <w:lvlRestart w:val="0"/>
      <w:lvlText w:val="%1."/>
      <w:lvlJc w:val="left"/>
      <w:pPr>
        <w:tabs>
          <w:tab w:val="num" w:pos="567"/>
        </w:tabs>
        <w:ind w:left="567" w:hanging="567"/>
      </w:pPr>
      <w:rPr>
        <w:rFonts w:cs="Times New Roman"/>
        <w:b w:val="0"/>
        <w:i w:val="0"/>
      </w:rPr>
    </w:lvl>
    <w:lvl w:ilvl="1">
      <w:start w:val="1"/>
      <w:numFmt w:val="decimal"/>
      <w:lvlText w:val="%1.%2."/>
      <w:lvlJc w:val="left"/>
      <w:pPr>
        <w:tabs>
          <w:tab w:val="num" w:pos="1134"/>
        </w:tabs>
        <w:ind w:left="1134" w:hanging="567"/>
      </w:pPr>
      <w:rPr>
        <w:rFonts w:cs="Times New Roman"/>
        <w:b w:val="0"/>
        <w:i w:val="0"/>
      </w:rPr>
    </w:lvl>
    <w:lvl w:ilvl="2">
      <w:start w:val="1"/>
      <w:numFmt w:val="decimal"/>
      <w:lvlText w:val="%1.%2.%3."/>
      <w:lvlJc w:val="left"/>
      <w:pPr>
        <w:tabs>
          <w:tab w:val="num" w:pos="1701"/>
        </w:tabs>
        <w:ind w:left="1701" w:hanging="567"/>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3">
    <w:nsid w:val="244237C5"/>
    <w:multiLevelType w:val="multilevel"/>
    <w:tmpl w:val="7F0AFF92"/>
    <w:name w:val="StandardNumberedList"/>
    <w:lvl w:ilvl="0">
      <w:start w:val="1"/>
      <w:numFmt w:val="decimal"/>
      <w:pStyle w:val="OutlineNumbered1"/>
      <w:lvlText w:val="%1."/>
      <w:lvlJc w:val="left"/>
      <w:pPr>
        <w:tabs>
          <w:tab w:val="num" w:pos="520"/>
        </w:tabs>
        <w:ind w:left="520" w:hanging="520"/>
      </w:pPr>
      <w:rPr>
        <w:rFonts w:cs="Times New Roman" w:hint="default"/>
        <w:b w:val="0"/>
        <w:i w:val="0"/>
      </w:rPr>
    </w:lvl>
    <w:lvl w:ilvl="1">
      <w:start w:val="1"/>
      <w:numFmt w:val="decimal"/>
      <w:pStyle w:val="OutlineNumbered2"/>
      <w:lvlText w:val="%1.%2."/>
      <w:lvlJc w:val="left"/>
      <w:pPr>
        <w:tabs>
          <w:tab w:val="num" w:pos="1040"/>
        </w:tabs>
        <w:ind w:left="1040" w:hanging="520"/>
      </w:pPr>
      <w:rPr>
        <w:rFonts w:cs="Times New Roman" w:hint="default"/>
        <w:b w:val="0"/>
        <w:i w:val="0"/>
      </w:rPr>
    </w:lvl>
    <w:lvl w:ilvl="2">
      <w:start w:val="1"/>
      <w:numFmt w:val="decimal"/>
      <w:pStyle w:val="OutlineNumbered3"/>
      <w:lvlText w:val="%1.%2.%3."/>
      <w:lvlJc w:val="left"/>
      <w:pPr>
        <w:tabs>
          <w:tab w:val="num" w:pos="1560"/>
        </w:tabs>
        <w:ind w:left="1560" w:hanging="520"/>
      </w:pPr>
      <w:rPr>
        <w:rFonts w:cs="Times New Roman" w:hint="default"/>
        <w:b w:val="0"/>
        <w:i w:val="0"/>
      </w:rPr>
    </w:lvl>
    <w:lvl w:ilvl="3">
      <w:start w:val="1"/>
      <w:numFmt w:val="decimal"/>
      <w:lvlText w:val="%1.%2.%3.%4"/>
      <w:lvlJc w:val="left"/>
      <w:pPr>
        <w:tabs>
          <w:tab w:val="num" w:pos="2551"/>
        </w:tabs>
        <w:ind w:left="2551" w:hanging="850"/>
      </w:pPr>
      <w:rPr>
        <w:rFonts w:cs="Times New Roman" w:hint="default"/>
        <w:b w:val="0"/>
        <w:i w:val="0"/>
      </w:rPr>
    </w:lvl>
    <w:lvl w:ilvl="4">
      <w:start w:val="1"/>
      <w:numFmt w:val="lowerLetter"/>
      <w:pStyle w:val="OutlineNumbered5"/>
      <w:lvlText w:val="(%5)"/>
      <w:lvlJc w:val="left"/>
      <w:pPr>
        <w:tabs>
          <w:tab w:val="num" w:pos="2835"/>
        </w:tabs>
        <w:ind w:left="2835" w:hanging="567"/>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14">
    <w:nsid w:val="25C06266"/>
    <w:multiLevelType w:val="multilevel"/>
    <w:tmpl w:val="2F9E1BE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5">
    <w:nsid w:val="27440C8B"/>
    <w:multiLevelType w:val="multilevel"/>
    <w:tmpl w:val="CB5C4156"/>
    <w:name w:val="StandardBulletedList_"/>
    <w:lvl w:ilvl="0">
      <w:start w:val="1"/>
      <w:numFmt w:val="bullet"/>
      <w:lvlRestart w:val="0"/>
      <w:pStyle w:val="Bullet"/>
      <w:lvlText w:val="•"/>
      <w:lvlJc w:val="left"/>
      <w:pPr>
        <w:tabs>
          <w:tab w:val="num" w:pos="566"/>
        </w:tabs>
        <w:ind w:left="566" w:hanging="566"/>
      </w:pPr>
      <w:rPr>
        <w:rFonts w:ascii="Times New Roman" w:hAnsi="Times New Roman"/>
        <w:b w:val="0"/>
        <w:i w:val="0"/>
      </w:rPr>
    </w:lvl>
    <w:lvl w:ilvl="1">
      <w:start w:val="1"/>
      <w:numFmt w:val="bullet"/>
      <w:pStyle w:val="Dash"/>
      <w:lvlText w:val="–"/>
      <w:lvlJc w:val="left"/>
      <w:pPr>
        <w:tabs>
          <w:tab w:val="num" w:pos="1134"/>
        </w:tabs>
        <w:ind w:left="1134" w:hanging="568"/>
      </w:pPr>
      <w:rPr>
        <w:rFonts w:ascii="Times New Roman" w:hAnsi="Times New Roman"/>
        <w:b w:val="0"/>
        <w:i w:val="0"/>
      </w:rPr>
    </w:lvl>
    <w:lvl w:ilvl="2">
      <w:start w:val="1"/>
      <w:numFmt w:val="bullet"/>
      <w:pStyle w:val="DoubleDot"/>
      <w:lvlText w:val=":"/>
      <w:lvlJc w:val="left"/>
      <w:pPr>
        <w:tabs>
          <w:tab w:val="num" w:pos="1700"/>
        </w:tabs>
        <w:ind w:left="1700" w:hanging="566"/>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6">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rFonts w:cs="Times New Roman"/>
        <w:b w:val="0"/>
        <w:i w:val="0"/>
        <w:color w:val="000000"/>
      </w:rPr>
    </w:lvl>
    <w:lvl w:ilvl="1">
      <w:start w:val="1"/>
      <w:numFmt w:val="decimal"/>
      <w:lvlText w:val="%2"/>
      <w:lvlJc w:val="left"/>
      <w:pPr>
        <w:tabs>
          <w:tab w:val="num" w:pos="1134"/>
        </w:tabs>
        <w:ind w:left="1134" w:hanging="567"/>
      </w:pPr>
      <w:rPr>
        <w:rFonts w:cs="Times New Roman"/>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7">
    <w:nsid w:val="2D097FDD"/>
    <w:multiLevelType w:val="multilevel"/>
    <w:tmpl w:val="C008AECE"/>
    <w:name w:val="HeadingList"/>
    <w:lvl w:ilvl="0">
      <w:start w:val="1"/>
      <w:numFmt w:val="decimal"/>
      <w:lvlRestart w:val="0"/>
      <w:pStyle w:val="Heading1"/>
      <w:lvlText w:val="%1."/>
      <w:lvlJc w:val="left"/>
      <w:pPr>
        <w:tabs>
          <w:tab w:val="num" w:pos="567"/>
        </w:tabs>
        <w:ind w:left="567" w:hanging="567"/>
      </w:pPr>
      <w:rPr>
        <w:rFonts w:ascii="Calibri" w:hAnsi="Calibri" w:cs="Calibri" w:hint="default"/>
        <w:b w:val="0"/>
        <w:i w:val="0"/>
        <w:color w:val="342E82"/>
        <w:sz w:val="36"/>
      </w:rPr>
    </w:lvl>
    <w:lvl w:ilvl="1">
      <w:start w:val="1"/>
      <w:numFmt w:val="decimal"/>
      <w:pStyle w:val="Heading2"/>
      <w:lvlText w:val="%1.%2"/>
      <w:lvlJc w:val="left"/>
      <w:pPr>
        <w:tabs>
          <w:tab w:val="num" w:pos="6237"/>
        </w:tabs>
        <w:ind w:left="6237" w:hanging="567"/>
      </w:pPr>
      <w:rPr>
        <w:rFonts w:ascii="Calibri" w:hAnsi="Calibri" w:cs="Calibri" w:hint="default"/>
        <w:b w:val="0"/>
        <w:i w:val="0"/>
        <w:color w:val="342E82"/>
        <w:sz w:val="32"/>
      </w:rPr>
    </w:lvl>
    <w:lvl w:ilvl="2">
      <w:start w:val="1"/>
      <w:numFmt w:val="decimal"/>
      <w:pStyle w:val="Heading3"/>
      <w:lvlText w:val="%1.%2.%3"/>
      <w:lvlJc w:val="left"/>
      <w:pPr>
        <w:tabs>
          <w:tab w:val="num" w:pos="567"/>
        </w:tabs>
        <w:ind w:left="567" w:hanging="567"/>
      </w:pPr>
      <w:rPr>
        <w:rFonts w:ascii="Calibri" w:hAnsi="Calibri" w:cs="Calibri" w:hint="default"/>
        <w:b w:val="0"/>
        <w:i w:val="0"/>
        <w:color w:val="342E82"/>
        <w:sz w:val="28"/>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8">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19">
    <w:nsid w:val="3C857931"/>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0">
    <w:nsid w:val="418B22D4"/>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1">
    <w:nsid w:val="42B72EA2"/>
    <w:multiLevelType w:val="multilevel"/>
    <w:tmpl w:val="D474F93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2">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3">
    <w:nsid w:val="517124E0"/>
    <w:multiLevelType w:val="multilevel"/>
    <w:tmpl w:val="FEFA76DE"/>
    <w:lvl w:ilvl="0">
      <w:start w:val="1"/>
      <w:numFmt w:val="decimal"/>
      <w:lvlText w:val="%1."/>
      <w:lvlJc w:val="left"/>
      <w:pPr>
        <w:tabs>
          <w:tab w:val="num" w:pos="1345"/>
        </w:tabs>
        <w:ind w:left="1345" w:hanging="496"/>
      </w:pPr>
      <w:rPr>
        <w:rFonts w:cs="Times New Roman" w:hint="default"/>
      </w:rPr>
    </w:lvl>
    <w:lvl w:ilvl="1">
      <w:start w:val="1"/>
      <w:numFmt w:val="decimal"/>
      <w:lvlText w:val="%1.%2."/>
      <w:lvlJc w:val="left"/>
      <w:pPr>
        <w:tabs>
          <w:tab w:val="num" w:pos="1841"/>
        </w:tabs>
        <w:ind w:left="1841" w:hanging="496"/>
      </w:pPr>
      <w:rPr>
        <w:rFonts w:cs="Times New Roman" w:hint="default"/>
      </w:rPr>
    </w:lvl>
    <w:lvl w:ilvl="2">
      <w:start w:val="1"/>
      <w:numFmt w:val="decimal"/>
      <w:lvlText w:val="%1.%2.%3."/>
      <w:lvlJc w:val="left"/>
      <w:pPr>
        <w:tabs>
          <w:tab w:val="num" w:pos="2337"/>
        </w:tabs>
        <w:ind w:left="2337" w:hanging="496"/>
      </w:pPr>
      <w:rPr>
        <w:rFonts w:cs="Times New Roman" w:hint="default"/>
      </w:rPr>
    </w:lvl>
    <w:lvl w:ilvl="3">
      <w:start w:val="1"/>
      <w:numFmt w:val="decimal"/>
      <w:lvlText w:val="%4.%1.%2.%3."/>
      <w:lvlJc w:val="left"/>
      <w:pPr>
        <w:tabs>
          <w:tab w:val="num" w:pos="3583"/>
        </w:tabs>
        <w:ind w:left="3549" w:hanging="453"/>
      </w:pPr>
      <w:rPr>
        <w:rFonts w:cs="Times New Roman" w:hint="default"/>
      </w:rPr>
    </w:lvl>
    <w:lvl w:ilvl="4">
      <w:start w:val="1"/>
      <w:numFmt w:val="lowerLetter"/>
      <w:lvlText w:val="(%5)"/>
      <w:lvlJc w:val="left"/>
      <w:pPr>
        <w:tabs>
          <w:tab w:val="num" w:pos="2649"/>
        </w:tabs>
        <w:ind w:left="2649" w:hanging="360"/>
      </w:pPr>
      <w:rPr>
        <w:rFonts w:cs="Times New Roman" w:hint="default"/>
      </w:rPr>
    </w:lvl>
    <w:lvl w:ilvl="5">
      <w:start w:val="1"/>
      <w:numFmt w:val="lowerRoman"/>
      <w:lvlText w:val="(%6)"/>
      <w:lvlJc w:val="left"/>
      <w:pPr>
        <w:tabs>
          <w:tab w:val="num" w:pos="3009"/>
        </w:tabs>
        <w:ind w:left="3009" w:hanging="360"/>
      </w:pPr>
      <w:rPr>
        <w:rFonts w:cs="Times New Roman" w:hint="default"/>
      </w:rPr>
    </w:lvl>
    <w:lvl w:ilvl="6">
      <w:start w:val="1"/>
      <w:numFmt w:val="decimal"/>
      <w:lvlText w:val="%7."/>
      <w:lvlJc w:val="left"/>
      <w:pPr>
        <w:tabs>
          <w:tab w:val="num" w:pos="3369"/>
        </w:tabs>
        <w:ind w:left="3369" w:hanging="360"/>
      </w:pPr>
      <w:rPr>
        <w:rFonts w:cs="Times New Roman" w:hint="default"/>
      </w:rPr>
    </w:lvl>
    <w:lvl w:ilvl="7">
      <w:start w:val="1"/>
      <w:numFmt w:val="lowerLetter"/>
      <w:lvlText w:val="%8."/>
      <w:lvlJc w:val="left"/>
      <w:pPr>
        <w:tabs>
          <w:tab w:val="num" w:pos="3729"/>
        </w:tabs>
        <w:ind w:left="3729" w:hanging="360"/>
      </w:pPr>
      <w:rPr>
        <w:rFonts w:cs="Times New Roman" w:hint="default"/>
      </w:rPr>
    </w:lvl>
    <w:lvl w:ilvl="8">
      <w:start w:val="1"/>
      <w:numFmt w:val="lowerRoman"/>
      <w:lvlText w:val="%9."/>
      <w:lvlJc w:val="left"/>
      <w:pPr>
        <w:tabs>
          <w:tab w:val="num" w:pos="4089"/>
        </w:tabs>
        <w:ind w:left="4089" w:hanging="360"/>
      </w:pPr>
      <w:rPr>
        <w:rFonts w:cs="Times New Roman" w:hint="default"/>
      </w:rPr>
    </w:lvl>
  </w:abstractNum>
  <w:abstractNum w:abstractNumId="24">
    <w:nsid w:val="535357C1"/>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5">
    <w:nsid w:val="54034BFC"/>
    <w:multiLevelType w:val="multilevel"/>
    <w:tmpl w:val="05DC3D4E"/>
    <w:lvl w:ilvl="0">
      <w:start w:val="1"/>
      <w:numFmt w:val="decimal"/>
      <w:lvlText w:val="%1."/>
      <w:lvlJc w:val="left"/>
      <w:pPr>
        <w:tabs>
          <w:tab w:val="num" w:pos="567"/>
        </w:tabs>
        <w:ind w:left="567" w:hanging="567"/>
      </w:pPr>
      <w:rPr>
        <w:rFonts w:cs="Times New Roman"/>
        <w:i w:val="0"/>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555E4B97"/>
    <w:multiLevelType w:val="multilevel"/>
    <w:tmpl w:val="3BE8A474"/>
    <w:lvl w:ilvl="0">
      <w:start w:val="1"/>
      <w:numFmt w:val="decimal"/>
      <w:lvlText w:val="%1."/>
      <w:lvlJc w:val="left"/>
      <w:pPr>
        <w:tabs>
          <w:tab w:val="num" w:pos="1345"/>
        </w:tabs>
        <w:ind w:left="1345" w:hanging="496"/>
      </w:pPr>
      <w:rPr>
        <w:rFonts w:cs="Times New Roman" w:hint="default"/>
      </w:rPr>
    </w:lvl>
    <w:lvl w:ilvl="1">
      <w:start w:val="1"/>
      <w:numFmt w:val="decimal"/>
      <w:lvlText w:val="%1.%2."/>
      <w:lvlJc w:val="left"/>
      <w:pPr>
        <w:tabs>
          <w:tab w:val="num" w:pos="1841"/>
        </w:tabs>
        <w:ind w:left="1841" w:hanging="496"/>
      </w:pPr>
      <w:rPr>
        <w:rFonts w:cs="Times New Roman" w:hint="default"/>
      </w:rPr>
    </w:lvl>
    <w:lvl w:ilvl="2">
      <w:start w:val="1"/>
      <w:numFmt w:val="decimal"/>
      <w:lvlText w:val="%1.%2.%3."/>
      <w:lvlJc w:val="left"/>
      <w:pPr>
        <w:tabs>
          <w:tab w:val="num" w:pos="2337"/>
        </w:tabs>
        <w:ind w:left="2337" w:hanging="496"/>
      </w:pPr>
      <w:rPr>
        <w:rFonts w:cs="Times New Roman" w:hint="default"/>
      </w:rPr>
    </w:lvl>
    <w:lvl w:ilvl="3">
      <w:start w:val="1"/>
      <w:numFmt w:val="decimal"/>
      <w:lvlText w:val="%4.%1.%2.%3."/>
      <w:lvlJc w:val="left"/>
      <w:pPr>
        <w:tabs>
          <w:tab w:val="num" w:pos="2289"/>
        </w:tabs>
        <w:ind w:left="2289" w:hanging="360"/>
      </w:pPr>
      <w:rPr>
        <w:rFonts w:cs="Times New Roman" w:hint="default"/>
      </w:rPr>
    </w:lvl>
    <w:lvl w:ilvl="4">
      <w:start w:val="1"/>
      <w:numFmt w:val="lowerLetter"/>
      <w:lvlText w:val="(%5)"/>
      <w:lvlJc w:val="left"/>
      <w:pPr>
        <w:tabs>
          <w:tab w:val="num" w:pos="2649"/>
        </w:tabs>
        <w:ind w:left="2649" w:hanging="360"/>
      </w:pPr>
      <w:rPr>
        <w:rFonts w:cs="Times New Roman" w:hint="default"/>
      </w:rPr>
    </w:lvl>
    <w:lvl w:ilvl="5">
      <w:start w:val="1"/>
      <w:numFmt w:val="lowerRoman"/>
      <w:lvlText w:val="(%6)"/>
      <w:lvlJc w:val="left"/>
      <w:pPr>
        <w:tabs>
          <w:tab w:val="num" w:pos="3009"/>
        </w:tabs>
        <w:ind w:left="3009" w:hanging="360"/>
      </w:pPr>
      <w:rPr>
        <w:rFonts w:cs="Times New Roman" w:hint="default"/>
      </w:rPr>
    </w:lvl>
    <w:lvl w:ilvl="6">
      <w:start w:val="1"/>
      <w:numFmt w:val="decimal"/>
      <w:lvlText w:val="%7."/>
      <w:lvlJc w:val="left"/>
      <w:pPr>
        <w:tabs>
          <w:tab w:val="num" w:pos="3369"/>
        </w:tabs>
        <w:ind w:left="3369" w:hanging="360"/>
      </w:pPr>
      <w:rPr>
        <w:rFonts w:cs="Times New Roman" w:hint="default"/>
      </w:rPr>
    </w:lvl>
    <w:lvl w:ilvl="7">
      <w:start w:val="1"/>
      <w:numFmt w:val="lowerLetter"/>
      <w:lvlText w:val="%8."/>
      <w:lvlJc w:val="left"/>
      <w:pPr>
        <w:tabs>
          <w:tab w:val="num" w:pos="3729"/>
        </w:tabs>
        <w:ind w:left="3729" w:hanging="360"/>
      </w:pPr>
      <w:rPr>
        <w:rFonts w:cs="Times New Roman" w:hint="default"/>
      </w:rPr>
    </w:lvl>
    <w:lvl w:ilvl="8">
      <w:start w:val="1"/>
      <w:numFmt w:val="lowerRoman"/>
      <w:lvlText w:val="%9."/>
      <w:lvlJc w:val="left"/>
      <w:pPr>
        <w:tabs>
          <w:tab w:val="num" w:pos="4089"/>
        </w:tabs>
        <w:ind w:left="4089" w:hanging="360"/>
      </w:pPr>
      <w:rPr>
        <w:rFonts w:cs="Times New Roman" w:hint="default"/>
      </w:rPr>
    </w:lvl>
  </w:abstractNum>
  <w:abstractNum w:abstractNumId="27">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8">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9">
    <w:nsid w:val="65FB0D17"/>
    <w:multiLevelType w:val="singleLevel"/>
    <w:tmpl w:val="0C09000F"/>
    <w:lvl w:ilvl="0">
      <w:start w:val="1"/>
      <w:numFmt w:val="decimal"/>
      <w:lvlText w:val="%1."/>
      <w:lvlJc w:val="left"/>
      <w:pPr>
        <w:tabs>
          <w:tab w:val="num" w:pos="720"/>
        </w:tabs>
        <w:ind w:left="720" w:hanging="360"/>
      </w:pPr>
      <w:rPr>
        <w:rFonts w:cs="Times New Roman"/>
      </w:rPr>
    </w:lvl>
  </w:abstractNum>
  <w:abstractNum w:abstractNumId="30">
    <w:nsid w:val="78663746"/>
    <w:multiLevelType w:val="multilevel"/>
    <w:tmpl w:val="2DB61A66"/>
    <w:lvl w:ilvl="0">
      <w:start w:val="1"/>
      <w:numFmt w:val="bullet"/>
      <w:lvlText w:val="•"/>
      <w:lvlJc w:val="left"/>
      <w:pPr>
        <w:tabs>
          <w:tab w:val="num" w:pos="472"/>
        </w:tabs>
        <w:ind w:left="472" w:hanging="472"/>
      </w:pPr>
      <w:rPr>
        <w:rFonts w:ascii="Times New Roman" w:hAnsi="Times New Roman"/>
      </w:rPr>
    </w:lvl>
    <w:lvl w:ilvl="1">
      <w:start w:val="1"/>
      <w:numFmt w:val="bullet"/>
      <w:lvlText w:val="–"/>
      <w:lvlJc w:val="left"/>
      <w:pPr>
        <w:tabs>
          <w:tab w:val="num" w:pos="944"/>
        </w:tabs>
        <w:ind w:left="944" w:hanging="472"/>
      </w:pPr>
      <w:rPr>
        <w:rFonts w:ascii="Times New Roman" w:hAnsi="Times New Roman"/>
      </w:rPr>
    </w:lvl>
    <w:lvl w:ilvl="2">
      <w:start w:val="1"/>
      <w:numFmt w:val="bullet"/>
      <w:lvlText w:val=":"/>
      <w:lvlJc w:val="left"/>
      <w:pPr>
        <w:tabs>
          <w:tab w:val="num" w:pos="1416"/>
        </w:tabs>
        <w:ind w:left="1416" w:hanging="472"/>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FF06743"/>
    <w:multiLevelType w:val="hybridMultilevel"/>
    <w:tmpl w:val="94E46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8"/>
  </w:num>
  <w:num w:numId="4">
    <w:abstractNumId w:val="22"/>
  </w:num>
  <w:num w:numId="5">
    <w:abstractNumId w:val="12"/>
  </w:num>
  <w:num w:numId="6">
    <w:abstractNumId w:val="12"/>
  </w:num>
  <w:num w:numId="7">
    <w:abstractNumId w:val="12"/>
  </w:num>
  <w:num w:numId="8">
    <w:abstractNumId w:val="30"/>
  </w:num>
  <w:num w:numId="9">
    <w:abstractNumId w:val="27"/>
  </w:num>
  <w:num w:numId="10">
    <w:abstractNumId w:val="11"/>
  </w:num>
  <w:num w:numId="11">
    <w:abstractNumId w:val="2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3"/>
  </w:num>
  <w:num w:numId="24">
    <w:abstractNumId w:val="26"/>
  </w:num>
  <w:num w:numId="25">
    <w:abstractNumId w:val="14"/>
  </w:num>
  <w:num w:numId="26">
    <w:abstractNumId w:val="21"/>
  </w:num>
  <w:num w:numId="27">
    <w:abstractNumId w:val="10"/>
  </w:num>
  <w:num w:numId="28">
    <w:abstractNumId w:val="17"/>
  </w:num>
  <w:num w:numId="29">
    <w:abstractNumId w:val="31"/>
  </w:num>
  <w:num w:numId="30">
    <w:abstractNumId w:val="25"/>
  </w:num>
  <w:num w:numId="31">
    <w:abstractNumId w:val="13"/>
  </w:num>
  <w:num w:numId="32">
    <w:abstractNumId w:val="13"/>
  </w:num>
  <w:num w:numId="33">
    <w:abstractNumId w:val="17"/>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7"/>
  </w:num>
  <w:num w:numId="44">
    <w:abstractNumId w:val="17"/>
  </w:num>
  <w:num w:numId="45">
    <w:abstractNumId w:val="17"/>
  </w:num>
  <w:num w:numId="46">
    <w:abstractNumId w:val="15"/>
  </w:num>
  <w:num w:numId="47">
    <w:abstractNumId w:val="1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E97"/>
    <w:rsid w:val="00001044"/>
    <w:rsid w:val="000030CD"/>
    <w:rsid w:val="000044F2"/>
    <w:rsid w:val="00004F7D"/>
    <w:rsid w:val="00006F2C"/>
    <w:rsid w:val="00006F7E"/>
    <w:rsid w:val="00011A2C"/>
    <w:rsid w:val="00012FC2"/>
    <w:rsid w:val="0001352B"/>
    <w:rsid w:val="000138BB"/>
    <w:rsid w:val="00015FC0"/>
    <w:rsid w:val="0001671E"/>
    <w:rsid w:val="00017818"/>
    <w:rsid w:val="0001793C"/>
    <w:rsid w:val="000204E4"/>
    <w:rsid w:val="00022586"/>
    <w:rsid w:val="000235B9"/>
    <w:rsid w:val="00023FA9"/>
    <w:rsid w:val="000258D9"/>
    <w:rsid w:val="0002647C"/>
    <w:rsid w:val="00027AC1"/>
    <w:rsid w:val="00027B2A"/>
    <w:rsid w:val="000300CA"/>
    <w:rsid w:val="00034AC0"/>
    <w:rsid w:val="0003521B"/>
    <w:rsid w:val="00037937"/>
    <w:rsid w:val="00042570"/>
    <w:rsid w:val="0004481B"/>
    <w:rsid w:val="00046BF5"/>
    <w:rsid w:val="00053494"/>
    <w:rsid w:val="00055E53"/>
    <w:rsid w:val="00057460"/>
    <w:rsid w:val="00057D82"/>
    <w:rsid w:val="000622E6"/>
    <w:rsid w:val="0006491F"/>
    <w:rsid w:val="00064B97"/>
    <w:rsid w:val="00067241"/>
    <w:rsid w:val="00067A04"/>
    <w:rsid w:val="00067DD2"/>
    <w:rsid w:val="00070CE9"/>
    <w:rsid w:val="00076830"/>
    <w:rsid w:val="00080C05"/>
    <w:rsid w:val="00080C9A"/>
    <w:rsid w:val="00081E9D"/>
    <w:rsid w:val="0008203F"/>
    <w:rsid w:val="00082B43"/>
    <w:rsid w:val="00086EEE"/>
    <w:rsid w:val="00091511"/>
    <w:rsid w:val="000934A9"/>
    <w:rsid w:val="00094CEE"/>
    <w:rsid w:val="00095E07"/>
    <w:rsid w:val="000A1452"/>
    <w:rsid w:val="000A3885"/>
    <w:rsid w:val="000A52EC"/>
    <w:rsid w:val="000A771C"/>
    <w:rsid w:val="000A7CDC"/>
    <w:rsid w:val="000A7E8A"/>
    <w:rsid w:val="000B3DDD"/>
    <w:rsid w:val="000B6B6A"/>
    <w:rsid w:val="000C1AFB"/>
    <w:rsid w:val="000C2E98"/>
    <w:rsid w:val="000C491F"/>
    <w:rsid w:val="000C52F6"/>
    <w:rsid w:val="000C53DF"/>
    <w:rsid w:val="000C5A07"/>
    <w:rsid w:val="000C5FDD"/>
    <w:rsid w:val="000C713B"/>
    <w:rsid w:val="000C7A88"/>
    <w:rsid w:val="000D1282"/>
    <w:rsid w:val="000D172D"/>
    <w:rsid w:val="000D20CE"/>
    <w:rsid w:val="000D2F8B"/>
    <w:rsid w:val="000D7B08"/>
    <w:rsid w:val="000E7884"/>
    <w:rsid w:val="000E7DF9"/>
    <w:rsid w:val="000F0D3C"/>
    <w:rsid w:val="000F36EA"/>
    <w:rsid w:val="000F6FDA"/>
    <w:rsid w:val="001001D4"/>
    <w:rsid w:val="00104A69"/>
    <w:rsid w:val="00106CE3"/>
    <w:rsid w:val="0011148D"/>
    <w:rsid w:val="001120ED"/>
    <w:rsid w:val="00112B3C"/>
    <w:rsid w:val="00112F28"/>
    <w:rsid w:val="00113BCD"/>
    <w:rsid w:val="00114C52"/>
    <w:rsid w:val="001156DD"/>
    <w:rsid w:val="001159E6"/>
    <w:rsid w:val="00116D39"/>
    <w:rsid w:val="00116E83"/>
    <w:rsid w:val="00117DC5"/>
    <w:rsid w:val="00120168"/>
    <w:rsid w:val="00120EB4"/>
    <w:rsid w:val="001214C8"/>
    <w:rsid w:val="00121A51"/>
    <w:rsid w:val="0012237F"/>
    <w:rsid w:val="00123CB9"/>
    <w:rsid w:val="00124AFB"/>
    <w:rsid w:val="00124BF4"/>
    <w:rsid w:val="00127683"/>
    <w:rsid w:val="0013065D"/>
    <w:rsid w:val="00130F1E"/>
    <w:rsid w:val="0013212F"/>
    <w:rsid w:val="0013254E"/>
    <w:rsid w:val="001331F2"/>
    <w:rsid w:val="001340F0"/>
    <w:rsid w:val="00134B6D"/>
    <w:rsid w:val="00135A48"/>
    <w:rsid w:val="00137D56"/>
    <w:rsid w:val="00140CCF"/>
    <w:rsid w:val="0014181C"/>
    <w:rsid w:val="00141A3B"/>
    <w:rsid w:val="00141BB2"/>
    <w:rsid w:val="00143978"/>
    <w:rsid w:val="00144C82"/>
    <w:rsid w:val="00144F5F"/>
    <w:rsid w:val="00144FB9"/>
    <w:rsid w:val="001456F2"/>
    <w:rsid w:val="0015007D"/>
    <w:rsid w:val="001507F2"/>
    <w:rsid w:val="001523CE"/>
    <w:rsid w:val="00152DB3"/>
    <w:rsid w:val="001536A7"/>
    <w:rsid w:val="00153B09"/>
    <w:rsid w:val="0015448B"/>
    <w:rsid w:val="00155B01"/>
    <w:rsid w:val="001572F9"/>
    <w:rsid w:val="0016065D"/>
    <w:rsid w:val="001614FE"/>
    <w:rsid w:val="001618FB"/>
    <w:rsid w:val="00161B6A"/>
    <w:rsid w:val="001624C1"/>
    <w:rsid w:val="00163F01"/>
    <w:rsid w:val="001765DC"/>
    <w:rsid w:val="00176C62"/>
    <w:rsid w:val="00180B36"/>
    <w:rsid w:val="00181ABA"/>
    <w:rsid w:val="00182115"/>
    <w:rsid w:val="001825EE"/>
    <w:rsid w:val="001828D8"/>
    <w:rsid w:val="0018494C"/>
    <w:rsid w:val="0018655E"/>
    <w:rsid w:val="00186D75"/>
    <w:rsid w:val="00187DEF"/>
    <w:rsid w:val="00194D48"/>
    <w:rsid w:val="00195D22"/>
    <w:rsid w:val="00197369"/>
    <w:rsid w:val="001A3624"/>
    <w:rsid w:val="001A3675"/>
    <w:rsid w:val="001A4B41"/>
    <w:rsid w:val="001A5D8F"/>
    <w:rsid w:val="001A6A5A"/>
    <w:rsid w:val="001A73F8"/>
    <w:rsid w:val="001B0878"/>
    <w:rsid w:val="001B0938"/>
    <w:rsid w:val="001B1018"/>
    <w:rsid w:val="001B18D6"/>
    <w:rsid w:val="001C28EB"/>
    <w:rsid w:val="001C2B2A"/>
    <w:rsid w:val="001C2BE0"/>
    <w:rsid w:val="001C2FC0"/>
    <w:rsid w:val="001C5083"/>
    <w:rsid w:val="001D16C0"/>
    <w:rsid w:val="001D1975"/>
    <w:rsid w:val="001D23BC"/>
    <w:rsid w:val="001D250A"/>
    <w:rsid w:val="001D52CC"/>
    <w:rsid w:val="001D6478"/>
    <w:rsid w:val="001E0D8B"/>
    <w:rsid w:val="001E1E7C"/>
    <w:rsid w:val="001E2105"/>
    <w:rsid w:val="001E2AE0"/>
    <w:rsid w:val="001E66A1"/>
    <w:rsid w:val="001F1DAF"/>
    <w:rsid w:val="001F26AE"/>
    <w:rsid w:val="001F3B38"/>
    <w:rsid w:val="001F41BF"/>
    <w:rsid w:val="001F73C4"/>
    <w:rsid w:val="001F7ACC"/>
    <w:rsid w:val="001F7C34"/>
    <w:rsid w:val="00203E4C"/>
    <w:rsid w:val="002044B6"/>
    <w:rsid w:val="0020527C"/>
    <w:rsid w:val="0020563B"/>
    <w:rsid w:val="00205652"/>
    <w:rsid w:val="002078C2"/>
    <w:rsid w:val="00210987"/>
    <w:rsid w:val="00212891"/>
    <w:rsid w:val="0021595B"/>
    <w:rsid w:val="00215C6E"/>
    <w:rsid w:val="00216149"/>
    <w:rsid w:val="00216FC3"/>
    <w:rsid w:val="00221136"/>
    <w:rsid w:val="00221A65"/>
    <w:rsid w:val="00222869"/>
    <w:rsid w:val="00224A32"/>
    <w:rsid w:val="002252E9"/>
    <w:rsid w:val="002252F8"/>
    <w:rsid w:val="00225DE8"/>
    <w:rsid w:val="00225FF8"/>
    <w:rsid w:val="002265DB"/>
    <w:rsid w:val="002320B2"/>
    <w:rsid w:val="00234FC2"/>
    <w:rsid w:val="00235DE5"/>
    <w:rsid w:val="002371CE"/>
    <w:rsid w:val="0023774F"/>
    <w:rsid w:val="002402F9"/>
    <w:rsid w:val="00240AAC"/>
    <w:rsid w:val="0024250F"/>
    <w:rsid w:val="002430C1"/>
    <w:rsid w:val="002451F8"/>
    <w:rsid w:val="00245798"/>
    <w:rsid w:val="00245CA3"/>
    <w:rsid w:val="002465F4"/>
    <w:rsid w:val="00247618"/>
    <w:rsid w:val="002506AF"/>
    <w:rsid w:val="00250817"/>
    <w:rsid w:val="00253BA5"/>
    <w:rsid w:val="00254874"/>
    <w:rsid w:val="002574C0"/>
    <w:rsid w:val="00261B81"/>
    <w:rsid w:val="00261CC8"/>
    <w:rsid w:val="00266C28"/>
    <w:rsid w:val="0026717F"/>
    <w:rsid w:val="00267263"/>
    <w:rsid w:val="0027404E"/>
    <w:rsid w:val="0027410D"/>
    <w:rsid w:val="00280CF6"/>
    <w:rsid w:val="0028210D"/>
    <w:rsid w:val="00283DA9"/>
    <w:rsid w:val="002845BF"/>
    <w:rsid w:val="00284AEB"/>
    <w:rsid w:val="00285298"/>
    <w:rsid w:val="00286964"/>
    <w:rsid w:val="00290033"/>
    <w:rsid w:val="0029035E"/>
    <w:rsid w:val="00292870"/>
    <w:rsid w:val="00295B85"/>
    <w:rsid w:val="00295C7A"/>
    <w:rsid w:val="00296B08"/>
    <w:rsid w:val="00296BCE"/>
    <w:rsid w:val="00297A05"/>
    <w:rsid w:val="002A04A7"/>
    <w:rsid w:val="002A23C6"/>
    <w:rsid w:val="002A2C88"/>
    <w:rsid w:val="002A71ED"/>
    <w:rsid w:val="002A729B"/>
    <w:rsid w:val="002A7531"/>
    <w:rsid w:val="002B136D"/>
    <w:rsid w:val="002B2004"/>
    <w:rsid w:val="002B26AD"/>
    <w:rsid w:val="002B2779"/>
    <w:rsid w:val="002B734B"/>
    <w:rsid w:val="002C1230"/>
    <w:rsid w:val="002C1548"/>
    <w:rsid w:val="002C1E49"/>
    <w:rsid w:val="002C1E4E"/>
    <w:rsid w:val="002C2486"/>
    <w:rsid w:val="002C2751"/>
    <w:rsid w:val="002C6E2D"/>
    <w:rsid w:val="002D0F76"/>
    <w:rsid w:val="002D1FBC"/>
    <w:rsid w:val="002D38FF"/>
    <w:rsid w:val="002D3D5C"/>
    <w:rsid w:val="002D567D"/>
    <w:rsid w:val="002D6F6E"/>
    <w:rsid w:val="002D7375"/>
    <w:rsid w:val="002D76E9"/>
    <w:rsid w:val="002E0090"/>
    <w:rsid w:val="002E034E"/>
    <w:rsid w:val="002E0956"/>
    <w:rsid w:val="002E12CA"/>
    <w:rsid w:val="002E2C86"/>
    <w:rsid w:val="002E3E46"/>
    <w:rsid w:val="002E481B"/>
    <w:rsid w:val="002E4E54"/>
    <w:rsid w:val="002E512A"/>
    <w:rsid w:val="002E5645"/>
    <w:rsid w:val="002E5BB9"/>
    <w:rsid w:val="002E5C2D"/>
    <w:rsid w:val="002F0239"/>
    <w:rsid w:val="002F0543"/>
    <w:rsid w:val="002F099E"/>
    <w:rsid w:val="002F354C"/>
    <w:rsid w:val="002F3D8E"/>
    <w:rsid w:val="002F6E5F"/>
    <w:rsid w:val="00300CAF"/>
    <w:rsid w:val="0030626B"/>
    <w:rsid w:val="00306FFA"/>
    <w:rsid w:val="00307490"/>
    <w:rsid w:val="003079D4"/>
    <w:rsid w:val="00310050"/>
    <w:rsid w:val="00311A72"/>
    <w:rsid w:val="00312095"/>
    <w:rsid w:val="003139A6"/>
    <w:rsid w:val="003158D2"/>
    <w:rsid w:val="00316239"/>
    <w:rsid w:val="00320539"/>
    <w:rsid w:val="00320794"/>
    <w:rsid w:val="00323846"/>
    <w:rsid w:val="00326FCA"/>
    <w:rsid w:val="0033013B"/>
    <w:rsid w:val="0033172C"/>
    <w:rsid w:val="0033280D"/>
    <w:rsid w:val="00335E34"/>
    <w:rsid w:val="00335E71"/>
    <w:rsid w:val="00337829"/>
    <w:rsid w:val="003403AA"/>
    <w:rsid w:val="00340B89"/>
    <w:rsid w:val="00343D2D"/>
    <w:rsid w:val="003451D4"/>
    <w:rsid w:val="0034612C"/>
    <w:rsid w:val="00350E23"/>
    <w:rsid w:val="00351859"/>
    <w:rsid w:val="003529EF"/>
    <w:rsid w:val="00357E2F"/>
    <w:rsid w:val="003611B2"/>
    <w:rsid w:val="00365168"/>
    <w:rsid w:val="0036789C"/>
    <w:rsid w:val="00370299"/>
    <w:rsid w:val="003707CD"/>
    <w:rsid w:val="003708DE"/>
    <w:rsid w:val="00370D27"/>
    <w:rsid w:val="003717B0"/>
    <w:rsid w:val="003719FE"/>
    <w:rsid w:val="0037704A"/>
    <w:rsid w:val="00377349"/>
    <w:rsid w:val="00377C06"/>
    <w:rsid w:val="003811FF"/>
    <w:rsid w:val="003820AD"/>
    <w:rsid w:val="00382FDB"/>
    <w:rsid w:val="003843A3"/>
    <w:rsid w:val="003854D6"/>
    <w:rsid w:val="00392313"/>
    <w:rsid w:val="00397609"/>
    <w:rsid w:val="003A2A9B"/>
    <w:rsid w:val="003A3E14"/>
    <w:rsid w:val="003A4924"/>
    <w:rsid w:val="003A6941"/>
    <w:rsid w:val="003B436A"/>
    <w:rsid w:val="003B463B"/>
    <w:rsid w:val="003B4B38"/>
    <w:rsid w:val="003B4FCF"/>
    <w:rsid w:val="003B7552"/>
    <w:rsid w:val="003C1375"/>
    <w:rsid w:val="003C172A"/>
    <w:rsid w:val="003C22C3"/>
    <w:rsid w:val="003C42F1"/>
    <w:rsid w:val="003C6CD0"/>
    <w:rsid w:val="003C728D"/>
    <w:rsid w:val="003C7C87"/>
    <w:rsid w:val="003D053C"/>
    <w:rsid w:val="003D3FFE"/>
    <w:rsid w:val="003D7848"/>
    <w:rsid w:val="003E1926"/>
    <w:rsid w:val="003E458E"/>
    <w:rsid w:val="003E73C6"/>
    <w:rsid w:val="003E7E7F"/>
    <w:rsid w:val="003F099F"/>
    <w:rsid w:val="003F119B"/>
    <w:rsid w:val="003F13CA"/>
    <w:rsid w:val="003F4F33"/>
    <w:rsid w:val="004004AF"/>
    <w:rsid w:val="00403171"/>
    <w:rsid w:val="00405B30"/>
    <w:rsid w:val="00405BE0"/>
    <w:rsid w:val="00406A0F"/>
    <w:rsid w:val="004101F7"/>
    <w:rsid w:val="00413A54"/>
    <w:rsid w:val="004202DF"/>
    <w:rsid w:val="00421697"/>
    <w:rsid w:val="00422048"/>
    <w:rsid w:val="004230B1"/>
    <w:rsid w:val="00424024"/>
    <w:rsid w:val="004258E9"/>
    <w:rsid w:val="00425AA2"/>
    <w:rsid w:val="00425F43"/>
    <w:rsid w:val="00426122"/>
    <w:rsid w:val="0042652F"/>
    <w:rsid w:val="0043380E"/>
    <w:rsid w:val="00434C92"/>
    <w:rsid w:val="0043788A"/>
    <w:rsid w:val="00437E9B"/>
    <w:rsid w:val="004454EA"/>
    <w:rsid w:val="004506A7"/>
    <w:rsid w:val="004509E1"/>
    <w:rsid w:val="0045339B"/>
    <w:rsid w:val="00455D34"/>
    <w:rsid w:val="00460415"/>
    <w:rsid w:val="00460EBB"/>
    <w:rsid w:val="004617BE"/>
    <w:rsid w:val="00463959"/>
    <w:rsid w:val="00464B7D"/>
    <w:rsid w:val="00467E7F"/>
    <w:rsid w:val="004706E8"/>
    <w:rsid w:val="00470F18"/>
    <w:rsid w:val="0047120F"/>
    <w:rsid w:val="00472B3E"/>
    <w:rsid w:val="004732BF"/>
    <w:rsid w:val="004737DA"/>
    <w:rsid w:val="0047467A"/>
    <w:rsid w:val="00474A53"/>
    <w:rsid w:val="00474A6A"/>
    <w:rsid w:val="00474D55"/>
    <w:rsid w:val="00477196"/>
    <w:rsid w:val="004816C4"/>
    <w:rsid w:val="0048296F"/>
    <w:rsid w:val="0048307D"/>
    <w:rsid w:val="00483440"/>
    <w:rsid w:val="0048400E"/>
    <w:rsid w:val="004852A8"/>
    <w:rsid w:val="0048627B"/>
    <w:rsid w:val="004865E3"/>
    <w:rsid w:val="0048777E"/>
    <w:rsid w:val="0048784D"/>
    <w:rsid w:val="00487C54"/>
    <w:rsid w:val="00490C33"/>
    <w:rsid w:val="00490E2F"/>
    <w:rsid w:val="004911BA"/>
    <w:rsid w:val="004A120E"/>
    <w:rsid w:val="004A1773"/>
    <w:rsid w:val="004A206E"/>
    <w:rsid w:val="004A2E70"/>
    <w:rsid w:val="004A500C"/>
    <w:rsid w:val="004A505F"/>
    <w:rsid w:val="004A5534"/>
    <w:rsid w:val="004B2684"/>
    <w:rsid w:val="004B3980"/>
    <w:rsid w:val="004B52E5"/>
    <w:rsid w:val="004C0387"/>
    <w:rsid w:val="004C0536"/>
    <w:rsid w:val="004C0895"/>
    <w:rsid w:val="004C413D"/>
    <w:rsid w:val="004C5204"/>
    <w:rsid w:val="004C6CE8"/>
    <w:rsid w:val="004C75DA"/>
    <w:rsid w:val="004C7DFB"/>
    <w:rsid w:val="004D1FCD"/>
    <w:rsid w:val="004D4E49"/>
    <w:rsid w:val="004D5209"/>
    <w:rsid w:val="004D57F5"/>
    <w:rsid w:val="004D61FE"/>
    <w:rsid w:val="004E1327"/>
    <w:rsid w:val="004E3502"/>
    <w:rsid w:val="004E6CCC"/>
    <w:rsid w:val="004E7E9F"/>
    <w:rsid w:val="004F1308"/>
    <w:rsid w:val="004F2D0C"/>
    <w:rsid w:val="004F3E3B"/>
    <w:rsid w:val="004F7E2F"/>
    <w:rsid w:val="004F7E59"/>
    <w:rsid w:val="0050060F"/>
    <w:rsid w:val="00501C84"/>
    <w:rsid w:val="00502453"/>
    <w:rsid w:val="00503F7C"/>
    <w:rsid w:val="00503FB1"/>
    <w:rsid w:val="005042DD"/>
    <w:rsid w:val="00505676"/>
    <w:rsid w:val="0050700B"/>
    <w:rsid w:val="00513AFF"/>
    <w:rsid w:val="00515BEF"/>
    <w:rsid w:val="005165CC"/>
    <w:rsid w:val="00520687"/>
    <w:rsid w:val="00521CD9"/>
    <w:rsid w:val="005226C8"/>
    <w:rsid w:val="00522948"/>
    <w:rsid w:val="00527842"/>
    <w:rsid w:val="005317EF"/>
    <w:rsid w:val="005323FF"/>
    <w:rsid w:val="00532E77"/>
    <w:rsid w:val="005331DC"/>
    <w:rsid w:val="00534E50"/>
    <w:rsid w:val="00534FAA"/>
    <w:rsid w:val="00535A80"/>
    <w:rsid w:val="00537409"/>
    <w:rsid w:val="00537448"/>
    <w:rsid w:val="005374E0"/>
    <w:rsid w:val="00537ECB"/>
    <w:rsid w:val="00540496"/>
    <w:rsid w:val="00540CC5"/>
    <w:rsid w:val="005421D1"/>
    <w:rsid w:val="0054238B"/>
    <w:rsid w:val="005435FF"/>
    <w:rsid w:val="00546960"/>
    <w:rsid w:val="00547FFE"/>
    <w:rsid w:val="0055391D"/>
    <w:rsid w:val="00553B90"/>
    <w:rsid w:val="00554031"/>
    <w:rsid w:val="00555546"/>
    <w:rsid w:val="0055648D"/>
    <w:rsid w:val="005573B9"/>
    <w:rsid w:val="005617F4"/>
    <w:rsid w:val="005627BC"/>
    <w:rsid w:val="00562CF3"/>
    <w:rsid w:val="005633E0"/>
    <w:rsid w:val="0056693D"/>
    <w:rsid w:val="00566F8C"/>
    <w:rsid w:val="00567DF7"/>
    <w:rsid w:val="00571212"/>
    <w:rsid w:val="005738E8"/>
    <w:rsid w:val="005745B7"/>
    <w:rsid w:val="00577071"/>
    <w:rsid w:val="005774C0"/>
    <w:rsid w:val="00577713"/>
    <w:rsid w:val="005809FD"/>
    <w:rsid w:val="0058192E"/>
    <w:rsid w:val="00581C16"/>
    <w:rsid w:val="005821EB"/>
    <w:rsid w:val="00584862"/>
    <w:rsid w:val="005868D2"/>
    <w:rsid w:val="00587571"/>
    <w:rsid w:val="00587BB3"/>
    <w:rsid w:val="005915BB"/>
    <w:rsid w:val="00592097"/>
    <w:rsid w:val="005928B8"/>
    <w:rsid w:val="005954BE"/>
    <w:rsid w:val="00595AC2"/>
    <w:rsid w:val="00595F19"/>
    <w:rsid w:val="005A089C"/>
    <w:rsid w:val="005A3D75"/>
    <w:rsid w:val="005A3FE6"/>
    <w:rsid w:val="005A4254"/>
    <w:rsid w:val="005A794C"/>
    <w:rsid w:val="005B00BF"/>
    <w:rsid w:val="005B012F"/>
    <w:rsid w:val="005B01D8"/>
    <w:rsid w:val="005B0C4D"/>
    <w:rsid w:val="005B1DED"/>
    <w:rsid w:val="005B4A0A"/>
    <w:rsid w:val="005B5137"/>
    <w:rsid w:val="005B6361"/>
    <w:rsid w:val="005C0F91"/>
    <w:rsid w:val="005C147B"/>
    <w:rsid w:val="005C1DF3"/>
    <w:rsid w:val="005C25E4"/>
    <w:rsid w:val="005C3BAF"/>
    <w:rsid w:val="005C40EC"/>
    <w:rsid w:val="005C634B"/>
    <w:rsid w:val="005C70F6"/>
    <w:rsid w:val="005C7BFA"/>
    <w:rsid w:val="005D2F8B"/>
    <w:rsid w:val="005D5280"/>
    <w:rsid w:val="005D7698"/>
    <w:rsid w:val="005D7C9F"/>
    <w:rsid w:val="005E0E92"/>
    <w:rsid w:val="005E2E84"/>
    <w:rsid w:val="005E2F85"/>
    <w:rsid w:val="005E3196"/>
    <w:rsid w:val="005E4118"/>
    <w:rsid w:val="005E7244"/>
    <w:rsid w:val="005E76C1"/>
    <w:rsid w:val="005F2452"/>
    <w:rsid w:val="005F372C"/>
    <w:rsid w:val="005F59CA"/>
    <w:rsid w:val="005F67C5"/>
    <w:rsid w:val="005F78AF"/>
    <w:rsid w:val="0060044D"/>
    <w:rsid w:val="006009CD"/>
    <w:rsid w:val="006013A0"/>
    <w:rsid w:val="00601CF1"/>
    <w:rsid w:val="006046BE"/>
    <w:rsid w:val="006052CA"/>
    <w:rsid w:val="00610402"/>
    <w:rsid w:val="00610B5B"/>
    <w:rsid w:val="006168E9"/>
    <w:rsid w:val="0062046B"/>
    <w:rsid w:val="006220EC"/>
    <w:rsid w:val="00623E23"/>
    <w:rsid w:val="0062418E"/>
    <w:rsid w:val="00624B71"/>
    <w:rsid w:val="00626E5E"/>
    <w:rsid w:val="00626E74"/>
    <w:rsid w:val="0062761C"/>
    <w:rsid w:val="0063184C"/>
    <w:rsid w:val="006335D2"/>
    <w:rsid w:val="00633B0B"/>
    <w:rsid w:val="00634909"/>
    <w:rsid w:val="00636A8E"/>
    <w:rsid w:val="0063725C"/>
    <w:rsid w:val="006402CC"/>
    <w:rsid w:val="00641BDF"/>
    <w:rsid w:val="0064265B"/>
    <w:rsid w:val="00646232"/>
    <w:rsid w:val="0064660F"/>
    <w:rsid w:val="00646ACD"/>
    <w:rsid w:val="00646F9D"/>
    <w:rsid w:val="00647B87"/>
    <w:rsid w:val="00650174"/>
    <w:rsid w:val="0065186F"/>
    <w:rsid w:val="00651BB0"/>
    <w:rsid w:val="00653A40"/>
    <w:rsid w:val="00655A58"/>
    <w:rsid w:val="00660400"/>
    <w:rsid w:val="0066089E"/>
    <w:rsid w:val="00662017"/>
    <w:rsid w:val="00663557"/>
    <w:rsid w:val="00665922"/>
    <w:rsid w:val="00665B93"/>
    <w:rsid w:val="00666457"/>
    <w:rsid w:val="006677BC"/>
    <w:rsid w:val="006679FE"/>
    <w:rsid w:val="00667F8D"/>
    <w:rsid w:val="006728EC"/>
    <w:rsid w:val="006750BD"/>
    <w:rsid w:val="0067539D"/>
    <w:rsid w:val="00676FEA"/>
    <w:rsid w:val="0067717A"/>
    <w:rsid w:val="006773BA"/>
    <w:rsid w:val="00682652"/>
    <w:rsid w:val="00684310"/>
    <w:rsid w:val="0068651C"/>
    <w:rsid w:val="00687279"/>
    <w:rsid w:val="0069123D"/>
    <w:rsid w:val="00693051"/>
    <w:rsid w:val="006948D0"/>
    <w:rsid w:val="00694F77"/>
    <w:rsid w:val="006A03C9"/>
    <w:rsid w:val="006A1C8A"/>
    <w:rsid w:val="006A20E9"/>
    <w:rsid w:val="006A2D89"/>
    <w:rsid w:val="006A787E"/>
    <w:rsid w:val="006B02D2"/>
    <w:rsid w:val="006B0B8E"/>
    <w:rsid w:val="006B114A"/>
    <w:rsid w:val="006B1AE9"/>
    <w:rsid w:val="006B287D"/>
    <w:rsid w:val="006B4357"/>
    <w:rsid w:val="006B6D1B"/>
    <w:rsid w:val="006C41EE"/>
    <w:rsid w:val="006C5BFC"/>
    <w:rsid w:val="006C612B"/>
    <w:rsid w:val="006C77B7"/>
    <w:rsid w:val="006D1621"/>
    <w:rsid w:val="006D1750"/>
    <w:rsid w:val="006D2936"/>
    <w:rsid w:val="006D495F"/>
    <w:rsid w:val="006D57E7"/>
    <w:rsid w:val="006D60F6"/>
    <w:rsid w:val="006E0B57"/>
    <w:rsid w:val="006E2BC9"/>
    <w:rsid w:val="006E3F73"/>
    <w:rsid w:val="006E50EA"/>
    <w:rsid w:val="006E7429"/>
    <w:rsid w:val="006E7A75"/>
    <w:rsid w:val="006F0F73"/>
    <w:rsid w:val="006F1013"/>
    <w:rsid w:val="006F26E5"/>
    <w:rsid w:val="006F2964"/>
    <w:rsid w:val="00701D5C"/>
    <w:rsid w:val="00702319"/>
    <w:rsid w:val="00702FCA"/>
    <w:rsid w:val="007044DB"/>
    <w:rsid w:val="007046D8"/>
    <w:rsid w:val="00704E26"/>
    <w:rsid w:val="00710D38"/>
    <w:rsid w:val="0071135C"/>
    <w:rsid w:val="00713220"/>
    <w:rsid w:val="0071391F"/>
    <w:rsid w:val="00716419"/>
    <w:rsid w:val="0072019E"/>
    <w:rsid w:val="007210E1"/>
    <w:rsid w:val="00723930"/>
    <w:rsid w:val="0072430F"/>
    <w:rsid w:val="007257A3"/>
    <w:rsid w:val="007264C1"/>
    <w:rsid w:val="00727CB3"/>
    <w:rsid w:val="007329AE"/>
    <w:rsid w:val="00732DBA"/>
    <w:rsid w:val="00733E27"/>
    <w:rsid w:val="0073582F"/>
    <w:rsid w:val="0073584B"/>
    <w:rsid w:val="0073607D"/>
    <w:rsid w:val="00737153"/>
    <w:rsid w:val="00741718"/>
    <w:rsid w:val="00745A28"/>
    <w:rsid w:val="0074615B"/>
    <w:rsid w:val="007463DE"/>
    <w:rsid w:val="0074761D"/>
    <w:rsid w:val="00750298"/>
    <w:rsid w:val="007524B3"/>
    <w:rsid w:val="00753483"/>
    <w:rsid w:val="00754597"/>
    <w:rsid w:val="00755D0E"/>
    <w:rsid w:val="00757B05"/>
    <w:rsid w:val="00760886"/>
    <w:rsid w:val="00760E21"/>
    <w:rsid w:val="00763C15"/>
    <w:rsid w:val="00766403"/>
    <w:rsid w:val="00772A1B"/>
    <w:rsid w:val="007733F3"/>
    <w:rsid w:val="00774657"/>
    <w:rsid w:val="00774EB0"/>
    <w:rsid w:val="0077523B"/>
    <w:rsid w:val="00775D4B"/>
    <w:rsid w:val="007768E2"/>
    <w:rsid w:val="00782161"/>
    <w:rsid w:val="0078250A"/>
    <w:rsid w:val="00784385"/>
    <w:rsid w:val="00784777"/>
    <w:rsid w:val="0078768F"/>
    <w:rsid w:val="00791CAF"/>
    <w:rsid w:val="00791CB9"/>
    <w:rsid w:val="00794B0A"/>
    <w:rsid w:val="00795EE8"/>
    <w:rsid w:val="00797A83"/>
    <w:rsid w:val="007A10F7"/>
    <w:rsid w:val="007A17F0"/>
    <w:rsid w:val="007A247B"/>
    <w:rsid w:val="007A3C94"/>
    <w:rsid w:val="007A44AD"/>
    <w:rsid w:val="007A4DA1"/>
    <w:rsid w:val="007A611E"/>
    <w:rsid w:val="007A7B8A"/>
    <w:rsid w:val="007B277B"/>
    <w:rsid w:val="007B376E"/>
    <w:rsid w:val="007B5EBF"/>
    <w:rsid w:val="007B655D"/>
    <w:rsid w:val="007B7ED2"/>
    <w:rsid w:val="007C0194"/>
    <w:rsid w:val="007C2061"/>
    <w:rsid w:val="007C2D78"/>
    <w:rsid w:val="007C3632"/>
    <w:rsid w:val="007D0328"/>
    <w:rsid w:val="007D042B"/>
    <w:rsid w:val="007D2A9B"/>
    <w:rsid w:val="007D703F"/>
    <w:rsid w:val="007D77F0"/>
    <w:rsid w:val="007E0F88"/>
    <w:rsid w:val="007E1BE8"/>
    <w:rsid w:val="007E2F0F"/>
    <w:rsid w:val="007E6111"/>
    <w:rsid w:val="007E6F67"/>
    <w:rsid w:val="007E6F85"/>
    <w:rsid w:val="007F02A8"/>
    <w:rsid w:val="007F092F"/>
    <w:rsid w:val="007F1303"/>
    <w:rsid w:val="007F3966"/>
    <w:rsid w:val="007F757F"/>
    <w:rsid w:val="007F759D"/>
    <w:rsid w:val="007F7C8E"/>
    <w:rsid w:val="007F7D1C"/>
    <w:rsid w:val="0080007C"/>
    <w:rsid w:val="00800DF6"/>
    <w:rsid w:val="00803FBD"/>
    <w:rsid w:val="00804464"/>
    <w:rsid w:val="0080477D"/>
    <w:rsid w:val="008051FB"/>
    <w:rsid w:val="008056EE"/>
    <w:rsid w:val="008116E0"/>
    <w:rsid w:val="0081354A"/>
    <w:rsid w:val="0081462A"/>
    <w:rsid w:val="00815210"/>
    <w:rsid w:val="008213A4"/>
    <w:rsid w:val="00822E0E"/>
    <w:rsid w:val="00823A87"/>
    <w:rsid w:val="00826DB3"/>
    <w:rsid w:val="00830C09"/>
    <w:rsid w:val="00835178"/>
    <w:rsid w:val="008376D9"/>
    <w:rsid w:val="00842DE8"/>
    <w:rsid w:val="00843B09"/>
    <w:rsid w:val="0084462F"/>
    <w:rsid w:val="00846BE4"/>
    <w:rsid w:val="0084762C"/>
    <w:rsid w:val="00850E89"/>
    <w:rsid w:val="00851EFD"/>
    <w:rsid w:val="008521E1"/>
    <w:rsid w:val="00854D36"/>
    <w:rsid w:val="00854E0F"/>
    <w:rsid w:val="008560C2"/>
    <w:rsid w:val="0085634D"/>
    <w:rsid w:val="0085743B"/>
    <w:rsid w:val="008610E9"/>
    <w:rsid w:val="00861116"/>
    <w:rsid w:val="0086179C"/>
    <w:rsid w:val="0086243B"/>
    <w:rsid w:val="00863237"/>
    <w:rsid w:val="008636B0"/>
    <w:rsid w:val="00865655"/>
    <w:rsid w:val="00865BE2"/>
    <w:rsid w:val="00867FFC"/>
    <w:rsid w:val="00872AF1"/>
    <w:rsid w:val="008732C5"/>
    <w:rsid w:val="008805E6"/>
    <w:rsid w:val="00880873"/>
    <w:rsid w:val="0088152F"/>
    <w:rsid w:val="008821F0"/>
    <w:rsid w:val="00882640"/>
    <w:rsid w:val="00882E70"/>
    <w:rsid w:val="008870E7"/>
    <w:rsid w:val="00891401"/>
    <w:rsid w:val="00892054"/>
    <w:rsid w:val="00893DAC"/>
    <w:rsid w:val="0089637F"/>
    <w:rsid w:val="00896DF6"/>
    <w:rsid w:val="008A0B85"/>
    <w:rsid w:val="008A1F88"/>
    <w:rsid w:val="008A3D39"/>
    <w:rsid w:val="008A51F4"/>
    <w:rsid w:val="008B021D"/>
    <w:rsid w:val="008B10AA"/>
    <w:rsid w:val="008B31FD"/>
    <w:rsid w:val="008B384D"/>
    <w:rsid w:val="008B3895"/>
    <w:rsid w:val="008B38A7"/>
    <w:rsid w:val="008B39A1"/>
    <w:rsid w:val="008B4088"/>
    <w:rsid w:val="008B48E4"/>
    <w:rsid w:val="008B7173"/>
    <w:rsid w:val="008B7ADE"/>
    <w:rsid w:val="008C0D38"/>
    <w:rsid w:val="008C2DFB"/>
    <w:rsid w:val="008C482B"/>
    <w:rsid w:val="008C4AD1"/>
    <w:rsid w:val="008C63C7"/>
    <w:rsid w:val="008C7774"/>
    <w:rsid w:val="008D1E20"/>
    <w:rsid w:val="008D2E8B"/>
    <w:rsid w:val="008D310D"/>
    <w:rsid w:val="008D6825"/>
    <w:rsid w:val="008E01C9"/>
    <w:rsid w:val="008E0722"/>
    <w:rsid w:val="008E3B84"/>
    <w:rsid w:val="008E6336"/>
    <w:rsid w:val="008E6897"/>
    <w:rsid w:val="008F3E3B"/>
    <w:rsid w:val="008F5EE9"/>
    <w:rsid w:val="0090426E"/>
    <w:rsid w:val="00904B77"/>
    <w:rsid w:val="00907A18"/>
    <w:rsid w:val="009119A0"/>
    <w:rsid w:val="00913650"/>
    <w:rsid w:val="009153BD"/>
    <w:rsid w:val="0091542D"/>
    <w:rsid w:val="00916EB4"/>
    <w:rsid w:val="00927603"/>
    <w:rsid w:val="00927873"/>
    <w:rsid w:val="00931894"/>
    <w:rsid w:val="00935526"/>
    <w:rsid w:val="0093555F"/>
    <w:rsid w:val="00937AAA"/>
    <w:rsid w:val="009416B3"/>
    <w:rsid w:val="00942526"/>
    <w:rsid w:val="00942911"/>
    <w:rsid w:val="00942EE6"/>
    <w:rsid w:val="00946C4A"/>
    <w:rsid w:val="00947F4C"/>
    <w:rsid w:val="0095095D"/>
    <w:rsid w:val="00950EAD"/>
    <w:rsid w:val="00952A26"/>
    <w:rsid w:val="00952CAC"/>
    <w:rsid w:val="00952E33"/>
    <w:rsid w:val="00952F45"/>
    <w:rsid w:val="00954167"/>
    <w:rsid w:val="00954AA2"/>
    <w:rsid w:val="00957509"/>
    <w:rsid w:val="009653DB"/>
    <w:rsid w:val="0097029C"/>
    <w:rsid w:val="00972FEA"/>
    <w:rsid w:val="00980914"/>
    <w:rsid w:val="00980D7A"/>
    <w:rsid w:val="00981231"/>
    <w:rsid w:val="00981A14"/>
    <w:rsid w:val="0098305B"/>
    <w:rsid w:val="00986356"/>
    <w:rsid w:val="00987FBB"/>
    <w:rsid w:val="00990728"/>
    <w:rsid w:val="00991E39"/>
    <w:rsid w:val="00992E5E"/>
    <w:rsid w:val="009937B5"/>
    <w:rsid w:val="0099430D"/>
    <w:rsid w:val="009944D8"/>
    <w:rsid w:val="009978F3"/>
    <w:rsid w:val="009A04E2"/>
    <w:rsid w:val="009A09A2"/>
    <w:rsid w:val="009A1BFB"/>
    <w:rsid w:val="009A2B76"/>
    <w:rsid w:val="009A30A3"/>
    <w:rsid w:val="009A44D9"/>
    <w:rsid w:val="009A7008"/>
    <w:rsid w:val="009B0ECC"/>
    <w:rsid w:val="009B129D"/>
    <w:rsid w:val="009B2300"/>
    <w:rsid w:val="009B28CD"/>
    <w:rsid w:val="009B3F68"/>
    <w:rsid w:val="009B449A"/>
    <w:rsid w:val="009B5B07"/>
    <w:rsid w:val="009B5B5B"/>
    <w:rsid w:val="009B650A"/>
    <w:rsid w:val="009B6566"/>
    <w:rsid w:val="009B727F"/>
    <w:rsid w:val="009B7F73"/>
    <w:rsid w:val="009C1361"/>
    <w:rsid w:val="009C495E"/>
    <w:rsid w:val="009C64CD"/>
    <w:rsid w:val="009D070A"/>
    <w:rsid w:val="009D0BC5"/>
    <w:rsid w:val="009D38B2"/>
    <w:rsid w:val="009D3F72"/>
    <w:rsid w:val="009D44D2"/>
    <w:rsid w:val="009D59DD"/>
    <w:rsid w:val="009E0C7D"/>
    <w:rsid w:val="009E163C"/>
    <w:rsid w:val="009E2605"/>
    <w:rsid w:val="009E42F8"/>
    <w:rsid w:val="009E5823"/>
    <w:rsid w:val="009E6E77"/>
    <w:rsid w:val="009E79C7"/>
    <w:rsid w:val="009F150D"/>
    <w:rsid w:val="009F20B5"/>
    <w:rsid w:val="009F2A8B"/>
    <w:rsid w:val="009F2E04"/>
    <w:rsid w:val="009F5BA7"/>
    <w:rsid w:val="009F62ED"/>
    <w:rsid w:val="009F6FD4"/>
    <w:rsid w:val="00A00A09"/>
    <w:rsid w:val="00A01951"/>
    <w:rsid w:val="00A060BB"/>
    <w:rsid w:val="00A06A2E"/>
    <w:rsid w:val="00A077F9"/>
    <w:rsid w:val="00A12AB4"/>
    <w:rsid w:val="00A13789"/>
    <w:rsid w:val="00A15708"/>
    <w:rsid w:val="00A15A28"/>
    <w:rsid w:val="00A16C23"/>
    <w:rsid w:val="00A17F84"/>
    <w:rsid w:val="00A216BE"/>
    <w:rsid w:val="00A23070"/>
    <w:rsid w:val="00A24C90"/>
    <w:rsid w:val="00A25331"/>
    <w:rsid w:val="00A311D2"/>
    <w:rsid w:val="00A34061"/>
    <w:rsid w:val="00A34CE0"/>
    <w:rsid w:val="00A35CE8"/>
    <w:rsid w:val="00A36393"/>
    <w:rsid w:val="00A37DD1"/>
    <w:rsid w:val="00A40853"/>
    <w:rsid w:val="00A41B68"/>
    <w:rsid w:val="00A41B81"/>
    <w:rsid w:val="00A421C7"/>
    <w:rsid w:val="00A42962"/>
    <w:rsid w:val="00A43356"/>
    <w:rsid w:val="00A434AB"/>
    <w:rsid w:val="00A44F9C"/>
    <w:rsid w:val="00A45C53"/>
    <w:rsid w:val="00A45D7D"/>
    <w:rsid w:val="00A47450"/>
    <w:rsid w:val="00A47F63"/>
    <w:rsid w:val="00A51C72"/>
    <w:rsid w:val="00A52576"/>
    <w:rsid w:val="00A52BA4"/>
    <w:rsid w:val="00A545C6"/>
    <w:rsid w:val="00A5496B"/>
    <w:rsid w:val="00A55A61"/>
    <w:rsid w:val="00A561A8"/>
    <w:rsid w:val="00A562C9"/>
    <w:rsid w:val="00A578D0"/>
    <w:rsid w:val="00A617E1"/>
    <w:rsid w:val="00A61D6E"/>
    <w:rsid w:val="00A66CDC"/>
    <w:rsid w:val="00A70D38"/>
    <w:rsid w:val="00A73C8F"/>
    <w:rsid w:val="00A73D12"/>
    <w:rsid w:val="00A762D1"/>
    <w:rsid w:val="00A77143"/>
    <w:rsid w:val="00A779FB"/>
    <w:rsid w:val="00A81186"/>
    <w:rsid w:val="00A82D1B"/>
    <w:rsid w:val="00A851C6"/>
    <w:rsid w:val="00A86DA4"/>
    <w:rsid w:val="00A876F3"/>
    <w:rsid w:val="00A9187A"/>
    <w:rsid w:val="00A92532"/>
    <w:rsid w:val="00A925BB"/>
    <w:rsid w:val="00A92E4A"/>
    <w:rsid w:val="00A93BFB"/>
    <w:rsid w:val="00A95EF4"/>
    <w:rsid w:val="00A9676A"/>
    <w:rsid w:val="00AA4878"/>
    <w:rsid w:val="00AB04B7"/>
    <w:rsid w:val="00AB245B"/>
    <w:rsid w:val="00AB64FB"/>
    <w:rsid w:val="00AC0C4E"/>
    <w:rsid w:val="00AC2624"/>
    <w:rsid w:val="00AC282D"/>
    <w:rsid w:val="00AC300D"/>
    <w:rsid w:val="00AC3E73"/>
    <w:rsid w:val="00AC4072"/>
    <w:rsid w:val="00AC41AE"/>
    <w:rsid w:val="00AC7D33"/>
    <w:rsid w:val="00AD12FD"/>
    <w:rsid w:val="00AD4FA4"/>
    <w:rsid w:val="00AD500C"/>
    <w:rsid w:val="00AD777A"/>
    <w:rsid w:val="00AD79AC"/>
    <w:rsid w:val="00AE023F"/>
    <w:rsid w:val="00AE2189"/>
    <w:rsid w:val="00AE2AF0"/>
    <w:rsid w:val="00AE31D3"/>
    <w:rsid w:val="00AE34A5"/>
    <w:rsid w:val="00AE5500"/>
    <w:rsid w:val="00AE5530"/>
    <w:rsid w:val="00AE5C6C"/>
    <w:rsid w:val="00AE5D04"/>
    <w:rsid w:val="00AE7776"/>
    <w:rsid w:val="00AF0B5A"/>
    <w:rsid w:val="00AF1222"/>
    <w:rsid w:val="00AF1272"/>
    <w:rsid w:val="00AF1C0D"/>
    <w:rsid w:val="00AF1F66"/>
    <w:rsid w:val="00AF2959"/>
    <w:rsid w:val="00AF5098"/>
    <w:rsid w:val="00AF543E"/>
    <w:rsid w:val="00B0025B"/>
    <w:rsid w:val="00B00545"/>
    <w:rsid w:val="00B00B44"/>
    <w:rsid w:val="00B017E5"/>
    <w:rsid w:val="00B0353A"/>
    <w:rsid w:val="00B03E58"/>
    <w:rsid w:val="00B063A6"/>
    <w:rsid w:val="00B06B20"/>
    <w:rsid w:val="00B070F6"/>
    <w:rsid w:val="00B10451"/>
    <w:rsid w:val="00B117F6"/>
    <w:rsid w:val="00B16853"/>
    <w:rsid w:val="00B174B9"/>
    <w:rsid w:val="00B17691"/>
    <w:rsid w:val="00B17815"/>
    <w:rsid w:val="00B201C1"/>
    <w:rsid w:val="00B2300B"/>
    <w:rsid w:val="00B2418A"/>
    <w:rsid w:val="00B25DC5"/>
    <w:rsid w:val="00B26E90"/>
    <w:rsid w:val="00B30C15"/>
    <w:rsid w:val="00B319FC"/>
    <w:rsid w:val="00B33EDD"/>
    <w:rsid w:val="00B347D9"/>
    <w:rsid w:val="00B353BD"/>
    <w:rsid w:val="00B35820"/>
    <w:rsid w:val="00B4040A"/>
    <w:rsid w:val="00B41201"/>
    <w:rsid w:val="00B43BDC"/>
    <w:rsid w:val="00B47D60"/>
    <w:rsid w:val="00B53DF5"/>
    <w:rsid w:val="00B54744"/>
    <w:rsid w:val="00B55811"/>
    <w:rsid w:val="00B57C3D"/>
    <w:rsid w:val="00B60E6E"/>
    <w:rsid w:val="00B60F0C"/>
    <w:rsid w:val="00B641AB"/>
    <w:rsid w:val="00B64F74"/>
    <w:rsid w:val="00B667B0"/>
    <w:rsid w:val="00B67E3E"/>
    <w:rsid w:val="00B738DC"/>
    <w:rsid w:val="00B76F28"/>
    <w:rsid w:val="00B7700C"/>
    <w:rsid w:val="00B77407"/>
    <w:rsid w:val="00B8157F"/>
    <w:rsid w:val="00B81FEA"/>
    <w:rsid w:val="00B838DD"/>
    <w:rsid w:val="00B83FC3"/>
    <w:rsid w:val="00B8425F"/>
    <w:rsid w:val="00B84981"/>
    <w:rsid w:val="00B90AD9"/>
    <w:rsid w:val="00B95F58"/>
    <w:rsid w:val="00B973FA"/>
    <w:rsid w:val="00BA5AED"/>
    <w:rsid w:val="00BA7176"/>
    <w:rsid w:val="00BB43FD"/>
    <w:rsid w:val="00BC231A"/>
    <w:rsid w:val="00BC3DD3"/>
    <w:rsid w:val="00BC4A63"/>
    <w:rsid w:val="00BC5445"/>
    <w:rsid w:val="00BC65A7"/>
    <w:rsid w:val="00BC6894"/>
    <w:rsid w:val="00BC71EC"/>
    <w:rsid w:val="00BD1309"/>
    <w:rsid w:val="00BD159D"/>
    <w:rsid w:val="00BD1BFC"/>
    <w:rsid w:val="00BD344E"/>
    <w:rsid w:val="00BD3582"/>
    <w:rsid w:val="00BD3B3B"/>
    <w:rsid w:val="00BE0F2F"/>
    <w:rsid w:val="00BE126B"/>
    <w:rsid w:val="00BE2D0D"/>
    <w:rsid w:val="00BE36BB"/>
    <w:rsid w:val="00BE4B68"/>
    <w:rsid w:val="00BE6E50"/>
    <w:rsid w:val="00BE76A6"/>
    <w:rsid w:val="00BF0C09"/>
    <w:rsid w:val="00BF239E"/>
    <w:rsid w:val="00BF255A"/>
    <w:rsid w:val="00BF2EAF"/>
    <w:rsid w:val="00BF44A1"/>
    <w:rsid w:val="00C03A72"/>
    <w:rsid w:val="00C04626"/>
    <w:rsid w:val="00C0706E"/>
    <w:rsid w:val="00C13428"/>
    <w:rsid w:val="00C14791"/>
    <w:rsid w:val="00C1615B"/>
    <w:rsid w:val="00C230C6"/>
    <w:rsid w:val="00C31740"/>
    <w:rsid w:val="00C340C2"/>
    <w:rsid w:val="00C34573"/>
    <w:rsid w:val="00C36BA6"/>
    <w:rsid w:val="00C3756A"/>
    <w:rsid w:val="00C37DBB"/>
    <w:rsid w:val="00C43B54"/>
    <w:rsid w:val="00C44AE2"/>
    <w:rsid w:val="00C466C6"/>
    <w:rsid w:val="00C46EA4"/>
    <w:rsid w:val="00C47609"/>
    <w:rsid w:val="00C5577C"/>
    <w:rsid w:val="00C56305"/>
    <w:rsid w:val="00C57ACE"/>
    <w:rsid w:val="00C60A5C"/>
    <w:rsid w:val="00C6305B"/>
    <w:rsid w:val="00C751B4"/>
    <w:rsid w:val="00C75932"/>
    <w:rsid w:val="00C8171A"/>
    <w:rsid w:val="00C81A8A"/>
    <w:rsid w:val="00C8246F"/>
    <w:rsid w:val="00C857E1"/>
    <w:rsid w:val="00C869C5"/>
    <w:rsid w:val="00C8731E"/>
    <w:rsid w:val="00C87A79"/>
    <w:rsid w:val="00C95AA0"/>
    <w:rsid w:val="00CA1EF2"/>
    <w:rsid w:val="00CA2588"/>
    <w:rsid w:val="00CA447F"/>
    <w:rsid w:val="00CA49B1"/>
    <w:rsid w:val="00CA4F8F"/>
    <w:rsid w:val="00CA5B81"/>
    <w:rsid w:val="00CA68E5"/>
    <w:rsid w:val="00CA7556"/>
    <w:rsid w:val="00CB0A8D"/>
    <w:rsid w:val="00CB3F73"/>
    <w:rsid w:val="00CB404A"/>
    <w:rsid w:val="00CB5299"/>
    <w:rsid w:val="00CB656F"/>
    <w:rsid w:val="00CB7479"/>
    <w:rsid w:val="00CC37EC"/>
    <w:rsid w:val="00CC403A"/>
    <w:rsid w:val="00CC40CD"/>
    <w:rsid w:val="00CC7BB1"/>
    <w:rsid w:val="00CD1CE4"/>
    <w:rsid w:val="00CD2462"/>
    <w:rsid w:val="00CD3677"/>
    <w:rsid w:val="00CD560A"/>
    <w:rsid w:val="00CD782F"/>
    <w:rsid w:val="00CE0B02"/>
    <w:rsid w:val="00CE1667"/>
    <w:rsid w:val="00CE3A8B"/>
    <w:rsid w:val="00CE642C"/>
    <w:rsid w:val="00CE71FD"/>
    <w:rsid w:val="00CF04B3"/>
    <w:rsid w:val="00CF12D5"/>
    <w:rsid w:val="00CF2175"/>
    <w:rsid w:val="00CF2215"/>
    <w:rsid w:val="00CF42BD"/>
    <w:rsid w:val="00CF7DFE"/>
    <w:rsid w:val="00D03180"/>
    <w:rsid w:val="00D06F83"/>
    <w:rsid w:val="00D12F13"/>
    <w:rsid w:val="00D13F6E"/>
    <w:rsid w:val="00D15D18"/>
    <w:rsid w:val="00D2292A"/>
    <w:rsid w:val="00D237CC"/>
    <w:rsid w:val="00D262E9"/>
    <w:rsid w:val="00D32BB3"/>
    <w:rsid w:val="00D35127"/>
    <w:rsid w:val="00D35F17"/>
    <w:rsid w:val="00D3750D"/>
    <w:rsid w:val="00D379FF"/>
    <w:rsid w:val="00D421FC"/>
    <w:rsid w:val="00D42BD0"/>
    <w:rsid w:val="00D44FC5"/>
    <w:rsid w:val="00D46CE6"/>
    <w:rsid w:val="00D47C3B"/>
    <w:rsid w:val="00D509B7"/>
    <w:rsid w:val="00D5456E"/>
    <w:rsid w:val="00D54602"/>
    <w:rsid w:val="00D6042D"/>
    <w:rsid w:val="00D61D12"/>
    <w:rsid w:val="00D633C3"/>
    <w:rsid w:val="00D641D6"/>
    <w:rsid w:val="00D6521D"/>
    <w:rsid w:val="00D66A3C"/>
    <w:rsid w:val="00D67600"/>
    <w:rsid w:val="00D70A14"/>
    <w:rsid w:val="00D713A0"/>
    <w:rsid w:val="00D73313"/>
    <w:rsid w:val="00D82618"/>
    <w:rsid w:val="00D84250"/>
    <w:rsid w:val="00D87D21"/>
    <w:rsid w:val="00D908BB"/>
    <w:rsid w:val="00D9280E"/>
    <w:rsid w:val="00D92E9A"/>
    <w:rsid w:val="00D9333B"/>
    <w:rsid w:val="00D93C10"/>
    <w:rsid w:val="00D95E43"/>
    <w:rsid w:val="00D968F7"/>
    <w:rsid w:val="00D96ACF"/>
    <w:rsid w:val="00D9730D"/>
    <w:rsid w:val="00DA07EE"/>
    <w:rsid w:val="00DA189A"/>
    <w:rsid w:val="00DA19D4"/>
    <w:rsid w:val="00DA28D7"/>
    <w:rsid w:val="00DA5581"/>
    <w:rsid w:val="00DA5A95"/>
    <w:rsid w:val="00DA61FA"/>
    <w:rsid w:val="00DB037C"/>
    <w:rsid w:val="00DB08F9"/>
    <w:rsid w:val="00DB148E"/>
    <w:rsid w:val="00DB2D3D"/>
    <w:rsid w:val="00DB3128"/>
    <w:rsid w:val="00DB33C5"/>
    <w:rsid w:val="00DB3CA9"/>
    <w:rsid w:val="00DB4A8D"/>
    <w:rsid w:val="00DB53E6"/>
    <w:rsid w:val="00DB5EA2"/>
    <w:rsid w:val="00DB62C9"/>
    <w:rsid w:val="00DB654B"/>
    <w:rsid w:val="00DC0707"/>
    <w:rsid w:val="00DC2B19"/>
    <w:rsid w:val="00DC504E"/>
    <w:rsid w:val="00DC5536"/>
    <w:rsid w:val="00DC7BA5"/>
    <w:rsid w:val="00DD555A"/>
    <w:rsid w:val="00DE0A42"/>
    <w:rsid w:val="00DE4647"/>
    <w:rsid w:val="00DE4DE5"/>
    <w:rsid w:val="00DE564A"/>
    <w:rsid w:val="00DE56E1"/>
    <w:rsid w:val="00DF0C9A"/>
    <w:rsid w:val="00DF3C51"/>
    <w:rsid w:val="00DF552A"/>
    <w:rsid w:val="00DF65AF"/>
    <w:rsid w:val="00DF7033"/>
    <w:rsid w:val="00DF71FC"/>
    <w:rsid w:val="00E008FB"/>
    <w:rsid w:val="00E02900"/>
    <w:rsid w:val="00E03239"/>
    <w:rsid w:val="00E03460"/>
    <w:rsid w:val="00E036E7"/>
    <w:rsid w:val="00E049FE"/>
    <w:rsid w:val="00E0564E"/>
    <w:rsid w:val="00E07913"/>
    <w:rsid w:val="00E124BD"/>
    <w:rsid w:val="00E12D72"/>
    <w:rsid w:val="00E130F5"/>
    <w:rsid w:val="00E1402D"/>
    <w:rsid w:val="00E15F7C"/>
    <w:rsid w:val="00E15F8B"/>
    <w:rsid w:val="00E161EE"/>
    <w:rsid w:val="00E16E02"/>
    <w:rsid w:val="00E211B3"/>
    <w:rsid w:val="00E21AA2"/>
    <w:rsid w:val="00E2616E"/>
    <w:rsid w:val="00E27B87"/>
    <w:rsid w:val="00E27C5B"/>
    <w:rsid w:val="00E371E2"/>
    <w:rsid w:val="00E4035A"/>
    <w:rsid w:val="00E40E43"/>
    <w:rsid w:val="00E42617"/>
    <w:rsid w:val="00E437F2"/>
    <w:rsid w:val="00E474D7"/>
    <w:rsid w:val="00E514D5"/>
    <w:rsid w:val="00E51E8D"/>
    <w:rsid w:val="00E541F6"/>
    <w:rsid w:val="00E54C2B"/>
    <w:rsid w:val="00E556D7"/>
    <w:rsid w:val="00E60227"/>
    <w:rsid w:val="00E607BF"/>
    <w:rsid w:val="00E60B5C"/>
    <w:rsid w:val="00E61B2F"/>
    <w:rsid w:val="00E61F95"/>
    <w:rsid w:val="00E621E5"/>
    <w:rsid w:val="00E62C9F"/>
    <w:rsid w:val="00E63746"/>
    <w:rsid w:val="00E6678A"/>
    <w:rsid w:val="00E71599"/>
    <w:rsid w:val="00E71862"/>
    <w:rsid w:val="00E7243B"/>
    <w:rsid w:val="00E72477"/>
    <w:rsid w:val="00E748B2"/>
    <w:rsid w:val="00E74C84"/>
    <w:rsid w:val="00E75820"/>
    <w:rsid w:val="00E75E0D"/>
    <w:rsid w:val="00E77E5E"/>
    <w:rsid w:val="00E80141"/>
    <w:rsid w:val="00E808BF"/>
    <w:rsid w:val="00E81726"/>
    <w:rsid w:val="00E82C69"/>
    <w:rsid w:val="00E82CFF"/>
    <w:rsid w:val="00E83FB5"/>
    <w:rsid w:val="00E841A7"/>
    <w:rsid w:val="00E84947"/>
    <w:rsid w:val="00E853F5"/>
    <w:rsid w:val="00E92C2F"/>
    <w:rsid w:val="00E92C3D"/>
    <w:rsid w:val="00E92F87"/>
    <w:rsid w:val="00E93D9E"/>
    <w:rsid w:val="00E951E0"/>
    <w:rsid w:val="00E96AA2"/>
    <w:rsid w:val="00E97329"/>
    <w:rsid w:val="00E976B5"/>
    <w:rsid w:val="00E977C7"/>
    <w:rsid w:val="00EA0A42"/>
    <w:rsid w:val="00EA2E97"/>
    <w:rsid w:val="00EA349C"/>
    <w:rsid w:val="00EA5254"/>
    <w:rsid w:val="00EA5B01"/>
    <w:rsid w:val="00EA5D6E"/>
    <w:rsid w:val="00EA62EF"/>
    <w:rsid w:val="00EA63F5"/>
    <w:rsid w:val="00EA72BD"/>
    <w:rsid w:val="00EB131B"/>
    <w:rsid w:val="00EB2A00"/>
    <w:rsid w:val="00EB3B66"/>
    <w:rsid w:val="00EB4AE0"/>
    <w:rsid w:val="00EB4C42"/>
    <w:rsid w:val="00EB687C"/>
    <w:rsid w:val="00EB6D48"/>
    <w:rsid w:val="00EC01BA"/>
    <w:rsid w:val="00EC0665"/>
    <w:rsid w:val="00EC301A"/>
    <w:rsid w:val="00EC3EE5"/>
    <w:rsid w:val="00EC4945"/>
    <w:rsid w:val="00EC5939"/>
    <w:rsid w:val="00ED112F"/>
    <w:rsid w:val="00ED538E"/>
    <w:rsid w:val="00ED7DEA"/>
    <w:rsid w:val="00EE06DF"/>
    <w:rsid w:val="00EE75FA"/>
    <w:rsid w:val="00EE776C"/>
    <w:rsid w:val="00EF25BA"/>
    <w:rsid w:val="00EF305E"/>
    <w:rsid w:val="00EF5060"/>
    <w:rsid w:val="00EF5874"/>
    <w:rsid w:val="00EF61C1"/>
    <w:rsid w:val="00F00680"/>
    <w:rsid w:val="00F01BDD"/>
    <w:rsid w:val="00F042B1"/>
    <w:rsid w:val="00F04850"/>
    <w:rsid w:val="00F05175"/>
    <w:rsid w:val="00F06B60"/>
    <w:rsid w:val="00F11EC1"/>
    <w:rsid w:val="00F15624"/>
    <w:rsid w:val="00F20A6C"/>
    <w:rsid w:val="00F22027"/>
    <w:rsid w:val="00F23AEE"/>
    <w:rsid w:val="00F23F3D"/>
    <w:rsid w:val="00F27AA3"/>
    <w:rsid w:val="00F305DB"/>
    <w:rsid w:val="00F32427"/>
    <w:rsid w:val="00F33A90"/>
    <w:rsid w:val="00F33E76"/>
    <w:rsid w:val="00F361D7"/>
    <w:rsid w:val="00F37C50"/>
    <w:rsid w:val="00F41342"/>
    <w:rsid w:val="00F41C32"/>
    <w:rsid w:val="00F42CFB"/>
    <w:rsid w:val="00F4332C"/>
    <w:rsid w:val="00F47720"/>
    <w:rsid w:val="00F521CB"/>
    <w:rsid w:val="00F54AB9"/>
    <w:rsid w:val="00F60253"/>
    <w:rsid w:val="00F60F05"/>
    <w:rsid w:val="00F61E24"/>
    <w:rsid w:val="00F62C33"/>
    <w:rsid w:val="00F64307"/>
    <w:rsid w:val="00F70B1E"/>
    <w:rsid w:val="00F71A27"/>
    <w:rsid w:val="00F73032"/>
    <w:rsid w:val="00F75313"/>
    <w:rsid w:val="00F76C7E"/>
    <w:rsid w:val="00F902E0"/>
    <w:rsid w:val="00F908C3"/>
    <w:rsid w:val="00F949C9"/>
    <w:rsid w:val="00F94E03"/>
    <w:rsid w:val="00F95371"/>
    <w:rsid w:val="00F95580"/>
    <w:rsid w:val="00F96CDD"/>
    <w:rsid w:val="00FA4E16"/>
    <w:rsid w:val="00FA563E"/>
    <w:rsid w:val="00FA6378"/>
    <w:rsid w:val="00FA6B7B"/>
    <w:rsid w:val="00FA765E"/>
    <w:rsid w:val="00FB7989"/>
    <w:rsid w:val="00FC13D0"/>
    <w:rsid w:val="00FC21C3"/>
    <w:rsid w:val="00FC2A5E"/>
    <w:rsid w:val="00FC2C18"/>
    <w:rsid w:val="00FC2E4C"/>
    <w:rsid w:val="00FC3B5D"/>
    <w:rsid w:val="00FC628D"/>
    <w:rsid w:val="00FD084B"/>
    <w:rsid w:val="00FD0A25"/>
    <w:rsid w:val="00FD31CE"/>
    <w:rsid w:val="00FD4B9B"/>
    <w:rsid w:val="00FD6BF2"/>
    <w:rsid w:val="00FE0E32"/>
    <w:rsid w:val="00FE1003"/>
    <w:rsid w:val="00FE1D38"/>
    <w:rsid w:val="00FE3CB3"/>
    <w:rsid w:val="00FE6E70"/>
    <w:rsid w:val="00FF37FD"/>
    <w:rsid w:val="00FF4D1E"/>
    <w:rsid w:val="00FF4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4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5B7"/>
    <w:pPr>
      <w:spacing w:after="240" w:line="280" w:lineRule="exact"/>
      <w:jc w:val="both"/>
    </w:pPr>
    <w:rPr>
      <w:rFonts w:ascii="Book Antiqua" w:hAnsi="Book Antiqua"/>
      <w:color w:val="000000"/>
      <w:szCs w:val="20"/>
    </w:rPr>
  </w:style>
  <w:style w:type="paragraph" w:styleId="Heading1">
    <w:name w:val="heading 1"/>
    <w:basedOn w:val="HeadingBase"/>
    <w:next w:val="Normal"/>
    <w:link w:val="Heading1Char"/>
    <w:uiPriority w:val="99"/>
    <w:qFormat/>
    <w:rsid w:val="00D3750D"/>
    <w:pPr>
      <w:numPr>
        <w:numId w:val="28"/>
      </w:numPr>
      <w:spacing w:before="720" w:after="360"/>
      <w:outlineLvl w:val="0"/>
    </w:pPr>
    <w:rPr>
      <w:rFonts w:cs="Arial"/>
      <w:bCs/>
      <w:smallCaps/>
      <w:kern w:val="32"/>
      <w:sz w:val="36"/>
      <w:szCs w:val="36"/>
    </w:rPr>
  </w:style>
  <w:style w:type="paragraph" w:styleId="Heading2">
    <w:name w:val="heading 2"/>
    <w:basedOn w:val="HeadingBase"/>
    <w:next w:val="Normal"/>
    <w:link w:val="Heading2Char"/>
    <w:uiPriority w:val="99"/>
    <w:qFormat/>
    <w:rsid w:val="00D3750D"/>
    <w:pPr>
      <w:numPr>
        <w:ilvl w:val="1"/>
        <w:numId w:val="28"/>
      </w:numPr>
      <w:spacing w:before="360" w:after="180"/>
      <w:outlineLvl w:val="1"/>
    </w:pPr>
    <w:rPr>
      <w:rFonts w:cs="Arial"/>
      <w:bCs/>
      <w:iCs/>
      <w:smallCaps/>
      <w:sz w:val="28"/>
      <w:szCs w:val="28"/>
    </w:rPr>
  </w:style>
  <w:style w:type="paragraph" w:styleId="Heading3">
    <w:name w:val="heading 3"/>
    <w:basedOn w:val="HeadingBase"/>
    <w:next w:val="Normal"/>
    <w:link w:val="Heading3Char"/>
    <w:uiPriority w:val="99"/>
    <w:qFormat/>
    <w:rsid w:val="0033013B"/>
    <w:pPr>
      <w:numPr>
        <w:ilvl w:val="2"/>
        <w:numId w:val="28"/>
      </w:numPr>
      <w:spacing w:before="240" w:after="120"/>
      <w:outlineLvl w:val="2"/>
    </w:pPr>
    <w:rPr>
      <w:rFonts w:cs="Arial"/>
      <w:bCs/>
      <w:sz w:val="28"/>
      <w:szCs w:val="26"/>
    </w:rPr>
  </w:style>
  <w:style w:type="paragraph" w:styleId="Heading4">
    <w:name w:val="heading 4"/>
    <w:basedOn w:val="HeadingBase"/>
    <w:next w:val="Normal"/>
    <w:link w:val="Heading4Char"/>
    <w:uiPriority w:val="99"/>
    <w:qFormat/>
    <w:rsid w:val="00B347D9"/>
    <w:pPr>
      <w:spacing w:before="120" w:after="240"/>
      <w:outlineLvl w:val="3"/>
    </w:pPr>
    <w:rPr>
      <w:b/>
      <w:bCs/>
      <w:sz w:val="26"/>
      <w:szCs w:val="22"/>
    </w:rPr>
  </w:style>
  <w:style w:type="paragraph" w:styleId="Heading5">
    <w:name w:val="heading 5"/>
    <w:basedOn w:val="HeadingBase"/>
    <w:next w:val="Normal"/>
    <w:link w:val="Heading5Char"/>
    <w:uiPriority w:val="99"/>
    <w:qFormat/>
    <w:rsid w:val="00B347D9"/>
    <w:pPr>
      <w:spacing w:after="120"/>
      <w:outlineLvl w:val="4"/>
    </w:pPr>
    <w:rPr>
      <w:b/>
      <w:bCs/>
      <w:iCs/>
      <w:sz w:val="24"/>
    </w:rPr>
  </w:style>
  <w:style w:type="paragraph" w:styleId="Heading6">
    <w:name w:val="heading 6"/>
    <w:basedOn w:val="HeadingBase"/>
    <w:next w:val="Normal"/>
    <w:link w:val="Heading6Char"/>
    <w:uiPriority w:val="99"/>
    <w:qFormat/>
    <w:rsid w:val="00B347D9"/>
    <w:pPr>
      <w:spacing w:after="120"/>
      <w:outlineLvl w:val="5"/>
    </w:pPr>
    <w:rPr>
      <w:bCs/>
      <w:sz w:val="22"/>
      <w:szCs w:val="22"/>
    </w:rPr>
  </w:style>
  <w:style w:type="paragraph" w:styleId="Heading7">
    <w:name w:val="heading 7"/>
    <w:basedOn w:val="HeadingBase"/>
    <w:next w:val="Normal"/>
    <w:link w:val="Heading7Char"/>
    <w:uiPriority w:val="99"/>
    <w:qFormat/>
    <w:rsid w:val="00A16C23"/>
    <w:pPr>
      <w:spacing w:after="120"/>
      <w:outlineLvl w:val="6"/>
    </w:pPr>
    <w:rPr>
      <w:szCs w:val="24"/>
    </w:rPr>
  </w:style>
  <w:style w:type="paragraph" w:styleId="Heading8">
    <w:name w:val="heading 8"/>
    <w:basedOn w:val="HeadingBase"/>
    <w:next w:val="Normal"/>
    <w:link w:val="Heading8Char"/>
    <w:uiPriority w:val="99"/>
    <w:qFormat/>
    <w:rsid w:val="00942526"/>
    <w:pPr>
      <w:spacing w:before="60" w:after="60"/>
      <w:jc w:val="center"/>
      <w:outlineLvl w:val="7"/>
    </w:pPr>
    <w:rPr>
      <w:iCs/>
      <w:smallCaps/>
      <w:sz w:val="22"/>
      <w:szCs w:val="24"/>
    </w:rPr>
  </w:style>
  <w:style w:type="paragraph" w:styleId="Heading9">
    <w:name w:val="heading 9"/>
    <w:basedOn w:val="HeadingBase"/>
    <w:next w:val="Normal"/>
    <w:link w:val="Heading9Char"/>
    <w:uiPriority w:val="99"/>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Arial"/>
      <w:bCs/>
      <w:smallCaps/>
      <w:color w:val="342E82"/>
      <w:kern w:val="32"/>
      <w:sz w:val="36"/>
      <w:szCs w:val="36"/>
    </w:rPr>
  </w:style>
  <w:style w:type="character" w:customStyle="1" w:styleId="Heading2Char">
    <w:name w:val="Heading 2 Char"/>
    <w:basedOn w:val="DefaultParagraphFont"/>
    <w:link w:val="Heading2"/>
    <w:uiPriority w:val="99"/>
    <w:locked/>
    <w:rPr>
      <w:rFonts w:ascii="Calibri" w:hAnsi="Calibri" w:cs="Arial"/>
      <w:bCs/>
      <w:iCs/>
      <w:smallCaps/>
      <w:color w:val="342E82"/>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locked/>
    <w:rsid w:val="00421697"/>
    <w:rPr>
      <w:rFonts w:ascii="Arial" w:hAnsi="Arial" w:cs="Times New Roman"/>
      <w:b/>
      <w:bCs/>
      <w:color w:val="342E82"/>
      <w:sz w:val="22"/>
      <w:szCs w:val="22"/>
      <w:lang w:val="en-AU" w:eastAsia="en-AU" w:bidi="ar-SA"/>
    </w:rPr>
  </w:style>
  <w:style w:type="character" w:customStyle="1" w:styleId="Heading5Char">
    <w:name w:val="Heading 5 Char"/>
    <w:basedOn w:val="DefaultParagraphFont"/>
    <w:link w:val="Heading5"/>
    <w:uiPriority w:val="99"/>
    <w:locked/>
    <w:rsid w:val="00421697"/>
    <w:rPr>
      <w:rFonts w:ascii="Arial" w:hAnsi="Arial" w:cs="Times New Roman"/>
      <w:b/>
      <w:bCs/>
      <w:iCs/>
      <w:color w:val="342E82"/>
      <w:sz w:val="24"/>
      <w:lang w:val="en-AU" w:eastAsia="en-AU" w:bidi="ar-SA"/>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character" w:customStyle="1" w:styleId="Heading7Char">
    <w:name w:val="Heading 7 Char"/>
    <w:basedOn w:val="DefaultParagraphFont"/>
    <w:link w:val="Heading7"/>
    <w:uiPriority w:val="99"/>
    <w:semiHidden/>
    <w:locke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Pr>
      <w:rFonts w:ascii="Cambria" w:hAnsi="Cambria" w:cs="Times New Roman"/>
      <w:color w:val="000000"/>
    </w:rPr>
  </w:style>
  <w:style w:type="paragraph" w:styleId="BalloonText">
    <w:name w:val="Balloon Text"/>
    <w:basedOn w:val="Normal"/>
    <w:link w:val="BalloonTextChar"/>
    <w:uiPriority w:val="99"/>
    <w:semiHidden/>
    <w:rsid w:val="005E76C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color w:val="000000"/>
      <w:sz w:val="2"/>
    </w:rPr>
  </w:style>
  <w:style w:type="paragraph" w:customStyle="1" w:styleId="SingleParagraph">
    <w:name w:val="Single Paragraph"/>
    <w:basedOn w:val="Normal"/>
    <w:link w:val="SingleParagraphChar"/>
    <w:uiPriority w:val="99"/>
    <w:rsid w:val="00A16C23"/>
    <w:pPr>
      <w:spacing w:after="0"/>
    </w:pPr>
  </w:style>
  <w:style w:type="character" w:styleId="Hyperlink">
    <w:name w:val="Hyperlink"/>
    <w:basedOn w:val="DefaultParagraphFont"/>
    <w:uiPriority w:val="99"/>
    <w:rsid w:val="00A16C23"/>
    <w:rPr>
      <w:rFonts w:cs="Times New Roman"/>
      <w:color w:val="auto"/>
      <w:u w:val="none"/>
    </w:rPr>
  </w:style>
  <w:style w:type="character" w:customStyle="1" w:styleId="BoldandItalic">
    <w:name w:val="Bold and Italic"/>
    <w:basedOn w:val="DefaultParagraphFont"/>
    <w:uiPriority w:val="99"/>
    <w:rsid w:val="00D3750D"/>
    <w:rPr>
      <w:rFonts w:ascii="Calibri" w:hAnsi="Calibri" w:cs="Times New Roman"/>
      <w:b/>
      <w:i/>
    </w:rPr>
  </w:style>
  <w:style w:type="table" w:styleId="TableGrid">
    <w:name w:val="Table Grid"/>
    <w:basedOn w:val="TableNormal"/>
    <w:uiPriority w:val="99"/>
    <w:rsid w:val="00A16C23"/>
    <w:pPr>
      <w:spacing w:after="240" w:line="260" w:lineRule="exact"/>
      <w:jc w:val="both"/>
    </w:pPr>
    <w:rPr>
      <w:sz w:val="20"/>
      <w:szCs w:val="20"/>
    </w:r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uiPriority w:val="99"/>
    <w:rsid w:val="00882640"/>
    <w:pPr>
      <w:spacing w:before="40" w:after="40" w:line="240" w:lineRule="auto"/>
    </w:pPr>
    <w:rPr>
      <w:b/>
      <w:color w:val="342E82"/>
      <w:sz w:val="16"/>
    </w:rPr>
  </w:style>
  <w:style w:type="paragraph" w:styleId="FootnoteText">
    <w:name w:val="footnote text"/>
    <w:basedOn w:val="Normal"/>
    <w:link w:val="FootnoteTextChar"/>
    <w:uiPriority w:val="99"/>
    <w:rsid w:val="00A16C23"/>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semiHidden/>
    <w:locked/>
    <w:rPr>
      <w:rFonts w:ascii="Book Antiqua" w:hAnsi="Book Antiqua" w:cs="Times New Roman"/>
      <w:color w:val="000000"/>
      <w:sz w:val="20"/>
      <w:szCs w:val="20"/>
    </w:rPr>
  </w:style>
  <w:style w:type="paragraph" w:customStyle="1" w:styleId="Bullet">
    <w:name w:val="Bullet"/>
    <w:basedOn w:val="Normal"/>
    <w:uiPriority w:val="99"/>
    <w:rsid w:val="00CC40CD"/>
    <w:pPr>
      <w:numPr>
        <w:numId w:val="1"/>
      </w:numPr>
    </w:pPr>
  </w:style>
  <w:style w:type="paragraph" w:customStyle="1" w:styleId="Dash">
    <w:name w:val="Dash"/>
    <w:basedOn w:val="Normal"/>
    <w:uiPriority w:val="99"/>
    <w:rsid w:val="00CC40CD"/>
    <w:pPr>
      <w:numPr>
        <w:ilvl w:val="1"/>
        <w:numId w:val="1"/>
      </w:numPr>
      <w:tabs>
        <w:tab w:val="clear" w:pos="1134"/>
        <w:tab w:val="num" w:pos="360"/>
      </w:tabs>
      <w:ind w:left="1361" w:hanging="397"/>
    </w:pPr>
  </w:style>
  <w:style w:type="paragraph" w:customStyle="1" w:styleId="DoubleDot">
    <w:name w:val="Double Dot"/>
    <w:basedOn w:val="Normal"/>
    <w:uiPriority w:val="99"/>
    <w:rsid w:val="00CC40CD"/>
    <w:pPr>
      <w:numPr>
        <w:ilvl w:val="2"/>
        <w:numId w:val="1"/>
      </w:numPr>
      <w:tabs>
        <w:tab w:val="clear" w:pos="1700"/>
        <w:tab w:val="num" w:pos="360"/>
      </w:tabs>
      <w:ind w:left="1758" w:hanging="397"/>
    </w:pPr>
  </w:style>
  <w:style w:type="paragraph" w:customStyle="1" w:styleId="OutlineNumbered1">
    <w:name w:val="Outline Numbered 1"/>
    <w:basedOn w:val="Normal"/>
    <w:link w:val="OutlineNumbered1Char"/>
    <w:rsid w:val="004C7DFB"/>
    <w:pPr>
      <w:numPr>
        <w:numId w:val="2"/>
      </w:numPr>
      <w:tabs>
        <w:tab w:val="left" w:pos="454"/>
      </w:tabs>
    </w:pPr>
  </w:style>
  <w:style w:type="paragraph" w:customStyle="1" w:styleId="OutlineNumbered2">
    <w:name w:val="Outline Numbered 2"/>
    <w:basedOn w:val="Normal"/>
    <w:rsid w:val="00E07913"/>
    <w:pPr>
      <w:numPr>
        <w:ilvl w:val="1"/>
        <w:numId w:val="2"/>
      </w:numPr>
    </w:pPr>
  </w:style>
  <w:style w:type="paragraph" w:customStyle="1" w:styleId="OutlineNumbered3">
    <w:name w:val="Outline Numbered 3"/>
    <w:basedOn w:val="Normal"/>
    <w:rsid w:val="00E07913"/>
    <w:pPr>
      <w:numPr>
        <w:ilvl w:val="2"/>
        <w:numId w:val="2"/>
      </w:numPr>
    </w:pPr>
  </w:style>
  <w:style w:type="paragraph" w:customStyle="1" w:styleId="AlphaParagraph">
    <w:name w:val="Alpha Paragraph"/>
    <w:basedOn w:val="Normal"/>
    <w:uiPriority w:val="99"/>
    <w:rsid w:val="00A16C23"/>
    <w:pPr>
      <w:numPr>
        <w:numId w:val="3"/>
      </w:numPr>
    </w:pPr>
  </w:style>
  <w:style w:type="paragraph" w:customStyle="1" w:styleId="HeadingBase">
    <w:name w:val="Heading Base"/>
    <w:next w:val="Normal"/>
    <w:uiPriority w:val="99"/>
    <w:rsid w:val="00D3750D"/>
    <w:pPr>
      <w:keepNext/>
    </w:pPr>
    <w:rPr>
      <w:rFonts w:ascii="Calibri" w:hAnsi="Calibri"/>
      <w:color w:val="342E82"/>
      <w:sz w:val="20"/>
      <w:szCs w:val="20"/>
    </w:rPr>
  </w:style>
  <w:style w:type="paragraph" w:customStyle="1" w:styleId="AppendixHeading">
    <w:name w:val="Appendix Heading"/>
    <w:basedOn w:val="HeadingBase"/>
    <w:next w:val="Normal"/>
    <w:uiPriority w:val="99"/>
    <w:rsid w:val="00D3750D"/>
    <w:pPr>
      <w:spacing w:before="720" w:after="360"/>
      <w:outlineLvl w:val="0"/>
    </w:pPr>
    <w:rPr>
      <w:b/>
      <w:smallCaps/>
      <w:sz w:val="36"/>
      <w:szCs w:val="36"/>
    </w:rPr>
  </w:style>
  <w:style w:type="character" w:customStyle="1" w:styleId="Bold">
    <w:name w:val="Bold"/>
    <w:basedOn w:val="DefaultParagraphFont"/>
    <w:uiPriority w:val="99"/>
    <w:rsid w:val="00A16C23"/>
    <w:rPr>
      <w:rFonts w:cs="Times New Roman"/>
      <w:b/>
    </w:rPr>
  </w:style>
  <w:style w:type="paragraph" w:customStyle="1" w:styleId="BoxHeading">
    <w:name w:val="Box Heading"/>
    <w:basedOn w:val="HeadingBase"/>
    <w:next w:val="BoxText"/>
    <w:uiPriority w:val="99"/>
    <w:rsid w:val="005745B7"/>
    <w:pPr>
      <w:spacing w:before="240" w:after="120"/>
    </w:pPr>
    <w:rPr>
      <w:rFonts w:ascii="Century Gothic" w:hAnsi="Century Gothic"/>
      <w:b/>
      <w:sz w:val="22"/>
    </w:rPr>
  </w:style>
  <w:style w:type="paragraph" w:customStyle="1" w:styleId="BoxTextBase">
    <w:name w:val="Box Text Base"/>
    <w:basedOn w:val="Normal"/>
    <w:uiPriority w:val="99"/>
    <w:rsid w:val="00D03180"/>
  </w:style>
  <w:style w:type="paragraph" w:customStyle="1" w:styleId="ChartandTableFootnoteAlpha">
    <w:name w:val="Chart and Table Footnote Alpha"/>
    <w:uiPriority w:val="99"/>
    <w:rsid w:val="00A16C23"/>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uiPriority w:val="99"/>
    <w:rsid w:val="00A16C23"/>
    <w:pPr>
      <w:jc w:val="center"/>
    </w:pPr>
  </w:style>
  <w:style w:type="paragraph" w:customStyle="1" w:styleId="ChartMainHeading">
    <w:name w:val="Chart Main Heading"/>
    <w:basedOn w:val="HeadingBase"/>
    <w:next w:val="ChartGraphic"/>
    <w:uiPriority w:val="99"/>
    <w:rsid w:val="00A16C23"/>
    <w:pPr>
      <w:spacing w:after="20"/>
      <w:jc w:val="center"/>
    </w:pPr>
    <w:rPr>
      <w:b/>
      <w:sz w:val="22"/>
    </w:rPr>
  </w:style>
  <w:style w:type="paragraph" w:customStyle="1" w:styleId="ChartorTableNote">
    <w:name w:val="Chart or Table Note"/>
    <w:next w:val="Normal"/>
    <w:uiPriority w:val="99"/>
    <w:rsid w:val="00A16C23"/>
    <w:pPr>
      <w:jc w:val="both"/>
    </w:pPr>
    <w:rPr>
      <w:rFonts w:ascii="Arial" w:hAnsi="Arial"/>
      <w:color w:val="000000"/>
      <w:sz w:val="16"/>
      <w:szCs w:val="20"/>
    </w:rPr>
  </w:style>
  <w:style w:type="paragraph" w:customStyle="1" w:styleId="ChartSecondHeading">
    <w:name w:val="Chart Second Heading"/>
    <w:basedOn w:val="HeadingBase"/>
    <w:next w:val="ChartGraphic"/>
    <w:uiPriority w:val="99"/>
    <w:rsid w:val="00A16C23"/>
    <w:pPr>
      <w:spacing w:after="20"/>
      <w:jc w:val="center"/>
    </w:pPr>
  </w:style>
  <w:style w:type="paragraph" w:customStyle="1" w:styleId="Classification">
    <w:name w:val="Classification"/>
    <w:basedOn w:val="HeadingBase"/>
    <w:next w:val="Footer"/>
    <w:uiPriority w:val="99"/>
    <w:semiHidden/>
    <w:rsid w:val="00A16C23"/>
    <w:pPr>
      <w:spacing w:after="120"/>
      <w:jc w:val="center"/>
    </w:pPr>
    <w:rPr>
      <w:b/>
      <w:smallCaps/>
    </w:rPr>
  </w:style>
  <w:style w:type="paragraph" w:styleId="Footer">
    <w:name w:val="footer"/>
    <w:basedOn w:val="HeadingBase"/>
    <w:link w:val="FooterChar"/>
    <w:uiPriority w:val="99"/>
    <w:rsid w:val="00A16C23"/>
    <w:rPr>
      <w:sz w:val="18"/>
    </w:rPr>
  </w:style>
  <w:style w:type="character" w:customStyle="1" w:styleId="FooterChar">
    <w:name w:val="Footer Char"/>
    <w:basedOn w:val="DefaultParagraphFont"/>
    <w:link w:val="Footer"/>
    <w:uiPriority w:val="99"/>
    <w:locked/>
    <w:rsid w:val="00577071"/>
    <w:rPr>
      <w:rFonts w:ascii="Calibri" w:hAnsi="Calibri" w:cs="Times New Roman"/>
      <w:color w:val="342E82"/>
      <w:sz w:val="18"/>
    </w:rPr>
  </w:style>
  <w:style w:type="paragraph" w:customStyle="1" w:styleId="ContentsHeading">
    <w:name w:val="Contents Heading"/>
    <w:basedOn w:val="HeadingBase"/>
    <w:next w:val="Normal"/>
    <w:uiPriority w:val="99"/>
    <w:rsid w:val="00A16C23"/>
    <w:pPr>
      <w:spacing w:after="360"/>
    </w:pPr>
    <w:rPr>
      <w:smallCaps/>
      <w:sz w:val="36"/>
      <w:szCs w:val="36"/>
    </w:rPr>
  </w:style>
  <w:style w:type="paragraph" w:customStyle="1" w:styleId="CoverTitleMain">
    <w:name w:val="Cover Title Main"/>
    <w:basedOn w:val="HeadingBase"/>
    <w:next w:val="Normal"/>
    <w:uiPriority w:val="99"/>
    <w:rsid w:val="008E3B84"/>
    <w:pPr>
      <w:spacing w:after="480"/>
    </w:pPr>
    <w:rPr>
      <w:b/>
      <w:sz w:val="48"/>
    </w:rPr>
  </w:style>
  <w:style w:type="paragraph" w:customStyle="1" w:styleId="CoverTitleSub">
    <w:name w:val="Cover Title Sub"/>
    <w:basedOn w:val="HeadingBase"/>
    <w:uiPriority w:val="99"/>
    <w:rsid w:val="0033013B"/>
    <w:pPr>
      <w:spacing w:after="360"/>
      <w:jc w:val="right"/>
    </w:pPr>
    <w:rPr>
      <w:sz w:val="36"/>
    </w:rPr>
  </w:style>
  <w:style w:type="paragraph" w:customStyle="1" w:styleId="FooterCentered">
    <w:name w:val="Footer Centered"/>
    <w:basedOn w:val="Footer"/>
    <w:uiPriority w:val="99"/>
    <w:rsid w:val="00A16C23"/>
    <w:pPr>
      <w:jc w:val="center"/>
    </w:pPr>
  </w:style>
  <w:style w:type="paragraph" w:customStyle="1" w:styleId="FooterEven">
    <w:name w:val="Footer Even"/>
    <w:basedOn w:val="Footer"/>
    <w:uiPriority w:val="99"/>
    <w:rsid w:val="00A16C23"/>
  </w:style>
  <w:style w:type="paragraph" w:customStyle="1" w:styleId="FooterOdd">
    <w:name w:val="Footer Odd"/>
    <w:basedOn w:val="Footer"/>
    <w:uiPriority w:val="99"/>
    <w:rsid w:val="00A16C23"/>
    <w:pPr>
      <w:jc w:val="right"/>
    </w:pPr>
  </w:style>
  <w:style w:type="character" w:customStyle="1" w:styleId="FramedFooter">
    <w:name w:val="Framed Footer"/>
    <w:uiPriority w:val="99"/>
    <w:rsid w:val="00C466C6"/>
    <w:rPr>
      <w:rFonts w:ascii="Arial" w:hAnsi="Arial"/>
      <w:color w:val="342E82"/>
      <w:sz w:val="18"/>
    </w:rPr>
  </w:style>
  <w:style w:type="character" w:customStyle="1" w:styleId="FramedHeader">
    <w:name w:val="Framed Header"/>
    <w:basedOn w:val="DefaultParagraphFont"/>
    <w:uiPriority w:val="99"/>
    <w:rsid w:val="00C466C6"/>
    <w:rPr>
      <w:rFonts w:ascii="Arial" w:hAnsi="Arial" w:cs="Times New Roman"/>
      <w:color w:val="342E82"/>
      <w:sz w:val="18"/>
      <w:vertAlign w:val="baseline"/>
    </w:rPr>
  </w:style>
  <w:style w:type="paragraph" w:styleId="Header">
    <w:name w:val="header"/>
    <w:basedOn w:val="HeadingBase"/>
    <w:link w:val="HeaderChar"/>
    <w:uiPriority w:val="99"/>
    <w:rsid w:val="00A16C23"/>
    <w:rPr>
      <w:sz w:val="18"/>
    </w:rPr>
  </w:style>
  <w:style w:type="character" w:customStyle="1" w:styleId="HeaderChar">
    <w:name w:val="Header Char"/>
    <w:basedOn w:val="DefaultParagraphFont"/>
    <w:link w:val="Header"/>
    <w:uiPriority w:val="99"/>
    <w:semiHidden/>
    <w:locked/>
    <w:rPr>
      <w:rFonts w:ascii="Book Antiqua" w:hAnsi="Book Antiqua" w:cs="Times New Roman"/>
      <w:color w:val="000000"/>
      <w:sz w:val="20"/>
      <w:szCs w:val="20"/>
    </w:rPr>
  </w:style>
  <w:style w:type="paragraph" w:customStyle="1" w:styleId="HeaderEven">
    <w:name w:val="Header Even"/>
    <w:basedOn w:val="Header"/>
    <w:uiPriority w:val="99"/>
    <w:rsid w:val="00A16C23"/>
  </w:style>
  <w:style w:type="paragraph" w:customStyle="1" w:styleId="HeaderOdd">
    <w:name w:val="Header Odd"/>
    <w:basedOn w:val="Header"/>
    <w:uiPriority w:val="99"/>
    <w:rsid w:val="00A16C23"/>
    <w:pPr>
      <w:jc w:val="right"/>
    </w:pPr>
  </w:style>
  <w:style w:type="paragraph" w:styleId="NormalIndent">
    <w:name w:val="Normal Indent"/>
    <w:basedOn w:val="Normal"/>
    <w:uiPriority w:val="99"/>
    <w:rsid w:val="00B2418A"/>
    <w:pPr>
      <w:ind w:left="567"/>
    </w:pPr>
    <w:rPr>
      <w:i/>
    </w:rPr>
  </w:style>
  <w:style w:type="paragraph" w:customStyle="1" w:styleId="RecommendationHeading">
    <w:name w:val="Recommendation Heading"/>
    <w:basedOn w:val="HeadingBase"/>
    <w:next w:val="RecommendationText"/>
    <w:uiPriority w:val="99"/>
    <w:rsid w:val="00A16C23"/>
    <w:pPr>
      <w:spacing w:before="120" w:after="240"/>
    </w:pPr>
    <w:rPr>
      <w:b/>
      <w:sz w:val="22"/>
    </w:rPr>
  </w:style>
  <w:style w:type="paragraph" w:customStyle="1" w:styleId="RecommendationTextBase">
    <w:name w:val="Recommendation Text Base"/>
    <w:basedOn w:val="Normal"/>
    <w:uiPriority w:val="99"/>
    <w:rsid w:val="0045339B"/>
    <w:pPr>
      <w:spacing w:before="120" w:after="120"/>
    </w:pPr>
  </w:style>
  <w:style w:type="paragraph" w:customStyle="1" w:styleId="RecommendationText">
    <w:name w:val="Recommendation Text"/>
    <w:basedOn w:val="RecommendationTextBase"/>
    <w:uiPriority w:val="99"/>
    <w:rsid w:val="00A16C23"/>
  </w:style>
  <w:style w:type="paragraph" w:customStyle="1" w:styleId="TableTextBase">
    <w:name w:val="Table Text Base"/>
    <w:uiPriority w:val="99"/>
    <w:rsid w:val="00D3750D"/>
    <w:pPr>
      <w:spacing w:before="40" w:after="40"/>
    </w:pPr>
    <w:rPr>
      <w:rFonts w:ascii="Calibri" w:hAnsi="Calibri"/>
      <w:color w:val="000000"/>
      <w:sz w:val="16"/>
      <w:szCs w:val="20"/>
    </w:rPr>
  </w:style>
  <w:style w:type="paragraph" w:customStyle="1" w:styleId="TableColumnHeadingCentred">
    <w:name w:val="Table Column Heading Centred"/>
    <w:basedOn w:val="TableColumnHeadingBase"/>
    <w:uiPriority w:val="99"/>
    <w:rsid w:val="00EB2A00"/>
    <w:pPr>
      <w:jc w:val="center"/>
    </w:pPr>
  </w:style>
  <w:style w:type="paragraph" w:customStyle="1" w:styleId="TableColumnHeadingLeft">
    <w:name w:val="Table Column Heading Left"/>
    <w:basedOn w:val="TableColumnHeadingBase"/>
    <w:uiPriority w:val="99"/>
    <w:rsid w:val="00EB2A00"/>
  </w:style>
  <w:style w:type="paragraph" w:customStyle="1" w:styleId="TableColumnHeadingRight">
    <w:name w:val="Table Column Heading Right"/>
    <w:basedOn w:val="TableColumnHeadingBase"/>
    <w:uiPriority w:val="99"/>
    <w:rsid w:val="00EB2A00"/>
    <w:pPr>
      <w:jc w:val="right"/>
    </w:pPr>
  </w:style>
  <w:style w:type="paragraph" w:customStyle="1" w:styleId="TableGraphic">
    <w:name w:val="Table Graphic"/>
    <w:basedOn w:val="HeadingBase"/>
    <w:next w:val="Normal"/>
    <w:uiPriority w:val="99"/>
    <w:rsid w:val="00A16C23"/>
  </w:style>
  <w:style w:type="paragraph" w:customStyle="1" w:styleId="TableMainHeading">
    <w:name w:val="Table Main Heading"/>
    <w:basedOn w:val="HeadingBase"/>
    <w:next w:val="TableGraphic"/>
    <w:uiPriority w:val="99"/>
    <w:rsid w:val="00A16C23"/>
    <w:pPr>
      <w:spacing w:after="20"/>
    </w:pPr>
    <w:rPr>
      <w:b/>
      <w:sz w:val="22"/>
    </w:rPr>
  </w:style>
  <w:style w:type="paragraph" w:customStyle="1" w:styleId="TableMainHeadingContd">
    <w:name w:val="Table Main Heading Contd"/>
    <w:basedOn w:val="HeadingBase"/>
    <w:next w:val="TableGraphic"/>
    <w:uiPriority w:val="99"/>
    <w:rsid w:val="00EB2A00"/>
    <w:pPr>
      <w:pageBreakBefore/>
      <w:spacing w:after="20"/>
    </w:pPr>
    <w:rPr>
      <w:b/>
      <w:sz w:val="22"/>
    </w:rPr>
  </w:style>
  <w:style w:type="paragraph" w:customStyle="1" w:styleId="TableSecondHeading">
    <w:name w:val="Table Second Heading"/>
    <w:basedOn w:val="HeadingBase"/>
    <w:next w:val="TableGraphic"/>
    <w:uiPriority w:val="99"/>
    <w:rsid w:val="00A16C23"/>
    <w:pPr>
      <w:spacing w:after="20"/>
    </w:pPr>
  </w:style>
  <w:style w:type="paragraph" w:customStyle="1" w:styleId="TableTextCentered">
    <w:name w:val="Table Text Centered"/>
    <w:basedOn w:val="TableTextBase"/>
    <w:uiPriority w:val="99"/>
    <w:rsid w:val="00A16C23"/>
    <w:pPr>
      <w:jc w:val="center"/>
    </w:pPr>
  </w:style>
  <w:style w:type="paragraph" w:customStyle="1" w:styleId="TableTextIndented">
    <w:name w:val="Table Text Indented"/>
    <w:basedOn w:val="TableTextBase"/>
    <w:uiPriority w:val="99"/>
    <w:rsid w:val="00A16C23"/>
    <w:pPr>
      <w:ind w:left="284"/>
    </w:pPr>
  </w:style>
  <w:style w:type="paragraph" w:customStyle="1" w:styleId="TableTextLeft">
    <w:name w:val="Table Text Left"/>
    <w:basedOn w:val="TableTextBase"/>
    <w:uiPriority w:val="99"/>
    <w:rsid w:val="00A16C23"/>
  </w:style>
  <w:style w:type="paragraph" w:customStyle="1" w:styleId="TableTextRight">
    <w:name w:val="Table Text Right"/>
    <w:basedOn w:val="TableTextBase"/>
    <w:uiPriority w:val="99"/>
    <w:rsid w:val="00A16C23"/>
    <w:pPr>
      <w:jc w:val="right"/>
    </w:pPr>
  </w:style>
  <w:style w:type="paragraph" w:styleId="TOC1">
    <w:name w:val="toc 1"/>
    <w:basedOn w:val="HeadingBase"/>
    <w:next w:val="Normal"/>
    <w:uiPriority w:val="39"/>
    <w:rsid w:val="0028210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28210D"/>
    <w:pPr>
      <w:tabs>
        <w:tab w:val="left" w:pos="851"/>
        <w:tab w:val="right" w:leader="dot" w:pos="9072"/>
      </w:tabs>
      <w:spacing w:before="40" w:after="20"/>
      <w:ind w:left="1135" w:right="851" w:hanging="851"/>
    </w:pPr>
  </w:style>
  <w:style w:type="paragraph" w:styleId="TOC3">
    <w:name w:val="toc 3"/>
    <w:basedOn w:val="Normal"/>
    <w:next w:val="Normal"/>
    <w:uiPriority w:val="99"/>
    <w:rsid w:val="00A16C23"/>
    <w:pPr>
      <w:tabs>
        <w:tab w:val="right" w:leader="dot" w:pos="9072"/>
      </w:tabs>
      <w:spacing w:before="20" w:after="0" w:line="240" w:lineRule="auto"/>
      <w:ind w:left="284" w:right="851"/>
    </w:pPr>
  </w:style>
  <w:style w:type="paragraph" w:styleId="TOC4">
    <w:name w:val="toc 4"/>
    <w:basedOn w:val="Normal"/>
    <w:next w:val="Normal"/>
    <w:uiPriority w:val="99"/>
    <w:rsid w:val="00A16C23"/>
    <w:pPr>
      <w:tabs>
        <w:tab w:val="right" w:leader="dot" w:pos="9072"/>
      </w:tabs>
      <w:spacing w:after="0" w:line="240" w:lineRule="auto"/>
      <w:ind w:left="284" w:right="851"/>
    </w:pPr>
  </w:style>
  <w:style w:type="character" w:customStyle="1" w:styleId="italic">
    <w:name w:val="italic"/>
    <w:basedOn w:val="DefaultParagraphFont"/>
    <w:uiPriority w:val="99"/>
    <w:rsid w:val="00A16C23"/>
    <w:rPr>
      <w:rFonts w:cs="Times New Roman"/>
      <w:i/>
    </w:rPr>
  </w:style>
  <w:style w:type="paragraph" w:customStyle="1" w:styleId="OneLevelNumberedParagraph">
    <w:name w:val="One Level Numbered Paragraph"/>
    <w:basedOn w:val="Normal"/>
    <w:uiPriority w:val="99"/>
    <w:rsid w:val="00A16C23"/>
    <w:pPr>
      <w:numPr>
        <w:numId w:val="10"/>
      </w:numPr>
    </w:pPr>
  </w:style>
  <w:style w:type="paragraph" w:customStyle="1" w:styleId="BoxText">
    <w:name w:val="Box Text"/>
    <w:basedOn w:val="BoxTextBase"/>
    <w:uiPriority w:val="99"/>
    <w:rsid w:val="00A16C23"/>
  </w:style>
  <w:style w:type="paragraph" w:customStyle="1" w:styleId="BoxBullet">
    <w:name w:val="Box Bullet"/>
    <w:basedOn w:val="BoxTextBase"/>
    <w:uiPriority w:val="99"/>
    <w:rsid w:val="00A16C23"/>
    <w:pPr>
      <w:numPr>
        <w:numId w:val="9"/>
      </w:numPr>
    </w:pPr>
  </w:style>
  <w:style w:type="paragraph" w:customStyle="1" w:styleId="BoxDash">
    <w:name w:val="Box Dash"/>
    <w:basedOn w:val="Normal"/>
    <w:uiPriority w:val="99"/>
    <w:rsid w:val="00A16C23"/>
    <w:pPr>
      <w:numPr>
        <w:ilvl w:val="1"/>
        <w:numId w:val="9"/>
      </w:numPr>
    </w:pPr>
  </w:style>
  <w:style w:type="paragraph" w:customStyle="1" w:styleId="BoxDoubleDot">
    <w:name w:val="Box Double Dot"/>
    <w:basedOn w:val="BoxTextBase"/>
    <w:uiPriority w:val="99"/>
    <w:rsid w:val="00A16C23"/>
    <w:pPr>
      <w:numPr>
        <w:ilvl w:val="2"/>
        <w:numId w:val="9"/>
      </w:numPr>
    </w:pPr>
  </w:style>
  <w:style w:type="paragraph" w:customStyle="1" w:styleId="RecommendationBullet">
    <w:name w:val="Recommendation Bullet"/>
    <w:basedOn w:val="RecommendationTextBase"/>
    <w:uiPriority w:val="99"/>
    <w:rsid w:val="00A16C23"/>
    <w:pPr>
      <w:numPr>
        <w:numId w:val="11"/>
      </w:numPr>
    </w:pPr>
  </w:style>
  <w:style w:type="paragraph" w:customStyle="1" w:styleId="RecommendationDash">
    <w:name w:val="Recommendation Dash"/>
    <w:basedOn w:val="RecommendationTextBase"/>
    <w:uiPriority w:val="99"/>
    <w:rsid w:val="00A16C23"/>
    <w:pPr>
      <w:numPr>
        <w:ilvl w:val="1"/>
        <w:numId w:val="11"/>
      </w:numPr>
    </w:pPr>
  </w:style>
  <w:style w:type="paragraph" w:customStyle="1" w:styleId="RecommendationDoubleDot">
    <w:name w:val="Recommendation Double Dot"/>
    <w:basedOn w:val="RecommendationTextBase"/>
    <w:uiPriority w:val="99"/>
    <w:rsid w:val="00A16C23"/>
    <w:pPr>
      <w:numPr>
        <w:ilvl w:val="2"/>
        <w:numId w:val="11"/>
      </w:numPr>
    </w:pPr>
  </w:style>
  <w:style w:type="character" w:styleId="FollowedHyperlink">
    <w:name w:val="FollowedHyperlink"/>
    <w:basedOn w:val="DefaultParagraphFont"/>
    <w:uiPriority w:val="99"/>
    <w:rsid w:val="00A16C23"/>
    <w:rPr>
      <w:rFonts w:cs="Times New Roman"/>
      <w:color w:val="auto"/>
      <w:u w:val="none"/>
    </w:rPr>
  </w:style>
  <w:style w:type="paragraph" w:customStyle="1" w:styleId="Heading1NotNumbered">
    <w:name w:val="Heading 1 Not Numbered"/>
    <w:basedOn w:val="HeadingBase"/>
    <w:next w:val="Normal"/>
    <w:uiPriority w:val="99"/>
    <w:rsid w:val="00D3750D"/>
    <w:pPr>
      <w:spacing w:before="720" w:after="360"/>
    </w:pPr>
    <w:rPr>
      <w:smallCaps/>
      <w:sz w:val="36"/>
      <w:szCs w:val="36"/>
    </w:rPr>
  </w:style>
  <w:style w:type="paragraph" w:customStyle="1" w:styleId="Heading2NotNumbered">
    <w:name w:val="Heading 2 Not Numbered"/>
    <w:basedOn w:val="HeadingBase"/>
    <w:next w:val="Normal"/>
    <w:uiPriority w:val="99"/>
    <w:rsid w:val="00D3750D"/>
    <w:pPr>
      <w:spacing w:before="360" w:after="180"/>
    </w:pPr>
    <w:rPr>
      <w:smallCaps/>
      <w:sz w:val="28"/>
      <w:szCs w:val="28"/>
    </w:rPr>
  </w:style>
  <w:style w:type="paragraph" w:customStyle="1" w:styleId="Heading3NotNumbered">
    <w:name w:val="Heading 3 Not Numbered"/>
    <w:basedOn w:val="HeadingBase"/>
    <w:next w:val="Normal"/>
    <w:uiPriority w:val="99"/>
    <w:rsid w:val="0033013B"/>
    <w:pPr>
      <w:spacing w:before="240" w:after="120"/>
    </w:pPr>
    <w:rPr>
      <w:sz w:val="28"/>
      <w:szCs w:val="26"/>
    </w:rPr>
  </w:style>
  <w:style w:type="paragraph" w:customStyle="1" w:styleId="Heading4NotNumbered">
    <w:name w:val="Heading 4 Not Numbered"/>
    <w:basedOn w:val="HeadingBase"/>
    <w:uiPriority w:val="99"/>
    <w:rsid w:val="00B347D9"/>
    <w:pPr>
      <w:spacing w:before="120" w:after="120"/>
      <w:outlineLvl w:val="3"/>
    </w:pPr>
    <w:rPr>
      <w:b/>
      <w:sz w:val="26"/>
    </w:rPr>
  </w:style>
  <w:style w:type="paragraph" w:styleId="Caption">
    <w:name w:val="caption"/>
    <w:basedOn w:val="Normal"/>
    <w:next w:val="Normal"/>
    <w:uiPriority w:val="99"/>
    <w:qFormat/>
    <w:rsid w:val="005E76C1"/>
    <w:rPr>
      <w:b/>
      <w:bCs/>
    </w:rPr>
  </w:style>
  <w:style w:type="character" w:styleId="CommentReference">
    <w:name w:val="annotation reference"/>
    <w:basedOn w:val="DefaultParagraphFont"/>
    <w:uiPriority w:val="99"/>
    <w:semiHidden/>
    <w:rsid w:val="005E76C1"/>
    <w:rPr>
      <w:rFonts w:cs="Times New Roman"/>
      <w:sz w:val="16"/>
      <w:szCs w:val="16"/>
    </w:rPr>
  </w:style>
  <w:style w:type="paragraph" w:styleId="CommentText">
    <w:name w:val="annotation text"/>
    <w:basedOn w:val="Normal"/>
    <w:link w:val="CommentTextChar"/>
    <w:uiPriority w:val="99"/>
    <w:semiHidden/>
    <w:rsid w:val="005E76C1"/>
  </w:style>
  <w:style w:type="character" w:customStyle="1" w:styleId="CommentTextChar">
    <w:name w:val="Comment Text Char"/>
    <w:basedOn w:val="DefaultParagraphFont"/>
    <w:link w:val="CommentText"/>
    <w:uiPriority w:val="99"/>
    <w:semiHidden/>
    <w:locked/>
    <w:rsid w:val="005B4A0A"/>
    <w:rPr>
      <w:rFonts w:ascii="Calibri" w:hAnsi="Calibri" w:cs="Times New Roman"/>
      <w:color w:val="000000"/>
      <w:sz w:val="22"/>
    </w:rPr>
  </w:style>
  <w:style w:type="paragraph" w:styleId="CommentSubject">
    <w:name w:val="annotation subject"/>
    <w:basedOn w:val="CommentText"/>
    <w:next w:val="CommentText"/>
    <w:link w:val="CommentSubjectChar"/>
    <w:uiPriority w:val="99"/>
    <w:semiHidden/>
    <w:rsid w:val="005E76C1"/>
    <w:rPr>
      <w:b/>
      <w:bCs/>
    </w:rPr>
  </w:style>
  <w:style w:type="character" w:customStyle="1" w:styleId="CommentSubjectChar">
    <w:name w:val="Comment Subject Char"/>
    <w:basedOn w:val="CommentTextChar"/>
    <w:link w:val="CommentSubject"/>
    <w:uiPriority w:val="99"/>
    <w:semiHidden/>
    <w:locked/>
    <w:rPr>
      <w:rFonts w:ascii="Book Antiqua" w:hAnsi="Book Antiqua" w:cs="Times New Roman"/>
      <w:b/>
      <w:bCs/>
      <w:color w:val="000000"/>
      <w:sz w:val="20"/>
      <w:szCs w:val="20"/>
    </w:rPr>
  </w:style>
  <w:style w:type="paragraph" w:styleId="DocumentMap">
    <w:name w:val="Document Map"/>
    <w:basedOn w:val="Normal"/>
    <w:link w:val="DocumentMapChar"/>
    <w:uiPriority w:val="99"/>
    <w:semiHidden/>
    <w:rsid w:val="005E76C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color w:val="000000"/>
      <w:sz w:val="2"/>
    </w:rPr>
  </w:style>
  <w:style w:type="character" w:styleId="EndnoteReference">
    <w:name w:val="endnote reference"/>
    <w:basedOn w:val="DefaultParagraphFont"/>
    <w:uiPriority w:val="99"/>
    <w:semiHidden/>
    <w:rsid w:val="005E76C1"/>
    <w:rPr>
      <w:rFonts w:cs="Times New Roman"/>
      <w:vertAlign w:val="superscript"/>
    </w:rPr>
  </w:style>
  <w:style w:type="paragraph" w:styleId="EndnoteText">
    <w:name w:val="endnote text"/>
    <w:basedOn w:val="Normal"/>
    <w:link w:val="EndnoteTextChar"/>
    <w:uiPriority w:val="99"/>
    <w:semiHidden/>
    <w:rsid w:val="005E76C1"/>
  </w:style>
  <w:style w:type="character" w:customStyle="1" w:styleId="EndnoteTextChar">
    <w:name w:val="Endnote Text Char"/>
    <w:basedOn w:val="DefaultParagraphFont"/>
    <w:link w:val="EndnoteText"/>
    <w:uiPriority w:val="99"/>
    <w:semiHidden/>
    <w:locked/>
    <w:rPr>
      <w:rFonts w:ascii="Book Antiqua" w:hAnsi="Book Antiqua" w:cs="Times New Roman"/>
      <w:color w:val="000000"/>
      <w:sz w:val="20"/>
      <w:szCs w:val="20"/>
    </w:rPr>
  </w:style>
  <w:style w:type="character" w:styleId="FootnoteReference">
    <w:name w:val="footnote reference"/>
    <w:basedOn w:val="DefaultParagraphFont"/>
    <w:uiPriority w:val="99"/>
    <w:rsid w:val="005E76C1"/>
    <w:rPr>
      <w:rFonts w:cs="Times New Roman"/>
      <w:vertAlign w:val="superscript"/>
    </w:rPr>
  </w:style>
  <w:style w:type="paragraph" w:styleId="Index1">
    <w:name w:val="index 1"/>
    <w:basedOn w:val="Normal"/>
    <w:next w:val="Normal"/>
    <w:autoRedefine/>
    <w:uiPriority w:val="99"/>
    <w:semiHidden/>
    <w:rsid w:val="005E76C1"/>
    <w:pPr>
      <w:ind w:left="200" w:hanging="200"/>
    </w:pPr>
  </w:style>
  <w:style w:type="paragraph" w:styleId="Index2">
    <w:name w:val="index 2"/>
    <w:basedOn w:val="Normal"/>
    <w:next w:val="Normal"/>
    <w:autoRedefine/>
    <w:uiPriority w:val="99"/>
    <w:semiHidden/>
    <w:rsid w:val="005E76C1"/>
    <w:pPr>
      <w:ind w:left="400" w:hanging="200"/>
    </w:pPr>
  </w:style>
  <w:style w:type="paragraph" w:styleId="Index3">
    <w:name w:val="index 3"/>
    <w:basedOn w:val="Normal"/>
    <w:next w:val="Normal"/>
    <w:autoRedefine/>
    <w:uiPriority w:val="99"/>
    <w:semiHidden/>
    <w:rsid w:val="005E76C1"/>
    <w:pPr>
      <w:ind w:left="600" w:hanging="200"/>
    </w:pPr>
  </w:style>
  <w:style w:type="paragraph" w:styleId="Index4">
    <w:name w:val="index 4"/>
    <w:basedOn w:val="Normal"/>
    <w:next w:val="Normal"/>
    <w:autoRedefine/>
    <w:uiPriority w:val="99"/>
    <w:semiHidden/>
    <w:rsid w:val="005E76C1"/>
    <w:pPr>
      <w:ind w:left="800" w:hanging="200"/>
    </w:pPr>
  </w:style>
  <w:style w:type="paragraph" w:styleId="Index5">
    <w:name w:val="index 5"/>
    <w:basedOn w:val="Normal"/>
    <w:next w:val="Normal"/>
    <w:autoRedefine/>
    <w:uiPriority w:val="99"/>
    <w:semiHidden/>
    <w:rsid w:val="005E76C1"/>
    <w:pPr>
      <w:ind w:left="1000" w:hanging="200"/>
    </w:pPr>
  </w:style>
  <w:style w:type="paragraph" w:styleId="Index6">
    <w:name w:val="index 6"/>
    <w:basedOn w:val="Normal"/>
    <w:next w:val="Normal"/>
    <w:autoRedefine/>
    <w:uiPriority w:val="99"/>
    <w:semiHidden/>
    <w:rsid w:val="005E76C1"/>
    <w:pPr>
      <w:ind w:left="1200" w:hanging="200"/>
    </w:pPr>
  </w:style>
  <w:style w:type="paragraph" w:styleId="Index7">
    <w:name w:val="index 7"/>
    <w:basedOn w:val="Normal"/>
    <w:next w:val="Normal"/>
    <w:autoRedefine/>
    <w:uiPriority w:val="99"/>
    <w:semiHidden/>
    <w:rsid w:val="005E76C1"/>
    <w:pPr>
      <w:ind w:left="1400" w:hanging="200"/>
    </w:pPr>
  </w:style>
  <w:style w:type="paragraph" w:styleId="Index8">
    <w:name w:val="index 8"/>
    <w:basedOn w:val="Normal"/>
    <w:next w:val="Normal"/>
    <w:autoRedefine/>
    <w:uiPriority w:val="99"/>
    <w:semiHidden/>
    <w:rsid w:val="005E76C1"/>
    <w:pPr>
      <w:ind w:left="1600" w:hanging="200"/>
    </w:pPr>
  </w:style>
  <w:style w:type="paragraph" w:styleId="Index9">
    <w:name w:val="index 9"/>
    <w:basedOn w:val="Normal"/>
    <w:next w:val="Normal"/>
    <w:autoRedefine/>
    <w:uiPriority w:val="99"/>
    <w:semiHidden/>
    <w:rsid w:val="005E76C1"/>
    <w:pPr>
      <w:ind w:left="1800" w:hanging="200"/>
    </w:pPr>
  </w:style>
  <w:style w:type="paragraph" w:styleId="IndexHeading">
    <w:name w:val="index heading"/>
    <w:basedOn w:val="Normal"/>
    <w:next w:val="Index1"/>
    <w:uiPriority w:val="99"/>
    <w:semiHidden/>
    <w:rsid w:val="005E76C1"/>
    <w:rPr>
      <w:rFonts w:cs="Arial"/>
      <w:b/>
      <w:bCs/>
    </w:rPr>
  </w:style>
  <w:style w:type="paragraph" w:styleId="MacroText">
    <w:name w:val="macro"/>
    <w:link w:val="MacroTextChar"/>
    <w:uiPriority w:val="99"/>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sz w:val="20"/>
      <w:szCs w:val="20"/>
    </w:rPr>
  </w:style>
  <w:style w:type="character" w:customStyle="1" w:styleId="MacroTextChar">
    <w:name w:val="Macro Text Char"/>
    <w:basedOn w:val="DefaultParagraphFont"/>
    <w:link w:val="MacroText"/>
    <w:uiPriority w:val="99"/>
    <w:semiHidden/>
    <w:locked/>
    <w:rPr>
      <w:rFonts w:ascii="Courier New" w:hAnsi="Courier New" w:cs="Courier New"/>
      <w:color w:val="000000"/>
      <w:lang w:val="en-AU" w:eastAsia="en-AU" w:bidi="ar-SA"/>
    </w:rPr>
  </w:style>
  <w:style w:type="paragraph" w:styleId="TableofAuthorities">
    <w:name w:val="table of authorities"/>
    <w:basedOn w:val="Normal"/>
    <w:next w:val="Normal"/>
    <w:uiPriority w:val="99"/>
    <w:rsid w:val="005E76C1"/>
    <w:pPr>
      <w:ind w:left="200" w:hanging="200"/>
    </w:pPr>
  </w:style>
  <w:style w:type="paragraph" w:styleId="TableofFigures">
    <w:name w:val="table of figures"/>
    <w:basedOn w:val="Normal"/>
    <w:next w:val="Normal"/>
    <w:uiPriority w:val="99"/>
    <w:rsid w:val="005E76C1"/>
  </w:style>
  <w:style w:type="paragraph" w:styleId="TOAHeading">
    <w:name w:val="toa heading"/>
    <w:basedOn w:val="Normal"/>
    <w:next w:val="Normal"/>
    <w:uiPriority w:val="99"/>
    <w:semiHidden/>
    <w:rsid w:val="005E76C1"/>
    <w:pPr>
      <w:spacing w:before="120"/>
    </w:pPr>
    <w:rPr>
      <w:rFonts w:cs="Arial"/>
      <w:b/>
      <w:bCs/>
      <w:sz w:val="24"/>
      <w:szCs w:val="24"/>
    </w:rPr>
  </w:style>
  <w:style w:type="paragraph" w:styleId="TOC5">
    <w:name w:val="toc 5"/>
    <w:basedOn w:val="Normal"/>
    <w:next w:val="Normal"/>
    <w:autoRedefine/>
    <w:uiPriority w:val="99"/>
    <w:semiHidden/>
    <w:rsid w:val="005E76C1"/>
    <w:pPr>
      <w:ind w:left="800"/>
    </w:pPr>
  </w:style>
  <w:style w:type="paragraph" w:styleId="TOC6">
    <w:name w:val="toc 6"/>
    <w:basedOn w:val="Normal"/>
    <w:next w:val="Normal"/>
    <w:autoRedefine/>
    <w:uiPriority w:val="99"/>
    <w:semiHidden/>
    <w:rsid w:val="005E76C1"/>
    <w:pPr>
      <w:ind w:left="1000"/>
    </w:pPr>
  </w:style>
  <w:style w:type="paragraph" w:styleId="TOC7">
    <w:name w:val="toc 7"/>
    <w:basedOn w:val="Normal"/>
    <w:next w:val="Normal"/>
    <w:autoRedefine/>
    <w:uiPriority w:val="99"/>
    <w:semiHidden/>
    <w:rsid w:val="005E76C1"/>
    <w:pPr>
      <w:ind w:left="1200"/>
    </w:pPr>
  </w:style>
  <w:style w:type="paragraph" w:styleId="TOC8">
    <w:name w:val="toc 8"/>
    <w:basedOn w:val="Normal"/>
    <w:next w:val="Normal"/>
    <w:autoRedefine/>
    <w:uiPriority w:val="99"/>
    <w:semiHidden/>
    <w:rsid w:val="005E76C1"/>
    <w:pPr>
      <w:ind w:left="1400"/>
    </w:pPr>
  </w:style>
  <w:style w:type="paragraph" w:styleId="TOC9">
    <w:name w:val="toc 9"/>
    <w:basedOn w:val="Normal"/>
    <w:next w:val="Normal"/>
    <w:autoRedefine/>
    <w:uiPriority w:val="99"/>
    <w:semiHidden/>
    <w:rsid w:val="005E76C1"/>
    <w:pPr>
      <w:ind w:left="1600"/>
    </w:pPr>
  </w:style>
  <w:style w:type="paragraph" w:customStyle="1" w:styleId="Heading5NotNumbered">
    <w:name w:val="Heading 5 Not Numbered"/>
    <w:basedOn w:val="HeadingBase"/>
    <w:uiPriority w:val="99"/>
    <w:rsid w:val="00B347D9"/>
    <w:pPr>
      <w:spacing w:after="120"/>
      <w:outlineLvl w:val="4"/>
    </w:pPr>
    <w:rPr>
      <w:b/>
      <w:sz w:val="24"/>
    </w:rPr>
  </w:style>
  <w:style w:type="table" w:customStyle="1" w:styleId="OptionsTable">
    <w:name w:val="Options Table"/>
    <w:uiPriority w:val="99"/>
    <w:rsid w:val="00981231"/>
    <w:rPr>
      <w:sz w:val="20"/>
      <w:szCs w:val="20"/>
    </w:rPr>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style>
  <w:style w:type="paragraph" w:customStyle="1" w:styleId="Romannumeral">
    <w:name w:val="Roman numeral"/>
    <w:basedOn w:val="Normal"/>
    <w:uiPriority w:val="99"/>
    <w:rsid w:val="002A2C88"/>
    <w:pPr>
      <w:numPr>
        <w:numId w:val="22"/>
      </w:numPr>
    </w:pPr>
  </w:style>
  <w:style w:type="paragraph" w:customStyle="1" w:styleId="OutlineNumbered4">
    <w:name w:val="Outline Numbered 4"/>
    <w:basedOn w:val="Normal"/>
    <w:uiPriority w:val="99"/>
    <w:rsid w:val="00E07913"/>
  </w:style>
  <w:style w:type="paragraph" w:customStyle="1" w:styleId="OutlineNumbered5">
    <w:name w:val="Outline Numbered 5"/>
    <w:basedOn w:val="Normal"/>
    <w:uiPriority w:val="99"/>
    <w:rsid w:val="00E07913"/>
    <w:pPr>
      <w:numPr>
        <w:ilvl w:val="4"/>
        <w:numId w:val="2"/>
      </w:numPr>
    </w:pPr>
  </w:style>
  <w:style w:type="paragraph" w:customStyle="1" w:styleId="Crest">
    <w:name w:val="Crest"/>
    <w:basedOn w:val="Header"/>
    <w:uiPriority w:val="99"/>
    <w:rsid w:val="00F23AEE"/>
    <w:pPr>
      <w:spacing w:after="480"/>
      <w:jc w:val="right"/>
    </w:pPr>
  </w:style>
  <w:style w:type="character" w:customStyle="1" w:styleId="SingleParagraphChar">
    <w:name w:val="Single Paragraph Char"/>
    <w:basedOn w:val="DefaultParagraphFont"/>
    <w:link w:val="SingleParagraph"/>
    <w:uiPriority w:val="99"/>
    <w:locked/>
    <w:rsid w:val="00421697"/>
    <w:rPr>
      <w:rFonts w:ascii="Arial" w:hAnsi="Arial" w:cs="Times New Roman"/>
      <w:color w:val="000000"/>
      <w:sz w:val="22"/>
      <w:lang w:val="en-AU" w:eastAsia="en-AU" w:bidi="ar-SA"/>
    </w:rPr>
  </w:style>
  <w:style w:type="character" w:customStyle="1" w:styleId="A5">
    <w:name w:val="A5"/>
    <w:uiPriority w:val="99"/>
    <w:rsid w:val="00240AAC"/>
    <w:rPr>
      <w:color w:val="000000"/>
      <w:sz w:val="20"/>
    </w:rPr>
  </w:style>
  <w:style w:type="character" w:customStyle="1" w:styleId="OutlineNumbered1Char">
    <w:name w:val="Outline Numbered 1 Char"/>
    <w:basedOn w:val="DefaultParagraphFont"/>
    <w:link w:val="OutlineNumbered1"/>
    <w:locked/>
    <w:rsid w:val="004C7DFB"/>
    <w:rPr>
      <w:rFonts w:ascii="Book Antiqua" w:hAnsi="Book Antiqua"/>
      <w:color w:val="000000"/>
      <w:szCs w:val="20"/>
    </w:rPr>
  </w:style>
  <w:style w:type="paragraph" w:styleId="NormalWeb">
    <w:name w:val="Normal (Web)"/>
    <w:basedOn w:val="Normal"/>
    <w:uiPriority w:val="99"/>
    <w:rsid w:val="0086243B"/>
    <w:pPr>
      <w:spacing w:before="100" w:beforeAutospacing="1" w:after="100" w:afterAutospacing="1" w:line="240" w:lineRule="auto"/>
      <w:jc w:val="left"/>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5B7"/>
    <w:pPr>
      <w:spacing w:after="240" w:line="280" w:lineRule="exact"/>
      <w:jc w:val="both"/>
    </w:pPr>
    <w:rPr>
      <w:rFonts w:ascii="Book Antiqua" w:hAnsi="Book Antiqua"/>
      <w:color w:val="000000"/>
      <w:szCs w:val="20"/>
    </w:rPr>
  </w:style>
  <w:style w:type="paragraph" w:styleId="Heading1">
    <w:name w:val="heading 1"/>
    <w:basedOn w:val="HeadingBase"/>
    <w:next w:val="Normal"/>
    <w:link w:val="Heading1Char"/>
    <w:uiPriority w:val="99"/>
    <w:qFormat/>
    <w:rsid w:val="00D3750D"/>
    <w:pPr>
      <w:numPr>
        <w:numId w:val="28"/>
      </w:numPr>
      <w:spacing w:before="720" w:after="360"/>
      <w:outlineLvl w:val="0"/>
    </w:pPr>
    <w:rPr>
      <w:rFonts w:cs="Arial"/>
      <w:bCs/>
      <w:smallCaps/>
      <w:kern w:val="32"/>
      <w:sz w:val="36"/>
      <w:szCs w:val="36"/>
    </w:rPr>
  </w:style>
  <w:style w:type="paragraph" w:styleId="Heading2">
    <w:name w:val="heading 2"/>
    <w:basedOn w:val="HeadingBase"/>
    <w:next w:val="Normal"/>
    <w:link w:val="Heading2Char"/>
    <w:uiPriority w:val="99"/>
    <w:qFormat/>
    <w:rsid w:val="00D3750D"/>
    <w:pPr>
      <w:numPr>
        <w:ilvl w:val="1"/>
        <w:numId w:val="28"/>
      </w:numPr>
      <w:spacing w:before="360" w:after="180"/>
      <w:outlineLvl w:val="1"/>
    </w:pPr>
    <w:rPr>
      <w:rFonts w:cs="Arial"/>
      <w:bCs/>
      <w:iCs/>
      <w:smallCaps/>
      <w:sz w:val="28"/>
      <w:szCs w:val="28"/>
    </w:rPr>
  </w:style>
  <w:style w:type="paragraph" w:styleId="Heading3">
    <w:name w:val="heading 3"/>
    <w:basedOn w:val="HeadingBase"/>
    <w:next w:val="Normal"/>
    <w:link w:val="Heading3Char"/>
    <w:uiPriority w:val="99"/>
    <w:qFormat/>
    <w:rsid w:val="0033013B"/>
    <w:pPr>
      <w:numPr>
        <w:ilvl w:val="2"/>
        <w:numId w:val="28"/>
      </w:numPr>
      <w:spacing w:before="240" w:after="120"/>
      <w:outlineLvl w:val="2"/>
    </w:pPr>
    <w:rPr>
      <w:rFonts w:cs="Arial"/>
      <w:bCs/>
      <w:sz w:val="28"/>
      <w:szCs w:val="26"/>
    </w:rPr>
  </w:style>
  <w:style w:type="paragraph" w:styleId="Heading4">
    <w:name w:val="heading 4"/>
    <w:basedOn w:val="HeadingBase"/>
    <w:next w:val="Normal"/>
    <w:link w:val="Heading4Char"/>
    <w:uiPriority w:val="99"/>
    <w:qFormat/>
    <w:rsid w:val="00B347D9"/>
    <w:pPr>
      <w:spacing w:before="120" w:after="240"/>
      <w:outlineLvl w:val="3"/>
    </w:pPr>
    <w:rPr>
      <w:b/>
      <w:bCs/>
      <w:sz w:val="26"/>
      <w:szCs w:val="22"/>
    </w:rPr>
  </w:style>
  <w:style w:type="paragraph" w:styleId="Heading5">
    <w:name w:val="heading 5"/>
    <w:basedOn w:val="HeadingBase"/>
    <w:next w:val="Normal"/>
    <w:link w:val="Heading5Char"/>
    <w:uiPriority w:val="99"/>
    <w:qFormat/>
    <w:rsid w:val="00B347D9"/>
    <w:pPr>
      <w:spacing w:after="120"/>
      <w:outlineLvl w:val="4"/>
    </w:pPr>
    <w:rPr>
      <w:b/>
      <w:bCs/>
      <w:iCs/>
      <w:sz w:val="24"/>
    </w:rPr>
  </w:style>
  <w:style w:type="paragraph" w:styleId="Heading6">
    <w:name w:val="heading 6"/>
    <w:basedOn w:val="HeadingBase"/>
    <w:next w:val="Normal"/>
    <w:link w:val="Heading6Char"/>
    <w:uiPriority w:val="99"/>
    <w:qFormat/>
    <w:rsid w:val="00B347D9"/>
    <w:pPr>
      <w:spacing w:after="120"/>
      <w:outlineLvl w:val="5"/>
    </w:pPr>
    <w:rPr>
      <w:bCs/>
      <w:sz w:val="22"/>
      <w:szCs w:val="22"/>
    </w:rPr>
  </w:style>
  <w:style w:type="paragraph" w:styleId="Heading7">
    <w:name w:val="heading 7"/>
    <w:basedOn w:val="HeadingBase"/>
    <w:next w:val="Normal"/>
    <w:link w:val="Heading7Char"/>
    <w:uiPriority w:val="99"/>
    <w:qFormat/>
    <w:rsid w:val="00A16C23"/>
    <w:pPr>
      <w:spacing w:after="120"/>
      <w:outlineLvl w:val="6"/>
    </w:pPr>
    <w:rPr>
      <w:szCs w:val="24"/>
    </w:rPr>
  </w:style>
  <w:style w:type="paragraph" w:styleId="Heading8">
    <w:name w:val="heading 8"/>
    <w:basedOn w:val="HeadingBase"/>
    <w:next w:val="Normal"/>
    <w:link w:val="Heading8Char"/>
    <w:uiPriority w:val="99"/>
    <w:qFormat/>
    <w:rsid w:val="00942526"/>
    <w:pPr>
      <w:spacing w:before="60" w:after="60"/>
      <w:jc w:val="center"/>
      <w:outlineLvl w:val="7"/>
    </w:pPr>
    <w:rPr>
      <w:iCs/>
      <w:smallCaps/>
      <w:sz w:val="22"/>
      <w:szCs w:val="24"/>
    </w:rPr>
  </w:style>
  <w:style w:type="paragraph" w:styleId="Heading9">
    <w:name w:val="heading 9"/>
    <w:basedOn w:val="HeadingBase"/>
    <w:next w:val="Normal"/>
    <w:link w:val="Heading9Char"/>
    <w:uiPriority w:val="99"/>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Arial"/>
      <w:bCs/>
      <w:smallCaps/>
      <w:color w:val="342E82"/>
      <w:kern w:val="32"/>
      <w:sz w:val="36"/>
      <w:szCs w:val="36"/>
    </w:rPr>
  </w:style>
  <w:style w:type="character" w:customStyle="1" w:styleId="Heading2Char">
    <w:name w:val="Heading 2 Char"/>
    <w:basedOn w:val="DefaultParagraphFont"/>
    <w:link w:val="Heading2"/>
    <w:uiPriority w:val="99"/>
    <w:locked/>
    <w:rPr>
      <w:rFonts w:ascii="Calibri" w:hAnsi="Calibri" w:cs="Arial"/>
      <w:bCs/>
      <w:iCs/>
      <w:smallCaps/>
      <w:color w:val="342E82"/>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locked/>
    <w:rsid w:val="00421697"/>
    <w:rPr>
      <w:rFonts w:ascii="Arial" w:hAnsi="Arial" w:cs="Times New Roman"/>
      <w:b/>
      <w:bCs/>
      <w:color w:val="342E82"/>
      <w:sz w:val="22"/>
      <w:szCs w:val="22"/>
      <w:lang w:val="en-AU" w:eastAsia="en-AU" w:bidi="ar-SA"/>
    </w:rPr>
  </w:style>
  <w:style w:type="character" w:customStyle="1" w:styleId="Heading5Char">
    <w:name w:val="Heading 5 Char"/>
    <w:basedOn w:val="DefaultParagraphFont"/>
    <w:link w:val="Heading5"/>
    <w:uiPriority w:val="99"/>
    <w:locked/>
    <w:rsid w:val="00421697"/>
    <w:rPr>
      <w:rFonts w:ascii="Arial" w:hAnsi="Arial" w:cs="Times New Roman"/>
      <w:b/>
      <w:bCs/>
      <w:iCs/>
      <w:color w:val="342E82"/>
      <w:sz w:val="24"/>
      <w:lang w:val="en-AU" w:eastAsia="en-AU" w:bidi="ar-SA"/>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character" w:customStyle="1" w:styleId="Heading7Char">
    <w:name w:val="Heading 7 Char"/>
    <w:basedOn w:val="DefaultParagraphFont"/>
    <w:link w:val="Heading7"/>
    <w:uiPriority w:val="99"/>
    <w:semiHidden/>
    <w:locke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Pr>
      <w:rFonts w:ascii="Cambria" w:hAnsi="Cambria" w:cs="Times New Roman"/>
      <w:color w:val="000000"/>
    </w:rPr>
  </w:style>
  <w:style w:type="paragraph" w:styleId="BalloonText">
    <w:name w:val="Balloon Text"/>
    <w:basedOn w:val="Normal"/>
    <w:link w:val="BalloonTextChar"/>
    <w:uiPriority w:val="99"/>
    <w:semiHidden/>
    <w:rsid w:val="005E76C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color w:val="000000"/>
      <w:sz w:val="2"/>
    </w:rPr>
  </w:style>
  <w:style w:type="paragraph" w:customStyle="1" w:styleId="SingleParagraph">
    <w:name w:val="Single Paragraph"/>
    <w:basedOn w:val="Normal"/>
    <w:link w:val="SingleParagraphChar"/>
    <w:uiPriority w:val="99"/>
    <w:rsid w:val="00A16C23"/>
    <w:pPr>
      <w:spacing w:after="0"/>
    </w:pPr>
  </w:style>
  <w:style w:type="character" w:styleId="Hyperlink">
    <w:name w:val="Hyperlink"/>
    <w:basedOn w:val="DefaultParagraphFont"/>
    <w:uiPriority w:val="99"/>
    <w:rsid w:val="00A16C23"/>
    <w:rPr>
      <w:rFonts w:cs="Times New Roman"/>
      <w:color w:val="auto"/>
      <w:u w:val="none"/>
    </w:rPr>
  </w:style>
  <w:style w:type="character" w:customStyle="1" w:styleId="BoldandItalic">
    <w:name w:val="Bold and Italic"/>
    <w:basedOn w:val="DefaultParagraphFont"/>
    <w:uiPriority w:val="99"/>
    <w:rsid w:val="00D3750D"/>
    <w:rPr>
      <w:rFonts w:ascii="Calibri" w:hAnsi="Calibri" w:cs="Times New Roman"/>
      <w:b/>
      <w:i/>
    </w:rPr>
  </w:style>
  <w:style w:type="table" w:styleId="TableGrid">
    <w:name w:val="Table Grid"/>
    <w:basedOn w:val="TableNormal"/>
    <w:uiPriority w:val="99"/>
    <w:rsid w:val="00A16C23"/>
    <w:pPr>
      <w:spacing w:after="240" w:line="260" w:lineRule="exact"/>
      <w:jc w:val="both"/>
    </w:pPr>
    <w:rPr>
      <w:sz w:val="20"/>
      <w:szCs w:val="20"/>
    </w:r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uiPriority w:val="99"/>
    <w:rsid w:val="00882640"/>
    <w:pPr>
      <w:spacing w:before="40" w:after="40" w:line="240" w:lineRule="auto"/>
    </w:pPr>
    <w:rPr>
      <w:b/>
      <w:color w:val="342E82"/>
      <w:sz w:val="16"/>
    </w:rPr>
  </w:style>
  <w:style w:type="paragraph" w:styleId="FootnoteText">
    <w:name w:val="footnote text"/>
    <w:basedOn w:val="Normal"/>
    <w:link w:val="FootnoteTextChar"/>
    <w:uiPriority w:val="99"/>
    <w:rsid w:val="00A16C23"/>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semiHidden/>
    <w:locked/>
    <w:rPr>
      <w:rFonts w:ascii="Book Antiqua" w:hAnsi="Book Antiqua" w:cs="Times New Roman"/>
      <w:color w:val="000000"/>
      <w:sz w:val="20"/>
      <w:szCs w:val="20"/>
    </w:rPr>
  </w:style>
  <w:style w:type="paragraph" w:customStyle="1" w:styleId="Bullet">
    <w:name w:val="Bullet"/>
    <w:basedOn w:val="Normal"/>
    <w:uiPriority w:val="99"/>
    <w:rsid w:val="00CC40CD"/>
    <w:pPr>
      <w:numPr>
        <w:numId w:val="1"/>
      </w:numPr>
    </w:pPr>
  </w:style>
  <w:style w:type="paragraph" w:customStyle="1" w:styleId="Dash">
    <w:name w:val="Dash"/>
    <w:basedOn w:val="Normal"/>
    <w:uiPriority w:val="99"/>
    <w:rsid w:val="00CC40CD"/>
    <w:pPr>
      <w:numPr>
        <w:ilvl w:val="1"/>
        <w:numId w:val="1"/>
      </w:numPr>
      <w:tabs>
        <w:tab w:val="clear" w:pos="1134"/>
        <w:tab w:val="num" w:pos="360"/>
      </w:tabs>
      <w:ind w:left="1361" w:hanging="397"/>
    </w:pPr>
  </w:style>
  <w:style w:type="paragraph" w:customStyle="1" w:styleId="DoubleDot">
    <w:name w:val="Double Dot"/>
    <w:basedOn w:val="Normal"/>
    <w:uiPriority w:val="99"/>
    <w:rsid w:val="00CC40CD"/>
    <w:pPr>
      <w:numPr>
        <w:ilvl w:val="2"/>
        <w:numId w:val="1"/>
      </w:numPr>
      <w:tabs>
        <w:tab w:val="clear" w:pos="1700"/>
        <w:tab w:val="num" w:pos="360"/>
      </w:tabs>
      <w:ind w:left="1758" w:hanging="397"/>
    </w:pPr>
  </w:style>
  <w:style w:type="paragraph" w:customStyle="1" w:styleId="OutlineNumbered1">
    <w:name w:val="Outline Numbered 1"/>
    <w:basedOn w:val="Normal"/>
    <w:link w:val="OutlineNumbered1Char"/>
    <w:rsid w:val="004C7DFB"/>
    <w:pPr>
      <w:numPr>
        <w:numId w:val="2"/>
      </w:numPr>
      <w:tabs>
        <w:tab w:val="left" w:pos="454"/>
      </w:tabs>
    </w:pPr>
  </w:style>
  <w:style w:type="paragraph" w:customStyle="1" w:styleId="OutlineNumbered2">
    <w:name w:val="Outline Numbered 2"/>
    <w:basedOn w:val="Normal"/>
    <w:rsid w:val="00E07913"/>
    <w:pPr>
      <w:numPr>
        <w:ilvl w:val="1"/>
        <w:numId w:val="2"/>
      </w:numPr>
    </w:pPr>
  </w:style>
  <w:style w:type="paragraph" w:customStyle="1" w:styleId="OutlineNumbered3">
    <w:name w:val="Outline Numbered 3"/>
    <w:basedOn w:val="Normal"/>
    <w:rsid w:val="00E07913"/>
    <w:pPr>
      <w:numPr>
        <w:ilvl w:val="2"/>
        <w:numId w:val="2"/>
      </w:numPr>
    </w:pPr>
  </w:style>
  <w:style w:type="paragraph" w:customStyle="1" w:styleId="AlphaParagraph">
    <w:name w:val="Alpha Paragraph"/>
    <w:basedOn w:val="Normal"/>
    <w:uiPriority w:val="99"/>
    <w:rsid w:val="00A16C23"/>
    <w:pPr>
      <w:numPr>
        <w:numId w:val="3"/>
      </w:numPr>
    </w:pPr>
  </w:style>
  <w:style w:type="paragraph" w:customStyle="1" w:styleId="HeadingBase">
    <w:name w:val="Heading Base"/>
    <w:next w:val="Normal"/>
    <w:uiPriority w:val="99"/>
    <w:rsid w:val="00D3750D"/>
    <w:pPr>
      <w:keepNext/>
    </w:pPr>
    <w:rPr>
      <w:rFonts w:ascii="Calibri" w:hAnsi="Calibri"/>
      <w:color w:val="342E82"/>
      <w:sz w:val="20"/>
      <w:szCs w:val="20"/>
    </w:rPr>
  </w:style>
  <w:style w:type="paragraph" w:customStyle="1" w:styleId="AppendixHeading">
    <w:name w:val="Appendix Heading"/>
    <w:basedOn w:val="HeadingBase"/>
    <w:next w:val="Normal"/>
    <w:uiPriority w:val="99"/>
    <w:rsid w:val="00D3750D"/>
    <w:pPr>
      <w:spacing w:before="720" w:after="360"/>
      <w:outlineLvl w:val="0"/>
    </w:pPr>
    <w:rPr>
      <w:b/>
      <w:smallCaps/>
      <w:sz w:val="36"/>
      <w:szCs w:val="36"/>
    </w:rPr>
  </w:style>
  <w:style w:type="character" w:customStyle="1" w:styleId="Bold">
    <w:name w:val="Bold"/>
    <w:basedOn w:val="DefaultParagraphFont"/>
    <w:uiPriority w:val="99"/>
    <w:rsid w:val="00A16C23"/>
    <w:rPr>
      <w:rFonts w:cs="Times New Roman"/>
      <w:b/>
    </w:rPr>
  </w:style>
  <w:style w:type="paragraph" w:customStyle="1" w:styleId="BoxHeading">
    <w:name w:val="Box Heading"/>
    <w:basedOn w:val="HeadingBase"/>
    <w:next w:val="BoxText"/>
    <w:uiPriority w:val="99"/>
    <w:rsid w:val="005745B7"/>
    <w:pPr>
      <w:spacing w:before="240" w:after="120"/>
    </w:pPr>
    <w:rPr>
      <w:rFonts w:ascii="Century Gothic" w:hAnsi="Century Gothic"/>
      <w:b/>
      <w:sz w:val="22"/>
    </w:rPr>
  </w:style>
  <w:style w:type="paragraph" w:customStyle="1" w:styleId="BoxTextBase">
    <w:name w:val="Box Text Base"/>
    <w:basedOn w:val="Normal"/>
    <w:uiPriority w:val="99"/>
    <w:rsid w:val="00D03180"/>
  </w:style>
  <w:style w:type="paragraph" w:customStyle="1" w:styleId="ChartandTableFootnoteAlpha">
    <w:name w:val="Chart and Table Footnote Alpha"/>
    <w:uiPriority w:val="99"/>
    <w:rsid w:val="00A16C23"/>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uiPriority w:val="99"/>
    <w:rsid w:val="00A16C23"/>
    <w:pPr>
      <w:jc w:val="center"/>
    </w:pPr>
  </w:style>
  <w:style w:type="paragraph" w:customStyle="1" w:styleId="ChartMainHeading">
    <w:name w:val="Chart Main Heading"/>
    <w:basedOn w:val="HeadingBase"/>
    <w:next w:val="ChartGraphic"/>
    <w:uiPriority w:val="99"/>
    <w:rsid w:val="00A16C23"/>
    <w:pPr>
      <w:spacing w:after="20"/>
      <w:jc w:val="center"/>
    </w:pPr>
    <w:rPr>
      <w:b/>
      <w:sz w:val="22"/>
    </w:rPr>
  </w:style>
  <w:style w:type="paragraph" w:customStyle="1" w:styleId="ChartorTableNote">
    <w:name w:val="Chart or Table Note"/>
    <w:next w:val="Normal"/>
    <w:uiPriority w:val="99"/>
    <w:rsid w:val="00A16C23"/>
    <w:pPr>
      <w:jc w:val="both"/>
    </w:pPr>
    <w:rPr>
      <w:rFonts w:ascii="Arial" w:hAnsi="Arial"/>
      <w:color w:val="000000"/>
      <w:sz w:val="16"/>
      <w:szCs w:val="20"/>
    </w:rPr>
  </w:style>
  <w:style w:type="paragraph" w:customStyle="1" w:styleId="ChartSecondHeading">
    <w:name w:val="Chart Second Heading"/>
    <w:basedOn w:val="HeadingBase"/>
    <w:next w:val="ChartGraphic"/>
    <w:uiPriority w:val="99"/>
    <w:rsid w:val="00A16C23"/>
    <w:pPr>
      <w:spacing w:after="20"/>
      <w:jc w:val="center"/>
    </w:pPr>
  </w:style>
  <w:style w:type="paragraph" w:customStyle="1" w:styleId="Classification">
    <w:name w:val="Classification"/>
    <w:basedOn w:val="HeadingBase"/>
    <w:next w:val="Footer"/>
    <w:uiPriority w:val="99"/>
    <w:semiHidden/>
    <w:rsid w:val="00A16C23"/>
    <w:pPr>
      <w:spacing w:after="120"/>
      <w:jc w:val="center"/>
    </w:pPr>
    <w:rPr>
      <w:b/>
      <w:smallCaps/>
    </w:rPr>
  </w:style>
  <w:style w:type="paragraph" w:styleId="Footer">
    <w:name w:val="footer"/>
    <w:basedOn w:val="HeadingBase"/>
    <w:link w:val="FooterChar"/>
    <w:uiPriority w:val="99"/>
    <w:rsid w:val="00A16C23"/>
    <w:rPr>
      <w:sz w:val="18"/>
    </w:rPr>
  </w:style>
  <w:style w:type="character" w:customStyle="1" w:styleId="FooterChar">
    <w:name w:val="Footer Char"/>
    <w:basedOn w:val="DefaultParagraphFont"/>
    <w:link w:val="Footer"/>
    <w:uiPriority w:val="99"/>
    <w:locked/>
    <w:rsid w:val="00577071"/>
    <w:rPr>
      <w:rFonts w:ascii="Calibri" w:hAnsi="Calibri" w:cs="Times New Roman"/>
      <w:color w:val="342E82"/>
      <w:sz w:val="18"/>
    </w:rPr>
  </w:style>
  <w:style w:type="paragraph" w:customStyle="1" w:styleId="ContentsHeading">
    <w:name w:val="Contents Heading"/>
    <w:basedOn w:val="HeadingBase"/>
    <w:next w:val="Normal"/>
    <w:uiPriority w:val="99"/>
    <w:rsid w:val="00A16C23"/>
    <w:pPr>
      <w:spacing w:after="360"/>
    </w:pPr>
    <w:rPr>
      <w:smallCaps/>
      <w:sz w:val="36"/>
      <w:szCs w:val="36"/>
    </w:rPr>
  </w:style>
  <w:style w:type="paragraph" w:customStyle="1" w:styleId="CoverTitleMain">
    <w:name w:val="Cover Title Main"/>
    <w:basedOn w:val="HeadingBase"/>
    <w:next w:val="Normal"/>
    <w:uiPriority w:val="99"/>
    <w:rsid w:val="008E3B84"/>
    <w:pPr>
      <w:spacing w:after="480"/>
    </w:pPr>
    <w:rPr>
      <w:b/>
      <w:sz w:val="48"/>
    </w:rPr>
  </w:style>
  <w:style w:type="paragraph" w:customStyle="1" w:styleId="CoverTitleSub">
    <w:name w:val="Cover Title Sub"/>
    <w:basedOn w:val="HeadingBase"/>
    <w:uiPriority w:val="99"/>
    <w:rsid w:val="0033013B"/>
    <w:pPr>
      <w:spacing w:after="360"/>
      <w:jc w:val="right"/>
    </w:pPr>
    <w:rPr>
      <w:sz w:val="36"/>
    </w:rPr>
  </w:style>
  <w:style w:type="paragraph" w:customStyle="1" w:styleId="FooterCentered">
    <w:name w:val="Footer Centered"/>
    <w:basedOn w:val="Footer"/>
    <w:uiPriority w:val="99"/>
    <w:rsid w:val="00A16C23"/>
    <w:pPr>
      <w:jc w:val="center"/>
    </w:pPr>
  </w:style>
  <w:style w:type="paragraph" w:customStyle="1" w:styleId="FooterEven">
    <w:name w:val="Footer Even"/>
    <w:basedOn w:val="Footer"/>
    <w:uiPriority w:val="99"/>
    <w:rsid w:val="00A16C23"/>
  </w:style>
  <w:style w:type="paragraph" w:customStyle="1" w:styleId="FooterOdd">
    <w:name w:val="Footer Odd"/>
    <w:basedOn w:val="Footer"/>
    <w:uiPriority w:val="99"/>
    <w:rsid w:val="00A16C23"/>
    <w:pPr>
      <w:jc w:val="right"/>
    </w:pPr>
  </w:style>
  <w:style w:type="character" w:customStyle="1" w:styleId="FramedFooter">
    <w:name w:val="Framed Footer"/>
    <w:uiPriority w:val="99"/>
    <w:rsid w:val="00C466C6"/>
    <w:rPr>
      <w:rFonts w:ascii="Arial" w:hAnsi="Arial"/>
      <w:color w:val="342E82"/>
      <w:sz w:val="18"/>
    </w:rPr>
  </w:style>
  <w:style w:type="character" w:customStyle="1" w:styleId="FramedHeader">
    <w:name w:val="Framed Header"/>
    <w:basedOn w:val="DefaultParagraphFont"/>
    <w:uiPriority w:val="99"/>
    <w:rsid w:val="00C466C6"/>
    <w:rPr>
      <w:rFonts w:ascii="Arial" w:hAnsi="Arial" w:cs="Times New Roman"/>
      <w:color w:val="342E82"/>
      <w:sz w:val="18"/>
      <w:vertAlign w:val="baseline"/>
    </w:rPr>
  </w:style>
  <w:style w:type="paragraph" w:styleId="Header">
    <w:name w:val="header"/>
    <w:basedOn w:val="HeadingBase"/>
    <w:link w:val="HeaderChar"/>
    <w:uiPriority w:val="99"/>
    <w:rsid w:val="00A16C23"/>
    <w:rPr>
      <w:sz w:val="18"/>
    </w:rPr>
  </w:style>
  <w:style w:type="character" w:customStyle="1" w:styleId="HeaderChar">
    <w:name w:val="Header Char"/>
    <w:basedOn w:val="DefaultParagraphFont"/>
    <w:link w:val="Header"/>
    <w:uiPriority w:val="99"/>
    <w:semiHidden/>
    <w:locked/>
    <w:rPr>
      <w:rFonts w:ascii="Book Antiqua" w:hAnsi="Book Antiqua" w:cs="Times New Roman"/>
      <w:color w:val="000000"/>
      <w:sz w:val="20"/>
      <w:szCs w:val="20"/>
    </w:rPr>
  </w:style>
  <w:style w:type="paragraph" w:customStyle="1" w:styleId="HeaderEven">
    <w:name w:val="Header Even"/>
    <w:basedOn w:val="Header"/>
    <w:uiPriority w:val="99"/>
    <w:rsid w:val="00A16C23"/>
  </w:style>
  <w:style w:type="paragraph" w:customStyle="1" w:styleId="HeaderOdd">
    <w:name w:val="Header Odd"/>
    <w:basedOn w:val="Header"/>
    <w:uiPriority w:val="99"/>
    <w:rsid w:val="00A16C23"/>
    <w:pPr>
      <w:jc w:val="right"/>
    </w:pPr>
  </w:style>
  <w:style w:type="paragraph" w:styleId="NormalIndent">
    <w:name w:val="Normal Indent"/>
    <w:basedOn w:val="Normal"/>
    <w:uiPriority w:val="99"/>
    <w:rsid w:val="00B2418A"/>
    <w:pPr>
      <w:ind w:left="567"/>
    </w:pPr>
    <w:rPr>
      <w:i/>
    </w:rPr>
  </w:style>
  <w:style w:type="paragraph" w:customStyle="1" w:styleId="RecommendationHeading">
    <w:name w:val="Recommendation Heading"/>
    <w:basedOn w:val="HeadingBase"/>
    <w:next w:val="RecommendationText"/>
    <w:uiPriority w:val="99"/>
    <w:rsid w:val="00A16C23"/>
    <w:pPr>
      <w:spacing w:before="120" w:after="240"/>
    </w:pPr>
    <w:rPr>
      <w:b/>
      <w:sz w:val="22"/>
    </w:rPr>
  </w:style>
  <w:style w:type="paragraph" w:customStyle="1" w:styleId="RecommendationTextBase">
    <w:name w:val="Recommendation Text Base"/>
    <w:basedOn w:val="Normal"/>
    <w:uiPriority w:val="99"/>
    <w:rsid w:val="0045339B"/>
    <w:pPr>
      <w:spacing w:before="120" w:after="120"/>
    </w:pPr>
  </w:style>
  <w:style w:type="paragraph" w:customStyle="1" w:styleId="RecommendationText">
    <w:name w:val="Recommendation Text"/>
    <w:basedOn w:val="RecommendationTextBase"/>
    <w:uiPriority w:val="99"/>
    <w:rsid w:val="00A16C23"/>
  </w:style>
  <w:style w:type="paragraph" w:customStyle="1" w:styleId="TableTextBase">
    <w:name w:val="Table Text Base"/>
    <w:uiPriority w:val="99"/>
    <w:rsid w:val="00D3750D"/>
    <w:pPr>
      <w:spacing w:before="40" w:after="40"/>
    </w:pPr>
    <w:rPr>
      <w:rFonts w:ascii="Calibri" w:hAnsi="Calibri"/>
      <w:color w:val="000000"/>
      <w:sz w:val="16"/>
      <w:szCs w:val="20"/>
    </w:rPr>
  </w:style>
  <w:style w:type="paragraph" w:customStyle="1" w:styleId="TableColumnHeadingCentred">
    <w:name w:val="Table Column Heading Centred"/>
    <w:basedOn w:val="TableColumnHeadingBase"/>
    <w:uiPriority w:val="99"/>
    <w:rsid w:val="00EB2A00"/>
    <w:pPr>
      <w:jc w:val="center"/>
    </w:pPr>
  </w:style>
  <w:style w:type="paragraph" w:customStyle="1" w:styleId="TableColumnHeadingLeft">
    <w:name w:val="Table Column Heading Left"/>
    <w:basedOn w:val="TableColumnHeadingBase"/>
    <w:uiPriority w:val="99"/>
    <w:rsid w:val="00EB2A00"/>
  </w:style>
  <w:style w:type="paragraph" w:customStyle="1" w:styleId="TableColumnHeadingRight">
    <w:name w:val="Table Column Heading Right"/>
    <w:basedOn w:val="TableColumnHeadingBase"/>
    <w:uiPriority w:val="99"/>
    <w:rsid w:val="00EB2A00"/>
    <w:pPr>
      <w:jc w:val="right"/>
    </w:pPr>
  </w:style>
  <w:style w:type="paragraph" w:customStyle="1" w:styleId="TableGraphic">
    <w:name w:val="Table Graphic"/>
    <w:basedOn w:val="HeadingBase"/>
    <w:next w:val="Normal"/>
    <w:uiPriority w:val="99"/>
    <w:rsid w:val="00A16C23"/>
  </w:style>
  <w:style w:type="paragraph" w:customStyle="1" w:styleId="TableMainHeading">
    <w:name w:val="Table Main Heading"/>
    <w:basedOn w:val="HeadingBase"/>
    <w:next w:val="TableGraphic"/>
    <w:uiPriority w:val="99"/>
    <w:rsid w:val="00A16C23"/>
    <w:pPr>
      <w:spacing w:after="20"/>
    </w:pPr>
    <w:rPr>
      <w:b/>
      <w:sz w:val="22"/>
    </w:rPr>
  </w:style>
  <w:style w:type="paragraph" w:customStyle="1" w:styleId="TableMainHeadingContd">
    <w:name w:val="Table Main Heading Contd"/>
    <w:basedOn w:val="HeadingBase"/>
    <w:next w:val="TableGraphic"/>
    <w:uiPriority w:val="99"/>
    <w:rsid w:val="00EB2A00"/>
    <w:pPr>
      <w:pageBreakBefore/>
      <w:spacing w:after="20"/>
    </w:pPr>
    <w:rPr>
      <w:b/>
      <w:sz w:val="22"/>
    </w:rPr>
  </w:style>
  <w:style w:type="paragraph" w:customStyle="1" w:styleId="TableSecondHeading">
    <w:name w:val="Table Second Heading"/>
    <w:basedOn w:val="HeadingBase"/>
    <w:next w:val="TableGraphic"/>
    <w:uiPriority w:val="99"/>
    <w:rsid w:val="00A16C23"/>
    <w:pPr>
      <w:spacing w:after="20"/>
    </w:pPr>
  </w:style>
  <w:style w:type="paragraph" w:customStyle="1" w:styleId="TableTextCentered">
    <w:name w:val="Table Text Centered"/>
    <w:basedOn w:val="TableTextBase"/>
    <w:uiPriority w:val="99"/>
    <w:rsid w:val="00A16C23"/>
    <w:pPr>
      <w:jc w:val="center"/>
    </w:pPr>
  </w:style>
  <w:style w:type="paragraph" w:customStyle="1" w:styleId="TableTextIndented">
    <w:name w:val="Table Text Indented"/>
    <w:basedOn w:val="TableTextBase"/>
    <w:uiPriority w:val="99"/>
    <w:rsid w:val="00A16C23"/>
    <w:pPr>
      <w:ind w:left="284"/>
    </w:pPr>
  </w:style>
  <w:style w:type="paragraph" w:customStyle="1" w:styleId="TableTextLeft">
    <w:name w:val="Table Text Left"/>
    <w:basedOn w:val="TableTextBase"/>
    <w:uiPriority w:val="99"/>
    <w:rsid w:val="00A16C23"/>
  </w:style>
  <w:style w:type="paragraph" w:customStyle="1" w:styleId="TableTextRight">
    <w:name w:val="Table Text Right"/>
    <w:basedOn w:val="TableTextBase"/>
    <w:uiPriority w:val="99"/>
    <w:rsid w:val="00A16C23"/>
    <w:pPr>
      <w:jc w:val="right"/>
    </w:pPr>
  </w:style>
  <w:style w:type="paragraph" w:styleId="TOC1">
    <w:name w:val="toc 1"/>
    <w:basedOn w:val="HeadingBase"/>
    <w:next w:val="Normal"/>
    <w:uiPriority w:val="39"/>
    <w:rsid w:val="0028210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28210D"/>
    <w:pPr>
      <w:tabs>
        <w:tab w:val="left" w:pos="851"/>
        <w:tab w:val="right" w:leader="dot" w:pos="9072"/>
      </w:tabs>
      <w:spacing w:before="40" w:after="20"/>
      <w:ind w:left="1135" w:right="851" w:hanging="851"/>
    </w:pPr>
  </w:style>
  <w:style w:type="paragraph" w:styleId="TOC3">
    <w:name w:val="toc 3"/>
    <w:basedOn w:val="Normal"/>
    <w:next w:val="Normal"/>
    <w:uiPriority w:val="99"/>
    <w:rsid w:val="00A16C23"/>
    <w:pPr>
      <w:tabs>
        <w:tab w:val="right" w:leader="dot" w:pos="9072"/>
      </w:tabs>
      <w:spacing w:before="20" w:after="0" w:line="240" w:lineRule="auto"/>
      <w:ind w:left="284" w:right="851"/>
    </w:pPr>
  </w:style>
  <w:style w:type="paragraph" w:styleId="TOC4">
    <w:name w:val="toc 4"/>
    <w:basedOn w:val="Normal"/>
    <w:next w:val="Normal"/>
    <w:uiPriority w:val="99"/>
    <w:rsid w:val="00A16C23"/>
    <w:pPr>
      <w:tabs>
        <w:tab w:val="right" w:leader="dot" w:pos="9072"/>
      </w:tabs>
      <w:spacing w:after="0" w:line="240" w:lineRule="auto"/>
      <w:ind w:left="284" w:right="851"/>
    </w:pPr>
  </w:style>
  <w:style w:type="character" w:customStyle="1" w:styleId="italic">
    <w:name w:val="italic"/>
    <w:basedOn w:val="DefaultParagraphFont"/>
    <w:uiPriority w:val="99"/>
    <w:rsid w:val="00A16C23"/>
    <w:rPr>
      <w:rFonts w:cs="Times New Roman"/>
      <w:i/>
    </w:rPr>
  </w:style>
  <w:style w:type="paragraph" w:customStyle="1" w:styleId="OneLevelNumberedParagraph">
    <w:name w:val="One Level Numbered Paragraph"/>
    <w:basedOn w:val="Normal"/>
    <w:uiPriority w:val="99"/>
    <w:rsid w:val="00A16C23"/>
    <w:pPr>
      <w:numPr>
        <w:numId w:val="10"/>
      </w:numPr>
    </w:pPr>
  </w:style>
  <w:style w:type="paragraph" w:customStyle="1" w:styleId="BoxText">
    <w:name w:val="Box Text"/>
    <w:basedOn w:val="BoxTextBase"/>
    <w:uiPriority w:val="99"/>
    <w:rsid w:val="00A16C23"/>
  </w:style>
  <w:style w:type="paragraph" w:customStyle="1" w:styleId="BoxBullet">
    <w:name w:val="Box Bullet"/>
    <w:basedOn w:val="BoxTextBase"/>
    <w:uiPriority w:val="99"/>
    <w:rsid w:val="00A16C23"/>
    <w:pPr>
      <w:numPr>
        <w:numId w:val="9"/>
      </w:numPr>
    </w:pPr>
  </w:style>
  <w:style w:type="paragraph" w:customStyle="1" w:styleId="BoxDash">
    <w:name w:val="Box Dash"/>
    <w:basedOn w:val="Normal"/>
    <w:uiPriority w:val="99"/>
    <w:rsid w:val="00A16C23"/>
    <w:pPr>
      <w:numPr>
        <w:ilvl w:val="1"/>
        <w:numId w:val="9"/>
      </w:numPr>
    </w:pPr>
  </w:style>
  <w:style w:type="paragraph" w:customStyle="1" w:styleId="BoxDoubleDot">
    <w:name w:val="Box Double Dot"/>
    <w:basedOn w:val="BoxTextBase"/>
    <w:uiPriority w:val="99"/>
    <w:rsid w:val="00A16C23"/>
    <w:pPr>
      <w:numPr>
        <w:ilvl w:val="2"/>
        <w:numId w:val="9"/>
      </w:numPr>
    </w:pPr>
  </w:style>
  <w:style w:type="paragraph" w:customStyle="1" w:styleId="RecommendationBullet">
    <w:name w:val="Recommendation Bullet"/>
    <w:basedOn w:val="RecommendationTextBase"/>
    <w:uiPriority w:val="99"/>
    <w:rsid w:val="00A16C23"/>
    <w:pPr>
      <w:numPr>
        <w:numId w:val="11"/>
      </w:numPr>
    </w:pPr>
  </w:style>
  <w:style w:type="paragraph" w:customStyle="1" w:styleId="RecommendationDash">
    <w:name w:val="Recommendation Dash"/>
    <w:basedOn w:val="RecommendationTextBase"/>
    <w:uiPriority w:val="99"/>
    <w:rsid w:val="00A16C23"/>
    <w:pPr>
      <w:numPr>
        <w:ilvl w:val="1"/>
        <w:numId w:val="11"/>
      </w:numPr>
    </w:pPr>
  </w:style>
  <w:style w:type="paragraph" w:customStyle="1" w:styleId="RecommendationDoubleDot">
    <w:name w:val="Recommendation Double Dot"/>
    <w:basedOn w:val="RecommendationTextBase"/>
    <w:uiPriority w:val="99"/>
    <w:rsid w:val="00A16C23"/>
    <w:pPr>
      <w:numPr>
        <w:ilvl w:val="2"/>
        <w:numId w:val="11"/>
      </w:numPr>
    </w:pPr>
  </w:style>
  <w:style w:type="character" w:styleId="FollowedHyperlink">
    <w:name w:val="FollowedHyperlink"/>
    <w:basedOn w:val="DefaultParagraphFont"/>
    <w:uiPriority w:val="99"/>
    <w:rsid w:val="00A16C23"/>
    <w:rPr>
      <w:rFonts w:cs="Times New Roman"/>
      <w:color w:val="auto"/>
      <w:u w:val="none"/>
    </w:rPr>
  </w:style>
  <w:style w:type="paragraph" w:customStyle="1" w:styleId="Heading1NotNumbered">
    <w:name w:val="Heading 1 Not Numbered"/>
    <w:basedOn w:val="HeadingBase"/>
    <w:next w:val="Normal"/>
    <w:uiPriority w:val="99"/>
    <w:rsid w:val="00D3750D"/>
    <w:pPr>
      <w:spacing w:before="720" w:after="360"/>
    </w:pPr>
    <w:rPr>
      <w:smallCaps/>
      <w:sz w:val="36"/>
      <w:szCs w:val="36"/>
    </w:rPr>
  </w:style>
  <w:style w:type="paragraph" w:customStyle="1" w:styleId="Heading2NotNumbered">
    <w:name w:val="Heading 2 Not Numbered"/>
    <w:basedOn w:val="HeadingBase"/>
    <w:next w:val="Normal"/>
    <w:uiPriority w:val="99"/>
    <w:rsid w:val="00D3750D"/>
    <w:pPr>
      <w:spacing w:before="360" w:after="180"/>
    </w:pPr>
    <w:rPr>
      <w:smallCaps/>
      <w:sz w:val="28"/>
      <w:szCs w:val="28"/>
    </w:rPr>
  </w:style>
  <w:style w:type="paragraph" w:customStyle="1" w:styleId="Heading3NotNumbered">
    <w:name w:val="Heading 3 Not Numbered"/>
    <w:basedOn w:val="HeadingBase"/>
    <w:next w:val="Normal"/>
    <w:uiPriority w:val="99"/>
    <w:rsid w:val="0033013B"/>
    <w:pPr>
      <w:spacing w:before="240" w:after="120"/>
    </w:pPr>
    <w:rPr>
      <w:sz w:val="28"/>
      <w:szCs w:val="26"/>
    </w:rPr>
  </w:style>
  <w:style w:type="paragraph" w:customStyle="1" w:styleId="Heading4NotNumbered">
    <w:name w:val="Heading 4 Not Numbered"/>
    <w:basedOn w:val="HeadingBase"/>
    <w:uiPriority w:val="99"/>
    <w:rsid w:val="00B347D9"/>
    <w:pPr>
      <w:spacing w:before="120" w:after="120"/>
      <w:outlineLvl w:val="3"/>
    </w:pPr>
    <w:rPr>
      <w:b/>
      <w:sz w:val="26"/>
    </w:rPr>
  </w:style>
  <w:style w:type="paragraph" w:styleId="Caption">
    <w:name w:val="caption"/>
    <w:basedOn w:val="Normal"/>
    <w:next w:val="Normal"/>
    <w:uiPriority w:val="99"/>
    <w:qFormat/>
    <w:rsid w:val="005E76C1"/>
    <w:rPr>
      <w:b/>
      <w:bCs/>
    </w:rPr>
  </w:style>
  <w:style w:type="character" w:styleId="CommentReference">
    <w:name w:val="annotation reference"/>
    <w:basedOn w:val="DefaultParagraphFont"/>
    <w:uiPriority w:val="99"/>
    <w:semiHidden/>
    <w:rsid w:val="005E76C1"/>
    <w:rPr>
      <w:rFonts w:cs="Times New Roman"/>
      <w:sz w:val="16"/>
      <w:szCs w:val="16"/>
    </w:rPr>
  </w:style>
  <w:style w:type="paragraph" w:styleId="CommentText">
    <w:name w:val="annotation text"/>
    <w:basedOn w:val="Normal"/>
    <w:link w:val="CommentTextChar"/>
    <w:uiPriority w:val="99"/>
    <w:semiHidden/>
    <w:rsid w:val="005E76C1"/>
  </w:style>
  <w:style w:type="character" w:customStyle="1" w:styleId="CommentTextChar">
    <w:name w:val="Comment Text Char"/>
    <w:basedOn w:val="DefaultParagraphFont"/>
    <w:link w:val="CommentText"/>
    <w:uiPriority w:val="99"/>
    <w:semiHidden/>
    <w:locked/>
    <w:rsid w:val="005B4A0A"/>
    <w:rPr>
      <w:rFonts w:ascii="Calibri" w:hAnsi="Calibri" w:cs="Times New Roman"/>
      <w:color w:val="000000"/>
      <w:sz w:val="22"/>
    </w:rPr>
  </w:style>
  <w:style w:type="paragraph" w:styleId="CommentSubject">
    <w:name w:val="annotation subject"/>
    <w:basedOn w:val="CommentText"/>
    <w:next w:val="CommentText"/>
    <w:link w:val="CommentSubjectChar"/>
    <w:uiPriority w:val="99"/>
    <w:semiHidden/>
    <w:rsid w:val="005E76C1"/>
    <w:rPr>
      <w:b/>
      <w:bCs/>
    </w:rPr>
  </w:style>
  <w:style w:type="character" w:customStyle="1" w:styleId="CommentSubjectChar">
    <w:name w:val="Comment Subject Char"/>
    <w:basedOn w:val="CommentTextChar"/>
    <w:link w:val="CommentSubject"/>
    <w:uiPriority w:val="99"/>
    <w:semiHidden/>
    <w:locked/>
    <w:rPr>
      <w:rFonts w:ascii="Book Antiqua" w:hAnsi="Book Antiqua" w:cs="Times New Roman"/>
      <w:b/>
      <w:bCs/>
      <w:color w:val="000000"/>
      <w:sz w:val="20"/>
      <w:szCs w:val="20"/>
    </w:rPr>
  </w:style>
  <w:style w:type="paragraph" w:styleId="DocumentMap">
    <w:name w:val="Document Map"/>
    <w:basedOn w:val="Normal"/>
    <w:link w:val="DocumentMapChar"/>
    <w:uiPriority w:val="99"/>
    <w:semiHidden/>
    <w:rsid w:val="005E76C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color w:val="000000"/>
      <w:sz w:val="2"/>
    </w:rPr>
  </w:style>
  <w:style w:type="character" w:styleId="EndnoteReference">
    <w:name w:val="endnote reference"/>
    <w:basedOn w:val="DefaultParagraphFont"/>
    <w:uiPriority w:val="99"/>
    <w:semiHidden/>
    <w:rsid w:val="005E76C1"/>
    <w:rPr>
      <w:rFonts w:cs="Times New Roman"/>
      <w:vertAlign w:val="superscript"/>
    </w:rPr>
  </w:style>
  <w:style w:type="paragraph" w:styleId="EndnoteText">
    <w:name w:val="endnote text"/>
    <w:basedOn w:val="Normal"/>
    <w:link w:val="EndnoteTextChar"/>
    <w:uiPriority w:val="99"/>
    <w:semiHidden/>
    <w:rsid w:val="005E76C1"/>
  </w:style>
  <w:style w:type="character" w:customStyle="1" w:styleId="EndnoteTextChar">
    <w:name w:val="Endnote Text Char"/>
    <w:basedOn w:val="DefaultParagraphFont"/>
    <w:link w:val="EndnoteText"/>
    <w:uiPriority w:val="99"/>
    <w:semiHidden/>
    <w:locked/>
    <w:rPr>
      <w:rFonts w:ascii="Book Antiqua" w:hAnsi="Book Antiqua" w:cs="Times New Roman"/>
      <w:color w:val="000000"/>
      <w:sz w:val="20"/>
      <w:szCs w:val="20"/>
    </w:rPr>
  </w:style>
  <w:style w:type="character" w:styleId="FootnoteReference">
    <w:name w:val="footnote reference"/>
    <w:basedOn w:val="DefaultParagraphFont"/>
    <w:uiPriority w:val="99"/>
    <w:rsid w:val="005E76C1"/>
    <w:rPr>
      <w:rFonts w:cs="Times New Roman"/>
      <w:vertAlign w:val="superscript"/>
    </w:rPr>
  </w:style>
  <w:style w:type="paragraph" w:styleId="Index1">
    <w:name w:val="index 1"/>
    <w:basedOn w:val="Normal"/>
    <w:next w:val="Normal"/>
    <w:autoRedefine/>
    <w:uiPriority w:val="99"/>
    <w:semiHidden/>
    <w:rsid w:val="005E76C1"/>
    <w:pPr>
      <w:ind w:left="200" w:hanging="200"/>
    </w:pPr>
  </w:style>
  <w:style w:type="paragraph" w:styleId="Index2">
    <w:name w:val="index 2"/>
    <w:basedOn w:val="Normal"/>
    <w:next w:val="Normal"/>
    <w:autoRedefine/>
    <w:uiPriority w:val="99"/>
    <w:semiHidden/>
    <w:rsid w:val="005E76C1"/>
    <w:pPr>
      <w:ind w:left="400" w:hanging="200"/>
    </w:pPr>
  </w:style>
  <w:style w:type="paragraph" w:styleId="Index3">
    <w:name w:val="index 3"/>
    <w:basedOn w:val="Normal"/>
    <w:next w:val="Normal"/>
    <w:autoRedefine/>
    <w:uiPriority w:val="99"/>
    <w:semiHidden/>
    <w:rsid w:val="005E76C1"/>
    <w:pPr>
      <w:ind w:left="600" w:hanging="200"/>
    </w:pPr>
  </w:style>
  <w:style w:type="paragraph" w:styleId="Index4">
    <w:name w:val="index 4"/>
    <w:basedOn w:val="Normal"/>
    <w:next w:val="Normal"/>
    <w:autoRedefine/>
    <w:uiPriority w:val="99"/>
    <w:semiHidden/>
    <w:rsid w:val="005E76C1"/>
    <w:pPr>
      <w:ind w:left="800" w:hanging="200"/>
    </w:pPr>
  </w:style>
  <w:style w:type="paragraph" w:styleId="Index5">
    <w:name w:val="index 5"/>
    <w:basedOn w:val="Normal"/>
    <w:next w:val="Normal"/>
    <w:autoRedefine/>
    <w:uiPriority w:val="99"/>
    <w:semiHidden/>
    <w:rsid w:val="005E76C1"/>
    <w:pPr>
      <w:ind w:left="1000" w:hanging="200"/>
    </w:pPr>
  </w:style>
  <w:style w:type="paragraph" w:styleId="Index6">
    <w:name w:val="index 6"/>
    <w:basedOn w:val="Normal"/>
    <w:next w:val="Normal"/>
    <w:autoRedefine/>
    <w:uiPriority w:val="99"/>
    <w:semiHidden/>
    <w:rsid w:val="005E76C1"/>
    <w:pPr>
      <w:ind w:left="1200" w:hanging="200"/>
    </w:pPr>
  </w:style>
  <w:style w:type="paragraph" w:styleId="Index7">
    <w:name w:val="index 7"/>
    <w:basedOn w:val="Normal"/>
    <w:next w:val="Normal"/>
    <w:autoRedefine/>
    <w:uiPriority w:val="99"/>
    <w:semiHidden/>
    <w:rsid w:val="005E76C1"/>
    <w:pPr>
      <w:ind w:left="1400" w:hanging="200"/>
    </w:pPr>
  </w:style>
  <w:style w:type="paragraph" w:styleId="Index8">
    <w:name w:val="index 8"/>
    <w:basedOn w:val="Normal"/>
    <w:next w:val="Normal"/>
    <w:autoRedefine/>
    <w:uiPriority w:val="99"/>
    <w:semiHidden/>
    <w:rsid w:val="005E76C1"/>
    <w:pPr>
      <w:ind w:left="1600" w:hanging="200"/>
    </w:pPr>
  </w:style>
  <w:style w:type="paragraph" w:styleId="Index9">
    <w:name w:val="index 9"/>
    <w:basedOn w:val="Normal"/>
    <w:next w:val="Normal"/>
    <w:autoRedefine/>
    <w:uiPriority w:val="99"/>
    <w:semiHidden/>
    <w:rsid w:val="005E76C1"/>
    <w:pPr>
      <w:ind w:left="1800" w:hanging="200"/>
    </w:pPr>
  </w:style>
  <w:style w:type="paragraph" w:styleId="IndexHeading">
    <w:name w:val="index heading"/>
    <w:basedOn w:val="Normal"/>
    <w:next w:val="Index1"/>
    <w:uiPriority w:val="99"/>
    <w:semiHidden/>
    <w:rsid w:val="005E76C1"/>
    <w:rPr>
      <w:rFonts w:cs="Arial"/>
      <w:b/>
      <w:bCs/>
    </w:rPr>
  </w:style>
  <w:style w:type="paragraph" w:styleId="MacroText">
    <w:name w:val="macro"/>
    <w:link w:val="MacroTextChar"/>
    <w:uiPriority w:val="99"/>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sz w:val="20"/>
      <w:szCs w:val="20"/>
    </w:rPr>
  </w:style>
  <w:style w:type="character" w:customStyle="1" w:styleId="MacroTextChar">
    <w:name w:val="Macro Text Char"/>
    <w:basedOn w:val="DefaultParagraphFont"/>
    <w:link w:val="MacroText"/>
    <w:uiPriority w:val="99"/>
    <w:semiHidden/>
    <w:locked/>
    <w:rPr>
      <w:rFonts w:ascii="Courier New" w:hAnsi="Courier New" w:cs="Courier New"/>
      <w:color w:val="000000"/>
      <w:lang w:val="en-AU" w:eastAsia="en-AU" w:bidi="ar-SA"/>
    </w:rPr>
  </w:style>
  <w:style w:type="paragraph" w:styleId="TableofAuthorities">
    <w:name w:val="table of authorities"/>
    <w:basedOn w:val="Normal"/>
    <w:next w:val="Normal"/>
    <w:uiPriority w:val="99"/>
    <w:rsid w:val="005E76C1"/>
    <w:pPr>
      <w:ind w:left="200" w:hanging="200"/>
    </w:pPr>
  </w:style>
  <w:style w:type="paragraph" w:styleId="TableofFigures">
    <w:name w:val="table of figures"/>
    <w:basedOn w:val="Normal"/>
    <w:next w:val="Normal"/>
    <w:uiPriority w:val="99"/>
    <w:rsid w:val="005E76C1"/>
  </w:style>
  <w:style w:type="paragraph" w:styleId="TOAHeading">
    <w:name w:val="toa heading"/>
    <w:basedOn w:val="Normal"/>
    <w:next w:val="Normal"/>
    <w:uiPriority w:val="99"/>
    <w:semiHidden/>
    <w:rsid w:val="005E76C1"/>
    <w:pPr>
      <w:spacing w:before="120"/>
    </w:pPr>
    <w:rPr>
      <w:rFonts w:cs="Arial"/>
      <w:b/>
      <w:bCs/>
      <w:sz w:val="24"/>
      <w:szCs w:val="24"/>
    </w:rPr>
  </w:style>
  <w:style w:type="paragraph" w:styleId="TOC5">
    <w:name w:val="toc 5"/>
    <w:basedOn w:val="Normal"/>
    <w:next w:val="Normal"/>
    <w:autoRedefine/>
    <w:uiPriority w:val="99"/>
    <w:semiHidden/>
    <w:rsid w:val="005E76C1"/>
    <w:pPr>
      <w:ind w:left="800"/>
    </w:pPr>
  </w:style>
  <w:style w:type="paragraph" w:styleId="TOC6">
    <w:name w:val="toc 6"/>
    <w:basedOn w:val="Normal"/>
    <w:next w:val="Normal"/>
    <w:autoRedefine/>
    <w:uiPriority w:val="99"/>
    <w:semiHidden/>
    <w:rsid w:val="005E76C1"/>
    <w:pPr>
      <w:ind w:left="1000"/>
    </w:pPr>
  </w:style>
  <w:style w:type="paragraph" w:styleId="TOC7">
    <w:name w:val="toc 7"/>
    <w:basedOn w:val="Normal"/>
    <w:next w:val="Normal"/>
    <w:autoRedefine/>
    <w:uiPriority w:val="99"/>
    <w:semiHidden/>
    <w:rsid w:val="005E76C1"/>
    <w:pPr>
      <w:ind w:left="1200"/>
    </w:pPr>
  </w:style>
  <w:style w:type="paragraph" w:styleId="TOC8">
    <w:name w:val="toc 8"/>
    <w:basedOn w:val="Normal"/>
    <w:next w:val="Normal"/>
    <w:autoRedefine/>
    <w:uiPriority w:val="99"/>
    <w:semiHidden/>
    <w:rsid w:val="005E76C1"/>
    <w:pPr>
      <w:ind w:left="1400"/>
    </w:pPr>
  </w:style>
  <w:style w:type="paragraph" w:styleId="TOC9">
    <w:name w:val="toc 9"/>
    <w:basedOn w:val="Normal"/>
    <w:next w:val="Normal"/>
    <w:autoRedefine/>
    <w:uiPriority w:val="99"/>
    <w:semiHidden/>
    <w:rsid w:val="005E76C1"/>
    <w:pPr>
      <w:ind w:left="1600"/>
    </w:pPr>
  </w:style>
  <w:style w:type="paragraph" w:customStyle="1" w:styleId="Heading5NotNumbered">
    <w:name w:val="Heading 5 Not Numbered"/>
    <w:basedOn w:val="HeadingBase"/>
    <w:uiPriority w:val="99"/>
    <w:rsid w:val="00B347D9"/>
    <w:pPr>
      <w:spacing w:after="120"/>
      <w:outlineLvl w:val="4"/>
    </w:pPr>
    <w:rPr>
      <w:b/>
      <w:sz w:val="24"/>
    </w:rPr>
  </w:style>
  <w:style w:type="table" w:customStyle="1" w:styleId="OptionsTable">
    <w:name w:val="Options Table"/>
    <w:uiPriority w:val="99"/>
    <w:rsid w:val="00981231"/>
    <w:rPr>
      <w:sz w:val="20"/>
      <w:szCs w:val="20"/>
    </w:rPr>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style>
  <w:style w:type="paragraph" w:customStyle="1" w:styleId="Romannumeral">
    <w:name w:val="Roman numeral"/>
    <w:basedOn w:val="Normal"/>
    <w:uiPriority w:val="99"/>
    <w:rsid w:val="002A2C88"/>
    <w:pPr>
      <w:numPr>
        <w:numId w:val="22"/>
      </w:numPr>
    </w:pPr>
  </w:style>
  <w:style w:type="paragraph" w:customStyle="1" w:styleId="OutlineNumbered4">
    <w:name w:val="Outline Numbered 4"/>
    <w:basedOn w:val="Normal"/>
    <w:uiPriority w:val="99"/>
    <w:rsid w:val="00E07913"/>
  </w:style>
  <w:style w:type="paragraph" w:customStyle="1" w:styleId="OutlineNumbered5">
    <w:name w:val="Outline Numbered 5"/>
    <w:basedOn w:val="Normal"/>
    <w:uiPriority w:val="99"/>
    <w:rsid w:val="00E07913"/>
    <w:pPr>
      <w:numPr>
        <w:ilvl w:val="4"/>
        <w:numId w:val="2"/>
      </w:numPr>
    </w:pPr>
  </w:style>
  <w:style w:type="paragraph" w:customStyle="1" w:styleId="Crest">
    <w:name w:val="Crest"/>
    <w:basedOn w:val="Header"/>
    <w:uiPriority w:val="99"/>
    <w:rsid w:val="00F23AEE"/>
    <w:pPr>
      <w:spacing w:after="480"/>
      <w:jc w:val="right"/>
    </w:pPr>
  </w:style>
  <w:style w:type="character" w:customStyle="1" w:styleId="SingleParagraphChar">
    <w:name w:val="Single Paragraph Char"/>
    <w:basedOn w:val="DefaultParagraphFont"/>
    <w:link w:val="SingleParagraph"/>
    <w:uiPriority w:val="99"/>
    <w:locked/>
    <w:rsid w:val="00421697"/>
    <w:rPr>
      <w:rFonts w:ascii="Arial" w:hAnsi="Arial" w:cs="Times New Roman"/>
      <w:color w:val="000000"/>
      <w:sz w:val="22"/>
      <w:lang w:val="en-AU" w:eastAsia="en-AU" w:bidi="ar-SA"/>
    </w:rPr>
  </w:style>
  <w:style w:type="character" w:customStyle="1" w:styleId="A5">
    <w:name w:val="A5"/>
    <w:uiPriority w:val="99"/>
    <w:rsid w:val="00240AAC"/>
    <w:rPr>
      <w:color w:val="000000"/>
      <w:sz w:val="20"/>
    </w:rPr>
  </w:style>
  <w:style w:type="character" w:customStyle="1" w:styleId="OutlineNumbered1Char">
    <w:name w:val="Outline Numbered 1 Char"/>
    <w:basedOn w:val="DefaultParagraphFont"/>
    <w:link w:val="OutlineNumbered1"/>
    <w:locked/>
    <w:rsid w:val="004C7DFB"/>
    <w:rPr>
      <w:rFonts w:ascii="Book Antiqua" w:hAnsi="Book Antiqua"/>
      <w:color w:val="000000"/>
      <w:szCs w:val="20"/>
    </w:rPr>
  </w:style>
  <w:style w:type="paragraph" w:styleId="NormalWeb">
    <w:name w:val="Normal (Web)"/>
    <w:basedOn w:val="Normal"/>
    <w:uiPriority w:val="99"/>
    <w:rsid w:val="0086243B"/>
    <w:pPr>
      <w:spacing w:before="100" w:beforeAutospacing="1" w:after="100" w:afterAutospacing="1" w:line="240" w:lineRule="auto"/>
      <w:jc w:val="left"/>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8811">
      <w:bodyDiv w:val="1"/>
      <w:marLeft w:val="0"/>
      <w:marRight w:val="0"/>
      <w:marTop w:val="0"/>
      <w:marBottom w:val="0"/>
      <w:divBdr>
        <w:top w:val="none" w:sz="0" w:space="0" w:color="auto"/>
        <w:left w:val="none" w:sz="0" w:space="0" w:color="auto"/>
        <w:bottom w:val="none" w:sz="0" w:space="0" w:color="auto"/>
        <w:right w:val="none" w:sz="0" w:space="0" w:color="auto"/>
      </w:divBdr>
      <w:divsChild>
        <w:div w:id="1604875266">
          <w:marLeft w:val="0"/>
          <w:marRight w:val="0"/>
          <w:marTop w:val="0"/>
          <w:marBottom w:val="0"/>
          <w:divBdr>
            <w:top w:val="none" w:sz="0" w:space="0" w:color="auto"/>
            <w:left w:val="none" w:sz="0" w:space="0" w:color="auto"/>
            <w:bottom w:val="none" w:sz="0" w:space="0" w:color="auto"/>
            <w:right w:val="none" w:sz="0" w:space="0" w:color="auto"/>
          </w:divBdr>
          <w:divsChild>
            <w:div w:id="10728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8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legalcode" TargetMode="External"/><Relationship Id="rId18" Type="http://schemas.openxmlformats.org/officeDocument/2006/relationships/hyperlink" Target="mailto:financetax@treasury.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creativecommons.org/licenses/by/3.0/au/deed.en" TargetMode="External"/><Relationship Id="rId17" Type="http://schemas.openxmlformats.org/officeDocument/2006/relationships/hyperlink" Target="mailto:medialiaison@treasury.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sanhonour.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reativecommons.org/licenses/by/3.0/au/deed.e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AT%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a68b2f8c34644249b9bbcff9507eca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51FE-5955-432D-AE7C-D6181258B50E}">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4DE58435-FDE3-48C0-ADAE-51A7370C0EA6}">
  <ds:schemaRefs>
    <ds:schemaRef ds:uri="http://schemas.microsoft.com/sharepoint/v3/contenttype/forms"/>
  </ds:schemaRefs>
</ds:datastoreItem>
</file>

<file path=customXml/itemProps3.xml><?xml version="1.0" encoding="utf-8"?>
<ds:datastoreItem xmlns:ds="http://schemas.openxmlformats.org/officeDocument/2006/customXml" ds:itemID="{AA9717AB-7A4F-4B47-BAB0-EDAAF64F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A7FF9C-8484-4085-A0CD-3323962D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Report.dotm</Template>
  <TotalTime>22</TotalTime>
  <Pages>9</Pages>
  <Words>2513</Words>
  <Characters>13633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Laurence</dc:creator>
  <cp:lastModifiedBy>Catanzariti, Lorraine</cp:lastModifiedBy>
  <cp:revision>7</cp:revision>
  <cp:lastPrinted>2012-07-13T04:05:00Z</cp:lastPrinted>
  <dcterms:created xsi:type="dcterms:W3CDTF">2012-07-12T06:09:00Z</dcterms:created>
  <dcterms:modified xsi:type="dcterms:W3CDTF">2012-07-13T04:18:00Z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-708197849</vt:i4>
  </property>
  <property fmtid="{D5CDD505-2E9C-101B-9397-08002B2CF9AE}" pid="3" name="_NewReviewCycle">
    <vt:lpwstr/>
  </property>
  <property fmtid="{D5CDD505-2E9C-101B-9397-08002B2CF9AE}" pid="4" name="_EmailSubject">
    <vt:lpwstr>Discussion Papers to be prepared for release on Treasury's website [SEC=IN-CONFIDENCE]</vt:lpwstr>
  </property>
  <property fmtid="{D5CDD505-2E9C-101B-9397-08002B2CF9AE}" pid="5" name="_AuthorEmail">
    <vt:lpwstr>Lorraine.Catanzariti@TREASURY.GOV.AU</vt:lpwstr>
  </property>
  <property fmtid="{D5CDD505-2E9C-101B-9397-08002B2CF9AE}" pid="6" name="_AuthorEmailDisplayName">
    <vt:lpwstr>Catanzariti, Lorraine</vt:lpwstr>
  </property>
  <property fmtid="{D5CDD505-2E9C-101B-9397-08002B2CF9AE}" pid="7" name="ContentTypeId">
    <vt:lpwstr>0x010100D5EBCAED125CEB43B39DAD94BDEC00A1</vt:lpwstr>
  </property>
  <property fmtid="{D5CDD505-2E9C-101B-9397-08002B2CF9AE}" pid="9" name="_PreviousAdHocReviewCycleID">
    <vt:i4>-1518229817</vt:i4>
  </property>
</Properties>
</file>