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7C147" w14:textId="77777777" w:rsidR="00F109D4" w:rsidRPr="002A310F" w:rsidRDefault="00F109D4" w:rsidP="00647BB7">
      <w:pPr>
        <w:pStyle w:val="Heading1"/>
        <w:spacing w:after="360"/>
        <w:rPr>
          <w:rFonts w:ascii="Times New Roman" w:hAnsi="Times New Roman"/>
        </w:rPr>
      </w:pPr>
      <w:r w:rsidRPr="002A310F">
        <w:rPr>
          <w:rFonts w:ascii="Times New Roman" w:hAnsi="Times New Roman"/>
        </w:rPr>
        <w:t>EXPLANATORY STATEMENT</w:t>
      </w:r>
    </w:p>
    <w:p w14:paraId="1C4E9683" w14:textId="4B1A0BA4" w:rsidR="007662C7" w:rsidRPr="003E1CE3" w:rsidRDefault="00F109D4" w:rsidP="003E1CE3">
      <w:pPr>
        <w:pStyle w:val="Heading2"/>
        <w:jc w:val="center"/>
      </w:pPr>
      <w:r w:rsidRPr="00503E44">
        <w:t xml:space="preserve">Issued by authority of the </w:t>
      </w:r>
      <w:r w:rsidR="00D751B6">
        <w:t>Minister for Revenue and Financial Services</w:t>
      </w:r>
    </w:p>
    <w:p w14:paraId="0DF0F1A4" w14:textId="7D9DB7F6" w:rsidR="00F109D4" w:rsidRPr="00503E44" w:rsidRDefault="00E07E04" w:rsidP="00AA1689">
      <w:pPr>
        <w:spacing w:before="0" w:after="240"/>
        <w:jc w:val="center"/>
        <w:rPr>
          <w:i/>
        </w:rPr>
      </w:pPr>
      <w:r w:rsidRPr="00E07E04">
        <w:rPr>
          <w:i/>
        </w:rPr>
        <w:t xml:space="preserve">Superannuation </w:t>
      </w:r>
      <w:r w:rsidR="009801D3">
        <w:rPr>
          <w:i/>
        </w:rPr>
        <w:t xml:space="preserve">Guarantee </w:t>
      </w:r>
      <w:r w:rsidR="00CD49F4">
        <w:rPr>
          <w:i/>
        </w:rPr>
        <w:t>(</w:t>
      </w:r>
      <w:r w:rsidR="009801D3">
        <w:rPr>
          <w:i/>
        </w:rPr>
        <w:t>Administration</w:t>
      </w:r>
      <w:r w:rsidR="00CD49F4">
        <w:rPr>
          <w:i/>
        </w:rPr>
        <w:t>) Act 19</w:t>
      </w:r>
      <w:r w:rsidR="009801D3">
        <w:rPr>
          <w:i/>
        </w:rPr>
        <w:t>92</w:t>
      </w:r>
    </w:p>
    <w:p w14:paraId="6F72D015" w14:textId="25103C67" w:rsidR="00F109D4" w:rsidRPr="00503E44" w:rsidRDefault="00CD49F4" w:rsidP="00AA1689">
      <w:pPr>
        <w:tabs>
          <w:tab w:val="left" w:pos="1418"/>
        </w:tabs>
        <w:spacing w:before="0" w:after="240"/>
        <w:jc w:val="center"/>
        <w:rPr>
          <w:i/>
        </w:rPr>
      </w:pPr>
      <w:r w:rsidRPr="00E07E04">
        <w:rPr>
          <w:i/>
        </w:rPr>
        <w:t xml:space="preserve">Superannuation </w:t>
      </w:r>
      <w:r w:rsidR="009801D3">
        <w:rPr>
          <w:i/>
        </w:rPr>
        <w:t xml:space="preserve">Guarantee </w:t>
      </w:r>
      <w:r>
        <w:rPr>
          <w:i/>
        </w:rPr>
        <w:t>(</w:t>
      </w:r>
      <w:r w:rsidR="009801D3">
        <w:rPr>
          <w:i/>
        </w:rPr>
        <w:t>Administration</w:t>
      </w:r>
      <w:r>
        <w:rPr>
          <w:i/>
        </w:rPr>
        <w:t xml:space="preserve">) </w:t>
      </w:r>
      <w:r w:rsidR="00E07E04" w:rsidRPr="00E07E04">
        <w:rPr>
          <w:i/>
        </w:rPr>
        <w:t>Regulations 20</w:t>
      </w:r>
      <w:r w:rsidR="00E07E04">
        <w:rPr>
          <w:i/>
        </w:rPr>
        <w:t>18</w:t>
      </w:r>
    </w:p>
    <w:p w14:paraId="2C1E8DB3" w14:textId="781BB509" w:rsidR="00D30DBC" w:rsidRPr="00D30DBC" w:rsidRDefault="00D30DBC" w:rsidP="00CD49F4">
      <w:pPr>
        <w:spacing w:before="0" w:after="240"/>
      </w:pPr>
      <w:r>
        <w:t>Sectio</w:t>
      </w:r>
      <w:bookmarkStart w:id="0" w:name="_GoBack"/>
      <w:bookmarkEnd w:id="0"/>
      <w:r>
        <w:t xml:space="preserve">n </w:t>
      </w:r>
      <w:r w:rsidR="009801D3">
        <w:t>80</w:t>
      </w:r>
      <w:r>
        <w:t xml:space="preserve"> of the </w:t>
      </w:r>
      <w:r>
        <w:rPr>
          <w:i/>
        </w:rPr>
        <w:t xml:space="preserve">Superannuation </w:t>
      </w:r>
      <w:r w:rsidR="009801D3">
        <w:rPr>
          <w:i/>
        </w:rPr>
        <w:t xml:space="preserve">Guarantee </w:t>
      </w:r>
      <w:r>
        <w:rPr>
          <w:i/>
        </w:rPr>
        <w:t>(</w:t>
      </w:r>
      <w:r w:rsidR="009801D3">
        <w:rPr>
          <w:i/>
        </w:rPr>
        <w:t>Administration</w:t>
      </w:r>
      <w:r>
        <w:rPr>
          <w:i/>
        </w:rPr>
        <w:t>) Act 19</w:t>
      </w:r>
      <w:r w:rsidR="009801D3">
        <w:rPr>
          <w:i/>
        </w:rPr>
        <w:t>92</w:t>
      </w:r>
      <w:r>
        <w:t xml:space="preserve"> (the Act) prescribes</w:t>
      </w:r>
      <w:r w:rsidR="009801D3">
        <w:t xml:space="preserve">, that </w:t>
      </w:r>
      <w:r>
        <w:t xml:space="preserve">the Governor-General may make regulations </w:t>
      </w:r>
      <w:r w:rsidRPr="00D30DBC">
        <w:t>prescribing matters required or permitted by the Act to be prescribed, or necessary or convenient to be prescribed for carrying out or giving effect to the Act.</w:t>
      </w:r>
    </w:p>
    <w:p w14:paraId="0F95942A" w14:textId="37270C8A" w:rsidR="00406B95" w:rsidRDefault="00E07E04" w:rsidP="00406B95">
      <w:pPr>
        <w:spacing w:before="240"/>
      </w:pPr>
      <w:r w:rsidRPr="00E07E04">
        <w:t xml:space="preserve">The purpose of the </w:t>
      </w:r>
      <w:r w:rsidR="001856CA" w:rsidRPr="00E07E04">
        <w:rPr>
          <w:i/>
        </w:rPr>
        <w:t xml:space="preserve">Superannuation </w:t>
      </w:r>
      <w:r w:rsidR="009801D3">
        <w:rPr>
          <w:i/>
        </w:rPr>
        <w:t xml:space="preserve">Guarantee </w:t>
      </w:r>
      <w:r w:rsidR="001856CA">
        <w:rPr>
          <w:i/>
        </w:rPr>
        <w:t>(</w:t>
      </w:r>
      <w:r w:rsidR="009801D3">
        <w:rPr>
          <w:i/>
        </w:rPr>
        <w:t>Administration</w:t>
      </w:r>
      <w:r w:rsidR="001856CA">
        <w:rPr>
          <w:i/>
        </w:rPr>
        <w:t xml:space="preserve">) </w:t>
      </w:r>
      <w:r w:rsidR="001856CA" w:rsidRPr="00E07E04">
        <w:rPr>
          <w:i/>
        </w:rPr>
        <w:t>Regulations 20</w:t>
      </w:r>
      <w:r w:rsidR="001856CA">
        <w:rPr>
          <w:i/>
        </w:rPr>
        <w:t>18</w:t>
      </w:r>
      <w:r w:rsidR="001856CA" w:rsidRPr="00231708">
        <w:t xml:space="preserve"> </w:t>
      </w:r>
      <w:r w:rsidR="00231708" w:rsidRPr="00231708">
        <w:t>(</w:t>
      </w:r>
      <w:r w:rsidR="00A342AE">
        <w:t xml:space="preserve">new </w:t>
      </w:r>
      <w:r w:rsidR="00231708" w:rsidRPr="00231708">
        <w:t>Regulations)</w:t>
      </w:r>
      <w:r w:rsidRPr="00E07E04">
        <w:t xml:space="preserve"> </w:t>
      </w:r>
      <w:r w:rsidR="00B62AB2">
        <w:t>is</w:t>
      </w:r>
      <w:r w:rsidRPr="00E07E04">
        <w:t xml:space="preserve"> to remake the </w:t>
      </w:r>
      <w:r w:rsidR="001856CA" w:rsidRPr="00E07E04">
        <w:rPr>
          <w:i/>
        </w:rPr>
        <w:t xml:space="preserve">Superannuation </w:t>
      </w:r>
      <w:r w:rsidR="009801D3">
        <w:rPr>
          <w:i/>
        </w:rPr>
        <w:t xml:space="preserve">Guarantee </w:t>
      </w:r>
      <w:r w:rsidR="001856CA">
        <w:rPr>
          <w:i/>
        </w:rPr>
        <w:t>(</w:t>
      </w:r>
      <w:r w:rsidR="009801D3">
        <w:rPr>
          <w:i/>
        </w:rPr>
        <w:t>Administration</w:t>
      </w:r>
      <w:r w:rsidR="001856CA">
        <w:rPr>
          <w:i/>
        </w:rPr>
        <w:t xml:space="preserve">) </w:t>
      </w:r>
      <w:r w:rsidR="001856CA" w:rsidRPr="00E07E04">
        <w:rPr>
          <w:i/>
        </w:rPr>
        <w:t xml:space="preserve">Regulations </w:t>
      </w:r>
      <w:r w:rsidR="001856CA">
        <w:rPr>
          <w:i/>
        </w:rPr>
        <w:t>199</w:t>
      </w:r>
      <w:r w:rsidR="009801D3">
        <w:rPr>
          <w:i/>
        </w:rPr>
        <w:t>3</w:t>
      </w:r>
      <w:r w:rsidR="00406B95">
        <w:t xml:space="preserve"> </w:t>
      </w:r>
      <w:r w:rsidR="001E5FF9">
        <w:t xml:space="preserve">to </w:t>
      </w:r>
      <w:r w:rsidRPr="00E07E04">
        <w:t xml:space="preserve">ensure </w:t>
      </w:r>
      <w:r w:rsidR="00200038">
        <w:t xml:space="preserve">its legal </w:t>
      </w:r>
      <w:r w:rsidR="001E5FF9">
        <w:t>effect continues.</w:t>
      </w:r>
      <w:r w:rsidR="00B9502D">
        <w:t xml:space="preserve"> </w:t>
      </w:r>
      <w:r w:rsidR="00F02AFF" w:rsidRPr="00F02AFF">
        <w:t xml:space="preserve">The </w:t>
      </w:r>
      <w:r w:rsidR="00F02AFF" w:rsidRPr="00F02AFF">
        <w:rPr>
          <w:i/>
        </w:rPr>
        <w:t>Legislation Act 2003</w:t>
      </w:r>
      <w:r w:rsidR="00F02AFF" w:rsidRPr="00F02AFF">
        <w:t xml:space="preserve"> provides that all legislative instruments, other than exempt instruments, are automatically </w:t>
      </w:r>
      <w:r w:rsidR="00076284">
        <w:t xml:space="preserve">repealed </w:t>
      </w:r>
      <w:r w:rsidR="00406B95">
        <w:t>after 10 years. The</w:t>
      </w:r>
      <w:r w:rsidR="00076284">
        <w:t xml:space="preserve"> </w:t>
      </w:r>
      <w:r w:rsidR="001856CA" w:rsidRPr="00E07E04">
        <w:rPr>
          <w:i/>
        </w:rPr>
        <w:t xml:space="preserve">Superannuation </w:t>
      </w:r>
      <w:r w:rsidR="009801D3">
        <w:rPr>
          <w:i/>
        </w:rPr>
        <w:t xml:space="preserve">Guarantee </w:t>
      </w:r>
      <w:r w:rsidR="001856CA">
        <w:rPr>
          <w:i/>
        </w:rPr>
        <w:t>(</w:t>
      </w:r>
      <w:r w:rsidR="009801D3">
        <w:rPr>
          <w:i/>
        </w:rPr>
        <w:t>Administration</w:t>
      </w:r>
      <w:r w:rsidR="001856CA">
        <w:rPr>
          <w:i/>
        </w:rPr>
        <w:t xml:space="preserve">) </w:t>
      </w:r>
      <w:r w:rsidR="001856CA" w:rsidRPr="00E07E04">
        <w:rPr>
          <w:i/>
        </w:rPr>
        <w:t>Regulations</w:t>
      </w:r>
      <w:r w:rsidR="00A342AE">
        <w:t> </w:t>
      </w:r>
      <w:r w:rsidR="0036072B">
        <w:rPr>
          <w:i/>
        </w:rPr>
        <w:t>199</w:t>
      </w:r>
      <w:r w:rsidR="009801D3">
        <w:rPr>
          <w:i/>
        </w:rPr>
        <w:t>3</w:t>
      </w:r>
      <w:r w:rsidR="001856CA">
        <w:rPr>
          <w:i/>
        </w:rPr>
        <w:t xml:space="preserve"> </w:t>
      </w:r>
      <w:r w:rsidR="00A272F2">
        <w:t>were</w:t>
      </w:r>
      <w:r w:rsidR="00766836">
        <w:t xml:space="preserve"> scheduled for </w:t>
      </w:r>
      <w:r w:rsidR="00076284">
        <w:t>automatic repeal on 1 </w:t>
      </w:r>
      <w:r w:rsidR="009801D3">
        <w:t>October</w:t>
      </w:r>
      <w:r w:rsidR="00076284">
        <w:t> </w:t>
      </w:r>
      <w:r w:rsidR="001856CA">
        <w:t>201</w:t>
      </w:r>
      <w:r w:rsidR="009801D3">
        <w:t>8</w:t>
      </w:r>
      <w:r w:rsidR="00406B95">
        <w:t>.</w:t>
      </w:r>
    </w:p>
    <w:p w14:paraId="14090434" w14:textId="438F9911" w:rsidR="00E07E04" w:rsidRDefault="00E07E04" w:rsidP="00647BB7">
      <w:pPr>
        <w:spacing w:before="240"/>
      </w:pPr>
      <w:r>
        <w:t xml:space="preserve">The purpose of the </w:t>
      </w:r>
      <w:r w:rsidR="0001494A" w:rsidRPr="00E07E04">
        <w:rPr>
          <w:i/>
        </w:rPr>
        <w:t xml:space="preserve">Superannuation </w:t>
      </w:r>
      <w:r w:rsidR="009801D3">
        <w:rPr>
          <w:i/>
        </w:rPr>
        <w:t xml:space="preserve">Guarantee </w:t>
      </w:r>
      <w:r w:rsidR="0001494A">
        <w:rPr>
          <w:i/>
        </w:rPr>
        <w:t>(</w:t>
      </w:r>
      <w:r w:rsidR="009801D3">
        <w:rPr>
          <w:i/>
        </w:rPr>
        <w:t>Administration</w:t>
      </w:r>
      <w:r w:rsidR="0001494A">
        <w:rPr>
          <w:i/>
        </w:rPr>
        <w:t xml:space="preserve">) </w:t>
      </w:r>
      <w:r w:rsidR="0001494A" w:rsidRPr="00E07E04">
        <w:rPr>
          <w:i/>
        </w:rPr>
        <w:t xml:space="preserve">Regulations </w:t>
      </w:r>
      <w:r w:rsidR="0001494A">
        <w:rPr>
          <w:i/>
        </w:rPr>
        <w:t>199</w:t>
      </w:r>
      <w:r w:rsidR="009801D3">
        <w:rPr>
          <w:i/>
        </w:rPr>
        <w:t>3</w:t>
      </w:r>
      <w:r>
        <w:rPr>
          <w:i/>
        </w:rPr>
        <w:t xml:space="preserve"> </w:t>
      </w:r>
      <w:r w:rsidR="00A272F2">
        <w:t>was</w:t>
      </w:r>
      <w:r>
        <w:t xml:space="preserve"> to </w:t>
      </w:r>
      <w:r w:rsidR="00A04749">
        <w:t xml:space="preserve">ensure the smooth administration of the Superannuation Guarantee </w:t>
      </w:r>
      <w:r w:rsidR="00A272F2">
        <w:t xml:space="preserve">system </w:t>
      </w:r>
      <w:r w:rsidR="00A04749">
        <w:t xml:space="preserve">by </w:t>
      </w:r>
      <w:r w:rsidR="00A514E8">
        <w:t>prescrib</w:t>
      </w:r>
      <w:r w:rsidR="00A04749">
        <w:t xml:space="preserve">ing various </w:t>
      </w:r>
      <w:r w:rsidR="009801D3">
        <w:t xml:space="preserve">rules including </w:t>
      </w:r>
      <w:r w:rsidR="00A04749">
        <w:t>reporting requirements</w:t>
      </w:r>
      <w:r w:rsidR="009801D3">
        <w:t xml:space="preserve">, </w:t>
      </w:r>
      <w:r w:rsidR="008B7C76">
        <w:t>f</w:t>
      </w:r>
      <w:r w:rsidR="00A04749">
        <w:t>unds that satisfy the choice of funds requirement</w:t>
      </w:r>
      <w:r w:rsidR="00A272F2">
        <w:t>s</w:t>
      </w:r>
      <w:r w:rsidR="00A04749">
        <w:t>, and the calculation of the super guarantee charge</w:t>
      </w:r>
      <w:r w:rsidR="00A342AE">
        <w:t xml:space="preserve"> </w:t>
      </w:r>
      <w:r w:rsidR="00A272F2">
        <w:t xml:space="preserve">for certain defined benefit funds </w:t>
      </w:r>
      <w:r w:rsidR="009D5C3E">
        <w:t xml:space="preserve">in </w:t>
      </w:r>
      <w:r w:rsidR="00A342AE">
        <w:t xml:space="preserve">certain </w:t>
      </w:r>
      <w:r w:rsidR="009D5C3E">
        <w:t>circumstances</w:t>
      </w:r>
      <w:r w:rsidR="00A04749">
        <w:t>.</w:t>
      </w:r>
      <w:r w:rsidR="00B62AB2">
        <w:t xml:space="preserve"> </w:t>
      </w:r>
      <w:r w:rsidR="00766836">
        <w:t>Th</w:t>
      </w:r>
      <w:r w:rsidR="00A04749">
        <w:t>e</w:t>
      </w:r>
      <w:r w:rsidR="00B62AB2">
        <w:t xml:space="preserve"> </w:t>
      </w:r>
      <w:r w:rsidR="00A342AE">
        <w:t xml:space="preserve">new Regulations continue to </w:t>
      </w:r>
      <w:r w:rsidR="00BC5F70">
        <w:t>achieve</w:t>
      </w:r>
      <w:r w:rsidR="00A342AE">
        <w:t xml:space="preserve"> this purpose</w:t>
      </w:r>
      <w:r w:rsidR="00B62AB2">
        <w:t>.</w:t>
      </w:r>
    </w:p>
    <w:p w14:paraId="5A86B695" w14:textId="07890186" w:rsidR="0001494A" w:rsidRDefault="00766836" w:rsidP="00647BB7">
      <w:pPr>
        <w:spacing w:before="240"/>
      </w:pPr>
      <w:r>
        <w:t xml:space="preserve">The </w:t>
      </w:r>
      <w:r w:rsidR="006E64BE">
        <w:t>new</w:t>
      </w:r>
      <w:r w:rsidR="009D5C3E">
        <w:t xml:space="preserve"> </w:t>
      </w:r>
      <w:r>
        <w:t>R</w:t>
      </w:r>
      <w:r w:rsidR="00E07E04">
        <w:t xml:space="preserve">egulations </w:t>
      </w:r>
      <w:r w:rsidR="009D5C3E">
        <w:t xml:space="preserve">will </w:t>
      </w:r>
      <w:r w:rsidR="00A342AE">
        <w:t xml:space="preserve">commence </w:t>
      </w:r>
      <w:r w:rsidR="00BC5F70">
        <w:t xml:space="preserve">the </w:t>
      </w:r>
      <w:r w:rsidR="00A04749">
        <w:t xml:space="preserve">day after registration on the Federal Register </w:t>
      </w:r>
      <w:r w:rsidR="005618CA">
        <w:t xml:space="preserve">of </w:t>
      </w:r>
      <w:r w:rsidR="006E64BE">
        <w:t>Legislation</w:t>
      </w:r>
      <w:r w:rsidR="0001494A">
        <w:t>.</w:t>
      </w:r>
    </w:p>
    <w:p w14:paraId="40496983" w14:textId="5E37F4EE" w:rsidR="00B9502D" w:rsidRDefault="00B9502D" w:rsidP="0001494A">
      <w:pPr>
        <w:spacing w:before="240"/>
      </w:pPr>
      <w:r>
        <w:t xml:space="preserve">The </w:t>
      </w:r>
      <w:r w:rsidR="006E64BE">
        <w:t xml:space="preserve">new </w:t>
      </w:r>
      <w:r>
        <w:t xml:space="preserve">Regulations remake and improve the </w:t>
      </w:r>
      <w:r w:rsidR="0001494A" w:rsidRPr="00E07E04">
        <w:rPr>
          <w:i/>
        </w:rPr>
        <w:t xml:space="preserve">Superannuation </w:t>
      </w:r>
      <w:r w:rsidR="00A04749">
        <w:rPr>
          <w:i/>
        </w:rPr>
        <w:t xml:space="preserve">Guarantee </w:t>
      </w:r>
      <w:r w:rsidR="0001494A">
        <w:rPr>
          <w:i/>
        </w:rPr>
        <w:t>(</w:t>
      </w:r>
      <w:r w:rsidR="00A04749">
        <w:rPr>
          <w:i/>
        </w:rPr>
        <w:t>Administration</w:t>
      </w:r>
      <w:r w:rsidR="0001494A">
        <w:rPr>
          <w:i/>
        </w:rPr>
        <w:t>) Regulations 199</w:t>
      </w:r>
      <w:r w:rsidR="00A04749">
        <w:rPr>
          <w:i/>
        </w:rPr>
        <w:t>3</w:t>
      </w:r>
      <w:r w:rsidR="0001494A">
        <w:rPr>
          <w:i/>
        </w:rPr>
        <w:t xml:space="preserve"> </w:t>
      </w:r>
      <w:r>
        <w:t>by</w:t>
      </w:r>
      <w:r w:rsidR="00845C60">
        <w:t xml:space="preserve"> repealing </w:t>
      </w:r>
      <w:r w:rsidR="005618CA">
        <w:t>redundant provisions, updating</w:t>
      </w:r>
      <w:r w:rsidR="00845C60">
        <w:t xml:space="preserve"> </w:t>
      </w:r>
      <w:r w:rsidR="006E64BE">
        <w:t xml:space="preserve">references in the </w:t>
      </w:r>
      <w:r w:rsidR="00845C60">
        <w:t xml:space="preserve">provisions, simplifying the provisions and </w:t>
      </w:r>
      <w:r w:rsidRPr="00541B6F">
        <w:t>adopting current drafting practices</w:t>
      </w:r>
      <w:r w:rsidR="0001494A">
        <w:t>,</w:t>
      </w:r>
      <w:r w:rsidRPr="00541B6F">
        <w:t xml:space="preserve"> such as referring to ‘sections’ rather than ‘regulations’. </w:t>
      </w:r>
    </w:p>
    <w:p w14:paraId="1ACCDF2C" w14:textId="77710B4C" w:rsidR="005618CA" w:rsidRDefault="005618CA" w:rsidP="005618CA">
      <w:pPr>
        <w:spacing w:before="240"/>
      </w:pPr>
      <w:r>
        <w:t xml:space="preserve">The proposed changes also update visa class references </w:t>
      </w:r>
      <w:r w:rsidR="001E5FF9">
        <w:t xml:space="preserve">reflecting changes to the </w:t>
      </w:r>
      <w:r w:rsidR="001E5FF9" w:rsidRPr="001E5FF9">
        <w:rPr>
          <w:i/>
        </w:rPr>
        <w:t>Migration Regulations 1994</w:t>
      </w:r>
      <w:r w:rsidR="001E5FF9">
        <w:t xml:space="preserve"> </w:t>
      </w:r>
      <w:r w:rsidR="00C24587">
        <w:t xml:space="preserve">by updating the </w:t>
      </w:r>
      <w:r>
        <w:t>legislative references to retain the intended operation of the Regulations</w:t>
      </w:r>
      <w:r w:rsidR="00C24587">
        <w:t>,</w:t>
      </w:r>
      <w:r>
        <w:t xml:space="preserve"> without substantive effect to meaning or operation of the provisions being rewritten.</w:t>
      </w:r>
    </w:p>
    <w:p w14:paraId="1E72006D" w14:textId="77777777" w:rsidR="00B62AB2" w:rsidRDefault="00B62AB2" w:rsidP="00B62AB2">
      <w:pPr>
        <w:spacing w:before="240"/>
      </w:pPr>
      <w:r w:rsidRPr="00B62AB2">
        <w:t xml:space="preserve">Further details of the Regulations are set out in the </w:t>
      </w:r>
      <w:r w:rsidRPr="00B62AB2">
        <w:rPr>
          <w:u w:val="single"/>
        </w:rPr>
        <w:t>Attachment</w:t>
      </w:r>
      <w:r w:rsidRPr="00B62AB2">
        <w:t>.</w:t>
      </w:r>
    </w:p>
    <w:p w14:paraId="77AA6D38" w14:textId="77777777" w:rsidR="00BC5F70" w:rsidRDefault="00BC5F70" w:rsidP="00BC5F70">
      <w:pPr>
        <w:spacing w:before="240"/>
      </w:pPr>
      <w:r>
        <w:t>The Act does not specify any conditions that need to be met before the power to make the Regulations may be exercised.</w:t>
      </w:r>
    </w:p>
    <w:p w14:paraId="2B77DB23" w14:textId="08122583" w:rsidR="00C516D2" w:rsidRDefault="00BC5F70" w:rsidP="00BC5F70">
      <w:pPr>
        <w:spacing w:before="240"/>
        <w:rPr>
          <w:i/>
        </w:rPr>
      </w:pPr>
      <w:r>
        <w:t xml:space="preserve">The Regulations are a legislative instrument for the purposes of the </w:t>
      </w:r>
      <w:r w:rsidRPr="00BC5F70">
        <w:rPr>
          <w:i/>
        </w:rPr>
        <w:t>Le</w:t>
      </w:r>
      <w:r w:rsidR="009662DF">
        <w:rPr>
          <w:i/>
        </w:rPr>
        <w:t>gislation Act </w:t>
      </w:r>
      <w:r w:rsidRPr="00BC5F70">
        <w:rPr>
          <w:i/>
        </w:rPr>
        <w:t>2003.</w:t>
      </w:r>
    </w:p>
    <w:p w14:paraId="3B35C338" w14:textId="77777777" w:rsidR="00C516D2" w:rsidRDefault="00C516D2">
      <w:pPr>
        <w:spacing w:before="0" w:after="0"/>
        <w:rPr>
          <w:i/>
        </w:rPr>
      </w:pPr>
      <w:r>
        <w:rPr>
          <w:i/>
        </w:rPr>
        <w:br w:type="page"/>
      </w:r>
    </w:p>
    <w:p w14:paraId="155A5597" w14:textId="77777777" w:rsidR="006C436F" w:rsidRDefault="006C436F" w:rsidP="006C436F">
      <w:pPr>
        <w:tabs>
          <w:tab w:val="left" w:pos="2835"/>
        </w:tabs>
        <w:spacing w:before="240"/>
        <w:ind w:right="91"/>
        <w:jc w:val="right"/>
        <w:rPr>
          <w:b/>
          <w:u w:val="single"/>
        </w:rPr>
      </w:pPr>
      <w:r>
        <w:rPr>
          <w:b/>
          <w:u w:val="single"/>
        </w:rPr>
        <w:lastRenderedPageBreak/>
        <w:t>ATTACHMENT</w:t>
      </w:r>
    </w:p>
    <w:p w14:paraId="4592466A" w14:textId="558B370A" w:rsidR="006C436F" w:rsidRPr="004719AA" w:rsidRDefault="006C436F" w:rsidP="006C436F">
      <w:pPr>
        <w:tabs>
          <w:tab w:val="left" w:pos="2835"/>
        </w:tabs>
        <w:spacing w:before="240"/>
        <w:ind w:right="91"/>
        <w:rPr>
          <w:b/>
          <w:u w:val="single"/>
        </w:rPr>
      </w:pPr>
      <w:r w:rsidRPr="00F733D8">
        <w:rPr>
          <w:b/>
          <w:u w:val="single"/>
        </w:rPr>
        <w:t xml:space="preserve">Details of the </w:t>
      </w:r>
      <w:r w:rsidR="004719AA" w:rsidRPr="004719AA">
        <w:rPr>
          <w:b/>
          <w:i/>
          <w:u w:val="single"/>
        </w:rPr>
        <w:t>Superannuation</w:t>
      </w:r>
      <w:r w:rsidR="00D716C4">
        <w:rPr>
          <w:b/>
          <w:i/>
          <w:u w:val="single"/>
        </w:rPr>
        <w:t xml:space="preserve"> Guarantee (Administration) </w:t>
      </w:r>
      <w:r w:rsidRPr="004719AA">
        <w:rPr>
          <w:b/>
          <w:i/>
          <w:u w:val="single"/>
        </w:rPr>
        <w:t>Regulations 2018</w:t>
      </w:r>
    </w:p>
    <w:p w14:paraId="17A43211" w14:textId="232F4793" w:rsidR="006C436F" w:rsidRPr="00F733D8" w:rsidRDefault="006C436F" w:rsidP="006C436F">
      <w:pPr>
        <w:tabs>
          <w:tab w:val="left" w:pos="2835"/>
        </w:tabs>
        <w:spacing w:before="240"/>
        <w:ind w:right="91"/>
      </w:pPr>
      <w:r w:rsidRPr="00F733D8">
        <w:t xml:space="preserve">This Attachment sets out further details of the </w:t>
      </w:r>
      <w:r w:rsidR="004719AA" w:rsidRPr="00E07E04">
        <w:rPr>
          <w:i/>
        </w:rPr>
        <w:t xml:space="preserve">Superannuation </w:t>
      </w:r>
      <w:r w:rsidR="00A04749">
        <w:rPr>
          <w:i/>
        </w:rPr>
        <w:t xml:space="preserve">Guarantee </w:t>
      </w:r>
      <w:r w:rsidR="004719AA">
        <w:rPr>
          <w:i/>
        </w:rPr>
        <w:t>(</w:t>
      </w:r>
      <w:r w:rsidR="00A04749">
        <w:rPr>
          <w:i/>
        </w:rPr>
        <w:t>Administration</w:t>
      </w:r>
      <w:r w:rsidR="004719AA">
        <w:rPr>
          <w:i/>
        </w:rPr>
        <w:t xml:space="preserve">) Regulations </w:t>
      </w:r>
      <w:r w:rsidRPr="00D077A3">
        <w:rPr>
          <w:i/>
        </w:rPr>
        <w:t>2018</w:t>
      </w:r>
      <w:r w:rsidR="00CB14E0">
        <w:t xml:space="preserve"> (new Regulations)</w:t>
      </w:r>
      <w:r>
        <w:t>. A</w:t>
      </w:r>
      <w:r w:rsidRPr="00F733D8">
        <w:t xml:space="preserve">ll references are to the </w:t>
      </w:r>
      <w:r w:rsidR="00CB14E0">
        <w:t xml:space="preserve">new </w:t>
      </w:r>
      <w:r w:rsidRPr="00F733D8">
        <w:t xml:space="preserve">Regulations unless otherwise stated. References to a ‘corresponding provision’ are to the corresponding provision in the </w:t>
      </w:r>
      <w:r w:rsidR="004719AA" w:rsidRPr="00E07E04">
        <w:rPr>
          <w:i/>
        </w:rPr>
        <w:t xml:space="preserve">Superannuation </w:t>
      </w:r>
      <w:r w:rsidR="00A04749">
        <w:rPr>
          <w:i/>
        </w:rPr>
        <w:t xml:space="preserve">Guarantee </w:t>
      </w:r>
      <w:r w:rsidR="004719AA">
        <w:rPr>
          <w:i/>
        </w:rPr>
        <w:t>(</w:t>
      </w:r>
      <w:r w:rsidR="00A04749">
        <w:rPr>
          <w:i/>
        </w:rPr>
        <w:t>Administration</w:t>
      </w:r>
      <w:r w:rsidR="004719AA">
        <w:rPr>
          <w:i/>
        </w:rPr>
        <w:t>) Regulations 199</w:t>
      </w:r>
      <w:r w:rsidR="00A04749">
        <w:rPr>
          <w:i/>
        </w:rPr>
        <w:t>3</w:t>
      </w:r>
      <w:r w:rsidR="00CB14E0">
        <w:t xml:space="preserve"> (1993 Regulations)</w:t>
      </w:r>
      <w:r w:rsidRPr="00F733D8">
        <w:t xml:space="preserve">, as identified by the Finding Table at page </w:t>
      </w:r>
      <w:r w:rsidR="00720AB1">
        <w:t>9</w:t>
      </w:r>
      <w:r w:rsidR="006C47BE">
        <w:t>.</w:t>
      </w:r>
    </w:p>
    <w:p w14:paraId="11217CB0" w14:textId="77777777" w:rsidR="006C436F" w:rsidRPr="00F733D8" w:rsidRDefault="006C436F" w:rsidP="006C436F">
      <w:pPr>
        <w:spacing w:before="240"/>
      </w:pPr>
      <w:r w:rsidRPr="00F733D8">
        <w:t>Changes of a minor or machinery nature, such as references to section rather than regulation in accordance with modern drafting practices, are generally not specifically identified in this Attachment. Where the Regulations make changes that require further explanation, these are identified and explained in this Attachment.</w:t>
      </w:r>
    </w:p>
    <w:p w14:paraId="0FC78B75" w14:textId="1983D4FF" w:rsidR="00A558CD" w:rsidRPr="00A558CD" w:rsidRDefault="006C436F" w:rsidP="006C436F">
      <w:pPr>
        <w:spacing w:before="240"/>
        <w:rPr>
          <w:u w:val="single"/>
        </w:rPr>
      </w:pPr>
      <w:r w:rsidRPr="00A558CD">
        <w:rPr>
          <w:u w:val="single"/>
        </w:rPr>
        <w:t xml:space="preserve">Section 1 – </w:t>
      </w:r>
      <w:r w:rsidR="00A558CD" w:rsidRPr="00A558CD">
        <w:rPr>
          <w:u w:val="single"/>
        </w:rPr>
        <w:t xml:space="preserve">Name </w:t>
      </w:r>
    </w:p>
    <w:p w14:paraId="4CB91C7E" w14:textId="6FB6D750" w:rsidR="006C436F" w:rsidRDefault="00957DC3" w:rsidP="006C436F">
      <w:pPr>
        <w:spacing w:before="240"/>
      </w:pPr>
      <w:r>
        <w:t>Th</w:t>
      </w:r>
      <w:r w:rsidR="005618CA">
        <w:t xml:space="preserve">e section </w:t>
      </w:r>
      <w:r w:rsidR="00F35E96">
        <w:t xml:space="preserve">provides that the </w:t>
      </w:r>
      <w:r w:rsidR="005618CA">
        <w:t xml:space="preserve">title of the </w:t>
      </w:r>
      <w:r w:rsidR="006C436F" w:rsidRPr="004719AA">
        <w:t xml:space="preserve">Regulations </w:t>
      </w:r>
      <w:r w:rsidR="00F35E96">
        <w:t xml:space="preserve">is </w:t>
      </w:r>
      <w:r>
        <w:t xml:space="preserve">the </w:t>
      </w:r>
      <w:r w:rsidR="004719AA" w:rsidRPr="00957DC3">
        <w:rPr>
          <w:i/>
        </w:rPr>
        <w:t xml:space="preserve">Superannuation </w:t>
      </w:r>
      <w:r w:rsidR="00A04749" w:rsidRPr="00957DC3">
        <w:rPr>
          <w:i/>
        </w:rPr>
        <w:t xml:space="preserve">Guarantee </w:t>
      </w:r>
      <w:r w:rsidR="004719AA" w:rsidRPr="00957DC3">
        <w:rPr>
          <w:i/>
        </w:rPr>
        <w:t>(</w:t>
      </w:r>
      <w:r w:rsidR="00A04749" w:rsidRPr="00957DC3">
        <w:rPr>
          <w:i/>
        </w:rPr>
        <w:t>Administration</w:t>
      </w:r>
      <w:r w:rsidR="004719AA" w:rsidRPr="00957DC3">
        <w:rPr>
          <w:i/>
        </w:rPr>
        <w:t xml:space="preserve">) </w:t>
      </w:r>
      <w:r w:rsidR="00463BE3" w:rsidRPr="00957DC3">
        <w:rPr>
          <w:i/>
        </w:rPr>
        <w:t xml:space="preserve">Regulations </w:t>
      </w:r>
      <w:r w:rsidR="006C436F" w:rsidRPr="00957DC3">
        <w:rPr>
          <w:i/>
        </w:rPr>
        <w:t>2018</w:t>
      </w:r>
      <w:r w:rsidR="006C436F">
        <w:t>.</w:t>
      </w:r>
    </w:p>
    <w:p w14:paraId="2ADC495C" w14:textId="064BDB4A" w:rsidR="00A558CD" w:rsidRPr="00A558CD" w:rsidRDefault="006C436F" w:rsidP="006C436F">
      <w:pPr>
        <w:spacing w:before="240"/>
        <w:rPr>
          <w:u w:val="single"/>
        </w:rPr>
      </w:pPr>
      <w:r w:rsidRPr="00A558CD">
        <w:rPr>
          <w:u w:val="single"/>
        </w:rPr>
        <w:t xml:space="preserve">Section 2 – </w:t>
      </w:r>
      <w:r w:rsidR="00A558CD" w:rsidRPr="00A558CD">
        <w:rPr>
          <w:u w:val="single"/>
        </w:rPr>
        <w:t>Commencement</w:t>
      </w:r>
    </w:p>
    <w:p w14:paraId="7486DC38" w14:textId="2D436667" w:rsidR="006C436F" w:rsidRDefault="00957DC3" w:rsidP="006C436F">
      <w:pPr>
        <w:spacing w:before="240"/>
      </w:pPr>
      <w:r>
        <w:t xml:space="preserve">This section </w:t>
      </w:r>
      <w:r w:rsidR="006C436F">
        <w:t xml:space="preserve">provides </w:t>
      </w:r>
      <w:r>
        <w:t xml:space="preserve">that </w:t>
      </w:r>
      <w:r w:rsidR="006C436F">
        <w:t>the Regulation</w:t>
      </w:r>
      <w:r w:rsidR="008B3030">
        <w:t>s</w:t>
      </w:r>
      <w:r w:rsidR="006C436F">
        <w:t xml:space="preserve"> commence</w:t>
      </w:r>
      <w:r w:rsidR="004719AA">
        <w:t xml:space="preserve"> </w:t>
      </w:r>
      <w:r w:rsidR="00A04749">
        <w:t>the day after the</w:t>
      </w:r>
      <w:r>
        <w:t>y</w:t>
      </w:r>
      <w:r w:rsidR="00A04749">
        <w:t xml:space="preserve"> are registered.</w:t>
      </w:r>
    </w:p>
    <w:p w14:paraId="51D5658D" w14:textId="6767B645" w:rsidR="00A558CD" w:rsidRPr="00A558CD" w:rsidRDefault="006C436F" w:rsidP="006C436F">
      <w:pPr>
        <w:spacing w:before="240"/>
        <w:rPr>
          <w:u w:val="single"/>
        </w:rPr>
      </w:pPr>
      <w:r w:rsidRPr="00A558CD">
        <w:rPr>
          <w:u w:val="single"/>
        </w:rPr>
        <w:t xml:space="preserve">Section 3 – </w:t>
      </w:r>
      <w:r w:rsidR="00A558CD" w:rsidRPr="00A558CD">
        <w:rPr>
          <w:u w:val="single"/>
        </w:rPr>
        <w:t>Authority</w:t>
      </w:r>
    </w:p>
    <w:p w14:paraId="74BB575D" w14:textId="306EA89A" w:rsidR="006C436F" w:rsidRDefault="00957DC3" w:rsidP="006C436F">
      <w:pPr>
        <w:spacing w:before="240"/>
      </w:pPr>
      <w:r>
        <w:t xml:space="preserve">This section </w:t>
      </w:r>
      <w:r w:rsidR="006C436F" w:rsidRPr="005E273B">
        <w:t>provides</w:t>
      </w:r>
      <w:r w:rsidR="008A0815">
        <w:t xml:space="preserve"> that </w:t>
      </w:r>
      <w:r w:rsidR="006C436F" w:rsidRPr="005E273B">
        <w:t>the Regulation</w:t>
      </w:r>
      <w:r>
        <w:t>s</w:t>
      </w:r>
      <w:r w:rsidR="006C436F" w:rsidRPr="005E273B">
        <w:t xml:space="preserve"> </w:t>
      </w:r>
      <w:r w:rsidR="008B3030">
        <w:t xml:space="preserve">are </w:t>
      </w:r>
      <w:r w:rsidR="006C436F" w:rsidRPr="005E273B">
        <w:t xml:space="preserve">made under the </w:t>
      </w:r>
      <w:r w:rsidR="005E273B" w:rsidRPr="00957DC3">
        <w:rPr>
          <w:i/>
        </w:rPr>
        <w:t xml:space="preserve">Superannuation </w:t>
      </w:r>
      <w:r w:rsidR="00A04749" w:rsidRPr="00957DC3">
        <w:rPr>
          <w:i/>
        </w:rPr>
        <w:t xml:space="preserve">Guarantee </w:t>
      </w:r>
      <w:r w:rsidR="005E273B" w:rsidRPr="00957DC3">
        <w:rPr>
          <w:i/>
        </w:rPr>
        <w:t>(</w:t>
      </w:r>
      <w:r w:rsidR="00A04749" w:rsidRPr="00957DC3">
        <w:rPr>
          <w:i/>
        </w:rPr>
        <w:t>Administration</w:t>
      </w:r>
      <w:r w:rsidR="005E273B" w:rsidRPr="00957DC3">
        <w:rPr>
          <w:i/>
        </w:rPr>
        <w:t xml:space="preserve">) </w:t>
      </w:r>
      <w:r w:rsidR="00463BE3" w:rsidRPr="00957DC3">
        <w:rPr>
          <w:i/>
        </w:rPr>
        <w:t xml:space="preserve">Act </w:t>
      </w:r>
      <w:r w:rsidR="006C436F" w:rsidRPr="00957DC3">
        <w:rPr>
          <w:i/>
        </w:rPr>
        <w:t>19</w:t>
      </w:r>
      <w:r w:rsidR="00A04749" w:rsidRPr="00957DC3">
        <w:rPr>
          <w:i/>
        </w:rPr>
        <w:t>92</w:t>
      </w:r>
      <w:r w:rsidR="006C436F">
        <w:t>.</w:t>
      </w:r>
    </w:p>
    <w:p w14:paraId="6B26F087" w14:textId="67356685" w:rsidR="00A558CD" w:rsidRPr="00A558CD" w:rsidRDefault="006C436F" w:rsidP="006C436F">
      <w:pPr>
        <w:spacing w:before="240"/>
        <w:rPr>
          <w:u w:val="single"/>
        </w:rPr>
      </w:pPr>
      <w:r w:rsidRPr="00A558CD">
        <w:rPr>
          <w:u w:val="single"/>
        </w:rPr>
        <w:t xml:space="preserve">Section 4 – </w:t>
      </w:r>
      <w:r w:rsidR="00A558CD" w:rsidRPr="00A558CD">
        <w:rPr>
          <w:u w:val="single"/>
        </w:rPr>
        <w:t>Schedules</w:t>
      </w:r>
    </w:p>
    <w:p w14:paraId="521370C3" w14:textId="2046E155" w:rsidR="006C436F" w:rsidRDefault="00957DC3" w:rsidP="006C436F">
      <w:pPr>
        <w:spacing w:before="240"/>
      </w:pPr>
      <w:r>
        <w:t xml:space="preserve">This section </w:t>
      </w:r>
      <w:r w:rsidR="006C436F">
        <w:t>provides that each instrument identified in a Schedule to the Regulations is amended or repealed in accordance with these Regulations.</w:t>
      </w:r>
    </w:p>
    <w:p w14:paraId="7DE5D921" w14:textId="486EE8AA" w:rsidR="00A558CD" w:rsidRPr="00A558CD" w:rsidRDefault="006C436F" w:rsidP="006C436F">
      <w:pPr>
        <w:spacing w:before="240"/>
        <w:rPr>
          <w:u w:val="single"/>
        </w:rPr>
      </w:pPr>
      <w:r w:rsidRPr="00A558CD">
        <w:rPr>
          <w:u w:val="single"/>
        </w:rPr>
        <w:t xml:space="preserve">Section 5 </w:t>
      </w:r>
      <w:r w:rsidR="005E273B" w:rsidRPr="00A558CD">
        <w:rPr>
          <w:u w:val="single"/>
        </w:rPr>
        <w:t>–</w:t>
      </w:r>
      <w:r w:rsidRPr="00A558CD">
        <w:rPr>
          <w:u w:val="single"/>
        </w:rPr>
        <w:t xml:space="preserve"> </w:t>
      </w:r>
      <w:r w:rsidR="00A558CD" w:rsidRPr="00A558CD">
        <w:rPr>
          <w:u w:val="single"/>
        </w:rPr>
        <w:t>Definitions</w:t>
      </w:r>
    </w:p>
    <w:p w14:paraId="4ED9CAEC" w14:textId="4BA94B2E" w:rsidR="006C436F" w:rsidRDefault="00957DC3" w:rsidP="006C436F">
      <w:pPr>
        <w:spacing w:before="240"/>
      </w:pPr>
      <w:r>
        <w:t xml:space="preserve">This is the </w:t>
      </w:r>
      <w:r w:rsidR="005E273B">
        <w:t>definitions section</w:t>
      </w:r>
      <w:r w:rsidR="006C436F">
        <w:t xml:space="preserve"> list</w:t>
      </w:r>
      <w:r w:rsidR="005E273B">
        <w:t>ing</w:t>
      </w:r>
      <w:r w:rsidR="006C436F">
        <w:t xml:space="preserve"> the </w:t>
      </w:r>
      <w:r>
        <w:t xml:space="preserve">all the terms </w:t>
      </w:r>
      <w:r w:rsidR="006C436F">
        <w:t xml:space="preserve">defined in the Regulations. This </w:t>
      </w:r>
      <w:r>
        <w:t xml:space="preserve">section </w:t>
      </w:r>
      <w:r w:rsidR="006C436F">
        <w:t xml:space="preserve">replaces regulation </w:t>
      </w:r>
      <w:r w:rsidR="00D716C4">
        <w:t>2</w:t>
      </w:r>
      <w:r w:rsidR="006C436F">
        <w:t xml:space="preserve"> of the </w:t>
      </w:r>
      <w:r w:rsidR="008E1B4E">
        <w:t>1993</w:t>
      </w:r>
      <w:r w:rsidR="006C436F">
        <w:t xml:space="preserve"> Regulations.</w:t>
      </w:r>
    </w:p>
    <w:p w14:paraId="0DE0D434" w14:textId="62B07212" w:rsidR="000B0381" w:rsidRDefault="008B7C76" w:rsidP="006C436F">
      <w:pPr>
        <w:spacing w:before="240"/>
      </w:pPr>
      <w:r>
        <w:t xml:space="preserve">The definitions have been updated </w:t>
      </w:r>
      <w:r w:rsidR="008E1B4E">
        <w:t>to reflect changes in the law. T</w:t>
      </w:r>
      <w:r>
        <w:t>here is no substantive change in the meaning of the defined terms.</w:t>
      </w:r>
    </w:p>
    <w:p w14:paraId="4A27F2BC" w14:textId="187EE601" w:rsidR="00112D30" w:rsidRPr="00A558CD" w:rsidRDefault="006C436F" w:rsidP="006C436F">
      <w:pPr>
        <w:spacing w:before="240"/>
        <w:rPr>
          <w:u w:val="single"/>
        </w:rPr>
      </w:pPr>
      <w:r w:rsidRPr="00A558CD">
        <w:rPr>
          <w:u w:val="single"/>
        </w:rPr>
        <w:t xml:space="preserve">Section 6 – </w:t>
      </w:r>
      <w:r w:rsidR="00A558CD">
        <w:rPr>
          <w:u w:val="single"/>
        </w:rPr>
        <w:t xml:space="preserve">Defined </w:t>
      </w:r>
      <w:r w:rsidR="00AF6C74">
        <w:rPr>
          <w:u w:val="single"/>
        </w:rPr>
        <w:t>b</w:t>
      </w:r>
      <w:r w:rsidR="00A558CD">
        <w:rPr>
          <w:u w:val="single"/>
        </w:rPr>
        <w:t xml:space="preserve">enefit </w:t>
      </w:r>
      <w:r w:rsidR="00AF6C74">
        <w:rPr>
          <w:u w:val="single"/>
        </w:rPr>
        <w:t>m</w:t>
      </w:r>
      <w:r w:rsidR="00A558CD">
        <w:rPr>
          <w:u w:val="single"/>
        </w:rPr>
        <w:t>ember</w:t>
      </w:r>
    </w:p>
    <w:p w14:paraId="74E1E2C1" w14:textId="7BD29EBE" w:rsidR="000B0381" w:rsidRDefault="00112D30" w:rsidP="00D716C4">
      <w:pPr>
        <w:spacing w:before="240"/>
      </w:pPr>
      <w:r>
        <w:t>This section</w:t>
      </w:r>
      <w:r w:rsidR="008C32CC">
        <w:t xml:space="preserve"> outlines the circumstance in which a member of a superannuation fund will be considered to be a defined benefit member for the purposes of </w:t>
      </w:r>
      <w:r w:rsidR="000A2029">
        <w:t>subsection </w:t>
      </w:r>
      <w:r w:rsidR="00871AB8">
        <w:t xml:space="preserve">19(2CA) of the </w:t>
      </w:r>
      <w:r w:rsidR="005618CA" w:rsidRPr="00B5159E">
        <w:rPr>
          <w:i/>
        </w:rPr>
        <w:t xml:space="preserve">Superannuation Guarantee </w:t>
      </w:r>
      <w:r w:rsidR="00B5159E">
        <w:rPr>
          <w:i/>
        </w:rPr>
        <w:t>(</w:t>
      </w:r>
      <w:r w:rsidR="005618CA" w:rsidRPr="00B5159E">
        <w:rPr>
          <w:i/>
        </w:rPr>
        <w:t>Administration</w:t>
      </w:r>
      <w:r w:rsidR="00B5159E">
        <w:rPr>
          <w:i/>
        </w:rPr>
        <w:t>)</w:t>
      </w:r>
      <w:r w:rsidR="005618CA" w:rsidRPr="00B5159E">
        <w:rPr>
          <w:i/>
        </w:rPr>
        <w:t xml:space="preserve"> Act</w:t>
      </w:r>
      <w:r w:rsidR="00B5159E">
        <w:rPr>
          <w:i/>
        </w:rPr>
        <w:t xml:space="preserve"> 1992</w:t>
      </w:r>
      <w:r w:rsidR="00871AB8">
        <w:t xml:space="preserve"> </w:t>
      </w:r>
      <w:r w:rsidR="008E1B4E">
        <w:t xml:space="preserve">(the Act) </w:t>
      </w:r>
      <w:r w:rsidR="000A2029" w:rsidRPr="000A2029">
        <w:t xml:space="preserve">– </w:t>
      </w:r>
      <w:r w:rsidR="00871AB8">
        <w:t>which deals with individual superannuation guarantee shortfalls</w:t>
      </w:r>
      <w:r w:rsidR="008C32CC">
        <w:t>.</w:t>
      </w:r>
      <w:r>
        <w:t xml:space="preserve"> </w:t>
      </w:r>
    </w:p>
    <w:p w14:paraId="09AC6B48" w14:textId="2024320A" w:rsidR="00AF6C74" w:rsidRDefault="00AF6C74" w:rsidP="006A5A85">
      <w:pPr>
        <w:pStyle w:val="Bullet"/>
        <w:numPr>
          <w:ilvl w:val="0"/>
          <w:numId w:val="0"/>
        </w:numPr>
      </w:pPr>
      <w:r>
        <w:t xml:space="preserve">This </w:t>
      </w:r>
      <w:r w:rsidR="001E5FF9">
        <w:t>section operates in the same way</w:t>
      </w:r>
      <w:r>
        <w:t xml:space="preserve"> as in the corresponding provision in the 1993 Regulations. </w:t>
      </w:r>
    </w:p>
    <w:p w14:paraId="02D9BD94" w14:textId="26AC2B86" w:rsidR="008C32CC" w:rsidRPr="00A558CD" w:rsidRDefault="008C32CC" w:rsidP="006C436F">
      <w:pPr>
        <w:spacing w:before="240"/>
        <w:rPr>
          <w:u w:val="single"/>
        </w:rPr>
      </w:pPr>
      <w:r w:rsidRPr="00A558CD">
        <w:rPr>
          <w:u w:val="single"/>
        </w:rPr>
        <w:lastRenderedPageBreak/>
        <w:t>Section 7</w:t>
      </w:r>
      <w:r w:rsidR="00AF6C74">
        <w:rPr>
          <w:u w:val="single"/>
        </w:rPr>
        <w:t xml:space="preserve"> – Benefit c</w:t>
      </w:r>
      <w:r w:rsidR="00A558CD">
        <w:rPr>
          <w:u w:val="single"/>
        </w:rPr>
        <w:t>ertificates</w:t>
      </w:r>
    </w:p>
    <w:p w14:paraId="75A69130" w14:textId="121CC6BE" w:rsidR="000D5AD1" w:rsidRDefault="00577487" w:rsidP="000D5AD1">
      <w:pPr>
        <w:spacing w:before="240"/>
      </w:pPr>
      <w:r>
        <w:t xml:space="preserve">A benefit certificate is a certificate </w:t>
      </w:r>
      <w:r w:rsidR="000D5AD1">
        <w:t xml:space="preserve">issued </w:t>
      </w:r>
      <w:r>
        <w:t>by an actuary relating to one or more specified defined benefit superannuation schemes.</w:t>
      </w:r>
      <w:r w:rsidR="000D5AD1" w:rsidRPr="000D5AD1">
        <w:t xml:space="preserve"> </w:t>
      </w:r>
      <w:r w:rsidR="000D5AD1">
        <w:t xml:space="preserve">This section prescribes when an employer is required to obtain a benefit certificate and what that certificate must contain. </w:t>
      </w:r>
    </w:p>
    <w:p w14:paraId="3A544395" w14:textId="22E15F46" w:rsidR="006A5A85" w:rsidRDefault="006A5A85" w:rsidP="006A5A85">
      <w:pPr>
        <w:pStyle w:val="Bullet"/>
        <w:numPr>
          <w:ilvl w:val="0"/>
          <w:numId w:val="0"/>
        </w:numPr>
        <w:rPr>
          <w:color w:val="000000" w:themeColor="text1"/>
          <w:szCs w:val="20"/>
        </w:rPr>
      </w:pPr>
      <w:r>
        <w:rPr>
          <w:color w:val="000000" w:themeColor="text1"/>
          <w:szCs w:val="20"/>
        </w:rPr>
        <w:t xml:space="preserve">There has been no substantive change to the </w:t>
      </w:r>
      <w:r w:rsidR="008E1B4E">
        <w:rPr>
          <w:color w:val="000000" w:themeColor="text1"/>
          <w:szCs w:val="20"/>
        </w:rPr>
        <w:t xml:space="preserve">requirements or timing of </w:t>
      </w:r>
      <w:r>
        <w:rPr>
          <w:color w:val="000000" w:themeColor="text1"/>
          <w:szCs w:val="20"/>
        </w:rPr>
        <w:t xml:space="preserve">defined benefit </w:t>
      </w:r>
      <w:r w:rsidR="005A4AA6">
        <w:rPr>
          <w:color w:val="000000" w:themeColor="text1"/>
          <w:szCs w:val="20"/>
        </w:rPr>
        <w:t>certificates. This section operates in the same way as the corresponding provision in the 1993 Regulations.</w:t>
      </w:r>
    </w:p>
    <w:p w14:paraId="02F98C41" w14:textId="5F3C32C9" w:rsidR="008C32CC" w:rsidRPr="00A558CD" w:rsidRDefault="008C32CC" w:rsidP="006C436F">
      <w:pPr>
        <w:spacing w:before="240"/>
        <w:rPr>
          <w:u w:val="single"/>
        </w:rPr>
      </w:pPr>
      <w:r w:rsidRPr="00A558CD">
        <w:rPr>
          <w:u w:val="single"/>
        </w:rPr>
        <w:t>Section 8</w:t>
      </w:r>
      <w:r w:rsidR="00857CE7" w:rsidRPr="00A558CD">
        <w:rPr>
          <w:u w:val="single"/>
        </w:rPr>
        <w:t xml:space="preserve"> </w:t>
      </w:r>
      <w:r w:rsidR="00A558CD" w:rsidRPr="00A558CD">
        <w:rPr>
          <w:u w:val="single"/>
        </w:rPr>
        <w:t>–</w:t>
      </w:r>
      <w:r w:rsidR="00A558CD">
        <w:rPr>
          <w:u w:val="single"/>
        </w:rPr>
        <w:t xml:space="preserve"> </w:t>
      </w:r>
      <w:r w:rsidR="000D602D">
        <w:rPr>
          <w:u w:val="single"/>
        </w:rPr>
        <w:t>Notional c</w:t>
      </w:r>
      <w:r w:rsidR="00A558CD" w:rsidRPr="00A558CD">
        <w:rPr>
          <w:u w:val="single"/>
        </w:rPr>
        <w:t xml:space="preserve">ontribution </w:t>
      </w:r>
      <w:r w:rsidR="000D602D">
        <w:rPr>
          <w:u w:val="single"/>
        </w:rPr>
        <w:t>r</w:t>
      </w:r>
      <w:r w:rsidR="00A558CD" w:rsidRPr="00A558CD">
        <w:rPr>
          <w:u w:val="single"/>
        </w:rPr>
        <w:t>ate</w:t>
      </w:r>
      <w:r w:rsidR="00A558CD">
        <w:rPr>
          <w:u w:val="single"/>
        </w:rPr>
        <w:t xml:space="preserve"> </w:t>
      </w:r>
      <w:r w:rsidR="00C516D2">
        <w:rPr>
          <w:u w:val="single"/>
        </w:rPr>
        <w:t xml:space="preserve">– </w:t>
      </w:r>
      <w:r w:rsidR="00A558CD">
        <w:rPr>
          <w:u w:val="single"/>
        </w:rPr>
        <w:t>general</w:t>
      </w:r>
    </w:p>
    <w:p w14:paraId="11D5D4B9" w14:textId="53C25ACB" w:rsidR="00E960F6" w:rsidRDefault="00F456E5" w:rsidP="007B4877">
      <w:pPr>
        <w:spacing w:before="240"/>
      </w:pPr>
      <w:r>
        <w:t xml:space="preserve">The Regulations prescribe three different methods for calculating </w:t>
      </w:r>
      <w:r w:rsidR="007B4877">
        <w:t>the employer</w:t>
      </w:r>
      <w:r>
        <w:t xml:space="preserve"> notional contribution rate</w:t>
      </w:r>
      <w:r w:rsidR="00E960F6">
        <w:t xml:space="preserve"> for members of a defined benefit fund.</w:t>
      </w:r>
      <w:r w:rsidR="007B4877">
        <w:t xml:space="preserve"> </w:t>
      </w:r>
      <w:r w:rsidR="00E960F6">
        <w:t>Section 9 applies w</w:t>
      </w:r>
      <w:r w:rsidR="00E960F6" w:rsidRPr="00276DE2">
        <w:t>here the minimum requisite benefit in respect of each employee in the class is calculated as an accumulation of employer contributions</w:t>
      </w:r>
      <w:r w:rsidR="00E960F6">
        <w:t>.</w:t>
      </w:r>
      <w:r w:rsidR="007B4877">
        <w:t xml:space="preserve"> </w:t>
      </w:r>
      <w:r w:rsidR="00E960F6">
        <w:t>Section 10 applies if the minimum requisite benefits are fully in defined benefit form and the conditions set out in subsection 10(2) are satisfied.</w:t>
      </w:r>
    </w:p>
    <w:p w14:paraId="03D8E205" w14:textId="04267086" w:rsidR="00E960F6" w:rsidRDefault="00E960F6" w:rsidP="00E960F6">
      <w:pPr>
        <w:spacing w:before="240"/>
      </w:pPr>
      <w:r>
        <w:t xml:space="preserve">This section prescribes the default method of calculating an employer’s notional contribution rate for employees </w:t>
      </w:r>
      <w:r w:rsidR="007B4877">
        <w:t xml:space="preserve">with </w:t>
      </w:r>
      <w:r>
        <w:t xml:space="preserve">members of a defined superannuation scheme who do not fall within section 9 or 10. </w:t>
      </w:r>
    </w:p>
    <w:p w14:paraId="78AEF3D2" w14:textId="61E2987D" w:rsidR="00857CE7" w:rsidRDefault="00857CE7" w:rsidP="00857CE7">
      <w:pPr>
        <w:spacing w:before="240"/>
      </w:pPr>
      <w:r>
        <w:t>Section 8 provides that the notional employer contribution rate is to be calculated by a method decided by an actuary. The actuary must certify that the method adopted:</w:t>
      </w:r>
    </w:p>
    <w:p w14:paraId="4C98CDFC" w14:textId="6A724C4B" w:rsidR="00857CE7" w:rsidRDefault="00857CE7" w:rsidP="00957DC3">
      <w:pPr>
        <w:pStyle w:val="Bullet"/>
      </w:pPr>
      <w:r>
        <w:t>applies to the class of employees;</w:t>
      </w:r>
    </w:p>
    <w:p w14:paraId="66976034" w14:textId="34A3CF9B" w:rsidR="00857CE7" w:rsidRDefault="00857CE7" w:rsidP="00957DC3">
      <w:pPr>
        <w:pStyle w:val="Bullet"/>
      </w:pPr>
      <w:r>
        <w:t>is consistent with the approach in section 9 or the calculation in section 10; and</w:t>
      </w:r>
    </w:p>
    <w:p w14:paraId="73782C0C" w14:textId="0B603492" w:rsidR="00857CE7" w:rsidRDefault="00857CE7" w:rsidP="00957DC3">
      <w:pPr>
        <w:pStyle w:val="Bullet"/>
      </w:pPr>
      <w:r>
        <w:t>gives a notional employer contribution rate that is comparable to the rate at which the employer must contribute to the scheme to provide the employees with the minimum requisite benefit.</w:t>
      </w:r>
    </w:p>
    <w:p w14:paraId="39786906" w14:textId="6A4403D8" w:rsidR="000B3408" w:rsidRDefault="000B3408" w:rsidP="000B3408">
      <w:pPr>
        <w:pStyle w:val="Bullet"/>
        <w:numPr>
          <w:ilvl w:val="0"/>
          <w:numId w:val="0"/>
        </w:numPr>
        <w:rPr>
          <w:color w:val="000000" w:themeColor="text1"/>
          <w:szCs w:val="20"/>
        </w:rPr>
      </w:pPr>
      <w:r>
        <w:rPr>
          <w:color w:val="000000" w:themeColor="text1"/>
          <w:szCs w:val="20"/>
        </w:rPr>
        <w:t xml:space="preserve">There has been no substantive change to the </w:t>
      </w:r>
      <w:r>
        <w:t>notional employer contribution rate</w:t>
      </w:r>
      <w:r>
        <w:rPr>
          <w:color w:val="000000" w:themeColor="text1"/>
          <w:szCs w:val="20"/>
        </w:rPr>
        <w:t>.</w:t>
      </w:r>
      <w:r w:rsidR="005A4AA6">
        <w:rPr>
          <w:color w:val="000000" w:themeColor="text1"/>
          <w:szCs w:val="20"/>
        </w:rPr>
        <w:t xml:space="preserve"> This section has the same effect as the corresponding provision in the 1993 Regulations.</w:t>
      </w:r>
    </w:p>
    <w:p w14:paraId="1AFE47E2" w14:textId="3C90792A" w:rsidR="008C32CC" w:rsidRPr="00A558CD" w:rsidRDefault="008C32CC" w:rsidP="006C436F">
      <w:pPr>
        <w:spacing w:before="240"/>
        <w:rPr>
          <w:u w:val="single"/>
        </w:rPr>
      </w:pPr>
      <w:r w:rsidRPr="00A558CD">
        <w:rPr>
          <w:u w:val="single"/>
        </w:rPr>
        <w:t>Section 9</w:t>
      </w:r>
      <w:r w:rsidR="005A4AA6">
        <w:rPr>
          <w:u w:val="single"/>
        </w:rPr>
        <w:t xml:space="preserve"> – Notional c</w:t>
      </w:r>
      <w:r w:rsidR="00A558CD">
        <w:rPr>
          <w:u w:val="single"/>
        </w:rPr>
        <w:t xml:space="preserve">ontribution </w:t>
      </w:r>
      <w:r w:rsidR="005A4AA6">
        <w:rPr>
          <w:u w:val="single"/>
        </w:rPr>
        <w:t>r</w:t>
      </w:r>
      <w:r w:rsidR="00A558CD">
        <w:rPr>
          <w:u w:val="single"/>
        </w:rPr>
        <w:t xml:space="preserve">ate </w:t>
      </w:r>
      <w:r w:rsidR="00C516D2">
        <w:rPr>
          <w:u w:val="single"/>
        </w:rPr>
        <w:t xml:space="preserve">– </w:t>
      </w:r>
      <w:r w:rsidR="00A558CD">
        <w:rPr>
          <w:u w:val="single"/>
        </w:rPr>
        <w:t>accumulation benefits</w:t>
      </w:r>
    </w:p>
    <w:p w14:paraId="5D1B1C22" w14:textId="3918BCFC" w:rsidR="00F75BAC" w:rsidRDefault="00614207" w:rsidP="00F75BAC">
      <w:r>
        <w:t xml:space="preserve">This section </w:t>
      </w:r>
      <w:r w:rsidR="00F75BAC" w:rsidRPr="00276DE2">
        <w:t xml:space="preserve">sets out how to calculate the notional employer contribution rate with respect to a class of employees who belong to a defined benefit superannuation scheme, where the minimum requisite benefit in respect of each employee in the class is calculated as an accumulation of employer contributions.  </w:t>
      </w:r>
    </w:p>
    <w:p w14:paraId="07F5B3CA" w14:textId="6337BDCD" w:rsidR="000B3408" w:rsidRDefault="000B3408" w:rsidP="000B3408">
      <w:r w:rsidRPr="00FD70F0">
        <w:t xml:space="preserve">There has been no substantive change to </w:t>
      </w:r>
      <w:r>
        <w:t xml:space="preserve">the </w:t>
      </w:r>
      <w:r w:rsidRPr="00FD70F0">
        <w:t>notional employer contribution rate</w:t>
      </w:r>
      <w:r>
        <w:t xml:space="preserve"> for accumulation benefits.</w:t>
      </w:r>
      <w:r w:rsidR="008E1B4E">
        <w:t xml:space="preserve"> </w:t>
      </w:r>
      <w:r w:rsidR="005A4AA6">
        <w:t>This section has the same effect as the corresponding provision in the 1993 Regulations.</w:t>
      </w:r>
    </w:p>
    <w:p w14:paraId="2727C142" w14:textId="7D7292D9" w:rsidR="008C32CC" w:rsidRPr="00A558CD" w:rsidRDefault="008C32CC" w:rsidP="00C516D2">
      <w:pPr>
        <w:keepNext/>
        <w:keepLines/>
        <w:spacing w:before="240"/>
        <w:rPr>
          <w:u w:val="single"/>
        </w:rPr>
      </w:pPr>
      <w:r w:rsidRPr="00A558CD">
        <w:rPr>
          <w:u w:val="single"/>
        </w:rPr>
        <w:t>Section 10</w:t>
      </w:r>
      <w:r w:rsidR="005A4AA6">
        <w:rPr>
          <w:u w:val="single"/>
        </w:rPr>
        <w:t xml:space="preserve"> – Notional c</w:t>
      </w:r>
      <w:r w:rsidR="00A558CD">
        <w:rPr>
          <w:u w:val="single"/>
        </w:rPr>
        <w:t xml:space="preserve">ontribution </w:t>
      </w:r>
      <w:r w:rsidR="005A4AA6">
        <w:rPr>
          <w:u w:val="single"/>
        </w:rPr>
        <w:t>r</w:t>
      </w:r>
      <w:r w:rsidR="00A558CD">
        <w:rPr>
          <w:u w:val="single"/>
        </w:rPr>
        <w:t>ates – defined benefits</w:t>
      </w:r>
    </w:p>
    <w:p w14:paraId="4D10A87D" w14:textId="20D89706" w:rsidR="008D387A" w:rsidRDefault="008D387A" w:rsidP="00C516D2">
      <w:pPr>
        <w:keepNext/>
        <w:keepLines/>
      </w:pPr>
      <w:r>
        <w:t>This section applies to determine the notional employer contribution rate for a class of employees in a defined benefit superannuation scheme if the minimum requisite benefits are fully in defined benefit form and the conditions set out in su</w:t>
      </w:r>
      <w:r w:rsidR="004C2E2E">
        <w:t>b</w:t>
      </w:r>
      <w:r w:rsidR="00D25329">
        <w:t>section</w:t>
      </w:r>
      <w:r w:rsidR="004C2E2E">
        <w:t> </w:t>
      </w:r>
      <w:r w:rsidR="00D25329">
        <w:t>10</w:t>
      </w:r>
      <w:r>
        <w:t>(2) are satisfied.</w:t>
      </w:r>
    </w:p>
    <w:p w14:paraId="7E592104" w14:textId="362A1E4C" w:rsidR="004C2E2E" w:rsidRDefault="004C2E2E" w:rsidP="004C2E2E">
      <w:r>
        <w:t>There is no substantive change to eligibility or calculation of the notional contribution rate for defined benefit scheme employees. This section has the same effect as the corresponding provision in the 1993 Regulations.</w:t>
      </w:r>
    </w:p>
    <w:p w14:paraId="24496157" w14:textId="08699665" w:rsidR="008C32CC" w:rsidRPr="00A558CD" w:rsidRDefault="008C32CC" w:rsidP="006C436F">
      <w:pPr>
        <w:spacing w:before="240"/>
        <w:rPr>
          <w:u w:val="single"/>
        </w:rPr>
      </w:pPr>
      <w:r w:rsidRPr="00A558CD">
        <w:rPr>
          <w:u w:val="single"/>
        </w:rPr>
        <w:t>Section 11</w:t>
      </w:r>
      <w:r w:rsidR="00A558CD">
        <w:rPr>
          <w:u w:val="single"/>
        </w:rPr>
        <w:t xml:space="preserve"> – Excluded Employees</w:t>
      </w:r>
    </w:p>
    <w:p w14:paraId="6FBE8BD2" w14:textId="0A39E44D" w:rsidR="008C6D39" w:rsidRDefault="008C6D39" w:rsidP="008C6D39">
      <w:pPr>
        <w:pStyle w:val="base-text-paragraph"/>
        <w:tabs>
          <w:tab w:val="clear" w:pos="1987"/>
        </w:tabs>
        <w:ind w:left="0"/>
      </w:pPr>
      <w:r>
        <w:t xml:space="preserve">Section 19 of the </w:t>
      </w:r>
      <w:r w:rsidRPr="00113B38">
        <w:t>Act</w:t>
      </w:r>
      <w:r>
        <w:t xml:space="preserve"> provides for a calculation of the superannuation guarantee by reference to the total salary </w:t>
      </w:r>
      <w:r w:rsidR="00CB0F45">
        <w:t xml:space="preserve">or wages </w:t>
      </w:r>
      <w:r>
        <w:t xml:space="preserve">paid by </w:t>
      </w:r>
      <w:r w:rsidR="00113B38">
        <w:t>an</w:t>
      </w:r>
      <w:r>
        <w:t xml:space="preserve"> employer to the</w:t>
      </w:r>
      <w:r w:rsidR="00113B38">
        <w:t>ir</w:t>
      </w:r>
      <w:r>
        <w:t xml:space="preserve"> employee. Section</w:t>
      </w:r>
      <w:r w:rsidR="00A514C5">
        <w:t> </w:t>
      </w:r>
      <w:r>
        <w:t xml:space="preserve">27 of the Act excludes certain categories of salary </w:t>
      </w:r>
      <w:r w:rsidR="00CB0F45">
        <w:t xml:space="preserve">and wages </w:t>
      </w:r>
      <w:r>
        <w:t xml:space="preserve">from the calculation. One such category </w:t>
      </w:r>
      <w:r w:rsidR="00113B38">
        <w:t xml:space="preserve">of excluded salary and wages are </w:t>
      </w:r>
      <w:r>
        <w:t>salary or wages paid to an employee who is a prescribed employee (paragraph 27(1)(d) of the Act).</w:t>
      </w:r>
    </w:p>
    <w:p w14:paraId="22FE914F" w14:textId="77777777" w:rsidR="00101DA8" w:rsidRDefault="00A514C5" w:rsidP="008C6D39">
      <w:pPr>
        <w:pStyle w:val="base-text-paragraph"/>
        <w:tabs>
          <w:tab w:val="clear" w:pos="1987"/>
        </w:tabs>
        <w:ind w:left="0"/>
      </w:pPr>
      <w:r w:rsidRPr="00A514C5">
        <w:t xml:space="preserve">This section </w:t>
      </w:r>
      <w:r>
        <w:t xml:space="preserve">identifies the </w:t>
      </w:r>
      <w:r w:rsidR="00113B38">
        <w:t xml:space="preserve">relevant prescribed </w:t>
      </w:r>
      <w:r>
        <w:t>employees</w:t>
      </w:r>
      <w:r w:rsidR="00101DA8">
        <w:t xml:space="preserve"> whose salary and wages will be excluded from the calculation of the superannuation guarantee.</w:t>
      </w:r>
    </w:p>
    <w:p w14:paraId="330A3824" w14:textId="29722874" w:rsidR="00101DA8" w:rsidRDefault="00101DA8" w:rsidP="008C6D39">
      <w:pPr>
        <w:pStyle w:val="base-text-paragraph"/>
        <w:tabs>
          <w:tab w:val="clear" w:pos="1987"/>
        </w:tabs>
        <w:ind w:left="0"/>
      </w:pPr>
      <w:r>
        <w:t xml:space="preserve">In general, prescribed employees are non-residents working </w:t>
      </w:r>
      <w:r w:rsidR="007B4877">
        <w:t xml:space="preserve">temporarily </w:t>
      </w:r>
      <w:r>
        <w:t xml:space="preserve">in Australia </w:t>
      </w:r>
      <w:r w:rsidR="007B4877">
        <w:t>in executive positions</w:t>
      </w:r>
      <w:r>
        <w:t xml:space="preserve">. </w:t>
      </w:r>
    </w:p>
    <w:p w14:paraId="56B90012" w14:textId="4239E2E1" w:rsidR="00101DA8" w:rsidRDefault="00101DA8" w:rsidP="008C6D39">
      <w:pPr>
        <w:pStyle w:val="base-text-paragraph"/>
        <w:tabs>
          <w:tab w:val="clear" w:pos="1987"/>
        </w:tabs>
        <w:ind w:left="0"/>
      </w:pPr>
      <w:r>
        <w:t>Australia</w:t>
      </w:r>
      <w:r w:rsidR="008E2DCF">
        <w:t xml:space="preserve"> has had a number of changes to</w:t>
      </w:r>
      <w:r>
        <w:t xml:space="preserve"> immigration </w:t>
      </w:r>
      <w:r w:rsidR="008E2DCF">
        <w:t xml:space="preserve">laws </w:t>
      </w:r>
      <w:r>
        <w:t xml:space="preserve">and </w:t>
      </w:r>
      <w:r w:rsidR="00CB0F45">
        <w:t xml:space="preserve">the </w:t>
      </w:r>
      <w:r>
        <w:t xml:space="preserve">classes of visa </w:t>
      </w:r>
      <w:r w:rsidR="008E2DCF">
        <w:t xml:space="preserve">that </w:t>
      </w:r>
      <w:r>
        <w:t xml:space="preserve">apply to </w:t>
      </w:r>
      <w:r w:rsidR="008E2DCF">
        <w:t xml:space="preserve">non-residents working in Australia. This section has been updated to reflect the new classes of visa and </w:t>
      </w:r>
      <w:r w:rsidR="007B4877">
        <w:t xml:space="preserve">updates to the </w:t>
      </w:r>
      <w:r w:rsidR="007B4877" w:rsidRPr="007B4877">
        <w:rPr>
          <w:i/>
        </w:rPr>
        <w:t>Migration R</w:t>
      </w:r>
      <w:r w:rsidR="008E2DCF" w:rsidRPr="007B4877">
        <w:rPr>
          <w:i/>
        </w:rPr>
        <w:t>egulations</w:t>
      </w:r>
      <w:r w:rsidR="007B4877" w:rsidRPr="007B4877">
        <w:rPr>
          <w:i/>
        </w:rPr>
        <w:t xml:space="preserve"> 1994</w:t>
      </w:r>
      <w:r w:rsidR="008E2DCF">
        <w:t>.</w:t>
      </w:r>
      <w:r>
        <w:t xml:space="preserve"> </w:t>
      </w:r>
      <w:r w:rsidR="008E2DCF">
        <w:t>These changes do not represent a change in policy or scope of this section.</w:t>
      </w:r>
    </w:p>
    <w:p w14:paraId="74FE0A3A" w14:textId="4C14F644" w:rsidR="008E2DCF" w:rsidRDefault="004C2E2E" w:rsidP="008E2DCF">
      <w:r>
        <w:t>There is no material change to the list of prescribed employees.</w:t>
      </w:r>
      <w:r w:rsidR="008E2DCF" w:rsidRPr="008E2DCF">
        <w:t xml:space="preserve"> </w:t>
      </w:r>
      <w:r w:rsidR="008E2DCF">
        <w:t xml:space="preserve">This section has the same </w:t>
      </w:r>
      <w:r w:rsidR="00CB0F45">
        <w:t xml:space="preserve">policy </w:t>
      </w:r>
      <w:r w:rsidR="008E2DCF">
        <w:t>effect as the corresponding provisions in the 1993 Regulations.</w:t>
      </w:r>
    </w:p>
    <w:p w14:paraId="2E43E44A" w14:textId="41EC9B98" w:rsidR="00C303ED" w:rsidRDefault="008C32CC" w:rsidP="00A558CD">
      <w:pPr>
        <w:spacing w:before="240"/>
      </w:pPr>
      <w:r w:rsidRPr="00A558CD">
        <w:rPr>
          <w:u w:val="single"/>
        </w:rPr>
        <w:t>Section 12</w:t>
      </w:r>
      <w:r w:rsidR="00CB0F45">
        <w:rPr>
          <w:u w:val="single"/>
        </w:rPr>
        <w:t xml:space="preserve"> –</w:t>
      </w:r>
      <w:r w:rsidR="00A558CD" w:rsidRPr="00A558CD">
        <w:rPr>
          <w:u w:val="single"/>
        </w:rPr>
        <w:t xml:space="preserve"> Excluded salary and wages </w:t>
      </w:r>
    </w:p>
    <w:p w14:paraId="586B3E3D" w14:textId="23551C10" w:rsidR="006C5EAB" w:rsidRPr="00C227F0" w:rsidRDefault="006C5EAB" w:rsidP="006C5EAB">
      <w:r w:rsidRPr="00C227F0">
        <w:t>Th</w:t>
      </w:r>
      <w:r>
        <w:t>is section identifies certain salary and wages as prescribed salary and wages.  Payments of prescribed salary and wages are excluded</w:t>
      </w:r>
      <w:r w:rsidRPr="00C227F0">
        <w:t xml:space="preserve"> </w:t>
      </w:r>
      <w:r>
        <w:t xml:space="preserve">for </w:t>
      </w:r>
      <w:r w:rsidRPr="00C227F0">
        <w:t xml:space="preserve">the purposes of the </w:t>
      </w:r>
      <w:r>
        <w:t xml:space="preserve">calculating an individual superannuation guarantee shortfall under the </w:t>
      </w:r>
      <w:r w:rsidR="00EA2516">
        <w:t>Act</w:t>
      </w:r>
      <w:r>
        <w:rPr>
          <w:iCs/>
        </w:rPr>
        <w:t>.</w:t>
      </w:r>
    </w:p>
    <w:p w14:paraId="253F8B58" w14:textId="33FDFF65" w:rsidR="006C5EAB" w:rsidRDefault="006C5EAB" w:rsidP="006C5EAB">
      <w:r>
        <w:t xml:space="preserve">This list has been updated to remove references to payments under schemes that no longer exist. There is no </w:t>
      </w:r>
      <w:r w:rsidR="00EA2516">
        <w:t xml:space="preserve">material </w:t>
      </w:r>
      <w:r>
        <w:t>change to prescribed salary and wages</w:t>
      </w:r>
      <w:r w:rsidR="00CB0F45">
        <w:t xml:space="preserve"> as compared to the 1993 Regulations</w:t>
      </w:r>
      <w:r>
        <w:t xml:space="preserve">. </w:t>
      </w:r>
    </w:p>
    <w:p w14:paraId="6DB7A41A" w14:textId="1C609501" w:rsidR="008C32CC" w:rsidRPr="00A558CD" w:rsidRDefault="008C32CC" w:rsidP="006C436F">
      <w:pPr>
        <w:spacing w:before="240"/>
        <w:rPr>
          <w:u w:val="single"/>
        </w:rPr>
      </w:pPr>
      <w:r w:rsidRPr="00A558CD">
        <w:rPr>
          <w:u w:val="single"/>
        </w:rPr>
        <w:t>Section 13</w:t>
      </w:r>
      <w:r w:rsidR="00A558CD" w:rsidRPr="00A558CD">
        <w:rPr>
          <w:u w:val="single"/>
        </w:rPr>
        <w:t xml:space="preserve"> – Nominal Interest Component </w:t>
      </w:r>
      <w:r w:rsidR="00CB0F45">
        <w:rPr>
          <w:u w:val="single"/>
        </w:rPr>
        <w:t xml:space="preserve">– </w:t>
      </w:r>
      <w:r w:rsidR="00A558CD" w:rsidRPr="00A558CD">
        <w:rPr>
          <w:u w:val="single"/>
        </w:rPr>
        <w:t>rate</w:t>
      </w:r>
    </w:p>
    <w:p w14:paraId="51953A11" w14:textId="776DEE14" w:rsidR="00DB6834" w:rsidRPr="00DB6834" w:rsidRDefault="00EA2516" w:rsidP="006C436F">
      <w:pPr>
        <w:spacing w:before="240"/>
      </w:pPr>
      <w:r>
        <w:t xml:space="preserve">The </w:t>
      </w:r>
      <w:r w:rsidR="00C303ED" w:rsidRPr="00C303ED">
        <w:t>nominal interest c</w:t>
      </w:r>
      <w:r w:rsidR="008E2DCF">
        <w:t>omponent of the superannuation g</w:t>
      </w:r>
      <w:r w:rsidR="00C303ED" w:rsidRPr="00C303ED">
        <w:t xml:space="preserve">uarantee </w:t>
      </w:r>
      <w:r w:rsidR="008E2DCF">
        <w:t>c</w:t>
      </w:r>
      <w:r w:rsidR="00C303ED" w:rsidRPr="00C303ED">
        <w:t xml:space="preserve">harge, as stipulated in the Act, </w:t>
      </w:r>
      <w:r>
        <w:t xml:space="preserve">remains unchanged at </w:t>
      </w:r>
      <w:r w:rsidR="00C303ED" w:rsidRPr="00C303ED">
        <w:t>10</w:t>
      </w:r>
      <w:r>
        <w:t xml:space="preserve"> per cent per </w:t>
      </w:r>
      <w:r w:rsidR="00C303ED" w:rsidRPr="00C303ED">
        <w:t>annum.</w:t>
      </w:r>
    </w:p>
    <w:p w14:paraId="0345EC39" w14:textId="3EB634BD" w:rsidR="008C32CC" w:rsidRPr="00A558CD" w:rsidRDefault="008C32CC" w:rsidP="006C436F">
      <w:pPr>
        <w:spacing w:before="240"/>
        <w:rPr>
          <w:u w:val="single"/>
        </w:rPr>
      </w:pPr>
      <w:r w:rsidRPr="00A558CD">
        <w:rPr>
          <w:u w:val="single"/>
        </w:rPr>
        <w:t>Section 14</w:t>
      </w:r>
      <w:r w:rsidR="00A558CD">
        <w:rPr>
          <w:u w:val="single"/>
        </w:rPr>
        <w:t xml:space="preserve"> – Requirement for providing or offering insurance in respect of death</w:t>
      </w:r>
    </w:p>
    <w:p w14:paraId="68F424AB" w14:textId="77777777" w:rsidR="001C490A" w:rsidRDefault="002A6F6B" w:rsidP="00AB3C01">
      <w:pPr>
        <w:shd w:val="clear" w:color="auto" w:fill="FFFFFF"/>
        <w:spacing w:before="100" w:beforeAutospacing="1" w:after="100" w:afterAutospacing="1"/>
        <w:rPr>
          <w:szCs w:val="24"/>
        </w:rPr>
      </w:pPr>
      <w:r w:rsidRPr="007D197A">
        <w:rPr>
          <w:szCs w:val="24"/>
        </w:rPr>
        <w:t xml:space="preserve">The </w:t>
      </w:r>
      <w:r w:rsidR="00EA2516">
        <w:rPr>
          <w:szCs w:val="24"/>
        </w:rPr>
        <w:t xml:space="preserve">Act requires an </w:t>
      </w:r>
      <w:r w:rsidRPr="007D197A">
        <w:rPr>
          <w:szCs w:val="24"/>
        </w:rPr>
        <w:t xml:space="preserve">employer </w:t>
      </w:r>
      <w:r w:rsidR="00EA2516">
        <w:rPr>
          <w:szCs w:val="24"/>
        </w:rPr>
        <w:t xml:space="preserve">to </w:t>
      </w:r>
      <w:r w:rsidRPr="007D197A">
        <w:rPr>
          <w:szCs w:val="24"/>
        </w:rPr>
        <w:t xml:space="preserve">make contributions to a </w:t>
      </w:r>
      <w:r w:rsidR="00EA2516">
        <w:rPr>
          <w:szCs w:val="24"/>
        </w:rPr>
        <w:t xml:space="preserve">fund which meets the minimum requirements to offer insurance in respect of death where an employee has not chosen a fund. </w:t>
      </w:r>
      <w:r w:rsidR="008E2DCF">
        <w:rPr>
          <w:szCs w:val="24"/>
        </w:rPr>
        <w:t xml:space="preserve">This section </w:t>
      </w:r>
      <w:r w:rsidR="00EA2516">
        <w:rPr>
          <w:szCs w:val="24"/>
        </w:rPr>
        <w:t>prescribe</w:t>
      </w:r>
      <w:r w:rsidR="008E2DCF">
        <w:rPr>
          <w:szCs w:val="24"/>
        </w:rPr>
        <w:t>s</w:t>
      </w:r>
      <w:r w:rsidR="00EA2516">
        <w:rPr>
          <w:szCs w:val="24"/>
        </w:rPr>
        <w:t xml:space="preserve"> the requirements in relation to offering insurance in respect of death.</w:t>
      </w:r>
    </w:p>
    <w:p w14:paraId="4947E510" w14:textId="2E991C7B" w:rsidR="001C490A" w:rsidRPr="001C490A" w:rsidRDefault="001469BB" w:rsidP="00AB3C01">
      <w:pPr>
        <w:shd w:val="clear" w:color="auto" w:fill="FFFFFF"/>
        <w:spacing w:before="100" w:beforeAutospacing="1" w:after="100" w:afterAutospacing="1"/>
      </w:pPr>
      <w:r w:rsidRPr="001C490A">
        <w:t xml:space="preserve">This section </w:t>
      </w:r>
      <w:r w:rsidRPr="00D95591">
        <w:t>has the same effect as the corr</w:t>
      </w:r>
      <w:r w:rsidR="00F91299">
        <w:t>esponding provision in the 1993 </w:t>
      </w:r>
      <w:r w:rsidRPr="00D95591">
        <w:t xml:space="preserve">Regulations. </w:t>
      </w:r>
    </w:p>
    <w:p w14:paraId="5CDFE00B" w14:textId="5FEF71AE" w:rsidR="001C490A" w:rsidRPr="001C490A" w:rsidRDefault="001C490A" w:rsidP="003565AE">
      <w:pPr>
        <w:spacing w:before="240"/>
      </w:pPr>
      <w:r>
        <w:t xml:space="preserve">Amendments regarding minimum levels of insurance and choice of fund requirements arising out of the </w:t>
      </w:r>
      <w:r w:rsidR="003565AE" w:rsidRPr="006F3694">
        <w:rPr>
          <w:i/>
        </w:rPr>
        <w:t xml:space="preserve">Treasury Laws Amendment (Improving Accountability and Member Outcomes in Superannuation Measures No. </w:t>
      </w:r>
      <w:r w:rsidR="006F3694">
        <w:rPr>
          <w:i/>
        </w:rPr>
        <w:t>2</w:t>
      </w:r>
      <w:r w:rsidR="003565AE" w:rsidRPr="006F3694">
        <w:rPr>
          <w:i/>
        </w:rPr>
        <w:t>) Bill 2017</w:t>
      </w:r>
      <w:r w:rsidR="006F3694">
        <w:rPr>
          <w:i/>
        </w:rPr>
        <w:t xml:space="preserve"> </w:t>
      </w:r>
      <w:r w:rsidR="006F3694" w:rsidRPr="006F3694">
        <w:t xml:space="preserve">and </w:t>
      </w:r>
      <w:r w:rsidR="006F3694" w:rsidRPr="006F3694">
        <w:rPr>
          <w:i/>
        </w:rPr>
        <w:t>Treasury Laws Amendment (Protecting Your Superannuation Package) Bill 2018</w:t>
      </w:r>
      <w:r w:rsidR="006F3694">
        <w:rPr>
          <w:i/>
        </w:rPr>
        <w:t xml:space="preserve"> </w:t>
      </w:r>
      <w:r>
        <w:t>will be made separately after those bills receive Royal Assent.</w:t>
      </w:r>
    </w:p>
    <w:p w14:paraId="7EBDFD18" w14:textId="1E52EB7E" w:rsidR="008C32CC" w:rsidRPr="00957DC3" w:rsidRDefault="008C32CC" w:rsidP="006C436F">
      <w:pPr>
        <w:spacing w:before="240"/>
        <w:rPr>
          <w:u w:val="single"/>
        </w:rPr>
      </w:pPr>
      <w:r w:rsidRPr="00957DC3">
        <w:rPr>
          <w:u w:val="single"/>
        </w:rPr>
        <w:t>Section 15</w:t>
      </w:r>
      <w:r w:rsidR="00957DC3" w:rsidRPr="00957DC3">
        <w:rPr>
          <w:u w:val="single"/>
        </w:rPr>
        <w:t xml:space="preserve"> </w:t>
      </w:r>
      <w:r w:rsidR="00CB0F45">
        <w:rPr>
          <w:u w:val="single"/>
        </w:rPr>
        <w:t xml:space="preserve">– </w:t>
      </w:r>
      <w:r w:rsidR="00957DC3">
        <w:rPr>
          <w:u w:val="single"/>
        </w:rPr>
        <w:t>C</w:t>
      </w:r>
      <w:r w:rsidR="00957DC3" w:rsidRPr="00957DC3">
        <w:rPr>
          <w:u w:val="single"/>
        </w:rPr>
        <w:t xml:space="preserve">ontributions under prescribed legislation </w:t>
      </w:r>
    </w:p>
    <w:p w14:paraId="12473F1D" w14:textId="10F3A0BF" w:rsidR="005F200C" w:rsidRDefault="002A6F6B" w:rsidP="002A6F6B">
      <w:r w:rsidRPr="00D323F4">
        <w:t>To satisfy choice of fund requirements for the purposes of the Act, employers must provide their employees with a choice of superannuation fund to which the employer will make contribut</w:t>
      </w:r>
      <w:r w:rsidR="008E2DCF">
        <w:t>ions on behalf of the employee.</w:t>
      </w:r>
      <w:r w:rsidRPr="00D323F4">
        <w:t xml:space="preserve"> Subsection 32C(9) of the Act provides that contributions made under a Commonwealth, State or Territory law that is prescribed under the </w:t>
      </w:r>
      <w:r w:rsidR="00CB0F45">
        <w:t>r</w:t>
      </w:r>
      <w:r w:rsidR="005F200C">
        <w:t>egulations</w:t>
      </w:r>
      <w:r w:rsidRPr="00D323F4">
        <w:t xml:space="preserve"> are taken to satisfy the choice of fund requirements. Certain public sector superannuation schemes are administered under such laws.</w:t>
      </w:r>
    </w:p>
    <w:p w14:paraId="29CF3CD5" w14:textId="54C7A49B" w:rsidR="005F200C" w:rsidRDefault="005F200C" w:rsidP="002A6F6B">
      <w:r>
        <w:t>This section contains the list of Commonwealth, State and Territory laws that regulat</w:t>
      </w:r>
      <w:r w:rsidR="00FD3D1F">
        <w:t>e</w:t>
      </w:r>
      <w:r>
        <w:t xml:space="preserve"> the public sector superannuation schemes. The list has been updated in consultation with the States and Territories, to omit from the list the references to State </w:t>
      </w:r>
      <w:r w:rsidR="00CB0F45">
        <w:t xml:space="preserve">or Territory </w:t>
      </w:r>
      <w:r>
        <w:t>Acts and Regulations which are no longer required because they are spent or redundant, and adds a new listing to reflect a change in legislative arrangements in Tasmania. The period during which contributions made under the prescribed Act will comply with the choice of fund requirements is also specified.</w:t>
      </w:r>
    </w:p>
    <w:p w14:paraId="3D093A52" w14:textId="77777777" w:rsidR="002A6F6B" w:rsidRPr="00D323F4" w:rsidRDefault="002A6F6B" w:rsidP="002A6F6B">
      <w:r w:rsidRPr="00D323F4">
        <w:rPr>
          <w:u w:val="single"/>
        </w:rPr>
        <w:t>Tasmania</w:t>
      </w:r>
    </w:p>
    <w:p w14:paraId="2CFA079F" w14:textId="3A092771" w:rsidR="002A6F6B" w:rsidRPr="00D323F4" w:rsidRDefault="002A6F6B" w:rsidP="002A6F6B">
      <w:r w:rsidRPr="00D323F4">
        <w:t xml:space="preserve">The references to the following Acts </w:t>
      </w:r>
      <w:r w:rsidR="00B53857">
        <w:t xml:space="preserve">and </w:t>
      </w:r>
      <w:r w:rsidR="00CB0F45">
        <w:t>R</w:t>
      </w:r>
      <w:r w:rsidR="00B53857">
        <w:t xml:space="preserve">egulations </w:t>
      </w:r>
      <w:r w:rsidRPr="00D323F4">
        <w:t xml:space="preserve">are omitted because they are </w:t>
      </w:r>
      <w:r w:rsidR="006D27CE">
        <w:t>no longer operative</w:t>
      </w:r>
      <w:r w:rsidRPr="00D323F4">
        <w:t>:</w:t>
      </w:r>
    </w:p>
    <w:p w14:paraId="6868EF28" w14:textId="7C28436A" w:rsidR="005F200C" w:rsidRPr="009E029C" w:rsidRDefault="005F200C" w:rsidP="005F200C">
      <w:pPr>
        <w:pStyle w:val="Bullet"/>
        <w:rPr>
          <w:i/>
        </w:rPr>
      </w:pPr>
      <w:r w:rsidRPr="009E029C">
        <w:rPr>
          <w:i/>
        </w:rPr>
        <w:t>Public Sector Superannuation Reform Act 1999 (</w:t>
      </w:r>
      <w:proofErr w:type="spellStart"/>
      <w:r w:rsidRPr="009E029C">
        <w:rPr>
          <w:i/>
        </w:rPr>
        <w:t>Tas</w:t>
      </w:r>
      <w:proofErr w:type="spellEnd"/>
      <w:r w:rsidRPr="009E029C">
        <w:rPr>
          <w:i/>
        </w:rPr>
        <w:t>);</w:t>
      </w:r>
    </w:p>
    <w:p w14:paraId="1CABD15D" w14:textId="21DF9A13" w:rsidR="005F200C" w:rsidRPr="009E029C" w:rsidRDefault="005F200C" w:rsidP="005F200C">
      <w:pPr>
        <w:pStyle w:val="Bullet"/>
        <w:rPr>
          <w:i/>
        </w:rPr>
      </w:pPr>
      <w:r w:rsidRPr="009E029C">
        <w:rPr>
          <w:i/>
        </w:rPr>
        <w:t>Retirement Benefits (Parliamentary Superannuation) Regulations 2012 (</w:t>
      </w:r>
      <w:proofErr w:type="spellStart"/>
      <w:r w:rsidRPr="009E029C">
        <w:rPr>
          <w:i/>
        </w:rPr>
        <w:t>Ta</w:t>
      </w:r>
      <w:r w:rsidR="008E2DCF">
        <w:rPr>
          <w:i/>
        </w:rPr>
        <w:t>s</w:t>
      </w:r>
      <w:proofErr w:type="spellEnd"/>
      <w:r w:rsidRPr="009E029C">
        <w:rPr>
          <w:i/>
        </w:rPr>
        <w:t>);</w:t>
      </w:r>
    </w:p>
    <w:p w14:paraId="31641D31" w14:textId="023EC961" w:rsidR="002A6F6B" w:rsidRPr="009E029C" w:rsidRDefault="002A6F6B" w:rsidP="005F200C">
      <w:pPr>
        <w:pStyle w:val="Bullet"/>
        <w:rPr>
          <w:i/>
        </w:rPr>
      </w:pPr>
      <w:r w:rsidRPr="009E029C">
        <w:rPr>
          <w:i/>
        </w:rPr>
        <w:t>Retirement Benefits (</w:t>
      </w:r>
      <w:r w:rsidR="005F200C" w:rsidRPr="009E029C">
        <w:rPr>
          <w:i/>
        </w:rPr>
        <w:t xml:space="preserve">State Fire Commission </w:t>
      </w:r>
      <w:r w:rsidR="009E029C">
        <w:rPr>
          <w:i/>
        </w:rPr>
        <w:t xml:space="preserve">Superannuation </w:t>
      </w:r>
      <w:r w:rsidR="005F200C" w:rsidRPr="009E029C">
        <w:rPr>
          <w:i/>
        </w:rPr>
        <w:t xml:space="preserve">Scheme) Act </w:t>
      </w:r>
      <w:r w:rsidRPr="009E029C">
        <w:rPr>
          <w:i/>
        </w:rPr>
        <w:t>200</w:t>
      </w:r>
      <w:r w:rsidR="005F200C" w:rsidRPr="009E029C">
        <w:rPr>
          <w:i/>
        </w:rPr>
        <w:t>5</w:t>
      </w:r>
      <w:r w:rsidR="00CB0F45">
        <w:rPr>
          <w:i/>
        </w:rPr>
        <w:t xml:space="preserve"> (</w:t>
      </w:r>
      <w:proofErr w:type="spellStart"/>
      <w:r w:rsidR="00CB0F45">
        <w:rPr>
          <w:i/>
        </w:rPr>
        <w:t>Tas</w:t>
      </w:r>
      <w:proofErr w:type="spellEnd"/>
      <w:r w:rsidR="00CB0F45">
        <w:rPr>
          <w:i/>
        </w:rPr>
        <w:t xml:space="preserve">); </w:t>
      </w:r>
      <w:r w:rsidR="00CB0F45" w:rsidRPr="00CB0F45">
        <w:t>and</w:t>
      </w:r>
    </w:p>
    <w:p w14:paraId="2E03FF6D" w14:textId="5012A4EA" w:rsidR="005F200C" w:rsidRPr="009E029C" w:rsidRDefault="005F200C" w:rsidP="005F200C">
      <w:pPr>
        <w:pStyle w:val="Bullet"/>
        <w:rPr>
          <w:i/>
        </w:rPr>
      </w:pPr>
      <w:r w:rsidRPr="009E029C">
        <w:rPr>
          <w:i/>
        </w:rPr>
        <w:t>Retirement Benefits (Tasmanian Ambulance Service Superannuation Scheme) Act 2006 (</w:t>
      </w:r>
      <w:proofErr w:type="spellStart"/>
      <w:r w:rsidRPr="009E029C">
        <w:rPr>
          <w:i/>
        </w:rPr>
        <w:t>Tas</w:t>
      </w:r>
      <w:proofErr w:type="spellEnd"/>
      <w:r w:rsidR="009E029C">
        <w:rPr>
          <w:i/>
        </w:rPr>
        <w:t>)</w:t>
      </w:r>
      <w:r w:rsidR="009E029C">
        <w:t>.</w:t>
      </w:r>
      <w:r w:rsidR="009E029C" w:rsidRPr="009E029C">
        <w:rPr>
          <w:i/>
        </w:rPr>
        <w:t xml:space="preserve"> </w:t>
      </w:r>
    </w:p>
    <w:p w14:paraId="43F320B1" w14:textId="69B732DE" w:rsidR="002A6F6B" w:rsidRDefault="00B53857" w:rsidP="002A6F6B">
      <w:r>
        <w:t xml:space="preserve">The superannuation schemes that previously operated under these instruments have been exclusively regulated by the </w:t>
      </w:r>
      <w:r w:rsidR="009E029C" w:rsidRPr="00B53857">
        <w:rPr>
          <w:i/>
        </w:rPr>
        <w:t>Public Sector</w:t>
      </w:r>
      <w:r w:rsidR="000F07BB">
        <w:rPr>
          <w:i/>
        </w:rPr>
        <w:t xml:space="preserve"> Superannuation Reform Act 2016 </w:t>
      </w:r>
      <w:r w:rsidR="009E029C" w:rsidRPr="00B53857">
        <w:rPr>
          <w:i/>
        </w:rPr>
        <w:t>(</w:t>
      </w:r>
      <w:proofErr w:type="spellStart"/>
      <w:r w:rsidR="009E029C" w:rsidRPr="00B53857">
        <w:rPr>
          <w:i/>
        </w:rPr>
        <w:t>Tas</w:t>
      </w:r>
      <w:proofErr w:type="spellEnd"/>
      <w:r w:rsidR="009E029C" w:rsidRPr="00B53857">
        <w:rPr>
          <w:i/>
        </w:rPr>
        <w:t>)</w:t>
      </w:r>
      <w:r>
        <w:t xml:space="preserve"> since 31 March 2017. Consequently, contributions made to these superannuation schemes </w:t>
      </w:r>
      <w:r w:rsidR="000F07BB">
        <w:t>on or after 31 March 2017</w:t>
      </w:r>
      <w:r w:rsidR="00CB0F45">
        <w:t>,</w:t>
      </w:r>
      <w:r w:rsidR="000F07BB">
        <w:t xml:space="preserve"> </w:t>
      </w:r>
      <w:r>
        <w:t xml:space="preserve">under the new </w:t>
      </w:r>
      <w:r w:rsidRPr="00B53857">
        <w:rPr>
          <w:i/>
        </w:rPr>
        <w:t>Public Sector Superannuation Reform Act 2016 (</w:t>
      </w:r>
      <w:proofErr w:type="spellStart"/>
      <w:r w:rsidRPr="00B53857">
        <w:rPr>
          <w:i/>
        </w:rPr>
        <w:t>Tas</w:t>
      </w:r>
      <w:proofErr w:type="spellEnd"/>
      <w:r w:rsidRPr="00B53857">
        <w:rPr>
          <w:i/>
        </w:rPr>
        <w:t>)</w:t>
      </w:r>
      <w:r w:rsidR="00CB0F45">
        <w:t>,</w:t>
      </w:r>
      <w:r>
        <w:t xml:space="preserve"> continue to satisfy the choice of fund requirements.</w:t>
      </w:r>
    </w:p>
    <w:p w14:paraId="54F71F4C" w14:textId="758C4BA8" w:rsidR="008C32CC" w:rsidRPr="00957DC3" w:rsidRDefault="008C32CC" w:rsidP="006C436F">
      <w:pPr>
        <w:spacing w:before="240"/>
        <w:rPr>
          <w:u w:val="single"/>
        </w:rPr>
      </w:pPr>
      <w:r w:rsidRPr="00957DC3">
        <w:rPr>
          <w:u w:val="single"/>
        </w:rPr>
        <w:t>Section 16</w:t>
      </w:r>
      <w:r w:rsidR="00957DC3" w:rsidRPr="00957DC3">
        <w:rPr>
          <w:u w:val="single"/>
        </w:rPr>
        <w:t xml:space="preserve"> – Chosen funds – information to be provided by employee</w:t>
      </w:r>
    </w:p>
    <w:p w14:paraId="54836A1D" w14:textId="538C9034" w:rsidR="002A6F6B" w:rsidRPr="007D197A" w:rsidRDefault="002A6F6B" w:rsidP="002A6F6B">
      <w:pPr>
        <w:shd w:val="clear" w:color="auto" w:fill="FFFFFF"/>
        <w:spacing w:before="100" w:beforeAutospacing="1" w:after="100" w:afterAutospacing="1"/>
        <w:rPr>
          <w:szCs w:val="24"/>
        </w:rPr>
      </w:pPr>
      <w:r w:rsidRPr="007D197A">
        <w:rPr>
          <w:szCs w:val="24"/>
        </w:rPr>
        <w:t>Th</w:t>
      </w:r>
      <w:r w:rsidR="000A4085">
        <w:rPr>
          <w:szCs w:val="24"/>
        </w:rPr>
        <w:t xml:space="preserve">is section </w:t>
      </w:r>
      <w:r w:rsidRPr="007D197A">
        <w:rPr>
          <w:szCs w:val="24"/>
        </w:rPr>
        <w:t>prescribe</w:t>
      </w:r>
      <w:r w:rsidR="000A4085">
        <w:rPr>
          <w:szCs w:val="24"/>
        </w:rPr>
        <w:t>s</w:t>
      </w:r>
      <w:r w:rsidRPr="007D197A">
        <w:rPr>
          <w:szCs w:val="24"/>
        </w:rPr>
        <w:t xml:space="preserve"> the information an employee who wishes to choose a fund must provide their employer.  </w:t>
      </w:r>
    </w:p>
    <w:p w14:paraId="508ACF33" w14:textId="77777777" w:rsidR="002A6F6B" w:rsidRPr="007D197A" w:rsidRDefault="002A6F6B" w:rsidP="002A6F6B">
      <w:pPr>
        <w:shd w:val="clear" w:color="auto" w:fill="FFFFFF"/>
        <w:spacing w:before="100" w:beforeAutospacing="1" w:after="100" w:afterAutospacing="1"/>
        <w:rPr>
          <w:szCs w:val="24"/>
        </w:rPr>
      </w:pPr>
      <w:r w:rsidRPr="007D197A">
        <w:rPr>
          <w:szCs w:val="24"/>
        </w:rPr>
        <w:t>An employee needs to provide their employer with written documentation setting out:</w:t>
      </w:r>
    </w:p>
    <w:p w14:paraId="783BAA3F" w14:textId="52850ECE" w:rsidR="002A6F6B" w:rsidRPr="007D197A" w:rsidRDefault="002A6F6B" w:rsidP="000A4085">
      <w:pPr>
        <w:pStyle w:val="Bullet"/>
      </w:pPr>
      <w:r w:rsidRPr="007D197A">
        <w:t>their account name with their chosen fund;</w:t>
      </w:r>
    </w:p>
    <w:p w14:paraId="23FF211C" w14:textId="2B374243" w:rsidR="002A6F6B" w:rsidRPr="007D197A" w:rsidRDefault="002A6F6B" w:rsidP="000A4085">
      <w:pPr>
        <w:pStyle w:val="Bullet"/>
      </w:pPr>
      <w:r w:rsidRPr="007D197A">
        <w:t>the number or identifier used by the chosen fund to refer to the employee’s account if this is available. A superannuation fund may not be able to issue an account number in relation to an employee’s account until an ini</w:t>
      </w:r>
      <w:r w:rsidR="004F5127">
        <w:t>tial contribution is received. H</w:t>
      </w:r>
      <w:r w:rsidRPr="007D197A">
        <w:t>owever, the fund may issue another number or identifier which specifically relates to the employee’s interest in the fund;</w:t>
      </w:r>
    </w:p>
    <w:p w14:paraId="0DA5EA25" w14:textId="44629B6F" w:rsidR="002A6F6B" w:rsidRPr="007D197A" w:rsidRDefault="002A6F6B" w:rsidP="000A4085">
      <w:pPr>
        <w:pStyle w:val="Bullet"/>
      </w:pPr>
      <w:r w:rsidRPr="007D197A">
        <w:t>the full name of the chosen fund;</w:t>
      </w:r>
    </w:p>
    <w:p w14:paraId="31143F0C" w14:textId="4550C4F3" w:rsidR="002A6F6B" w:rsidRPr="007D197A" w:rsidRDefault="002A6F6B" w:rsidP="000A4085">
      <w:pPr>
        <w:pStyle w:val="Bullet"/>
      </w:pPr>
      <w:r w:rsidRPr="007D197A">
        <w:t xml:space="preserve">the Australian Business Number of the chosen fund where it is available; </w:t>
      </w:r>
    </w:p>
    <w:p w14:paraId="70C36C46" w14:textId="5F12EDC4" w:rsidR="002A6F6B" w:rsidRPr="007D197A" w:rsidRDefault="002A6F6B" w:rsidP="000A4085">
      <w:pPr>
        <w:pStyle w:val="Bullet"/>
      </w:pPr>
      <w:r w:rsidRPr="007D197A">
        <w:t xml:space="preserve">a written statement which satisfies subsection 25(1) of the </w:t>
      </w:r>
      <w:r w:rsidR="004F5127">
        <w:t>Act</w:t>
      </w:r>
      <w:r w:rsidRPr="007D197A">
        <w:t xml:space="preserve"> from the trustee of the chosen fund. This statement indicates that the fund is a resident regulated superannuation fund within the meaning of the </w:t>
      </w:r>
      <w:r w:rsidRPr="007D197A">
        <w:rPr>
          <w:i/>
        </w:rPr>
        <w:t>Superannuation Industry (Supervision) Act 1993</w:t>
      </w:r>
      <w:r w:rsidRPr="007D197A">
        <w:t xml:space="preserve"> (SIS Act) and is not subject to a direction under section 63 of the SIS Act. Contributions made to a superannuation fund where an employer is in receipt of this written statement are taken to be made to a complying superannuation fund;</w:t>
      </w:r>
    </w:p>
    <w:p w14:paraId="141DAD1F" w14:textId="3DAE57B4" w:rsidR="002A6F6B" w:rsidRPr="007D197A" w:rsidRDefault="002A6F6B" w:rsidP="000A4085">
      <w:pPr>
        <w:pStyle w:val="Bullet"/>
      </w:pPr>
      <w:r w:rsidRPr="007D197A">
        <w:t xml:space="preserve">if it is a </w:t>
      </w:r>
      <w:proofErr w:type="spellStart"/>
      <w:r w:rsidRPr="007D197A">
        <w:t>self</w:t>
      </w:r>
      <w:r w:rsidR="00165737">
        <w:t> </w:t>
      </w:r>
      <w:r w:rsidRPr="007D197A">
        <w:t>managed</w:t>
      </w:r>
      <w:proofErr w:type="spellEnd"/>
      <w:r w:rsidRPr="007D197A">
        <w:t xml:space="preserve"> superannuation fund, evidence from the Australian Taxation Office that the fund is a regulated superannuation fund;</w:t>
      </w:r>
    </w:p>
    <w:p w14:paraId="5187431F" w14:textId="0BFCD14E" w:rsidR="002A6F6B" w:rsidRPr="007D197A" w:rsidRDefault="002A6F6B" w:rsidP="000A4085">
      <w:pPr>
        <w:pStyle w:val="Bullet"/>
      </w:pPr>
      <w:r w:rsidRPr="007D197A">
        <w:t>the information which outlines the methods by which an employer can contribute to the chosen fund</w:t>
      </w:r>
      <w:r w:rsidR="004A0934">
        <w:t>;</w:t>
      </w:r>
    </w:p>
    <w:p w14:paraId="4D26D354" w14:textId="336EE4FD" w:rsidR="002A6F6B" w:rsidRPr="007D197A" w:rsidRDefault="002A6F6B" w:rsidP="000A4085">
      <w:pPr>
        <w:pStyle w:val="Bullet"/>
      </w:pPr>
      <w:r w:rsidRPr="007D197A">
        <w:t>the number or identifier that relates to the superannuation product if the chosen fund uses such a number or identifier. This number may be referred to as a Superannuation Product Identification Number and will distinguish between the products offered by a superannuation fund where the fund may have more than one superannuation product;</w:t>
      </w:r>
      <w:r w:rsidR="00C516D2">
        <w:t xml:space="preserve"> and</w:t>
      </w:r>
    </w:p>
    <w:p w14:paraId="658619E6" w14:textId="6A753200" w:rsidR="002A6F6B" w:rsidRDefault="002A6F6B" w:rsidP="000A4085">
      <w:pPr>
        <w:pStyle w:val="Bullet"/>
      </w:pPr>
      <w:r w:rsidRPr="007D197A">
        <w:t>the number or another identifier an employer may use to identify an employee, for example, the employee’s payroll number, if the employee has one.</w:t>
      </w:r>
    </w:p>
    <w:p w14:paraId="00DE47CD" w14:textId="1D0E0673" w:rsidR="000A4085" w:rsidRPr="007D197A" w:rsidRDefault="000A4085" w:rsidP="000A4085">
      <w:r>
        <w:t xml:space="preserve">This section has the same effect as the </w:t>
      </w:r>
      <w:r w:rsidR="007E1197">
        <w:t>corresponding</w:t>
      </w:r>
      <w:r>
        <w:t xml:space="preserve"> provision in the 1993</w:t>
      </w:r>
      <w:r w:rsidR="004F5127">
        <w:t> </w:t>
      </w:r>
      <w:r>
        <w:t xml:space="preserve">Regulations. </w:t>
      </w:r>
    </w:p>
    <w:p w14:paraId="1EC998CF" w14:textId="61D53339" w:rsidR="008C32CC" w:rsidRPr="00957DC3" w:rsidRDefault="008C32CC" w:rsidP="006C436F">
      <w:pPr>
        <w:spacing w:before="240"/>
        <w:rPr>
          <w:u w:val="single"/>
        </w:rPr>
      </w:pPr>
      <w:r w:rsidRPr="00957DC3">
        <w:rPr>
          <w:u w:val="single"/>
        </w:rPr>
        <w:t>Section 17</w:t>
      </w:r>
      <w:r w:rsidR="00957DC3">
        <w:rPr>
          <w:u w:val="single"/>
        </w:rPr>
        <w:t xml:space="preserve"> – Standard choice form</w:t>
      </w:r>
    </w:p>
    <w:p w14:paraId="6C154B11" w14:textId="1AEF37BF" w:rsidR="002A6F6B" w:rsidRPr="007D197A" w:rsidRDefault="002A6F6B" w:rsidP="002A6F6B">
      <w:pPr>
        <w:shd w:val="clear" w:color="auto" w:fill="FFFFFF"/>
        <w:spacing w:before="100" w:beforeAutospacing="1" w:after="100" w:afterAutospacing="1"/>
        <w:rPr>
          <w:szCs w:val="24"/>
        </w:rPr>
      </w:pPr>
      <w:r w:rsidRPr="007D197A">
        <w:rPr>
          <w:szCs w:val="24"/>
        </w:rPr>
        <w:t xml:space="preserve">The Regulations prescribe that the standard choice form which must be provided to employees by employers under section 32P of the Act, is an approved form </w:t>
      </w:r>
      <w:r w:rsidR="00CB0F45">
        <w:rPr>
          <w:szCs w:val="24"/>
        </w:rPr>
        <w:t xml:space="preserve">in </w:t>
      </w:r>
      <w:r w:rsidRPr="007D197A">
        <w:rPr>
          <w:szCs w:val="24"/>
        </w:rPr>
        <w:t>section 388-50</w:t>
      </w:r>
      <w:r w:rsidR="00A218D1">
        <w:rPr>
          <w:szCs w:val="24"/>
        </w:rPr>
        <w:t xml:space="preserve"> in Schedule 1</w:t>
      </w:r>
      <w:r w:rsidRPr="007D197A">
        <w:rPr>
          <w:szCs w:val="24"/>
        </w:rPr>
        <w:t xml:space="preserve"> </w:t>
      </w:r>
      <w:r w:rsidR="00CB0F45">
        <w:rPr>
          <w:szCs w:val="24"/>
        </w:rPr>
        <w:t xml:space="preserve">to </w:t>
      </w:r>
      <w:r w:rsidRPr="007D197A">
        <w:rPr>
          <w:szCs w:val="24"/>
        </w:rPr>
        <w:t xml:space="preserve">the </w:t>
      </w:r>
      <w:r w:rsidRPr="007D197A">
        <w:rPr>
          <w:i/>
          <w:szCs w:val="24"/>
        </w:rPr>
        <w:t>Taxation Administration Act 1953</w:t>
      </w:r>
      <w:r w:rsidRPr="007D197A">
        <w:rPr>
          <w:szCs w:val="24"/>
        </w:rPr>
        <w:t>.</w:t>
      </w:r>
    </w:p>
    <w:p w14:paraId="4C26C2E9" w14:textId="62917449" w:rsidR="008C32CC" w:rsidRPr="00957DC3" w:rsidRDefault="008C32CC" w:rsidP="006C436F">
      <w:pPr>
        <w:spacing w:before="240"/>
        <w:rPr>
          <w:u w:val="single"/>
        </w:rPr>
      </w:pPr>
      <w:r w:rsidRPr="00957DC3">
        <w:rPr>
          <w:u w:val="single"/>
        </w:rPr>
        <w:t>Section 18</w:t>
      </w:r>
      <w:r w:rsidR="00957DC3" w:rsidRPr="00957DC3">
        <w:rPr>
          <w:u w:val="single"/>
        </w:rPr>
        <w:t xml:space="preserve"> – Employee must be notified of certain shortfall components</w:t>
      </w:r>
    </w:p>
    <w:p w14:paraId="5D358599" w14:textId="5FC4A8E2" w:rsidR="000A4085" w:rsidRDefault="002A6F6B" w:rsidP="000A4085">
      <w:r w:rsidRPr="002A6F6B">
        <w:t>Th</w:t>
      </w:r>
      <w:r w:rsidR="000A4085">
        <w:t xml:space="preserve">is section </w:t>
      </w:r>
      <w:r w:rsidRPr="002A6F6B">
        <w:t>require</w:t>
      </w:r>
      <w:r w:rsidR="000A4085">
        <w:t>s</w:t>
      </w:r>
      <w:r w:rsidRPr="002A6F6B">
        <w:t xml:space="preserve"> the Commissioner </w:t>
      </w:r>
      <w:r w:rsidR="00200038">
        <w:t xml:space="preserve">of Taxation (the Commissioner) </w:t>
      </w:r>
      <w:r w:rsidRPr="002A6F6B">
        <w:t>to give a written notice to an employee of certain shortfall components. The notice must include</w:t>
      </w:r>
      <w:r w:rsidR="00CB0F45">
        <w:t>:</w:t>
      </w:r>
    </w:p>
    <w:p w14:paraId="38344CE3" w14:textId="77777777" w:rsidR="00986EF6" w:rsidRDefault="002A6F6B" w:rsidP="00986EF6">
      <w:pPr>
        <w:pStyle w:val="Bullet"/>
      </w:pPr>
      <w:r w:rsidRPr="002A6F6B">
        <w:t xml:space="preserve">the date of the notice; </w:t>
      </w:r>
    </w:p>
    <w:p w14:paraId="607B5CCD" w14:textId="77777777" w:rsidR="00986EF6" w:rsidRDefault="002A6F6B" w:rsidP="00986EF6">
      <w:pPr>
        <w:pStyle w:val="Bullet"/>
      </w:pPr>
      <w:r w:rsidRPr="002A6F6B">
        <w:t xml:space="preserve">the name of the employer; and </w:t>
      </w:r>
    </w:p>
    <w:p w14:paraId="6B0F4155" w14:textId="77777777" w:rsidR="00986EF6" w:rsidRDefault="002A6F6B" w:rsidP="00986EF6">
      <w:pPr>
        <w:pStyle w:val="Bullet"/>
      </w:pPr>
      <w:r w:rsidRPr="002A6F6B">
        <w:t xml:space="preserve">the amount, or the sum of the amounts, of shortfall component. </w:t>
      </w:r>
    </w:p>
    <w:p w14:paraId="758F9686" w14:textId="77C91605" w:rsidR="002A6F6B" w:rsidRPr="002A6F6B" w:rsidRDefault="002A6F6B" w:rsidP="000A4085">
      <w:r w:rsidRPr="002A6F6B">
        <w:t>A notice may also include a relevant fund.</w:t>
      </w:r>
      <w:r w:rsidR="00986EF6">
        <w:t xml:space="preserve"> </w:t>
      </w:r>
    </w:p>
    <w:p w14:paraId="3095ACB5" w14:textId="414ABECB" w:rsidR="008C32CC" w:rsidRPr="00957DC3" w:rsidRDefault="008C32CC" w:rsidP="006C436F">
      <w:pPr>
        <w:spacing w:before="240"/>
        <w:rPr>
          <w:u w:val="single"/>
        </w:rPr>
      </w:pPr>
      <w:r w:rsidRPr="00957DC3">
        <w:rPr>
          <w:u w:val="single"/>
        </w:rPr>
        <w:t>Section 19</w:t>
      </w:r>
      <w:r w:rsidR="00957DC3" w:rsidRPr="00957DC3">
        <w:rPr>
          <w:u w:val="single"/>
        </w:rPr>
        <w:t xml:space="preserve"> – Responses to notice of a shortfall component</w:t>
      </w:r>
    </w:p>
    <w:p w14:paraId="6C3108AB" w14:textId="0BA8B82B" w:rsidR="00986EF6" w:rsidRDefault="00986EF6" w:rsidP="000F07BB">
      <w:pPr>
        <w:spacing w:before="240"/>
      </w:pPr>
      <w:r w:rsidRPr="00986EF6">
        <w:t>This section outlines how an employee can respond to a notice of a shortfall component</w:t>
      </w:r>
      <w:r>
        <w:t>.</w:t>
      </w:r>
      <w:r w:rsidRPr="00986EF6">
        <w:t xml:space="preserve"> </w:t>
      </w:r>
    </w:p>
    <w:p w14:paraId="58956AA1" w14:textId="6489D73C" w:rsidR="00986EF6" w:rsidRPr="00986EF6" w:rsidRDefault="00986EF6" w:rsidP="006C436F">
      <w:pPr>
        <w:spacing w:before="240"/>
      </w:pPr>
      <w:r>
        <w:t>This section has the same effect as the corr</w:t>
      </w:r>
      <w:r w:rsidR="00F91299">
        <w:t>esponding provision in the 1993 </w:t>
      </w:r>
      <w:r>
        <w:t>Regulations.</w:t>
      </w:r>
    </w:p>
    <w:p w14:paraId="322D6350" w14:textId="3B305C82" w:rsidR="008C32CC" w:rsidRPr="00957DC3" w:rsidRDefault="008C32CC" w:rsidP="006C436F">
      <w:pPr>
        <w:spacing w:before="240"/>
        <w:rPr>
          <w:u w:val="single"/>
        </w:rPr>
      </w:pPr>
      <w:r w:rsidRPr="00957DC3">
        <w:rPr>
          <w:u w:val="single"/>
        </w:rPr>
        <w:t>Section 20</w:t>
      </w:r>
      <w:r w:rsidR="00957DC3" w:rsidRPr="00957DC3">
        <w:rPr>
          <w:u w:val="single"/>
        </w:rPr>
        <w:t xml:space="preserve"> </w:t>
      </w:r>
      <w:r w:rsidR="00CB0F45">
        <w:rPr>
          <w:u w:val="single"/>
        </w:rPr>
        <w:t xml:space="preserve">– </w:t>
      </w:r>
      <w:r w:rsidR="00957DC3" w:rsidRPr="00957DC3">
        <w:rPr>
          <w:u w:val="single"/>
        </w:rPr>
        <w:t>Obligation of responsible officers who receive a request from employee</w:t>
      </w:r>
    </w:p>
    <w:p w14:paraId="348230E5" w14:textId="3ED9E52D" w:rsidR="00986EF6" w:rsidRPr="00986EF6" w:rsidRDefault="00986EF6" w:rsidP="006C436F">
      <w:pPr>
        <w:spacing w:before="240"/>
      </w:pPr>
      <w:r w:rsidRPr="00986EF6">
        <w:t>This section places certain obligations on the responsible officers who receive a request from an employee.</w:t>
      </w:r>
      <w:r w:rsidR="004F5127">
        <w:t xml:space="preserve"> </w:t>
      </w:r>
      <w:r w:rsidRPr="00986EF6">
        <w:t>Failure to comply with the obligations is an offence of strict liability.</w:t>
      </w:r>
    </w:p>
    <w:p w14:paraId="3F089923" w14:textId="5BED41CB" w:rsidR="00986EF6" w:rsidRPr="00986EF6" w:rsidRDefault="00986EF6" w:rsidP="006C436F">
      <w:pPr>
        <w:spacing w:before="240"/>
      </w:pPr>
      <w:r w:rsidRPr="00986EF6">
        <w:t>This section operates in the same way as the corresponding provision in the 1</w:t>
      </w:r>
      <w:r w:rsidR="00F91299">
        <w:t>993 </w:t>
      </w:r>
      <w:r w:rsidRPr="00986EF6">
        <w:t xml:space="preserve">Regulations. </w:t>
      </w:r>
    </w:p>
    <w:p w14:paraId="78366CE1" w14:textId="7A548B5C" w:rsidR="008C32CC" w:rsidRDefault="008C32CC" w:rsidP="006C436F">
      <w:pPr>
        <w:spacing w:before="240"/>
        <w:rPr>
          <w:u w:val="single"/>
        </w:rPr>
      </w:pPr>
      <w:r w:rsidRPr="00957DC3">
        <w:rPr>
          <w:u w:val="single"/>
        </w:rPr>
        <w:t>Section 21</w:t>
      </w:r>
      <w:r w:rsidR="00CB0F45">
        <w:rPr>
          <w:u w:val="single"/>
        </w:rPr>
        <w:t xml:space="preserve"> – </w:t>
      </w:r>
      <w:r w:rsidR="00957DC3" w:rsidRPr="00957DC3">
        <w:rPr>
          <w:u w:val="single"/>
        </w:rPr>
        <w:t>Responses to notice are nominations</w:t>
      </w:r>
    </w:p>
    <w:p w14:paraId="20AD0B12" w14:textId="5C347381" w:rsidR="00DA4433" w:rsidRDefault="00986EF6" w:rsidP="006C436F">
      <w:pPr>
        <w:spacing w:before="240"/>
      </w:pPr>
      <w:r w:rsidRPr="00986EF6">
        <w:t>This section s</w:t>
      </w:r>
      <w:r>
        <w:t>pecifies that a response to a notice sent by the Commissioner is a nomination for the purposes of paragraph 65(1)(</w:t>
      </w:r>
      <w:r w:rsidR="00FD3D1F">
        <w:t>b</w:t>
      </w:r>
      <w:r>
        <w:t>) of the Act.</w:t>
      </w:r>
    </w:p>
    <w:p w14:paraId="37E82EB5" w14:textId="5E8CC225" w:rsidR="00DA4433" w:rsidRPr="00986EF6" w:rsidRDefault="00DA4433" w:rsidP="006C436F">
      <w:pPr>
        <w:spacing w:before="240"/>
      </w:pPr>
      <w:r w:rsidRPr="00986EF6">
        <w:t>This section operates in the same way as the corr</w:t>
      </w:r>
      <w:r w:rsidR="00F91299">
        <w:t>esponding provision in the 1993 </w:t>
      </w:r>
      <w:r w:rsidRPr="00986EF6">
        <w:t xml:space="preserve">Regulations. </w:t>
      </w:r>
    </w:p>
    <w:p w14:paraId="10E4BE19" w14:textId="6DA120E4" w:rsidR="008C32CC" w:rsidRPr="00957DC3" w:rsidRDefault="008C32CC" w:rsidP="006C436F">
      <w:pPr>
        <w:spacing w:before="240"/>
        <w:rPr>
          <w:u w:val="single"/>
        </w:rPr>
      </w:pPr>
      <w:r w:rsidRPr="00957DC3">
        <w:rPr>
          <w:u w:val="single"/>
        </w:rPr>
        <w:t>Section 22</w:t>
      </w:r>
      <w:r w:rsidR="00957DC3" w:rsidRPr="00957DC3">
        <w:rPr>
          <w:u w:val="single"/>
        </w:rPr>
        <w:t xml:space="preserve"> – Nomination of relevant fund by employee</w:t>
      </w:r>
    </w:p>
    <w:p w14:paraId="64C92B73" w14:textId="18733213" w:rsidR="00986EF6" w:rsidRDefault="00986EF6" w:rsidP="006C436F">
      <w:pPr>
        <w:spacing w:before="240"/>
      </w:pPr>
      <w:r w:rsidRPr="00986EF6">
        <w:t>Section 22 allows an emp</w:t>
      </w:r>
      <w:r>
        <w:t>loyee</w:t>
      </w:r>
      <w:r w:rsidR="000F07BB">
        <w:t xml:space="preserve">, whether or not they have been </w:t>
      </w:r>
      <w:r>
        <w:t>given notice under section 18</w:t>
      </w:r>
      <w:r w:rsidR="00CB0F45">
        <w:t>,</w:t>
      </w:r>
      <w:r>
        <w:t xml:space="preserve"> to either </w:t>
      </w:r>
      <w:r w:rsidR="00165737">
        <w:t>request</w:t>
      </w:r>
      <w:r>
        <w:t xml:space="preserve"> the </w:t>
      </w:r>
      <w:r w:rsidR="00165737">
        <w:t>responsible</w:t>
      </w:r>
      <w:r>
        <w:t xml:space="preserve"> officers of a relevant fund to collect the amount of the shortfall component from the Commissioner on their behalf, or to lodge a written </w:t>
      </w:r>
      <w:r w:rsidR="00165737">
        <w:t>nomination</w:t>
      </w:r>
      <w:r>
        <w:t xml:space="preserve"> of a relevant fund with the Commissioner.</w:t>
      </w:r>
    </w:p>
    <w:p w14:paraId="621627F3" w14:textId="6F5B025F" w:rsidR="00DA4433" w:rsidRPr="00986EF6" w:rsidRDefault="00DA4433" w:rsidP="00DA4433">
      <w:pPr>
        <w:spacing w:before="240"/>
      </w:pPr>
      <w:r w:rsidRPr="00986EF6">
        <w:t>This section operates in the same way as the corresponding provision in the 1993</w:t>
      </w:r>
      <w:r w:rsidR="00D95591">
        <w:t> </w:t>
      </w:r>
      <w:r w:rsidRPr="00986EF6">
        <w:t xml:space="preserve">Regulations. </w:t>
      </w:r>
    </w:p>
    <w:p w14:paraId="4A1B5F11" w14:textId="77777777" w:rsidR="008C32CC" w:rsidRPr="00957DC3" w:rsidRDefault="008C32CC" w:rsidP="006C436F">
      <w:pPr>
        <w:spacing w:before="240"/>
        <w:rPr>
          <w:u w:val="single"/>
        </w:rPr>
      </w:pPr>
      <w:r w:rsidRPr="00957DC3">
        <w:rPr>
          <w:u w:val="single"/>
        </w:rPr>
        <w:t>Section 23</w:t>
      </w:r>
      <w:r w:rsidR="00957DC3" w:rsidRPr="00957DC3">
        <w:rPr>
          <w:u w:val="single"/>
        </w:rPr>
        <w:t xml:space="preserve"> – Shortfall component not to be paid in certain circumstances</w:t>
      </w:r>
    </w:p>
    <w:p w14:paraId="49CA2D6B" w14:textId="6720CFAC" w:rsidR="002A6F6B" w:rsidRPr="002A6F6B" w:rsidRDefault="00A10967" w:rsidP="00A10967">
      <w:pPr>
        <w:spacing w:before="240"/>
      </w:pPr>
      <w:r w:rsidRPr="00A10967">
        <w:t xml:space="preserve">This section </w:t>
      </w:r>
      <w:r w:rsidR="002A6F6B">
        <w:t xml:space="preserve">prevents the Commissioner from paying the amount of the shortfall component in respect of an employee, unless sufficient information is reasonably available to the Commissioner to allow the Commissioner to </w:t>
      </w:r>
      <w:r>
        <w:t xml:space="preserve">confirm the </w:t>
      </w:r>
      <w:r w:rsidR="002A6F6B">
        <w:t>identi</w:t>
      </w:r>
      <w:r>
        <w:t>t</w:t>
      </w:r>
      <w:r w:rsidR="002A6F6B">
        <w:t xml:space="preserve">y </w:t>
      </w:r>
      <w:r>
        <w:t xml:space="preserve">of </w:t>
      </w:r>
      <w:r w:rsidR="002A6F6B">
        <w:t>the employee.</w:t>
      </w:r>
    </w:p>
    <w:p w14:paraId="17E5EF58" w14:textId="2C175766" w:rsidR="00A10967" w:rsidRPr="00986EF6" w:rsidRDefault="00A10967" w:rsidP="00A10967">
      <w:pPr>
        <w:spacing w:before="240"/>
      </w:pPr>
      <w:r w:rsidRPr="00986EF6">
        <w:t>This section operates in the same way as the corr</w:t>
      </w:r>
      <w:r w:rsidR="00F91299">
        <w:t>esponding provision in the 1993 </w:t>
      </w:r>
      <w:r w:rsidRPr="00986EF6">
        <w:t xml:space="preserve">Regulations. </w:t>
      </w:r>
    </w:p>
    <w:p w14:paraId="6164243A" w14:textId="64692A24" w:rsidR="008C32CC" w:rsidRPr="00957DC3" w:rsidRDefault="008C32CC" w:rsidP="006C436F">
      <w:pPr>
        <w:spacing w:before="240"/>
        <w:rPr>
          <w:u w:val="single"/>
        </w:rPr>
      </w:pPr>
      <w:r w:rsidRPr="00957DC3">
        <w:rPr>
          <w:u w:val="single"/>
        </w:rPr>
        <w:t>Section 24</w:t>
      </w:r>
      <w:r w:rsidR="00957DC3" w:rsidRPr="00957DC3">
        <w:rPr>
          <w:u w:val="single"/>
        </w:rPr>
        <w:t xml:space="preserve"> – Approved </w:t>
      </w:r>
      <w:r w:rsidR="00A10967">
        <w:rPr>
          <w:u w:val="single"/>
        </w:rPr>
        <w:t>c</w:t>
      </w:r>
      <w:r w:rsidR="00957DC3" w:rsidRPr="00957DC3">
        <w:rPr>
          <w:u w:val="single"/>
        </w:rPr>
        <w:t xml:space="preserve">learing </w:t>
      </w:r>
      <w:r w:rsidR="00A10967">
        <w:rPr>
          <w:u w:val="single"/>
        </w:rPr>
        <w:t>h</w:t>
      </w:r>
      <w:r w:rsidR="00957DC3" w:rsidRPr="00957DC3">
        <w:rPr>
          <w:u w:val="single"/>
        </w:rPr>
        <w:t>ouses</w:t>
      </w:r>
    </w:p>
    <w:p w14:paraId="653F166F" w14:textId="68C79A95" w:rsidR="00552967" w:rsidRPr="00D323F4" w:rsidRDefault="00552967" w:rsidP="00552967">
      <w:r w:rsidRPr="00D323F4">
        <w:t xml:space="preserve">Under the Act, employers are required to make contributions to superannuation funds on behalf of employees.  </w:t>
      </w:r>
      <w:r w:rsidR="00C210DA">
        <w:t xml:space="preserve"> </w:t>
      </w:r>
      <w:r w:rsidRPr="00D323F4">
        <w:t>Instead of making contributions to superannuation funds directly, employers can make the payments to an approved clearing house, which then distributes the payments to the superannuation fund of the em</w:t>
      </w:r>
      <w:r w:rsidR="00C210DA">
        <w:t xml:space="preserve">ployee.  </w:t>
      </w:r>
      <w:r w:rsidR="00A10967">
        <w:t>S</w:t>
      </w:r>
      <w:r w:rsidR="00C210DA">
        <w:t>ubsection </w:t>
      </w:r>
      <w:r w:rsidRPr="00D323F4">
        <w:t>79A(3) of the Act provides that an approved clearing house means a body specified in the Regulations.</w:t>
      </w:r>
    </w:p>
    <w:p w14:paraId="09E9259D" w14:textId="7DD68897" w:rsidR="00552967" w:rsidRDefault="00C210DA" w:rsidP="00552967">
      <w:r>
        <w:t>T</w:t>
      </w:r>
      <w:r w:rsidR="00552967" w:rsidRPr="00D323F4">
        <w:t xml:space="preserve">he Australian Taxation Office is </w:t>
      </w:r>
      <w:r w:rsidR="00A10967">
        <w:t xml:space="preserve">the only </w:t>
      </w:r>
      <w:r w:rsidR="00552967" w:rsidRPr="00D323F4">
        <w:t xml:space="preserve">approved clearing house for the purposes of subsection 79A(3) of the Act.  </w:t>
      </w:r>
    </w:p>
    <w:p w14:paraId="2D93D10F" w14:textId="0F2FA3E8" w:rsidR="008C32CC" w:rsidRPr="00957DC3" w:rsidRDefault="008C32CC" w:rsidP="006C436F">
      <w:pPr>
        <w:spacing w:before="240"/>
        <w:rPr>
          <w:u w:val="single"/>
        </w:rPr>
      </w:pPr>
      <w:r w:rsidRPr="00957DC3">
        <w:rPr>
          <w:u w:val="single"/>
        </w:rPr>
        <w:t>Section 25</w:t>
      </w:r>
      <w:r w:rsidR="00957DC3" w:rsidRPr="00957DC3">
        <w:rPr>
          <w:u w:val="single"/>
        </w:rPr>
        <w:t xml:space="preserve"> – Application </w:t>
      </w:r>
      <w:r w:rsidR="000D050F" w:rsidRPr="00957DC3">
        <w:rPr>
          <w:u w:val="single"/>
        </w:rPr>
        <w:t>–</w:t>
      </w:r>
      <w:r w:rsidR="000D050F">
        <w:rPr>
          <w:u w:val="single"/>
        </w:rPr>
        <w:t xml:space="preserve"> contributions</w:t>
      </w:r>
    </w:p>
    <w:p w14:paraId="29ACD786" w14:textId="5E95F243" w:rsidR="00F93499" w:rsidRDefault="00F93499" w:rsidP="00F93499">
      <w:r>
        <w:t>The regulation of public sector superannuation funds in Tasmania has been reformed</w:t>
      </w:r>
      <w:r w:rsidR="00503852">
        <w:t xml:space="preserve"> with the introduction of the</w:t>
      </w:r>
      <w:r>
        <w:t xml:space="preserve"> </w:t>
      </w:r>
      <w:r w:rsidRPr="00B53857">
        <w:rPr>
          <w:i/>
        </w:rPr>
        <w:t>Public Sector</w:t>
      </w:r>
      <w:r>
        <w:rPr>
          <w:i/>
        </w:rPr>
        <w:t xml:space="preserve"> Superannuation Reform Act 2016 </w:t>
      </w:r>
      <w:r w:rsidRPr="00B53857">
        <w:rPr>
          <w:i/>
        </w:rPr>
        <w:t>(</w:t>
      </w:r>
      <w:proofErr w:type="spellStart"/>
      <w:r w:rsidRPr="00B53857">
        <w:rPr>
          <w:i/>
        </w:rPr>
        <w:t>Tas</w:t>
      </w:r>
      <w:proofErr w:type="spellEnd"/>
      <w:r w:rsidRPr="00B53857">
        <w:rPr>
          <w:i/>
        </w:rPr>
        <w:t>)</w:t>
      </w:r>
      <w:r>
        <w:t xml:space="preserve"> replac</w:t>
      </w:r>
      <w:r w:rsidR="00503852">
        <w:t xml:space="preserve">ing </w:t>
      </w:r>
      <w:r>
        <w:t xml:space="preserve">a number of </w:t>
      </w:r>
      <w:r w:rsidR="00503852">
        <w:t xml:space="preserve">Tasmanian </w:t>
      </w:r>
      <w:r>
        <w:t>State Acts and Regulations</w:t>
      </w:r>
      <w:r w:rsidR="00503852">
        <w:t>.</w:t>
      </w:r>
    </w:p>
    <w:p w14:paraId="302BC520" w14:textId="01827AA1" w:rsidR="00FB49A6" w:rsidRDefault="00FB49A6" w:rsidP="00FB49A6">
      <w:r w:rsidRPr="00FB49A6">
        <w:t xml:space="preserve">From 31 March 2017, </w:t>
      </w:r>
      <w:r>
        <w:t xml:space="preserve">payments to Tasmanian public sector superannuation funds are made exclusively under the </w:t>
      </w:r>
      <w:r w:rsidRPr="00B53857">
        <w:rPr>
          <w:i/>
        </w:rPr>
        <w:t>Public Sector</w:t>
      </w:r>
      <w:r>
        <w:rPr>
          <w:i/>
        </w:rPr>
        <w:t xml:space="preserve"> Superannuation Reform Act 2016 </w:t>
      </w:r>
      <w:r w:rsidRPr="00B53857">
        <w:rPr>
          <w:i/>
        </w:rPr>
        <w:t>(</w:t>
      </w:r>
      <w:proofErr w:type="spellStart"/>
      <w:r w:rsidRPr="00B53857">
        <w:rPr>
          <w:i/>
        </w:rPr>
        <w:t>Tas</w:t>
      </w:r>
      <w:proofErr w:type="spellEnd"/>
      <w:r w:rsidRPr="00B53857">
        <w:rPr>
          <w:i/>
        </w:rPr>
        <w:t>)</w:t>
      </w:r>
      <w:r>
        <w:rPr>
          <w:i/>
        </w:rPr>
        <w:t>.</w:t>
      </w:r>
    </w:p>
    <w:p w14:paraId="27B82389" w14:textId="22227B1B" w:rsidR="00503852" w:rsidRDefault="00FB49A6" w:rsidP="00503852">
      <w:r>
        <w:t xml:space="preserve">This section operates </w:t>
      </w:r>
      <w:r w:rsidR="00503852">
        <w:t>to ensure that those payments are included in these Regulations and retain their intended treatment. No employer or employee is detrimentally affected by the operation of this section.</w:t>
      </w:r>
    </w:p>
    <w:p w14:paraId="692292DF" w14:textId="3217A7F8" w:rsidR="008C32CC" w:rsidRPr="00957DC3" w:rsidRDefault="008C32CC" w:rsidP="000D050F">
      <w:pPr>
        <w:spacing w:before="240"/>
        <w:rPr>
          <w:u w:val="single"/>
        </w:rPr>
      </w:pPr>
      <w:r w:rsidRPr="00957DC3">
        <w:rPr>
          <w:u w:val="single"/>
        </w:rPr>
        <w:t>Section 26</w:t>
      </w:r>
      <w:r w:rsidR="00957DC3" w:rsidRPr="00957DC3">
        <w:rPr>
          <w:u w:val="single"/>
        </w:rPr>
        <w:t xml:space="preserve"> - </w:t>
      </w:r>
      <w:r w:rsidR="002A6F6B" w:rsidRPr="00957DC3">
        <w:rPr>
          <w:u w:val="single"/>
        </w:rPr>
        <w:t>Savings provision</w:t>
      </w:r>
    </w:p>
    <w:p w14:paraId="699F3212" w14:textId="211B3657" w:rsidR="00A10967" w:rsidRPr="00A10967" w:rsidRDefault="00A10967" w:rsidP="006C436F">
      <w:pPr>
        <w:spacing w:before="240"/>
      </w:pPr>
      <w:r w:rsidRPr="00A10967">
        <w:t>The purpose of t</w:t>
      </w:r>
      <w:r>
        <w:t xml:space="preserve">his section is to ensure that the remaking of the 1993 Regulation does not invalidate or prevent recognition of things done under that instrument </w:t>
      </w:r>
      <w:r w:rsidR="00E22277">
        <w:t>when</w:t>
      </w:r>
      <w:r>
        <w:t xml:space="preserve"> applying these new Regulations.</w:t>
      </w:r>
    </w:p>
    <w:p w14:paraId="2C006114" w14:textId="77777777" w:rsidR="00E22277" w:rsidRPr="00E22277" w:rsidRDefault="006C436F" w:rsidP="006C436F">
      <w:pPr>
        <w:spacing w:before="240"/>
        <w:rPr>
          <w:u w:val="single"/>
        </w:rPr>
      </w:pPr>
      <w:r w:rsidRPr="00E22277">
        <w:rPr>
          <w:u w:val="single"/>
        </w:rPr>
        <w:t xml:space="preserve">Schedule 1 </w:t>
      </w:r>
    </w:p>
    <w:p w14:paraId="734CCB57" w14:textId="54BE480F" w:rsidR="006C436F" w:rsidRDefault="00E22277" w:rsidP="006C436F">
      <w:pPr>
        <w:spacing w:before="240"/>
      </w:pPr>
      <w:r>
        <w:t xml:space="preserve">Schedule 1 to the Regulations repeals the </w:t>
      </w:r>
      <w:r w:rsidR="005E273B" w:rsidRPr="00E22277">
        <w:rPr>
          <w:i/>
        </w:rPr>
        <w:t xml:space="preserve">Superannuation </w:t>
      </w:r>
      <w:r w:rsidR="00A04749" w:rsidRPr="00E22277">
        <w:rPr>
          <w:i/>
        </w:rPr>
        <w:t xml:space="preserve">Guarantee </w:t>
      </w:r>
      <w:r w:rsidR="005E273B" w:rsidRPr="00E22277">
        <w:rPr>
          <w:i/>
        </w:rPr>
        <w:t>(</w:t>
      </w:r>
      <w:r w:rsidR="00A04749" w:rsidRPr="00E22277">
        <w:rPr>
          <w:i/>
        </w:rPr>
        <w:t>Administration</w:t>
      </w:r>
      <w:r w:rsidR="005E273B" w:rsidRPr="00E22277">
        <w:rPr>
          <w:i/>
        </w:rPr>
        <w:t>) Regulations 199</w:t>
      </w:r>
      <w:r>
        <w:rPr>
          <w:i/>
        </w:rPr>
        <w:t>3</w:t>
      </w:r>
      <w:r w:rsidR="006C436F">
        <w:t xml:space="preserve">. </w:t>
      </w:r>
    </w:p>
    <w:p w14:paraId="25F2E849" w14:textId="77777777" w:rsidR="00720AB1" w:rsidRDefault="00720AB1">
      <w:pPr>
        <w:spacing w:before="0" w:after="0"/>
        <w:rPr>
          <w:b/>
          <w:bCs/>
          <w:szCs w:val="24"/>
          <w:u w:val="single"/>
        </w:rPr>
      </w:pPr>
      <w:r>
        <w:rPr>
          <w:b/>
          <w:bCs/>
          <w:szCs w:val="24"/>
          <w:u w:val="single"/>
        </w:rPr>
        <w:br w:type="page"/>
      </w:r>
    </w:p>
    <w:p w14:paraId="6421B7CC" w14:textId="1E7C69C8" w:rsidR="006C436F" w:rsidRPr="00DC525B" w:rsidRDefault="006C436F" w:rsidP="006C436F">
      <w:pPr>
        <w:shd w:val="clear" w:color="auto" w:fill="FFFFFF"/>
        <w:spacing w:before="100" w:beforeAutospacing="1" w:after="100" w:afterAutospacing="1"/>
        <w:rPr>
          <w:bCs/>
          <w:szCs w:val="24"/>
          <w:u w:val="single"/>
        </w:rPr>
      </w:pPr>
      <w:r w:rsidRPr="00DC525B">
        <w:rPr>
          <w:b/>
          <w:bCs/>
          <w:szCs w:val="24"/>
          <w:u w:val="single"/>
        </w:rPr>
        <w:t>Finding table</w:t>
      </w:r>
    </w:p>
    <w:p w14:paraId="7C94FC3A" w14:textId="2BB6BAE5" w:rsidR="006C436F" w:rsidRPr="00DC525B" w:rsidRDefault="006C436F" w:rsidP="006C436F">
      <w:pPr>
        <w:pStyle w:val="base-text-paragraph"/>
        <w:ind w:left="0"/>
        <w:jc w:val="both"/>
      </w:pPr>
      <w:r w:rsidRPr="00DC525B">
        <w:t xml:space="preserve">As a result of some of the changes described above, it became necessary to renumber provisions of the </w:t>
      </w:r>
      <w:r w:rsidR="00497AE2">
        <w:t>new</w:t>
      </w:r>
      <w:r w:rsidRPr="00DC525B">
        <w:t xml:space="preserve"> Regulations. This Explanatory </w:t>
      </w:r>
      <w:r w:rsidR="00497AE2">
        <w:t>Statement</w:t>
      </w:r>
      <w:r w:rsidRPr="00DC525B">
        <w:t xml:space="preserve"> includes a finding table to assist in identifying which provision in the Regulations corresponds to a provision in the old law that has been rewritten or consolidated, and vice versa. </w:t>
      </w:r>
    </w:p>
    <w:p w14:paraId="7A9D2538" w14:textId="169A7043" w:rsidR="006C436F" w:rsidRPr="00DC525B" w:rsidRDefault="006C436F" w:rsidP="006C436F">
      <w:pPr>
        <w:pStyle w:val="base-text-paragraph"/>
        <w:ind w:left="0"/>
        <w:jc w:val="both"/>
      </w:pPr>
      <w:r w:rsidRPr="00DC525B">
        <w:t xml:space="preserve">References to the old law are to the </w:t>
      </w:r>
      <w:r w:rsidR="005E273B" w:rsidRPr="00E07E04">
        <w:rPr>
          <w:i/>
        </w:rPr>
        <w:t xml:space="preserve">Superannuation </w:t>
      </w:r>
      <w:r w:rsidR="00A04749">
        <w:rPr>
          <w:i/>
        </w:rPr>
        <w:t xml:space="preserve">Guarantee </w:t>
      </w:r>
      <w:r w:rsidR="005E273B">
        <w:rPr>
          <w:i/>
        </w:rPr>
        <w:t>(</w:t>
      </w:r>
      <w:r w:rsidR="00A04749">
        <w:rPr>
          <w:i/>
        </w:rPr>
        <w:t>Administration</w:t>
      </w:r>
      <w:r w:rsidR="005E273B">
        <w:rPr>
          <w:i/>
        </w:rPr>
        <w:t>) Regulations 199</w:t>
      </w:r>
      <w:r w:rsidR="00A04749">
        <w:rPr>
          <w:i/>
        </w:rPr>
        <w:t>3</w:t>
      </w:r>
      <w:r w:rsidRPr="00DC525B">
        <w:rPr>
          <w:i/>
        </w:rPr>
        <w:t xml:space="preserve">. </w:t>
      </w:r>
      <w:r w:rsidRPr="00DC525B">
        <w:t xml:space="preserve">References to the new law are to the </w:t>
      </w:r>
      <w:r w:rsidR="005E273B" w:rsidRPr="00E07E04">
        <w:rPr>
          <w:i/>
        </w:rPr>
        <w:t xml:space="preserve">Superannuation </w:t>
      </w:r>
      <w:r w:rsidR="00A04749">
        <w:rPr>
          <w:i/>
        </w:rPr>
        <w:t xml:space="preserve">Guarantee </w:t>
      </w:r>
      <w:r w:rsidR="005E273B">
        <w:rPr>
          <w:i/>
        </w:rPr>
        <w:t>(</w:t>
      </w:r>
      <w:r w:rsidR="00A04749">
        <w:rPr>
          <w:i/>
        </w:rPr>
        <w:t>Administration</w:t>
      </w:r>
      <w:r w:rsidR="005E273B">
        <w:rPr>
          <w:i/>
        </w:rPr>
        <w:t>)</w:t>
      </w:r>
      <w:r w:rsidR="00BD6FC9">
        <w:rPr>
          <w:i/>
        </w:rPr>
        <w:t xml:space="preserve"> </w:t>
      </w:r>
      <w:r w:rsidR="005E273B">
        <w:rPr>
          <w:i/>
        </w:rPr>
        <w:t xml:space="preserve">Regulations </w:t>
      </w:r>
      <w:r w:rsidRPr="00DC525B">
        <w:rPr>
          <w:i/>
        </w:rPr>
        <w:t>2018</w:t>
      </w:r>
      <w:r w:rsidRPr="00DC525B">
        <w:t>. Also, in the finding table, ‘no equivalent’</w:t>
      </w:r>
      <w:r w:rsidRPr="00DC525B">
        <w:rPr>
          <w:i/>
        </w:rPr>
        <w:t xml:space="preserve"> </w:t>
      </w:r>
      <w:r w:rsidRPr="00DC525B">
        <w:t xml:space="preserve">means that this is a new provision that has no equivalent in the old law. </w:t>
      </w:r>
    </w:p>
    <w:p w14:paraId="1BD026FF" w14:textId="792B044A" w:rsidR="00720AB1" w:rsidRPr="00DC525B" w:rsidRDefault="00720AB1" w:rsidP="006C436F">
      <w:pPr>
        <w:pStyle w:val="base-text-paragraph"/>
        <w:ind w:left="0"/>
        <w:jc w:val="both"/>
        <w:rPr>
          <w:i/>
        </w:rPr>
      </w:pPr>
    </w:p>
    <w:tbl>
      <w:tblPr>
        <w:tblStyle w:val="TableGrid"/>
        <w:tblW w:w="8522" w:type="dxa"/>
        <w:tblLook w:val="04A0" w:firstRow="1" w:lastRow="0" w:firstColumn="1" w:lastColumn="0" w:noHBand="0" w:noVBand="1"/>
      </w:tblPr>
      <w:tblGrid>
        <w:gridCol w:w="4261"/>
        <w:gridCol w:w="4261"/>
      </w:tblGrid>
      <w:tr w:rsidR="006C436F" w:rsidRPr="00A04749" w14:paraId="78B5BB28" w14:textId="77777777" w:rsidTr="00C516D2">
        <w:trPr>
          <w:tblHeader/>
        </w:trPr>
        <w:tc>
          <w:tcPr>
            <w:tcW w:w="4261" w:type="dxa"/>
          </w:tcPr>
          <w:p w14:paraId="00759003" w14:textId="77777777" w:rsidR="006C436F" w:rsidRPr="00A04749" w:rsidRDefault="006C436F" w:rsidP="004B2E62">
            <w:pPr>
              <w:pStyle w:val="base-text-paragraph"/>
              <w:ind w:left="0"/>
              <w:jc w:val="center"/>
              <w:rPr>
                <w:b/>
                <w:i/>
                <w:sz w:val="20"/>
                <w:szCs w:val="24"/>
              </w:rPr>
            </w:pPr>
            <w:r w:rsidRPr="00A04749">
              <w:rPr>
                <w:b/>
                <w:i/>
                <w:sz w:val="20"/>
                <w:szCs w:val="24"/>
              </w:rPr>
              <w:t>Old law</w:t>
            </w:r>
          </w:p>
        </w:tc>
        <w:tc>
          <w:tcPr>
            <w:tcW w:w="4261" w:type="dxa"/>
          </w:tcPr>
          <w:p w14:paraId="39226CD3" w14:textId="77777777" w:rsidR="006C436F" w:rsidRPr="00A04749" w:rsidRDefault="006C436F" w:rsidP="004B2E62">
            <w:pPr>
              <w:pStyle w:val="base-text-paragraph"/>
              <w:ind w:left="0"/>
              <w:jc w:val="center"/>
              <w:rPr>
                <w:b/>
                <w:i/>
                <w:sz w:val="20"/>
                <w:szCs w:val="24"/>
              </w:rPr>
            </w:pPr>
            <w:r w:rsidRPr="00A04749">
              <w:rPr>
                <w:b/>
                <w:i/>
                <w:sz w:val="20"/>
                <w:szCs w:val="24"/>
              </w:rPr>
              <w:t>New law</w:t>
            </w:r>
          </w:p>
        </w:tc>
      </w:tr>
      <w:tr w:rsidR="006C436F" w:rsidRPr="00A04749" w14:paraId="60335D74" w14:textId="77777777" w:rsidTr="00C516D2">
        <w:trPr>
          <w:tblHeader/>
        </w:trPr>
        <w:tc>
          <w:tcPr>
            <w:tcW w:w="4261" w:type="dxa"/>
          </w:tcPr>
          <w:p w14:paraId="6ED9F766" w14:textId="51B24274" w:rsidR="006C436F" w:rsidRPr="00A04749" w:rsidRDefault="005E273B" w:rsidP="00A04749">
            <w:pPr>
              <w:pStyle w:val="base-text-paragraph"/>
              <w:ind w:left="0"/>
              <w:jc w:val="center"/>
              <w:rPr>
                <w:i/>
                <w:sz w:val="20"/>
                <w:szCs w:val="24"/>
              </w:rPr>
            </w:pPr>
            <w:r w:rsidRPr="00A04749">
              <w:rPr>
                <w:i/>
                <w:sz w:val="20"/>
              </w:rPr>
              <w:t>Superannuation</w:t>
            </w:r>
            <w:r w:rsidR="00A04749">
              <w:rPr>
                <w:i/>
                <w:sz w:val="20"/>
              </w:rPr>
              <w:t xml:space="preserve"> Guarantee </w:t>
            </w:r>
            <w:r w:rsidRPr="00A04749">
              <w:rPr>
                <w:i/>
                <w:sz w:val="20"/>
              </w:rPr>
              <w:t>(</w:t>
            </w:r>
            <w:r w:rsidR="00A04749">
              <w:rPr>
                <w:i/>
                <w:sz w:val="20"/>
              </w:rPr>
              <w:t>Administration</w:t>
            </w:r>
            <w:r w:rsidRPr="00A04749">
              <w:rPr>
                <w:i/>
                <w:sz w:val="20"/>
              </w:rPr>
              <w:t>) Regulations 199</w:t>
            </w:r>
            <w:r w:rsidR="00A04749">
              <w:rPr>
                <w:i/>
                <w:sz w:val="20"/>
              </w:rPr>
              <w:t>3</w:t>
            </w:r>
          </w:p>
        </w:tc>
        <w:tc>
          <w:tcPr>
            <w:tcW w:w="4261" w:type="dxa"/>
          </w:tcPr>
          <w:p w14:paraId="3AF4E649" w14:textId="0DDA1A1D" w:rsidR="006C436F" w:rsidRPr="00A04749" w:rsidRDefault="005E273B" w:rsidP="00A04749">
            <w:pPr>
              <w:pStyle w:val="base-text-paragraph"/>
              <w:ind w:left="0"/>
              <w:jc w:val="center"/>
              <w:rPr>
                <w:i/>
                <w:sz w:val="20"/>
                <w:szCs w:val="24"/>
              </w:rPr>
            </w:pPr>
            <w:r w:rsidRPr="00A04749">
              <w:rPr>
                <w:i/>
                <w:sz w:val="20"/>
              </w:rPr>
              <w:t xml:space="preserve">Superannuation </w:t>
            </w:r>
            <w:r w:rsidR="00A04749">
              <w:rPr>
                <w:i/>
                <w:sz w:val="20"/>
              </w:rPr>
              <w:t xml:space="preserve">Guarantee </w:t>
            </w:r>
            <w:r w:rsidRPr="00A04749">
              <w:rPr>
                <w:i/>
                <w:sz w:val="20"/>
              </w:rPr>
              <w:t>(</w:t>
            </w:r>
            <w:r w:rsidR="00A04749">
              <w:rPr>
                <w:i/>
                <w:sz w:val="20"/>
              </w:rPr>
              <w:t>Administration</w:t>
            </w:r>
            <w:r w:rsidRPr="00A04749">
              <w:rPr>
                <w:i/>
                <w:sz w:val="20"/>
              </w:rPr>
              <w:t xml:space="preserve">) Regulations </w:t>
            </w:r>
            <w:r w:rsidR="006C436F" w:rsidRPr="00A04749">
              <w:rPr>
                <w:i/>
                <w:sz w:val="20"/>
                <w:szCs w:val="24"/>
              </w:rPr>
              <w:t>2018</w:t>
            </w:r>
          </w:p>
        </w:tc>
      </w:tr>
      <w:tr w:rsidR="006C436F" w:rsidRPr="00A04749" w14:paraId="584F232F" w14:textId="77777777" w:rsidTr="004B2E62">
        <w:tc>
          <w:tcPr>
            <w:tcW w:w="4261" w:type="dxa"/>
          </w:tcPr>
          <w:p w14:paraId="2D950A4D" w14:textId="77777777" w:rsidR="006C436F" w:rsidRPr="00A04749" w:rsidRDefault="00474B92" w:rsidP="004B2E62">
            <w:pPr>
              <w:pStyle w:val="base-text-paragraph"/>
              <w:ind w:left="0"/>
              <w:jc w:val="both"/>
              <w:rPr>
                <w:sz w:val="20"/>
                <w:szCs w:val="24"/>
              </w:rPr>
            </w:pPr>
            <w:r>
              <w:rPr>
                <w:sz w:val="20"/>
                <w:szCs w:val="24"/>
              </w:rPr>
              <w:t>1</w:t>
            </w:r>
          </w:p>
        </w:tc>
        <w:tc>
          <w:tcPr>
            <w:tcW w:w="4261" w:type="dxa"/>
          </w:tcPr>
          <w:p w14:paraId="49B8F9AC" w14:textId="77777777" w:rsidR="006C436F" w:rsidRPr="00A04749" w:rsidRDefault="006C436F" w:rsidP="004B2E62">
            <w:pPr>
              <w:pStyle w:val="base-text-paragraph"/>
              <w:ind w:left="0"/>
              <w:jc w:val="both"/>
              <w:rPr>
                <w:sz w:val="20"/>
                <w:szCs w:val="24"/>
              </w:rPr>
            </w:pPr>
            <w:r w:rsidRPr="00A04749">
              <w:rPr>
                <w:sz w:val="20"/>
                <w:szCs w:val="24"/>
              </w:rPr>
              <w:t>1</w:t>
            </w:r>
          </w:p>
        </w:tc>
      </w:tr>
      <w:tr w:rsidR="006C436F" w:rsidRPr="00A04749" w14:paraId="31F073BC" w14:textId="77777777" w:rsidTr="004B2E62">
        <w:tc>
          <w:tcPr>
            <w:tcW w:w="4261" w:type="dxa"/>
          </w:tcPr>
          <w:p w14:paraId="6F05AAE5" w14:textId="44D6959C" w:rsidR="006C436F" w:rsidRPr="00A04749" w:rsidRDefault="00C210DA" w:rsidP="004B2E62">
            <w:pPr>
              <w:pStyle w:val="base-text-paragraph"/>
              <w:ind w:left="0"/>
              <w:jc w:val="both"/>
              <w:rPr>
                <w:sz w:val="20"/>
                <w:szCs w:val="24"/>
              </w:rPr>
            </w:pPr>
            <w:r>
              <w:rPr>
                <w:sz w:val="20"/>
                <w:szCs w:val="24"/>
              </w:rPr>
              <w:t>No equivalent</w:t>
            </w:r>
          </w:p>
        </w:tc>
        <w:tc>
          <w:tcPr>
            <w:tcW w:w="4261" w:type="dxa"/>
          </w:tcPr>
          <w:p w14:paraId="477A17D0" w14:textId="77777777" w:rsidR="006C436F" w:rsidRPr="00A04749" w:rsidRDefault="006C436F" w:rsidP="004B2E62">
            <w:pPr>
              <w:pStyle w:val="base-text-paragraph"/>
              <w:ind w:left="0"/>
              <w:jc w:val="both"/>
              <w:rPr>
                <w:sz w:val="20"/>
                <w:szCs w:val="24"/>
              </w:rPr>
            </w:pPr>
            <w:r w:rsidRPr="00A04749">
              <w:rPr>
                <w:sz w:val="20"/>
                <w:szCs w:val="24"/>
              </w:rPr>
              <w:t>2</w:t>
            </w:r>
          </w:p>
        </w:tc>
      </w:tr>
      <w:tr w:rsidR="006C436F" w:rsidRPr="00A04749" w14:paraId="36FD6A00" w14:textId="77777777" w:rsidTr="004B2E62">
        <w:tc>
          <w:tcPr>
            <w:tcW w:w="4261" w:type="dxa"/>
          </w:tcPr>
          <w:p w14:paraId="7094BFB9" w14:textId="4E4B966C" w:rsidR="006C436F" w:rsidRPr="00A04749" w:rsidRDefault="00C210DA" w:rsidP="004B2E62">
            <w:pPr>
              <w:pStyle w:val="base-text-paragraph"/>
              <w:ind w:left="0"/>
              <w:jc w:val="both"/>
              <w:rPr>
                <w:sz w:val="20"/>
                <w:szCs w:val="24"/>
              </w:rPr>
            </w:pPr>
            <w:r>
              <w:rPr>
                <w:sz w:val="20"/>
                <w:szCs w:val="24"/>
              </w:rPr>
              <w:t>No equivalent</w:t>
            </w:r>
          </w:p>
        </w:tc>
        <w:tc>
          <w:tcPr>
            <w:tcW w:w="4261" w:type="dxa"/>
          </w:tcPr>
          <w:p w14:paraId="158C008A" w14:textId="77777777" w:rsidR="006C436F" w:rsidRPr="00A04749" w:rsidRDefault="006C436F" w:rsidP="004B2E62">
            <w:pPr>
              <w:pStyle w:val="base-text-paragraph"/>
              <w:ind w:left="0"/>
              <w:jc w:val="both"/>
              <w:rPr>
                <w:sz w:val="20"/>
                <w:szCs w:val="24"/>
              </w:rPr>
            </w:pPr>
            <w:r w:rsidRPr="00A04749">
              <w:rPr>
                <w:sz w:val="20"/>
                <w:szCs w:val="24"/>
              </w:rPr>
              <w:t>3</w:t>
            </w:r>
          </w:p>
        </w:tc>
      </w:tr>
      <w:tr w:rsidR="006C436F" w:rsidRPr="00A04749" w14:paraId="12591A5C" w14:textId="77777777" w:rsidTr="004B2E62">
        <w:tc>
          <w:tcPr>
            <w:tcW w:w="4261" w:type="dxa"/>
          </w:tcPr>
          <w:p w14:paraId="32D860DC" w14:textId="77777777" w:rsidR="006C436F" w:rsidRPr="00A04749" w:rsidRDefault="00C210DA" w:rsidP="004B2E62">
            <w:pPr>
              <w:pStyle w:val="base-text-paragraph"/>
              <w:ind w:left="0"/>
              <w:jc w:val="both"/>
              <w:rPr>
                <w:sz w:val="20"/>
                <w:szCs w:val="24"/>
              </w:rPr>
            </w:pPr>
            <w:r>
              <w:rPr>
                <w:sz w:val="20"/>
                <w:szCs w:val="24"/>
              </w:rPr>
              <w:t>No equivalent</w:t>
            </w:r>
          </w:p>
        </w:tc>
        <w:tc>
          <w:tcPr>
            <w:tcW w:w="4261" w:type="dxa"/>
          </w:tcPr>
          <w:p w14:paraId="3208B01D" w14:textId="77777777" w:rsidR="006C436F" w:rsidRPr="00A04749" w:rsidRDefault="006C436F" w:rsidP="004B2E62">
            <w:pPr>
              <w:pStyle w:val="base-text-paragraph"/>
              <w:ind w:left="0"/>
              <w:jc w:val="both"/>
              <w:rPr>
                <w:sz w:val="20"/>
                <w:szCs w:val="24"/>
              </w:rPr>
            </w:pPr>
            <w:r w:rsidRPr="00A04749">
              <w:rPr>
                <w:sz w:val="20"/>
                <w:szCs w:val="24"/>
              </w:rPr>
              <w:t>4</w:t>
            </w:r>
          </w:p>
        </w:tc>
      </w:tr>
      <w:tr w:rsidR="006C436F" w:rsidRPr="00A04749" w14:paraId="490061C7" w14:textId="77777777" w:rsidTr="004B2E62">
        <w:tc>
          <w:tcPr>
            <w:tcW w:w="4261" w:type="dxa"/>
          </w:tcPr>
          <w:p w14:paraId="7F54FC62" w14:textId="54241E49" w:rsidR="006C436F" w:rsidRPr="00A04749" w:rsidRDefault="00474B92" w:rsidP="004B2E62">
            <w:pPr>
              <w:pStyle w:val="base-text-paragraph"/>
              <w:ind w:left="0"/>
              <w:jc w:val="both"/>
              <w:rPr>
                <w:sz w:val="20"/>
                <w:szCs w:val="24"/>
              </w:rPr>
            </w:pPr>
            <w:r>
              <w:rPr>
                <w:sz w:val="20"/>
                <w:szCs w:val="24"/>
              </w:rPr>
              <w:t>2</w:t>
            </w:r>
          </w:p>
        </w:tc>
        <w:tc>
          <w:tcPr>
            <w:tcW w:w="4261" w:type="dxa"/>
          </w:tcPr>
          <w:p w14:paraId="7A6327F2" w14:textId="77777777" w:rsidR="006C436F" w:rsidRPr="00A04749" w:rsidRDefault="006C436F" w:rsidP="004B2E62">
            <w:pPr>
              <w:pStyle w:val="base-text-paragraph"/>
              <w:ind w:left="0"/>
              <w:jc w:val="both"/>
              <w:rPr>
                <w:sz w:val="20"/>
                <w:szCs w:val="24"/>
              </w:rPr>
            </w:pPr>
            <w:r w:rsidRPr="00A04749">
              <w:rPr>
                <w:sz w:val="20"/>
                <w:szCs w:val="24"/>
              </w:rPr>
              <w:t>5</w:t>
            </w:r>
          </w:p>
        </w:tc>
      </w:tr>
      <w:tr w:rsidR="006C436F" w:rsidRPr="00A04749" w14:paraId="3AEF7CFC" w14:textId="77777777" w:rsidTr="004B2E62">
        <w:tc>
          <w:tcPr>
            <w:tcW w:w="4261" w:type="dxa"/>
          </w:tcPr>
          <w:p w14:paraId="2EB3FAAB" w14:textId="0E245A95" w:rsidR="006C436F" w:rsidRPr="00A04749" w:rsidRDefault="00474B92" w:rsidP="004B2E62">
            <w:pPr>
              <w:pStyle w:val="base-text-paragraph"/>
              <w:ind w:left="0"/>
              <w:jc w:val="both"/>
              <w:rPr>
                <w:sz w:val="20"/>
                <w:szCs w:val="24"/>
              </w:rPr>
            </w:pPr>
            <w:r>
              <w:rPr>
                <w:sz w:val="20"/>
                <w:szCs w:val="24"/>
              </w:rPr>
              <w:t>6A</w:t>
            </w:r>
          </w:p>
        </w:tc>
        <w:tc>
          <w:tcPr>
            <w:tcW w:w="4261" w:type="dxa"/>
          </w:tcPr>
          <w:p w14:paraId="49A430C3" w14:textId="77777777" w:rsidR="006C436F" w:rsidRPr="00A04749" w:rsidRDefault="006C436F" w:rsidP="004B2E62">
            <w:pPr>
              <w:pStyle w:val="base-text-paragraph"/>
              <w:ind w:left="0"/>
              <w:jc w:val="both"/>
              <w:rPr>
                <w:sz w:val="20"/>
                <w:szCs w:val="24"/>
              </w:rPr>
            </w:pPr>
            <w:r w:rsidRPr="00A04749">
              <w:rPr>
                <w:sz w:val="20"/>
                <w:szCs w:val="24"/>
              </w:rPr>
              <w:t>6</w:t>
            </w:r>
          </w:p>
        </w:tc>
      </w:tr>
      <w:tr w:rsidR="00C46677" w:rsidRPr="00A04749" w14:paraId="5F1D6B55" w14:textId="77777777" w:rsidTr="004B2E62">
        <w:tc>
          <w:tcPr>
            <w:tcW w:w="4261" w:type="dxa"/>
          </w:tcPr>
          <w:p w14:paraId="701F17C3" w14:textId="23B3CBD0" w:rsidR="00C46677" w:rsidRPr="00A04749" w:rsidRDefault="00474B92" w:rsidP="004B2E62">
            <w:pPr>
              <w:pStyle w:val="base-text-paragraph"/>
              <w:ind w:left="0"/>
              <w:jc w:val="both"/>
              <w:rPr>
                <w:sz w:val="20"/>
                <w:szCs w:val="24"/>
              </w:rPr>
            </w:pPr>
            <w:r>
              <w:rPr>
                <w:sz w:val="20"/>
                <w:szCs w:val="24"/>
              </w:rPr>
              <w:t>3</w:t>
            </w:r>
          </w:p>
        </w:tc>
        <w:tc>
          <w:tcPr>
            <w:tcW w:w="4261" w:type="dxa"/>
          </w:tcPr>
          <w:p w14:paraId="73DF7877" w14:textId="747DD554" w:rsidR="00C46677" w:rsidRPr="00A04749" w:rsidRDefault="00474B92" w:rsidP="004B2E62">
            <w:pPr>
              <w:pStyle w:val="base-text-paragraph"/>
              <w:ind w:left="0"/>
              <w:jc w:val="both"/>
              <w:rPr>
                <w:sz w:val="20"/>
                <w:szCs w:val="24"/>
              </w:rPr>
            </w:pPr>
            <w:r>
              <w:rPr>
                <w:sz w:val="20"/>
                <w:szCs w:val="24"/>
              </w:rPr>
              <w:t>7</w:t>
            </w:r>
          </w:p>
        </w:tc>
      </w:tr>
      <w:tr w:rsidR="00474B92" w:rsidRPr="00A04749" w14:paraId="7DB4E996" w14:textId="77777777" w:rsidTr="004B2E62">
        <w:tc>
          <w:tcPr>
            <w:tcW w:w="4261" w:type="dxa"/>
          </w:tcPr>
          <w:p w14:paraId="109AA8B7" w14:textId="406D3306" w:rsidR="00474B92" w:rsidRPr="00A04749" w:rsidRDefault="00474B92" w:rsidP="00474B92">
            <w:pPr>
              <w:pStyle w:val="base-text-paragraph"/>
              <w:ind w:left="0"/>
              <w:jc w:val="both"/>
              <w:rPr>
                <w:sz w:val="20"/>
                <w:szCs w:val="24"/>
              </w:rPr>
            </w:pPr>
            <w:r>
              <w:rPr>
                <w:sz w:val="20"/>
                <w:szCs w:val="24"/>
              </w:rPr>
              <w:t>4</w:t>
            </w:r>
          </w:p>
        </w:tc>
        <w:tc>
          <w:tcPr>
            <w:tcW w:w="4261" w:type="dxa"/>
          </w:tcPr>
          <w:p w14:paraId="18472DCE" w14:textId="2AA816FE" w:rsidR="00474B92" w:rsidRPr="00A04749" w:rsidRDefault="00474B92" w:rsidP="004B2E62">
            <w:pPr>
              <w:pStyle w:val="base-text-paragraph"/>
              <w:ind w:left="0"/>
              <w:jc w:val="both"/>
              <w:rPr>
                <w:sz w:val="20"/>
                <w:szCs w:val="24"/>
              </w:rPr>
            </w:pPr>
            <w:r>
              <w:rPr>
                <w:sz w:val="20"/>
                <w:szCs w:val="24"/>
              </w:rPr>
              <w:t>8</w:t>
            </w:r>
          </w:p>
        </w:tc>
      </w:tr>
      <w:tr w:rsidR="00474B92" w:rsidRPr="00A04749" w14:paraId="43596EB1" w14:textId="77777777" w:rsidTr="004B2E62">
        <w:tc>
          <w:tcPr>
            <w:tcW w:w="4261" w:type="dxa"/>
          </w:tcPr>
          <w:p w14:paraId="3C0AE875" w14:textId="384B30EA" w:rsidR="00474B92" w:rsidRPr="00A04749" w:rsidRDefault="00474B92" w:rsidP="004B2E62">
            <w:pPr>
              <w:pStyle w:val="base-text-paragraph"/>
              <w:ind w:left="0"/>
              <w:jc w:val="both"/>
              <w:rPr>
                <w:sz w:val="20"/>
                <w:szCs w:val="24"/>
              </w:rPr>
            </w:pPr>
            <w:r>
              <w:rPr>
                <w:sz w:val="20"/>
                <w:szCs w:val="24"/>
              </w:rPr>
              <w:t>5</w:t>
            </w:r>
          </w:p>
        </w:tc>
        <w:tc>
          <w:tcPr>
            <w:tcW w:w="4261" w:type="dxa"/>
          </w:tcPr>
          <w:p w14:paraId="0984B67C" w14:textId="745C4EEF" w:rsidR="00474B92" w:rsidRPr="00A04749" w:rsidRDefault="00474B92" w:rsidP="004B2E62">
            <w:pPr>
              <w:pStyle w:val="base-text-paragraph"/>
              <w:ind w:left="0"/>
              <w:jc w:val="both"/>
              <w:rPr>
                <w:sz w:val="20"/>
                <w:szCs w:val="24"/>
              </w:rPr>
            </w:pPr>
            <w:r>
              <w:rPr>
                <w:sz w:val="20"/>
                <w:szCs w:val="24"/>
              </w:rPr>
              <w:t>9</w:t>
            </w:r>
          </w:p>
        </w:tc>
      </w:tr>
      <w:tr w:rsidR="00474B92" w:rsidRPr="00A04749" w14:paraId="25959105" w14:textId="77777777" w:rsidTr="004B2E62">
        <w:tc>
          <w:tcPr>
            <w:tcW w:w="4261" w:type="dxa"/>
          </w:tcPr>
          <w:p w14:paraId="6708C3DC" w14:textId="37A062A4" w:rsidR="00474B92" w:rsidRPr="00A04749" w:rsidRDefault="00474B92" w:rsidP="004B2E62">
            <w:pPr>
              <w:pStyle w:val="base-text-paragraph"/>
              <w:ind w:left="0"/>
              <w:jc w:val="both"/>
              <w:rPr>
                <w:sz w:val="20"/>
                <w:szCs w:val="24"/>
              </w:rPr>
            </w:pPr>
            <w:r>
              <w:rPr>
                <w:sz w:val="20"/>
                <w:szCs w:val="24"/>
              </w:rPr>
              <w:t>6</w:t>
            </w:r>
          </w:p>
        </w:tc>
        <w:tc>
          <w:tcPr>
            <w:tcW w:w="4261" w:type="dxa"/>
          </w:tcPr>
          <w:p w14:paraId="564EBC2B" w14:textId="11A2A653" w:rsidR="00474B92" w:rsidRPr="00A04749" w:rsidRDefault="00474B92" w:rsidP="004B2E62">
            <w:pPr>
              <w:pStyle w:val="base-text-paragraph"/>
              <w:ind w:left="0"/>
              <w:jc w:val="both"/>
              <w:rPr>
                <w:sz w:val="20"/>
                <w:szCs w:val="24"/>
              </w:rPr>
            </w:pPr>
            <w:r>
              <w:rPr>
                <w:sz w:val="20"/>
                <w:szCs w:val="24"/>
              </w:rPr>
              <w:t>10</w:t>
            </w:r>
          </w:p>
        </w:tc>
      </w:tr>
      <w:tr w:rsidR="00474B92" w:rsidRPr="00A04749" w14:paraId="0952A3F1" w14:textId="77777777" w:rsidTr="004B2E62">
        <w:tc>
          <w:tcPr>
            <w:tcW w:w="4261" w:type="dxa"/>
          </w:tcPr>
          <w:p w14:paraId="0833C530" w14:textId="1EF4FB0E" w:rsidR="00474B92" w:rsidRPr="00A04749" w:rsidRDefault="00474B92" w:rsidP="004B2E62">
            <w:pPr>
              <w:pStyle w:val="base-text-paragraph"/>
              <w:ind w:left="0"/>
              <w:jc w:val="both"/>
              <w:rPr>
                <w:sz w:val="20"/>
                <w:szCs w:val="24"/>
              </w:rPr>
            </w:pPr>
            <w:r>
              <w:rPr>
                <w:sz w:val="20"/>
                <w:szCs w:val="24"/>
              </w:rPr>
              <w:t>7</w:t>
            </w:r>
          </w:p>
        </w:tc>
        <w:tc>
          <w:tcPr>
            <w:tcW w:w="4261" w:type="dxa"/>
          </w:tcPr>
          <w:p w14:paraId="452075C3" w14:textId="1C485B20" w:rsidR="00474B92" w:rsidRPr="00A04749" w:rsidRDefault="00474B92" w:rsidP="004B2E62">
            <w:pPr>
              <w:pStyle w:val="base-text-paragraph"/>
              <w:ind w:left="0"/>
              <w:jc w:val="both"/>
              <w:rPr>
                <w:sz w:val="20"/>
                <w:szCs w:val="24"/>
              </w:rPr>
            </w:pPr>
            <w:r>
              <w:rPr>
                <w:sz w:val="20"/>
                <w:szCs w:val="24"/>
              </w:rPr>
              <w:t>11</w:t>
            </w:r>
          </w:p>
        </w:tc>
      </w:tr>
      <w:tr w:rsidR="00474B92" w:rsidRPr="00A04749" w14:paraId="6E9290FD" w14:textId="77777777" w:rsidTr="004B2E62">
        <w:tc>
          <w:tcPr>
            <w:tcW w:w="4261" w:type="dxa"/>
          </w:tcPr>
          <w:p w14:paraId="10352BCB" w14:textId="0236A47B" w:rsidR="00474B92" w:rsidRPr="00A04749" w:rsidRDefault="00474B92" w:rsidP="004B2E62">
            <w:pPr>
              <w:pStyle w:val="base-text-paragraph"/>
              <w:ind w:left="0"/>
              <w:jc w:val="both"/>
              <w:rPr>
                <w:sz w:val="20"/>
                <w:szCs w:val="24"/>
              </w:rPr>
            </w:pPr>
            <w:r>
              <w:rPr>
                <w:sz w:val="20"/>
                <w:szCs w:val="24"/>
              </w:rPr>
              <w:t>7A</w:t>
            </w:r>
            <w:r w:rsidR="00D716C4">
              <w:rPr>
                <w:sz w:val="20"/>
                <w:szCs w:val="24"/>
              </w:rPr>
              <w:t>C, 7A</w:t>
            </w:r>
            <w:r>
              <w:rPr>
                <w:sz w:val="20"/>
                <w:szCs w:val="24"/>
              </w:rPr>
              <w:t>D</w:t>
            </w:r>
          </w:p>
        </w:tc>
        <w:tc>
          <w:tcPr>
            <w:tcW w:w="4261" w:type="dxa"/>
          </w:tcPr>
          <w:p w14:paraId="62DDB5C1" w14:textId="27E90E56" w:rsidR="00474B92" w:rsidRPr="00A04749" w:rsidRDefault="00474B92" w:rsidP="004B2E62">
            <w:pPr>
              <w:pStyle w:val="base-text-paragraph"/>
              <w:ind w:left="0"/>
              <w:jc w:val="both"/>
              <w:rPr>
                <w:sz w:val="20"/>
                <w:szCs w:val="24"/>
              </w:rPr>
            </w:pPr>
            <w:r>
              <w:rPr>
                <w:sz w:val="20"/>
                <w:szCs w:val="24"/>
              </w:rPr>
              <w:t>12</w:t>
            </w:r>
          </w:p>
        </w:tc>
      </w:tr>
      <w:tr w:rsidR="00474B92" w:rsidRPr="00A04749" w14:paraId="63E45863" w14:textId="77777777" w:rsidTr="004B2E62">
        <w:tc>
          <w:tcPr>
            <w:tcW w:w="4261" w:type="dxa"/>
          </w:tcPr>
          <w:p w14:paraId="697D25D2" w14:textId="17241EEE" w:rsidR="00474B92" w:rsidRPr="00A04749" w:rsidRDefault="00474B92" w:rsidP="004B2E62">
            <w:pPr>
              <w:pStyle w:val="base-text-paragraph"/>
              <w:ind w:left="0"/>
              <w:jc w:val="both"/>
              <w:rPr>
                <w:sz w:val="20"/>
                <w:szCs w:val="24"/>
              </w:rPr>
            </w:pPr>
            <w:r>
              <w:rPr>
                <w:sz w:val="20"/>
                <w:szCs w:val="24"/>
              </w:rPr>
              <w:t>7A</w:t>
            </w:r>
          </w:p>
        </w:tc>
        <w:tc>
          <w:tcPr>
            <w:tcW w:w="4261" w:type="dxa"/>
          </w:tcPr>
          <w:p w14:paraId="0120D6FD" w14:textId="0DCCC195" w:rsidR="00474B92" w:rsidRPr="00A04749" w:rsidRDefault="00474B92" w:rsidP="004B2E62">
            <w:pPr>
              <w:pStyle w:val="base-text-paragraph"/>
              <w:ind w:left="0"/>
              <w:jc w:val="both"/>
              <w:rPr>
                <w:sz w:val="20"/>
                <w:szCs w:val="24"/>
              </w:rPr>
            </w:pPr>
            <w:r>
              <w:rPr>
                <w:sz w:val="20"/>
                <w:szCs w:val="24"/>
              </w:rPr>
              <w:t>13</w:t>
            </w:r>
          </w:p>
        </w:tc>
      </w:tr>
      <w:tr w:rsidR="00474B92" w:rsidRPr="00A04749" w14:paraId="1B0A314A" w14:textId="77777777" w:rsidTr="004B2E62">
        <w:tc>
          <w:tcPr>
            <w:tcW w:w="4261" w:type="dxa"/>
          </w:tcPr>
          <w:p w14:paraId="73CCBE6B" w14:textId="5FC3473B" w:rsidR="00474B92" w:rsidRPr="00A04749" w:rsidRDefault="00474B92" w:rsidP="004B2E62">
            <w:pPr>
              <w:pStyle w:val="base-text-paragraph"/>
              <w:ind w:left="0"/>
              <w:jc w:val="both"/>
              <w:rPr>
                <w:sz w:val="20"/>
                <w:szCs w:val="24"/>
              </w:rPr>
            </w:pPr>
            <w:r>
              <w:rPr>
                <w:sz w:val="20"/>
                <w:szCs w:val="24"/>
              </w:rPr>
              <w:t>9A</w:t>
            </w:r>
          </w:p>
        </w:tc>
        <w:tc>
          <w:tcPr>
            <w:tcW w:w="4261" w:type="dxa"/>
          </w:tcPr>
          <w:p w14:paraId="10B21632" w14:textId="3C4B2966" w:rsidR="00474B92" w:rsidRPr="00A04749" w:rsidRDefault="00474B92" w:rsidP="004B2E62">
            <w:pPr>
              <w:pStyle w:val="base-text-paragraph"/>
              <w:ind w:left="0"/>
              <w:jc w:val="both"/>
              <w:rPr>
                <w:sz w:val="20"/>
                <w:szCs w:val="24"/>
              </w:rPr>
            </w:pPr>
            <w:r>
              <w:rPr>
                <w:sz w:val="20"/>
                <w:szCs w:val="24"/>
              </w:rPr>
              <w:t>14</w:t>
            </w:r>
          </w:p>
        </w:tc>
      </w:tr>
      <w:tr w:rsidR="00474B92" w:rsidRPr="00A04749" w14:paraId="46736589" w14:textId="77777777" w:rsidTr="004B2E62">
        <w:tc>
          <w:tcPr>
            <w:tcW w:w="4261" w:type="dxa"/>
          </w:tcPr>
          <w:p w14:paraId="0D4EA9AB" w14:textId="61909A2B" w:rsidR="00474B92" w:rsidRPr="00A04749" w:rsidRDefault="00474B92" w:rsidP="004B2E62">
            <w:pPr>
              <w:pStyle w:val="base-text-paragraph"/>
              <w:ind w:left="0"/>
              <w:jc w:val="both"/>
              <w:rPr>
                <w:sz w:val="20"/>
                <w:szCs w:val="24"/>
              </w:rPr>
            </w:pPr>
            <w:r>
              <w:rPr>
                <w:sz w:val="20"/>
                <w:szCs w:val="24"/>
              </w:rPr>
              <w:t>9B</w:t>
            </w:r>
          </w:p>
        </w:tc>
        <w:tc>
          <w:tcPr>
            <w:tcW w:w="4261" w:type="dxa"/>
          </w:tcPr>
          <w:p w14:paraId="1DCFC2DD" w14:textId="272FA8CD" w:rsidR="00474B92" w:rsidRPr="00A04749" w:rsidRDefault="00474B92" w:rsidP="004B2E62">
            <w:pPr>
              <w:pStyle w:val="base-text-paragraph"/>
              <w:ind w:left="0"/>
              <w:jc w:val="both"/>
              <w:rPr>
                <w:sz w:val="20"/>
                <w:szCs w:val="24"/>
              </w:rPr>
            </w:pPr>
            <w:r>
              <w:rPr>
                <w:sz w:val="20"/>
                <w:szCs w:val="24"/>
              </w:rPr>
              <w:t>15</w:t>
            </w:r>
          </w:p>
        </w:tc>
      </w:tr>
      <w:tr w:rsidR="00474B92" w:rsidRPr="00A04749" w14:paraId="2F56EEF3" w14:textId="77777777" w:rsidTr="004B2E62">
        <w:tc>
          <w:tcPr>
            <w:tcW w:w="4261" w:type="dxa"/>
          </w:tcPr>
          <w:p w14:paraId="0CB0345A" w14:textId="03774781" w:rsidR="00474B92" w:rsidRPr="00A04749" w:rsidRDefault="00474B92" w:rsidP="004B2E62">
            <w:pPr>
              <w:pStyle w:val="base-text-paragraph"/>
              <w:ind w:left="0"/>
              <w:jc w:val="both"/>
              <w:rPr>
                <w:sz w:val="20"/>
                <w:szCs w:val="24"/>
              </w:rPr>
            </w:pPr>
            <w:r>
              <w:rPr>
                <w:sz w:val="20"/>
                <w:szCs w:val="24"/>
              </w:rPr>
              <w:t>9C</w:t>
            </w:r>
          </w:p>
        </w:tc>
        <w:tc>
          <w:tcPr>
            <w:tcW w:w="4261" w:type="dxa"/>
          </w:tcPr>
          <w:p w14:paraId="5ED5136C" w14:textId="65194FA9" w:rsidR="00474B92" w:rsidRPr="00A04749" w:rsidRDefault="00474B92" w:rsidP="004B2E62">
            <w:pPr>
              <w:pStyle w:val="base-text-paragraph"/>
              <w:ind w:left="0"/>
              <w:jc w:val="both"/>
              <w:rPr>
                <w:sz w:val="20"/>
                <w:szCs w:val="24"/>
              </w:rPr>
            </w:pPr>
            <w:r>
              <w:rPr>
                <w:sz w:val="20"/>
                <w:szCs w:val="24"/>
              </w:rPr>
              <w:t>16</w:t>
            </w:r>
          </w:p>
        </w:tc>
      </w:tr>
      <w:tr w:rsidR="00474B92" w:rsidRPr="00A04749" w14:paraId="3EBC9A1E" w14:textId="77777777" w:rsidTr="004B2E62">
        <w:tc>
          <w:tcPr>
            <w:tcW w:w="4261" w:type="dxa"/>
          </w:tcPr>
          <w:p w14:paraId="4B123EFF" w14:textId="11FED836" w:rsidR="00474B92" w:rsidRPr="00A04749" w:rsidRDefault="00474B92" w:rsidP="004B2E62">
            <w:pPr>
              <w:pStyle w:val="base-text-paragraph"/>
              <w:ind w:left="0"/>
              <w:jc w:val="both"/>
              <w:rPr>
                <w:sz w:val="20"/>
                <w:szCs w:val="24"/>
              </w:rPr>
            </w:pPr>
            <w:r>
              <w:rPr>
                <w:sz w:val="20"/>
                <w:szCs w:val="24"/>
              </w:rPr>
              <w:t>9D</w:t>
            </w:r>
          </w:p>
        </w:tc>
        <w:tc>
          <w:tcPr>
            <w:tcW w:w="4261" w:type="dxa"/>
          </w:tcPr>
          <w:p w14:paraId="1607A7C9" w14:textId="63083CB0" w:rsidR="00474B92" w:rsidRPr="00A04749" w:rsidRDefault="00474B92" w:rsidP="004B2E62">
            <w:pPr>
              <w:pStyle w:val="base-text-paragraph"/>
              <w:ind w:left="0"/>
              <w:jc w:val="both"/>
              <w:rPr>
                <w:sz w:val="20"/>
                <w:szCs w:val="24"/>
              </w:rPr>
            </w:pPr>
            <w:r>
              <w:rPr>
                <w:sz w:val="20"/>
                <w:szCs w:val="24"/>
              </w:rPr>
              <w:t>17</w:t>
            </w:r>
          </w:p>
        </w:tc>
      </w:tr>
      <w:tr w:rsidR="00474B92" w:rsidRPr="00A04749" w14:paraId="4204B286" w14:textId="77777777" w:rsidTr="004B2E62">
        <w:tc>
          <w:tcPr>
            <w:tcW w:w="4261" w:type="dxa"/>
          </w:tcPr>
          <w:p w14:paraId="71EF3DD6" w14:textId="78B959DE" w:rsidR="00474B92" w:rsidRPr="00A04749" w:rsidRDefault="00474B92" w:rsidP="004B2E62">
            <w:pPr>
              <w:pStyle w:val="base-text-paragraph"/>
              <w:ind w:left="0"/>
              <w:jc w:val="both"/>
              <w:rPr>
                <w:sz w:val="20"/>
                <w:szCs w:val="24"/>
              </w:rPr>
            </w:pPr>
            <w:r>
              <w:rPr>
                <w:sz w:val="20"/>
                <w:szCs w:val="24"/>
              </w:rPr>
              <w:t>10</w:t>
            </w:r>
          </w:p>
        </w:tc>
        <w:tc>
          <w:tcPr>
            <w:tcW w:w="4261" w:type="dxa"/>
          </w:tcPr>
          <w:p w14:paraId="022434A8" w14:textId="77B036E6" w:rsidR="00474B92" w:rsidRPr="00A04749" w:rsidRDefault="00474B92" w:rsidP="004B2E62">
            <w:pPr>
              <w:pStyle w:val="base-text-paragraph"/>
              <w:ind w:left="0"/>
              <w:jc w:val="both"/>
              <w:rPr>
                <w:sz w:val="20"/>
                <w:szCs w:val="24"/>
              </w:rPr>
            </w:pPr>
            <w:r>
              <w:rPr>
                <w:sz w:val="20"/>
                <w:szCs w:val="24"/>
              </w:rPr>
              <w:t>18</w:t>
            </w:r>
          </w:p>
        </w:tc>
      </w:tr>
      <w:tr w:rsidR="00474B92" w:rsidRPr="00A04749" w14:paraId="4734D901" w14:textId="77777777" w:rsidTr="004B2E62">
        <w:tc>
          <w:tcPr>
            <w:tcW w:w="4261" w:type="dxa"/>
          </w:tcPr>
          <w:p w14:paraId="2319ADEF" w14:textId="79B99A13" w:rsidR="00474B92" w:rsidRPr="00A04749" w:rsidRDefault="00474B92" w:rsidP="004B2E62">
            <w:pPr>
              <w:pStyle w:val="base-text-paragraph"/>
              <w:ind w:left="0"/>
              <w:jc w:val="both"/>
              <w:rPr>
                <w:sz w:val="20"/>
                <w:szCs w:val="24"/>
              </w:rPr>
            </w:pPr>
            <w:r>
              <w:rPr>
                <w:sz w:val="20"/>
                <w:szCs w:val="24"/>
              </w:rPr>
              <w:t>10A</w:t>
            </w:r>
          </w:p>
        </w:tc>
        <w:tc>
          <w:tcPr>
            <w:tcW w:w="4261" w:type="dxa"/>
          </w:tcPr>
          <w:p w14:paraId="2B32640C" w14:textId="4538F061" w:rsidR="00474B92" w:rsidRPr="00A04749" w:rsidRDefault="00474B92" w:rsidP="004B2E62">
            <w:pPr>
              <w:pStyle w:val="base-text-paragraph"/>
              <w:ind w:left="0"/>
              <w:jc w:val="both"/>
              <w:rPr>
                <w:sz w:val="20"/>
                <w:szCs w:val="24"/>
              </w:rPr>
            </w:pPr>
            <w:r>
              <w:rPr>
                <w:sz w:val="20"/>
                <w:szCs w:val="24"/>
              </w:rPr>
              <w:t>19</w:t>
            </w:r>
          </w:p>
        </w:tc>
      </w:tr>
      <w:tr w:rsidR="00474B92" w:rsidRPr="00A04749" w14:paraId="6ADE33A7" w14:textId="77777777" w:rsidTr="004B2E62">
        <w:tc>
          <w:tcPr>
            <w:tcW w:w="4261" w:type="dxa"/>
          </w:tcPr>
          <w:p w14:paraId="69D942AA" w14:textId="6058B17A" w:rsidR="00474B92" w:rsidRPr="00A04749" w:rsidRDefault="00474B92" w:rsidP="004B2E62">
            <w:pPr>
              <w:pStyle w:val="base-text-paragraph"/>
              <w:ind w:left="0"/>
              <w:jc w:val="both"/>
              <w:rPr>
                <w:sz w:val="20"/>
                <w:szCs w:val="24"/>
              </w:rPr>
            </w:pPr>
            <w:r>
              <w:rPr>
                <w:sz w:val="20"/>
                <w:szCs w:val="24"/>
              </w:rPr>
              <w:t>10B</w:t>
            </w:r>
          </w:p>
        </w:tc>
        <w:tc>
          <w:tcPr>
            <w:tcW w:w="4261" w:type="dxa"/>
          </w:tcPr>
          <w:p w14:paraId="4EDF62CD" w14:textId="1BAB0642" w:rsidR="00474B92" w:rsidRPr="00A04749" w:rsidRDefault="00474B92" w:rsidP="004B2E62">
            <w:pPr>
              <w:pStyle w:val="base-text-paragraph"/>
              <w:ind w:left="0"/>
              <w:jc w:val="both"/>
              <w:rPr>
                <w:sz w:val="20"/>
                <w:szCs w:val="24"/>
              </w:rPr>
            </w:pPr>
            <w:r>
              <w:rPr>
                <w:sz w:val="20"/>
                <w:szCs w:val="24"/>
              </w:rPr>
              <w:t>20</w:t>
            </w:r>
          </w:p>
        </w:tc>
      </w:tr>
      <w:tr w:rsidR="00474B92" w:rsidRPr="00A04749" w14:paraId="75BCCCC3" w14:textId="77777777" w:rsidTr="004B2E62">
        <w:tc>
          <w:tcPr>
            <w:tcW w:w="4261" w:type="dxa"/>
          </w:tcPr>
          <w:p w14:paraId="6E0D99F5" w14:textId="459D88C9" w:rsidR="00474B92" w:rsidRPr="00A04749" w:rsidRDefault="00474B92" w:rsidP="004B2E62">
            <w:pPr>
              <w:pStyle w:val="base-text-paragraph"/>
              <w:ind w:left="0"/>
              <w:jc w:val="both"/>
              <w:rPr>
                <w:sz w:val="20"/>
                <w:szCs w:val="24"/>
              </w:rPr>
            </w:pPr>
            <w:r>
              <w:rPr>
                <w:sz w:val="20"/>
                <w:szCs w:val="24"/>
              </w:rPr>
              <w:t>10C</w:t>
            </w:r>
          </w:p>
        </w:tc>
        <w:tc>
          <w:tcPr>
            <w:tcW w:w="4261" w:type="dxa"/>
          </w:tcPr>
          <w:p w14:paraId="1AD84431" w14:textId="46D6C069" w:rsidR="00474B92" w:rsidRDefault="00474B92" w:rsidP="004B2E62">
            <w:pPr>
              <w:pStyle w:val="base-text-paragraph"/>
              <w:ind w:left="0"/>
              <w:jc w:val="both"/>
              <w:rPr>
                <w:sz w:val="20"/>
                <w:szCs w:val="24"/>
              </w:rPr>
            </w:pPr>
            <w:r>
              <w:rPr>
                <w:sz w:val="20"/>
                <w:szCs w:val="24"/>
              </w:rPr>
              <w:t>21</w:t>
            </w:r>
          </w:p>
        </w:tc>
      </w:tr>
      <w:tr w:rsidR="00474B92" w:rsidRPr="00A04749" w14:paraId="0AF85D64" w14:textId="77777777" w:rsidTr="004B2E62">
        <w:tc>
          <w:tcPr>
            <w:tcW w:w="4261" w:type="dxa"/>
          </w:tcPr>
          <w:p w14:paraId="6ABA38E4" w14:textId="47955D56" w:rsidR="00474B92" w:rsidRPr="00A04749" w:rsidRDefault="00474B92" w:rsidP="004B2E62">
            <w:pPr>
              <w:pStyle w:val="base-text-paragraph"/>
              <w:ind w:left="0"/>
              <w:jc w:val="both"/>
              <w:rPr>
                <w:sz w:val="20"/>
                <w:szCs w:val="24"/>
              </w:rPr>
            </w:pPr>
            <w:r>
              <w:rPr>
                <w:sz w:val="20"/>
                <w:szCs w:val="24"/>
              </w:rPr>
              <w:t>10D</w:t>
            </w:r>
          </w:p>
        </w:tc>
        <w:tc>
          <w:tcPr>
            <w:tcW w:w="4261" w:type="dxa"/>
          </w:tcPr>
          <w:p w14:paraId="052581FC" w14:textId="2084C913" w:rsidR="00474B92" w:rsidRDefault="00474B92" w:rsidP="004B2E62">
            <w:pPr>
              <w:pStyle w:val="base-text-paragraph"/>
              <w:ind w:left="0"/>
              <w:jc w:val="both"/>
              <w:rPr>
                <w:sz w:val="20"/>
                <w:szCs w:val="24"/>
              </w:rPr>
            </w:pPr>
            <w:r>
              <w:rPr>
                <w:sz w:val="20"/>
                <w:szCs w:val="24"/>
              </w:rPr>
              <w:t>22</w:t>
            </w:r>
          </w:p>
        </w:tc>
      </w:tr>
      <w:tr w:rsidR="00474B92" w:rsidRPr="00A04749" w14:paraId="0530AB7E" w14:textId="77777777" w:rsidTr="004B2E62">
        <w:tc>
          <w:tcPr>
            <w:tcW w:w="4261" w:type="dxa"/>
          </w:tcPr>
          <w:p w14:paraId="5EFBB1BC" w14:textId="482A8FAC" w:rsidR="00474B92" w:rsidRPr="00A04749" w:rsidRDefault="00474B92" w:rsidP="004B2E62">
            <w:pPr>
              <w:pStyle w:val="base-text-paragraph"/>
              <w:ind w:left="0"/>
              <w:jc w:val="both"/>
              <w:rPr>
                <w:sz w:val="20"/>
                <w:szCs w:val="24"/>
              </w:rPr>
            </w:pPr>
            <w:r>
              <w:rPr>
                <w:sz w:val="20"/>
                <w:szCs w:val="24"/>
              </w:rPr>
              <w:t>11</w:t>
            </w:r>
          </w:p>
        </w:tc>
        <w:tc>
          <w:tcPr>
            <w:tcW w:w="4261" w:type="dxa"/>
          </w:tcPr>
          <w:p w14:paraId="78DE5A07" w14:textId="0AB33F03" w:rsidR="00474B92" w:rsidRDefault="00474B92" w:rsidP="004B2E62">
            <w:pPr>
              <w:pStyle w:val="base-text-paragraph"/>
              <w:ind w:left="0"/>
              <w:jc w:val="both"/>
              <w:rPr>
                <w:sz w:val="20"/>
                <w:szCs w:val="24"/>
              </w:rPr>
            </w:pPr>
            <w:r>
              <w:rPr>
                <w:sz w:val="20"/>
                <w:szCs w:val="24"/>
              </w:rPr>
              <w:t>23</w:t>
            </w:r>
          </w:p>
        </w:tc>
      </w:tr>
      <w:tr w:rsidR="00474B92" w:rsidRPr="00A04749" w14:paraId="6D930AC8" w14:textId="77777777" w:rsidTr="004B2E62">
        <w:tc>
          <w:tcPr>
            <w:tcW w:w="4261" w:type="dxa"/>
          </w:tcPr>
          <w:p w14:paraId="6DB9A4DF" w14:textId="23D694C0" w:rsidR="00474B92" w:rsidRPr="00A04749" w:rsidRDefault="00474B92" w:rsidP="004B2E62">
            <w:pPr>
              <w:pStyle w:val="base-text-paragraph"/>
              <w:ind w:left="0"/>
              <w:jc w:val="both"/>
              <w:rPr>
                <w:sz w:val="20"/>
                <w:szCs w:val="24"/>
              </w:rPr>
            </w:pPr>
            <w:r>
              <w:rPr>
                <w:sz w:val="20"/>
                <w:szCs w:val="24"/>
              </w:rPr>
              <w:t>7AE</w:t>
            </w:r>
          </w:p>
        </w:tc>
        <w:tc>
          <w:tcPr>
            <w:tcW w:w="4261" w:type="dxa"/>
          </w:tcPr>
          <w:p w14:paraId="05F6F148" w14:textId="708A0FD2" w:rsidR="00474B92" w:rsidRDefault="00474B92" w:rsidP="004B2E62">
            <w:pPr>
              <w:pStyle w:val="base-text-paragraph"/>
              <w:ind w:left="0"/>
              <w:jc w:val="both"/>
              <w:rPr>
                <w:sz w:val="20"/>
                <w:szCs w:val="24"/>
              </w:rPr>
            </w:pPr>
            <w:r>
              <w:rPr>
                <w:sz w:val="20"/>
                <w:szCs w:val="24"/>
              </w:rPr>
              <w:t>24</w:t>
            </w:r>
          </w:p>
        </w:tc>
      </w:tr>
      <w:tr w:rsidR="00474B92" w:rsidRPr="00A04749" w14:paraId="1067648B" w14:textId="77777777" w:rsidTr="004B2E62">
        <w:tc>
          <w:tcPr>
            <w:tcW w:w="4261" w:type="dxa"/>
          </w:tcPr>
          <w:p w14:paraId="37344ACC" w14:textId="77365C7B" w:rsidR="00474B92" w:rsidRPr="00A04749" w:rsidRDefault="00C210DA" w:rsidP="004B2E62">
            <w:pPr>
              <w:pStyle w:val="base-text-paragraph"/>
              <w:ind w:left="0"/>
              <w:jc w:val="both"/>
              <w:rPr>
                <w:sz w:val="20"/>
                <w:szCs w:val="24"/>
              </w:rPr>
            </w:pPr>
            <w:r>
              <w:rPr>
                <w:sz w:val="20"/>
                <w:szCs w:val="24"/>
              </w:rPr>
              <w:t>No equivalent</w:t>
            </w:r>
          </w:p>
        </w:tc>
        <w:tc>
          <w:tcPr>
            <w:tcW w:w="4261" w:type="dxa"/>
          </w:tcPr>
          <w:p w14:paraId="6C26325F" w14:textId="24B17891" w:rsidR="00474B92" w:rsidRDefault="00474B92" w:rsidP="004B2E62">
            <w:pPr>
              <w:pStyle w:val="base-text-paragraph"/>
              <w:ind w:left="0"/>
              <w:jc w:val="both"/>
              <w:rPr>
                <w:sz w:val="20"/>
                <w:szCs w:val="24"/>
              </w:rPr>
            </w:pPr>
            <w:r>
              <w:rPr>
                <w:sz w:val="20"/>
                <w:szCs w:val="24"/>
              </w:rPr>
              <w:t>25</w:t>
            </w:r>
          </w:p>
        </w:tc>
      </w:tr>
      <w:tr w:rsidR="00474B92" w:rsidRPr="00A04749" w14:paraId="44D77CA6" w14:textId="77777777" w:rsidTr="004B2E62">
        <w:tc>
          <w:tcPr>
            <w:tcW w:w="4261" w:type="dxa"/>
          </w:tcPr>
          <w:p w14:paraId="1050DC24" w14:textId="1198F679" w:rsidR="00474B92" w:rsidRPr="00A04749" w:rsidRDefault="00474B92" w:rsidP="004B2E62">
            <w:pPr>
              <w:pStyle w:val="base-text-paragraph"/>
              <w:ind w:left="0"/>
              <w:jc w:val="both"/>
              <w:rPr>
                <w:sz w:val="20"/>
                <w:szCs w:val="24"/>
              </w:rPr>
            </w:pPr>
            <w:r>
              <w:rPr>
                <w:sz w:val="20"/>
                <w:szCs w:val="24"/>
              </w:rPr>
              <w:t>No equivalent</w:t>
            </w:r>
          </w:p>
        </w:tc>
        <w:tc>
          <w:tcPr>
            <w:tcW w:w="4261" w:type="dxa"/>
          </w:tcPr>
          <w:p w14:paraId="0919FBA4" w14:textId="5BF48F69" w:rsidR="00474B92" w:rsidRDefault="00474B92" w:rsidP="004B2E62">
            <w:pPr>
              <w:pStyle w:val="base-text-paragraph"/>
              <w:ind w:left="0"/>
              <w:jc w:val="both"/>
              <w:rPr>
                <w:sz w:val="20"/>
                <w:szCs w:val="24"/>
              </w:rPr>
            </w:pPr>
            <w:r>
              <w:rPr>
                <w:sz w:val="20"/>
                <w:szCs w:val="24"/>
              </w:rPr>
              <w:t>26</w:t>
            </w:r>
          </w:p>
        </w:tc>
      </w:tr>
      <w:tr w:rsidR="00C210DA" w:rsidRPr="00A04749" w14:paraId="3AB10F8C" w14:textId="77777777" w:rsidTr="004B2E62">
        <w:tc>
          <w:tcPr>
            <w:tcW w:w="4261" w:type="dxa"/>
          </w:tcPr>
          <w:p w14:paraId="5D974FBD" w14:textId="76CF21BE" w:rsidR="00C210DA" w:rsidRDefault="00C210DA" w:rsidP="004B2E62">
            <w:pPr>
              <w:pStyle w:val="base-text-paragraph"/>
              <w:ind w:left="0"/>
              <w:jc w:val="both"/>
              <w:rPr>
                <w:sz w:val="20"/>
                <w:szCs w:val="24"/>
              </w:rPr>
            </w:pPr>
            <w:r>
              <w:rPr>
                <w:sz w:val="20"/>
                <w:szCs w:val="24"/>
              </w:rPr>
              <w:t>No equivalent</w:t>
            </w:r>
          </w:p>
        </w:tc>
        <w:tc>
          <w:tcPr>
            <w:tcW w:w="4261" w:type="dxa"/>
          </w:tcPr>
          <w:p w14:paraId="10DAF336" w14:textId="6B6AAF2C" w:rsidR="00C210DA" w:rsidRDefault="00C210DA" w:rsidP="004B2E62">
            <w:pPr>
              <w:pStyle w:val="base-text-paragraph"/>
              <w:ind w:left="0"/>
              <w:jc w:val="both"/>
              <w:rPr>
                <w:sz w:val="20"/>
                <w:szCs w:val="24"/>
              </w:rPr>
            </w:pPr>
            <w:r>
              <w:rPr>
                <w:sz w:val="20"/>
                <w:szCs w:val="24"/>
              </w:rPr>
              <w:t>Schedule 1</w:t>
            </w:r>
          </w:p>
        </w:tc>
      </w:tr>
    </w:tbl>
    <w:p w14:paraId="5FE88275" w14:textId="6A107B62" w:rsidR="00701DB0" w:rsidRDefault="00701DB0" w:rsidP="006C436F">
      <w:pPr>
        <w:spacing w:before="240"/>
        <w:jc w:val="right"/>
      </w:pPr>
    </w:p>
    <w:sectPr w:rsidR="00701DB0" w:rsidSect="00392BB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948F2" w14:textId="77777777" w:rsidR="007E3E47" w:rsidRDefault="007E3E47" w:rsidP="00954679">
      <w:pPr>
        <w:spacing w:before="0" w:after="0"/>
      </w:pPr>
      <w:r>
        <w:separator/>
      </w:r>
    </w:p>
  </w:endnote>
  <w:endnote w:type="continuationSeparator" w:id="0">
    <w:p w14:paraId="2C0E567D" w14:textId="77777777" w:rsidR="007E3E47" w:rsidRDefault="007E3E47" w:rsidP="00954679">
      <w:pPr>
        <w:spacing w:before="0" w:after="0"/>
      </w:pPr>
      <w:r>
        <w:continuationSeparator/>
      </w:r>
    </w:p>
  </w:endnote>
  <w:endnote w:type="continuationNotice" w:id="1">
    <w:p w14:paraId="7C3C321E" w14:textId="77777777" w:rsidR="007E3E47" w:rsidRDefault="007E3E4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8B243" w14:textId="77777777" w:rsidR="00CB17D0" w:rsidRDefault="00CB17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F4062FF" w14:textId="77777777" w:rsidR="007E3E47" w:rsidRDefault="007E3E47"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AE09F9">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AE09F9">
              <w:rPr>
                <w:bCs/>
                <w:noProof/>
              </w:rPr>
              <w:t>10</w:t>
            </w:r>
            <w:r w:rsidRPr="00954679">
              <w:rPr>
                <w:bCs/>
                <w:szCs w:val="24"/>
              </w:rPr>
              <w:fldChar w:fldCharType="end"/>
            </w:r>
          </w:p>
        </w:sdtContent>
      </w:sdt>
    </w:sdtContent>
  </w:sdt>
  <w:p w14:paraId="5422A767" w14:textId="77777777" w:rsidR="007E3E47" w:rsidRDefault="007E3E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6A320" w14:textId="77777777" w:rsidR="00CB17D0" w:rsidRDefault="00CB1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5E810" w14:textId="77777777" w:rsidR="007E3E47" w:rsidRDefault="007E3E47" w:rsidP="00954679">
      <w:pPr>
        <w:spacing w:before="0" w:after="0"/>
      </w:pPr>
      <w:r>
        <w:separator/>
      </w:r>
    </w:p>
  </w:footnote>
  <w:footnote w:type="continuationSeparator" w:id="0">
    <w:p w14:paraId="53110AB6" w14:textId="77777777" w:rsidR="007E3E47" w:rsidRDefault="007E3E47" w:rsidP="00954679">
      <w:pPr>
        <w:spacing w:before="0" w:after="0"/>
      </w:pPr>
      <w:r>
        <w:continuationSeparator/>
      </w:r>
    </w:p>
  </w:footnote>
  <w:footnote w:type="continuationNotice" w:id="1">
    <w:p w14:paraId="30C57E4E" w14:textId="77777777" w:rsidR="007E3E47" w:rsidRDefault="007E3E4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34128" w14:textId="77777777" w:rsidR="00CB17D0" w:rsidRDefault="00CB17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1DE69" w14:textId="77777777" w:rsidR="00CB17D0" w:rsidRPr="000B4D3E" w:rsidRDefault="00CB17D0" w:rsidP="00CB17D0">
    <w:pPr>
      <w:pStyle w:val="Header"/>
      <w:jc w:val="center"/>
      <w:rPr>
        <w:rFonts w:ascii="Arial" w:hAnsi="Arial" w:cs="Arial"/>
        <w:b/>
        <w:sz w:val="40"/>
      </w:rPr>
    </w:pPr>
    <w:r w:rsidRPr="000B4D3E">
      <w:rPr>
        <w:rFonts w:ascii="Arial" w:hAnsi="Arial" w:cs="Arial"/>
        <w:b/>
        <w:sz w:val="40"/>
      </w:rPr>
      <w:t>EXPOSURE DRAFT</w:t>
    </w:r>
  </w:p>
  <w:p w14:paraId="36C3E76D" w14:textId="77777777" w:rsidR="00CB17D0" w:rsidRDefault="00CB17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601C7" w14:textId="77777777" w:rsidR="00CB17D0" w:rsidRDefault="00CB17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nsid w:val="5FBC7E8D"/>
    <w:multiLevelType w:val="singleLevel"/>
    <w:tmpl w:val="CC3A5EB2"/>
    <w:lvl w:ilvl="0">
      <w:start w:val="1"/>
      <w:numFmt w:val="decimal"/>
      <w:lvlRestart w:val="0"/>
      <w:lvlText w:val="%1."/>
      <w:lvlJc w:val="left"/>
      <w:pPr>
        <w:tabs>
          <w:tab w:val="num" w:pos="1837"/>
        </w:tabs>
        <w:ind w:left="993" w:firstLine="0"/>
      </w:pPr>
      <w:rPr>
        <w:b w:val="0"/>
        <w:i w:val="0"/>
        <w:color w:val="000000"/>
      </w:rPr>
    </w:lvl>
  </w:abstractNum>
  <w:abstractNum w:abstractNumId="4">
    <w:nsid w:val="67A43C0B"/>
    <w:multiLevelType w:val="multilevel"/>
    <w:tmpl w:val="2B0A8E8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04"/>
    <w:rsid w:val="00006B39"/>
    <w:rsid w:val="00013F81"/>
    <w:rsid w:val="0001494A"/>
    <w:rsid w:val="00016EA2"/>
    <w:rsid w:val="0002308C"/>
    <w:rsid w:val="00032330"/>
    <w:rsid w:val="0003384D"/>
    <w:rsid w:val="000454C3"/>
    <w:rsid w:val="00076284"/>
    <w:rsid w:val="00095211"/>
    <w:rsid w:val="000A2029"/>
    <w:rsid w:val="000A4085"/>
    <w:rsid w:val="000B0381"/>
    <w:rsid w:val="000B3408"/>
    <w:rsid w:val="000C10DF"/>
    <w:rsid w:val="000D050F"/>
    <w:rsid w:val="000D103C"/>
    <w:rsid w:val="000D5542"/>
    <w:rsid w:val="000D5AD1"/>
    <w:rsid w:val="000D602D"/>
    <w:rsid w:val="000F07BB"/>
    <w:rsid w:val="00101DA8"/>
    <w:rsid w:val="00112D30"/>
    <w:rsid w:val="00113B38"/>
    <w:rsid w:val="00113B45"/>
    <w:rsid w:val="00123380"/>
    <w:rsid w:val="00127A56"/>
    <w:rsid w:val="00136A1A"/>
    <w:rsid w:val="001469BB"/>
    <w:rsid w:val="00163C1F"/>
    <w:rsid w:val="00165737"/>
    <w:rsid w:val="001856CA"/>
    <w:rsid w:val="001C490A"/>
    <w:rsid w:val="001E3A74"/>
    <w:rsid w:val="001E5FF9"/>
    <w:rsid w:val="001E6A74"/>
    <w:rsid w:val="001F41D0"/>
    <w:rsid w:val="00200038"/>
    <w:rsid w:val="002017FF"/>
    <w:rsid w:val="00201EC8"/>
    <w:rsid w:val="00220F16"/>
    <w:rsid w:val="00231708"/>
    <w:rsid w:val="0024298E"/>
    <w:rsid w:val="00254C5B"/>
    <w:rsid w:val="00266CB3"/>
    <w:rsid w:val="0026723B"/>
    <w:rsid w:val="002A310F"/>
    <w:rsid w:val="002A6F6B"/>
    <w:rsid w:val="002F2F14"/>
    <w:rsid w:val="00315315"/>
    <w:rsid w:val="003342CD"/>
    <w:rsid w:val="00335042"/>
    <w:rsid w:val="003565AE"/>
    <w:rsid w:val="0036072B"/>
    <w:rsid w:val="00362B70"/>
    <w:rsid w:val="00391126"/>
    <w:rsid w:val="00392BBA"/>
    <w:rsid w:val="003954FD"/>
    <w:rsid w:val="003A4B74"/>
    <w:rsid w:val="003E1CE3"/>
    <w:rsid w:val="003E572D"/>
    <w:rsid w:val="003F6F15"/>
    <w:rsid w:val="0040650C"/>
    <w:rsid w:val="00406B95"/>
    <w:rsid w:val="00407ECC"/>
    <w:rsid w:val="004118C1"/>
    <w:rsid w:val="00417FAA"/>
    <w:rsid w:val="00443210"/>
    <w:rsid w:val="00462095"/>
    <w:rsid w:val="00463BE3"/>
    <w:rsid w:val="0046729B"/>
    <w:rsid w:val="004719AA"/>
    <w:rsid w:val="00474B92"/>
    <w:rsid w:val="00497AE2"/>
    <w:rsid w:val="004A0934"/>
    <w:rsid w:val="004A1983"/>
    <w:rsid w:val="004A4350"/>
    <w:rsid w:val="004B2E62"/>
    <w:rsid w:val="004B3C0F"/>
    <w:rsid w:val="004C05E4"/>
    <w:rsid w:val="004C2E2E"/>
    <w:rsid w:val="004C38BC"/>
    <w:rsid w:val="004E39E1"/>
    <w:rsid w:val="004F5127"/>
    <w:rsid w:val="004F77A9"/>
    <w:rsid w:val="00503852"/>
    <w:rsid w:val="00503E44"/>
    <w:rsid w:val="00515283"/>
    <w:rsid w:val="00533926"/>
    <w:rsid w:val="00545E8A"/>
    <w:rsid w:val="0055094B"/>
    <w:rsid w:val="00552967"/>
    <w:rsid w:val="0055675D"/>
    <w:rsid w:val="00561195"/>
    <w:rsid w:val="005618CA"/>
    <w:rsid w:val="00566E8F"/>
    <w:rsid w:val="00573293"/>
    <w:rsid w:val="005773DE"/>
    <w:rsid w:val="00577487"/>
    <w:rsid w:val="005833BE"/>
    <w:rsid w:val="005A4AA6"/>
    <w:rsid w:val="005B2D6F"/>
    <w:rsid w:val="005D2894"/>
    <w:rsid w:val="005D7D5A"/>
    <w:rsid w:val="005E273B"/>
    <w:rsid w:val="005E4BAC"/>
    <w:rsid w:val="005F200C"/>
    <w:rsid w:val="005F4528"/>
    <w:rsid w:val="0060130D"/>
    <w:rsid w:val="00603D7F"/>
    <w:rsid w:val="00614207"/>
    <w:rsid w:val="00615C29"/>
    <w:rsid w:val="0064129F"/>
    <w:rsid w:val="00642D48"/>
    <w:rsid w:val="00647BB7"/>
    <w:rsid w:val="00681A44"/>
    <w:rsid w:val="006A0786"/>
    <w:rsid w:val="006A5A85"/>
    <w:rsid w:val="006A7BEA"/>
    <w:rsid w:val="006C436F"/>
    <w:rsid w:val="006C47BE"/>
    <w:rsid w:val="006C5EAB"/>
    <w:rsid w:val="006D27CE"/>
    <w:rsid w:val="006D344E"/>
    <w:rsid w:val="006E64BE"/>
    <w:rsid w:val="006F3694"/>
    <w:rsid w:val="00701DB0"/>
    <w:rsid w:val="00720AB1"/>
    <w:rsid w:val="007238B3"/>
    <w:rsid w:val="00725714"/>
    <w:rsid w:val="00736F61"/>
    <w:rsid w:val="007662C7"/>
    <w:rsid w:val="00766836"/>
    <w:rsid w:val="00776306"/>
    <w:rsid w:val="007B1F10"/>
    <w:rsid w:val="007B4877"/>
    <w:rsid w:val="007C5CE9"/>
    <w:rsid w:val="007C6E4F"/>
    <w:rsid w:val="007D349A"/>
    <w:rsid w:val="007E018D"/>
    <w:rsid w:val="007E0D9D"/>
    <w:rsid w:val="007E1197"/>
    <w:rsid w:val="007E3E47"/>
    <w:rsid w:val="007E6FAC"/>
    <w:rsid w:val="007F1B71"/>
    <w:rsid w:val="00807E7D"/>
    <w:rsid w:val="008136D3"/>
    <w:rsid w:val="00831675"/>
    <w:rsid w:val="00836343"/>
    <w:rsid w:val="00836D86"/>
    <w:rsid w:val="00845C60"/>
    <w:rsid w:val="00857CE7"/>
    <w:rsid w:val="00871AB8"/>
    <w:rsid w:val="00872A5C"/>
    <w:rsid w:val="0088467C"/>
    <w:rsid w:val="00894579"/>
    <w:rsid w:val="008A0815"/>
    <w:rsid w:val="008A5B67"/>
    <w:rsid w:val="008B3030"/>
    <w:rsid w:val="008B7C76"/>
    <w:rsid w:val="008C32CC"/>
    <w:rsid w:val="008C6D39"/>
    <w:rsid w:val="008D16F7"/>
    <w:rsid w:val="008D2DD2"/>
    <w:rsid w:val="008D387A"/>
    <w:rsid w:val="008E1B4E"/>
    <w:rsid w:val="008E2DCF"/>
    <w:rsid w:val="008E5BE3"/>
    <w:rsid w:val="008F7895"/>
    <w:rsid w:val="009143A0"/>
    <w:rsid w:val="00921677"/>
    <w:rsid w:val="009251CA"/>
    <w:rsid w:val="00931331"/>
    <w:rsid w:val="00932966"/>
    <w:rsid w:val="00946306"/>
    <w:rsid w:val="00954679"/>
    <w:rsid w:val="00955FCA"/>
    <w:rsid w:val="00957DC3"/>
    <w:rsid w:val="009662DF"/>
    <w:rsid w:val="009801D3"/>
    <w:rsid w:val="00986EF6"/>
    <w:rsid w:val="009C076D"/>
    <w:rsid w:val="009D3D84"/>
    <w:rsid w:val="009D5C3E"/>
    <w:rsid w:val="009E029C"/>
    <w:rsid w:val="009E2F86"/>
    <w:rsid w:val="00A04749"/>
    <w:rsid w:val="00A10967"/>
    <w:rsid w:val="00A12209"/>
    <w:rsid w:val="00A218D1"/>
    <w:rsid w:val="00A272F2"/>
    <w:rsid w:val="00A342AE"/>
    <w:rsid w:val="00A36DF3"/>
    <w:rsid w:val="00A514C5"/>
    <w:rsid w:val="00A514E8"/>
    <w:rsid w:val="00A532DD"/>
    <w:rsid w:val="00A558CD"/>
    <w:rsid w:val="00A66279"/>
    <w:rsid w:val="00A80BCF"/>
    <w:rsid w:val="00A8369C"/>
    <w:rsid w:val="00AA1689"/>
    <w:rsid w:val="00AB3C01"/>
    <w:rsid w:val="00AC1D15"/>
    <w:rsid w:val="00AC2438"/>
    <w:rsid w:val="00AE09F9"/>
    <w:rsid w:val="00AF6C74"/>
    <w:rsid w:val="00B07B0C"/>
    <w:rsid w:val="00B25563"/>
    <w:rsid w:val="00B26D48"/>
    <w:rsid w:val="00B42EE1"/>
    <w:rsid w:val="00B5159E"/>
    <w:rsid w:val="00B53857"/>
    <w:rsid w:val="00B55B9A"/>
    <w:rsid w:val="00B62AB2"/>
    <w:rsid w:val="00B74728"/>
    <w:rsid w:val="00B86FAC"/>
    <w:rsid w:val="00B92478"/>
    <w:rsid w:val="00B9502D"/>
    <w:rsid w:val="00BB7BEC"/>
    <w:rsid w:val="00BC5C74"/>
    <w:rsid w:val="00BC5F70"/>
    <w:rsid w:val="00BD61A2"/>
    <w:rsid w:val="00BD6FC9"/>
    <w:rsid w:val="00BE1C77"/>
    <w:rsid w:val="00BE484D"/>
    <w:rsid w:val="00C210DA"/>
    <w:rsid w:val="00C24587"/>
    <w:rsid w:val="00C303ED"/>
    <w:rsid w:val="00C37E05"/>
    <w:rsid w:val="00C46677"/>
    <w:rsid w:val="00C516D2"/>
    <w:rsid w:val="00C55D29"/>
    <w:rsid w:val="00C74D95"/>
    <w:rsid w:val="00CA0BE9"/>
    <w:rsid w:val="00CA138D"/>
    <w:rsid w:val="00CA448D"/>
    <w:rsid w:val="00CB0F45"/>
    <w:rsid w:val="00CB14E0"/>
    <w:rsid w:val="00CB17D0"/>
    <w:rsid w:val="00CC7641"/>
    <w:rsid w:val="00CD49F4"/>
    <w:rsid w:val="00CF3939"/>
    <w:rsid w:val="00D05A30"/>
    <w:rsid w:val="00D13794"/>
    <w:rsid w:val="00D24052"/>
    <w:rsid w:val="00D25329"/>
    <w:rsid w:val="00D30449"/>
    <w:rsid w:val="00D30DBC"/>
    <w:rsid w:val="00D31575"/>
    <w:rsid w:val="00D34626"/>
    <w:rsid w:val="00D412F3"/>
    <w:rsid w:val="00D4257A"/>
    <w:rsid w:val="00D62665"/>
    <w:rsid w:val="00D716C4"/>
    <w:rsid w:val="00D751B6"/>
    <w:rsid w:val="00D95591"/>
    <w:rsid w:val="00DA4433"/>
    <w:rsid w:val="00DB6834"/>
    <w:rsid w:val="00DC0CDE"/>
    <w:rsid w:val="00DC4D72"/>
    <w:rsid w:val="00DD511A"/>
    <w:rsid w:val="00DE2642"/>
    <w:rsid w:val="00DE6A6F"/>
    <w:rsid w:val="00E03B37"/>
    <w:rsid w:val="00E0624D"/>
    <w:rsid w:val="00E07E04"/>
    <w:rsid w:val="00E22277"/>
    <w:rsid w:val="00E342DE"/>
    <w:rsid w:val="00E4438C"/>
    <w:rsid w:val="00E457F3"/>
    <w:rsid w:val="00E816C1"/>
    <w:rsid w:val="00E92F2F"/>
    <w:rsid w:val="00E960F6"/>
    <w:rsid w:val="00EA0F0C"/>
    <w:rsid w:val="00EA2516"/>
    <w:rsid w:val="00EB7E71"/>
    <w:rsid w:val="00EF3AF6"/>
    <w:rsid w:val="00EF44B6"/>
    <w:rsid w:val="00F02AFF"/>
    <w:rsid w:val="00F109D4"/>
    <w:rsid w:val="00F15AAC"/>
    <w:rsid w:val="00F35E96"/>
    <w:rsid w:val="00F456E5"/>
    <w:rsid w:val="00F463B8"/>
    <w:rsid w:val="00F47585"/>
    <w:rsid w:val="00F75BAC"/>
    <w:rsid w:val="00F8129A"/>
    <w:rsid w:val="00F91299"/>
    <w:rsid w:val="00F93499"/>
    <w:rsid w:val="00FA6C9D"/>
    <w:rsid w:val="00FB0183"/>
    <w:rsid w:val="00FB2A47"/>
    <w:rsid w:val="00FB49A6"/>
    <w:rsid w:val="00FD3D1F"/>
    <w:rsid w:val="00FD61D3"/>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6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B55B9A"/>
    <w:rPr>
      <w:color w:val="800080" w:themeColor="followedHyperlink"/>
      <w:u w:val="single"/>
    </w:rPr>
  </w:style>
  <w:style w:type="table" w:styleId="TableGrid">
    <w:name w:val="Table Grid"/>
    <w:basedOn w:val="TableNormal"/>
    <w:uiPriority w:val="59"/>
    <w:rsid w:val="006C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text-paragraphChar">
    <w:name w:val="base-text-paragraph Char"/>
    <w:basedOn w:val="DefaultParagraphFont"/>
    <w:link w:val="base-text-paragraph"/>
    <w:rsid w:val="008C6D3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B55B9A"/>
    <w:rPr>
      <w:color w:val="800080" w:themeColor="followedHyperlink"/>
      <w:u w:val="single"/>
    </w:rPr>
  </w:style>
  <w:style w:type="table" w:styleId="TableGrid">
    <w:name w:val="Table Grid"/>
    <w:basedOn w:val="TableNormal"/>
    <w:uiPriority w:val="59"/>
    <w:rsid w:val="006C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text-paragraphChar">
    <w:name w:val="base-text-paragraph Char"/>
    <w:basedOn w:val="DefaultParagraphFont"/>
    <w:link w:val="base-text-paragraph"/>
    <w:rsid w:val="008C6D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75307">
      <w:bodyDiv w:val="1"/>
      <w:marLeft w:val="0"/>
      <w:marRight w:val="0"/>
      <w:marTop w:val="0"/>
      <w:marBottom w:val="0"/>
      <w:divBdr>
        <w:top w:val="none" w:sz="0" w:space="0" w:color="auto"/>
        <w:left w:val="none" w:sz="0" w:space="0" w:color="auto"/>
        <w:bottom w:val="none" w:sz="0" w:space="0" w:color="auto"/>
        <w:right w:val="none" w:sz="0" w:space="0" w:color="auto"/>
      </w:divBdr>
      <w:divsChild>
        <w:div w:id="89668830">
          <w:marLeft w:val="0"/>
          <w:marRight w:val="0"/>
          <w:marTop w:val="0"/>
          <w:marBottom w:val="0"/>
          <w:divBdr>
            <w:top w:val="none" w:sz="0" w:space="0" w:color="auto"/>
            <w:left w:val="none" w:sz="0" w:space="0" w:color="auto"/>
            <w:bottom w:val="none" w:sz="0" w:space="0" w:color="auto"/>
            <w:right w:val="none" w:sz="0" w:space="0" w:color="auto"/>
          </w:divBdr>
          <w:divsChild>
            <w:div w:id="2002194303">
              <w:marLeft w:val="0"/>
              <w:marRight w:val="0"/>
              <w:marTop w:val="0"/>
              <w:marBottom w:val="0"/>
              <w:divBdr>
                <w:top w:val="none" w:sz="0" w:space="0" w:color="auto"/>
                <w:left w:val="none" w:sz="0" w:space="0" w:color="auto"/>
                <w:bottom w:val="none" w:sz="0" w:space="0" w:color="auto"/>
                <w:right w:val="none" w:sz="0" w:space="0" w:color="auto"/>
              </w:divBdr>
              <w:divsChild>
                <w:div w:id="1254582342">
                  <w:marLeft w:val="0"/>
                  <w:marRight w:val="0"/>
                  <w:marTop w:val="0"/>
                  <w:marBottom w:val="0"/>
                  <w:divBdr>
                    <w:top w:val="none" w:sz="0" w:space="0" w:color="auto"/>
                    <w:left w:val="none" w:sz="0" w:space="0" w:color="auto"/>
                    <w:bottom w:val="none" w:sz="0" w:space="0" w:color="auto"/>
                    <w:right w:val="none" w:sz="0" w:space="0" w:color="auto"/>
                  </w:divBdr>
                  <w:divsChild>
                    <w:div w:id="1865744876">
                      <w:marLeft w:val="0"/>
                      <w:marRight w:val="0"/>
                      <w:marTop w:val="0"/>
                      <w:marBottom w:val="0"/>
                      <w:divBdr>
                        <w:top w:val="none" w:sz="0" w:space="0" w:color="auto"/>
                        <w:left w:val="none" w:sz="0" w:space="0" w:color="auto"/>
                        <w:bottom w:val="none" w:sz="0" w:space="0" w:color="auto"/>
                        <w:right w:val="none" w:sz="0" w:space="0" w:color="auto"/>
                      </w:divBdr>
                      <w:divsChild>
                        <w:div w:id="233055701">
                          <w:marLeft w:val="0"/>
                          <w:marRight w:val="0"/>
                          <w:marTop w:val="0"/>
                          <w:marBottom w:val="0"/>
                          <w:divBdr>
                            <w:top w:val="none" w:sz="0" w:space="0" w:color="auto"/>
                            <w:left w:val="none" w:sz="0" w:space="0" w:color="auto"/>
                            <w:bottom w:val="none" w:sz="0" w:space="0" w:color="auto"/>
                            <w:right w:val="none" w:sz="0" w:space="0" w:color="auto"/>
                          </w:divBdr>
                          <w:divsChild>
                            <w:div w:id="960037261">
                              <w:marLeft w:val="0"/>
                              <w:marRight w:val="0"/>
                              <w:marTop w:val="0"/>
                              <w:marBottom w:val="0"/>
                              <w:divBdr>
                                <w:top w:val="none" w:sz="0" w:space="0" w:color="auto"/>
                                <w:left w:val="none" w:sz="0" w:space="0" w:color="auto"/>
                                <w:bottom w:val="none" w:sz="0" w:space="0" w:color="auto"/>
                                <w:right w:val="none" w:sz="0" w:space="0" w:color="auto"/>
                              </w:divBdr>
                              <w:divsChild>
                                <w:div w:id="1758357766">
                                  <w:marLeft w:val="0"/>
                                  <w:marRight w:val="0"/>
                                  <w:marTop w:val="0"/>
                                  <w:marBottom w:val="0"/>
                                  <w:divBdr>
                                    <w:top w:val="none" w:sz="0" w:space="0" w:color="auto"/>
                                    <w:left w:val="none" w:sz="0" w:space="0" w:color="auto"/>
                                    <w:bottom w:val="none" w:sz="0" w:space="0" w:color="auto"/>
                                    <w:right w:val="none" w:sz="0" w:space="0" w:color="auto"/>
                                  </w:divBdr>
                                  <w:divsChild>
                                    <w:div w:id="643893982">
                                      <w:marLeft w:val="0"/>
                                      <w:marRight w:val="0"/>
                                      <w:marTop w:val="0"/>
                                      <w:marBottom w:val="0"/>
                                      <w:divBdr>
                                        <w:top w:val="none" w:sz="0" w:space="0" w:color="auto"/>
                                        <w:left w:val="none" w:sz="0" w:space="0" w:color="auto"/>
                                        <w:bottom w:val="none" w:sz="0" w:space="0" w:color="auto"/>
                                        <w:right w:val="none" w:sz="0" w:space="0" w:color="auto"/>
                                      </w:divBdr>
                                      <w:divsChild>
                                        <w:div w:id="1242985211">
                                          <w:marLeft w:val="0"/>
                                          <w:marRight w:val="0"/>
                                          <w:marTop w:val="0"/>
                                          <w:marBottom w:val="0"/>
                                          <w:divBdr>
                                            <w:top w:val="none" w:sz="0" w:space="0" w:color="auto"/>
                                            <w:left w:val="none" w:sz="0" w:space="0" w:color="auto"/>
                                            <w:bottom w:val="none" w:sz="0" w:space="0" w:color="auto"/>
                                            <w:right w:val="none" w:sz="0" w:space="0" w:color="auto"/>
                                          </w:divBdr>
                                          <w:divsChild>
                                            <w:div w:id="1489446206">
                                              <w:marLeft w:val="0"/>
                                              <w:marRight w:val="0"/>
                                              <w:marTop w:val="0"/>
                                              <w:marBottom w:val="0"/>
                                              <w:divBdr>
                                                <w:top w:val="none" w:sz="0" w:space="0" w:color="auto"/>
                                                <w:left w:val="none" w:sz="0" w:space="0" w:color="auto"/>
                                                <w:bottom w:val="none" w:sz="0" w:space="0" w:color="auto"/>
                                                <w:right w:val="none" w:sz="0" w:space="0" w:color="auto"/>
                                              </w:divBdr>
                                              <w:divsChild>
                                                <w:div w:id="1723946613">
                                                  <w:marLeft w:val="0"/>
                                                  <w:marRight w:val="0"/>
                                                  <w:marTop w:val="0"/>
                                                  <w:marBottom w:val="0"/>
                                                  <w:divBdr>
                                                    <w:top w:val="none" w:sz="0" w:space="0" w:color="auto"/>
                                                    <w:left w:val="none" w:sz="0" w:space="0" w:color="auto"/>
                                                    <w:bottom w:val="none" w:sz="0" w:space="0" w:color="auto"/>
                                                    <w:right w:val="none" w:sz="0" w:space="0" w:color="auto"/>
                                                  </w:divBdr>
                                                  <w:divsChild>
                                                    <w:div w:id="7121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314573">
      <w:bodyDiv w:val="1"/>
      <w:marLeft w:val="0"/>
      <w:marRight w:val="0"/>
      <w:marTop w:val="0"/>
      <w:marBottom w:val="0"/>
      <w:divBdr>
        <w:top w:val="none" w:sz="0" w:space="0" w:color="auto"/>
        <w:left w:val="none" w:sz="0" w:space="0" w:color="auto"/>
        <w:bottom w:val="none" w:sz="0" w:space="0" w:color="auto"/>
        <w:right w:val="none" w:sz="0" w:space="0" w:color="auto"/>
      </w:divBdr>
      <w:divsChild>
        <w:div w:id="2143375478">
          <w:marLeft w:val="0"/>
          <w:marRight w:val="0"/>
          <w:marTop w:val="0"/>
          <w:marBottom w:val="0"/>
          <w:divBdr>
            <w:top w:val="none" w:sz="0" w:space="0" w:color="auto"/>
            <w:left w:val="none" w:sz="0" w:space="0" w:color="auto"/>
            <w:bottom w:val="none" w:sz="0" w:space="0" w:color="auto"/>
            <w:right w:val="none" w:sz="0" w:space="0" w:color="auto"/>
          </w:divBdr>
          <w:divsChild>
            <w:div w:id="1622882021">
              <w:marLeft w:val="0"/>
              <w:marRight w:val="0"/>
              <w:marTop w:val="0"/>
              <w:marBottom w:val="0"/>
              <w:divBdr>
                <w:top w:val="none" w:sz="0" w:space="0" w:color="auto"/>
                <w:left w:val="none" w:sz="0" w:space="0" w:color="auto"/>
                <w:bottom w:val="none" w:sz="0" w:space="0" w:color="auto"/>
                <w:right w:val="none" w:sz="0" w:space="0" w:color="auto"/>
              </w:divBdr>
              <w:divsChild>
                <w:div w:id="1999459083">
                  <w:marLeft w:val="0"/>
                  <w:marRight w:val="0"/>
                  <w:marTop w:val="0"/>
                  <w:marBottom w:val="0"/>
                  <w:divBdr>
                    <w:top w:val="none" w:sz="0" w:space="0" w:color="auto"/>
                    <w:left w:val="none" w:sz="0" w:space="0" w:color="auto"/>
                    <w:bottom w:val="none" w:sz="0" w:space="0" w:color="auto"/>
                    <w:right w:val="none" w:sz="0" w:space="0" w:color="auto"/>
                  </w:divBdr>
                  <w:divsChild>
                    <w:div w:id="1733231522">
                      <w:marLeft w:val="0"/>
                      <w:marRight w:val="0"/>
                      <w:marTop w:val="0"/>
                      <w:marBottom w:val="0"/>
                      <w:divBdr>
                        <w:top w:val="none" w:sz="0" w:space="0" w:color="auto"/>
                        <w:left w:val="none" w:sz="0" w:space="0" w:color="auto"/>
                        <w:bottom w:val="none" w:sz="0" w:space="0" w:color="auto"/>
                        <w:right w:val="none" w:sz="0" w:space="0" w:color="auto"/>
                      </w:divBdr>
                      <w:divsChild>
                        <w:div w:id="1449398085">
                          <w:marLeft w:val="0"/>
                          <w:marRight w:val="0"/>
                          <w:marTop w:val="0"/>
                          <w:marBottom w:val="0"/>
                          <w:divBdr>
                            <w:top w:val="none" w:sz="0" w:space="0" w:color="auto"/>
                            <w:left w:val="none" w:sz="0" w:space="0" w:color="auto"/>
                            <w:bottom w:val="none" w:sz="0" w:space="0" w:color="auto"/>
                            <w:right w:val="none" w:sz="0" w:space="0" w:color="auto"/>
                          </w:divBdr>
                          <w:divsChild>
                            <w:div w:id="1287814292">
                              <w:marLeft w:val="0"/>
                              <w:marRight w:val="0"/>
                              <w:marTop w:val="0"/>
                              <w:marBottom w:val="0"/>
                              <w:divBdr>
                                <w:top w:val="none" w:sz="0" w:space="0" w:color="auto"/>
                                <w:left w:val="none" w:sz="0" w:space="0" w:color="auto"/>
                                <w:bottom w:val="none" w:sz="0" w:space="0" w:color="auto"/>
                                <w:right w:val="none" w:sz="0" w:space="0" w:color="auto"/>
                              </w:divBdr>
                              <w:divsChild>
                                <w:div w:id="876894306">
                                  <w:marLeft w:val="0"/>
                                  <w:marRight w:val="0"/>
                                  <w:marTop w:val="0"/>
                                  <w:marBottom w:val="0"/>
                                  <w:divBdr>
                                    <w:top w:val="none" w:sz="0" w:space="0" w:color="auto"/>
                                    <w:left w:val="none" w:sz="0" w:space="0" w:color="auto"/>
                                    <w:bottom w:val="none" w:sz="0" w:space="0" w:color="auto"/>
                                    <w:right w:val="none" w:sz="0" w:space="0" w:color="auto"/>
                                  </w:divBdr>
                                  <w:divsChild>
                                    <w:div w:id="1774746073">
                                      <w:marLeft w:val="0"/>
                                      <w:marRight w:val="0"/>
                                      <w:marTop w:val="0"/>
                                      <w:marBottom w:val="0"/>
                                      <w:divBdr>
                                        <w:top w:val="none" w:sz="0" w:space="0" w:color="auto"/>
                                        <w:left w:val="none" w:sz="0" w:space="0" w:color="auto"/>
                                        <w:bottom w:val="none" w:sz="0" w:space="0" w:color="auto"/>
                                        <w:right w:val="none" w:sz="0" w:space="0" w:color="auto"/>
                                      </w:divBdr>
                                      <w:divsChild>
                                        <w:div w:id="1789198385">
                                          <w:marLeft w:val="0"/>
                                          <w:marRight w:val="0"/>
                                          <w:marTop w:val="0"/>
                                          <w:marBottom w:val="0"/>
                                          <w:divBdr>
                                            <w:top w:val="none" w:sz="0" w:space="0" w:color="auto"/>
                                            <w:left w:val="none" w:sz="0" w:space="0" w:color="auto"/>
                                            <w:bottom w:val="none" w:sz="0" w:space="0" w:color="auto"/>
                                            <w:right w:val="none" w:sz="0" w:space="0" w:color="auto"/>
                                          </w:divBdr>
                                          <w:divsChild>
                                            <w:div w:id="775321981">
                                              <w:marLeft w:val="0"/>
                                              <w:marRight w:val="0"/>
                                              <w:marTop w:val="0"/>
                                              <w:marBottom w:val="0"/>
                                              <w:divBdr>
                                                <w:top w:val="none" w:sz="0" w:space="0" w:color="auto"/>
                                                <w:left w:val="none" w:sz="0" w:space="0" w:color="auto"/>
                                                <w:bottom w:val="none" w:sz="0" w:space="0" w:color="auto"/>
                                                <w:right w:val="none" w:sz="0" w:space="0" w:color="auto"/>
                                              </w:divBdr>
                                              <w:divsChild>
                                                <w:div w:id="206721665">
                                                  <w:marLeft w:val="0"/>
                                                  <w:marRight w:val="0"/>
                                                  <w:marTop w:val="0"/>
                                                  <w:marBottom w:val="0"/>
                                                  <w:divBdr>
                                                    <w:top w:val="none" w:sz="0" w:space="0" w:color="auto"/>
                                                    <w:left w:val="none" w:sz="0" w:space="0" w:color="auto"/>
                                                    <w:bottom w:val="none" w:sz="0" w:space="0" w:color="auto"/>
                                                    <w:right w:val="none" w:sz="0" w:space="0" w:color="auto"/>
                                                  </w:divBdr>
                                                  <w:divsChild>
                                                    <w:div w:id="6045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68882">
      <w:bodyDiv w:val="1"/>
      <w:marLeft w:val="0"/>
      <w:marRight w:val="0"/>
      <w:marTop w:val="0"/>
      <w:marBottom w:val="0"/>
      <w:divBdr>
        <w:top w:val="none" w:sz="0" w:space="0" w:color="auto"/>
        <w:left w:val="none" w:sz="0" w:space="0" w:color="auto"/>
        <w:bottom w:val="none" w:sz="0" w:space="0" w:color="auto"/>
        <w:right w:val="none" w:sz="0" w:space="0" w:color="auto"/>
      </w:divBdr>
    </w:div>
    <w:div w:id="1821340453">
      <w:bodyDiv w:val="1"/>
      <w:marLeft w:val="0"/>
      <w:marRight w:val="0"/>
      <w:marTop w:val="0"/>
      <w:marBottom w:val="0"/>
      <w:divBdr>
        <w:top w:val="none" w:sz="0" w:space="0" w:color="auto"/>
        <w:left w:val="none" w:sz="0" w:space="0" w:color="auto"/>
        <w:bottom w:val="none" w:sz="0" w:space="0" w:color="auto"/>
        <w:right w:val="none" w:sz="0" w:space="0" w:color="auto"/>
      </w:divBdr>
      <w:divsChild>
        <w:div w:id="2049258469">
          <w:marLeft w:val="0"/>
          <w:marRight w:val="0"/>
          <w:marTop w:val="0"/>
          <w:marBottom w:val="0"/>
          <w:divBdr>
            <w:top w:val="none" w:sz="0" w:space="0" w:color="auto"/>
            <w:left w:val="none" w:sz="0" w:space="0" w:color="auto"/>
            <w:bottom w:val="none" w:sz="0" w:space="0" w:color="auto"/>
            <w:right w:val="none" w:sz="0" w:space="0" w:color="auto"/>
          </w:divBdr>
          <w:divsChild>
            <w:div w:id="1655065922">
              <w:marLeft w:val="0"/>
              <w:marRight w:val="0"/>
              <w:marTop w:val="0"/>
              <w:marBottom w:val="0"/>
              <w:divBdr>
                <w:top w:val="none" w:sz="0" w:space="0" w:color="auto"/>
                <w:left w:val="none" w:sz="0" w:space="0" w:color="auto"/>
                <w:bottom w:val="none" w:sz="0" w:space="0" w:color="auto"/>
                <w:right w:val="none" w:sz="0" w:space="0" w:color="auto"/>
              </w:divBdr>
              <w:divsChild>
                <w:div w:id="949170092">
                  <w:marLeft w:val="0"/>
                  <w:marRight w:val="0"/>
                  <w:marTop w:val="0"/>
                  <w:marBottom w:val="0"/>
                  <w:divBdr>
                    <w:top w:val="none" w:sz="0" w:space="0" w:color="auto"/>
                    <w:left w:val="none" w:sz="0" w:space="0" w:color="auto"/>
                    <w:bottom w:val="none" w:sz="0" w:space="0" w:color="auto"/>
                    <w:right w:val="none" w:sz="0" w:space="0" w:color="auto"/>
                  </w:divBdr>
                  <w:divsChild>
                    <w:div w:id="642469374">
                      <w:marLeft w:val="0"/>
                      <w:marRight w:val="0"/>
                      <w:marTop w:val="0"/>
                      <w:marBottom w:val="0"/>
                      <w:divBdr>
                        <w:top w:val="none" w:sz="0" w:space="0" w:color="auto"/>
                        <w:left w:val="none" w:sz="0" w:space="0" w:color="auto"/>
                        <w:bottom w:val="none" w:sz="0" w:space="0" w:color="auto"/>
                        <w:right w:val="none" w:sz="0" w:space="0" w:color="auto"/>
                      </w:divBdr>
                      <w:divsChild>
                        <w:div w:id="425268530">
                          <w:marLeft w:val="0"/>
                          <w:marRight w:val="0"/>
                          <w:marTop w:val="0"/>
                          <w:marBottom w:val="0"/>
                          <w:divBdr>
                            <w:top w:val="none" w:sz="0" w:space="0" w:color="auto"/>
                            <w:left w:val="none" w:sz="0" w:space="0" w:color="auto"/>
                            <w:bottom w:val="none" w:sz="0" w:space="0" w:color="auto"/>
                            <w:right w:val="none" w:sz="0" w:space="0" w:color="auto"/>
                          </w:divBdr>
                          <w:divsChild>
                            <w:div w:id="41294146">
                              <w:marLeft w:val="0"/>
                              <w:marRight w:val="0"/>
                              <w:marTop w:val="0"/>
                              <w:marBottom w:val="0"/>
                              <w:divBdr>
                                <w:top w:val="none" w:sz="0" w:space="0" w:color="auto"/>
                                <w:left w:val="none" w:sz="0" w:space="0" w:color="auto"/>
                                <w:bottom w:val="none" w:sz="0" w:space="0" w:color="auto"/>
                                <w:right w:val="none" w:sz="0" w:space="0" w:color="auto"/>
                              </w:divBdr>
                              <w:divsChild>
                                <w:div w:id="423376566">
                                  <w:marLeft w:val="0"/>
                                  <w:marRight w:val="0"/>
                                  <w:marTop w:val="0"/>
                                  <w:marBottom w:val="0"/>
                                  <w:divBdr>
                                    <w:top w:val="none" w:sz="0" w:space="0" w:color="auto"/>
                                    <w:left w:val="none" w:sz="0" w:space="0" w:color="auto"/>
                                    <w:bottom w:val="none" w:sz="0" w:space="0" w:color="auto"/>
                                    <w:right w:val="none" w:sz="0" w:space="0" w:color="auto"/>
                                  </w:divBdr>
                                  <w:divsChild>
                                    <w:div w:id="402483568">
                                      <w:marLeft w:val="0"/>
                                      <w:marRight w:val="0"/>
                                      <w:marTop w:val="0"/>
                                      <w:marBottom w:val="0"/>
                                      <w:divBdr>
                                        <w:top w:val="none" w:sz="0" w:space="0" w:color="auto"/>
                                        <w:left w:val="none" w:sz="0" w:space="0" w:color="auto"/>
                                        <w:bottom w:val="none" w:sz="0" w:space="0" w:color="auto"/>
                                        <w:right w:val="none" w:sz="0" w:space="0" w:color="auto"/>
                                      </w:divBdr>
                                      <w:divsChild>
                                        <w:div w:id="1520658587">
                                          <w:marLeft w:val="0"/>
                                          <w:marRight w:val="0"/>
                                          <w:marTop w:val="0"/>
                                          <w:marBottom w:val="0"/>
                                          <w:divBdr>
                                            <w:top w:val="none" w:sz="0" w:space="0" w:color="auto"/>
                                            <w:left w:val="none" w:sz="0" w:space="0" w:color="auto"/>
                                            <w:bottom w:val="none" w:sz="0" w:space="0" w:color="auto"/>
                                            <w:right w:val="none" w:sz="0" w:space="0" w:color="auto"/>
                                          </w:divBdr>
                                          <w:divsChild>
                                            <w:div w:id="891697195">
                                              <w:marLeft w:val="0"/>
                                              <w:marRight w:val="0"/>
                                              <w:marTop w:val="0"/>
                                              <w:marBottom w:val="0"/>
                                              <w:divBdr>
                                                <w:top w:val="none" w:sz="0" w:space="0" w:color="auto"/>
                                                <w:left w:val="none" w:sz="0" w:space="0" w:color="auto"/>
                                                <w:bottom w:val="none" w:sz="0" w:space="0" w:color="auto"/>
                                                <w:right w:val="none" w:sz="0" w:space="0" w:color="auto"/>
                                              </w:divBdr>
                                              <w:divsChild>
                                                <w:div w:id="228345278">
                                                  <w:marLeft w:val="0"/>
                                                  <w:marRight w:val="0"/>
                                                  <w:marTop w:val="0"/>
                                                  <w:marBottom w:val="0"/>
                                                  <w:divBdr>
                                                    <w:top w:val="none" w:sz="0" w:space="0" w:color="auto"/>
                                                    <w:left w:val="none" w:sz="0" w:space="0" w:color="auto"/>
                                                    <w:bottom w:val="none" w:sz="0" w:space="0" w:color="auto"/>
                                                    <w:right w:val="none" w:sz="0" w:space="0" w:color="auto"/>
                                                  </w:divBdr>
                                                  <w:divsChild>
                                                    <w:div w:id="12214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FD7076116EC98644A06C791081FFEA2D" ma:contentTypeVersion="12778" ma:contentTypeDescription="" ma:contentTypeScope="" ma:versionID="0e2c8408b9c9b048c25770addcc8c4a7">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da0172f718aaee468c0f5488364e807f"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e544e5cc-ab70-42e1-849e-1a0f8bb1f4ef">
      <Value>19</Value>
    </TaxCatchAll>
    <_dlc_DocId xmlns="e544e5cc-ab70-42e1-849e-1a0f8bb1f4ef">2018FG-185-2379</_dlc_DocId>
    <_dlc_DocIdUrl xmlns="e544e5cc-ab70-42e1-849e-1a0f8bb1f4ef">
      <Url>http://tweb/sites/fg/ripd/accum/_layouts/15/DocIdRedir.aspx?ID=2018FG-185-2379</Url>
      <Description>2018FG-185-2379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C62BB-CC56-429D-B276-5385177BA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78533-3486-40E5-9013-DD26FD164D39}">
  <ds:schemaRefs>
    <ds:schemaRef ds:uri="http://purl.org/dc/elements/1.1/"/>
    <ds:schemaRef ds:uri="http://www.w3.org/XML/1998/namespace"/>
    <ds:schemaRef ds:uri="http://schemas.microsoft.com/sharepoint/v3"/>
    <ds:schemaRef ds:uri="e544e5cc-ab70-42e1-849e-1a0f8bb1f4ef"/>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2AAEEDA5-F6A6-47B3-A309-A7C5347E2563}">
  <ds:schemaRefs>
    <ds:schemaRef ds:uri="office.server.policy"/>
  </ds:schemaRefs>
</ds:datastoreItem>
</file>

<file path=customXml/itemProps5.xml><?xml version="1.0" encoding="utf-8"?>
<ds:datastoreItem xmlns:ds="http://schemas.openxmlformats.org/officeDocument/2006/customXml" ds:itemID="{4B13BE81-2140-47D2-B34A-E70B02964C61}">
  <ds:schemaRefs>
    <ds:schemaRef ds:uri="http://schemas.microsoft.com/sharepoint/events"/>
  </ds:schemaRefs>
</ds:datastoreItem>
</file>

<file path=customXml/itemProps6.xml><?xml version="1.0" encoding="utf-8"?>
<ds:datastoreItem xmlns:ds="http://schemas.openxmlformats.org/officeDocument/2006/customXml" ds:itemID="{4D79020E-A3B8-4A0D-85AE-8AEE02CA6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10</Pages>
  <Words>2914</Words>
  <Characters>16266</Characters>
  <Application>Microsoft Office Word</Application>
  <DocSecurity>0</DocSecurity>
  <Lines>361</Lines>
  <Paragraphs>213</Paragraphs>
  <ScaleCrop>false</ScaleCrop>
  <HeadingPairs>
    <vt:vector size="2" baseType="variant">
      <vt:variant>
        <vt:lpstr>Title</vt:lpstr>
      </vt:variant>
      <vt:variant>
        <vt:i4>1</vt:i4>
      </vt:variant>
    </vt:vector>
  </HeadingPairs>
  <TitlesOfParts>
    <vt:vector size="1" baseType="lpstr">
      <vt:lpstr>Explanatory Statement </vt:lpstr>
    </vt:vector>
  </TitlesOfParts>
  <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dc:title>
  <dc:creator>The Treasury</dc:creator>
  <cp:lastModifiedBy>Hill, Christine</cp:lastModifiedBy>
  <cp:revision>3</cp:revision>
  <cp:lastPrinted>2018-07-09T07:15:00Z</cp:lastPrinted>
  <dcterms:created xsi:type="dcterms:W3CDTF">2018-07-17T00:13:00Z</dcterms:created>
  <dcterms:modified xsi:type="dcterms:W3CDTF">2018-07-18T03:31:00Z</dcterms:modified>
</cp:coreProperties>
</file>