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7C1CF" w14:textId="77777777" w:rsidR="000E0B74" w:rsidRPr="006D0240" w:rsidRDefault="000E0B74" w:rsidP="008E6292">
      <w:bookmarkStart w:id="0" w:name="_GoBack"/>
      <w:bookmarkEnd w:id="0"/>
    </w:p>
    <w:p w14:paraId="4612E230" w14:textId="77777777" w:rsidR="000E0B74" w:rsidRPr="006D0240" w:rsidRDefault="000E0B74" w:rsidP="00794499">
      <w:pPr>
        <w:pStyle w:val="Crest"/>
        <w:spacing w:after="3000"/>
        <w:jc w:val="right"/>
      </w:pPr>
    </w:p>
    <w:p w14:paraId="5D7C29EC" w14:textId="77777777" w:rsidR="000E0B74" w:rsidRPr="00A524B9" w:rsidRDefault="000A6E43" w:rsidP="000E0B74">
      <w:pPr>
        <w:pStyle w:val="Title"/>
      </w:pPr>
      <w:r>
        <w:t>Targeted amendments to the Division 7A integrity rules</w:t>
      </w:r>
    </w:p>
    <w:p w14:paraId="7F611E71" w14:textId="12D089CE" w:rsidR="000E0B74" w:rsidRPr="00D45AF8" w:rsidRDefault="006358E7" w:rsidP="00D45AF8">
      <w:pPr>
        <w:pStyle w:val="Subtitle"/>
      </w:pPr>
      <w:r>
        <w:t>Consultation P</w:t>
      </w:r>
      <w:r w:rsidR="000A6E43">
        <w:t>aper</w:t>
      </w:r>
    </w:p>
    <w:p w14:paraId="00B9DAA3" w14:textId="5392C6E1" w:rsidR="002F617F" w:rsidRPr="006358E7" w:rsidRDefault="00FD772D" w:rsidP="006358E7">
      <w:pPr>
        <w:pStyle w:val="ReportDate"/>
        <w:ind w:right="0"/>
        <w:rPr>
          <w:rFonts w:ascii="Rockwell" w:hAnsi="Rockwell"/>
          <w:sz w:val="24"/>
        </w:rPr>
      </w:pPr>
      <w:r>
        <w:rPr>
          <w:rStyle w:val="ReportDateChar"/>
        </w:rPr>
        <w:t>October</w:t>
      </w:r>
      <w:r w:rsidR="00955899">
        <w:rPr>
          <w:rStyle w:val="ReportDateChar"/>
        </w:rPr>
        <w:t xml:space="preserve"> </w:t>
      </w:r>
      <w:r w:rsidR="000A6E43">
        <w:rPr>
          <w:rStyle w:val="ReportDateChar"/>
        </w:rPr>
        <w:t>2018</w:t>
      </w:r>
    </w:p>
    <w:p w14:paraId="12D8602B" w14:textId="77777777" w:rsidR="00AD76C4" w:rsidRDefault="00AD76C4" w:rsidP="000E0B74">
      <w:pPr>
        <w:sectPr w:rsidR="00AD76C4" w:rsidSect="00320FE6">
          <w:headerReference w:type="default" r:id="rId14"/>
          <w:footerReference w:type="default" r:id="rId15"/>
          <w:pgSz w:w="11906" w:h="16838"/>
          <w:pgMar w:top="1418" w:right="1418" w:bottom="1418" w:left="1418" w:header="709" w:footer="709" w:gutter="0"/>
          <w:pgNumType w:fmt="lowerRoman" w:start="1"/>
          <w:cols w:space="720"/>
          <w:docGrid w:linePitch="299"/>
        </w:sectPr>
      </w:pPr>
    </w:p>
    <w:p w14:paraId="2EB8ECB8" w14:textId="77777777" w:rsidR="000E0B74" w:rsidRDefault="000E0B74" w:rsidP="000E0B74">
      <w:pPr>
        <w:spacing w:before="240"/>
      </w:pPr>
      <w:r w:rsidRPr="00661BF0">
        <w:lastRenderedPageBreak/>
        <w:t xml:space="preserve">© Commonwealth of </w:t>
      </w:r>
      <w:r w:rsidRPr="000A6E43">
        <w:t xml:space="preserve">Australia </w:t>
      </w:r>
      <w:r w:rsidR="000A6E43" w:rsidRPr="000A6E43">
        <w:t>2018</w:t>
      </w:r>
    </w:p>
    <w:p w14:paraId="075E1FC5" w14:textId="654356B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p>
    <w:p w14:paraId="40F582A3" w14:textId="77777777" w:rsidR="000E0B74" w:rsidRDefault="000E0B74" w:rsidP="000E0B74">
      <w:pPr>
        <w:pStyle w:val="ChartGraphic"/>
        <w:jc w:val="left"/>
      </w:pPr>
      <w:r w:rsidRPr="00E56DFB">
        <w:rPr>
          <w:noProof/>
        </w:rPr>
        <w:drawing>
          <wp:inline distT="0" distB="0" distL="0" distR="0" wp14:anchorId="51122405" wp14:editId="3FFCB17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5A1784A"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E9076E4"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472DD1A9"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3D10926" w14:textId="3815D391" w:rsidR="000E0B74" w:rsidRPr="00A13A11" w:rsidRDefault="000E0B74" w:rsidP="000E0B74">
      <w:pPr>
        <w:ind w:firstLine="720"/>
      </w:pPr>
      <w:r w:rsidRPr="002F1BC2">
        <w:rPr>
          <w:i/>
        </w:rPr>
        <w:t xml:space="preserve">Source: The </w:t>
      </w:r>
      <w:r w:rsidRPr="002F1BC2">
        <w:rPr>
          <w:i/>
          <w:iCs/>
        </w:rPr>
        <w:t>Australian Government the Treasury</w:t>
      </w:r>
    </w:p>
    <w:p w14:paraId="4558DEF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D6E22E9" w14:textId="0941EE8B" w:rsidR="000E0B74" w:rsidRPr="006627B4" w:rsidRDefault="000E0B74" w:rsidP="000E0B74">
      <w:r w:rsidRPr="006627B4">
        <w:t>If you have modified or transformed Treasury material, or derived new material from those of the Treasury in any way, then Treasury pre</w:t>
      </w:r>
      <w:r w:rsidR="006358E7">
        <w:t>fers the following attribution:</w:t>
      </w:r>
    </w:p>
    <w:p w14:paraId="053E308C" w14:textId="63626AC4" w:rsidR="000E0B74" w:rsidRPr="006627B4" w:rsidRDefault="000E0B74" w:rsidP="000E0B74">
      <w:pPr>
        <w:ind w:firstLine="720"/>
      </w:pPr>
      <w:r w:rsidRPr="002F1BC2">
        <w:rPr>
          <w:i/>
        </w:rPr>
        <w:t>Based on The Australian Government the Treasury data</w:t>
      </w:r>
    </w:p>
    <w:p w14:paraId="3DD90D8D" w14:textId="77777777" w:rsidR="000E0B74" w:rsidRPr="006627B4" w:rsidRDefault="000E0B74" w:rsidP="000E0B74">
      <w:pPr>
        <w:spacing w:before="240"/>
        <w:rPr>
          <w:b/>
        </w:rPr>
      </w:pPr>
      <w:r w:rsidRPr="006627B4">
        <w:rPr>
          <w:b/>
        </w:rPr>
        <w:t>Use of the Coat of Arms</w:t>
      </w:r>
    </w:p>
    <w:p w14:paraId="0B62396D" w14:textId="3C3EE9AB" w:rsidR="00220741" w:rsidRDefault="00A459BB" w:rsidP="000E0B74">
      <w:pPr>
        <w:spacing w:before="240"/>
      </w:pPr>
      <w:r w:rsidRPr="004A7BC2">
        <w:t>The terms under which the Coat of Arms can be used are set out</w:t>
      </w:r>
      <w:r>
        <w:t xml:space="preserve"> on the Department of the Prime </w:t>
      </w:r>
      <w:r w:rsidRPr="004A7BC2">
        <w:t xml:space="preserve">Minister and Cabinet website (see </w:t>
      </w:r>
      <w:hyperlink r:id="rId20" w:history="1">
        <w:r w:rsidR="00220741" w:rsidRPr="00603E08">
          <w:rPr>
            <w:rStyle w:val="Hyperlink"/>
          </w:rPr>
          <w:t>www.pmc.gov.au/government/commonwealth-coat-arms</w:t>
        </w:r>
      </w:hyperlink>
      <w:r w:rsidRPr="004A7BC2">
        <w:t>).</w:t>
      </w:r>
    </w:p>
    <w:p w14:paraId="034034E5" w14:textId="5241CE2F" w:rsidR="000E0B74" w:rsidRPr="006627B4" w:rsidRDefault="000E0B74" w:rsidP="000E0B74">
      <w:pPr>
        <w:spacing w:before="240"/>
        <w:rPr>
          <w:b/>
        </w:rPr>
      </w:pPr>
      <w:r>
        <w:rPr>
          <w:b/>
        </w:rPr>
        <w:t>Other u</w:t>
      </w:r>
      <w:r w:rsidRPr="006627B4">
        <w:rPr>
          <w:b/>
        </w:rPr>
        <w:t>ses</w:t>
      </w:r>
    </w:p>
    <w:p w14:paraId="5139D5DC" w14:textId="77777777" w:rsidR="000E0B74" w:rsidRPr="006627B4" w:rsidRDefault="000E0B74" w:rsidP="000E0B74">
      <w:r>
        <w:t>E</w:t>
      </w:r>
      <w:r w:rsidRPr="006627B4">
        <w:t>nquiries regarding this licence and any other use of this document are welcome at:</w:t>
      </w:r>
    </w:p>
    <w:p w14:paraId="32CE3A42" w14:textId="41690C0F" w:rsidR="000E0B74" w:rsidRPr="006358E7" w:rsidRDefault="000E0B74" w:rsidP="006358E7">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000E0D52" w:rsidRPr="00B31CFB">
          <w:rPr>
            <w:rStyle w:val="Hyperlink"/>
          </w:rPr>
          <w:t>medialiaison@treasury.gov.au</w:t>
        </w:r>
      </w:hyperlink>
    </w:p>
    <w:p w14:paraId="2C9DBE95" w14:textId="77777777" w:rsidR="000E0B74" w:rsidRDefault="000E0B74" w:rsidP="000E0B74">
      <w:pPr>
        <w:pStyle w:val="SingleParagraph"/>
      </w:pPr>
    </w:p>
    <w:p w14:paraId="58BF4C64" w14:textId="77777777" w:rsidR="004C5E67" w:rsidRDefault="004C5E67" w:rsidP="000E0B74">
      <w:pPr>
        <w:pStyle w:val="SingleParagraph"/>
        <w:sectPr w:rsidR="004C5E67" w:rsidSect="00AD76C4">
          <w:headerReference w:type="even" r:id="rId22"/>
          <w:headerReference w:type="default" r:id="rId23"/>
          <w:footerReference w:type="even" r:id="rId24"/>
          <w:footerReference w:type="first" r:id="rId25"/>
          <w:pgSz w:w="11906" w:h="16838" w:code="9"/>
          <w:pgMar w:top="1418" w:right="1418" w:bottom="1418" w:left="1418" w:header="709" w:footer="709" w:gutter="0"/>
          <w:pgNumType w:fmt="lowerRoman"/>
          <w:cols w:space="708"/>
          <w:titlePg/>
          <w:docGrid w:linePitch="360"/>
        </w:sectPr>
      </w:pPr>
    </w:p>
    <w:p w14:paraId="3AA53458" w14:textId="77777777" w:rsidR="000E0B74" w:rsidRDefault="000E0B74" w:rsidP="000E0B74">
      <w:pPr>
        <w:pStyle w:val="Heading1"/>
      </w:pPr>
      <w:bookmarkStart w:id="1" w:name="_Toc525813286"/>
      <w:r>
        <w:lastRenderedPageBreak/>
        <w:t>Contents</w:t>
      </w:r>
      <w:bookmarkEnd w:id="1"/>
    </w:p>
    <w:p w14:paraId="3A0D3204" w14:textId="703EE1C2" w:rsidR="009F653A"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25813286" w:history="1"/>
      <w:hyperlink w:anchor="_Toc525813287" w:history="1">
        <w:r w:rsidR="009F653A" w:rsidRPr="00085483">
          <w:rPr>
            <w:rStyle w:val="Hyperlink"/>
          </w:rPr>
          <w:t>Consultation Process</w:t>
        </w:r>
        <w:r w:rsidR="009F653A">
          <w:rPr>
            <w:webHidden/>
          </w:rPr>
          <w:tab/>
        </w:r>
        <w:r w:rsidR="009F653A">
          <w:rPr>
            <w:webHidden/>
          </w:rPr>
          <w:fldChar w:fldCharType="begin"/>
        </w:r>
        <w:r w:rsidR="009F653A">
          <w:rPr>
            <w:webHidden/>
          </w:rPr>
          <w:instrText xml:space="preserve"> PAGEREF _Toc525813287 \h </w:instrText>
        </w:r>
        <w:r w:rsidR="009F653A">
          <w:rPr>
            <w:webHidden/>
          </w:rPr>
        </w:r>
        <w:r w:rsidR="009F653A">
          <w:rPr>
            <w:webHidden/>
          </w:rPr>
          <w:fldChar w:fldCharType="separate"/>
        </w:r>
        <w:r w:rsidR="00FD6420">
          <w:rPr>
            <w:webHidden/>
          </w:rPr>
          <w:t>1</w:t>
        </w:r>
        <w:r w:rsidR="009F653A">
          <w:rPr>
            <w:webHidden/>
          </w:rPr>
          <w:fldChar w:fldCharType="end"/>
        </w:r>
      </w:hyperlink>
    </w:p>
    <w:p w14:paraId="274483D2" w14:textId="77777777" w:rsidR="009F653A" w:rsidRDefault="00260414">
      <w:pPr>
        <w:pStyle w:val="TOC2"/>
        <w:rPr>
          <w:rFonts w:asciiTheme="minorHAnsi" w:eastAsiaTheme="minorEastAsia" w:hAnsiTheme="minorHAnsi" w:cstheme="minorBidi"/>
          <w:color w:val="auto"/>
          <w:szCs w:val="22"/>
        </w:rPr>
      </w:pPr>
      <w:hyperlink w:anchor="_Toc525813288" w:history="1">
        <w:r w:rsidR="009F653A" w:rsidRPr="00085483">
          <w:rPr>
            <w:rStyle w:val="Hyperlink"/>
          </w:rPr>
          <w:t>Request for feedback and comments</w:t>
        </w:r>
        <w:r w:rsidR="009F653A">
          <w:rPr>
            <w:webHidden/>
          </w:rPr>
          <w:tab/>
        </w:r>
        <w:r w:rsidR="009F653A">
          <w:rPr>
            <w:webHidden/>
          </w:rPr>
          <w:fldChar w:fldCharType="begin"/>
        </w:r>
        <w:r w:rsidR="009F653A">
          <w:rPr>
            <w:webHidden/>
          </w:rPr>
          <w:instrText xml:space="preserve"> PAGEREF _Toc525813288 \h </w:instrText>
        </w:r>
        <w:r w:rsidR="009F653A">
          <w:rPr>
            <w:webHidden/>
          </w:rPr>
        </w:r>
        <w:r w:rsidR="009F653A">
          <w:rPr>
            <w:webHidden/>
          </w:rPr>
          <w:fldChar w:fldCharType="separate"/>
        </w:r>
        <w:r w:rsidR="00FD6420">
          <w:rPr>
            <w:webHidden/>
          </w:rPr>
          <w:t>1</w:t>
        </w:r>
        <w:r w:rsidR="009F653A">
          <w:rPr>
            <w:webHidden/>
          </w:rPr>
          <w:fldChar w:fldCharType="end"/>
        </w:r>
      </w:hyperlink>
    </w:p>
    <w:p w14:paraId="0A81C3E4" w14:textId="77777777" w:rsidR="009F653A" w:rsidRDefault="00260414">
      <w:pPr>
        <w:pStyle w:val="TOC1"/>
        <w:rPr>
          <w:rFonts w:asciiTheme="minorHAnsi" w:eastAsiaTheme="minorEastAsia" w:hAnsiTheme="minorHAnsi" w:cstheme="minorBidi"/>
          <w:b w:val="0"/>
          <w:color w:val="auto"/>
        </w:rPr>
      </w:pPr>
      <w:hyperlink w:anchor="_Toc525813289" w:history="1">
        <w:r w:rsidR="009F653A" w:rsidRPr="00085483">
          <w:rPr>
            <w:rStyle w:val="Hyperlink"/>
          </w:rPr>
          <w:t>Background: Division 7A</w:t>
        </w:r>
        <w:r w:rsidR="009F653A">
          <w:rPr>
            <w:webHidden/>
          </w:rPr>
          <w:tab/>
        </w:r>
        <w:r w:rsidR="009F653A">
          <w:rPr>
            <w:webHidden/>
          </w:rPr>
          <w:fldChar w:fldCharType="begin"/>
        </w:r>
        <w:r w:rsidR="009F653A">
          <w:rPr>
            <w:webHidden/>
          </w:rPr>
          <w:instrText xml:space="preserve"> PAGEREF _Toc525813289 \h </w:instrText>
        </w:r>
        <w:r w:rsidR="009F653A">
          <w:rPr>
            <w:webHidden/>
          </w:rPr>
        </w:r>
        <w:r w:rsidR="009F653A">
          <w:rPr>
            <w:webHidden/>
          </w:rPr>
          <w:fldChar w:fldCharType="separate"/>
        </w:r>
        <w:r w:rsidR="00FD6420">
          <w:rPr>
            <w:webHidden/>
          </w:rPr>
          <w:t>2</w:t>
        </w:r>
        <w:r w:rsidR="009F653A">
          <w:rPr>
            <w:webHidden/>
          </w:rPr>
          <w:fldChar w:fldCharType="end"/>
        </w:r>
      </w:hyperlink>
    </w:p>
    <w:p w14:paraId="2F44C8F0" w14:textId="77777777" w:rsidR="009F653A" w:rsidRDefault="00260414">
      <w:pPr>
        <w:pStyle w:val="TOC2"/>
        <w:rPr>
          <w:rFonts w:asciiTheme="minorHAnsi" w:eastAsiaTheme="minorEastAsia" w:hAnsiTheme="minorHAnsi" w:cstheme="minorBidi"/>
          <w:color w:val="auto"/>
          <w:szCs w:val="22"/>
        </w:rPr>
      </w:pPr>
      <w:hyperlink w:anchor="_Toc525813290" w:history="1">
        <w:r w:rsidR="009F653A" w:rsidRPr="00085483">
          <w:rPr>
            <w:rStyle w:val="Hyperlink"/>
          </w:rPr>
          <w:t>Policy intent</w:t>
        </w:r>
        <w:r w:rsidR="009F653A">
          <w:rPr>
            <w:webHidden/>
          </w:rPr>
          <w:tab/>
        </w:r>
        <w:r w:rsidR="009F653A">
          <w:rPr>
            <w:webHidden/>
          </w:rPr>
          <w:fldChar w:fldCharType="begin"/>
        </w:r>
        <w:r w:rsidR="009F653A">
          <w:rPr>
            <w:webHidden/>
          </w:rPr>
          <w:instrText xml:space="preserve"> PAGEREF _Toc525813290 \h </w:instrText>
        </w:r>
        <w:r w:rsidR="009F653A">
          <w:rPr>
            <w:webHidden/>
          </w:rPr>
        </w:r>
        <w:r w:rsidR="009F653A">
          <w:rPr>
            <w:webHidden/>
          </w:rPr>
          <w:fldChar w:fldCharType="separate"/>
        </w:r>
        <w:r w:rsidR="00FD6420">
          <w:rPr>
            <w:webHidden/>
          </w:rPr>
          <w:t>2</w:t>
        </w:r>
        <w:r w:rsidR="009F653A">
          <w:rPr>
            <w:webHidden/>
          </w:rPr>
          <w:fldChar w:fldCharType="end"/>
        </w:r>
      </w:hyperlink>
    </w:p>
    <w:p w14:paraId="7CDD611F" w14:textId="77777777" w:rsidR="009F653A" w:rsidRDefault="00260414">
      <w:pPr>
        <w:pStyle w:val="TOC2"/>
        <w:rPr>
          <w:rFonts w:asciiTheme="minorHAnsi" w:eastAsiaTheme="minorEastAsia" w:hAnsiTheme="minorHAnsi" w:cstheme="minorBidi"/>
          <w:color w:val="auto"/>
          <w:szCs w:val="22"/>
        </w:rPr>
      </w:pPr>
      <w:hyperlink w:anchor="_Toc525813291" w:history="1">
        <w:r w:rsidR="009F653A" w:rsidRPr="00085483">
          <w:rPr>
            <w:rStyle w:val="Hyperlink"/>
          </w:rPr>
          <w:t>Board of Taxation review</w:t>
        </w:r>
        <w:r w:rsidR="009F653A">
          <w:rPr>
            <w:webHidden/>
          </w:rPr>
          <w:tab/>
        </w:r>
        <w:r w:rsidR="009F653A">
          <w:rPr>
            <w:webHidden/>
          </w:rPr>
          <w:fldChar w:fldCharType="begin"/>
        </w:r>
        <w:r w:rsidR="009F653A">
          <w:rPr>
            <w:webHidden/>
          </w:rPr>
          <w:instrText xml:space="preserve"> PAGEREF _Toc525813291 \h </w:instrText>
        </w:r>
        <w:r w:rsidR="009F653A">
          <w:rPr>
            <w:webHidden/>
          </w:rPr>
        </w:r>
        <w:r w:rsidR="009F653A">
          <w:rPr>
            <w:webHidden/>
          </w:rPr>
          <w:fldChar w:fldCharType="separate"/>
        </w:r>
        <w:r w:rsidR="00FD6420">
          <w:rPr>
            <w:webHidden/>
          </w:rPr>
          <w:t>2</w:t>
        </w:r>
        <w:r w:rsidR="009F653A">
          <w:rPr>
            <w:webHidden/>
          </w:rPr>
          <w:fldChar w:fldCharType="end"/>
        </w:r>
      </w:hyperlink>
    </w:p>
    <w:p w14:paraId="53E3DC78" w14:textId="77777777" w:rsidR="009F653A" w:rsidRDefault="00260414">
      <w:pPr>
        <w:pStyle w:val="TOC2"/>
        <w:rPr>
          <w:rFonts w:asciiTheme="minorHAnsi" w:eastAsiaTheme="minorEastAsia" w:hAnsiTheme="minorHAnsi" w:cstheme="minorBidi"/>
          <w:color w:val="auto"/>
          <w:szCs w:val="22"/>
        </w:rPr>
      </w:pPr>
      <w:hyperlink w:anchor="_Toc525813292" w:history="1">
        <w:r w:rsidR="009F653A" w:rsidRPr="00085483">
          <w:rPr>
            <w:rStyle w:val="Hyperlink"/>
          </w:rPr>
          <w:t>Government’s response</w:t>
        </w:r>
        <w:r w:rsidR="009F653A">
          <w:rPr>
            <w:webHidden/>
          </w:rPr>
          <w:tab/>
        </w:r>
        <w:r w:rsidR="009F653A">
          <w:rPr>
            <w:webHidden/>
          </w:rPr>
          <w:fldChar w:fldCharType="begin"/>
        </w:r>
        <w:r w:rsidR="009F653A">
          <w:rPr>
            <w:webHidden/>
          </w:rPr>
          <w:instrText xml:space="preserve"> PAGEREF _Toc525813292 \h </w:instrText>
        </w:r>
        <w:r w:rsidR="009F653A">
          <w:rPr>
            <w:webHidden/>
          </w:rPr>
        </w:r>
        <w:r w:rsidR="009F653A">
          <w:rPr>
            <w:webHidden/>
          </w:rPr>
          <w:fldChar w:fldCharType="separate"/>
        </w:r>
        <w:r w:rsidR="00FD6420">
          <w:rPr>
            <w:webHidden/>
          </w:rPr>
          <w:t>2</w:t>
        </w:r>
        <w:r w:rsidR="009F653A">
          <w:rPr>
            <w:webHidden/>
          </w:rPr>
          <w:fldChar w:fldCharType="end"/>
        </w:r>
      </w:hyperlink>
    </w:p>
    <w:p w14:paraId="678DCB52" w14:textId="77777777" w:rsidR="009F653A" w:rsidRDefault="00260414">
      <w:pPr>
        <w:pStyle w:val="TOC1"/>
        <w:rPr>
          <w:rFonts w:asciiTheme="minorHAnsi" w:eastAsiaTheme="minorEastAsia" w:hAnsiTheme="minorHAnsi" w:cstheme="minorBidi"/>
          <w:b w:val="0"/>
          <w:color w:val="auto"/>
        </w:rPr>
      </w:pPr>
      <w:hyperlink w:anchor="_Toc525813293" w:history="1">
        <w:r w:rsidR="009F653A" w:rsidRPr="00085483">
          <w:rPr>
            <w:rStyle w:val="Hyperlink"/>
          </w:rPr>
          <w:t>Simplified loan rules</w:t>
        </w:r>
        <w:r w:rsidR="009F653A">
          <w:rPr>
            <w:webHidden/>
          </w:rPr>
          <w:tab/>
        </w:r>
        <w:r w:rsidR="009F653A">
          <w:rPr>
            <w:webHidden/>
          </w:rPr>
          <w:fldChar w:fldCharType="begin"/>
        </w:r>
        <w:r w:rsidR="009F653A">
          <w:rPr>
            <w:webHidden/>
          </w:rPr>
          <w:instrText xml:space="preserve"> PAGEREF _Toc525813293 \h </w:instrText>
        </w:r>
        <w:r w:rsidR="009F653A">
          <w:rPr>
            <w:webHidden/>
          </w:rPr>
        </w:r>
        <w:r w:rsidR="009F653A">
          <w:rPr>
            <w:webHidden/>
          </w:rPr>
          <w:fldChar w:fldCharType="separate"/>
        </w:r>
        <w:r w:rsidR="00FD6420">
          <w:rPr>
            <w:webHidden/>
          </w:rPr>
          <w:t>4</w:t>
        </w:r>
        <w:r w:rsidR="009F653A">
          <w:rPr>
            <w:webHidden/>
          </w:rPr>
          <w:fldChar w:fldCharType="end"/>
        </w:r>
      </w:hyperlink>
    </w:p>
    <w:p w14:paraId="45BDFFED" w14:textId="77777777" w:rsidR="009F653A" w:rsidRDefault="00260414">
      <w:pPr>
        <w:pStyle w:val="TOC2"/>
        <w:rPr>
          <w:rFonts w:asciiTheme="minorHAnsi" w:eastAsiaTheme="minorEastAsia" w:hAnsiTheme="minorHAnsi" w:cstheme="minorBidi"/>
          <w:color w:val="auto"/>
          <w:szCs w:val="22"/>
        </w:rPr>
      </w:pPr>
      <w:hyperlink w:anchor="_Toc525813294" w:history="1">
        <w:r w:rsidR="009F653A" w:rsidRPr="00085483">
          <w:rPr>
            <w:rStyle w:val="Hyperlink"/>
          </w:rPr>
          <w:t>Single 10 year loan model</w:t>
        </w:r>
        <w:r w:rsidR="009F653A">
          <w:rPr>
            <w:webHidden/>
          </w:rPr>
          <w:tab/>
        </w:r>
        <w:r w:rsidR="009F653A">
          <w:rPr>
            <w:webHidden/>
          </w:rPr>
          <w:fldChar w:fldCharType="begin"/>
        </w:r>
        <w:r w:rsidR="009F653A">
          <w:rPr>
            <w:webHidden/>
          </w:rPr>
          <w:instrText xml:space="preserve"> PAGEREF _Toc525813294 \h </w:instrText>
        </w:r>
        <w:r w:rsidR="009F653A">
          <w:rPr>
            <w:webHidden/>
          </w:rPr>
        </w:r>
        <w:r w:rsidR="009F653A">
          <w:rPr>
            <w:webHidden/>
          </w:rPr>
          <w:fldChar w:fldCharType="separate"/>
        </w:r>
        <w:r w:rsidR="00FD6420">
          <w:rPr>
            <w:webHidden/>
          </w:rPr>
          <w:t>4</w:t>
        </w:r>
        <w:r w:rsidR="009F653A">
          <w:rPr>
            <w:webHidden/>
          </w:rPr>
          <w:fldChar w:fldCharType="end"/>
        </w:r>
      </w:hyperlink>
    </w:p>
    <w:p w14:paraId="250FF998" w14:textId="77777777" w:rsidR="009F653A" w:rsidRDefault="00260414">
      <w:pPr>
        <w:pStyle w:val="TOC3"/>
        <w:rPr>
          <w:rFonts w:asciiTheme="minorHAnsi" w:eastAsiaTheme="minorEastAsia" w:hAnsiTheme="minorHAnsi" w:cstheme="minorBidi"/>
          <w:color w:val="auto"/>
          <w:szCs w:val="22"/>
        </w:rPr>
      </w:pPr>
      <w:hyperlink w:anchor="_Toc525813295" w:history="1">
        <w:r w:rsidR="009F653A" w:rsidRPr="00085483">
          <w:rPr>
            <w:rStyle w:val="Hyperlink"/>
          </w:rPr>
          <w:t>Reasons for change</w:t>
        </w:r>
        <w:r w:rsidR="009F653A">
          <w:rPr>
            <w:webHidden/>
          </w:rPr>
          <w:tab/>
        </w:r>
        <w:r w:rsidR="009F653A">
          <w:rPr>
            <w:webHidden/>
          </w:rPr>
          <w:fldChar w:fldCharType="begin"/>
        </w:r>
        <w:r w:rsidR="009F653A">
          <w:rPr>
            <w:webHidden/>
          </w:rPr>
          <w:instrText xml:space="preserve"> PAGEREF _Toc525813295 \h </w:instrText>
        </w:r>
        <w:r w:rsidR="009F653A">
          <w:rPr>
            <w:webHidden/>
          </w:rPr>
        </w:r>
        <w:r w:rsidR="009F653A">
          <w:rPr>
            <w:webHidden/>
          </w:rPr>
          <w:fldChar w:fldCharType="separate"/>
        </w:r>
        <w:r w:rsidR="00FD6420">
          <w:rPr>
            <w:webHidden/>
          </w:rPr>
          <w:t>4</w:t>
        </w:r>
        <w:r w:rsidR="009F653A">
          <w:rPr>
            <w:webHidden/>
          </w:rPr>
          <w:fldChar w:fldCharType="end"/>
        </w:r>
      </w:hyperlink>
    </w:p>
    <w:p w14:paraId="70E71588" w14:textId="77777777" w:rsidR="009F653A" w:rsidRDefault="00260414">
      <w:pPr>
        <w:pStyle w:val="TOC3"/>
        <w:rPr>
          <w:rFonts w:asciiTheme="minorHAnsi" w:eastAsiaTheme="minorEastAsia" w:hAnsiTheme="minorHAnsi" w:cstheme="minorBidi"/>
          <w:color w:val="auto"/>
          <w:szCs w:val="22"/>
        </w:rPr>
      </w:pPr>
      <w:hyperlink w:anchor="_Toc525813296" w:history="1">
        <w:r w:rsidR="009F653A" w:rsidRPr="00085483">
          <w:rPr>
            <w:rStyle w:val="Hyperlink"/>
          </w:rPr>
          <w:t>New loan model</w:t>
        </w:r>
        <w:r w:rsidR="009F653A">
          <w:rPr>
            <w:webHidden/>
          </w:rPr>
          <w:tab/>
        </w:r>
        <w:r w:rsidR="009F653A">
          <w:rPr>
            <w:webHidden/>
          </w:rPr>
          <w:fldChar w:fldCharType="begin"/>
        </w:r>
        <w:r w:rsidR="009F653A">
          <w:rPr>
            <w:webHidden/>
          </w:rPr>
          <w:instrText xml:space="preserve"> PAGEREF _Toc525813296 \h </w:instrText>
        </w:r>
        <w:r w:rsidR="009F653A">
          <w:rPr>
            <w:webHidden/>
          </w:rPr>
        </w:r>
        <w:r w:rsidR="009F653A">
          <w:rPr>
            <w:webHidden/>
          </w:rPr>
          <w:fldChar w:fldCharType="separate"/>
        </w:r>
        <w:r w:rsidR="00FD6420">
          <w:rPr>
            <w:webHidden/>
          </w:rPr>
          <w:t>4</w:t>
        </w:r>
        <w:r w:rsidR="009F653A">
          <w:rPr>
            <w:webHidden/>
          </w:rPr>
          <w:fldChar w:fldCharType="end"/>
        </w:r>
      </w:hyperlink>
    </w:p>
    <w:p w14:paraId="6C31F006" w14:textId="77777777" w:rsidR="009F653A" w:rsidRDefault="00260414">
      <w:pPr>
        <w:pStyle w:val="TOC2"/>
        <w:rPr>
          <w:rFonts w:asciiTheme="minorHAnsi" w:eastAsiaTheme="minorEastAsia" w:hAnsiTheme="minorHAnsi" w:cstheme="minorBidi"/>
          <w:color w:val="auto"/>
          <w:szCs w:val="22"/>
        </w:rPr>
      </w:pPr>
      <w:hyperlink w:anchor="_Toc525813297" w:history="1">
        <w:r w:rsidR="009F653A" w:rsidRPr="00085483">
          <w:rPr>
            <w:rStyle w:val="Hyperlink"/>
          </w:rPr>
          <w:t>Transitional rules</w:t>
        </w:r>
        <w:r w:rsidR="009F653A">
          <w:rPr>
            <w:webHidden/>
          </w:rPr>
          <w:tab/>
        </w:r>
        <w:r w:rsidR="009F653A">
          <w:rPr>
            <w:webHidden/>
          </w:rPr>
          <w:fldChar w:fldCharType="begin"/>
        </w:r>
        <w:r w:rsidR="009F653A">
          <w:rPr>
            <w:webHidden/>
          </w:rPr>
          <w:instrText xml:space="preserve"> PAGEREF _Toc525813297 \h </w:instrText>
        </w:r>
        <w:r w:rsidR="009F653A">
          <w:rPr>
            <w:webHidden/>
          </w:rPr>
        </w:r>
        <w:r w:rsidR="009F653A">
          <w:rPr>
            <w:webHidden/>
          </w:rPr>
          <w:fldChar w:fldCharType="separate"/>
        </w:r>
        <w:r w:rsidR="00FD6420">
          <w:rPr>
            <w:webHidden/>
          </w:rPr>
          <w:t>6</w:t>
        </w:r>
        <w:r w:rsidR="009F653A">
          <w:rPr>
            <w:webHidden/>
          </w:rPr>
          <w:fldChar w:fldCharType="end"/>
        </w:r>
      </w:hyperlink>
    </w:p>
    <w:p w14:paraId="52D20C7E" w14:textId="77777777" w:rsidR="009F653A" w:rsidRDefault="00260414">
      <w:pPr>
        <w:pStyle w:val="TOC3"/>
        <w:rPr>
          <w:rFonts w:asciiTheme="minorHAnsi" w:eastAsiaTheme="minorEastAsia" w:hAnsiTheme="minorHAnsi" w:cstheme="minorBidi"/>
          <w:color w:val="auto"/>
          <w:szCs w:val="22"/>
        </w:rPr>
      </w:pPr>
      <w:hyperlink w:anchor="_Toc525813298" w:history="1">
        <w:r w:rsidR="009F653A" w:rsidRPr="00085483">
          <w:rPr>
            <w:rStyle w:val="Hyperlink"/>
          </w:rPr>
          <w:t>7 year loans</w:t>
        </w:r>
        <w:r w:rsidR="009F653A">
          <w:rPr>
            <w:webHidden/>
          </w:rPr>
          <w:tab/>
        </w:r>
        <w:r w:rsidR="009F653A">
          <w:rPr>
            <w:webHidden/>
          </w:rPr>
          <w:fldChar w:fldCharType="begin"/>
        </w:r>
        <w:r w:rsidR="009F653A">
          <w:rPr>
            <w:webHidden/>
          </w:rPr>
          <w:instrText xml:space="preserve"> PAGEREF _Toc525813298 \h </w:instrText>
        </w:r>
        <w:r w:rsidR="009F653A">
          <w:rPr>
            <w:webHidden/>
          </w:rPr>
        </w:r>
        <w:r w:rsidR="009F653A">
          <w:rPr>
            <w:webHidden/>
          </w:rPr>
          <w:fldChar w:fldCharType="separate"/>
        </w:r>
        <w:r w:rsidR="00FD6420">
          <w:rPr>
            <w:webHidden/>
          </w:rPr>
          <w:t>6</w:t>
        </w:r>
        <w:r w:rsidR="009F653A">
          <w:rPr>
            <w:webHidden/>
          </w:rPr>
          <w:fldChar w:fldCharType="end"/>
        </w:r>
      </w:hyperlink>
    </w:p>
    <w:p w14:paraId="5F36106B" w14:textId="77777777" w:rsidR="009F653A" w:rsidRDefault="00260414">
      <w:pPr>
        <w:pStyle w:val="TOC3"/>
        <w:rPr>
          <w:rFonts w:asciiTheme="minorHAnsi" w:eastAsiaTheme="minorEastAsia" w:hAnsiTheme="minorHAnsi" w:cstheme="minorBidi"/>
          <w:color w:val="auto"/>
          <w:szCs w:val="22"/>
        </w:rPr>
      </w:pPr>
      <w:hyperlink w:anchor="_Toc525813299" w:history="1">
        <w:r w:rsidR="009F653A" w:rsidRPr="00085483">
          <w:rPr>
            <w:rStyle w:val="Hyperlink"/>
          </w:rPr>
          <w:t>25 year loans</w:t>
        </w:r>
        <w:r w:rsidR="009F653A">
          <w:rPr>
            <w:webHidden/>
          </w:rPr>
          <w:tab/>
        </w:r>
        <w:r w:rsidR="009F653A">
          <w:rPr>
            <w:webHidden/>
          </w:rPr>
          <w:fldChar w:fldCharType="begin"/>
        </w:r>
        <w:r w:rsidR="009F653A">
          <w:rPr>
            <w:webHidden/>
          </w:rPr>
          <w:instrText xml:space="preserve"> PAGEREF _Toc525813299 \h </w:instrText>
        </w:r>
        <w:r w:rsidR="009F653A">
          <w:rPr>
            <w:webHidden/>
          </w:rPr>
        </w:r>
        <w:r w:rsidR="009F653A">
          <w:rPr>
            <w:webHidden/>
          </w:rPr>
          <w:fldChar w:fldCharType="separate"/>
        </w:r>
        <w:r w:rsidR="00FD6420">
          <w:rPr>
            <w:webHidden/>
          </w:rPr>
          <w:t>7</w:t>
        </w:r>
        <w:r w:rsidR="009F653A">
          <w:rPr>
            <w:webHidden/>
          </w:rPr>
          <w:fldChar w:fldCharType="end"/>
        </w:r>
      </w:hyperlink>
    </w:p>
    <w:p w14:paraId="3820C020" w14:textId="77777777" w:rsidR="009F653A" w:rsidRDefault="00260414">
      <w:pPr>
        <w:pStyle w:val="TOC3"/>
        <w:rPr>
          <w:rFonts w:asciiTheme="minorHAnsi" w:eastAsiaTheme="minorEastAsia" w:hAnsiTheme="minorHAnsi" w:cstheme="minorBidi"/>
          <w:color w:val="auto"/>
          <w:szCs w:val="22"/>
        </w:rPr>
      </w:pPr>
      <w:hyperlink w:anchor="_Toc525813300" w:history="1">
        <w:r w:rsidR="009F653A" w:rsidRPr="00085483">
          <w:rPr>
            <w:rStyle w:val="Hyperlink"/>
          </w:rPr>
          <w:t>Pre-1997 loans</w:t>
        </w:r>
        <w:r w:rsidR="009F653A">
          <w:rPr>
            <w:webHidden/>
          </w:rPr>
          <w:tab/>
        </w:r>
        <w:r w:rsidR="009F653A">
          <w:rPr>
            <w:webHidden/>
          </w:rPr>
          <w:fldChar w:fldCharType="begin"/>
        </w:r>
        <w:r w:rsidR="009F653A">
          <w:rPr>
            <w:webHidden/>
          </w:rPr>
          <w:instrText xml:space="preserve"> PAGEREF _Toc525813300 \h </w:instrText>
        </w:r>
        <w:r w:rsidR="009F653A">
          <w:rPr>
            <w:webHidden/>
          </w:rPr>
        </w:r>
        <w:r w:rsidR="009F653A">
          <w:rPr>
            <w:webHidden/>
          </w:rPr>
          <w:fldChar w:fldCharType="separate"/>
        </w:r>
        <w:r w:rsidR="00FD6420">
          <w:rPr>
            <w:webHidden/>
          </w:rPr>
          <w:t>7</w:t>
        </w:r>
        <w:r w:rsidR="009F653A">
          <w:rPr>
            <w:webHidden/>
          </w:rPr>
          <w:fldChar w:fldCharType="end"/>
        </w:r>
      </w:hyperlink>
    </w:p>
    <w:p w14:paraId="5B774AA3" w14:textId="77777777" w:rsidR="009F653A" w:rsidRDefault="00260414">
      <w:pPr>
        <w:pStyle w:val="TOC2"/>
        <w:rPr>
          <w:rFonts w:asciiTheme="minorHAnsi" w:eastAsiaTheme="minorEastAsia" w:hAnsiTheme="minorHAnsi" w:cstheme="minorBidi"/>
          <w:color w:val="auto"/>
          <w:szCs w:val="22"/>
        </w:rPr>
      </w:pPr>
      <w:hyperlink w:anchor="_Toc525813301" w:history="1">
        <w:r w:rsidR="009F653A" w:rsidRPr="00085483">
          <w:rPr>
            <w:rStyle w:val="Hyperlink"/>
          </w:rPr>
          <w:t>Application to non-resident private companies</w:t>
        </w:r>
        <w:r w:rsidR="009F653A">
          <w:rPr>
            <w:webHidden/>
          </w:rPr>
          <w:tab/>
        </w:r>
        <w:r w:rsidR="009F653A">
          <w:rPr>
            <w:webHidden/>
          </w:rPr>
          <w:fldChar w:fldCharType="begin"/>
        </w:r>
        <w:r w:rsidR="009F653A">
          <w:rPr>
            <w:webHidden/>
          </w:rPr>
          <w:instrText xml:space="preserve"> PAGEREF _Toc525813301 \h </w:instrText>
        </w:r>
        <w:r w:rsidR="009F653A">
          <w:rPr>
            <w:webHidden/>
          </w:rPr>
        </w:r>
        <w:r w:rsidR="009F653A">
          <w:rPr>
            <w:webHidden/>
          </w:rPr>
          <w:fldChar w:fldCharType="separate"/>
        </w:r>
        <w:r w:rsidR="00FD6420">
          <w:rPr>
            <w:webHidden/>
          </w:rPr>
          <w:t>7</w:t>
        </w:r>
        <w:r w:rsidR="009F653A">
          <w:rPr>
            <w:webHidden/>
          </w:rPr>
          <w:fldChar w:fldCharType="end"/>
        </w:r>
      </w:hyperlink>
    </w:p>
    <w:p w14:paraId="0A774634" w14:textId="77777777" w:rsidR="009F653A" w:rsidRDefault="00260414">
      <w:pPr>
        <w:pStyle w:val="TOC2"/>
        <w:rPr>
          <w:rFonts w:asciiTheme="minorHAnsi" w:eastAsiaTheme="minorEastAsia" w:hAnsiTheme="minorHAnsi" w:cstheme="minorBidi"/>
          <w:color w:val="auto"/>
          <w:szCs w:val="22"/>
        </w:rPr>
      </w:pPr>
      <w:hyperlink w:anchor="_Toc525813302" w:history="1">
        <w:r w:rsidR="009F653A" w:rsidRPr="00085483">
          <w:rPr>
            <w:rStyle w:val="Hyperlink"/>
          </w:rPr>
          <w:t>Distributable surplus</w:t>
        </w:r>
        <w:r w:rsidR="009F653A">
          <w:rPr>
            <w:webHidden/>
          </w:rPr>
          <w:tab/>
        </w:r>
        <w:r w:rsidR="009F653A">
          <w:rPr>
            <w:webHidden/>
          </w:rPr>
          <w:fldChar w:fldCharType="begin"/>
        </w:r>
        <w:r w:rsidR="009F653A">
          <w:rPr>
            <w:webHidden/>
          </w:rPr>
          <w:instrText xml:space="preserve"> PAGEREF _Toc525813302 \h </w:instrText>
        </w:r>
        <w:r w:rsidR="009F653A">
          <w:rPr>
            <w:webHidden/>
          </w:rPr>
        </w:r>
        <w:r w:rsidR="009F653A">
          <w:rPr>
            <w:webHidden/>
          </w:rPr>
          <w:fldChar w:fldCharType="separate"/>
        </w:r>
        <w:r w:rsidR="00FD6420">
          <w:rPr>
            <w:webHidden/>
          </w:rPr>
          <w:t>8</w:t>
        </w:r>
        <w:r w:rsidR="009F653A">
          <w:rPr>
            <w:webHidden/>
          </w:rPr>
          <w:fldChar w:fldCharType="end"/>
        </w:r>
      </w:hyperlink>
    </w:p>
    <w:p w14:paraId="1CCCFD74" w14:textId="77777777" w:rsidR="009F653A" w:rsidRDefault="00260414">
      <w:pPr>
        <w:pStyle w:val="TOC2"/>
        <w:rPr>
          <w:rFonts w:asciiTheme="minorHAnsi" w:eastAsiaTheme="minorEastAsia" w:hAnsiTheme="minorHAnsi" w:cstheme="minorBidi"/>
          <w:color w:val="auto"/>
          <w:szCs w:val="22"/>
        </w:rPr>
      </w:pPr>
      <w:hyperlink w:anchor="_Toc525813303" w:history="1">
        <w:r w:rsidR="009F653A" w:rsidRPr="00085483">
          <w:rPr>
            <w:rStyle w:val="Hyperlink"/>
          </w:rPr>
          <w:t>Discussion questions</w:t>
        </w:r>
        <w:r w:rsidR="009F653A">
          <w:rPr>
            <w:webHidden/>
          </w:rPr>
          <w:tab/>
        </w:r>
        <w:r w:rsidR="009F653A">
          <w:rPr>
            <w:webHidden/>
          </w:rPr>
          <w:fldChar w:fldCharType="begin"/>
        </w:r>
        <w:r w:rsidR="009F653A">
          <w:rPr>
            <w:webHidden/>
          </w:rPr>
          <w:instrText xml:space="preserve"> PAGEREF _Toc525813303 \h </w:instrText>
        </w:r>
        <w:r w:rsidR="009F653A">
          <w:rPr>
            <w:webHidden/>
          </w:rPr>
        </w:r>
        <w:r w:rsidR="009F653A">
          <w:rPr>
            <w:webHidden/>
          </w:rPr>
          <w:fldChar w:fldCharType="separate"/>
        </w:r>
        <w:r w:rsidR="00FD6420">
          <w:rPr>
            <w:webHidden/>
          </w:rPr>
          <w:t>8</w:t>
        </w:r>
        <w:r w:rsidR="009F653A">
          <w:rPr>
            <w:webHidden/>
          </w:rPr>
          <w:fldChar w:fldCharType="end"/>
        </w:r>
      </w:hyperlink>
    </w:p>
    <w:p w14:paraId="7F240655" w14:textId="77777777" w:rsidR="009F653A" w:rsidRDefault="00260414">
      <w:pPr>
        <w:pStyle w:val="TOC1"/>
        <w:rPr>
          <w:rFonts w:asciiTheme="minorHAnsi" w:eastAsiaTheme="minorEastAsia" w:hAnsiTheme="minorHAnsi" w:cstheme="minorBidi"/>
          <w:b w:val="0"/>
          <w:color w:val="auto"/>
        </w:rPr>
      </w:pPr>
      <w:hyperlink w:anchor="_Toc525813304" w:history="1">
        <w:r w:rsidR="009F653A" w:rsidRPr="00085483">
          <w:rPr>
            <w:rStyle w:val="Hyperlink"/>
          </w:rPr>
          <w:t>Unpaid Present Entitlements</w:t>
        </w:r>
        <w:r w:rsidR="009F653A">
          <w:rPr>
            <w:webHidden/>
          </w:rPr>
          <w:tab/>
        </w:r>
        <w:r w:rsidR="009F653A">
          <w:rPr>
            <w:webHidden/>
          </w:rPr>
          <w:fldChar w:fldCharType="begin"/>
        </w:r>
        <w:r w:rsidR="009F653A">
          <w:rPr>
            <w:webHidden/>
          </w:rPr>
          <w:instrText xml:space="preserve"> PAGEREF _Toc525813304 \h </w:instrText>
        </w:r>
        <w:r w:rsidR="009F653A">
          <w:rPr>
            <w:webHidden/>
          </w:rPr>
        </w:r>
        <w:r w:rsidR="009F653A">
          <w:rPr>
            <w:webHidden/>
          </w:rPr>
          <w:fldChar w:fldCharType="separate"/>
        </w:r>
        <w:r w:rsidR="00FD6420">
          <w:rPr>
            <w:webHidden/>
          </w:rPr>
          <w:t>9</w:t>
        </w:r>
        <w:r w:rsidR="009F653A">
          <w:rPr>
            <w:webHidden/>
          </w:rPr>
          <w:fldChar w:fldCharType="end"/>
        </w:r>
      </w:hyperlink>
    </w:p>
    <w:p w14:paraId="2413D7C0" w14:textId="77777777" w:rsidR="009F653A" w:rsidRDefault="00260414">
      <w:pPr>
        <w:pStyle w:val="TOC3"/>
        <w:rPr>
          <w:rFonts w:asciiTheme="minorHAnsi" w:eastAsiaTheme="minorEastAsia" w:hAnsiTheme="minorHAnsi" w:cstheme="minorBidi"/>
          <w:color w:val="auto"/>
          <w:szCs w:val="22"/>
        </w:rPr>
      </w:pPr>
      <w:hyperlink w:anchor="_Toc525813305" w:history="1">
        <w:r w:rsidR="009F653A" w:rsidRPr="00085483">
          <w:rPr>
            <w:rStyle w:val="Hyperlink"/>
          </w:rPr>
          <w:t>Reason for change</w:t>
        </w:r>
        <w:r w:rsidR="009F653A">
          <w:rPr>
            <w:webHidden/>
          </w:rPr>
          <w:tab/>
        </w:r>
        <w:r w:rsidR="009F653A">
          <w:rPr>
            <w:webHidden/>
          </w:rPr>
          <w:fldChar w:fldCharType="begin"/>
        </w:r>
        <w:r w:rsidR="009F653A">
          <w:rPr>
            <w:webHidden/>
          </w:rPr>
          <w:instrText xml:space="preserve"> PAGEREF _Toc525813305 \h </w:instrText>
        </w:r>
        <w:r w:rsidR="009F653A">
          <w:rPr>
            <w:webHidden/>
          </w:rPr>
        </w:r>
        <w:r w:rsidR="009F653A">
          <w:rPr>
            <w:webHidden/>
          </w:rPr>
          <w:fldChar w:fldCharType="separate"/>
        </w:r>
        <w:r w:rsidR="00FD6420">
          <w:rPr>
            <w:webHidden/>
          </w:rPr>
          <w:t>9</w:t>
        </w:r>
        <w:r w:rsidR="009F653A">
          <w:rPr>
            <w:webHidden/>
          </w:rPr>
          <w:fldChar w:fldCharType="end"/>
        </w:r>
      </w:hyperlink>
    </w:p>
    <w:p w14:paraId="2848B7BE" w14:textId="77777777" w:rsidR="009F653A" w:rsidRDefault="00260414">
      <w:pPr>
        <w:pStyle w:val="TOC3"/>
        <w:rPr>
          <w:rFonts w:asciiTheme="minorHAnsi" w:eastAsiaTheme="minorEastAsia" w:hAnsiTheme="minorHAnsi" w:cstheme="minorBidi"/>
          <w:color w:val="auto"/>
          <w:szCs w:val="22"/>
        </w:rPr>
      </w:pPr>
      <w:hyperlink w:anchor="_Toc525813306" w:history="1">
        <w:r w:rsidR="009F653A" w:rsidRPr="00085483">
          <w:rPr>
            <w:rStyle w:val="Hyperlink"/>
          </w:rPr>
          <w:t>Proposed implementation approach</w:t>
        </w:r>
        <w:r w:rsidR="009F653A">
          <w:rPr>
            <w:webHidden/>
          </w:rPr>
          <w:tab/>
        </w:r>
        <w:r w:rsidR="009F653A">
          <w:rPr>
            <w:webHidden/>
          </w:rPr>
          <w:fldChar w:fldCharType="begin"/>
        </w:r>
        <w:r w:rsidR="009F653A">
          <w:rPr>
            <w:webHidden/>
          </w:rPr>
          <w:instrText xml:space="preserve"> PAGEREF _Toc525813306 \h </w:instrText>
        </w:r>
        <w:r w:rsidR="009F653A">
          <w:rPr>
            <w:webHidden/>
          </w:rPr>
        </w:r>
        <w:r w:rsidR="009F653A">
          <w:rPr>
            <w:webHidden/>
          </w:rPr>
          <w:fldChar w:fldCharType="separate"/>
        </w:r>
        <w:r w:rsidR="00FD6420">
          <w:rPr>
            <w:webHidden/>
          </w:rPr>
          <w:t>9</w:t>
        </w:r>
        <w:r w:rsidR="009F653A">
          <w:rPr>
            <w:webHidden/>
          </w:rPr>
          <w:fldChar w:fldCharType="end"/>
        </w:r>
      </w:hyperlink>
    </w:p>
    <w:p w14:paraId="08BDC972" w14:textId="77777777" w:rsidR="009F653A" w:rsidRDefault="00260414">
      <w:pPr>
        <w:pStyle w:val="TOC2"/>
        <w:rPr>
          <w:rFonts w:asciiTheme="minorHAnsi" w:eastAsiaTheme="minorEastAsia" w:hAnsiTheme="minorHAnsi" w:cstheme="minorBidi"/>
          <w:color w:val="auto"/>
          <w:szCs w:val="22"/>
        </w:rPr>
      </w:pPr>
      <w:hyperlink w:anchor="_Toc525813307" w:history="1">
        <w:r w:rsidR="009F653A" w:rsidRPr="00085483">
          <w:rPr>
            <w:rStyle w:val="Hyperlink"/>
          </w:rPr>
          <w:t>Discussion questions</w:t>
        </w:r>
        <w:r w:rsidR="009F653A">
          <w:rPr>
            <w:webHidden/>
          </w:rPr>
          <w:tab/>
        </w:r>
        <w:r w:rsidR="009F653A">
          <w:rPr>
            <w:webHidden/>
          </w:rPr>
          <w:fldChar w:fldCharType="begin"/>
        </w:r>
        <w:r w:rsidR="009F653A">
          <w:rPr>
            <w:webHidden/>
          </w:rPr>
          <w:instrText xml:space="preserve"> PAGEREF _Toc525813307 \h </w:instrText>
        </w:r>
        <w:r w:rsidR="009F653A">
          <w:rPr>
            <w:webHidden/>
          </w:rPr>
        </w:r>
        <w:r w:rsidR="009F653A">
          <w:rPr>
            <w:webHidden/>
          </w:rPr>
          <w:fldChar w:fldCharType="separate"/>
        </w:r>
        <w:r w:rsidR="00FD6420">
          <w:rPr>
            <w:webHidden/>
          </w:rPr>
          <w:t>10</w:t>
        </w:r>
        <w:r w:rsidR="009F653A">
          <w:rPr>
            <w:webHidden/>
          </w:rPr>
          <w:fldChar w:fldCharType="end"/>
        </w:r>
      </w:hyperlink>
    </w:p>
    <w:p w14:paraId="73E5D096" w14:textId="77777777" w:rsidR="009F653A" w:rsidRDefault="00260414">
      <w:pPr>
        <w:pStyle w:val="TOC1"/>
        <w:rPr>
          <w:rFonts w:asciiTheme="minorHAnsi" w:eastAsiaTheme="minorEastAsia" w:hAnsiTheme="minorHAnsi" w:cstheme="minorBidi"/>
          <w:b w:val="0"/>
          <w:color w:val="auto"/>
        </w:rPr>
      </w:pPr>
      <w:hyperlink w:anchor="_Toc525813308" w:history="1">
        <w:r w:rsidR="009F653A" w:rsidRPr="00085483">
          <w:rPr>
            <w:rStyle w:val="Hyperlink"/>
          </w:rPr>
          <w:t>Reviewing Breaches of Division 7A</w:t>
        </w:r>
        <w:r w:rsidR="009F653A">
          <w:rPr>
            <w:webHidden/>
          </w:rPr>
          <w:tab/>
        </w:r>
        <w:r w:rsidR="009F653A">
          <w:rPr>
            <w:webHidden/>
          </w:rPr>
          <w:fldChar w:fldCharType="begin"/>
        </w:r>
        <w:r w:rsidR="009F653A">
          <w:rPr>
            <w:webHidden/>
          </w:rPr>
          <w:instrText xml:space="preserve"> PAGEREF _Toc525813308 \h </w:instrText>
        </w:r>
        <w:r w:rsidR="009F653A">
          <w:rPr>
            <w:webHidden/>
          </w:rPr>
        </w:r>
        <w:r w:rsidR="009F653A">
          <w:rPr>
            <w:webHidden/>
          </w:rPr>
          <w:fldChar w:fldCharType="separate"/>
        </w:r>
        <w:r w:rsidR="00FD6420">
          <w:rPr>
            <w:webHidden/>
          </w:rPr>
          <w:t>11</w:t>
        </w:r>
        <w:r w:rsidR="009F653A">
          <w:rPr>
            <w:webHidden/>
          </w:rPr>
          <w:fldChar w:fldCharType="end"/>
        </w:r>
      </w:hyperlink>
    </w:p>
    <w:p w14:paraId="527FF0D8" w14:textId="77777777" w:rsidR="009F653A" w:rsidRDefault="00260414">
      <w:pPr>
        <w:pStyle w:val="TOC2"/>
        <w:rPr>
          <w:rFonts w:asciiTheme="minorHAnsi" w:eastAsiaTheme="minorEastAsia" w:hAnsiTheme="minorHAnsi" w:cstheme="minorBidi"/>
          <w:color w:val="auto"/>
          <w:szCs w:val="22"/>
        </w:rPr>
      </w:pPr>
      <w:hyperlink w:anchor="_Toc525813309" w:history="1">
        <w:r w:rsidR="009F653A" w:rsidRPr="00085483">
          <w:rPr>
            <w:rStyle w:val="Hyperlink"/>
          </w:rPr>
          <w:t>Self-correction mechanism</w:t>
        </w:r>
        <w:r w:rsidR="009F653A">
          <w:rPr>
            <w:webHidden/>
          </w:rPr>
          <w:tab/>
        </w:r>
        <w:r w:rsidR="009F653A">
          <w:rPr>
            <w:webHidden/>
          </w:rPr>
          <w:fldChar w:fldCharType="begin"/>
        </w:r>
        <w:r w:rsidR="009F653A">
          <w:rPr>
            <w:webHidden/>
          </w:rPr>
          <w:instrText xml:space="preserve"> PAGEREF _Toc525813309 \h </w:instrText>
        </w:r>
        <w:r w:rsidR="009F653A">
          <w:rPr>
            <w:webHidden/>
          </w:rPr>
        </w:r>
        <w:r w:rsidR="009F653A">
          <w:rPr>
            <w:webHidden/>
          </w:rPr>
          <w:fldChar w:fldCharType="separate"/>
        </w:r>
        <w:r w:rsidR="00FD6420">
          <w:rPr>
            <w:webHidden/>
          </w:rPr>
          <w:t>11</w:t>
        </w:r>
        <w:r w:rsidR="009F653A">
          <w:rPr>
            <w:webHidden/>
          </w:rPr>
          <w:fldChar w:fldCharType="end"/>
        </w:r>
      </w:hyperlink>
    </w:p>
    <w:p w14:paraId="11476CF5" w14:textId="77777777" w:rsidR="009F653A" w:rsidRDefault="00260414">
      <w:pPr>
        <w:pStyle w:val="TOC3"/>
        <w:rPr>
          <w:rFonts w:asciiTheme="minorHAnsi" w:eastAsiaTheme="minorEastAsia" w:hAnsiTheme="minorHAnsi" w:cstheme="minorBidi"/>
          <w:color w:val="auto"/>
          <w:szCs w:val="22"/>
        </w:rPr>
      </w:pPr>
      <w:hyperlink w:anchor="_Toc525813310" w:history="1">
        <w:r w:rsidR="009F653A" w:rsidRPr="00085483">
          <w:rPr>
            <w:rStyle w:val="Hyperlink"/>
          </w:rPr>
          <w:t>Reasons for change</w:t>
        </w:r>
        <w:r w:rsidR="009F653A">
          <w:rPr>
            <w:webHidden/>
          </w:rPr>
          <w:tab/>
        </w:r>
        <w:r w:rsidR="009F653A">
          <w:rPr>
            <w:webHidden/>
          </w:rPr>
          <w:fldChar w:fldCharType="begin"/>
        </w:r>
        <w:r w:rsidR="009F653A">
          <w:rPr>
            <w:webHidden/>
          </w:rPr>
          <w:instrText xml:space="preserve"> PAGEREF _Toc525813310 \h </w:instrText>
        </w:r>
        <w:r w:rsidR="009F653A">
          <w:rPr>
            <w:webHidden/>
          </w:rPr>
        </w:r>
        <w:r w:rsidR="009F653A">
          <w:rPr>
            <w:webHidden/>
          </w:rPr>
          <w:fldChar w:fldCharType="separate"/>
        </w:r>
        <w:r w:rsidR="00FD6420">
          <w:rPr>
            <w:webHidden/>
          </w:rPr>
          <w:t>11</w:t>
        </w:r>
        <w:r w:rsidR="009F653A">
          <w:rPr>
            <w:webHidden/>
          </w:rPr>
          <w:fldChar w:fldCharType="end"/>
        </w:r>
      </w:hyperlink>
    </w:p>
    <w:p w14:paraId="7C2BA859" w14:textId="77777777" w:rsidR="009F653A" w:rsidRDefault="00260414">
      <w:pPr>
        <w:pStyle w:val="TOC3"/>
        <w:rPr>
          <w:rFonts w:asciiTheme="minorHAnsi" w:eastAsiaTheme="minorEastAsia" w:hAnsiTheme="minorHAnsi" w:cstheme="minorBidi"/>
          <w:color w:val="auto"/>
          <w:szCs w:val="22"/>
        </w:rPr>
      </w:pPr>
      <w:hyperlink w:anchor="_Toc525813311" w:history="1">
        <w:r w:rsidR="009F653A" w:rsidRPr="00085483">
          <w:rPr>
            <w:rStyle w:val="Hyperlink"/>
          </w:rPr>
          <w:t>Proposed implementation approach</w:t>
        </w:r>
        <w:r w:rsidR="009F653A">
          <w:rPr>
            <w:webHidden/>
          </w:rPr>
          <w:tab/>
        </w:r>
        <w:r w:rsidR="009F653A">
          <w:rPr>
            <w:webHidden/>
          </w:rPr>
          <w:fldChar w:fldCharType="begin"/>
        </w:r>
        <w:r w:rsidR="009F653A">
          <w:rPr>
            <w:webHidden/>
          </w:rPr>
          <w:instrText xml:space="preserve"> PAGEREF _Toc525813311 \h </w:instrText>
        </w:r>
        <w:r w:rsidR="009F653A">
          <w:rPr>
            <w:webHidden/>
          </w:rPr>
        </w:r>
        <w:r w:rsidR="009F653A">
          <w:rPr>
            <w:webHidden/>
          </w:rPr>
          <w:fldChar w:fldCharType="separate"/>
        </w:r>
        <w:r w:rsidR="00FD6420">
          <w:rPr>
            <w:webHidden/>
          </w:rPr>
          <w:t>11</w:t>
        </w:r>
        <w:r w:rsidR="009F653A">
          <w:rPr>
            <w:webHidden/>
          </w:rPr>
          <w:fldChar w:fldCharType="end"/>
        </w:r>
      </w:hyperlink>
    </w:p>
    <w:p w14:paraId="31E66B20" w14:textId="77777777" w:rsidR="009F653A" w:rsidRDefault="00260414">
      <w:pPr>
        <w:pStyle w:val="TOC2"/>
        <w:rPr>
          <w:rFonts w:asciiTheme="minorHAnsi" w:eastAsiaTheme="minorEastAsia" w:hAnsiTheme="minorHAnsi" w:cstheme="minorBidi"/>
          <w:color w:val="auto"/>
          <w:szCs w:val="22"/>
        </w:rPr>
      </w:pPr>
      <w:hyperlink w:anchor="_Toc525813312" w:history="1">
        <w:r w:rsidR="009F653A" w:rsidRPr="00085483">
          <w:rPr>
            <w:rStyle w:val="Hyperlink"/>
          </w:rPr>
          <w:t>Period of review</w:t>
        </w:r>
        <w:r w:rsidR="009F653A">
          <w:rPr>
            <w:webHidden/>
          </w:rPr>
          <w:tab/>
        </w:r>
        <w:r w:rsidR="009F653A">
          <w:rPr>
            <w:webHidden/>
          </w:rPr>
          <w:fldChar w:fldCharType="begin"/>
        </w:r>
        <w:r w:rsidR="009F653A">
          <w:rPr>
            <w:webHidden/>
          </w:rPr>
          <w:instrText xml:space="preserve"> PAGEREF _Toc525813312 \h </w:instrText>
        </w:r>
        <w:r w:rsidR="009F653A">
          <w:rPr>
            <w:webHidden/>
          </w:rPr>
        </w:r>
        <w:r w:rsidR="009F653A">
          <w:rPr>
            <w:webHidden/>
          </w:rPr>
          <w:fldChar w:fldCharType="separate"/>
        </w:r>
        <w:r w:rsidR="00FD6420">
          <w:rPr>
            <w:webHidden/>
          </w:rPr>
          <w:t>12</w:t>
        </w:r>
        <w:r w:rsidR="009F653A">
          <w:rPr>
            <w:webHidden/>
          </w:rPr>
          <w:fldChar w:fldCharType="end"/>
        </w:r>
      </w:hyperlink>
    </w:p>
    <w:p w14:paraId="6FA869C9" w14:textId="77777777" w:rsidR="009F653A" w:rsidRDefault="00260414">
      <w:pPr>
        <w:pStyle w:val="TOC2"/>
        <w:rPr>
          <w:rFonts w:asciiTheme="minorHAnsi" w:eastAsiaTheme="minorEastAsia" w:hAnsiTheme="minorHAnsi" w:cstheme="minorBidi"/>
          <w:color w:val="auto"/>
          <w:szCs w:val="22"/>
        </w:rPr>
      </w:pPr>
      <w:hyperlink w:anchor="_Toc525813313" w:history="1">
        <w:r w:rsidR="009F653A" w:rsidRPr="00085483">
          <w:rPr>
            <w:rStyle w:val="Hyperlink"/>
          </w:rPr>
          <w:t>Discussion questions</w:t>
        </w:r>
        <w:r w:rsidR="009F653A">
          <w:rPr>
            <w:webHidden/>
          </w:rPr>
          <w:tab/>
        </w:r>
        <w:r w:rsidR="009F653A">
          <w:rPr>
            <w:webHidden/>
          </w:rPr>
          <w:fldChar w:fldCharType="begin"/>
        </w:r>
        <w:r w:rsidR="009F653A">
          <w:rPr>
            <w:webHidden/>
          </w:rPr>
          <w:instrText xml:space="preserve"> PAGEREF _Toc525813313 \h </w:instrText>
        </w:r>
        <w:r w:rsidR="009F653A">
          <w:rPr>
            <w:webHidden/>
          </w:rPr>
        </w:r>
        <w:r w:rsidR="009F653A">
          <w:rPr>
            <w:webHidden/>
          </w:rPr>
          <w:fldChar w:fldCharType="separate"/>
        </w:r>
        <w:r w:rsidR="00FD6420">
          <w:rPr>
            <w:webHidden/>
          </w:rPr>
          <w:t>12</w:t>
        </w:r>
        <w:r w:rsidR="009F653A">
          <w:rPr>
            <w:webHidden/>
          </w:rPr>
          <w:fldChar w:fldCharType="end"/>
        </w:r>
      </w:hyperlink>
    </w:p>
    <w:p w14:paraId="2AEF48F2" w14:textId="77777777" w:rsidR="009F653A" w:rsidRDefault="00260414">
      <w:pPr>
        <w:pStyle w:val="TOC1"/>
        <w:rPr>
          <w:rFonts w:asciiTheme="minorHAnsi" w:eastAsiaTheme="minorEastAsia" w:hAnsiTheme="minorHAnsi" w:cstheme="minorBidi"/>
          <w:b w:val="0"/>
          <w:color w:val="auto"/>
        </w:rPr>
      </w:pPr>
      <w:hyperlink w:anchor="_Toc525813314" w:history="1">
        <w:r w:rsidR="009F653A" w:rsidRPr="00085483">
          <w:rPr>
            <w:rStyle w:val="Hyperlink"/>
          </w:rPr>
          <w:t>Safe Harbours – Provision of Assets for Use</w:t>
        </w:r>
        <w:r w:rsidR="009F653A">
          <w:rPr>
            <w:webHidden/>
          </w:rPr>
          <w:tab/>
        </w:r>
        <w:r w:rsidR="009F653A">
          <w:rPr>
            <w:webHidden/>
          </w:rPr>
          <w:fldChar w:fldCharType="begin"/>
        </w:r>
        <w:r w:rsidR="009F653A">
          <w:rPr>
            <w:webHidden/>
          </w:rPr>
          <w:instrText xml:space="preserve"> PAGEREF _Toc525813314 \h </w:instrText>
        </w:r>
        <w:r w:rsidR="009F653A">
          <w:rPr>
            <w:webHidden/>
          </w:rPr>
        </w:r>
        <w:r w:rsidR="009F653A">
          <w:rPr>
            <w:webHidden/>
          </w:rPr>
          <w:fldChar w:fldCharType="separate"/>
        </w:r>
        <w:r w:rsidR="00FD6420">
          <w:rPr>
            <w:webHidden/>
          </w:rPr>
          <w:t>13</w:t>
        </w:r>
        <w:r w:rsidR="009F653A">
          <w:rPr>
            <w:webHidden/>
          </w:rPr>
          <w:fldChar w:fldCharType="end"/>
        </w:r>
      </w:hyperlink>
    </w:p>
    <w:p w14:paraId="38CE283B" w14:textId="77777777" w:rsidR="009F653A" w:rsidRDefault="00260414">
      <w:pPr>
        <w:pStyle w:val="TOC2"/>
        <w:rPr>
          <w:rFonts w:asciiTheme="minorHAnsi" w:eastAsiaTheme="minorEastAsia" w:hAnsiTheme="minorHAnsi" w:cstheme="minorBidi"/>
          <w:color w:val="auto"/>
          <w:szCs w:val="22"/>
        </w:rPr>
      </w:pPr>
      <w:hyperlink w:anchor="_Toc525813315" w:history="1">
        <w:r w:rsidR="009F653A" w:rsidRPr="00085483">
          <w:rPr>
            <w:rStyle w:val="Hyperlink"/>
          </w:rPr>
          <w:t>Safe harbour mechanism</w:t>
        </w:r>
        <w:r w:rsidR="009F653A">
          <w:rPr>
            <w:webHidden/>
          </w:rPr>
          <w:tab/>
        </w:r>
        <w:r w:rsidR="009F653A">
          <w:rPr>
            <w:webHidden/>
          </w:rPr>
          <w:fldChar w:fldCharType="begin"/>
        </w:r>
        <w:r w:rsidR="009F653A">
          <w:rPr>
            <w:webHidden/>
          </w:rPr>
          <w:instrText xml:space="preserve"> PAGEREF _Toc525813315 \h </w:instrText>
        </w:r>
        <w:r w:rsidR="009F653A">
          <w:rPr>
            <w:webHidden/>
          </w:rPr>
        </w:r>
        <w:r w:rsidR="009F653A">
          <w:rPr>
            <w:webHidden/>
          </w:rPr>
          <w:fldChar w:fldCharType="separate"/>
        </w:r>
        <w:r w:rsidR="00FD6420">
          <w:rPr>
            <w:webHidden/>
          </w:rPr>
          <w:t>13</w:t>
        </w:r>
        <w:r w:rsidR="009F653A">
          <w:rPr>
            <w:webHidden/>
          </w:rPr>
          <w:fldChar w:fldCharType="end"/>
        </w:r>
      </w:hyperlink>
    </w:p>
    <w:p w14:paraId="57EA41BD" w14:textId="77777777" w:rsidR="009F653A" w:rsidRDefault="00260414">
      <w:pPr>
        <w:pStyle w:val="TOC3"/>
        <w:rPr>
          <w:rFonts w:asciiTheme="minorHAnsi" w:eastAsiaTheme="minorEastAsia" w:hAnsiTheme="minorHAnsi" w:cstheme="minorBidi"/>
          <w:color w:val="auto"/>
          <w:szCs w:val="22"/>
        </w:rPr>
      </w:pPr>
      <w:hyperlink w:anchor="_Toc525813316" w:history="1">
        <w:r w:rsidR="009F653A" w:rsidRPr="00085483">
          <w:rPr>
            <w:rStyle w:val="Hyperlink"/>
          </w:rPr>
          <w:t>Reasons for change</w:t>
        </w:r>
        <w:r w:rsidR="009F653A">
          <w:rPr>
            <w:webHidden/>
          </w:rPr>
          <w:tab/>
        </w:r>
        <w:r w:rsidR="009F653A">
          <w:rPr>
            <w:webHidden/>
          </w:rPr>
          <w:fldChar w:fldCharType="begin"/>
        </w:r>
        <w:r w:rsidR="009F653A">
          <w:rPr>
            <w:webHidden/>
          </w:rPr>
          <w:instrText xml:space="preserve"> PAGEREF _Toc525813316 \h </w:instrText>
        </w:r>
        <w:r w:rsidR="009F653A">
          <w:rPr>
            <w:webHidden/>
          </w:rPr>
        </w:r>
        <w:r w:rsidR="009F653A">
          <w:rPr>
            <w:webHidden/>
          </w:rPr>
          <w:fldChar w:fldCharType="separate"/>
        </w:r>
        <w:r w:rsidR="00FD6420">
          <w:rPr>
            <w:webHidden/>
          </w:rPr>
          <w:t>13</w:t>
        </w:r>
        <w:r w:rsidR="009F653A">
          <w:rPr>
            <w:webHidden/>
          </w:rPr>
          <w:fldChar w:fldCharType="end"/>
        </w:r>
      </w:hyperlink>
    </w:p>
    <w:p w14:paraId="50E8D57D" w14:textId="77777777" w:rsidR="009F653A" w:rsidRDefault="00260414">
      <w:pPr>
        <w:pStyle w:val="TOC3"/>
        <w:rPr>
          <w:rFonts w:asciiTheme="minorHAnsi" w:eastAsiaTheme="minorEastAsia" w:hAnsiTheme="minorHAnsi" w:cstheme="minorBidi"/>
          <w:color w:val="auto"/>
          <w:szCs w:val="22"/>
        </w:rPr>
      </w:pPr>
      <w:hyperlink w:anchor="_Toc525813317" w:history="1">
        <w:r w:rsidR="009F653A" w:rsidRPr="00085483">
          <w:rPr>
            <w:rStyle w:val="Hyperlink"/>
          </w:rPr>
          <w:t>Proposed implementation approach</w:t>
        </w:r>
        <w:r w:rsidR="009F653A">
          <w:rPr>
            <w:webHidden/>
          </w:rPr>
          <w:tab/>
        </w:r>
        <w:r w:rsidR="009F653A">
          <w:rPr>
            <w:webHidden/>
          </w:rPr>
          <w:fldChar w:fldCharType="begin"/>
        </w:r>
        <w:r w:rsidR="009F653A">
          <w:rPr>
            <w:webHidden/>
          </w:rPr>
          <w:instrText xml:space="preserve"> PAGEREF _Toc525813317 \h </w:instrText>
        </w:r>
        <w:r w:rsidR="009F653A">
          <w:rPr>
            <w:webHidden/>
          </w:rPr>
        </w:r>
        <w:r w:rsidR="009F653A">
          <w:rPr>
            <w:webHidden/>
          </w:rPr>
          <w:fldChar w:fldCharType="separate"/>
        </w:r>
        <w:r w:rsidR="00FD6420">
          <w:rPr>
            <w:webHidden/>
          </w:rPr>
          <w:t>13</w:t>
        </w:r>
        <w:r w:rsidR="009F653A">
          <w:rPr>
            <w:webHidden/>
          </w:rPr>
          <w:fldChar w:fldCharType="end"/>
        </w:r>
      </w:hyperlink>
    </w:p>
    <w:p w14:paraId="0F52F07C" w14:textId="77777777" w:rsidR="009F653A" w:rsidRDefault="00260414">
      <w:pPr>
        <w:pStyle w:val="TOC2"/>
        <w:rPr>
          <w:rFonts w:asciiTheme="minorHAnsi" w:eastAsiaTheme="minorEastAsia" w:hAnsiTheme="minorHAnsi" w:cstheme="minorBidi"/>
          <w:color w:val="auto"/>
          <w:szCs w:val="22"/>
        </w:rPr>
      </w:pPr>
      <w:hyperlink w:anchor="_Toc525813318" w:history="1">
        <w:r w:rsidR="009F653A" w:rsidRPr="00085483">
          <w:rPr>
            <w:rStyle w:val="Hyperlink"/>
          </w:rPr>
          <w:t>Discussion questions</w:t>
        </w:r>
        <w:r w:rsidR="009F653A">
          <w:rPr>
            <w:webHidden/>
          </w:rPr>
          <w:tab/>
        </w:r>
        <w:r w:rsidR="009F653A">
          <w:rPr>
            <w:webHidden/>
          </w:rPr>
          <w:fldChar w:fldCharType="begin"/>
        </w:r>
        <w:r w:rsidR="009F653A">
          <w:rPr>
            <w:webHidden/>
          </w:rPr>
          <w:instrText xml:space="preserve"> PAGEREF _Toc525813318 \h </w:instrText>
        </w:r>
        <w:r w:rsidR="009F653A">
          <w:rPr>
            <w:webHidden/>
          </w:rPr>
        </w:r>
        <w:r w:rsidR="009F653A">
          <w:rPr>
            <w:webHidden/>
          </w:rPr>
          <w:fldChar w:fldCharType="separate"/>
        </w:r>
        <w:r w:rsidR="00FD6420">
          <w:rPr>
            <w:webHidden/>
          </w:rPr>
          <w:t>14</w:t>
        </w:r>
        <w:r w:rsidR="009F653A">
          <w:rPr>
            <w:webHidden/>
          </w:rPr>
          <w:fldChar w:fldCharType="end"/>
        </w:r>
      </w:hyperlink>
    </w:p>
    <w:p w14:paraId="7BE070E0" w14:textId="77777777" w:rsidR="009F653A" w:rsidRDefault="00260414">
      <w:pPr>
        <w:pStyle w:val="TOC1"/>
        <w:rPr>
          <w:rFonts w:asciiTheme="minorHAnsi" w:eastAsiaTheme="minorEastAsia" w:hAnsiTheme="minorHAnsi" w:cstheme="minorBidi"/>
          <w:b w:val="0"/>
          <w:color w:val="auto"/>
        </w:rPr>
      </w:pPr>
      <w:hyperlink w:anchor="_Toc525813319" w:history="1">
        <w:r w:rsidR="009F653A" w:rsidRPr="00085483">
          <w:rPr>
            <w:rStyle w:val="Hyperlink"/>
          </w:rPr>
          <w:t>Minor Technical Amendments</w:t>
        </w:r>
        <w:r w:rsidR="009F653A">
          <w:rPr>
            <w:webHidden/>
          </w:rPr>
          <w:tab/>
        </w:r>
        <w:r w:rsidR="009F653A">
          <w:rPr>
            <w:webHidden/>
          </w:rPr>
          <w:fldChar w:fldCharType="begin"/>
        </w:r>
        <w:r w:rsidR="009F653A">
          <w:rPr>
            <w:webHidden/>
          </w:rPr>
          <w:instrText xml:space="preserve"> PAGEREF _Toc525813319 \h </w:instrText>
        </w:r>
        <w:r w:rsidR="009F653A">
          <w:rPr>
            <w:webHidden/>
          </w:rPr>
        </w:r>
        <w:r w:rsidR="009F653A">
          <w:rPr>
            <w:webHidden/>
          </w:rPr>
          <w:fldChar w:fldCharType="separate"/>
        </w:r>
        <w:r w:rsidR="00FD6420">
          <w:rPr>
            <w:webHidden/>
          </w:rPr>
          <w:t>15</w:t>
        </w:r>
        <w:r w:rsidR="009F653A">
          <w:rPr>
            <w:webHidden/>
          </w:rPr>
          <w:fldChar w:fldCharType="end"/>
        </w:r>
      </w:hyperlink>
    </w:p>
    <w:p w14:paraId="6C574B8A" w14:textId="77777777" w:rsidR="009F653A" w:rsidRDefault="00260414">
      <w:pPr>
        <w:pStyle w:val="TOC2"/>
        <w:rPr>
          <w:rFonts w:asciiTheme="minorHAnsi" w:eastAsiaTheme="minorEastAsia" w:hAnsiTheme="minorHAnsi" w:cstheme="minorBidi"/>
          <w:color w:val="auto"/>
          <w:szCs w:val="22"/>
        </w:rPr>
      </w:pPr>
      <w:hyperlink w:anchor="_Toc525813320" w:history="1">
        <w:r w:rsidR="009F653A" w:rsidRPr="00085483">
          <w:rPr>
            <w:rStyle w:val="Hyperlink"/>
          </w:rPr>
          <w:t>Technical amendments to improve the integrity and operation of Division 7A</w:t>
        </w:r>
        <w:r w:rsidR="009F653A">
          <w:rPr>
            <w:webHidden/>
          </w:rPr>
          <w:tab/>
        </w:r>
        <w:r w:rsidR="009F653A">
          <w:rPr>
            <w:webHidden/>
          </w:rPr>
          <w:fldChar w:fldCharType="begin"/>
        </w:r>
        <w:r w:rsidR="009F653A">
          <w:rPr>
            <w:webHidden/>
          </w:rPr>
          <w:instrText xml:space="preserve"> PAGEREF _Toc525813320 \h </w:instrText>
        </w:r>
        <w:r w:rsidR="009F653A">
          <w:rPr>
            <w:webHidden/>
          </w:rPr>
        </w:r>
        <w:r w:rsidR="009F653A">
          <w:rPr>
            <w:webHidden/>
          </w:rPr>
          <w:fldChar w:fldCharType="separate"/>
        </w:r>
        <w:r w:rsidR="00FD6420">
          <w:rPr>
            <w:webHidden/>
          </w:rPr>
          <w:t>15</w:t>
        </w:r>
        <w:r w:rsidR="009F653A">
          <w:rPr>
            <w:webHidden/>
          </w:rPr>
          <w:fldChar w:fldCharType="end"/>
        </w:r>
      </w:hyperlink>
    </w:p>
    <w:p w14:paraId="6BF9EB3C" w14:textId="77777777" w:rsidR="009F653A" w:rsidRDefault="00260414">
      <w:pPr>
        <w:pStyle w:val="TOC3"/>
        <w:rPr>
          <w:rFonts w:asciiTheme="minorHAnsi" w:eastAsiaTheme="minorEastAsia" w:hAnsiTheme="minorHAnsi" w:cstheme="minorBidi"/>
          <w:color w:val="auto"/>
          <w:szCs w:val="22"/>
        </w:rPr>
      </w:pPr>
      <w:hyperlink w:anchor="_Toc525813321" w:history="1">
        <w:r w:rsidR="009F653A" w:rsidRPr="00085483">
          <w:rPr>
            <w:rStyle w:val="Hyperlink"/>
          </w:rPr>
          <w:t>Use of assets – timing rules</w:t>
        </w:r>
        <w:r w:rsidR="009F653A">
          <w:rPr>
            <w:webHidden/>
          </w:rPr>
          <w:tab/>
        </w:r>
        <w:r w:rsidR="009F653A">
          <w:rPr>
            <w:webHidden/>
          </w:rPr>
          <w:fldChar w:fldCharType="begin"/>
        </w:r>
        <w:r w:rsidR="009F653A">
          <w:rPr>
            <w:webHidden/>
          </w:rPr>
          <w:instrText xml:space="preserve"> PAGEREF _Toc525813321 \h </w:instrText>
        </w:r>
        <w:r w:rsidR="009F653A">
          <w:rPr>
            <w:webHidden/>
          </w:rPr>
        </w:r>
        <w:r w:rsidR="009F653A">
          <w:rPr>
            <w:webHidden/>
          </w:rPr>
          <w:fldChar w:fldCharType="separate"/>
        </w:r>
        <w:r w:rsidR="00FD6420">
          <w:rPr>
            <w:webHidden/>
          </w:rPr>
          <w:t>15</w:t>
        </w:r>
        <w:r w:rsidR="009F653A">
          <w:rPr>
            <w:webHidden/>
          </w:rPr>
          <w:fldChar w:fldCharType="end"/>
        </w:r>
      </w:hyperlink>
    </w:p>
    <w:p w14:paraId="6DC2519C" w14:textId="77777777" w:rsidR="009F653A" w:rsidRDefault="00260414">
      <w:pPr>
        <w:pStyle w:val="TOC3"/>
        <w:rPr>
          <w:rFonts w:asciiTheme="minorHAnsi" w:eastAsiaTheme="minorEastAsia" w:hAnsiTheme="minorHAnsi" w:cstheme="minorBidi"/>
          <w:color w:val="auto"/>
          <w:szCs w:val="22"/>
        </w:rPr>
      </w:pPr>
      <w:hyperlink w:anchor="_Toc525813322" w:history="1">
        <w:r w:rsidR="009F653A" w:rsidRPr="00085483">
          <w:rPr>
            <w:rStyle w:val="Hyperlink"/>
          </w:rPr>
          <w:t>Interaction between debt forgiveness and loans</w:t>
        </w:r>
        <w:r w:rsidR="009F653A">
          <w:rPr>
            <w:webHidden/>
          </w:rPr>
          <w:tab/>
        </w:r>
        <w:r w:rsidR="009F653A">
          <w:rPr>
            <w:webHidden/>
          </w:rPr>
          <w:fldChar w:fldCharType="begin"/>
        </w:r>
        <w:r w:rsidR="009F653A">
          <w:rPr>
            <w:webHidden/>
          </w:rPr>
          <w:instrText xml:space="preserve"> PAGEREF _Toc525813322 \h </w:instrText>
        </w:r>
        <w:r w:rsidR="009F653A">
          <w:rPr>
            <w:webHidden/>
          </w:rPr>
        </w:r>
        <w:r w:rsidR="009F653A">
          <w:rPr>
            <w:webHidden/>
          </w:rPr>
          <w:fldChar w:fldCharType="separate"/>
        </w:r>
        <w:r w:rsidR="00FD6420">
          <w:rPr>
            <w:webHidden/>
          </w:rPr>
          <w:t>15</w:t>
        </w:r>
        <w:r w:rsidR="009F653A">
          <w:rPr>
            <w:webHidden/>
          </w:rPr>
          <w:fldChar w:fldCharType="end"/>
        </w:r>
      </w:hyperlink>
    </w:p>
    <w:p w14:paraId="52C1AE67" w14:textId="77777777" w:rsidR="009F653A" w:rsidRDefault="00260414">
      <w:pPr>
        <w:pStyle w:val="TOC3"/>
        <w:rPr>
          <w:rFonts w:asciiTheme="minorHAnsi" w:eastAsiaTheme="minorEastAsia" w:hAnsiTheme="minorHAnsi" w:cstheme="minorBidi"/>
          <w:color w:val="auto"/>
          <w:szCs w:val="22"/>
        </w:rPr>
      </w:pPr>
      <w:hyperlink w:anchor="_Toc525813323" w:history="1">
        <w:r w:rsidR="009F653A" w:rsidRPr="00085483">
          <w:rPr>
            <w:rStyle w:val="Hyperlink"/>
          </w:rPr>
          <w:t>In the ordinary course of business</w:t>
        </w:r>
        <w:r w:rsidR="009F653A">
          <w:rPr>
            <w:webHidden/>
          </w:rPr>
          <w:tab/>
        </w:r>
        <w:r w:rsidR="009F653A">
          <w:rPr>
            <w:webHidden/>
          </w:rPr>
          <w:fldChar w:fldCharType="begin"/>
        </w:r>
        <w:r w:rsidR="009F653A">
          <w:rPr>
            <w:webHidden/>
          </w:rPr>
          <w:instrText xml:space="preserve"> PAGEREF _Toc525813323 \h </w:instrText>
        </w:r>
        <w:r w:rsidR="009F653A">
          <w:rPr>
            <w:webHidden/>
          </w:rPr>
        </w:r>
        <w:r w:rsidR="009F653A">
          <w:rPr>
            <w:webHidden/>
          </w:rPr>
          <w:fldChar w:fldCharType="separate"/>
        </w:r>
        <w:r w:rsidR="00FD6420">
          <w:rPr>
            <w:webHidden/>
          </w:rPr>
          <w:t>15</w:t>
        </w:r>
        <w:r w:rsidR="009F653A">
          <w:rPr>
            <w:webHidden/>
          </w:rPr>
          <w:fldChar w:fldCharType="end"/>
        </w:r>
      </w:hyperlink>
    </w:p>
    <w:p w14:paraId="6B4C9270" w14:textId="77777777" w:rsidR="009F653A" w:rsidRDefault="00260414">
      <w:pPr>
        <w:pStyle w:val="TOC3"/>
        <w:rPr>
          <w:rFonts w:asciiTheme="minorHAnsi" w:eastAsiaTheme="minorEastAsia" w:hAnsiTheme="minorHAnsi" w:cstheme="minorBidi"/>
          <w:color w:val="auto"/>
          <w:szCs w:val="22"/>
        </w:rPr>
      </w:pPr>
      <w:hyperlink w:anchor="_Toc525813324" w:history="1">
        <w:r w:rsidR="009F653A" w:rsidRPr="00085483">
          <w:rPr>
            <w:rStyle w:val="Hyperlink"/>
          </w:rPr>
          <w:t>Benefits provided through interposed entities</w:t>
        </w:r>
        <w:r w:rsidR="009F653A">
          <w:rPr>
            <w:webHidden/>
          </w:rPr>
          <w:tab/>
        </w:r>
        <w:r w:rsidR="009F653A">
          <w:rPr>
            <w:webHidden/>
          </w:rPr>
          <w:fldChar w:fldCharType="begin"/>
        </w:r>
        <w:r w:rsidR="009F653A">
          <w:rPr>
            <w:webHidden/>
          </w:rPr>
          <w:instrText xml:space="preserve"> PAGEREF _Toc525813324 \h </w:instrText>
        </w:r>
        <w:r w:rsidR="009F653A">
          <w:rPr>
            <w:webHidden/>
          </w:rPr>
        </w:r>
        <w:r w:rsidR="009F653A">
          <w:rPr>
            <w:webHidden/>
          </w:rPr>
          <w:fldChar w:fldCharType="separate"/>
        </w:r>
        <w:r w:rsidR="00FD6420">
          <w:rPr>
            <w:webHidden/>
          </w:rPr>
          <w:t>16</w:t>
        </w:r>
        <w:r w:rsidR="009F653A">
          <w:rPr>
            <w:webHidden/>
          </w:rPr>
          <w:fldChar w:fldCharType="end"/>
        </w:r>
      </w:hyperlink>
    </w:p>
    <w:p w14:paraId="739AB78A" w14:textId="77777777" w:rsidR="009F653A" w:rsidRDefault="00260414">
      <w:pPr>
        <w:pStyle w:val="TOC3"/>
        <w:rPr>
          <w:rFonts w:asciiTheme="minorHAnsi" w:eastAsiaTheme="minorEastAsia" w:hAnsiTheme="minorHAnsi" w:cstheme="minorBidi"/>
          <w:color w:val="auto"/>
          <w:szCs w:val="22"/>
        </w:rPr>
      </w:pPr>
      <w:hyperlink w:anchor="_Toc525813325" w:history="1">
        <w:r w:rsidR="009F653A" w:rsidRPr="00085483">
          <w:rPr>
            <w:rStyle w:val="Hyperlink"/>
          </w:rPr>
          <w:t>Deemed dividends are non-deductible</w:t>
        </w:r>
        <w:r w:rsidR="009F653A">
          <w:rPr>
            <w:webHidden/>
          </w:rPr>
          <w:tab/>
        </w:r>
        <w:r w:rsidR="009F653A">
          <w:rPr>
            <w:webHidden/>
          </w:rPr>
          <w:fldChar w:fldCharType="begin"/>
        </w:r>
        <w:r w:rsidR="009F653A">
          <w:rPr>
            <w:webHidden/>
          </w:rPr>
          <w:instrText xml:space="preserve"> PAGEREF _Toc525813325 \h </w:instrText>
        </w:r>
        <w:r w:rsidR="009F653A">
          <w:rPr>
            <w:webHidden/>
          </w:rPr>
        </w:r>
        <w:r w:rsidR="009F653A">
          <w:rPr>
            <w:webHidden/>
          </w:rPr>
          <w:fldChar w:fldCharType="separate"/>
        </w:r>
        <w:r w:rsidR="00FD6420">
          <w:rPr>
            <w:webHidden/>
          </w:rPr>
          <w:t>16</w:t>
        </w:r>
        <w:r w:rsidR="009F653A">
          <w:rPr>
            <w:webHidden/>
          </w:rPr>
          <w:fldChar w:fldCharType="end"/>
        </w:r>
      </w:hyperlink>
    </w:p>
    <w:p w14:paraId="118015B5" w14:textId="77777777" w:rsidR="009F653A" w:rsidRDefault="00260414">
      <w:pPr>
        <w:pStyle w:val="TOC3"/>
        <w:rPr>
          <w:rFonts w:asciiTheme="minorHAnsi" w:eastAsiaTheme="minorEastAsia" w:hAnsiTheme="minorHAnsi" w:cstheme="minorBidi"/>
          <w:color w:val="auto"/>
          <w:szCs w:val="22"/>
        </w:rPr>
      </w:pPr>
      <w:hyperlink w:anchor="_Toc525813326" w:history="1">
        <w:r w:rsidR="009F653A" w:rsidRPr="00085483">
          <w:rPr>
            <w:rStyle w:val="Hyperlink"/>
          </w:rPr>
          <w:t>Division 7A and Fringe Benefits Tax</w:t>
        </w:r>
        <w:r w:rsidR="009F653A">
          <w:rPr>
            <w:webHidden/>
          </w:rPr>
          <w:tab/>
        </w:r>
        <w:r w:rsidR="009F653A">
          <w:rPr>
            <w:webHidden/>
          </w:rPr>
          <w:fldChar w:fldCharType="begin"/>
        </w:r>
        <w:r w:rsidR="009F653A">
          <w:rPr>
            <w:webHidden/>
          </w:rPr>
          <w:instrText xml:space="preserve"> PAGEREF _Toc525813326 \h </w:instrText>
        </w:r>
        <w:r w:rsidR="009F653A">
          <w:rPr>
            <w:webHidden/>
          </w:rPr>
        </w:r>
        <w:r w:rsidR="009F653A">
          <w:rPr>
            <w:webHidden/>
          </w:rPr>
          <w:fldChar w:fldCharType="separate"/>
        </w:r>
        <w:r w:rsidR="00FD6420">
          <w:rPr>
            <w:webHidden/>
          </w:rPr>
          <w:t>16</w:t>
        </w:r>
        <w:r w:rsidR="009F653A">
          <w:rPr>
            <w:webHidden/>
          </w:rPr>
          <w:fldChar w:fldCharType="end"/>
        </w:r>
      </w:hyperlink>
    </w:p>
    <w:p w14:paraId="79CD7BDE" w14:textId="77777777" w:rsidR="009F653A" w:rsidRDefault="00260414">
      <w:pPr>
        <w:pStyle w:val="TOC2"/>
        <w:rPr>
          <w:rFonts w:asciiTheme="minorHAnsi" w:eastAsiaTheme="minorEastAsia" w:hAnsiTheme="minorHAnsi" w:cstheme="minorBidi"/>
          <w:color w:val="auto"/>
          <w:szCs w:val="22"/>
        </w:rPr>
      </w:pPr>
      <w:hyperlink w:anchor="_Toc525813327" w:history="1">
        <w:r w:rsidR="009F653A" w:rsidRPr="00085483">
          <w:rPr>
            <w:rStyle w:val="Hyperlink"/>
          </w:rPr>
          <w:t>Discussion questions</w:t>
        </w:r>
        <w:r w:rsidR="009F653A">
          <w:rPr>
            <w:webHidden/>
          </w:rPr>
          <w:tab/>
        </w:r>
        <w:r w:rsidR="009F653A">
          <w:rPr>
            <w:webHidden/>
          </w:rPr>
          <w:fldChar w:fldCharType="begin"/>
        </w:r>
        <w:r w:rsidR="009F653A">
          <w:rPr>
            <w:webHidden/>
          </w:rPr>
          <w:instrText xml:space="preserve"> PAGEREF _Toc525813327 \h </w:instrText>
        </w:r>
        <w:r w:rsidR="009F653A">
          <w:rPr>
            <w:webHidden/>
          </w:rPr>
        </w:r>
        <w:r w:rsidR="009F653A">
          <w:rPr>
            <w:webHidden/>
          </w:rPr>
          <w:fldChar w:fldCharType="separate"/>
        </w:r>
        <w:r w:rsidR="00FD6420">
          <w:rPr>
            <w:webHidden/>
          </w:rPr>
          <w:t>17</w:t>
        </w:r>
        <w:r w:rsidR="009F653A">
          <w:rPr>
            <w:webHidden/>
          </w:rPr>
          <w:fldChar w:fldCharType="end"/>
        </w:r>
      </w:hyperlink>
    </w:p>
    <w:p w14:paraId="5B15FFEA" w14:textId="77777777" w:rsidR="009F653A" w:rsidRDefault="00260414">
      <w:pPr>
        <w:pStyle w:val="TOC1"/>
        <w:rPr>
          <w:rFonts w:asciiTheme="minorHAnsi" w:eastAsiaTheme="minorEastAsia" w:hAnsiTheme="minorHAnsi" w:cstheme="minorBidi"/>
          <w:b w:val="0"/>
          <w:color w:val="auto"/>
        </w:rPr>
      </w:pPr>
      <w:hyperlink w:anchor="_Toc525813328" w:history="1">
        <w:r w:rsidR="009F653A" w:rsidRPr="00085483">
          <w:rPr>
            <w:rStyle w:val="Hyperlink"/>
          </w:rPr>
          <w:t>Other considerations</w:t>
        </w:r>
        <w:r w:rsidR="009F653A">
          <w:rPr>
            <w:webHidden/>
          </w:rPr>
          <w:tab/>
        </w:r>
        <w:r w:rsidR="009F653A">
          <w:rPr>
            <w:webHidden/>
          </w:rPr>
          <w:fldChar w:fldCharType="begin"/>
        </w:r>
        <w:r w:rsidR="009F653A">
          <w:rPr>
            <w:webHidden/>
          </w:rPr>
          <w:instrText xml:space="preserve"> PAGEREF _Toc525813328 \h </w:instrText>
        </w:r>
        <w:r w:rsidR="009F653A">
          <w:rPr>
            <w:webHidden/>
          </w:rPr>
        </w:r>
        <w:r w:rsidR="009F653A">
          <w:rPr>
            <w:webHidden/>
          </w:rPr>
          <w:fldChar w:fldCharType="separate"/>
        </w:r>
        <w:r w:rsidR="00FD6420">
          <w:rPr>
            <w:webHidden/>
          </w:rPr>
          <w:t>18</w:t>
        </w:r>
        <w:r w:rsidR="009F653A">
          <w:rPr>
            <w:webHidden/>
          </w:rPr>
          <w:fldChar w:fldCharType="end"/>
        </w:r>
      </w:hyperlink>
    </w:p>
    <w:p w14:paraId="76078F0B" w14:textId="77777777" w:rsidR="009F653A" w:rsidRDefault="00260414">
      <w:pPr>
        <w:pStyle w:val="TOC1"/>
        <w:rPr>
          <w:rFonts w:asciiTheme="minorHAnsi" w:eastAsiaTheme="minorEastAsia" w:hAnsiTheme="minorHAnsi" w:cstheme="minorBidi"/>
          <w:b w:val="0"/>
          <w:color w:val="auto"/>
        </w:rPr>
      </w:pPr>
      <w:hyperlink w:anchor="_Toc525813329" w:history="1">
        <w:r w:rsidR="009F653A" w:rsidRPr="00085483">
          <w:rPr>
            <w:rStyle w:val="Hyperlink"/>
          </w:rPr>
          <w:t>Appendix A: Board Recommendations</w:t>
        </w:r>
        <w:r w:rsidR="009F653A">
          <w:rPr>
            <w:webHidden/>
          </w:rPr>
          <w:tab/>
        </w:r>
        <w:r w:rsidR="009F653A">
          <w:rPr>
            <w:webHidden/>
          </w:rPr>
          <w:fldChar w:fldCharType="begin"/>
        </w:r>
        <w:r w:rsidR="009F653A">
          <w:rPr>
            <w:webHidden/>
          </w:rPr>
          <w:instrText xml:space="preserve"> PAGEREF _Toc525813329 \h </w:instrText>
        </w:r>
        <w:r w:rsidR="009F653A">
          <w:rPr>
            <w:webHidden/>
          </w:rPr>
        </w:r>
        <w:r w:rsidR="009F653A">
          <w:rPr>
            <w:webHidden/>
          </w:rPr>
          <w:fldChar w:fldCharType="separate"/>
        </w:r>
        <w:r w:rsidR="00FD6420">
          <w:rPr>
            <w:webHidden/>
          </w:rPr>
          <w:t>19</w:t>
        </w:r>
        <w:r w:rsidR="009F653A">
          <w:rPr>
            <w:webHidden/>
          </w:rPr>
          <w:fldChar w:fldCharType="end"/>
        </w:r>
      </w:hyperlink>
    </w:p>
    <w:p w14:paraId="1B078D70" w14:textId="77777777" w:rsidR="009F653A" w:rsidRDefault="00260414">
      <w:pPr>
        <w:pStyle w:val="TOC1"/>
        <w:rPr>
          <w:rFonts w:asciiTheme="minorHAnsi" w:eastAsiaTheme="minorEastAsia" w:hAnsiTheme="minorHAnsi" w:cstheme="minorBidi"/>
          <w:b w:val="0"/>
          <w:color w:val="auto"/>
        </w:rPr>
      </w:pPr>
      <w:hyperlink w:anchor="_Toc525813330" w:history="1">
        <w:r w:rsidR="009F653A" w:rsidRPr="00085483">
          <w:rPr>
            <w:rStyle w:val="Hyperlink"/>
          </w:rPr>
          <w:t>Appendix B: Consultation Questions</w:t>
        </w:r>
        <w:r w:rsidR="009F653A">
          <w:rPr>
            <w:webHidden/>
          </w:rPr>
          <w:tab/>
        </w:r>
        <w:r w:rsidR="009F653A">
          <w:rPr>
            <w:webHidden/>
          </w:rPr>
          <w:fldChar w:fldCharType="begin"/>
        </w:r>
        <w:r w:rsidR="009F653A">
          <w:rPr>
            <w:webHidden/>
          </w:rPr>
          <w:instrText xml:space="preserve"> PAGEREF _Toc525813330 \h </w:instrText>
        </w:r>
        <w:r w:rsidR="009F653A">
          <w:rPr>
            <w:webHidden/>
          </w:rPr>
        </w:r>
        <w:r w:rsidR="009F653A">
          <w:rPr>
            <w:webHidden/>
          </w:rPr>
          <w:fldChar w:fldCharType="separate"/>
        </w:r>
        <w:r w:rsidR="00FD6420">
          <w:rPr>
            <w:webHidden/>
          </w:rPr>
          <w:t>25</w:t>
        </w:r>
        <w:r w:rsidR="009F653A">
          <w:rPr>
            <w:webHidden/>
          </w:rPr>
          <w:fldChar w:fldCharType="end"/>
        </w:r>
      </w:hyperlink>
    </w:p>
    <w:p w14:paraId="0BC9BF82" w14:textId="77777777" w:rsidR="009F653A" w:rsidRDefault="00260414">
      <w:pPr>
        <w:pStyle w:val="TOC1"/>
        <w:rPr>
          <w:rFonts w:asciiTheme="minorHAnsi" w:eastAsiaTheme="minorEastAsia" w:hAnsiTheme="minorHAnsi" w:cstheme="minorBidi"/>
          <w:b w:val="0"/>
          <w:color w:val="auto"/>
        </w:rPr>
      </w:pPr>
      <w:hyperlink w:anchor="_Toc525813331" w:history="1">
        <w:r w:rsidR="009F653A" w:rsidRPr="00085483">
          <w:rPr>
            <w:rStyle w:val="Hyperlink"/>
          </w:rPr>
          <w:t>Appendix C: Amortisation Model</w:t>
        </w:r>
        <w:r w:rsidR="009F653A">
          <w:rPr>
            <w:webHidden/>
          </w:rPr>
          <w:tab/>
        </w:r>
        <w:r w:rsidR="009F653A">
          <w:rPr>
            <w:webHidden/>
          </w:rPr>
          <w:fldChar w:fldCharType="begin"/>
        </w:r>
        <w:r w:rsidR="009F653A">
          <w:rPr>
            <w:webHidden/>
          </w:rPr>
          <w:instrText xml:space="preserve"> PAGEREF _Toc525813331 \h </w:instrText>
        </w:r>
        <w:r w:rsidR="009F653A">
          <w:rPr>
            <w:webHidden/>
          </w:rPr>
        </w:r>
        <w:r w:rsidR="009F653A">
          <w:rPr>
            <w:webHidden/>
          </w:rPr>
          <w:fldChar w:fldCharType="separate"/>
        </w:r>
        <w:r w:rsidR="00FD6420">
          <w:rPr>
            <w:webHidden/>
          </w:rPr>
          <w:t>27</w:t>
        </w:r>
        <w:r w:rsidR="009F653A">
          <w:rPr>
            <w:webHidden/>
          </w:rPr>
          <w:fldChar w:fldCharType="end"/>
        </w:r>
      </w:hyperlink>
    </w:p>
    <w:p w14:paraId="46D23062" w14:textId="5C2B41A1" w:rsidR="000E0B74" w:rsidRDefault="00257AEE" w:rsidP="00656356">
      <w:pPr>
        <w:pStyle w:val="SingleParagraph"/>
        <w:tabs>
          <w:tab w:val="right" w:leader="dot" w:pos="9072"/>
        </w:tabs>
        <w:ind w:right="-2"/>
        <w:rPr>
          <w:noProof/>
          <w:color w:val="004A7F"/>
          <w:szCs w:val="22"/>
        </w:rPr>
      </w:pPr>
      <w:r>
        <w:rPr>
          <w:noProof/>
          <w:color w:val="004A7F"/>
          <w:szCs w:val="22"/>
        </w:rPr>
        <w:fldChar w:fldCharType="end"/>
      </w:r>
    </w:p>
    <w:p w14:paraId="3BFAD028" w14:textId="77777777" w:rsidR="001F2067" w:rsidRDefault="001F2067" w:rsidP="00656356">
      <w:pPr>
        <w:pStyle w:val="SingleParagraph"/>
        <w:tabs>
          <w:tab w:val="right" w:leader="dot" w:pos="9072"/>
        </w:tabs>
        <w:ind w:right="-2"/>
        <w:sectPr w:rsidR="001F2067" w:rsidSect="001F2067">
          <w:headerReference w:type="default" r:id="rId26"/>
          <w:footerReference w:type="default" r:id="rId27"/>
          <w:type w:val="oddPage"/>
          <w:pgSz w:w="11906" w:h="16838" w:code="9"/>
          <w:pgMar w:top="1418" w:right="1418" w:bottom="1418" w:left="1418" w:header="709" w:footer="709" w:gutter="0"/>
          <w:pgNumType w:fmt="lowerRoman"/>
          <w:cols w:space="708"/>
          <w:titlePg/>
          <w:docGrid w:linePitch="360"/>
        </w:sectPr>
      </w:pPr>
    </w:p>
    <w:p w14:paraId="0896F326" w14:textId="77777777" w:rsidR="000E0B74" w:rsidRDefault="000E0B74" w:rsidP="006358E7">
      <w:pPr>
        <w:pStyle w:val="Heading1"/>
      </w:pPr>
      <w:bookmarkStart w:id="2" w:name="_Toc525813287"/>
      <w:bookmarkStart w:id="3" w:name="_Toc432067103"/>
      <w:r>
        <w:t xml:space="preserve">Consultation </w:t>
      </w:r>
      <w:r w:rsidRPr="006358E7">
        <w:t>Process</w:t>
      </w:r>
      <w:bookmarkEnd w:id="2"/>
    </w:p>
    <w:p w14:paraId="21FAC097" w14:textId="77777777" w:rsidR="000E0B74" w:rsidRDefault="000E0B74" w:rsidP="006358E7">
      <w:pPr>
        <w:pStyle w:val="Heading2"/>
      </w:pPr>
      <w:bookmarkStart w:id="4" w:name="_Toc525813288"/>
      <w:r>
        <w:t xml:space="preserve">Request for feedback and </w:t>
      </w:r>
      <w:r w:rsidRPr="006358E7">
        <w:t>comments</w:t>
      </w:r>
      <w:bookmarkEnd w:id="4"/>
    </w:p>
    <w:p w14:paraId="24F0DEC8" w14:textId="0A418DD3" w:rsidR="003B51F1" w:rsidRDefault="003B51F1" w:rsidP="006358E7">
      <w:r w:rsidRPr="00D867AD">
        <w:t>Th</w:t>
      </w:r>
      <w:r w:rsidR="00BC1448">
        <w:t>e</w:t>
      </w:r>
      <w:r>
        <w:t xml:space="preserve"> purpose of this p</w:t>
      </w:r>
      <w:r w:rsidRPr="00D867AD">
        <w:t xml:space="preserve">aper </w:t>
      </w:r>
      <w:r>
        <w:t>is to set out the Government’s proposed implement</w:t>
      </w:r>
      <w:r w:rsidR="00720350">
        <w:t>ation of</w:t>
      </w:r>
      <w:r>
        <w:t xml:space="preserve"> the</w:t>
      </w:r>
      <w:r w:rsidR="00803A6A">
        <w:t xml:space="preserve"> amendments to improve the integrity and operation of Division 7A</w:t>
      </w:r>
      <w:r w:rsidR="006358E7">
        <w:t>.</w:t>
      </w:r>
    </w:p>
    <w:p w14:paraId="479F5833" w14:textId="2E405EC9" w:rsidR="003B51F1" w:rsidRDefault="004C2C9B" w:rsidP="003B51F1">
      <w:r>
        <w:t>These amendments</w:t>
      </w:r>
      <w:r w:rsidR="003B51F1">
        <w:t xml:space="preserve"> incorporate the Government’s response on the findings and recommendations of the Board of Taxation in their final report on the ‘Post Implementation Review of Division 7A of Part III of the </w:t>
      </w:r>
      <w:r w:rsidR="003B51F1" w:rsidRPr="00210729">
        <w:rPr>
          <w:i/>
        </w:rPr>
        <w:t>Income Tax Assessment Act 1936’</w:t>
      </w:r>
      <w:r w:rsidR="003B51F1">
        <w:t>.</w:t>
      </w:r>
    </w:p>
    <w:p w14:paraId="4707898C" w14:textId="76408673" w:rsidR="003B51F1" w:rsidRDefault="003B51F1" w:rsidP="003B51F1">
      <w:r>
        <w:t>The Government is committed to help</w:t>
      </w:r>
      <w:r w:rsidR="001B5580">
        <w:t>ing</w:t>
      </w:r>
      <w:r>
        <w:t xml:space="preserve"> taxpayers comply with their Division 7A obligations by simplifying </w:t>
      </w:r>
      <w:r w:rsidR="001B1DAD">
        <w:t>and clarifying the arrangements</w:t>
      </w:r>
      <w:r>
        <w:t xml:space="preserve">. The outcomes of this consultation will </w:t>
      </w:r>
      <w:r w:rsidR="00720350">
        <w:t xml:space="preserve">feed into </w:t>
      </w:r>
      <w:r>
        <w:t>the development of legislation required to implement this measure</w:t>
      </w:r>
      <w:r w:rsidR="00323B9C">
        <w:t>, helping to ensure it operates appropriately and achieves its policy outcomes</w:t>
      </w:r>
      <w:r>
        <w:t>.</w:t>
      </w:r>
    </w:p>
    <w:p w14:paraId="0734A4B7" w14:textId="77777777" w:rsidR="003B51F1" w:rsidRDefault="003B51F1" w:rsidP="003B51F1">
      <w:pPr>
        <w:rPr>
          <w:iCs/>
        </w:rPr>
      </w:pPr>
      <w:r>
        <w:t xml:space="preserve">Interested parties are invited to submit their responses to the discussion questions at </w:t>
      </w:r>
      <w:r w:rsidRPr="00AC08D2">
        <w:t>Appendix B</w:t>
      </w:r>
      <w:r>
        <w:t>.</w:t>
      </w:r>
    </w:p>
    <w:p w14:paraId="099FC6B1" w14:textId="67E481E7" w:rsidR="003B51F1" w:rsidRPr="002B1800" w:rsidRDefault="003B51F1" w:rsidP="003B51F1">
      <w:pPr>
        <w:rPr>
          <w:iCs/>
        </w:rPr>
      </w:pPr>
      <w:r w:rsidRPr="002B1800">
        <w:t xml:space="preserve">Electronic </w:t>
      </w:r>
      <w:r w:rsidR="00712FED" w:rsidRPr="002B1800">
        <w:t>lodgement</w:t>
      </w:r>
      <w:r w:rsidRPr="002B1800">
        <w:t xml:space="preserve"> is preferred. For accessibility reasons, please submit responses sent via email in a Word or RTF format. An additional PDF version may also be submitted.</w:t>
      </w:r>
    </w:p>
    <w:p w14:paraId="51962F58" w14:textId="77777777" w:rsidR="003B51F1" w:rsidRPr="002B1800" w:rsidRDefault="003B51F1" w:rsidP="006358E7">
      <w:pPr>
        <w:rPr>
          <w:iCs/>
        </w:rPr>
      </w:pPr>
      <w:r w:rsidRPr="002B1800">
        <w:t xml:space="preserve">If you would like part of your submission to remain in confidence, you should provide this information marked as such in a separate attachment. A request made under the </w:t>
      </w:r>
      <w:r w:rsidRPr="008752E1">
        <w:rPr>
          <w:i/>
        </w:rPr>
        <w:t xml:space="preserve">Freedom of Information Act 1982 </w:t>
      </w:r>
      <w:r w:rsidRPr="002B1800">
        <w:t>(</w:t>
      </w:r>
      <w:proofErr w:type="spellStart"/>
      <w:r w:rsidRPr="002B1800">
        <w:t>Cth</w:t>
      </w:r>
      <w:proofErr w:type="spellEnd"/>
      <w:r w:rsidRPr="002B1800">
        <w:t>) for a submission marked ‘confidential’ to be made available will be determined in accordance with that Act.</w:t>
      </w:r>
    </w:p>
    <w:p w14:paraId="431911C6" w14:textId="43D021E0" w:rsidR="000E0B74" w:rsidRDefault="000E0B74" w:rsidP="00257AEE">
      <w:pPr>
        <w:pStyle w:val="Heading3noTOC"/>
      </w:pPr>
      <w:r>
        <w:t xml:space="preserve">Closing date for submissions: </w:t>
      </w:r>
      <w:sdt>
        <w:sdtPr>
          <w:rPr>
            <w:rStyle w:val="Heading3Char"/>
          </w:rPr>
          <w:id w:val="1454836312"/>
          <w:placeholder>
            <w:docPart w:val="82F03BD1CA6F4589AE640EF67383BD9D"/>
          </w:placeholder>
          <w:date w:fullDate="2018-11-21T00:00:00Z">
            <w:dateFormat w:val="dd MMMM yyyy"/>
            <w:lid w:val="en-AU"/>
            <w:storeMappedDataAs w:val="dateTime"/>
            <w:calendar w:val="gregorian"/>
          </w:date>
        </w:sdtPr>
        <w:sdtEndPr>
          <w:rPr>
            <w:rStyle w:val="DefaultParagraphFont"/>
            <w:rFonts w:cs="Calibri"/>
          </w:rPr>
        </w:sdtEndPr>
        <w:sdtContent>
          <w:r w:rsidR="00EA6680">
            <w:rPr>
              <w:rStyle w:val="Heading3Char"/>
            </w:rPr>
            <w:t>21 November 2018</w:t>
          </w:r>
        </w:sdtContent>
      </w:sdt>
    </w:p>
    <w:tbl>
      <w:tblPr>
        <w:tblStyle w:val="TableGrid"/>
        <w:tblW w:w="0" w:type="auto"/>
        <w:tblLook w:val="04A0" w:firstRow="1" w:lastRow="0" w:firstColumn="1" w:lastColumn="0" w:noHBand="0" w:noVBand="1"/>
      </w:tblPr>
      <w:tblGrid>
        <w:gridCol w:w="1526"/>
        <w:gridCol w:w="7654"/>
      </w:tblGrid>
      <w:tr w:rsidR="000E0B74" w:rsidRPr="00B85F47" w14:paraId="6E23274E" w14:textId="77777777" w:rsidTr="00B85F47">
        <w:tc>
          <w:tcPr>
            <w:tcW w:w="1526" w:type="dxa"/>
            <w:shd w:val="clear" w:color="auto" w:fill="auto"/>
          </w:tcPr>
          <w:p w14:paraId="33CBBFF5"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2A8FEA7B" w14:textId="7B5B6DE7" w:rsidR="000E0B74" w:rsidRPr="00B85F47" w:rsidRDefault="00260414" w:rsidP="006B0619">
            <w:pPr>
              <w:rPr>
                <w:sz w:val="22"/>
                <w:szCs w:val="22"/>
              </w:rPr>
            </w:pPr>
            <w:hyperlink r:id="rId28" w:history="1">
              <w:r w:rsidR="006B0619" w:rsidRPr="005E03EA">
                <w:rPr>
                  <w:rStyle w:val="Hyperlink"/>
                  <w:szCs w:val="22"/>
                </w:rPr>
                <w:t>Div7A@treasury.gov.au</w:t>
              </w:r>
            </w:hyperlink>
          </w:p>
        </w:tc>
      </w:tr>
      <w:tr w:rsidR="000E0B74" w:rsidRPr="00B85F47" w14:paraId="045D0921" w14:textId="77777777" w:rsidTr="00B85F47">
        <w:tc>
          <w:tcPr>
            <w:tcW w:w="1526" w:type="dxa"/>
            <w:shd w:val="clear" w:color="auto" w:fill="auto"/>
          </w:tcPr>
          <w:p w14:paraId="55A7C522" w14:textId="77777777" w:rsidR="000E0B74" w:rsidRPr="00B85F47" w:rsidRDefault="000E0B74" w:rsidP="0017089D">
            <w:pPr>
              <w:rPr>
                <w:sz w:val="22"/>
                <w:szCs w:val="22"/>
              </w:rPr>
            </w:pPr>
            <w:r w:rsidRPr="00B85F47">
              <w:rPr>
                <w:sz w:val="22"/>
                <w:szCs w:val="22"/>
              </w:rPr>
              <w:t>Mail</w:t>
            </w:r>
          </w:p>
          <w:p w14:paraId="2042957A" w14:textId="77777777" w:rsidR="008D7F38" w:rsidRPr="00B85F47" w:rsidRDefault="008D7F38" w:rsidP="0017089D">
            <w:pPr>
              <w:rPr>
                <w:sz w:val="22"/>
                <w:szCs w:val="22"/>
              </w:rPr>
            </w:pPr>
          </w:p>
          <w:p w14:paraId="356D20EB" w14:textId="77777777" w:rsidR="008D7F38" w:rsidRPr="00B85F47" w:rsidRDefault="008D7F38" w:rsidP="0017089D">
            <w:pPr>
              <w:rPr>
                <w:sz w:val="22"/>
                <w:szCs w:val="22"/>
              </w:rPr>
            </w:pPr>
          </w:p>
        </w:tc>
        <w:tc>
          <w:tcPr>
            <w:tcW w:w="7654" w:type="dxa"/>
            <w:shd w:val="clear" w:color="auto" w:fill="auto"/>
          </w:tcPr>
          <w:p w14:paraId="14A5D0AF" w14:textId="58447432" w:rsidR="00647DEF" w:rsidRDefault="00647DEF" w:rsidP="0017089D">
            <w:pPr>
              <w:pStyle w:val="SingleParagraph"/>
              <w:rPr>
                <w:sz w:val="22"/>
                <w:szCs w:val="22"/>
              </w:rPr>
            </w:pPr>
            <w:r>
              <w:rPr>
                <w:sz w:val="22"/>
                <w:szCs w:val="22"/>
              </w:rPr>
              <w:t>Senior Advisor</w:t>
            </w:r>
          </w:p>
          <w:p w14:paraId="00178509" w14:textId="53CB174E" w:rsidR="000E0B74" w:rsidRPr="003B51F1" w:rsidRDefault="00C748FA" w:rsidP="0017089D">
            <w:pPr>
              <w:pStyle w:val="SingleParagraph"/>
              <w:rPr>
                <w:sz w:val="22"/>
                <w:szCs w:val="22"/>
              </w:rPr>
            </w:pPr>
            <w:r w:rsidRPr="003B51F1">
              <w:rPr>
                <w:sz w:val="22"/>
                <w:szCs w:val="22"/>
              </w:rPr>
              <w:t>Small Business Entities &amp; Industry Concessions Unit</w:t>
            </w:r>
          </w:p>
          <w:p w14:paraId="215766BD" w14:textId="77777777" w:rsidR="000E0B74" w:rsidRPr="003B51F1" w:rsidRDefault="000E0B74" w:rsidP="0017089D">
            <w:pPr>
              <w:pStyle w:val="SingleParagraph"/>
              <w:rPr>
                <w:sz w:val="22"/>
                <w:szCs w:val="22"/>
              </w:rPr>
            </w:pPr>
            <w:r w:rsidRPr="003B51F1">
              <w:rPr>
                <w:sz w:val="22"/>
                <w:szCs w:val="22"/>
              </w:rPr>
              <w:t>The Treasury</w:t>
            </w:r>
          </w:p>
          <w:p w14:paraId="310D2A8B" w14:textId="77777777" w:rsidR="000E0B74" w:rsidRPr="003B51F1" w:rsidRDefault="000E0B74" w:rsidP="0017089D">
            <w:pPr>
              <w:pStyle w:val="SingleParagraph"/>
              <w:rPr>
                <w:sz w:val="22"/>
                <w:szCs w:val="22"/>
              </w:rPr>
            </w:pPr>
            <w:r w:rsidRPr="003B51F1">
              <w:rPr>
                <w:sz w:val="22"/>
                <w:szCs w:val="22"/>
              </w:rPr>
              <w:t>Langton Crescent</w:t>
            </w:r>
          </w:p>
          <w:p w14:paraId="6125DB5A"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9D48F98" w14:textId="77777777" w:rsidTr="00B85F47">
        <w:tc>
          <w:tcPr>
            <w:tcW w:w="1526" w:type="dxa"/>
            <w:shd w:val="clear" w:color="auto" w:fill="auto"/>
          </w:tcPr>
          <w:p w14:paraId="0033ED04"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63186481" w14:textId="097761A1" w:rsidR="000E0B74" w:rsidRPr="00B85F47" w:rsidRDefault="000E0B74" w:rsidP="00FD772D">
            <w:pPr>
              <w:rPr>
                <w:sz w:val="22"/>
                <w:szCs w:val="22"/>
              </w:rPr>
            </w:pPr>
            <w:r w:rsidRPr="00B85F47">
              <w:rPr>
                <w:rFonts w:cs="Arial"/>
                <w:sz w:val="22"/>
                <w:szCs w:val="22"/>
              </w:rPr>
              <w:t xml:space="preserve">Enquiries can be initially directed to </w:t>
            </w:r>
            <w:r w:rsidR="00FD772D">
              <w:rPr>
                <w:rFonts w:cs="Arial"/>
                <w:sz w:val="22"/>
                <w:szCs w:val="22"/>
              </w:rPr>
              <w:t>Gregory Derlacz</w:t>
            </w:r>
          </w:p>
        </w:tc>
      </w:tr>
      <w:tr w:rsidR="000E0B74" w:rsidRPr="00B85F47" w14:paraId="13E1B700" w14:textId="77777777" w:rsidTr="00B85F47">
        <w:tc>
          <w:tcPr>
            <w:tcW w:w="1526" w:type="dxa"/>
            <w:shd w:val="clear" w:color="auto" w:fill="auto"/>
          </w:tcPr>
          <w:p w14:paraId="2A957D35"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43F11C91" w14:textId="189BDCE3" w:rsidR="000E0B74" w:rsidRPr="00B85F47" w:rsidRDefault="000E0B74" w:rsidP="00FD772D">
            <w:pPr>
              <w:rPr>
                <w:sz w:val="22"/>
                <w:szCs w:val="22"/>
              </w:rPr>
            </w:pPr>
            <w:r w:rsidRPr="00B85F47">
              <w:rPr>
                <w:rFonts w:cs="Arial"/>
                <w:sz w:val="22"/>
                <w:szCs w:val="22"/>
              </w:rPr>
              <w:t xml:space="preserve">02 6263 </w:t>
            </w:r>
            <w:r w:rsidR="00FD772D">
              <w:rPr>
                <w:rFonts w:cs="Arial"/>
                <w:sz w:val="22"/>
                <w:szCs w:val="22"/>
              </w:rPr>
              <w:t>4145</w:t>
            </w:r>
          </w:p>
        </w:tc>
      </w:tr>
      <w:bookmarkEnd w:id="3"/>
    </w:tbl>
    <w:p w14:paraId="31C1CC44" w14:textId="77777777" w:rsidR="00A459BB" w:rsidRDefault="00A459BB" w:rsidP="0007102C">
      <w:pPr>
        <w:sectPr w:rsidR="00A459BB" w:rsidSect="00230CF4">
          <w:headerReference w:type="even" r:id="rId29"/>
          <w:headerReference w:type="default" r:id="rId30"/>
          <w:footerReference w:type="even" r:id="rId31"/>
          <w:footerReference w:type="default" r:id="rId32"/>
          <w:headerReference w:type="first" r:id="rId33"/>
          <w:footerReference w:type="first" r:id="rId34"/>
          <w:type w:val="oddPage"/>
          <w:pgSz w:w="11906" w:h="16838" w:code="9"/>
          <w:pgMar w:top="1418" w:right="1418" w:bottom="1418" w:left="1418" w:header="709" w:footer="709" w:gutter="0"/>
          <w:pgNumType w:start="1"/>
          <w:cols w:space="708"/>
          <w:docGrid w:linePitch="360"/>
        </w:sectPr>
      </w:pPr>
    </w:p>
    <w:p w14:paraId="01B8EE18" w14:textId="76F2D4FB" w:rsidR="000E0B74" w:rsidRDefault="001B5580" w:rsidP="000E0B74">
      <w:pPr>
        <w:pStyle w:val="Heading1"/>
      </w:pPr>
      <w:bookmarkStart w:id="5" w:name="_Toc525813289"/>
      <w:r>
        <w:t>Background: Division 7A</w:t>
      </w:r>
      <w:bookmarkEnd w:id="5"/>
    </w:p>
    <w:p w14:paraId="2E92C186" w14:textId="5F0CC696" w:rsidR="000E0B74" w:rsidRDefault="001B5580" w:rsidP="000E0B74">
      <w:pPr>
        <w:pStyle w:val="Heading2"/>
      </w:pPr>
      <w:bookmarkStart w:id="6" w:name="_Toc525813290"/>
      <w:r>
        <w:t>Policy intent</w:t>
      </w:r>
      <w:bookmarkEnd w:id="6"/>
    </w:p>
    <w:p w14:paraId="640A52C9" w14:textId="28C891EE" w:rsidR="001B5580" w:rsidRDefault="001B5580" w:rsidP="001B5580">
      <w:pPr>
        <w:pStyle w:val="OutlineNumbered1"/>
        <w:numPr>
          <w:ilvl w:val="0"/>
          <w:numId w:val="0"/>
        </w:numPr>
        <w:jc w:val="both"/>
        <w:rPr>
          <w:rFonts w:asciiTheme="minorHAnsi" w:hAnsiTheme="minorHAnsi"/>
          <w:szCs w:val="22"/>
        </w:rPr>
      </w:pPr>
      <w:bookmarkStart w:id="7" w:name="_Toc306887372"/>
      <w:bookmarkStart w:id="8" w:name="_Toc432064636"/>
      <w:r w:rsidRPr="00D867AD">
        <w:rPr>
          <w:rFonts w:asciiTheme="minorHAnsi" w:hAnsiTheme="minorHAnsi"/>
          <w:szCs w:val="22"/>
        </w:rPr>
        <w:t>Division 7A of</w:t>
      </w:r>
      <w:r w:rsidR="003D0808">
        <w:rPr>
          <w:rFonts w:asciiTheme="minorHAnsi" w:hAnsiTheme="minorHAnsi"/>
          <w:szCs w:val="22"/>
        </w:rPr>
        <w:t xml:space="preserve"> Part III</w:t>
      </w:r>
      <w:r w:rsidRPr="00D867AD">
        <w:rPr>
          <w:rFonts w:asciiTheme="minorHAnsi" w:hAnsiTheme="minorHAnsi"/>
          <w:szCs w:val="22"/>
        </w:rPr>
        <w:t xml:space="preserve"> the </w:t>
      </w:r>
      <w:r w:rsidRPr="004E5A9A">
        <w:rPr>
          <w:rFonts w:asciiTheme="minorHAnsi" w:hAnsiTheme="minorHAnsi"/>
          <w:i/>
          <w:szCs w:val="22"/>
        </w:rPr>
        <w:t>Income Tax Assessment Act 1936</w:t>
      </w:r>
      <w:r>
        <w:rPr>
          <w:rStyle w:val="FootnoteReference"/>
          <w:i/>
          <w:szCs w:val="22"/>
        </w:rPr>
        <w:footnoteReference w:id="2"/>
      </w:r>
      <w:r w:rsidRPr="00D867AD">
        <w:rPr>
          <w:rFonts w:asciiTheme="minorHAnsi" w:hAnsiTheme="minorHAnsi"/>
          <w:szCs w:val="22"/>
        </w:rPr>
        <w:t xml:space="preserve"> is an integrity </w:t>
      </w:r>
      <w:r>
        <w:rPr>
          <w:rFonts w:asciiTheme="minorHAnsi" w:hAnsiTheme="minorHAnsi"/>
          <w:szCs w:val="22"/>
        </w:rPr>
        <w:t>rule that is intended to protect the operation of the progressive personal income tax system and ensure taxpayers cannot access funds that have</w:t>
      </w:r>
      <w:r w:rsidR="00323B9C">
        <w:rPr>
          <w:rFonts w:asciiTheme="minorHAnsi" w:hAnsiTheme="minorHAnsi"/>
          <w:szCs w:val="22"/>
        </w:rPr>
        <w:t xml:space="preserve"> not</w:t>
      </w:r>
      <w:r>
        <w:rPr>
          <w:rFonts w:asciiTheme="minorHAnsi" w:hAnsiTheme="minorHAnsi"/>
          <w:szCs w:val="22"/>
        </w:rPr>
        <w:t xml:space="preserve"> been taxed </w:t>
      </w:r>
      <w:r w:rsidR="00323B9C">
        <w:rPr>
          <w:rFonts w:asciiTheme="minorHAnsi" w:hAnsiTheme="minorHAnsi"/>
          <w:szCs w:val="22"/>
        </w:rPr>
        <w:t xml:space="preserve">at </w:t>
      </w:r>
      <w:r>
        <w:rPr>
          <w:rFonts w:asciiTheme="minorHAnsi" w:hAnsiTheme="minorHAnsi"/>
          <w:szCs w:val="22"/>
        </w:rPr>
        <w:t>their applicable marginal tax rate</w:t>
      </w:r>
      <w:r w:rsidR="00323B9C">
        <w:rPr>
          <w:rFonts w:asciiTheme="minorHAnsi" w:hAnsiTheme="minorHAnsi"/>
          <w:szCs w:val="22"/>
        </w:rPr>
        <w:t>s</w:t>
      </w:r>
      <w:r>
        <w:rPr>
          <w:rFonts w:asciiTheme="minorHAnsi" w:hAnsiTheme="minorHAnsi"/>
          <w:szCs w:val="22"/>
        </w:rPr>
        <w:t xml:space="preserve"> for the year</w:t>
      </w:r>
      <w:r w:rsidR="00323B9C">
        <w:rPr>
          <w:rFonts w:asciiTheme="minorHAnsi" w:hAnsiTheme="minorHAnsi"/>
          <w:szCs w:val="22"/>
        </w:rPr>
        <w:t xml:space="preserve"> (e.g.</w:t>
      </w:r>
      <w:r w:rsidR="001209E2">
        <w:rPr>
          <w:rFonts w:asciiTheme="minorHAnsi" w:hAnsiTheme="minorHAnsi"/>
          <w:szCs w:val="22"/>
        </w:rPr>
        <w:t> </w:t>
      </w:r>
      <w:r w:rsidR="00323B9C">
        <w:rPr>
          <w:rFonts w:asciiTheme="minorHAnsi" w:hAnsiTheme="minorHAnsi"/>
          <w:szCs w:val="22"/>
        </w:rPr>
        <w:t>amounts taxed at the corporate tax rate)</w:t>
      </w:r>
      <w:r>
        <w:rPr>
          <w:rFonts w:asciiTheme="minorHAnsi" w:hAnsiTheme="minorHAnsi"/>
          <w:szCs w:val="22"/>
        </w:rPr>
        <w:t>. Division 7A applies to shareholders of private companies and their associates, which</w:t>
      </w:r>
      <w:r w:rsidR="00F64AA8">
        <w:rPr>
          <w:rFonts w:asciiTheme="minorHAnsi" w:hAnsiTheme="minorHAnsi"/>
          <w:szCs w:val="22"/>
        </w:rPr>
        <w:t xml:space="preserve"> may</w:t>
      </w:r>
      <w:r>
        <w:rPr>
          <w:rFonts w:asciiTheme="minorHAnsi" w:hAnsiTheme="minorHAnsi"/>
          <w:szCs w:val="22"/>
        </w:rPr>
        <w:t xml:space="preserve"> include other individuals or trusts.</w:t>
      </w:r>
    </w:p>
    <w:p w14:paraId="7B16C7CD" w14:textId="7EFF3F83" w:rsidR="001B5580" w:rsidRDefault="001B5580" w:rsidP="001B5580">
      <w:r>
        <w:t>In most cases</w:t>
      </w:r>
      <w:r w:rsidRPr="00A11C02">
        <w:t>,</w:t>
      </w:r>
      <w:r>
        <w:t xml:space="preserve"> a</w:t>
      </w:r>
      <w:r w:rsidRPr="00A11C02">
        <w:t xml:space="preserve"> private company </w:t>
      </w:r>
      <w:r>
        <w:t xml:space="preserve">will </w:t>
      </w:r>
      <w:r w:rsidR="003D0808">
        <w:t>provide benefits to</w:t>
      </w:r>
      <w:r>
        <w:t xml:space="preserve"> </w:t>
      </w:r>
      <w:r w:rsidRPr="00A11C02">
        <w:t xml:space="preserve">shareholders </w:t>
      </w:r>
      <w:r w:rsidR="001209E2">
        <w:t>(or</w:t>
      </w:r>
      <w:r w:rsidRPr="00A11C02">
        <w:t xml:space="preserve"> their associates</w:t>
      </w:r>
      <w:r w:rsidR="001209E2">
        <w:t>)</w:t>
      </w:r>
      <w:r w:rsidR="003D0808">
        <w:t xml:space="preserve"> through the payment of dividends or compensate them for services rendered</w:t>
      </w:r>
      <w:r w:rsidRPr="00A11C02">
        <w:t xml:space="preserve"> by way of wages, direc</w:t>
      </w:r>
      <w:r>
        <w:t xml:space="preserve">tor’s fees or </w:t>
      </w:r>
      <w:r w:rsidR="003D0808">
        <w:t>similar forms of remuneration</w:t>
      </w:r>
      <w:r w:rsidR="00F64AA8">
        <w:t>,</w:t>
      </w:r>
      <w:r>
        <w:t xml:space="preserve"> which are taxable as income in the h</w:t>
      </w:r>
      <w:r w:rsidR="001209E2">
        <w:t>ands of the recipient. Division </w:t>
      </w:r>
      <w:r>
        <w:t>7A does not apply to these arrangements</w:t>
      </w:r>
    </w:p>
    <w:p w14:paraId="33FBFB0F" w14:textId="36FBDF3A" w:rsidR="001B5580" w:rsidRDefault="001B5580" w:rsidP="001B5580">
      <w:r w:rsidRPr="00A11C02">
        <w:t xml:space="preserve">However, </w:t>
      </w:r>
      <w:r>
        <w:t xml:space="preserve">if the company makes other payments, provides assets for private use or loans money to shareholders (or their associates), </w:t>
      </w:r>
      <w:r w:rsidRPr="00A11C02">
        <w:t xml:space="preserve">then Division 7A </w:t>
      </w:r>
      <w:r>
        <w:t xml:space="preserve">may apply to treat these amounts as unfranked dividends, which are taxable in the hands of the recipient. This results in tax being paid at the applicable marginal tax rate for the recipient, </w:t>
      </w:r>
      <w:r w:rsidRPr="00A11C02">
        <w:t xml:space="preserve">unless certain exemptions </w:t>
      </w:r>
      <w:r>
        <w:t xml:space="preserve">apply (i.e. </w:t>
      </w:r>
      <w:r w:rsidRPr="00A11C02">
        <w:t>converting the amount into a complying loan</w:t>
      </w:r>
      <w:r w:rsidR="006358E7">
        <w:t>).</w:t>
      </w:r>
    </w:p>
    <w:p w14:paraId="3D424E1F" w14:textId="0BDE4308" w:rsidR="000E0B74" w:rsidRDefault="001B5580" w:rsidP="000E0B74">
      <w:pPr>
        <w:pStyle w:val="Heading2"/>
      </w:pPr>
      <w:bookmarkStart w:id="9" w:name="_Toc525813291"/>
      <w:bookmarkEnd w:id="7"/>
      <w:bookmarkEnd w:id="8"/>
      <w:r>
        <w:t>Board of Tax</w:t>
      </w:r>
      <w:r w:rsidR="003D0808">
        <w:t>ation</w:t>
      </w:r>
      <w:r>
        <w:t xml:space="preserve"> </w:t>
      </w:r>
      <w:r w:rsidR="00481B8B">
        <w:t>r</w:t>
      </w:r>
      <w:r>
        <w:t>eview</w:t>
      </w:r>
      <w:bookmarkEnd w:id="9"/>
    </w:p>
    <w:p w14:paraId="564EAB62" w14:textId="77777777" w:rsidR="001B5580" w:rsidRDefault="001B5580" w:rsidP="001B5580">
      <w:pPr>
        <w:jc w:val="both"/>
        <w:rPr>
          <w:rFonts w:eastAsia="Calibri"/>
        </w:rPr>
      </w:pPr>
      <w:bookmarkStart w:id="10" w:name="_Toc306887373"/>
      <w:bookmarkStart w:id="11" w:name="_Toc432064637"/>
      <w:r>
        <w:rPr>
          <w:rFonts w:eastAsia="Calibri"/>
        </w:rPr>
        <w:t xml:space="preserve">In May 2012, the Board of Taxation (Board) was commissioned by the Government to undertake a </w:t>
      </w:r>
      <w:r w:rsidRPr="00385E8F">
        <w:rPr>
          <w:rFonts w:eastAsia="Calibri"/>
        </w:rPr>
        <w:t>Post Implementation Review of Division 7A to determine whether Division 7A was operating in line</w:t>
      </w:r>
      <w:r>
        <w:rPr>
          <w:rFonts w:eastAsia="Calibri"/>
        </w:rPr>
        <w:t xml:space="preserve"> with its policy intent.</w:t>
      </w:r>
    </w:p>
    <w:p w14:paraId="2311C298" w14:textId="54544BC2" w:rsidR="001B5580" w:rsidRPr="000812B4" w:rsidRDefault="001B5580" w:rsidP="001B5580">
      <w:pPr>
        <w:jc w:val="both"/>
        <w:rPr>
          <w:rFonts w:eastAsia="Calibri"/>
        </w:rPr>
      </w:pPr>
      <w:r>
        <w:rPr>
          <w:rFonts w:eastAsia="Calibri"/>
        </w:rPr>
        <w:t xml:space="preserve">The Board’s first discussion paper was released in December 2012. In November 2013, the terms of reference were extended to include consideration of Division 7A in the context of the broader tax framework. A second discussion paper was released in March 2014. The </w:t>
      </w:r>
      <w:r w:rsidRPr="000812B4">
        <w:rPr>
          <w:rFonts w:eastAsia="Calibri"/>
        </w:rPr>
        <w:t>Board</w:t>
      </w:r>
      <w:r>
        <w:rPr>
          <w:rFonts w:eastAsia="Calibri"/>
        </w:rPr>
        <w:t xml:space="preserve"> then </w:t>
      </w:r>
      <w:r w:rsidRPr="000812B4">
        <w:rPr>
          <w:rFonts w:eastAsia="Calibri"/>
        </w:rPr>
        <w:t xml:space="preserve">provided its </w:t>
      </w:r>
      <w:r w:rsidR="001209E2">
        <w:rPr>
          <w:rFonts w:eastAsia="Calibri"/>
        </w:rPr>
        <w:t xml:space="preserve">final </w:t>
      </w:r>
      <w:r w:rsidRPr="000812B4">
        <w:rPr>
          <w:rFonts w:eastAsia="Calibri"/>
        </w:rPr>
        <w:t>report to the Government in November</w:t>
      </w:r>
      <w:r>
        <w:rPr>
          <w:rFonts w:eastAsia="Calibri"/>
        </w:rPr>
        <w:t xml:space="preserve"> 2014.</w:t>
      </w:r>
    </w:p>
    <w:p w14:paraId="7B62FB96" w14:textId="225492CE" w:rsidR="001B5580" w:rsidRDefault="001B5580" w:rsidP="001B5580">
      <w:pPr>
        <w:jc w:val="both"/>
        <w:rPr>
          <w:rFonts w:eastAsia="Calibri"/>
        </w:rPr>
      </w:pPr>
      <w:r w:rsidRPr="001569B4">
        <w:rPr>
          <w:rFonts w:eastAsia="Calibri"/>
        </w:rPr>
        <w:t xml:space="preserve">The Board found that the Division 7A </w:t>
      </w:r>
      <w:r>
        <w:rPr>
          <w:rFonts w:eastAsia="Calibri"/>
        </w:rPr>
        <w:t xml:space="preserve">rules </w:t>
      </w:r>
      <w:r w:rsidRPr="001569B4">
        <w:rPr>
          <w:rFonts w:eastAsia="Calibri"/>
        </w:rPr>
        <w:t>are complex, inflexible, and impose significant compliance costs on taxpayers</w:t>
      </w:r>
      <w:r>
        <w:rPr>
          <w:rFonts w:eastAsia="Calibri"/>
        </w:rPr>
        <w:t xml:space="preserve">, including </w:t>
      </w:r>
      <w:r w:rsidRPr="001569B4">
        <w:rPr>
          <w:rFonts w:eastAsia="Calibri"/>
        </w:rPr>
        <w:t>many small businesses</w:t>
      </w:r>
      <w:r>
        <w:rPr>
          <w:rFonts w:eastAsia="Calibri"/>
        </w:rPr>
        <w:t xml:space="preserve"> </w:t>
      </w:r>
      <w:r w:rsidR="00385E8F">
        <w:rPr>
          <w:rFonts w:eastAsia="Calibri"/>
        </w:rPr>
        <w:t>that</w:t>
      </w:r>
      <w:r>
        <w:rPr>
          <w:rFonts w:eastAsia="Calibri"/>
        </w:rPr>
        <w:t xml:space="preserve"> find the rules difficult to comply with</w:t>
      </w:r>
      <w:r w:rsidR="006358E7">
        <w:rPr>
          <w:rFonts w:eastAsia="Calibri"/>
        </w:rPr>
        <w:t>.</w:t>
      </w:r>
    </w:p>
    <w:p w14:paraId="1F5A9671" w14:textId="60B53540" w:rsidR="001B5580" w:rsidRDefault="001B5580" w:rsidP="001B5580">
      <w:pPr>
        <w:jc w:val="both"/>
        <w:rPr>
          <w:rFonts w:eastAsia="Calibri"/>
        </w:rPr>
      </w:pPr>
      <w:r>
        <w:rPr>
          <w:rFonts w:eastAsia="Calibri"/>
        </w:rPr>
        <w:t>The Board also found that ma</w:t>
      </w:r>
      <w:r w:rsidRPr="001B1605">
        <w:rPr>
          <w:rFonts w:eastAsia="Calibri"/>
        </w:rPr>
        <w:t xml:space="preserve">ny taxpayers may not be aware of the </w:t>
      </w:r>
      <w:r>
        <w:rPr>
          <w:rFonts w:eastAsia="Calibri"/>
        </w:rPr>
        <w:t xml:space="preserve">impact or operation of the </w:t>
      </w:r>
      <w:r w:rsidRPr="001B1605">
        <w:rPr>
          <w:rFonts w:eastAsia="Calibri"/>
        </w:rPr>
        <w:t>rules until they receive tax advice</w:t>
      </w:r>
      <w:r>
        <w:rPr>
          <w:rFonts w:eastAsia="Calibri"/>
        </w:rPr>
        <w:t xml:space="preserve"> </w:t>
      </w:r>
      <w:r w:rsidRPr="001B1605">
        <w:rPr>
          <w:rFonts w:eastAsia="Calibri"/>
        </w:rPr>
        <w:t>when they are preparing their annual</w:t>
      </w:r>
      <w:r>
        <w:rPr>
          <w:rFonts w:eastAsia="Calibri"/>
        </w:rPr>
        <w:t xml:space="preserve"> income </w:t>
      </w:r>
      <w:r w:rsidRPr="001B1605">
        <w:rPr>
          <w:rFonts w:eastAsia="Calibri"/>
        </w:rPr>
        <w:t>tax return</w:t>
      </w:r>
      <w:r>
        <w:rPr>
          <w:rFonts w:eastAsia="Calibri"/>
        </w:rPr>
        <w:t xml:space="preserve"> and </w:t>
      </w:r>
      <w:r w:rsidR="003D0808">
        <w:rPr>
          <w:rFonts w:eastAsia="Calibri"/>
        </w:rPr>
        <w:t>considered</w:t>
      </w:r>
      <w:r>
        <w:rPr>
          <w:rFonts w:eastAsia="Calibri"/>
        </w:rPr>
        <w:t xml:space="preserve"> that </w:t>
      </w:r>
      <w:r w:rsidRPr="001B1605">
        <w:rPr>
          <w:rFonts w:eastAsia="Calibri"/>
        </w:rPr>
        <w:t>taxpayers</w:t>
      </w:r>
      <w:r>
        <w:rPr>
          <w:rFonts w:eastAsia="Calibri"/>
        </w:rPr>
        <w:t xml:space="preserve"> who intended to comply with the law</w:t>
      </w:r>
      <w:r w:rsidRPr="001B1605">
        <w:rPr>
          <w:rFonts w:eastAsia="Calibri"/>
        </w:rPr>
        <w:t xml:space="preserve"> </w:t>
      </w:r>
      <w:r>
        <w:rPr>
          <w:rFonts w:eastAsia="Calibri"/>
        </w:rPr>
        <w:t>may inadvertently fail to comply with the rules</w:t>
      </w:r>
      <w:r w:rsidRPr="001B1605">
        <w:rPr>
          <w:rFonts w:eastAsia="Calibri"/>
        </w:rPr>
        <w:t>.</w:t>
      </w:r>
    </w:p>
    <w:p w14:paraId="714A2492" w14:textId="77777777" w:rsidR="001B5580" w:rsidRDefault="001B5580" w:rsidP="001B5580">
      <w:pPr>
        <w:jc w:val="both"/>
        <w:rPr>
          <w:rFonts w:eastAsia="Calibri"/>
        </w:rPr>
      </w:pPr>
      <w:r>
        <w:t>In its final report, t</w:t>
      </w:r>
      <w:r w:rsidRPr="000B0F6C">
        <w:rPr>
          <w:rFonts w:eastAsia="Calibri"/>
          <w:bCs/>
        </w:rPr>
        <w:t>he Board explored ways of making Division 7A simpler, easier to comply with and more robust</w:t>
      </w:r>
      <w:r>
        <w:rPr>
          <w:rFonts w:eastAsia="Calibri"/>
          <w:bCs/>
        </w:rPr>
        <w:t xml:space="preserve"> and m</w:t>
      </w:r>
      <w:r>
        <w:rPr>
          <w:rFonts w:eastAsia="Calibri"/>
        </w:rPr>
        <w:t xml:space="preserve">ade a number of recommendations in this regard. The recommendations are listed at </w:t>
      </w:r>
      <w:r w:rsidRPr="00AC08D2">
        <w:rPr>
          <w:rFonts w:eastAsia="Calibri"/>
        </w:rPr>
        <w:t>Appendix A</w:t>
      </w:r>
      <w:r>
        <w:rPr>
          <w:rFonts w:eastAsia="Calibri"/>
        </w:rPr>
        <w:t>.</w:t>
      </w:r>
    </w:p>
    <w:p w14:paraId="445061A1" w14:textId="2B81CFE8" w:rsidR="000E0B74" w:rsidRDefault="00045903" w:rsidP="000E0B74">
      <w:pPr>
        <w:pStyle w:val="Heading2"/>
      </w:pPr>
      <w:bookmarkStart w:id="12" w:name="_Toc525813292"/>
      <w:bookmarkEnd w:id="10"/>
      <w:bookmarkEnd w:id="11"/>
      <w:r>
        <w:t>Gover</w:t>
      </w:r>
      <w:r w:rsidR="00ED7016">
        <w:t>n</w:t>
      </w:r>
      <w:r>
        <w:t>ment’s response</w:t>
      </w:r>
      <w:bookmarkEnd w:id="12"/>
    </w:p>
    <w:p w14:paraId="294AFEE3" w14:textId="3963DB0B" w:rsidR="001B5580" w:rsidRDefault="001B5580" w:rsidP="004D52D2">
      <w:pPr>
        <w:jc w:val="both"/>
      </w:pPr>
      <w:r>
        <w:t>The Board’s final report made far</w:t>
      </w:r>
      <w:r w:rsidR="00385E8F">
        <w:t>-</w:t>
      </w:r>
      <w:r>
        <w:t>ranging recommendations in relation to the operation of Division</w:t>
      </w:r>
      <w:r w:rsidR="00F64AA8">
        <w:t> </w:t>
      </w:r>
      <w:r w:rsidR="006358E7">
        <w:t>7A.</w:t>
      </w:r>
    </w:p>
    <w:p w14:paraId="3D210C8D" w14:textId="195EE138" w:rsidR="001B5580" w:rsidRPr="00B5448B" w:rsidRDefault="001B5580" w:rsidP="004D52D2">
      <w:pPr>
        <w:jc w:val="both"/>
        <w:rPr>
          <w:rFonts w:eastAsia="Calibri"/>
        </w:rPr>
      </w:pPr>
      <w:r>
        <w:t>The Government’s response makes a number of enhancements</w:t>
      </w:r>
      <w:r w:rsidR="00ED7016">
        <w:t xml:space="preserve"> to Division 7A</w:t>
      </w:r>
      <w:r>
        <w:t>, drawing on some of the Board’s observations and recommendations to improve the operation of Division 7A and address stakeholder concerns.</w:t>
      </w:r>
      <w:r w:rsidR="00720350">
        <w:t xml:space="preserve"> The amendments will comprise:</w:t>
      </w:r>
    </w:p>
    <w:p w14:paraId="60E26DED" w14:textId="0167F843" w:rsidR="00720350" w:rsidRPr="00735419" w:rsidRDefault="00720350" w:rsidP="00735419">
      <w:pPr>
        <w:pStyle w:val="Bullet"/>
      </w:pPr>
      <w:r w:rsidRPr="00735419">
        <w:t>simplified Division 7A loan rules to make it easier for taxpayers to comply;</w:t>
      </w:r>
    </w:p>
    <w:p w14:paraId="2993A468" w14:textId="77777777" w:rsidR="001B5580" w:rsidRPr="00735419" w:rsidRDefault="001B5580" w:rsidP="00735419">
      <w:pPr>
        <w:pStyle w:val="Bullet"/>
      </w:pPr>
      <w:r w:rsidRPr="00735419">
        <w:t>a self-correction mechanism to assist taxpayers to promptly rectify breaches of Division 7A;</w:t>
      </w:r>
    </w:p>
    <w:p w14:paraId="2016FFE0" w14:textId="7EF56500" w:rsidR="001B5580" w:rsidRPr="00735419" w:rsidRDefault="001B5580" w:rsidP="00735419">
      <w:pPr>
        <w:pStyle w:val="Bullet"/>
      </w:pPr>
      <w:r w:rsidRPr="00735419">
        <w:t>safe harbour rules for the use of assets to provide certainty and simplify compliance for taxpayers;</w:t>
      </w:r>
    </w:p>
    <w:p w14:paraId="6383791B" w14:textId="57BFFEF6" w:rsidR="00323B9C" w:rsidRPr="00735419" w:rsidRDefault="001B5580" w:rsidP="00735419">
      <w:pPr>
        <w:pStyle w:val="Bullet"/>
      </w:pPr>
      <w:r w:rsidRPr="00735419">
        <w:t>technical amendments to improve the integrity and operation of Division 7A while providing increased certainty for taxpayers</w:t>
      </w:r>
      <w:r w:rsidR="00846D77" w:rsidRPr="00735419">
        <w:t>; and</w:t>
      </w:r>
    </w:p>
    <w:p w14:paraId="41736E91" w14:textId="102ADF2A" w:rsidR="004C4F04" w:rsidRPr="00735419" w:rsidRDefault="00323B9C" w:rsidP="00735419">
      <w:pPr>
        <w:pStyle w:val="Bullet"/>
      </w:pPr>
      <w:r w:rsidRPr="00735419">
        <w:t>c</w:t>
      </w:r>
      <w:r w:rsidR="002F3C78" w:rsidRPr="00735419">
        <w:t>larif</w:t>
      </w:r>
      <w:r w:rsidR="001B1DAD" w:rsidRPr="00735419">
        <w:t>ication</w:t>
      </w:r>
      <w:r w:rsidR="002F3C78" w:rsidRPr="00735419">
        <w:t xml:space="preserve"> that unpaid present entitlements (UPEs) </w:t>
      </w:r>
      <w:r w:rsidR="00D00352" w:rsidRPr="00735419">
        <w:t xml:space="preserve">come </w:t>
      </w:r>
      <w:r w:rsidR="007C0E87" w:rsidRPr="00735419">
        <w:t>within</w:t>
      </w:r>
      <w:r w:rsidR="00735419" w:rsidRPr="00735419">
        <w:t xml:space="preserve"> the scope of Division 7A.</w:t>
      </w:r>
    </w:p>
    <w:p w14:paraId="3FA1D8D6" w14:textId="455E1087" w:rsidR="002F3C78" w:rsidRDefault="00D00352" w:rsidP="004D52D2">
      <w:pPr>
        <w:pStyle w:val="Bullet"/>
        <w:numPr>
          <w:ilvl w:val="0"/>
          <w:numId w:val="0"/>
        </w:numPr>
        <w:spacing w:after="240" w:line="260" w:lineRule="exact"/>
        <w:jc w:val="both"/>
        <w:rPr>
          <w:rFonts w:asciiTheme="minorHAnsi" w:hAnsiTheme="minorHAnsi"/>
          <w:szCs w:val="22"/>
        </w:rPr>
      </w:pPr>
      <w:r>
        <w:rPr>
          <w:rFonts w:asciiTheme="minorHAnsi" w:hAnsiTheme="minorHAnsi"/>
          <w:szCs w:val="22"/>
        </w:rPr>
        <w:t>These amendments will apply from 1 July 2019.</w:t>
      </w:r>
    </w:p>
    <w:p w14:paraId="6B01E024" w14:textId="7BA4FFC0" w:rsidR="001B5580" w:rsidRDefault="001B5580" w:rsidP="00735419">
      <w:pPr>
        <w:jc w:val="both"/>
      </w:pPr>
      <w:r>
        <w:t>The stakeholder submissions received as part of this consultation process will assist in developing the legislation. The Australian Taxation Office (ATO) will provide online tools and administrative guidance to educate taxpayers in relation to the new rules.</w:t>
      </w:r>
      <w:r>
        <w:br w:type="page"/>
      </w:r>
    </w:p>
    <w:p w14:paraId="0267AD86" w14:textId="6DF557AC" w:rsidR="001B5580" w:rsidRDefault="00735419" w:rsidP="001B5580">
      <w:pPr>
        <w:pStyle w:val="Heading1"/>
      </w:pPr>
      <w:bookmarkStart w:id="13" w:name="_Toc525813293"/>
      <w:r>
        <w:t>Simplified loan r</w:t>
      </w:r>
      <w:r w:rsidR="00972232">
        <w:t>ules</w:t>
      </w:r>
      <w:bookmarkEnd w:id="13"/>
    </w:p>
    <w:p w14:paraId="231983CF" w14:textId="6C8AC4C0" w:rsidR="00EB1E95" w:rsidRDefault="004C2C9B" w:rsidP="00EB1E95">
      <w:pPr>
        <w:jc w:val="both"/>
        <w:rPr>
          <w:rFonts w:asciiTheme="minorHAnsi" w:hAnsiTheme="minorHAnsi"/>
          <w:szCs w:val="22"/>
        </w:rPr>
      </w:pPr>
      <w:r>
        <w:rPr>
          <w:rFonts w:asciiTheme="minorHAnsi" w:hAnsiTheme="minorHAnsi"/>
          <w:szCs w:val="22"/>
        </w:rPr>
        <w:t>N</w:t>
      </w:r>
      <w:r w:rsidR="00EB1E95">
        <w:rPr>
          <w:rFonts w:asciiTheme="minorHAnsi" w:hAnsiTheme="minorHAnsi"/>
          <w:szCs w:val="22"/>
        </w:rPr>
        <w:t xml:space="preserve">ew loan rules will be implemented for </w:t>
      </w:r>
      <w:r w:rsidR="00EB1E95">
        <w:t xml:space="preserve">complying Division 7A loans. The loan model will have a </w:t>
      </w:r>
      <w:r w:rsidR="001209E2">
        <w:t xml:space="preserve">maximum </w:t>
      </w:r>
      <w:r w:rsidR="00EB1E95">
        <w:t>term of 10 years with a variable interest rate and payments of both principal and interest in each income year. This is intended to better align with calculations for the repayment of principal and interest loans in commercial transactions. Appropriate transitional rules will also be introduced.</w:t>
      </w:r>
    </w:p>
    <w:p w14:paraId="5E789C35" w14:textId="02650A19" w:rsidR="001B5580" w:rsidRDefault="00472760" w:rsidP="001B5580">
      <w:pPr>
        <w:pStyle w:val="Heading2"/>
      </w:pPr>
      <w:bookmarkStart w:id="14" w:name="_Toc525813294"/>
      <w:r>
        <w:t xml:space="preserve">Single </w:t>
      </w:r>
      <w:r w:rsidR="004D52D2">
        <w:t>10 year loan</w:t>
      </w:r>
      <w:r>
        <w:t xml:space="preserve"> model</w:t>
      </w:r>
      <w:bookmarkEnd w:id="14"/>
    </w:p>
    <w:p w14:paraId="66AA893C" w14:textId="15363FE3" w:rsidR="00EB1E95" w:rsidRDefault="00EB1E95" w:rsidP="00EB1E95">
      <w:pPr>
        <w:jc w:val="both"/>
        <w:rPr>
          <w:rFonts w:asciiTheme="minorHAnsi" w:hAnsiTheme="minorHAnsi"/>
        </w:rPr>
      </w:pPr>
      <w:r>
        <w:rPr>
          <w:rFonts w:asciiTheme="minorHAnsi" w:hAnsiTheme="minorHAnsi"/>
        </w:rPr>
        <w:t xml:space="preserve">Under </w:t>
      </w:r>
      <w:r w:rsidR="003D0808">
        <w:rPr>
          <w:rFonts w:asciiTheme="minorHAnsi" w:hAnsiTheme="minorHAnsi"/>
        </w:rPr>
        <w:t xml:space="preserve">the existing operation of </w:t>
      </w:r>
      <w:r>
        <w:rPr>
          <w:rFonts w:asciiTheme="minorHAnsi" w:hAnsiTheme="minorHAnsi"/>
        </w:rPr>
        <w:t>Division 7A, if a private company provides a benefit to a shareholder (or their associate), the value of that benefit will be treated as if it were a dividend paid by the company, and taxed as income in the hands of the recipient (i.e. the shareholder or their associate) at their marginal tax rate</w:t>
      </w:r>
      <w:r w:rsidR="00735419">
        <w:rPr>
          <w:rFonts w:asciiTheme="minorHAnsi" w:hAnsiTheme="minorHAnsi"/>
        </w:rPr>
        <w:t>s (known as a deemed dividend).</w:t>
      </w:r>
    </w:p>
    <w:p w14:paraId="375FA9D3" w14:textId="1EF526A8" w:rsidR="00EB1E95" w:rsidRDefault="001A6A6A" w:rsidP="00EB1E95">
      <w:pPr>
        <w:jc w:val="both"/>
        <w:rPr>
          <w:rFonts w:asciiTheme="minorHAnsi" w:hAnsiTheme="minorHAnsi"/>
        </w:rPr>
      </w:pPr>
      <w:r>
        <w:rPr>
          <w:rFonts w:asciiTheme="minorHAnsi" w:hAnsiTheme="minorHAnsi"/>
        </w:rPr>
        <w:t>There are a number of exceptions to this general rule. One exception is w</w:t>
      </w:r>
      <w:r w:rsidR="00EB1E95">
        <w:rPr>
          <w:rFonts w:asciiTheme="minorHAnsi" w:hAnsiTheme="minorHAnsi"/>
        </w:rPr>
        <w:t>here the value of the benefit is converted to a loan that meets the requirements outlined in Division 7A (i.e. it is a complying loan)</w:t>
      </w:r>
      <w:r w:rsidR="009953C4">
        <w:rPr>
          <w:rFonts w:asciiTheme="minorHAnsi" w:hAnsiTheme="minorHAnsi"/>
        </w:rPr>
        <w:t>. In such cases</w:t>
      </w:r>
      <w:r w:rsidR="00EB1E95">
        <w:rPr>
          <w:rFonts w:asciiTheme="minorHAnsi" w:hAnsiTheme="minorHAnsi"/>
        </w:rPr>
        <w:t>, the amount</w:t>
      </w:r>
      <w:r>
        <w:rPr>
          <w:rFonts w:asciiTheme="minorHAnsi" w:hAnsiTheme="minorHAnsi"/>
        </w:rPr>
        <w:t xml:space="preserve"> is</w:t>
      </w:r>
      <w:r w:rsidR="00EB1E95">
        <w:rPr>
          <w:rFonts w:asciiTheme="minorHAnsi" w:hAnsiTheme="minorHAnsi"/>
        </w:rPr>
        <w:t xml:space="preserve"> </w:t>
      </w:r>
      <w:r>
        <w:rPr>
          <w:rFonts w:asciiTheme="minorHAnsi" w:hAnsiTheme="minorHAnsi"/>
        </w:rPr>
        <w:t xml:space="preserve">then </w:t>
      </w:r>
      <w:r w:rsidR="00EB1E95">
        <w:rPr>
          <w:rFonts w:asciiTheme="minorHAnsi" w:hAnsiTheme="minorHAnsi"/>
        </w:rPr>
        <w:t>no</w:t>
      </w:r>
      <w:r>
        <w:rPr>
          <w:rFonts w:asciiTheme="minorHAnsi" w:hAnsiTheme="minorHAnsi"/>
        </w:rPr>
        <w:t>t</w:t>
      </w:r>
      <w:r w:rsidR="00EB1E95">
        <w:rPr>
          <w:rFonts w:asciiTheme="minorHAnsi" w:hAnsiTheme="minorHAnsi"/>
        </w:rPr>
        <w:t xml:space="preserve"> treated as a dividend. This requires the recipient to comply with maximum loan terms, minimum interest rates and minimum annual yearly repaym</w:t>
      </w:r>
      <w:r w:rsidR="00735419">
        <w:rPr>
          <w:rFonts w:asciiTheme="minorHAnsi" w:hAnsiTheme="minorHAnsi"/>
        </w:rPr>
        <w:t>ents of principal and interest.</w:t>
      </w:r>
    </w:p>
    <w:p w14:paraId="6C02D41F" w14:textId="3F8B61CB" w:rsidR="00EB1E95" w:rsidRDefault="00EB1E95" w:rsidP="00EB1E95">
      <w:pPr>
        <w:jc w:val="both"/>
        <w:rPr>
          <w:rFonts w:asciiTheme="minorHAnsi" w:hAnsiTheme="minorHAnsi"/>
        </w:rPr>
      </w:pPr>
      <w:r>
        <w:rPr>
          <w:rFonts w:asciiTheme="minorHAnsi" w:hAnsiTheme="minorHAnsi"/>
        </w:rPr>
        <w:t>For these arrangements, the private company pays tax on the interest it receives from the shareholder (or their associ</w:t>
      </w:r>
      <w:r w:rsidR="00735419">
        <w:rPr>
          <w:rFonts w:asciiTheme="minorHAnsi" w:hAnsiTheme="minorHAnsi"/>
        </w:rPr>
        <w:t>ate) at its corporate tax rate.</w:t>
      </w:r>
    </w:p>
    <w:p w14:paraId="598FB557" w14:textId="63382744" w:rsidR="004D52D2" w:rsidRDefault="004D52D2" w:rsidP="00735419">
      <w:pPr>
        <w:pStyle w:val="Heading3"/>
      </w:pPr>
      <w:bookmarkStart w:id="15" w:name="_Toc525813295"/>
      <w:r>
        <w:t xml:space="preserve">Reasons for </w:t>
      </w:r>
      <w:r w:rsidR="00FB12F4" w:rsidRPr="00735419">
        <w:t>c</w:t>
      </w:r>
      <w:r w:rsidRPr="00735419">
        <w:t>hange</w:t>
      </w:r>
      <w:bookmarkEnd w:id="15"/>
    </w:p>
    <w:p w14:paraId="792CB646" w14:textId="0D34680D" w:rsidR="004D52D2" w:rsidRDefault="004D52D2" w:rsidP="004D52D2">
      <w:pPr>
        <w:jc w:val="both"/>
        <w:rPr>
          <w:rFonts w:asciiTheme="minorHAnsi" w:hAnsiTheme="minorHAnsi"/>
        </w:rPr>
      </w:pPr>
      <w:r w:rsidRPr="007D3D76">
        <w:rPr>
          <w:rFonts w:asciiTheme="minorHAnsi" w:hAnsiTheme="minorHAnsi"/>
        </w:rPr>
        <w:t>The current Division 7A loan m</w:t>
      </w:r>
      <w:r>
        <w:rPr>
          <w:rFonts w:asciiTheme="minorHAnsi" w:hAnsiTheme="minorHAnsi"/>
        </w:rPr>
        <w:t>odel includes complex rules relating to</w:t>
      </w:r>
      <w:r w:rsidRPr="007D3D76">
        <w:rPr>
          <w:rFonts w:asciiTheme="minorHAnsi" w:hAnsiTheme="minorHAnsi"/>
        </w:rPr>
        <w:t xml:space="preserve"> </w:t>
      </w:r>
      <w:r>
        <w:rPr>
          <w:rFonts w:asciiTheme="minorHAnsi" w:hAnsiTheme="minorHAnsi"/>
        </w:rPr>
        <w:t>apportionment of repayments between pri</w:t>
      </w:r>
      <w:r w:rsidRPr="007D3D76">
        <w:rPr>
          <w:rFonts w:asciiTheme="minorHAnsi" w:hAnsiTheme="minorHAnsi"/>
        </w:rPr>
        <w:t>ncipal and interest</w:t>
      </w:r>
      <w:r>
        <w:rPr>
          <w:rFonts w:asciiTheme="minorHAnsi" w:hAnsiTheme="minorHAnsi"/>
        </w:rPr>
        <w:t>.</w:t>
      </w:r>
      <w:r w:rsidRPr="007D3D76">
        <w:rPr>
          <w:rFonts w:asciiTheme="minorHAnsi" w:hAnsiTheme="minorHAnsi"/>
        </w:rPr>
        <w:t xml:space="preserve"> </w:t>
      </w:r>
      <w:r>
        <w:rPr>
          <w:rFonts w:asciiTheme="minorHAnsi" w:hAnsiTheme="minorHAnsi"/>
        </w:rPr>
        <w:t xml:space="preserve">These rules </w:t>
      </w:r>
      <w:r w:rsidRPr="007D3D76">
        <w:rPr>
          <w:rFonts w:asciiTheme="minorHAnsi" w:hAnsiTheme="minorHAnsi"/>
        </w:rPr>
        <w:t>place an administrative bur</w:t>
      </w:r>
      <w:r>
        <w:rPr>
          <w:rFonts w:asciiTheme="minorHAnsi" w:hAnsiTheme="minorHAnsi"/>
        </w:rPr>
        <w:t xml:space="preserve">den on advisors and taxpayers. </w:t>
      </w:r>
      <w:r w:rsidR="00846D77">
        <w:rPr>
          <w:rFonts w:asciiTheme="minorHAnsi" w:hAnsiTheme="minorHAnsi"/>
        </w:rPr>
        <w:t xml:space="preserve">The </w:t>
      </w:r>
      <w:r w:rsidR="00AC08D2">
        <w:rPr>
          <w:rFonts w:asciiTheme="minorHAnsi" w:hAnsiTheme="minorHAnsi"/>
        </w:rPr>
        <w:t>new ten year loan model</w:t>
      </w:r>
      <w:r w:rsidR="00846D77">
        <w:rPr>
          <w:rFonts w:asciiTheme="minorHAnsi" w:hAnsiTheme="minorHAnsi"/>
        </w:rPr>
        <w:t xml:space="preserve"> is simpler than the current apportionment model and more closely aligned to commercial practice for principal and interest loans</w:t>
      </w:r>
      <w:r w:rsidR="00735419">
        <w:rPr>
          <w:rFonts w:asciiTheme="minorHAnsi" w:hAnsiTheme="minorHAnsi"/>
        </w:rPr>
        <w:t>.</w:t>
      </w:r>
    </w:p>
    <w:p w14:paraId="3425717F" w14:textId="5456A189" w:rsidR="004D52D2" w:rsidRDefault="0097395D" w:rsidP="004920F4">
      <w:pPr>
        <w:jc w:val="both"/>
        <w:rPr>
          <w:rFonts w:asciiTheme="minorHAnsi" w:hAnsiTheme="minorHAnsi"/>
        </w:rPr>
      </w:pPr>
      <w:r>
        <w:rPr>
          <w:rFonts w:asciiTheme="minorHAnsi" w:hAnsiTheme="minorHAnsi"/>
        </w:rPr>
        <w:t>I</w:t>
      </w:r>
      <w:r w:rsidR="00846D77">
        <w:rPr>
          <w:rFonts w:asciiTheme="minorHAnsi" w:hAnsiTheme="minorHAnsi"/>
        </w:rPr>
        <w:t>t is noted</w:t>
      </w:r>
      <w:r w:rsidR="004D52D2">
        <w:rPr>
          <w:rFonts w:asciiTheme="minorHAnsi" w:hAnsiTheme="minorHAnsi"/>
        </w:rPr>
        <w:t xml:space="preserve"> that the Board proposed </w:t>
      </w:r>
      <w:r w:rsidR="0039671C">
        <w:rPr>
          <w:rFonts w:asciiTheme="minorHAnsi" w:hAnsiTheme="minorHAnsi"/>
        </w:rPr>
        <w:t xml:space="preserve">either </w:t>
      </w:r>
      <w:r w:rsidR="004D52D2">
        <w:rPr>
          <w:rFonts w:asciiTheme="minorHAnsi" w:hAnsiTheme="minorHAnsi"/>
        </w:rPr>
        <w:t xml:space="preserve">an </w:t>
      </w:r>
      <w:r w:rsidR="003072BB">
        <w:rPr>
          <w:rFonts w:asciiTheme="minorHAnsi" w:hAnsiTheme="minorHAnsi"/>
        </w:rPr>
        <w:t>A</w:t>
      </w:r>
      <w:r w:rsidR="004D52D2">
        <w:rPr>
          <w:rFonts w:asciiTheme="minorHAnsi" w:hAnsiTheme="minorHAnsi"/>
        </w:rPr>
        <w:t xml:space="preserve">mortisation </w:t>
      </w:r>
      <w:r w:rsidR="003072BB">
        <w:rPr>
          <w:rFonts w:asciiTheme="minorHAnsi" w:hAnsiTheme="minorHAnsi"/>
        </w:rPr>
        <w:t>M</w:t>
      </w:r>
      <w:r w:rsidR="004D52D2">
        <w:rPr>
          <w:rFonts w:asciiTheme="minorHAnsi" w:hAnsiTheme="minorHAnsi"/>
        </w:rPr>
        <w:t>odel</w:t>
      </w:r>
      <w:r w:rsidR="00ED7016">
        <w:rPr>
          <w:rFonts w:asciiTheme="minorHAnsi" w:hAnsiTheme="minorHAnsi"/>
        </w:rPr>
        <w:t xml:space="preserve"> (outlined in Appendix C)</w:t>
      </w:r>
      <w:r w:rsidR="004D52D2">
        <w:rPr>
          <w:rFonts w:asciiTheme="minorHAnsi" w:hAnsiTheme="minorHAnsi"/>
        </w:rPr>
        <w:t xml:space="preserve"> </w:t>
      </w:r>
      <w:r w:rsidR="0039671C">
        <w:rPr>
          <w:rFonts w:asciiTheme="minorHAnsi" w:hAnsiTheme="minorHAnsi"/>
        </w:rPr>
        <w:t xml:space="preserve">or </w:t>
      </w:r>
      <w:r w:rsidR="004D52D2">
        <w:rPr>
          <w:rFonts w:asciiTheme="minorHAnsi" w:hAnsiTheme="minorHAnsi"/>
        </w:rPr>
        <w:t xml:space="preserve">an interest only model as the potential basis for a reformed Division 7A. </w:t>
      </w:r>
      <w:r w:rsidR="005841BC">
        <w:rPr>
          <w:rFonts w:asciiTheme="minorHAnsi" w:hAnsiTheme="minorHAnsi"/>
        </w:rPr>
        <w:t xml:space="preserve">The Board’s </w:t>
      </w:r>
      <w:r w:rsidR="003072BB">
        <w:rPr>
          <w:rFonts w:asciiTheme="minorHAnsi" w:hAnsiTheme="minorHAnsi"/>
        </w:rPr>
        <w:t>A</w:t>
      </w:r>
      <w:r w:rsidR="005841BC">
        <w:rPr>
          <w:rFonts w:asciiTheme="minorHAnsi" w:hAnsiTheme="minorHAnsi"/>
        </w:rPr>
        <w:t xml:space="preserve">mortisation </w:t>
      </w:r>
      <w:r w:rsidR="003072BB">
        <w:rPr>
          <w:rFonts w:asciiTheme="minorHAnsi" w:hAnsiTheme="minorHAnsi"/>
        </w:rPr>
        <w:t>M</w:t>
      </w:r>
      <w:r w:rsidR="005841BC">
        <w:rPr>
          <w:rFonts w:asciiTheme="minorHAnsi" w:hAnsiTheme="minorHAnsi"/>
        </w:rPr>
        <w:t>odel operated on a principal and interest basis with deferred repayments of principal, whereas the interest only model did not require principal to be repaid until the conclusion of the loan.</w:t>
      </w:r>
    </w:p>
    <w:p w14:paraId="7957B252" w14:textId="4185E5BC" w:rsidR="005841BC" w:rsidRDefault="004D52D2" w:rsidP="007B2144">
      <w:pPr>
        <w:jc w:val="both"/>
        <w:rPr>
          <w:rFonts w:asciiTheme="minorHAnsi" w:hAnsiTheme="minorHAnsi"/>
        </w:rPr>
      </w:pPr>
      <w:r>
        <w:rPr>
          <w:rFonts w:asciiTheme="minorHAnsi" w:hAnsiTheme="minorHAnsi"/>
        </w:rPr>
        <w:t>Following consideration of the Boa</w:t>
      </w:r>
      <w:r w:rsidR="00712FED">
        <w:rPr>
          <w:rFonts w:asciiTheme="minorHAnsi" w:hAnsiTheme="minorHAnsi"/>
        </w:rPr>
        <w:t>rd’s proposed models, a simpler</w:t>
      </w:r>
      <w:r>
        <w:rPr>
          <w:rFonts w:asciiTheme="minorHAnsi" w:hAnsiTheme="minorHAnsi"/>
        </w:rPr>
        <w:t xml:space="preserve"> alternative loan model has been developed. </w:t>
      </w:r>
      <w:r w:rsidRPr="00153791">
        <w:rPr>
          <w:rFonts w:asciiTheme="minorHAnsi" w:hAnsiTheme="minorHAnsi"/>
        </w:rPr>
        <w:t>Th</w:t>
      </w:r>
      <w:r w:rsidR="0097395D">
        <w:rPr>
          <w:rFonts w:asciiTheme="minorHAnsi" w:hAnsiTheme="minorHAnsi"/>
        </w:rPr>
        <w:t xml:space="preserve">is </w:t>
      </w:r>
      <w:r w:rsidR="00323B9C">
        <w:rPr>
          <w:rFonts w:asciiTheme="minorHAnsi" w:hAnsiTheme="minorHAnsi"/>
        </w:rPr>
        <w:t xml:space="preserve">loan model is preferred from a policy perspective as </w:t>
      </w:r>
      <w:r w:rsidRPr="00153791">
        <w:rPr>
          <w:rFonts w:asciiTheme="minorHAnsi" w:hAnsiTheme="minorHAnsi"/>
        </w:rPr>
        <w:t>annual payment encourages proactive cash flow management by businesses and reduces the size of payments (ten smaller payments</w:t>
      </w:r>
      <w:r>
        <w:rPr>
          <w:rFonts w:asciiTheme="minorHAnsi" w:hAnsiTheme="minorHAnsi"/>
        </w:rPr>
        <w:t>)</w:t>
      </w:r>
      <w:r w:rsidR="00323B9C">
        <w:rPr>
          <w:rFonts w:asciiTheme="minorHAnsi" w:hAnsiTheme="minorHAnsi"/>
        </w:rPr>
        <w:t xml:space="preserve"> relative to the </w:t>
      </w:r>
      <w:r w:rsidR="003072BB">
        <w:rPr>
          <w:rFonts w:asciiTheme="minorHAnsi" w:hAnsiTheme="minorHAnsi"/>
        </w:rPr>
        <w:t>A</w:t>
      </w:r>
      <w:r w:rsidR="00323B9C">
        <w:rPr>
          <w:rFonts w:asciiTheme="minorHAnsi" w:hAnsiTheme="minorHAnsi"/>
        </w:rPr>
        <w:t xml:space="preserve">mortisation </w:t>
      </w:r>
      <w:r w:rsidR="003072BB">
        <w:rPr>
          <w:rFonts w:asciiTheme="minorHAnsi" w:hAnsiTheme="minorHAnsi"/>
        </w:rPr>
        <w:t>M</w:t>
      </w:r>
      <w:r w:rsidR="00323B9C">
        <w:rPr>
          <w:rFonts w:asciiTheme="minorHAnsi" w:hAnsiTheme="minorHAnsi"/>
        </w:rPr>
        <w:t>odel</w:t>
      </w:r>
      <w:r w:rsidRPr="00153791">
        <w:rPr>
          <w:rFonts w:asciiTheme="minorHAnsi" w:hAnsiTheme="minorHAnsi"/>
        </w:rPr>
        <w:t xml:space="preserve">. </w:t>
      </w:r>
      <w:r w:rsidR="00323B9C">
        <w:rPr>
          <w:rFonts w:asciiTheme="minorHAnsi" w:hAnsiTheme="minorHAnsi"/>
        </w:rPr>
        <w:t xml:space="preserve">It is also </w:t>
      </w:r>
      <w:r w:rsidRPr="00153791">
        <w:rPr>
          <w:rFonts w:asciiTheme="minorHAnsi" w:hAnsiTheme="minorHAnsi"/>
        </w:rPr>
        <w:t xml:space="preserve">easier to calculate the required interest and principal repayment amounts than under the </w:t>
      </w:r>
      <w:r w:rsidR="003072BB">
        <w:rPr>
          <w:rFonts w:asciiTheme="minorHAnsi" w:hAnsiTheme="minorHAnsi"/>
        </w:rPr>
        <w:t>A</w:t>
      </w:r>
      <w:r w:rsidRPr="00153791">
        <w:rPr>
          <w:rFonts w:asciiTheme="minorHAnsi" w:hAnsiTheme="minorHAnsi"/>
        </w:rPr>
        <w:t xml:space="preserve">mortisation </w:t>
      </w:r>
      <w:r w:rsidR="003072BB">
        <w:rPr>
          <w:rFonts w:asciiTheme="minorHAnsi" w:hAnsiTheme="minorHAnsi"/>
        </w:rPr>
        <w:t>M</w:t>
      </w:r>
      <w:r w:rsidRPr="00153791">
        <w:rPr>
          <w:rFonts w:asciiTheme="minorHAnsi" w:hAnsiTheme="minorHAnsi"/>
        </w:rPr>
        <w:t>odel.</w:t>
      </w:r>
    </w:p>
    <w:p w14:paraId="2CCEAEC5" w14:textId="590AAFBB" w:rsidR="00323B9C" w:rsidRDefault="005841BC" w:rsidP="005841BC">
      <w:pPr>
        <w:jc w:val="both"/>
        <w:rPr>
          <w:rFonts w:asciiTheme="minorHAnsi" w:hAnsiTheme="minorHAnsi"/>
        </w:rPr>
      </w:pPr>
      <w:r>
        <w:rPr>
          <w:rFonts w:asciiTheme="minorHAnsi" w:hAnsiTheme="minorHAnsi"/>
        </w:rPr>
        <w:t>Similarly, although an interest only model is simple in operation, it is not</w:t>
      </w:r>
      <w:r w:rsidR="00323B9C">
        <w:rPr>
          <w:rFonts w:asciiTheme="minorHAnsi" w:hAnsiTheme="minorHAnsi"/>
        </w:rPr>
        <w:t xml:space="preserve"> consistent with the policy intent behind Division 7A</w:t>
      </w:r>
      <w:r>
        <w:rPr>
          <w:rFonts w:asciiTheme="minorHAnsi" w:hAnsiTheme="minorHAnsi"/>
        </w:rPr>
        <w:t xml:space="preserve"> which requires repayment of principal over time. This is because there</w:t>
      </w:r>
      <w:r w:rsidR="00323B9C">
        <w:rPr>
          <w:rFonts w:asciiTheme="minorHAnsi" w:hAnsiTheme="minorHAnsi"/>
        </w:rPr>
        <w:t xml:space="preserve"> is an expectation that amounts borrowed from private companies will be returned over time to shareholders as dividends and taxed at the shareholders’ marginal tax rates.</w:t>
      </w:r>
    </w:p>
    <w:p w14:paraId="7229D497" w14:textId="18818381" w:rsidR="00406E3A" w:rsidRDefault="0050266A" w:rsidP="00735419">
      <w:pPr>
        <w:pStyle w:val="Heading3"/>
      </w:pPr>
      <w:bookmarkStart w:id="16" w:name="_Toc525813296"/>
      <w:r>
        <w:t>New</w:t>
      </w:r>
      <w:r w:rsidR="00406E3A">
        <w:t xml:space="preserve"> loan model</w:t>
      </w:r>
      <w:bookmarkEnd w:id="16"/>
    </w:p>
    <w:p w14:paraId="15554DC8" w14:textId="141FB4CD" w:rsidR="004D52D2" w:rsidRPr="005927E7" w:rsidRDefault="0050266A" w:rsidP="00735419">
      <w:pPr>
        <w:pStyle w:val="Heading4"/>
      </w:pPr>
      <w:r>
        <w:t>Propos</w:t>
      </w:r>
      <w:r w:rsidR="00E34B38">
        <w:t xml:space="preserve">ed implementation </w:t>
      </w:r>
      <w:r w:rsidR="00E34B38" w:rsidRPr="00735419">
        <w:t>approach</w:t>
      </w:r>
    </w:p>
    <w:p w14:paraId="678E6BF7" w14:textId="2A51BC6A" w:rsidR="00AC08D2" w:rsidRDefault="00AC08D2" w:rsidP="00AC08D2">
      <w:pPr>
        <w:jc w:val="both"/>
      </w:pPr>
      <w:r>
        <w:t xml:space="preserve">Currently, the rules allow Division 7A amounts to be converted into </w:t>
      </w:r>
      <w:r w:rsidR="001209E2">
        <w:t>one</w:t>
      </w:r>
      <w:r>
        <w:t xml:space="preserve"> of two types of loans. The maximum term of the loans must not exceed:</w:t>
      </w:r>
    </w:p>
    <w:p w14:paraId="5DD0D12C" w14:textId="77777777" w:rsidR="00AC08D2" w:rsidRDefault="00AC08D2" w:rsidP="00735419">
      <w:pPr>
        <w:pStyle w:val="Bullet"/>
      </w:pPr>
      <w:r>
        <w:t xml:space="preserve">7 years </w:t>
      </w:r>
      <w:r w:rsidRPr="00735419">
        <w:t>for</w:t>
      </w:r>
      <w:r>
        <w:t xml:space="preserve"> an unsecured loan; or</w:t>
      </w:r>
    </w:p>
    <w:p w14:paraId="2EF57B26" w14:textId="77777777" w:rsidR="00AC08D2" w:rsidRDefault="00AC08D2" w:rsidP="00735419">
      <w:pPr>
        <w:pStyle w:val="Bullet"/>
      </w:pPr>
      <w:r>
        <w:t xml:space="preserve">25 years for a </w:t>
      </w:r>
      <w:r w:rsidRPr="00735419">
        <w:t>secured</w:t>
      </w:r>
      <w:r>
        <w:t xml:space="preserve"> loan.</w:t>
      </w:r>
    </w:p>
    <w:p w14:paraId="0495ABE1" w14:textId="0B04DF8C" w:rsidR="004D52D2" w:rsidRPr="00B3504C" w:rsidRDefault="004D52D2" w:rsidP="004D52D2">
      <w:pPr>
        <w:pStyle w:val="OutlineNumbered1"/>
        <w:numPr>
          <w:ilvl w:val="0"/>
          <w:numId w:val="0"/>
        </w:numPr>
        <w:jc w:val="both"/>
        <w:rPr>
          <w:rFonts w:asciiTheme="minorHAnsi" w:hAnsiTheme="minorHAnsi"/>
          <w:szCs w:val="22"/>
        </w:rPr>
      </w:pPr>
      <w:r w:rsidRPr="00B3504C">
        <w:rPr>
          <w:rFonts w:asciiTheme="minorHAnsi" w:hAnsiTheme="minorHAnsi"/>
          <w:szCs w:val="22"/>
        </w:rPr>
        <w:t>The current 7 year and 25 year loan models will be replaced by a</w:t>
      </w:r>
      <w:r>
        <w:rPr>
          <w:rFonts w:asciiTheme="minorHAnsi" w:hAnsiTheme="minorHAnsi"/>
          <w:szCs w:val="22"/>
        </w:rPr>
        <w:t xml:space="preserve"> single</w:t>
      </w:r>
      <w:r w:rsidRPr="00B3504C">
        <w:rPr>
          <w:rFonts w:asciiTheme="minorHAnsi" w:hAnsiTheme="minorHAnsi"/>
          <w:szCs w:val="22"/>
        </w:rPr>
        <w:t xml:space="preserve"> loan model </w:t>
      </w:r>
      <w:r w:rsidR="001A6A6A">
        <w:rPr>
          <w:rFonts w:asciiTheme="minorHAnsi" w:hAnsiTheme="minorHAnsi"/>
          <w:szCs w:val="22"/>
        </w:rPr>
        <w:t>which ha</w:t>
      </w:r>
      <w:r w:rsidR="009953C4">
        <w:rPr>
          <w:rFonts w:asciiTheme="minorHAnsi" w:hAnsiTheme="minorHAnsi"/>
          <w:szCs w:val="22"/>
        </w:rPr>
        <w:t>s</w:t>
      </w:r>
      <w:r>
        <w:rPr>
          <w:rFonts w:asciiTheme="minorHAnsi" w:hAnsiTheme="minorHAnsi"/>
          <w:szCs w:val="22"/>
        </w:rPr>
        <w:t xml:space="preserve"> </w:t>
      </w:r>
      <w:r w:rsidRPr="00B3504C">
        <w:rPr>
          <w:rFonts w:asciiTheme="minorHAnsi" w:hAnsiTheme="minorHAnsi"/>
          <w:szCs w:val="22"/>
        </w:rPr>
        <w:t>the following</w:t>
      </w:r>
      <w:r w:rsidR="001A6A6A">
        <w:rPr>
          <w:rFonts w:asciiTheme="minorHAnsi" w:hAnsiTheme="minorHAnsi"/>
          <w:szCs w:val="22"/>
        </w:rPr>
        <w:t xml:space="preserve"> features</w:t>
      </w:r>
      <w:r w:rsidRPr="00B3504C">
        <w:rPr>
          <w:rFonts w:asciiTheme="minorHAnsi" w:hAnsiTheme="minorHAnsi"/>
          <w:szCs w:val="22"/>
        </w:rPr>
        <w:t>:</w:t>
      </w:r>
    </w:p>
    <w:p w14:paraId="7CEF8F61" w14:textId="7BC5FBD3" w:rsidR="004D52D2" w:rsidRPr="00B3504C" w:rsidRDefault="00712FED" w:rsidP="00735419">
      <w:pPr>
        <w:pStyle w:val="Bullet"/>
      </w:pPr>
      <w:r>
        <w:t>A</w:t>
      </w:r>
      <w:r w:rsidR="004D52D2">
        <w:t xml:space="preserve"> </w:t>
      </w:r>
      <w:r w:rsidR="00DB530E">
        <w:t xml:space="preserve">maximum </w:t>
      </w:r>
      <w:r w:rsidR="004D52D2">
        <w:t xml:space="preserve">term of </w:t>
      </w:r>
      <w:r w:rsidR="004D52D2" w:rsidRPr="00B3504C">
        <w:t>10 years</w:t>
      </w:r>
      <w:r w:rsidR="00AC08D2">
        <w:t>.</w:t>
      </w:r>
      <w:r w:rsidR="004D52D2">
        <w:t xml:space="preserve"> </w:t>
      </w:r>
      <w:r w:rsidR="00AC08D2">
        <w:t xml:space="preserve">Consistent </w:t>
      </w:r>
      <w:r w:rsidR="004D52D2">
        <w:t>with current</w:t>
      </w:r>
      <w:r w:rsidR="005841BC">
        <w:t xml:space="preserve"> </w:t>
      </w:r>
      <w:r w:rsidR="004D52D2">
        <w:t xml:space="preserve">practices, the loan effectively begins at the end of the income year in which </w:t>
      </w:r>
      <w:r w:rsidR="004D52D2" w:rsidRPr="00735419">
        <w:t>the</w:t>
      </w:r>
      <w:r w:rsidR="004D52D2">
        <w:t xml:space="preserve"> advance is made. This is because the taxpayer is given until </w:t>
      </w:r>
      <w:r w:rsidR="004840DF">
        <w:t xml:space="preserve">the </w:t>
      </w:r>
      <w:proofErr w:type="spellStart"/>
      <w:r w:rsidR="001209E2">
        <w:t>lodgment</w:t>
      </w:r>
      <w:proofErr w:type="spellEnd"/>
      <w:r w:rsidR="001209E2">
        <w:t xml:space="preserve"> day (the earlier of the actual date of </w:t>
      </w:r>
      <w:proofErr w:type="spellStart"/>
      <w:r w:rsidR="001209E2">
        <w:t>lodgment</w:t>
      </w:r>
      <w:proofErr w:type="spellEnd"/>
      <w:r w:rsidR="001209E2">
        <w:t xml:space="preserve"> or </w:t>
      </w:r>
      <w:proofErr w:type="spellStart"/>
      <w:r w:rsidR="001209E2">
        <w:t>lodgment</w:t>
      </w:r>
      <w:proofErr w:type="spellEnd"/>
      <w:r w:rsidR="001209E2">
        <w:t xml:space="preserve"> due date) </w:t>
      </w:r>
      <w:r w:rsidR="004D52D2">
        <w:t xml:space="preserve">of the </w:t>
      </w:r>
      <w:r w:rsidR="00DB530E">
        <w:t xml:space="preserve">private company’s </w:t>
      </w:r>
      <w:r w:rsidR="004D52D2">
        <w:t>income tax return to repay the loan or</w:t>
      </w:r>
      <w:r>
        <w:t xml:space="preserve"> put it on complying loan terms.</w:t>
      </w:r>
    </w:p>
    <w:p w14:paraId="0D5C88BB" w14:textId="1C725524" w:rsidR="004D52D2" w:rsidRPr="00C909BF" w:rsidRDefault="00712FED" w:rsidP="00735419">
      <w:pPr>
        <w:pStyle w:val="Bullet"/>
      </w:pPr>
      <w:r>
        <w:t>T</w:t>
      </w:r>
      <w:r w:rsidR="004D52D2" w:rsidRPr="00C909BF">
        <w:t xml:space="preserve">he annual benchmark interest rate will be the </w:t>
      </w:r>
      <w:r w:rsidR="004D52D2" w:rsidRPr="00C909BF">
        <w:rPr>
          <w:i/>
        </w:rPr>
        <w:t xml:space="preserve">Small business; Variable; Other; Overdraft </w:t>
      </w:r>
      <w:r w:rsidR="0050266A" w:rsidRPr="00C909BF">
        <w:rPr>
          <w:i/>
        </w:rPr>
        <w:noBreakHyphen/>
        <w:t xml:space="preserve"> </w:t>
      </w:r>
      <w:r w:rsidR="004D52D2" w:rsidRPr="00C909BF">
        <w:rPr>
          <w:i/>
        </w:rPr>
        <w:t xml:space="preserve">Indicator </w:t>
      </w:r>
      <w:r w:rsidR="004D52D2" w:rsidRPr="00735419">
        <w:t>Lending</w:t>
      </w:r>
      <w:r w:rsidR="004D52D2" w:rsidRPr="00C909BF">
        <w:t xml:space="preserve"> rate most recently published by the Reserve Bank of Austr</w:t>
      </w:r>
      <w:r w:rsidR="00735419">
        <w:t>alia prior to the start of each</w:t>
      </w:r>
      <w:r w:rsidR="004D52D2" w:rsidRPr="00C909BF">
        <w:t xml:space="preserve"> inco</w:t>
      </w:r>
      <w:r>
        <w:t>me year.</w:t>
      </w:r>
    </w:p>
    <w:p w14:paraId="31F63797" w14:textId="2924137E" w:rsidR="004D52D2" w:rsidRDefault="00712FED" w:rsidP="00735419">
      <w:pPr>
        <w:pStyle w:val="Bullet"/>
      </w:pPr>
      <w:r>
        <w:t>T</w:t>
      </w:r>
      <w:r w:rsidR="004D52D2">
        <w:t xml:space="preserve">here will be no requirement for a formal written loan agreement, however written or electronic evidence </w:t>
      </w:r>
      <w:r w:rsidR="004D52D2" w:rsidRPr="00735419">
        <w:t>showing</w:t>
      </w:r>
      <w:r w:rsidR="004D52D2">
        <w:t xml:space="preserve"> that the loan was entered into </w:t>
      </w:r>
      <w:r w:rsidR="00801F96">
        <w:t>must exist by the</w:t>
      </w:r>
      <w:r w:rsidR="00514406">
        <w:t xml:space="preserve"> </w:t>
      </w:r>
      <w:proofErr w:type="spellStart"/>
      <w:r>
        <w:t>lodgment</w:t>
      </w:r>
      <w:proofErr w:type="spellEnd"/>
      <w:r w:rsidR="00514406">
        <w:t xml:space="preserve"> day</w:t>
      </w:r>
      <w:r w:rsidR="00801F96">
        <w:t xml:space="preserve"> of the private company’s income tax return. </w:t>
      </w:r>
      <w:r w:rsidR="00EF03CF">
        <w:t>T</w:t>
      </w:r>
      <w:r w:rsidR="000666DB">
        <w:t xml:space="preserve">his </w:t>
      </w:r>
      <w:r w:rsidR="00EF03CF">
        <w:t xml:space="preserve">evidence </w:t>
      </w:r>
      <w:r w:rsidR="00AC08D2">
        <w:t xml:space="preserve">must </w:t>
      </w:r>
      <w:r w:rsidR="004840DF">
        <w:t>show</w:t>
      </w:r>
      <w:r w:rsidR="004D52D2">
        <w:t>:</w:t>
      </w:r>
    </w:p>
    <w:p w14:paraId="4DBF6489" w14:textId="77777777" w:rsidR="004D52D2" w:rsidRPr="008752E1" w:rsidRDefault="004D52D2" w:rsidP="00735419">
      <w:pPr>
        <w:pStyle w:val="Dash"/>
      </w:pPr>
      <w:r w:rsidRPr="008752E1">
        <w:t xml:space="preserve">the </w:t>
      </w:r>
      <w:r w:rsidRPr="00735419">
        <w:t>parties</w:t>
      </w:r>
      <w:r w:rsidRPr="008752E1">
        <w:t xml:space="preserve"> to the loan;</w:t>
      </w:r>
    </w:p>
    <w:p w14:paraId="2552FAFC" w14:textId="6F071408" w:rsidR="00DB530E" w:rsidRPr="008752E1" w:rsidRDefault="00DB530E" w:rsidP="00735419">
      <w:pPr>
        <w:pStyle w:val="Dash"/>
      </w:pPr>
      <w:r w:rsidRPr="008752E1">
        <w:t>the agreement that the loan be made, including details of the date and evidence of its execution and binding nature on the parties</w:t>
      </w:r>
      <w:r>
        <w:t xml:space="preserve"> to the agreement; and</w:t>
      </w:r>
    </w:p>
    <w:p w14:paraId="4280BCF4" w14:textId="70C9D927" w:rsidR="004D52D2" w:rsidRDefault="004D52D2" w:rsidP="00735419">
      <w:pPr>
        <w:pStyle w:val="Dash"/>
      </w:pPr>
      <w:r w:rsidRPr="008752E1">
        <w:t xml:space="preserve">the loan terms (the amount of the loan, the date the loan was drawn, the requirement to repay the loan amount, the </w:t>
      </w:r>
      <w:r w:rsidR="00DB530E">
        <w:t>term</w:t>
      </w:r>
      <w:r w:rsidR="00DB530E" w:rsidRPr="008752E1">
        <w:t xml:space="preserve"> </w:t>
      </w:r>
      <w:r w:rsidRPr="008752E1">
        <w:t>of the loan and the interest rate payable)</w:t>
      </w:r>
      <w:r w:rsidR="00EF03CF">
        <w:t>.</w:t>
      </w:r>
    </w:p>
    <w:p w14:paraId="1919DCA1" w14:textId="2167A05E" w:rsidR="00B93B42" w:rsidRDefault="00EF03CF" w:rsidP="00735419">
      <w:pPr>
        <w:pStyle w:val="Bullet"/>
        <w:numPr>
          <w:ilvl w:val="0"/>
          <w:numId w:val="0"/>
        </w:numPr>
        <w:ind w:left="283"/>
      </w:pPr>
      <w:r>
        <w:t xml:space="preserve">Consistent with current ATO practice, as set out in Taxation Determination 2008/8, this evidence may </w:t>
      </w:r>
      <w:r w:rsidR="00C35B28">
        <w:t xml:space="preserve">be </w:t>
      </w:r>
      <w:r>
        <w:t>include</w:t>
      </w:r>
      <w:r w:rsidR="00C35B28">
        <w:t>d in</w:t>
      </w:r>
      <w:r w:rsidRPr="000666DB">
        <w:t xml:space="preserve"> an exchange of letters, emails, fax, </w:t>
      </w:r>
      <w:r w:rsidR="00B93B42">
        <w:t>accounting records, etc.</w:t>
      </w:r>
    </w:p>
    <w:p w14:paraId="735D5B84" w14:textId="6EB7DE07" w:rsidR="004D52D2" w:rsidRDefault="00712FED" w:rsidP="00735419">
      <w:pPr>
        <w:pStyle w:val="Bullet"/>
      </w:pPr>
      <w:r>
        <w:t>T</w:t>
      </w:r>
      <w:r w:rsidR="004D52D2">
        <w:t xml:space="preserve">he minimum yearly </w:t>
      </w:r>
      <w:r w:rsidR="004D52D2" w:rsidRPr="00735419">
        <w:t>repayment</w:t>
      </w:r>
      <w:r w:rsidR="004D52D2">
        <w:t xml:space="preserve"> amount consists of both principal and interest:</w:t>
      </w:r>
    </w:p>
    <w:p w14:paraId="5F8CC938" w14:textId="77777777" w:rsidR="004D52D2" w:rsidRPr="00FE7460" w:rsidRDefault="004D52D2" w:rsidP="00735419">
      <w:pPr>
        <w:pStyle w:val="Dash"/>
      </w:pPr>
      <w:r w:rsidRPr="00FE7460">
        <w:t xml:space="preserve">The principal </w:t>
      </w:r>
      <w:r w:rsidRPr="00735419">
        <w:t>component</w:t>
      </w:r>
      <w:r w:rsidRPr="00FE7460">
        <w:t xml:space="preserve"> is a series of equal annual payments </w:t>
      </w:r>
      <w:r>
        <w:t>over the term of the loan.</w:t>
      </w:r>
    </w:p>
    <w:p w14:paraId="37104355" w14:textId="77777777" w:rsidR="004D52D2" w:rsidRPr="00FE7460" w:rsidRDefault="004D52D2" w:rsidP="00735419">
      <w:pPr>
        <w:pStyle w:val="Dash"/>
        <w:rPr>
          <w:szCs w:val="22"/>
        </w:rPr>
      </w:pPr>
      <w:r w:rsidRPr="00FE7460">
        <w:t xml:space="preserve">The interest component is the </w:t>
      </w:r>
      <w:r>
        <w:t xml:space="preserve">interest </w:t>
      </w:r>
      <w:r w:rsidRPr="00735419">
        <w:t>calculated</w:t>
      </w:r>
      <w:r>
        <w:t xml:space="preserve"> on the opening balance of the loan each year using</w:t>
      </w:r>
      <w:r w:rsidRPr="00FE7460">
        <w:t xml:space="preserve"> the benchmark interest rate</w:t>
      </w:r>
      <w:r>
        <w:t>.</w:t>
      </w:r>
    </w:p>
    <w:p w14:paraId="05F3F37E" w14:textId="44854AFD" w:rsidR="004D52D2" w:rsidRDefault="00712FED" w:rsidP="00735419">
      <w:pPr>
        <w:pStyle w:val="Bullet"/>
      </w:pPr>
      <w:r w:rsidRPr="001D2C65">
        <w:t>The</w:t>
      </w:r>
      <w:r w:rsidR="004D52D2" w:rsidRPr="001D2C65">
        <w:t xml:space="preserve"> minimum yearly repayment </w:t>
      </w:r>
      <w:r w:rsidR="004D52D2" w:rsidRPr="00735419">
        <w:t>amount</w:t>
      </w:r>
      <w:r w:rsidR="004D52D2">
        <w:t xml:space="preserve"> </w:t>
      </w:r>
      <w:r w:rsidR="004D52D2" w:rsidRPr="001D2C65">
        <w:t>reduces the balance of the loan each</w:t>
      </w:r>
      <w:r w:rsidR="004D52D2">
        <w:t xml:space="preserve"> income </w:t>
      </w:r>
      <w:r w:rsidR="004D52D2" w:rsidRPr="001D2C65">
        <w:t>year</w:t>
      </w:r>
      <w:r w:rsidR="004D52D2">
        <w:t xml:space="preserve">. Where the minimum </w:t>
      </w:r>
      <w:r w:rsidR="001209E2">
        <w:t xml:space="preserve">yearly </w:t>
      </w:r>
      <w:r w:rsidR="004D52D2">
        <w:t xml:space="preserve">repayment has not been made in full any shortfall will give rise to </w:t>
      </w:r>
      <w:r>
        <w:t>a deemed dividend for the year.</w:t>
      </w:r>
    </w:p>
    <w:p w14:paraId="7AD0D38E" w14:textId="66E04B46" w:rsidR="004D52D2" w:rsidRDefault="00712FED" w:rsidP="00735419">
      <w:pPr>
        <w:pStyle w:val="Bullet"/>
      </w:pPr>
      <w:r>
        <w:t>Interest</w:t>
      </w:r>
      <w:r w:rsidR="004D52D2">
        <w:t xml:space="preserve"> is </w:t>
      </w:r>
      <w:r w:rsidR="004840DF">
        <w:t>calculated</w:t>
      </w:r>
      <w:r w:rsidR="004D52D2">
        <w:t xml:space="preserve"> for the full income year, regardless of when the repayment is made during the year (except Year 1). If the loan is paid out early, that is before Year 10, interest will not be charged for the </w:t>
      </w:r>
      <w:r>
        <w:t>remaining years of the loan.</w:t>
      </w:r>
    </w:p>
    <w:p w14:paraId="3850E3ED" w14:textId="669780F8" w:rsidR="004D52D2" w:rsidRDefault="00712FED" w:rsidP="00735419">
      <w:pPr>
        <w:pStyle w:val="Bullet"/>
        <w:rPr>
          <w:rFonts w:asciiTheme="minorHAnsi" w:hAnsiTheme="minorHAnsi"/>
        </w:rPr>
      </w:pPr>
      <w:r w:rsidRPr="009547F8">
        <w:t>Repayments</w:t>
      </w:r>
      <w:r w:rsidR="004D52D2" w:rsidRPr="009547F8">
        <w:t xml:space="preserve"> of the loan made after the end of the income year but before the </w:t>
      </w:r>
      <w:proofErr w:type="spellStart"/>
      <w:r w:rsidRPr="009547F8">
        <w:t>lodgment</w:t>
      </w:r>
      <w:proofErr w:type="spellEnd"/>
      <w:r w:rsidR="004D52D2" w:rsidRPr="009547F8">
        <w:t xml:space="preserve"> </w:t>
      </w:r>
      <w:r w:rsidR="004D52D2">
        <w:t>day</w:t>
      </w:r>
      <w:r w:rsidR="004D52D2" w:rsidRPr="009547F8">
        <w:t xml:space="preserve"> for </w:t>
      </w:r>
      <w:r w:rsidR="004D52D2">
        <w:t>the first income</w:t>
      </w:r>
      <w:r w:rsidR="004D52D2" w:rsidRPr="009547F8">
        <w:t xml:space="preserve"> year </w:t>
      </w:r>
      <w:r w:rsidR="004D52D2">
        <w:t>are</w:t>
      </w:r>
      <w:r w:rsidR="004D52D2" w:rsidRPr="009547F8">
        <w:t xml:space="preserve"> counted as a reduction of the </w:t>
      </w:r>
      <w:r w:rsidR="007029EE">
        <w:t>amount owing</w:t>
      </w:r>
      <w:r w:rsidR="004D52D2" w:rsidRPr="009547F8">
        <w:t xml:space="preserve"> even if they are made prior to the loan agreement </w:t>
      </w:r>
      <w:r w:rsidR="004D52D2" w:rsidRPr="00735419">
        <w:t>being</w:t>
      </w:r>
      <w:r w:rsidR="004D52D2" w:rsidRPr="009547F8">
        <w:t xml:space="preserve"> finalised. </w:t>
      </w:r>
      <w:r w:rsidR="004D52D2">
        <w:rPr>
          <w:rFonts w:asciiTheme="minorHAnsi" w:hAnsiTheme="minorHAnsi"/>
        </w:rPr>
        <w:t xml:space="preserve">Interest for Year 1 is calculated for the full income year on the balance of the loan outstanding at </w:t>
      </w:r>
      <w:proofErr w:type="spellStart"/>
      <w:r>
        <w:rPr>
          <w:rFonts w:asciiTheme="minorHAnsi" w:hAnsiTheme="minorHAnsi"/>
        </w:rPr>
        <w:t>lodgment</w:t>
      </w:r>
      <w:proofErr w:type="spellEnd"/>
      <w:r w:rsidR="004D52D2">
        <w:rPr>
          <w:rFonts w:asciiTheme="minorHAnsi" w:hAnsiTheme="minorHAnsi"/>
        </w:rPr>
        <w:t xml:space="preserve"> day.</w:t>
      </w:r>
    </w:p>
    <w:tbl>
      <w:tblPr>
        <w:tblStyle w:val="TableGrid"/>
        <w:tblW w:w="5000" w:type="pct"/>
        <w:tblBorders>
          <w:bottom w:val="single" w:sz="12" w:space="0" w:color="336E98"/>
        </w:tblBorders>
        <w:shd w:val="clear" w:color="auto" w:fill="EBEBEB"/>
        <w:tblLayout w:type="fixed"/>
        <w:tblLook w:val="04A0" w:firstRow="1" w:lastRow="0" w:firstColumn="1" w:lastColumn="0" w:noHBand="0" w:noVBand="1"/>
      </w:tblPr>
      <w:tblGrid>
        <w:gridCol w:w="9286"/>
      </w:tblGrid>
      <w:tr w:rsidR="00735419" w14:paraId="68162D1F" w14:textId="77777777" w:rsidTr="00F93145">
        <w:tc>
          <w:tcPr>
            <w:tcW w:w="5000" w:type="pct"/>
            <w:shd w:val="clear" w:color="auto" w:fill="EBEBEB"/>
          </w:tcPr>
          <w:p w14:paraId="376B33EF" w14:textId="144D65EE" w:rsidR="00735419" w:rsidRPr="00735419" w:rsidRDefault="00735419" w:rsidP="00F1497F">
            <w:pPr>
              <w:pStyle w:val="BoxHeading"/>
            </w:pPr>
            <w:r>
              <w:t>Example: C</w:t>
            </w:r>
            <w:r w:rsidRPr="00735419">
              <w:t>alculation of the deemed dividend</w:t>
            </w:r>
          </w:p>
          <w:p w14:paraId="44B7E17C" w14:textId="421567CA" w:rsidR="00735419" w:rsidRDefault="00735419" w:rsidP="00735419">
            <w:pPr>
              <w:pStyle w:val="BoxText"/>
            </w:pPr>
            <w:r>
              <w:t>Bert is the sole director and shareholder of Sesame Pty Ltd.</w:t>
            </w:r>
          </w:p>
          <w:p w14:paraId="5D523AF2" w14:textId="5D3B8F52" w:rsidR="00735419" w:rsidRDefault="00735419" w:rsidP="00735419">
            <w:pPr>
              <w:pStyle w:val="BoxText"/>
            </w:pPr>
            <w:r>
              <w:t xml:space="preserve">On 1 August 2019, Bert withdraws $100,000 from Sesame Pty Ltd to pay for the renovation of his house. Bert does not have the funds to pay back Sesame Pty Ltd by the </w:t>
            </w:r>
            <w:proofErr w:type="spellStart"/>
            <w:r w:rsidR="00712FED">
              <w:t>lodgment</w:t>
            </w:r>
            <w:proofErr w:type="spellEnd"/>
            <w:r>
              <w:t xml:space="preserve"> day of Sesame Pty </w:t>
            </w:r>
            <w:proofErr w:type="spellStart"/>
            <w:r>
              <w:t>Ltd’s</w:t>
            </w:r>
            <w:proofErr w:type="spellEnd"/>
            <w:r>
              <w:t xml:space="preserve"> income tax return, 15 May 2021.  To avoid the $100,000 being treated as if it were a dividend paid from Sesame Pty Ltd, Bert decides to put in place a complying Division 7A loan agreement.</w:t>
            </w:r>
          </w:p>
          <w:p w14:paraId="4A3B9131" w14:textId="77777777" w:rsidR="00735419" w:rsidRDefault="00735419" w:rsidP="00735419">
            <w:pPr>
              <w:pStyle w:val="BoxText"/>
            </w:pPr>
            <w:r>
              <w:t>The repayments that Bert would be required to make according to the new loan model would be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969"/>
              <w:gridCol w:w="1366"/>
              <w:gridCol w:w="1346"/>
              <w:gridCol w:w="1404"/>
              <w:gridCol w:w="1709"/>
              <w:gridCol w:w="1277"/>
            </w:tblGrid>
            <w:tr w:rsidR="00735419" w:rsidRPr="00560F25" w14:paraId="6452A1EA" w14:textId="77777777" w:rsidTr="00F93145">
              <w:trPr>
                <w:trHeight w:val="288"/>
              </w:trPr>
              <w:tc>
                <w:tcPr>
                  <w:tcW w:w="545" w:type="pct"/>
                  <w:shd w:val="clear" w:color="auto" w:fill="auto"/>
                  <w:noWrap/>
                  <w:vAlign w:val="center"/>
                  <w:hideMark/>
                </w:tcPr>
                <w:p w14:paraId="25D105B9" w14:textId="77777777" w:rsidR="00735419" w:rsidRPr="00735419" w:rsidRDefault="00735419" w:rsidP="00735419">
                  <w:pPr>
                    <w:pStyle w:val="TableColumnHeadingCentred"/>
                  </w:pPr>
                  <w:r w:rsidRPr="00735419">
                    <w:t>Year</w:t>
                  </w:r>
                </w:p>
              </w:tc>
              <w:tc>
                <w:tcPr>
                  <w:tcW w:w="535" w:type="pct"/>
                  <w:shd w:val="clear" w:color="auto" w:fill="auto"/>
                  <w:noWrap/>
                  <w:vAlign w:val="center"/>
                  <w:hideMark/>
                </w:tcPr>
                <w:p w14:paraId="5ED55A4E" w14:textId="77777777" w:rsidR="00735419" w:rsidRPr="00735419" w:rsidRDefault="00735419" w:rsidP="00735419">
                  <w:pPr>
                    <w:pStyle w:val="TableColumnHeadingCentred"/>
                  </w:pPr>
                  <w:r w:rsidRPr="00735419">
                    <w:t>Interest Rate*</w:t>
                  </w:r>
                </w:p>
              </w:tc>
              <w:tc>
                <w:tcPr>
                  <w:tcW w:w="754" w:type="pct"/>
                  <w:shd w:val="clear" w:color="auto" w:fill="auto"/>
                  <w:noWrap/>
                  <w:vAlign w:val="center"/>
                  <w:hideMark/>
                </w:tcPr>
                <w:p w14:paraId="39F642D8" w14:textId="77777777" w:rsidR="00735419" w:rsidRPr="00735419" w:rsidRDefault="00735419" w:rsidP="00735419">
                  <w:pPr>
                    <w:pStyle w:val="TableColumnHeadingCentred"/>
                  </w:pPr>
                  <w:r w:rsidRPr="00735419">
                    <w:t>Opening Balance</w:t>
                  </w:r>
                </w:p>
                <w:p w14:paraId="376F3083" w14:textId="77777777" w:rsidR="00735419" w:rsidRPr="00735419" w:rsidRDefault="00735419" w:rsidP="00735419">
                  <w:pPr>
                    <w:pStyle w:val="TableColumnHeadingCentred"/>
                  </w:pPr>
                  <w:r w:rsidRPr="00735419">
                    <w:t>$</w:t>
                  </w:r>
                </w:p>
              </w:tc>
              <w:tc>
                <w:tcPr>
                  <w:tcW w:w="743" w:type="pct"/>
                  <w:shd w:val="clear" w:color="auto" w:fill="auto"/>
                  <w:noWrap/>
                  <w:vAlign w:val="center"/>
                  <w:hideMark/>
                </w:tcPr>
                <w:p w14:paraId="3FA4D57A" w14:textId="77777777" w:rsidR="00735419" w:rsidRPr="00735419" w:rsidRDefault="00735419" w:rsidP="00735419">
                  <w:pPr>
                    <w:pStyle w:val="TableColumnHeadingCentred"/>
                  </w:pPr>
                  <w:r w:rsidRPr="00735419">
                    <w:t>Interest Amount</w:t>
                  </w:r>
                </w:p>
                <w:p w14:paraId="319E7287" w14:textId="77777777" w:rsidR="00735419" w:rsidRPr="00735419" w:rsidRDefault="00735419" w:rsidP="00735419">
                  <w:pPr>
                    <w:pStyle w:val="TableColumnHeadingCentred"/>
                  </w:pPr>
                  <w:r w:rsidRPr="00735419">
                    <w:t>$</w:t>
                  </w:r>
                </w:p>
              </w:tc>
              <w:tc>
                <w:tcPr>
                  <w:tcW w:w="775" w:type="pct"/>
                  <w:shd w:val="clear" w:color="auto" w:fill="auto"/>
                  <w:noWrap/>
                  <w:vAlign w:val="center"/>
                  <w:hideMark/>
                </w:tcPr>
                <w:p w14:paraId="269C6A47" w14:textId="77777777" w:rsidR="00735419" w:rsidRPr="00735419" w:rsidRDefault="00735419" w:rsidP="00735419">
                  <w:pPr>
                    <w:pStyle w:val="TableColumnHeadingCentred"/>
                  </w:pPr>
                  <w:r w:rsidRPr="00735419">
                    <w:t>Principal Amount</w:t>
                  </w:r>
                </w:p>
                <w:p w14:paraId="59A5F956" w14:textId="77777777" w:rsidR="00735419" w:rsidRPr="00735419" w:rsidRDefault="00735419" w:rsidP="00735419">
                  <w:pPr>
                    <w:pStyle w:val="TableColumnHeadingCentred"/>
                  </w:pPr>
                  <w:r w:rsidRPr="00735419">
                    <w:t>$</w:t>
                  </w:r>
                </w:p>
              </w:tc>
              <w:tc>
                <w:tcPr>
                  <w:tcW w:w="943" w:type="pct"/>
                  <w:shd w:val="clear" w:color="auto" w:fill="auto"/>
                  <w:noWrap/>
                  <w:vAlign w:val="center"/>
                  <w:hideMark/>
                </w:tcPr>
                <w:p w14:paraId="4F5B4663" w14:textId="77777777" w:rsidR="00735419" w:rsidRPr="00735419" w:rsidRDefault="00735419" w:rsidP="00735419">
                  <w:pPr>
                    <w:pStyle w:val="TableColumnHeadingCentred"/>
                  </w:pPr>
                  <w:r w:rsidRPr="00735419">
                    <w:t>Minimum Repayment</w:t>
                  </w:r>
                </w:p>
                <w:p w14:paraId="7BA81E40" w14:textId="77777777" w:rsidR="00735419" w:rsidRPr="00735419" w:rsidRDefault="00735419" w:rsidP="00735419">
                  <w:pPr>
                    <w:pStyle w:val="TableColumnHeadingCentred"/>
                  </w:pPr>
                  <w:r w:rsidRPr="00735419">
                    <w:t>$</w:t>
                  </w:r>
                </w:p>
              </w:tc>
              <w:tc>
                <w:tcPr>
                  <w:tcW w:w="705" w:type="pct"/>
                  <w:shd w:val="clear" w:color="auto" w:fill="auto"/>
                  <w:noWrap/>
                  <w:vAlign w:val="center"/>
                  <w:hideMark/>
                </w:tcPr>
                <w:p w14:paraId="7B9D78BA" w14:textId="77777777" w:rsidR="00735419" w:rsidRPr="00735419" w:rsidRDefault="00735419" w:rsidP="00735419">
                  <w:pPr>
                    <w:pStyle w:val="TableColumnHeadingCentred"/>
                  </w:pPr>
                  <w:r w:rsidRPr="00735419">
                    <w:t>Closing Balance</w:t>
                  </w:r>
                </w:p>
                <w:p w14:paraId="632D84F5" w14:textId="77777777" w:rsidR="00735419" w:rsidRPr="00735419" w:rsidRDefault="00735419" w:rsidP="00735419">
                  <w:pPr>
                    <w:pStyle w:val="TableColumnHeadingCentred"/>
                  </w:pPr>
                  <w:r w:rsidRPr="00735419">
                    <w:t>$</w:t>
                  </w:r>
                </w:p>
              </w:tc>
            </w:tr>
            <w:tr w:rsidR="001C02C2" w:rsidRPr="00560F25" w14:paraId="69EAD9D3" w14:textId="77777777" w:rsidTr="00F93145">
              <w:trPr>
                <w:trHeight w:val="288"/>
              </w:trPr>
              <w:tc>
                <w:tcPr>
                  <w:tcW w:w="545" w:type="pct"/>
                  <w:shd w:val="clear" w:color="auto" w:fill="auto"/>
                  <w:noWrap/>
                  <w:vAlign w:val="center"/>
                  <w:hideMark/>
                </w:tcPr>
                <w:p w14:paraId="511A71F6" w14:textId="77777777" w:rsidR="00735419" w:rsidRPr="00991634" w:rsidRDefault="00735419" w:rsidP="001C02C2">
                  <w:pPr>
                    <w:pStyle w:val="TableTextCentered"/>
                  </w:pPr>
                  <w:r w:rsidRPr="00991634">
                    <w:t>2020-21</w:t>
                  </w:r>
                </w:p>
              </w:tc>
              <w:tc>
                <w:tcPr>
                  <w:tcW w:w="535" w:type="pct"/>
                  <w:shd w:val="clear" w:color="auto" w:fill="auto"/>
                  <w:noWrap/>
                  <w:vAlign w:val="center"/>
                  <w:hideMark/>
                </w:tcPr>
                <w:p w14:paraId="7E92D00B" w14:textId="77777777" w:rsidR="00735419" w:rsidRPr="00991634" w:rsidRDefault="00735419" w:rsidP="001C02C2">
                  <w:pPr>
                    <w:pStyle w:val="TableTextCentered"/>
                  </w:pPr>
                  <w:r w:rsidRPr="00991634">
                    <w:t>8.50%</w:t>
                  </w:r>
                </w:p>
              </w:tc>
              <w:tc>
                <w:tcPr>
                  <w:tcW w:w="754" w:type="pct"/>
                  <w:shd w:val="clear" w:color="auto" w:fill="auto"/>
                  <w:noWrap/>
                  <w:vAlign w:val="center"/>
                  <w:hideMark/>
                </w:tcPr>
                <w:p w14:paraId="6144227E" w14:textId="77777777" w:rsidR="00735419" w:rsidRPr="00991634" w:rsidRDefault="00735419" w:rsidP="001C02C2">
                  <w:pPr>
                    <w:pStyle w:val="TableTextCentered"/>
                  </w:pPr>
                  <w:r w:rsidRPr="00991634">
                    <w:t>100,000</w:t>
                  </w:r>
                </w:p>
              </w:tc>
              <w:tc>
                <w:tcPr>
                  <w:tcW w:w="743" w:type="pct"/>
                  <w:shd w:val="clear" w:color="auto" w:fill="auto"/>
                  <w:noWrap/>
                  <w:vAlign w:val="center"/>
                  <w:hideMark/>
                </w:tcPr>
                <w:p w14:paraId="0DEC1637" w14:textId="77777777" w:rsidR="00735419" w:rsidRPr="00991634" w:rsidRDefault="00735419" w:rsidP="001C02C2">
                  <w:pPr>
                    <w:pStyle w:val="TableTextCentered"/>
                  </w:pPr>
                  <w:r w:rsidRPr="00991634">
                    <w:t>8,500</w:t>
                  </w:r>
                </w:p>
              </w:tc>
              <w:tc>
                <w:tcPr>
                  <w:tcW w:w="775" w:type="pct"/>
                  <w:shd w:val="clear" w:color="auto" w:fill="auto"/>
                  <w:noWrap/>
                  <w:vAlign w:val="center"/>
                  <w:hideMark/>
                </w:tcPr>
                <w:p w14:paraId="351CF8AC"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337CBD45" w14:textId="77777777" w:rsidR="00735419" w:rsidRPr="00991634" w:rsidRDefault="00735419" w:rsidP="001C02C2">
                  <w:pPr>
                    <w:pStyle w:val="TableTextCentered"/>
                  </w:pPr>
                  <w:r w:rsidRPr="00991634">
                    <w:t>18,500</w:t>
                  </w:r>
                </w:p>
              </w:tc>
              <w:tc>
                <w:tcPr>
                  <w:tcW w:w="705" w:type="pct"/>
                  <w:shd w:val="clear" w:color="auto" w:fill="auto"/>
                  <w:noWrap/>
                  <w:vAlign w:val="center"/>
                  <w:hideMark/>
                </w:tcPr>
                <w:p w14:paraId="5375D14A" w14:textId="77777777" w:rsidR="00735419" w:rsidRPr="00991634" w:rsidRDefault="00735419" w:rsidP="001C02C2">
                  <w:pPr>
                    <w:pStyle w:val="TableTextCentered"/>
                  </w:pPr>
                  <w:r w:rsidRPr="00991634">
                    <w:t>90,000</w:t>
                  </w:r>
                </w:p>
              </w:tc>
            </w:tr>
            <w:tr w:rsidR="001C02C2" w:rsidRPr="00560F25" w14:paraId="07ACE345" w14:textId="77777777" w:rsidTr="00F93145">
              <w:trPr>
                <w:trHeight w:val="288"/>
              </w:trPr>
              <w:tc>
                <w:tcPr>
                  <w:tcW w:w="545" w:type="pct"/>
                  <w:shd w:val="clear" w:color="auto" w:fill="auto"/>
                  <w:noWrap/>
                  <w:vAlign w:val="center"/>
                </w:tcPr>
                <w:p w14:paraId="71B35A9A" w14:textId="77777777" w:rsidR="00735419" w:rsidRPr="00991634" w:rsidRDefault="00735419" w:rsidP="001C02C2">
                  <w:pPr>
                    <w:pStyle w:val="TableTextCentered"/>
                  </w:pPr>
                  <w:r w:rsidRPr="00991634">
                    <w:t>2021-22</w:t>
                  </w:r>
                </w:p>
              </w:tc>
              <w:tc>
                <w:tcPr>
                  <w:tcW w:w="535" w:type="pct"/>
                  <w:shd w:val="clear" w:color="auto" w:fill="auto"/>
                  <w:noWrap/>
                  <w:vAlign w:val="center"/>
                  <w:hideMark/>
                </w:tcPr>
                <w:p w14:paraId="08A7B5D1" w14:textId="77777777" w:rsidR="00735419" w:rsidRPr="00991634" w:rsidRDefault="00735419" w:rsidP="001C02C2">
                  <w:pPr>
                    <w:pStyle w:val="TableTextCentered"/>
                  </w:pPr>
                  <w:r w:rsidRPr="00991634">
                    <w:t>7.00%</w:t>
                  </w:r>
                </w:p>
              </w:tc>
              <w:tc>
                <w:tcPr>
                  <w:tcW w:w="754" w:type="pct"/>
                  <w:shd w:val="clear" w:color="auto" w:fill="auto"/>
                  <w:noWrap/>
                  <w:vAlign w:val="center"/>
                  <w:hideMark/>
                </w:tcPr>
                <w:p w14:paraId="24F6CDBF" w14:textId="77777777" w:rsidR="00735419" w:rsidRPr="00991634" w:rsidRDefault="00735419" w:rsidP="001C02C2">
                  <w:pPr>
                    <w:pStyle w:val="TableTextCentered"/>
                  </w:pPr>
                  <w:r w:rsidRPr="00991634">
                    <w:t>90,000</w:t>
                  </w:r>
                </w:p>
              </w:tc>
              <w:tc>
                <w:tcPr>
                  <w:tcW w:w="743" w:type="pct"/>
                  <w:shd w:val="clear" w:color="auto" w:fill="auto"/>
                  <w:noWrap/>
                  <w:vAlign w:val="center"/>
                  <w:hideMark/>
                </w:tcPr>
                <w:p w14:paraId="2B3FE26B" w14:textId="77777777" w:rsidR="00735419" w:rsidRPr="00991634" w:rsidRDefault="00735419" w:rsidP="001C02C2">
                  <w:pPr>
                    <w:pStyle w:val="TableTextCentered"/>
                  </w:pPr>
                  <w:r w:rsidRPr="00991634">
                    <w:t>6,300</w:t>
                  </w:r>
                </w:p>
              </w:tc>
              <w:tc>
                <w:tcPr>
                  <w:tcW w:w="775" w:type="pct"/>
                  <w:shd w:val="clear" w:color="auto" w:fill="auto"/>
                  <w:noWrap/>
                  <w:vAlign w:val="center"/>
                  <w:hideMark/>
                </w:tcPr>
                <w:p w14:paraId="4CDDE808"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781B477B" w14:textId="77777777" w:rsidR="00735419" w:rsidRPr="00991634" w:rsidRDefault="00735419" w:rsidP="001C02C2">
                  <w:pPr>
                    <w:pStyle w:val="TableTextCentered"/>
                  </w:pPr>
                  <w:r w:rsidRPr="00991634">
                    <w:t>16,300</w:t>
                  </w:r>
                </w:p>
              </w:tc>
              <w:tc>
                <w:tcPr>
                  <w:tcW w:w="705" w:type="pct"/>
                  <w:shd w:val="clear" w:color="auto" w:fill="auto"/>
                  <w:noWrap/>
                  <w:vAlign w:val="center"/>
                  <w:hideMark/>
                </w:tcPr>
                <w:p w14:paraId="49922BF3" w14:textId="77777777" w:rsidR="00735419" w:rsidRPr="00991634" w:rsidRDefault="00735419" w:rsidP="001C02C2">
                  <w:pPr>
                    <w:pStyle w:val="TableTextCentered"/>
                  </w:pPr>
                  <w:r w:rsidRPr="00991634">
                    <w:t>80,000</w:t>
                  </w:r>
                </w:p>
              </w:tc>
            </w:tr>
            <w:tr w:rsidR="001C02C2" w:rsidRPr="00560F25" w14:paraId="699195C1" w14:textId="77777777" w:rsidTr="00F93145">
              <w:trPr>
                <w:trHeight w:val="288"/>
              </w:trPr>
              <w:tc>
                <w:tcPr>
                  <w:tcW w:w="545" w:type="pct"/>
                  <w:shd w:val="clear" w:color="auto" w:fill="auto"/>
                  <w:noWrap/>
                  <w:vAlign w:val="center"/>
                </w:tcPr>
                <w:p w14:paraId="0E978751" w14:textId="77777777" w:rsidR="00735419" w:rsidRPr="00991634" w:rsidRDefault="00735419" w:rsidP="001C02C2">
                  <w:pPr>
                    <w:pStyle w:val="TableTextCentered"/>
                  </w:pPr>
                  <w:r w:rsidRPr="00991634">
                    <w:t>2022-23</w:t>
                  </w:r>
                </w:p>
              </w:tc>
              <w:tc>
                <w:tcPr>
                  <w:tcW w:w="535" w:type="pct"/>
                  <w:shd w:val="clear" w:color="auto" w:fill="auto"/>
                  <w:noWrap/>
                  <w:vAlign w:val="center"/>
                  <w:hideMark/>
                </w:tcPr>
                <w:p w14:paraId="662ED935" w14:textId="77777777" w:rsidR="00735419" w:rsidRPr="00991634" w:rsidRDefault="00735419" w:rsidP="001C02C2">
                  <w:pPr>
                    <w:pStyle w:val="TableTextCentered"/>
                  </w:pPr>
                  <w:r w:rsidRPr="00991634">
                    <w:t>6.50%</w:t>
                  </w:r>
                </w:p>
              </w:tc>
              <w:tc>
                <w:tcPr>
                  <w:tcW w:w="754" w:type="pct"/>
                  <w:shd w:val="clear" w:color="auto" w:fill="auto"/>
                  <w:noWrap/>
                  <w:vAlign w:val="center"/>
                  <w:hideMark/>
                </w:tcPr>
                <w:p w14:paraId="2E4FBB98" w14:textId="77777777" w:rsidR="00735419" w:rsidRPr="00991634" w:rsidRDefault="00735419" w:rsidP="001C02C2">
                  <w:pPr>
                    <w:pStyle w:val="TableTextCentered"/>
                  </w:pPr>
                  <w:r w:rsidRPr="00991634">
                    <w:t>80,000</w:t>
                  </w:r>
                </w:p>
              </w:tc>
              <w:tc>
                <w:tcPr>
                  <w:tcW w:w="743" w:type="pct"/>
                  <w:shd w:val="clear" w:color="auto" w:fill="auto"/>
                  <w:noWrap/>
                  <w:vAlign w:val="center"/>
                  <w:hideMark/>
                </w:tcPr>
                <w:p w14:paraId="43DC7AEE" w14:textId="77777777" w:rsidR="00735419" w:rsidRPr="00991634" w:rsidRDefault="00735419" w:rsidP="001C02C2">
                  <w:pPr>
                    <w:pStyle w:val="TableTextCentered"/>
                  </w:pPr>
                  <w:r w:rsidRPr="00991634">
                    <w:t>5,200</w:t>
                  </w:r>
                </w:p>
              </w:tc>
              <w:tc>
                <w:tcPr>
                  <w:tcW w:w="775" w:type="pct"/>
                  <w:shd w:val="clear" w:color="auto" w:fill="auto"/>
                  <w:noWrap/>
                  <w:vAlign w:val="center"/>
                  <w:hideMark/>
                </w:tcPr>
                <w:p w14:paraId="7C64C596"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40FD167C" w14:textId="77777777" w:rsidR="00735419" w:rsidRPr="00991634" w:rsidRDefault="00735419" w:rsidP="001C02C2">
                  <w:pPr>
                    <w:pStyle w:val="TableTextCentered"/>
                  </w:pPr>
                  <w:r w:rsidRPr="00991634">
                    <w:t>15,200</w:t>
                  </w:r>
                </w:p>
              </w:tc>
              <w:tc>
                <w:tcPr>
                  <w:tcW w:w="705" w:type="pct"/>
                  <w:shd w:val="clear" w:color="auto" w:fill="auto"/>
                  <w:noWrap/>
                  <w:vAlign w:val="center"/>
                  <w:hideMark/>
                </w:tcPr>
                <w:p w14:paraId="48546ACA" w14:textId="77777777" w:rsidR="00735419" w:rsidRPr="00991634" w:rsidRDefault="00735419" w:rsidP="001C02C2">
                  <w:pPr>
                    <w:pStyle w:val="TableTextCentered"/>
                  </w:pPr>
                  <w:r w:rsidRPr="00991634">
                    <w:t>70,000</w:t>
                  </w:r>
                </w:p>
              </w:tc>
            </w:tr>
            <w:tr w:rsidR="001C02C2" w:rsidRPr="00560F25" w14:paraId="16F4EA48" w14:textId="77777777" w:rsidTr="00F93145">
              <w:trPr>
                <w:trHeight w:val="288"/>
              </w:trPr>
              <w:tc>
                <w:tcPr>
                  <w:tcW w:w="545" w:type="pct"/>
                  <w:shd w:val="clear" w:color="auto" w:fill="auto"/>
                  <w:noWrap/>
                  <w:vAlign w:val="center"/>
                </w:tcPr>
                <w:p w14:paraId="112B0D2B" w14:textId="77777777" w:rsidR="00735419" w:rsidRPr="00991634" w:rsidRDefault="00735419" w:rsidP="001C02C2">
                  <w:pPr>
                    <w:pStyle w:val="TableTextCentered"/>
                  </w:pPr>
                  <w:r w:rsidRPr="00991634">
                    <w:t>2023-24</w:t>
                  </w:r>
                </w:p>
              </w:tc>
              <w:tc>
                <w:tcPr>
                  <w:tcW w:w="535" w:type="pct"/>
                  <w:shd w:val="clear" w:color="auto" w:fill="auto"/>
                  <w:noWrap/>
                  <w:vAlign w:val="center"/>
                  <w:hideMark/>
                </w:tcPr>
                <w:p w14:paraId="3BA4EE5B" w14:textId="77777777" w:rsidR="00735419" w:rsidRPr="00991634" w:rsidRDefault="00735419" w:rsidP="001C02C2">
                  <w:pPr>
                    <w:pStyle w:val="TableTextCentered"/>
                  </w:pPr>
                  <w:r w:rsidRPr="00991634">
                    <w:t>8.00%</w:t>
                  </w:r>
                </w:p>
              </w:tc>
              <w:tc>
                <w:tcPr>
                  <w:tcW w:w="754" w:type="pct"/>
                  <w:shd w:val="clear" w:color="auto" w:fill="auto"/>
                  <w:noWrap/>
                  <w:vAlign w:val="center"/>
                  <w:hideMark/>
                </w:tcPr>
                <w:p w14:paraId="4158FAB1" w14:textId="77777777" w:rsidR="00735419" w:rsidRPr="00991634" w:rsidRDefault="00735419" w:rsidP="001C02C2">
                  <w:pPr>
                    <w:pStyle w:val="TableTextCentered"/>
                  </w:pPr>
                  <w:r w:rsidRPr="00991634">
                    <w:t>70,000</w:t>
                  </w:r>
                </w:p>
              </w:tc>
              <w:tc>
                <w:tcPr>
                  <w:tcW w:w="743" w:type="pct"/>
                  <w:shd w:val="clear" w:color="auto" w:fill="auto"/>
                  <w:noWrap/>
                  <w:vAlign w:val="center"/>
                  <w:hideMark/>
                </w:tcPr>
                <w:p w14:paraId="0D9625C8" w14:textId="77777777" w:rsidR="00735419" w:rsidRPr="00991634" w:rsidRDefault="00735419" w:rsidP="001C02C2">
                  <w:pPr>
                    <w:pStyle w:val="TableTextCentered"/>
                  </w:pPr>
                  <w:r w:rsidRPr="00991634">
                    <w:t>5,600</w:t>
                  </w:r>
                </w:p>
              </w:tc>
              <w:tc>
                <w:tcPr>
                  <w:tcW w:w="775" w:type="pct"/>
                  <w:shd w:val="clear" w:color="auto" w:fill="auto"/>
                  <w:noWrap/>
                  <w:vAlign w:val="center"/>
                  <w:hideMark/>
                </w:tcPr>
                <w:p w14:paraId="54341616"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6D403F2D" w14:textId="77777777" w:rsidR="00735419" w:rsidRPr="00991634" w:rsidRDefault="00735419" w:rsidP="001C02C2">
                  <w:pPr>
                    <w:pStyle w:val="TableTextCentered"/>
                  </w:pPr>
                  <w:r w:rsidRPr="00991634">
                    <w:t>15,600</w:t>
                  </w:r>
                </w:p>
              </w:tc>
              <w:tc>
                <w:tcPr>
                  <w:tcW w:w="705" w:type="pct"/>
                  <w:shd w:val="clear" w:color="auto" w:fill="auto"/>
                  <w:noWrap/>
                  <w:vAlign w:val="center"/>
                  <w:hideMark/>
                </w:tcPr>
                <w:p w14:paraId="54C4A4D9" w14:textId="77777777" w:rsidR="00735419" w:rsidRPr="00991634" w:rsidRDefault="00735419" w:rsidP="001C02C2">
                  <w:pPr>
                    <w:pStyle w:val="TableTextCentered"/>
                  </w:pPr>
                  <w:r w:rsidRPr="00991634">
                    <w:t>60,000</w:t>
                  </w:r>
                </w:p>
              </w:tc>
            </w:tr>
            <w:tr w:rsidR="001C02C2" w:rsidRPr="00560F25" w14:paraId="1402D91D" w14:textId="77777777" w:rsidTr="00F93145">
              <w:trPr>
                <w:trHeight w:val="288"/>
              </w:trPr>
              <w:tc>
                <w:tcPr>
                  <w:tcW w:w="545" w:type="pct"/>
                  <w:shd w:val="clear" w:color="auto" w:fill="auto"/>
                  <w:noWrap/>
                  <w:vAlign w:val="center"/>
                </w:tcPr>
                <w:p w14:paraId="4CCC90A4" w14:textId="77777777" w:rsidR="00735419" w:rsidRPr="00991634" w:rsidRDefault="00735419" w:rsidP="001C02C2">
                  <w:pPr>
                    <w:pStyle w:val="TableTextCentered"/>
                  </w:pPr>
                  <w:r w:rsidRPr="00991634">
                    <w:t>2024-25</w:t>
                  </w:r>
                </w:p>
              </w:tc>
              <w:tc>
                <w:tcPr>
                  <w:tcW w:w="535" w:type="pct"/>
                  <w:shd w:val="clear" w:color="auto" w:fill="auto"/>
                  <w:noWrap/>
                  <w:vAlign w:val="center"/>
                  <w:hideMark/>
                </w:tcPr>
                <w:p w14:paraId="5ED5BE2A" w14:textId="77777777" w:rsidR="00735419" w:rsidRPr="00991634" w:rsidRDefault="00735419" w:rsidP="001C02C2">
                  <w:pPr>
                    <w:pStyle w:val="TableTextCentered"/>
                  </w:pPr>
                  <w:r w:rsidRPr="00991634">
                    <w:t>9.00%</w:t>
                  </w:r>
                </w:p>
              </w:tc>
              <w:tc>
                <w:tcPr>
                  <w:tcW w:w="754" w:type="pct"/>
                  <w:shd w:val="clear" w:color="auto" w:fill="auto"/>
                  <w:noWrap/>
                  <w:vAlign w:val="center"/>
                  <w:hideMark/>
                </w:tcPr>
                <w:p w14:paraId="48ED4240" w14:textId="77777777" w:rsidR="00735419" w:rsidRPr="00991634" w:rsidRDefault="00735419" w:rsidP="001C02C2">
                  <w:pPr>
                    <w:pStyle w:val="TableTextCentered"/>
                  </w:pPr>
                  <w:r w:rsidRPr="00991634">
                    <w:t>60,000</w:t>
                  </w:r>
                </w:p>
              </w:tc>
              <w:tc>
                <w:tcPr>
                  <w:tcW w:w="743" w:type="pct"/>
                  <w:shd w:val="clear" w:color="auto" w:fill="auto"/>
                  <w:noWrap/>
                  <w:vAlign w:val="center"/>
                  <w:hideMark/>
                </w:tcPr>
                <w:p w14:paraId="511367CB" w14:textId="77777777" w:rsidR="00735419" w:rsidRPr="00991634" w:rsidRDefault="00735419" w:rsidP="001C02C2">
                  <w:pPr>
                    <w:pStyle w:val="TableTextCentered"/>
                  </w:pPr>
                  <w:r w:rsidRPr="00991634">
                    <w:t>5,400</w:t>
                  </w:r>
                </w:p>
              </w:tc>
              <w:tc>
                <w:tcPr>
                  <w:tcW w:w="775" w:type="pct"/>
                  <w:shd w:val="clear" w:color="auto" w:fill="auto"/>
                  <w:noWrap/>
                  <w:vAlign w:val="center"/>
                  <w:hideMark/>
                </w:tcPr>
                <w:p w14:paraId="7081A8B7"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393269BE" w14:textId="77777777" w:rsidR="00735419" w:rsidRPr="00991634" w:rsidRDefault="00735419" w:rsidP="001C02C2">
                  <w:pPr>
                    <w:pStyle w:val="TableTextCentered"/>
                  </w:pPr>
                  <w:r w:rsidRPr="00991634">
                    <w:t>15,400</w:t>
                  </w:r>
                </w:p>
              </w:tc>
              <w:tc>
                <w:tcPr>
                  <w:tcW w:w="705" w:type="pct"/>
                  <w:shd w:val="clear" w:color="auto" w:fill="auto"/>
                  <w:noWrap/>
                  <w:vAlign w:val="center"/>
                  <w:hideMark/>
                </w:tcPr>
                <w:p w14:paraId="5E0F8233" w14:textId="77777777" w:rsidR="00735419" w:rsidRPr="00991634" w:rsidRDefault="00735419" w:rsidP="001C02C2">
                  <w:pPr>
                    <w:pStyle w:val="TableTextCentered"/>
                  </w:pPr>
                  <w:r w:rsidRPr="00991634">
                    <w:t>50,000</w:t>
                  </w:r>
                </w:p>
              </w:tc>
            </w:tr>
            <w:tr w:rsidR="001C02C2" w:rsidRPr="00560F25" w14:paraId="60924D31" w14:textId="77777777" w:rsidTr="00F93145">
              <w:trPr>
                <w:trHeight w:val="288"/>
              </w:trPr>
              <w:tc>
                <w:tcPr>
                  <w:tcW w:w="545" w:type="pct"/>
                  <w:shd w:val="clear" w:color="auto" w:fill="auto"/>
                  <w:noWrap/>
                  <w:vAlign w:val="center"/>
                </w:tcPr>
                <w:p w14:paraId="4C4FE74E" w14:textId="77777777" w:rsidR="00735419" w:rsidRPr="00991634" w:rsidRDefault="00735419" w:rsidP="001C02C2">
                  <w:pPr>
                    <w:pStyle w:val="TableTextCentered"/>
                  </w:pPr>
                  <w:r w:rsidRPr="00991634">
                    <w:t>2025-26</w:t>
                  </w:r>
                </w:p>
              </w:tc>
              <w:tc>
                <w:tcPr>
                  <w:tcW w:w="535" w:type="pct"/>
                  <w:shd w:val="clear" w:color="auto" w:fill="auto"/>
                  <w:noWrap/>
                  <w:vAlign w:val="center"/>
                  <w:hideMark/>
                </w:tcPr>
                <w:p w14:paraId="306976E6" w14:textId="77777777" w:rsidR="00735419" w:rsidRPr="00991634" w:rsidRDefault="00735419" w:rsidP="001C02C2">
                  <w:pPr>
                    <w:pStyle w:val="TableTextCentered"/>
                  </w:pPr>
                  <w:r w:rsidRPr="00991634">
                    <w:t>8.25%</w:t>
                  </w:r>
                </w:p>
              </w:tc>
              <w:tc>
                <w:tcPr>
                  <w:tcW w:w="754" w:type="pct"/>
                  <w:shd w:val="clear" w:color="auto" w:fill="auto"/>
                  <w:noWrap/>
                  <w:vAlign w:val="center"/>
                  <w:hideMark/>
                </w:tcPr>
                <w:p w14:paraId="59032E0B" w14:textId="77777777" w:rsidR="00735419" w:rsidRPr="00991634" w:rsidRDefault="00735419" w:rsidP="001C02C2">
                  <w:pPr>
                    <w:pStyle w:val="TableTextCentered"/>
                  </w:pPr>
                  <w:r w:rsidRPr="00991634">
                    <w:t>50,000</w:t>
                  </w:r>
                </w:p>
              </w:tc>
              <w:tc>
                <w:tcPr>
                  <w:tcW w:w="743" w:type="pct"/>
                  <w:shd w:val="clear" w:color="auto" w:fill="auto"/>
                  <w:noWrap/>
                  <w:vAlign w:val="center"/>
                  <w:hideMark/>
                </w:tcPr>
                <w:p w14:paraId="6A0A49B0" w14:textId="77777777" w:rsidR="00735419" w:rsidRPr="00991634" w:rsidRDefault="00735419" w:rsidP="001C02C2">
                  <w:pPr>
                    <w:pStyle w:val="TableTextCentered"/>
                  </w:pPr>
                  <w:r w:rsidRPr="00991634">
                    <w:t>4,125</w:t>
                  </w:r>
                </w:p>
              </w:tc>
              <w:tc>
                <w:tcPr>
                  <w:tcW w:w="775" w:type="pct"/>
                  <w:shd w:val="clear" w:color="auto" w:fill="auto"/>
                  <w:noWrap/>
                  <w:vAlign w:val="center"/>
                  <w:hideMark/>
                </w:tcPr>
                <w:p w14:paraId="27B9E225"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21256CED" w14:textId="77777777" w:rsidR="00735419" w:rsidRPr="00991634" w:rsidRDefault="00735419" w:rsidP="001C02C2">
                  <w:pPr>
                    <w:pStyle w:val="TableTextCentered"/>
                  </w:pPr>
                  <w:r w:rsidRPr="00991634">
                    <w:t>14,125</w:t>
                  </w:r>
                </w:p>
              </w:tc>
              <w:tc>
                <w:tcPr>
                  <w:tcW w:w="705" w:type="pct"/>
                  <w:shd w:val="clear" w:color="auto" w:fill="auto"/>
                  <w:noWrap/>
                  <w:vAlign w:val="center"/>
                  <w:hideMark/>
                </w:tcPr>
                <w:p w14:paraId="33D07E84" w14:textId="77777777" w:rsidR="00735419" w:rsidRPr="00991634" w:rsidRDefault="00735419" w:rsidP="001C02C2">
                  <w:pPr>
                    <w:pStyle w:val="TableTextCentered"/>
                  </w:pPr>
                  <w:r w:rsidRPr="00991634">
                    <w:t>40,000</w:t>
                  </w:r>
                </w:p>
              </w:tc>
            </w:tr>
            <w:tr w:rsidR="001C02C2" w:rsidRPr="00560F25" w14:paraId="1371A8DE" w14:textId="77777777" w:rsidTr="00F93145">
              <w:trPr>
                <w:trHeight w:val="288"/>
              </w:trPr>
              <w:tc>
                <w:tcPr>
                  <w:tcW w:w="545" w:type="pct"/>
                  <w:shd w:val="clear" w:color="auto" w:fill="auto"/>
                  <w:noWrap/>
                  <w:vAlign w:val="center"/>
                </w:tcPr>
                <w:p w14:paraId="67A83654" w14:textId="77777777" w:rsidR="00735419" w:rsidRPr="00991634" w:rsidRDefault="00735419" w:rsidP="001C02C2">
                  <w:pPr>
                    <w:pStyle w:val="TableTextCentered"/>
                  </w:pPr>
                  <w:r w:rsidRPr="00991634">
                    <w:t>2026-27</w:t>
                  </w:r>
                </w:p>
              </w:tc>
              <w:tc>
                <w:tcPr>
                  <w:tcW w:w="535" w:type="pct"/>
                  <w:shd w:val="clear" w:color="auto" w:fill="auto"/>
                  <w:noWrap/>
                  <w:vAlign w:val="center"/>
                  <w:hideMark/>
                </w:tcPr>
                <w:p w14:paraId="3B391313" w14:textId="77777777" w:rsidR="00735419" w:rsidRPr="00991634" w:rsidRDefault="00735419" w:rsidP="001C02C2">
                  <w:pPr>
                    <w:pStyle w:val="TableTextCentered"/>
                  </w:pPr>
                  <w:r w:rsidRPr="00991634">
                    <w:t>7.90%</w:t>
                  </w:r>
                </w:p>
              </w:tc>
              <w:tc>
                <w:tcPr>
                  <w:tcW w:w="754" w:type="pct"/>
                  <w:shd w:val="clear" w:color="auto" w:fill="auto"/>
                  <w:noWrap/>
                  <w:vAlign w:val="center"/>
                  <w:hideMark/>
                </w:tcPr>
                <w:p w14:paraId="179DA296" w14:textId="77777777" w:rsidR="00735419" w:rsidRPr="00991634" w:rsidRDefault="00735419" w:rsidP="001C02C2">
                  <w:pPr>
                    <w:pStyle w:val="TableTextCentered"/>
                  </w:pPr>
                  <w:r w:rsidRPr="00991634">
                    <w:t>40,000</w:t>
                  </w:r>
                </w:p>
              </w:tc>
              <w:tc>
                <w:tcPr>
                  <w:tcW w:w="743" w:type="pct"/>
                  <w:shd w:val="clear" w:color="auto" w:fill="auto"/>
                  <w:noWrap/>
                  <w:vAlign w:val="center"/>
                  <w:hideMark/>
                </w:tcPr>
                <w:p w14:paraId="15731070" w14:textId="77777777" w:rsidR="00735419" w:rsidRPr="00991634" w:rsidRDefault="00735419" w:rsidP="001C02C2">
                  <w:pPr>
                    <w:pStyle w:val="TableTextCentered"/>
                  </w:pPr>
                  <w:r w:rsidRPr="00991634">
                    <w:t>3,160</w:t>
                  </w:r>
                </w:p>
              </w:tc>
              <w:tc>
                <w:tcPr>
                  <w:tcW w:w="775" w:type="pct"/>
                  <w:shd w:val="clear" w:color="auto" w:fill="auto"/>
                  <w:noWrap/>
                  <w:vAlign w:val="center"/>
                  <w:hideMark/>
                </w:tcPr>
                <w:p w14:paraId="7A4A5826"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1124A43E" w14:textId="77777777" w:rsidR="00735419" w:rsidRPr="00991634" w:rsidRDefault="00735419" w:rsidP="001C02C2">
                  <w:pPr>
                    <w:pStyle w:val="TableTextCentered"/>
                  </w:pPr>
                  <w:r w:rsidRPr="00991634">
                    <w:t>13,160</w:t>
                  </w:r>
                </w:p>
              </w:tc>
              <w:tc>
                <w:tcPr>
                  <w:tcW w:w="705" w:type="pct"/>
                  <w:shd w:val="clear" w:color="auto" w:fill="auto"/>
                  <w:noWrap/>
                  <w:vAlign w:val="center"/>
                  <w:hideMark/>
                </w:tcPr>
                <w:p w14:paraId="45BD8A5B" w14:textId="77777777" w:rsidR="00735419" w:rsidRPr="00991634" w:rsidRDefault="00735419" w:rsidP="001C02C2">
                  <w:pPr>
                    <w:pStyle w:val="TableTextCentered"/>
                  </w:pPr>
                  <w:r w:rsidRPr="00991634">
                    <w:t>30,000</w:t>
                  </w:r>
                </w:p>
              </w:tc>
            </w:tr>
            <w:tr w:rsidR="001C02C2" w:rsidRPr="00560F25" w14:paraId="46CB262F" w14:textId="77777777" w:rsidTr="00F93145">
              <w:trPr>
                <w:trHeight w:val="288"/>
              </w:trPr>
              <w:tc>
                <w:tcPr>
                  <w:tcW w:w="545" w:type="pct"/>
                  <w:shd w:val="clear" w:color="auto" w:fill="auto"/>
                  <w:noWrap/>
                  <w:vAlign w:val="center"/>
                </w:tcPr>
                <w:p w14:paraId="0A67FE08" w14:textId="77777777" w:rsidR="00735419" w:rsidRPr="00991634" w:rsidRDefault="00735419" w:rsidP="001C02C2">
                  <w:pPr>
                    <w:pStyle w:val="TableTextCentered"/>
                  </w:pPr>
                  <w:r w:rsidRPr="00991634">
                    <w:t>2027-28</w:t>
                  </w:r>
                </w:p>
              </w:tc>
              <w:tc>
                <w:tcPr>
                  <w:tcW w:w="535" w:type="pct"/>
                  <w:shd w:val="clear" w:color="auto" w:fill="auto"/>
                  <w:noWrap/>
                  <w:vAlign w:val="center"/>
                  <w:hideMark/>
                </w:tcPr>
                <w:p w14:paraId="528920EB" w14:textId="77777777" w:rsidR="00735419" w:rsidRPr="00991634" w:rsidRDefault="00735419" w:rsidP="001C02C2">
                  <w:pPr>
                    <w:pStyle w:val="TableTextCentered"/>
                  </w:pPr>
                  <w:r w:rsidRPr="00991634">
                    <w:t>8.00%</w:t>
                  </w:r>
                </w:p>
              </w:tc>
              <w:tc>
                <w:tcPr>
                  <w:tcW w:w="754" w:type="pct"/>
                  <w:shd w:val="clear" w:color="auto" w:fill="auto"/>
                  <w:noWrap/>
                  <w:vAlign w:val="center"/>
                  <w:hideMark/>
                </w:tcPr>
                <w:p w14:paraId="71C0B10F" w14:textId="77777777" w:rsidR="00735419" w:rsidRPr="00991634" w:rsidRDefault="00735419" w:rsidP="001C02C2">
                  <w:pPr>
                    <w:pStyle w:val="TableTextCentered"/>
                  </w:pPr>
                  <w:r w:rsidRPr="00991634">
                    <w:t>30,000</w:t>
                  </w:r>
                </w:p>
              </w:tc>
              <w:tc>
                <w:tcPr>
                  <w:tcW w:w="743" w:type="pct"/>
                  <w:shd w:val="clear" w:color="auto" w:fill="auto"/>
                  <w:noWrap/>
                  <w:vAlign w:val="center"/>
                  <w:hideMark/>
                </w:tcPr>
                <w:p w14:paraId="0855768D" w14:textId="77777777" w:rsidR="00735419" w:rsidRPr="00991634" w:rsidRDefault="00735419" w:rsidP="001C02C2">
                  <w:pPr>
                    <w:pStyle w:val="TableTextCentered"/>
                  </w:pPr>
                  <w:r w:rsidRPr="00991634">
                    <w:t>2,400</w:t>
                  </w:r>
                </w:p>
              </w:tc>
              <w:tc>
                <w:tcPr>
                  <w:tcW w:w="775" w:type="pct"/>
                  <w:shd w:val="clear" w:color="auto" w:fill="auto"/>
                  <w:noWrap/>
                  <w:vAlign w:val="center"/>
                  <w:hideMark/>
                </w:tcPr>
                <w:p w14:paraId="51B1BA7D"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2A4C4140" w14:textId="77777777" w:rsidR="00735419" w:rsidRPr="00991634" w:rsidRDefault="00735419" w:rsidP="001C02C2">
                  <w:pPr>
                    <w:pStyle w:val="TableTextCentered"/>
                  </w:pPr>
                  <w:r w:rsidRPr="00991634">
                    <w:t>12,400</w:t>
                  </w:r>
                </w:p>
              </w:tc>
              <w:tc>
                <w:tcPr>
                  <w:tcW w:w="705" w:type="pct"/>
                  <w:shd w:val="clear" w:color="auto" w:fill="auto"/>
                  <w:noWrap/>
                  <w:vAlign w:val="center"/>
                  <w:hideMark/>
                </w:tcPr>
                <w:p w14:paraId="4A70070C" w14:textId="77777777" w:rsidR="00735419" w:rsidRPr="00991634" w:rsidRDefault="00735419" w:rsidP="001C02C2">
                  <w:pPr>
                    <w:pStyle w:val="TableTextCentered"/>
                  </w:pPr>
                  <w:r w:rsidRPr="00991634">
                    <w:t>20,000</w:t>
                  </w:r>
                </w:p>
              </w:tc>
            </w:tr>
            <w:tr w:rsidR="001C02C2" w:rsidRPr="00560F25" w14:paraId="6E2EA585" w14:textId="77777777" w:rsidTr="00F93145">
              <w:trPr>
                <w:trHeight w:val="288"/>
              </w:trPr>
              <w:tc>
                <w:tcPr>
                  <w:tcW w:w="545" w:type="pct"/>
                  <w:shd w:val="clear" w:color="auto" w:fill="auto"/>
                  <w:noWrap/>
                  <w:vAlign w:val="center"/>
                </w:tcPr>
                <w:p w14:paraId="7A84B635" w14:textId="77777777" w:rsidR="00735419" w:rsidRPr="00991634" w:rsidRDefault="00735419" w:rsidP="001C02C2">
                  <w:pPr>
                    <w:pStyle w:val="TableTextCentered"/>
                  </w:pPr>
                  <w:r w:rsidRPr="00991634">
                    <w:t>2028-29</w:t>
                  </w:r>
                </w:p>
              </w:tc>
              <w:tc>
                <w:tcPr>
                  <w:tcW w:w="535" w:type="pct"/>
                  <w:shd w:val="clear" w:color="auto" w:fill="auto"/>
                  <w:noWrap/>
                  <w:vAlign w:val="center"/>
                  <w:hideMark/>
                </w:tcPr>
                <w:p w14:paraId="504F06FD" w14:textId="77777777" w:rsidR="00735419" w:rsidRPr="00991634" w:rsidRDefault="00735419" w:rsidP="001C02C2">
                  <w:pPr>
                    <w:pStyle w:val="TableTextCentered"/>
                  </w:pPr>
                  <w:r w:rsidRPr="00991634">
                    <w:t>9.20%</w:t>
                  </w:r>
                </w:p>
              </w:tc>
              <w:tc>
                <w:tcPr>
                  <w:tcW w:w="754" w:type="pct"/>
                  <w:shd w:val="clear" w:color="auto" w:fill="auto"/>
                  <w:noWrap/>
                  <w:vAlign w:val="center"/>
                  <w:hideMark/>
                </w:tcPr>
                <w:p w14:paraId="02CBFBCB" w14:textId="77777777" w:rsidR="00735419" w:rsidRPr="00991634" w:rsidRDefault="00735419" w:rsidP="001C02C2">
                  <w:pPr>
                    <w:pStyle w:val="TableTextCentered"/>
                  </w:pPr>
                  <w:r w:rsidRPr="00991634">
                    <w:t>20,000</w:t>
                  </w:r>
                </w:p>
              </w:tc>
              <w:tc>
                <w:tcPr>
                  <w:tcW w:w="743" w:type="pct"/>
                  <w:shd w:val="clear" w:color="auto" w:fill="auto"/>
                  <w:noWrap/>
                  <w:vAlign w:val="center"/>
                  <w:hideMark/>
                </w:tcPr>
                <w:p w14:paraId="66875317" w14:textId="77777777" w:rsidR="00735419" w:rsidRPr="00991634" w:rsidRDefault="00735419" w:rsidP="001C02C2">
                  <w:pPr>
                    <w:pStyle w:val="TableTextCentered"/>
                  </w:pPr>
                  <w:r w:rsidRPr="00991634">
                    <w:t>1,840</w:t>
                  </w:r>
                </w:p>
              </w:tc>
              <w:tc>
                <w:tcPr>
                  <w:tcW w:w="775" w:type="pct"/>
                  <w:shd w:val="clear" w:color="auto" w:fill="auto"/>
                  <w:noWrap/>
                  <w:vAlign w:val="center"/>
                  <w:hideMark/>
                </w:tcPr>
                <w:p w14:paraId="708B89F9"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34390686" w14:textId="77777777" w:rsidR="00735419" w:rsidRPr="00991634" w:rsidRDefault="00735419" w:rsidP="001C02C2">
                  <w:pPr>
                    <w:pStyle w:val="TableTextCentered"/>
                  </w:pPr>
                  <w:r w:rsidRPr="00991634">
                    <w:t>11,840</w:t>
                  </w:r>
                </w:p>
              </w:tc>
              <w:tc>
                <w:tcPr>
                  <w:tcW w:w="705" w:type="pct"/>
                  <w:shd w:val="clear" w:color="auto" w:fill="auto"/>
                  <w:noWrap/>
                  <w:vAlign w:val="center"/>
                  <w:hideMark/>
                </w:tcPr>
                <w:p w14:paraId="0ABC2045" w14:textId="77777777" w:rsidR="00735419" w:rsidRPr="00991634" w:rsidRDefault="00735419" w:rsidP="001C02C2">
                  <w:pPr>
                    <w:pStyle w:val="TableTextCentered"/>
                  </w:pPr>
                  <w:r w:rsidRPr="00991634">
                    <w:t>10,000</w:t>
                  </w:r>
                </w:p>
              </w:tc>
            </w:tr>
            <w:tr w:rsidR="001C02C2" w:rsidRPr="00560F25" w14:paraId="5360E98B" w14:textId="77777777" w:rsidTr="00F93145">
              <w:trPr>
                <w:trHeight w:val="288"/>
              </w:trPr>
              <w:tc>
                <w:tcPr>
                  <w:tcW w:w="545" w:type="pct"/>
                  <w:shd w:val="clear" w:color="auto" w:fill="auto"/>
                  <w:noWrap/>
                  <w:vAlign w:val="center"/>
                </w:tcPr>
                <w:p w14:paraId="0E90D0D6" w14:textId="77777777" w:rsidR="00735419" w:rsidRPr="00991634" w:rsidRDefault="00735419" w:rsidP="001C02C2">
                  <w:pPr>
                    <w:pStyle w:val="TableTextCentered"/>
                  </w:pPr>
                  <w:r w:rsidRPr="00991634">
                    <w:t>2029-30</w:t>
                  </w:r>
                </w:p>
              </w:tc>
              <w:tc>
                <w:tcPr>
                  <w:tcW w:w="535" w:type="pct"/>
                  <w:shd w:val="clear" w:color="auto" w:fill="auto"/>
                  <w:noWrap/>
                  <w:vAlign w:val="center"/>
                  <w:hideMark/>
                </w:tcPr>
                <w:p w14:paraId="64A85C69" w14:textId="77777777" w:rsidR="00735419" w:rsidRPr="00991634" w:rsidRDefault="00735419" w:rsidP="001C02C2">
                  <w:pPr>
                    <w:pStyle w:val="TableTextCentered"/>
                  </w:pPr>
                  <w:r w:rsidRPr="00991634">
                    <w:t>7.50%</w:t>
                  </w:r>
                </w:p>
              </w:tc>
              <w:tc>
                <w:tcPr>
                  <w:tcW w:w="754" w:type="pct"/>
                  <w:shd w:val="clear" w:color="auto" w:fill="auto"/>
                  <w:noWrap/>
                  <w:vAlign w:val="center"/>
                  <w:hideMark/>
                </w:tcPr>
                <w:p w14:paraId="29EE0A9A" w14:textId="77777777" w:rsidR="00735419" w:rsidRPr="00991634" w:rsidRDefault="00735419" w:rsidP="001C02C2">
                  <w:pPr>
                    <w:pStyle w:val="TableTextCentered"/>
                  </w:pPr>
                  <w:r w:rsidRPr="00991634">
                    <w:t>10,000</w:t>
                  </w:r>
                </w:p>
              </w:tc>
              <w:tc>
                <w:tcPr>
                  <w:tcW w:w="743" w:type="pct"/>
                  <w:shd w:val="clear" w:color="auto" w:fill="auto"/>
                  <w:noWrap/>
                  <w:vAlign w:val="center"/>
                  <w:hideMark/>
                </w:tcPr>
                <w:p w14:paraId="2C198359" w14:textId="77777777" w:rsidR="00735419" w:rsidRPr="00991634" w:rsidRDefault="00735419" w:rsidP="001C02C2">
                  <w:pPr>
                    <w:pStyle w:val="TableTextCentered"/>
                  </w:pPr>
                  <w:r w:rsidRPr="00991634">
                    <w:t>750</w:t>
                  </w:r>
                </w:p>
              </w:tc>
              <w:tc>
                <w:tcPr>
                  <w:tcW w:w="775" w:type="pct"/>
                  <w:shd w:val="clear" w:color="auto" w:fill="auto"/>
                  <w:noWrap/>
                  <w:vAlign w:val="center"/>
                  <w:hideMark/>
                </w:tcPr>
                <w:p w14:paraId="69D0B928" w14:textId="77777777" w:rsidR="00735419" w:rsidRPr="00991634" w:rsidRDefault="00735419" w:rsidP="001C02C2">
                  <w:pPr>
                    <w:pStyle w:val="TableTextCentered"/>
                  </w:pPr>
                  <w:r w:rsidRPr="00991634">
                    <w:t>10,000</w:t>
                  </w:r>
                </w:p>
              </w:tc>
              <w:tc>
                <w:tcPr>
                  <w:tcW w:w="943" w:type="pct"/>
                  <w:shd w:val="clear" w:color="auto" w:fill="auto"/>
                  <w:noWrap/>
                  <w:vAlign w:val="center"/>
                  <w:hideMark/>
                </w:tcPr>
                <w:p w14:paraId="075C2CD8" w14:textId="77777777" w:rsidR="00735419" w:rsidRPr="00991634" w:rsidRDefault="00735419" w:rsidP="001C02C2">
                  <w:pPr>
                    <w:pStyle w:val="TableTextCentered"/>
                  </w:pPr>
                  <w:r w:rsidRPr="00991634">
                    <w:t>10,750</w:t>
                  </w:r>
                </w:p>
              </w:tc>
              <w:tc>
                <w:tcPr>
                  <w:tcW w:w="705" w:type="pct"/>
                  <w:shd w:val="clear" w:color="auto" w:fill="auto"/>
                  <w:noWrap/>
                  <w:vAlign w:val="center"/>
                  <w:hideMark/>
                </w:tcPr>
                <w:p w14:paraId="763110DD" w14:textId="77777777" w:rsidR="00735419" w:rsidRPr="00991634" w:rsidRDefault="00735419" w:rsidP="001C02C2">
                  <w:pPr>
                    <w:pStyle w:val="TableTextCentered"/>
                  </w:pPr>
                  <w:r w:rsidRPr="00991634">
                    <w:t>0</w:t>
                  </w:r>
                </w:p>
              </w:tc>
            </w:tr>
          </w:tbl>
          <w:p w14:paraId="2D5247F8" w14:textId="77777777" w:rsidR="00735419" w:rsidRDefault="00735419" w:rsidP="00F93145">
            <w:pPr>
              <w:pStyle w:val="ChartorTableNote"/>
            </w:pPr>
            <w:r>
              <w:t>*Interest rates shown are for illustrative purposes only</w:t>
            </w:r>
          </w:p>
          <w:p w14:paraId="34B0258F" w14:textId="4138AEC7" w:rsidR="00735419" w:rsidRDefault="00735419" w:rsidP="00735419">
            <w:pPr>
              <w:pStyle w:val="BoxText"/>
            </w:pPr>
            <w:r>
              <w:t>The interest paid by Bert each year will be taxed as income to Sesame Pty Ltd at its corporate tax rate.</w:t>
            </w:r>
          </w:p>
          <w:p w14:paraId="649DB291" w14:textId="1AB4628B" w:rsidR="00735419" w:rsidRDefault="00735419" w:rsidP="00735419">
            <w:pPr>
              <w:pStyle w:val="Bullet"/>
            </w:pPr>
            <w:r>
              <w:t xml:space="preserve">If the repayment actually made in the income year is </w:t>
            </w:r>
            <w:r w:rsidRPr="00735419">
              <w:t>less</w:t>
            </w:r>
            <w:r>
              <w:t xml:space="preserve"> than the required minimum yearly repayment, a deemed dividend will arise for the amount of the shortfall between the minimum yearly repayment and the actual repayment made for that income year. </w:t>
            </w:r>
          </w:p>
          <w:p w14:paraId="26B425AD" w14:textId="21D44BD9" w:rsidR="00735419" w:rsidRPr="00735419" w:rsidRDefault="00735419" w:rsidP="007F74C6">
            <w:pPr>
              <w:pStyle w:val="Dash"/>
            </w:pPr>
            <w:r>
              <w:t>For example, the minimum yearly repayment in the above loan model example for the 2022-23 income year would be $15,200. If the actual repayment made in the 2022-23 income year was $12,200, the deemed dividend would be $3,000. Bert will include this $3,000 as income for the year, and pay tax at his marginal tax rate.</w:t>
            </w:r>
          </w:p>
        </w:tc>
      </w:tr>
    </w:tbl>
    <w:p w14:paraId="4062CE4A" w14:textId="77777777" w:rsidR="009D1D80" w:rsidRPr="00735419" w:rsidRDefault="009D1D80" w:rsidP="00735419"/>
    <w:p w14:paraId="2695C932" w14:textId="1BF26C46" w:rsidR="00472760" w:rsidRDefault="00481B8B" w:rsidP="001A66B8">
      <w:pPr>
        <w:pStyle w:val="Heading2"/>
      </w:pPr>
      <w:bookmarkStart w:id="17" w:name="_Toc488418668"/>
      <w:bookmarkStart w:id="18" w:name="_Toc501458771"/>
      <w:bookmarkStart w:id="19" w:name="_Toc525813297"/>
      <w:r>
        <w:t xml:space="preserve">Transitional </w:t>
      </w:r>
      <w:r w:rsidRPr="001A66B8">
        <w:t>r</w:t>
      </w:r>
      <w:r w:rsidR="00472760" w:rsidRPr="001A66B8">
        <w:t>ules</w:t>
      </w:r>
      <w:bookmarkEnd w:id="17"/>
      <w:bookmarkEnd w:id="18"/>
      <w:bookmarkEnd w:id="19"/>
    </w:p>
    <w:p w14:paraId="20A8152F" w14:textId="4B6766C2" w:rsidR="00472760" w:rsidRDefault="009C1630" w:rsidP="00472760">
      <w:pPr>
        <w:jc w:val="both"/>
      </w:pPr>
      <w:r>
        <w:t>Transitional rules will be introduced to allow taxpayers that have existing 7 or 25 year loans to transition</w:t>
      </w:r>
      <w:r w:rsidR="001A66B8">
        <w:t xml:space="preserve"> to the new 10 year loan model.</w:t>
      </w:r>
    </w:p>
    <w:p w14:paraId="6B41798C" w14:textId="58DDEE07" w:rsidR="00472760" w:rsidRDefault="00472760" w:rsidP="001A66B8">
      <w:pPr>
        <w:pStyle w:val="Heading3"/>
      </w:pPr>
      <w:bookmarkStart w:id="20" w:name="_Toc525813298"/>
      <w:r w:rsidRPr="006D7774">
        <w:t xml:space="preserve">7 </w:t>
      </w:r>
      <w:r w:rsidR="00FB12F4">
        <w:t>y</w:t>
      </w:r>
      <w:r w:rsidRPr="006D7774">
        <w:t xml:space="preserve">ear </w:t>
      </w:r>
      <w:r w:rsidR="00FB12F4" w:rsidRPr="001A66B8">
        <w:t>l</w:t>
      </w:r>
      <w:r w:rsidRPr="001A66B8">
        <w:t>oans</w:t>
      </w:r>
      <w:bookmarkEnd w:id="20"/>
    </w:p>
    <w:p w14:paraId="5BBADEA7" w14:textId="303F0D67" w:rsidR="005529FF" w:rsidRDefault="00472760" w:rsidP="00472760">
      <w:pPr>
        <w:pStyle w:val="Bullet"/>
        <w:numPr>
          <w:ilvl w:val="0"/>
          <w:numId w:val="0"/>
        </w:numPr>
        <w:jc w:val="both"/>
        <w:rPr>
          <w:szCs w:val="22"/>
        </w:rPr>
      </w:pPr>
      <w:r>
        <w:rPr>
          <w:szCs w:val="22"/>
        </w:rPr>
        <w:t xml:space="preserve">All </w:t>
      </w:r>
      <w:r w:rsidR="009C1630">
        <w:rPr>
          <w:szCs w:val="22"/>
        </w:rPr>
        <w:t xml:space="preserve">complying </w:t>
      </w:r>
      <w:r w:rsidRPr="00B764FC">
        <w:rPr>
          <w:szCs w:val="22"/>
        </w:rPr>
        <w:t xml:space="preserve">7 year loans in </w:t>
      </w:r>
      <w:r>
        <w:rPr>
          <w:szCs w:val="22"/>
        </w:rPr>
        <w:t xml:space="preserve">existence </w:t>
      </w:r>
      <w:r w:rsidRPr="00B764FC">
        <w:rPr>
          <w:szCs w:val="22"/>
        </w:rPr>
        <w:t xml:space="preserve">as at 30 June </w:t>
      </w:r>
      <w:r w:rsidR="00B8394A" w:rsidRPr="00B764FC">
        <w:rPr>
          <w:szCs w:val="22"/>
        </w:rPr>
        <w:t>201</w:t>
      </w:r>
      <w:r w:rsidR="00B8394A">
        <w:rPr>
          <w:szCs w:val="22"/>
        </w:rPr>
        <w:t>9</w:t>
      </w:r>
      <w:r w:rsidR="00B8394A" w:rsidRPr="00B764FC">
        <w:rPr>
          <w:szCs w:val="22"/>
        </w:rPr>
        <w:t xml:space="preserve"> </w:t>
      </w:r>
      <w:r w:rsidR="00BA5630">
        <w:rPr>
          <w:szCs w:val="22"/>
        </w:rPr>
        <w:t>must comply with</w:t>
      </w:r>
      <w:r w:rsidR="005529FF">
        <w:rPr>
          <w:szCs w:val="22"/>
        </w:rPr>
        <w:t xml:space="preserve"> the new proposed loan model and new benchmark interest rate</w:t>
      </w:r>
      <w:r w:rsidR="00BA5630">
        <w:rPr>
          <w:szCs w:val="22"/>
        </w:rPr>
        <w:t xml:space="preserve"> to remain complying loans</w:t>
      </w:r>
      <w:r w:rsidR="005529FF">
        <w:rPr>
          <w:szCs w:val="22"/>
        </w:rPr>
        <w:t>, but will retain t</w:t>
      </w:r>
      <w:r w:rsidR="001A66B8">
        <w:rPr>
          <w:szCs w:val="22"/>
        </w:rPr>
        <w:t>heir existing outstanding term.</w:t>
      </w:r>
    </w:p>
    <w:p w14:paraId="64DC66F6" w14:textId="3D9D210A" w:rsidR="005529FF" w:rsidRDefault="005529FF" w:rsidP="00472760">
      <w:pPr>
        <w:pStyle w:val="Bullet"/>
        <w:numPr>
          <w:ilvl w:val="0"/>
          <w:numId w:val="0"/>
        </w:numPr>
        <w:jc w:val="both"/>
        <w:rPr>
          <w:szCs w:val="22"/>
        </w:rPr>
      </w:pPr>
      <w:r>
        <w:rPr>
          <w:szCs w:val="22"/>
        </w:rPr>
        <w:t>For instance</w:t>
      </w:r>
      <w:r w:rsidR="003B7FC6">
        <w:rPr>
          <w:szCs w:val="22"/>
        </w:rPr>
        <w:t>,</w:t>
      </w:r>
      <w:r>
        <w:rPr>
          <w:szCs w:val="22"/>
        </w:rPr>
        <w:t xml:space="preserve"> a loan maturing 30 June 2021 will continue to mature on this date. This means that under the transitional rule</w:t>
      </w:r>
      <w:r w:rsidR="009C1630">
        <w:rPr>
          <w:szCs w:val="22"/>
        </w:rPr>
        <w:t>s</w:t>
      </w:r>
      <w:r>
        <w:rPr>
          <w:szCs w:val="22"/>
        </w:rPr>
        <w:t>, its</w:t>
      </w:r>
      <w:r w:rsidR="00782D90">
        <w:rPr>
          <w:szCs w:val="22"/>
        </w:rPr>
        <w:t xml:space="preserve"> remaining</w:t>
      </w:r>
      <w:r>
        <w:rPr>
          <w:szCs w:val="22"/>
        </w:rPr>
        <w:t xml:space="preserve"> term will be 2 years. The outstanding loan balance would be repayable over </w:t>
      </w:r>
      <w:r w:rsidR="00BA5630">
        <w:rPr>
          <w:szCs w:val="22"/>
        </w:rPr>
        <w:t>2 years</w:t>
      </w:r>
      <w:r>
        <w:rPr>
          <w:szCs w:val="22"/>
        </w:rPr>
        <w:t>, and interest would be charged using the new benchmark interest rate</w:t>
      </w:r>
      <w:r w:rsidR="00BA5630">
        <w:rPr>
          <w:szCs w:val="22"/>
        </w:rPr>
        <w:t xml:space="preserve"> under the proposed model</w:t>
      </w:r>
      <w:r>
        <w:rPr>
          <w:szCs w:val="22"/>
        </w:rPr>
        <w:t>.</w:t>
      </w:r>
    </w:p>
    <w:p w14:paraId="5F693A79" w14:textId="48DA4950" w:rsidR="00451092" w:rsidRDefault="00BA5630" w:rsidP="003B7FC6">
      <w:pPr>
        <w:pStyle w:val="Bullet"/>
        <w:numPr>
          <w:ilvl w:val="0"/>
          <w:numId w:val="0"/>
        </w:numPr>
        <w:jc w:val="both"/>
        <w:rPr>
          <w:szCs w:val="22"/>
        </w:rPr>
      </w:pPr>
      <w:r>
        <w:rPr>
          <w:szCs w:val="22"/>
        </w:rPr>
        <w:t xml:space="preserve">Current </w:t>
      </w:r>
      <w:r w:rsidR="005F49CF">
        <w:rPr>
          <w:szCs w:val="22"/>
        </w:rPr>
        <w:t>loan</w:t>
      </w:r>
      <w:r w:rsidR="005529FF">
        <w:rPr>
          <w:szCs w:val="22"/>
        </w:rPr>
        <w:t xml:space="preserve"> agreements </w:t>
      </w:r>
      <w:r>
        <w:rPr>
          <w:szCs w:val="22"/>
        </w:rPr>
        <w:t>with written</w:t>
      </w:r>
      <w:r w:rsidR="005529FF">
        <w:rPr>
          <w:szCs w:val="22"/>
        </w:rPr>
        <w:t xml:space="preserve"> reference </w:t>
      </w:r>
      <w:r>
        <w:rPr>
          <w:szCs w:val="22"/>
        </w:rPr>
        <w:t xml:space="preserve">to </w:t>
      </w:r>
      <w:r w:rsidR="005529FF">
        <w:rPr>
          <w:szCs w:val="22"/>
        </w:rPr>
        <w:t xml:space="preserve">the benchmark interest rate should not be required to </w:t>
      </w:r>
      <w:r w:rsidR="005F49CF">
        <w:rPr>
          <w:szCs w:val="22"/>
        </w:rPr>
        <w:t>be renegotiated under this option</w:t>
      </w:r>
      <w:r w:rsidR="001A66B8">
        <w:rPr>
          <w:szCs w:val="22"/>
        </w:rPr>
        <w:t>.</w:t>
      </w:r>
    </w:p>
    <w:p w14:paraId="0FCBF748" w14:textId="0F4611E5" w:rsidR="00472760" w:rsidRDefault="00472760" w:rsidP="001A66B8">
      <w:pPr>
        <w:pStyle w:val="Heading3"/>
      </w:pPr>
      <w:bookmarkStart w:id="21" w:name="_Toc525813299"/>
      <w:r w:rsidRPr="006D7774">
        <w:t xml:space="preserve">25 </w:t>
      </w:r>
      <w:r w:rsidR="00FB12F4">
        <w:t>y</w:t>
      </w:r>
      <w:r w:rsidRPr="006D7774">
        <w:t xml:space="preserve">ear </w:t>
      </w:r>
      <w:r w:rsidR="00FB12F4" w:rsidRPr="001A66B8">
        <w:t>l</w:t>
      </w:r>
      <w:r w:rsidRPr="001A66B8">
        <w:t>oans</w:t>
      </w:r>
      <w:bookmarkEnd w:id="21"/>
    </w:p>
    <w:p w14:paraId="69CFCD05" w14:textId="793B5169" w:rsidR="00406B86" w:rsidRDefault="00406B86" w:rsidP="00406B86">
      <w:pPr>
        <w:pStyle w:val="OutlineNumbered1"/>
        <w:numPr>
          <w:ilvl w:val="0"/>
          <w:numId w:val="0"/>
        </w:numPr>
        <w:jc w:val="both"/>
        <w:rPr>
          <w:szCs w:val="22"/>
        </w:rPr>
      </w:pPr>
      <w:r>
        <w:t xml:space="preserve">All </w:t>
      </w:r>
      <w:r w:rsidR="009C1630">
        <w:t>complying</w:t>
      </w:r>
      <w:r>
        <w:t xml:space="preserve"> 25 year loans in existence as at 30 June 2019 will </w:t>
      </w:r>
      <w:r w:rsidR="00F6591A">
        <w:t xml:space="preserve">be exempt from the majority of changes </w:t>
      </w:r>
      <w:r>
        <w:t xml:space="preserve">until 30 June 2021. </w:t>
      </w:r>
      <w:r w:rsidR="00D06523">
        <w:t>However, t</w:t>
      </w:r>
      <w:r w:rsidRPr="003463D7">
        <w:t xml:space="preserve">he interest rate </w:t>
      </w:r>
      <w:r w:rsidR="00D06523">
        <w:t xml:space="preserve">payable </w:t>
      </w:r>
      <w:r>
        <w:t>for these loans during this period</w:t>
      </w:r>
      <w:r w:rsidRPr="003463D7">
        <w:t xml:space="preserve"> </w:t>
      </w:r>
      <w:r w:rsidR="00D06523">
        <w:t>must equal or exceed</w:t>
      </w:r>
      <w:r w:rsidRPr="003463D7">
        <w:t xml:space="preserve"> the new benchmark interest rate.</w:t>
      </w:r>
    </w:p>
    <w:p w14:paraId="361C8ACD" w14:textId="0EB62618" w:rsidR="00451092" w:rsidRDefault="00406B86" w:rsidP="00406B86">
      <w:pPr>
        <w:pStyle w:val="OutlineNumbered1"/>
        <w:numPr>
          <w:ilvl w:val="0"/>
          <w:numId w:val="0"/>
        </w:numPr>
        <w:jc w:val="both"/>
      </w:pPr>
      <w:r>
        <w:t xml:space="preserve">On </w:t>
      </w:r>
      <w:r w:rsidR="008E4751">
        <w:t>30</w:t>
      </w:r>
      <w:r>
        <w:t xml:space="preserve"> Ju</w:t>
      </w:r>
      <w:r w:rsidR="008E4751">
        <w:t>ne</w:t>
      </w:r>
      <w:r>
        <w:t xml:space="preserve"> 2021, </w:t>
      </w:r>
      <w:r w:rsidR="003D0494">
        <w:t>the</w:t>
      </w:r>
      <w:r>
        <w:t xml:space="preserve"> outstanding</w:t>
      </w:r>
      <w:r w:rsidR="003D0494">
        <w:t xml:space="preserve"> value of the</w:t>
      </w:r>
      <w:r>
        <w:t xml:space="preserve"> </w:t>
      </w:r>
      <w:r w:rsidR="0084646E">
        <w:t xml:space="preserve">loan </w:t>
      </w:r>
      <w:r w:rsidR="003D0494">
        <w:t xml:space="preserve">will give rise to a deemed dividend unless a complying loan agreement is put in place </w:t>
      </w:r>
      <w:r>
        <w:t xml:space="preserve">prior to </w:t>
      </w:r>
      <w:r w:rsidR="008E4751">
        <w:t xml:space="preserve">the </w:t>
      </w:r>
      <w:proofErr w:type="spellStart"/>
      <w:r w:rsidR="008E4751">
        <w:t>lodgment</w:t>
      </w:r>
      <w:proofErr w:type="spellEnd"/>
      <w:r w:rsidR="008E4751">
        <w:t xml:space="preserve"> day of the 2020-21 company tax return</w:t>
      </w:r>
      <w:r>
        <w:t xml:space="preserve">. </w:t>
      </w:r>
      <w:r w:rsidR="00451092">
        <w:t>The first repayment will be due in the 2021-22 income year.</w:t>
      </w:r>
    </w:p>
    <w:p w14:paraId="31B16334" w14:textId="0E29345E" w:rsidR="00472760" w:rsidRDefault="00472760" w:rsidP="001A66B8">
      <w:pPr>
        <w:pStyle w:val="Heading3"/>
      </w:pPr>
      <w:bookmarkStart w:id="22" w:name="_Toc525813300"/>
      <w:r w:rsidRPr="004921D4">
        <w:t>Pre</w:t>
      </w:r>
      <w:r>
        <w:t>-</w:t>
      </w:r>
      <w:r w:rsidRPr="001A66B8">
        <w:t>1997</w:t>
      </w:r>
      <w:r w:rsidRPr="004921D4">
        <w:t xml:space="preserve"> </w:t>
      </w:r>
      <w:r w:rsidR="00FB12F4">
        <w:t>l</w:t>
      </w:r>
      <w:r w:rsidRPr="004921D4">
        <w:t>oans</w:t>
      </w:r>
      <w:bookmarkEnd w:id="22"/>
    </w:p>
    <w:p w14:paraId="7D378ADE" w14:textId="3D8F556B" w:rsidR="00472760" w:rsidRPr="008751AC" w:rsidRDefault="00472760" w:rsidP="00472760">
      <w:pPr>
        <w:jc w:val="both"/>
        <w:rPr>
          <w:b/>
          <w:bCs/>
        </w:rPr>
      </w:pPr>
      <w:r w:rsidRPr="008751AC">
        <w:t xml:space="preserve">Loans made before 4 December 1997 </w:t>
      </w:r>
      <w:r w:rsidR="007F74C6">
        <w:t xml:space="preserve">(pre-1997 loans) </w:t>
      </w:r>
      <w:r>
        <w:t>predate the existence of</w:t>
      </w:r>
      <w:r w:rsidRPr="008751AC">
        <w:t xml:space="preserve"> Division 7A</w:t>
      </w:r>
      <w:r>
        <w:t>, but become subject to Division 7A in certain circumstances</w:t>
      </w:r>
      <w:r w:rsidRPr="008751AC">
        <w:t>.</w:t>
      </w:r>
    </w:p>
    <w:p w14:paraId="56D763B4" w14:textId="0254DD4D" w:rsidR="00472760" w:rsidRDefault="00472760" w:rsidP="00472760">
      <w:pPr>
        <w:jc w:val="both"/>
      </w:pPr>
      <w:r>
        <w:t>W</w:t>
      </w:r>
      <w:r w:rsidRPr="008751AC">
        <w:t xml:space="preserve">here a loan </w:t>
      </w:r>
      <w:r w:rsidR="00554256">
        <w:t xml:space="preserve">that existed prior to 4 December 1997 </w:t>
      </w:r>
      <w:r w:rsidRPr="008751AC">
        <w:t xml:space="preserve">is varied on or after </w:t>
      </w:r>
      <w:r w:rsidR="00554256">
        <w:t>this date</w:t>
      </w:r>
      <w:r w:rsidRPr="008751AC">
        <w:t xml:space="preserve">, </w:t>
      </w:r>
      <w:r w:rsidR="007F74C6">
        <w:t>i.e.</w:t>
      </w:r>
      <w:r w:rsidRPr="008751AC">
        <w:t xml:space="preserve"> by extending the term or increasing the amount of the loan, the loan will be treated as if it were a new loan entered into on the day it is varied and therefore Division 7A may apply</w:t>
      </w:r>
      <w:r>
        <w:t>.</w:t>
      </w:r>
    </w:p>
    <w:p w14:paraId="72FEC07F" w14:textId="4FA51697" w:rsidR="00472760" w:rsidRPr="00DC192E" w:rsidRDefault="00472760" w:rsidP="00472760">
      <w:pPr>
        <w:jc w:val="both"/>
      </w:pPr>
      <w:r w:rsidRPr="00433A16">
        <w:t xml:space="preserve">Division 7A may also </w:t>
      </w:r>
      <w:r w:rsidRPr="00647DEF">
        <w:t>apply where the loan is forgiven on or after 4 December 1997. A</w:t>
      </w:r>
      <w:r w:rsidRPr="001711B3">
        <w:t xml:space="preserve"> loan will </w:t>
      </w:r>
      <w:r w:rsidRPr="00DC192E">
        <w:t>generally be treated as being forgiven in circumstances where it has become statute</w:t>
      </w:r>
      <w:r w:rsidR="00385E8F">
        <w:t>-</w:t>
      </w:r>
      <w:r w:rsidRPr="00DC192E">
        <w:t xml:space="preserve">barred under the relevant Limitations Act. </w:t>
      </w:r>
      <w:r w:rsidR="00647DEF">
        <w:t>Generally, a</w:t>
      </w:r>
      <w:r w:rsidRPr="00DC192E">
        <w:t xml:space="preserve"> loan becomes statute</w:t>
      </w:r>
      <w:r w:rsidR="00385E8F">
        <w:t>-</w:t>
      </w:r>
      <w:r w:rsidRPr="00DC192E">
        <w:t xml:space="preserve">barred when the period within which a creditor is entitled to sue for recovery for the debt ends. It is expected that </w:t>
      </w:r>
      <w:r w:rsidR="005F49CF" w:rsidRPr="00DC192E">
        <w:t xml:space="preserve">many </w:t>
      </w:r>
      <w:r w:rsidRPr="00DC192E">
        <w:t>loans made before 4</w:t>
      </w:r>
      <w:r w:rsidR="00756D15" w:rsidRPr="00DC192E">
        <w:t> </w:t>
      </w:r>
      <w:r w:rsidRPr="00DC192E">
        <w:t>December 1997 would already have been statute barred and thus have given rise to a deemed dividend</w:t>
      </w:r>
      <w:r w:rsidR="005F49CF" w:rsidRPr="00DC192E">
        <w:t xml:space="preserve"> for the borrower</w:t>
      </w:r>
      <w:r w:rsidRPr="00DC192E">
        <w:t>.</w:t>
      </w:r>
    </w:p>
    <w:p w14:paraId="55B9F774" w14:textId="59CBA2CC" w:rsidR="00472760" w:rsidRPr="00AE4827" w:rsidRDefault="005F49CF" w:rsidP="003E1B92">
      <w:pPr>
        <w:jc w:val="both"/>
      </w:pPr>
      <w:r w:rsidRPr="00DC192E">
        <w:t>For outstanding pre-1997 loans (i.e. those loans which have not already been forgiven and continue to be reported in tax returns</w:t>
      </w:r>
      <w:r w:rsidR="003E1B92" w:rsidRPr="00DC192E">
        <w:t>)</w:t>
      </w:r>
      <w:r w:rsidRPr="00DC192E">
        <w:t xml:space="preserve">, </w:t>
      </w:r>
      <w:r w:rsidR="00472760" w:rsidRPr="00DC192E">
        <w:t xml:space="preserve">the proposed transitional rule will provide an affected borrower with a </w:t>
      </w:r>
      <w:r w:rsidR="003315AC">
        <w:t>two</w:t>
      </w:r>
      <w:r w:rsidR="003E1B92" w:rsidRPr="00AE4827">
        <w:t xml:space="preserve"> year </w:t>
      </w:r>
      <w:r w:rsidR="00472760" w:rsidRPr="00AE4827">
        <w:t>grace period before the first repayment is due</w:t>
      </w:r>
      <w:r w:rsidR="003E1B92" w:rsidRPr="00AE4827">
        <w:t>, with the loan to be repai</w:t>
      </w:r>
      <w:r w:rsidR="001A66B8">
        <w:t>d over the subsequent 10 years.</w:t>
      </w:r>
    </w:p>
    <w:p w14:paraId="56F459D8" w14:textId="58756E0C" w:rsidR="00472760" w:rsidRDefault="00982A2A" w:rsidP="00472760">
      <w:pPr>
        <w:jc w:val="both"/>
      </w:pPr>
      <w:r w:rsidRPr="00AE4827">
        <w:t>Under the transitional rules, p</w:t>
      </w:r>
      <w:r w:rsidR="004A1C7A" w:rsidRPr="00AE4827">
        <w:t>re-1997</w:t>
      </w:r>
      <w:r w:rsidR="00472760" w:rsidRPr="00AE4827">
        <w:t xml:space="preserve"> loans will be taken to be financial accommodation as at </w:t>
      </w:r>
      <w:r w:rsidR="003315AC">
        <w:t>30</w:t>
      </w:r>
      <w:r w:rsidR="007F74C6">
        <w:t> </w:t>
      </w:r>
      <w:r w:rsidR="003315AC">
        <w:t>June</w:t>
      </w:r>
      <w:r w:rsidR="00DC192E" w:rsidRPr="00AE4827">
        <w:t> </w:t>
      </w:r>
      <w:r w:rsidR="003C0F8C" w:rsidRPr="00AE4827">
        <w:t>2021</w:t>
      </w:r>
      <w:r w:rsidR="00472760" w:rsidRPr="00AE4827">
        <w:t xml:space="preserve">. The taxpayer will have until the </w:t>
      </w:r>
      <w:proofErr w:type="spellStart"/>
      <w:r w:rsidR="00712FED" w:rsidRPr="00AE4827">
        <w:t>lodgment</w:t>
      </w:r>
      <w:proofErr w:type="spellEnd"/>
      <w:r w:rsidR="00472760" w:rsidRPr="00AE4827">
        <w:t xml:space="preserve"> day of the </w:t>
      </w:r>
      <w:r w:rsidR="003C0F8C" w:rsidRPr="00AE4827">
        <w:t>20</w:t>
      </w:r>
      <w:r w:rsidR="0079502A" w:rsidRPr="00AE4827">
        <w:t>2</w:t>
      </w:r>
      <w:r w:rsidR="003315AC">
        <w:t>0</w:t>
      </w:r>
      <w:r w:rsidR="0079502A" w:rsidRPr="00AE4827">
        <w:t>-</w:t>
      </w:r>
      <w:r w:rsidR="003C0F8C" w:rsidRPr="00AE4827">
        <w:t>2</w:t>
      </w:r>
      <w:r w:rsidR="003315AC">
        <w:t>1</w:t>
      </w:r>
      <w:r w:rsidR="003C0F8C" w:rsidRPr="00AE4827">
        <w:t xml:space="preserve"> </w:t>
      </w:r>
      <w:r w:rsidR="00472760" w:rsidRPr="00AE4827">
        <w:t xml:space="preserve">company tax return to either pay out the amount of the loan or put in place a complying loan agreement, otherwise it will be </w:t>
      </w:r>
      <w:r w:rsidR="00C23296" w:rsidRPr="00AE4827">
        <w:t>treated as a dividend</w:t>
      </w:r>
      <w:r w:rsidR="00472760" w:rsidRPr="00AE4827">
        <w:t xml:space="preserve"> in the </w:t>
      </w:r>
      <w:r w:rsidR="003C0F8C" w:rsidRPr="00AE4827">
        <w:t>20</w:t>
      </w:r>
      <w:r w:rsidR="0079502A" w:rsidRPr="00AE4827">
        <w:t>2</w:t>
      </w:r>
      <w:r w:rsidR="003315AC">
        <w:t>0</w:t>
      </w:r>
      <w:r w:rsidR="0079502A" w:rsidRPr="00AE4827">
        <w:t>-</w:t>
      </w:r>
      <w:r w:rsidR="003C0F8C" w:rsidRPr="00AE4827">
        <w:t>2</w:t>
      </w:r>
      <w:r w:rsidR="003315AC">
        <w:t>1</w:t>
      </w:r>
      <w:r w:rsidR="003C0F8C" w:rsidRPr="00AE4827">
        <w:t xml:space="preserve"> </w:t>
      </w:r>
      <w:r w:rsidR="00472760" w:rsidRPr="00AE4827">
        <w:t>income year.</w:t>
      </w:r>
      <w:r w:rsidR="00472760">
        <w:t xml:space="preserve"> </w:t>
      </w:r>
      <w:r w:rsidR="008E4751">
        <w:t>The first repayment will be due in the 2021-22 income year.</w:t>
      </w:r>
    </w:p>
    <w:p w14:paraId="772794DF" w14:textId="252980DA" w:rsidR="00472760" w:rsidRDefault="00472760" w:rsidP="00472760">
      <w:pPr>
        <w:jc w:val="both"/>
      </w:pPr>
      <w:r>
        <w:t>This will provide certainty for taxpayers and protect them from exposure to Division 7A if the Commissioner were to consider that there was no longer a commercial loan in existenc</w:t>
      </w:r>
      <w:r w:rsidR="001A66B8">
        <w:t>e and deemed it to be forgiven.</w:t>
      </w:r>
    </w:p>
    <w:p w14:paraId="5F3C77BF" w14:textId="77777777" w:rsidR="00955899" w:rsidRDefault="00955899" w:rsidP="001A66B8">
      <w:pPr>
        <w:pStyle w:val="Heading2"/>
      </w:pPr>
      <w:bookmarkStart w:id="23" w:name="_Toc525813301"/>
      <w:bookmarkStart w:id="24" w:name="_Toc501458773"/>
      <w:r>
        <w:t xml:space="preserve">Application to non-resident private </w:t>
      </w:r>
      <w:r w:rsidRPr="001A66B8">
        <w:t>companies</w:t>
      </w:r>
      <w:bookmarkEnd w:id="23"/>
    </w:p>
    <w:p w14:paraId="435F528D" w14:textId="50059A45" w:rsidR="00955899" w:rsidRDefault="00955899" w:rsidP="00CC02A4">
      <w:pPr>
        <w:jc w:val="both"/>
      </w:pPr>
      <w:r w:rsidRPr="00950791">
        <w:t>Section 109BC was introduced to clarify that Division 7A also applies to loans, payments and debt forgiveness by n</w:t>
      </w:r>
      <w:r w:rsidR="001A66B8">
        <w:t>on-resident private companies.</w:t>
      </w:r>
    </w:p>
    <w:p w14:paraId="76EDB2C1" w14:textId="3F588106" w:rsidR="00955899" w:rsidRDefault="00955899" w:rsidP="00CC02A4">
      <w:pPr>
        <w:jc w:val="both"/>
      </w:pPr>
      <w:r w:rsidRPr="00950791">
        <w:t xml:space="preserve">Some stakeholders have highlighted that the application of Division 7A to non-resident private companies in certain circumstances continues to be uncertain – for example whether it applies only where the shareholder of the private company (or their associate) is an Australian resident, how ‘source’ considerations apply to the deemed dividend and </w:t>
      </w:r>
      <w:r w:rsidR="00697696">
        <w:t>how the provisions</w:t>
      </w:r>
      <w:r w:rsidRPr="00950791">
        <w:t xml:space="preserve"> </w:t>
      </w:r>
      <w:r w:rsidR="005023D3">
        <w:t xml:space="preserve">potentially </w:t>
      </w:r>
      <w:r w:rsidRPr="00950791">
        <w:t xml:space="preserve">interact with </w:t>
      </w:r>
      <w:r w:rsidR="00565C62">
        <w:t>the transfer pricing rules and</w:t>
      </w:r>
      <w:r w:rsidR="001A66B8">
        <w:t xml:space="preserve"> double tax treaties.</w:t>
      </w:r>
    </w:p>
    <w:p w14:paraId="34A656D1" w14:textId="4D3DE65E" w:rsidR="00955899" w:rsidRPr="00950791" w:rsidRDefault="00955899" w:rsidP="00CC02A4">
      <w:pPr>
        <w:jc w:val="both"/>
      </w:pPr>
      <w:r w:rsidRPr="00950791">
        <w:t xml:space="preserve">Treasury would like feedback from stakeholders on the extent of any uncertainty and how best </w:t>
      </w:r>
      <w:r w:rsidR="001A66B8">
        <w:t>to remove any such uncertainty.</w:t>
      </w:r>
    </w:p>
    <w:p w14:paraId="166A1AC2" w14:textId="74EF0B1D" w:rsidR="007F7407" w:rsidRPr="00BA63C2" w:rsidRDefault="007F7407" w:rsidP="001A66B8">
      <w:pPr>
        <w:pStyle w:val="Heading2"/>
      </w:pPr>
      <w:bookmarkStart w:id="25" w:name="_Toc525813302"/>
      <w:r w:rsidRPr="00BA63C2">
        <w:t xml:space="preserve">Distributable </w:t>
      </w:r>
      <w:r w:rsidR="00481B8B" w:rsidRPr="001A66B8">
        <w:t>s</w:t>
      </w:r>
      <w:r w:rsidRPr="001A66B8">
        <w:t>urplus</w:t>
      </w:r>
      <w:bookmarkEnd w:id="24"/>
      <w:bookmarkEnd w:id="25"/>
    </w:p>
    <w:p w14:paraId="7F913B2C" w14:textId="0A70BD59" w:rsidR="007F7407" w:rsidRPr="00472172" w:rsidRDefault="0064531B" w:rsidP="007F7407">
      <w:pPr>
        <w:pStyle w:val="Bullet"/>
        <w:numPr>
          <w:ilvl w:val="0"/>
          <w:numId w:val="0"/>
        </w:numPr>
        <w:jc w:val="both"/>
        <w:rPr>
          <w:rFonts w:asciiTheme="minorHAnsi" w:hAnsiTheme="minorHAnsi"/>
          <w:szCs w:val="22"/>
        </w:rPr>
      </w:pPr>
      <w:r w:rsidRPr="00472172">
        <w:rPr>
          <w:rFonts w:asciiTheme="minorHAnsi" w:hAnsiTheme="minorHAnsi"/>
          <w:szCs w:val="22"/>
        </w:rPr>
        <w:t xml:space="preserve">The concept of distributable surplus is a notion of profit which determines </w:t>
      </w:r>
      <w:r w:rsidR="0088276E">
        <w:rPr>
          <w:rFonts w:asciiTheme="minorHAnsi" w:hAnsiTheme="minorHAnsi"/>
          <w:szCs w:val="22"/>
        </w:rPr>
        <w:t>the</w:t>
      </w:r>
      <w:r>
        <w:rPr>
          <w:rFonts w:asciiTheme="minorHAnsi" w:hAnsiTheme="minorHAnsi"/>
          <w:szCs w:val="22"/>
        </w:rPr>
        <w:t xml:space="preserve"> </w:t>
      </w:r>
      <w:r w:rsidR="0088276E">
        <w:rPr>
          <w:rFonts w:asciiTheme="minorHAnsi" w:hAnsiTheme="minorHAnsi"/>
          <w:szCs w:val="22"/>
        </w:rPr>
        <w:t xml:space="preserve">total </w:t>
      </w:r>
      <w:r>
        <w:rPr>
          <w:rFonts w:asciiTheme="minorHAnsi" w:hAnsiTheme="minorHAnsi"/>
          <w:szCs w:val="22"/>
        </w:rPr>
        <w:t xml:space="preserve">amount </w:t>
      </w:r>
      <w:r w:rsidR="0088276E">
        <w:rPr>
          <w:rFonts w:asciiTheme="minorHAnsi" w:hAnsiTheme="minorHAnsi"/>
          <w:szCs w:val="22"/>
        </w:rPr>
        <w:t>of</w:t>
      </w:r>
      <w:r w:rsidRPr="00472172">
        <w:rPr>
          <w:rFonts w:asciiTheme="minorHAnsi" w:hAnsiTheme="minorHAnsi"/>
          <w:szCs w:val="22"/>
        </w:rPr>
        <w:t xml:space="preserve"> dividend</w:t>
      </w:r>
      <w:r w:rsidR="0088276E">
        <w:rPr>
          <w:rFonts w:asciiTheme="minorHAnsi" w:hAnsiTheme="minorHAnsi"/>
          <w:szCs w:val="22"/>
        </w:rPr>
        <w:t>s a private company can be taken to have paid</w:t>
      </w:r>
      <w:r w:rsidRPr="00472172">
        <w:rPr>
          <w:rFonts w:asciiTheme="minorHAnsi" w:hAnsiTheme="minorHAnsi"/>
          <w:szCs w:val="22"/>
        </w:rPr>
        <w:t xml:space="preserve"> </w:t>
      </w:r>
      <w:r>
        <w:rPr>
          <w:rFonts w:asciiTheme="minorHAnsi" w:hAnsiTheme="minorHAnsi"/>
          <w:szCs w:val="22"/>
        </w:rPr>
        <w:t>un</w:t>
      </w:r>
      <w:r w:rsidRPr="00472172">
        <w:rPr>
          <w:rFonts w:asciiTheme="minorHAnsi" w:hAnsiTheme="minorHAnsi"/>
          <w:szCs w:val="22"/>
        </w:rPr>
        <w:t xml:space="preserve">der Division 7A. </w:t>
      </w:r>
      <w:r w:rsidR="007F7407" w:rsidRPr="00472172">
        <w:rPr>
          <w:rFonts w:asciiTheme="minorHAnsi" w:hAnsiTheme="minorHAnsi"/>
          <w:szCs w:val="22"/>
        </w:rPr>
        <w:t xml:space="preserve">The amount of a deemed dividend under Division 7A is </w:t>
      </w:r>
      <w:r w:rsidR="007F7407">
        <w:rPr>
          <w:rFonts w:asciiTheme="minorHAnsi" w:hAnsiTheme="minorHAnsi"/>
          <w:szCs w:val="22"/>
        </w:rPr>
        <w:t xml:space="preserve">currently </w:t>
      </w:r>
      <w:r w:rsidR="007F7407" w:rsidRPr="00472172">
        <w:rPr>
          <w:rFonts w:asciiTheme="minorHAnsi" w:hAnsiTheme="minorHAnsi"/>
          <w:szCs w:val="22"/>
        </w:rPr>
        <w:t xml:space="preserve">limited by </w:t>
      </w:r>
      <w:r w:rsidR="007F7407">
        <w:rPr>
          <w:rFonts w:asciiTheme="minorHAnsi" w:hAnsiTheme="minorHAnsi"/>
          <w:szCs w:val="22"/>
        </w:rPr>
        <w:t>the</w:t>
      </w:r>
      <w:r w:rsidR="007F7407" w:rsidRPr="00472172">
        <w:rPr>
          <w:rFonts w:asciiTheme="minorHAnsi" w:hAnsiTheme="minorHAnsi"/>
          <w:szCs w:val="22"/>
        </w:rPr>
        <w:t xml:space="preserve"> distributable surplus</w:t>
      </w:r>
      <w:r w:rsidR="007F7407">
        <w:rPr>
          <w:rFonts w:asciiTheme="minorHAnsi" w:hAnsiTheme="minorHAnsi"/>
          <w:szCs w:val="22"/>
        </w:rPr>
        <w:t xml:space="preserve"> of the private company </w:t>
      </w:r>
      <w:r w:rsidR="0088276E">
        <w:rPr>
          <w:rFonts w:asciiTheme="minorHAnsi" w:hAnsiTheme="minorHAnsi"/>
          <w:szCs w:val="22"/>
        </w:rPr>
        <w:t xml:space="preserve">that </w:t>
      </w:r>
      <w:r w:rsidR="000146C6">
        <w:rPr>
          <w:rFonts w:asciiTheme="minorHAnsi" w:hAnsiTheme="minorHAnsi"/>
          <w:szCs w:val="22"/>
        </w:rPr>
        <w:t>provided the benefit.</w:t>
      </w:r>
    </w:p>
    <w:p w14:paraId="0197F7C1" w14:textId="6449132F" w:rsidR="0030258A" w:rsidRDefault="007F7407" w:rsidP="007F7407">
      <w:pPr>
        <w:pStyle w:val="Bullet"/>
        <w:numPr>
          <w:ilvl w:val="0"/>
          <w:numId w:val="0"/>
        </w:numPr>
        <w:jc w:val="both"/>
      </w:pPr>
      <w:r w:rsidRPr="00DC192E">
        <w:rPr>
          <w:rFonts w:asciiTheme="minorHAnsi" w:hAnsiTheme="minorHAnsi"/>
          <w:szCs w:val="22"/>
        </w:rPr>
        <w:t xml:space="preserve">Capping the amount of the deemed dividend is considered contrary to the </w:t>
      </w:r>
      <w:r w:rsidR="00CC3802" w:rsidRPr="00DC192E">
        <w:rPr>
          <w:rFonts w:asciiTheme="minorHAnsi" w:hAnsiTheme="minorHAnsi"/>
          <w:szCs w:val="22"/>
        </w:rPr>
        <w:t xml:space="preserve">efficient operation of the </w:t>
      </w:r>
      <w:r w:rsidRPr="00DC192E">
        <w:rPr>
          <w:rFonts w:asciiTheme="minorHAnsi" w:hAnsiTheme="minorHAnsi"/>
          <w:szCs w:val="22"/>
        </w:rPr>
        <w:t>Division 7A</w:t>
      </w:r>
      <w:r w:rsidR="00CC3802" w:rsidRPr="00DC192E">
        <w:rPr>
          <w:rFonts w:asciiTheme="minorHAnsi" w:hAnsiTheme="minorHAnsi"/>
          <w:szCs w:val="22"/>
        </w:rPr>
        <w:t xml:space="preserve"> integrity rule</w:t>
      </w:r>
      <w:r w:rsidRPr="00DC192E">
        <w:rPr>
          <w:rFonts w:asciiTheme="minorHAnsi" w:hAnsiTheme="minorHAnsi"/>
          <w:szCs w:val="22"/>
        </w:rPr>
        <w:t>.</w:t>
      </w:r>
      <w:r w:rsidRPr="00DC192E">
        <w:t xml:space="preserve"> That is, if a certain amount is ‘distributed’ to the shareholder, then tax should be paid on the entire amount</w:t>
      </w:r>
      <w:r w:rsidR="00CC3802" w:rsidRPr="00DC192E">
        <w:t>, and it should not be arbitrarily limited</w:t>
      </w:r>
      <w:r w:rsidRPr="00DC192E">
        <w:t>.</w:t>
      </w:r>
    </w:p>
    <w:p w14:paraId="1730CB20" w14:textId="43E7B2A7" w:rsidR="007F7407" w:rsidRDefault="00FC5C23" w:rsidP="00207373">
      <w:pPr>
        <w:pStyle w:val="Bullet"/>
        <w:numPr>
          <w:ilvl w:val="0"/>
          <w:numId w:val="0"/>
        </w:numPr>
        <w:jc w:val="both"/>
      </w:pPr>
      <w:r>
        <w:t>The amendments will r</w:t>
      </w:r>
      <w:r w:rsidR="007F7407">
        <w:t xml:space="preserve">emove the concept of distributable surplus. This will ensure the integrity of Division 7A so that dividends can be deemed for the entire </w:t>
      </w:r>
      <w:r w:rsidR="0088276E">
        <w:t xml:space="preserve">value of the benefit </w:t>
      </w:r>
      <w:r w:rsidR="007F7407">
        <w:t>that was extracted from the private company.</w:t>
      </w:r>
      <w:r w:rsidR="0030258A">
        <w:t xml:space="preserve"> This will also align the treatment of dividends with section 254T of the </w:t>
      </w:r>
      <w:r w:rsidR="0030258A" w:rsidRPr="006415B6">
        <w:rPr>
          <w:i/>
        </w:rPr>
        <w:t>Corporations Act 2001</w:t>
      </w:r>
      <w:r w:rsidR="0030258A">
        <w:t xml:space="preserve"> (</w:t>
      </w:r>
      <w:proofErr w:type="spellStart"/>
      <w:r w:rsidR="0030258A">
        <w:t>Cth</w:t>
      </w:r>
      <w:proofErr w:type="spellEnd"/>
      <w:r w:rsidR="0030258A">
        <w:t>) which allows dividends to be paid o</w:t>
      </w:r>
      <w:r w:rsidR="00C02495">
        <w:t>ut of both profits and capital.</w:t>
      </w:r>
    </w:p>
    <w:p w14:paraId="1E572E02" w14:textId="5C6F6CAB" w:rsidR="007F7407" w:rsidRDefault="00714009" w:rsidP="00714009">
      <w:pPr>
        <w:pStyle w:val="Heading2"/>
      </w:pPr>
      <w:bookmarkStart w:id="26" w:name="_Toc525813303"/>
      <w:r>
        <w:t>Discussion questions</w:t>
      </w:r>
      <w:bookmarkEnd w:id="26"/>
    </w:p>
    <w:tbl>
      <w:tblPr>
        <w:tblW w:w="5000" w:type="pct"/>
        <w:shd w:val="clear" w:color="auto" w:fill="E3E7F0"/>
        <w:tblLook w:val="01E0" w:firstRow="1" w:lastRow="1" w:firstColumn="1" w:lastColumn="1" w:noHBand="0" w:noVBand="0"/>
      </w:tblPr>
      <w:tblGrid>
        <w:gridCol w:w="9286"/>
      </w:tblGrid>
      <w:tr w:rsidR="00C02495" w14:paraId="4AB56608" w14:textId="77777777" w:rsidTr="00F1497F">
        <w:tc>
          <w:tcPr>
            <w:tcW w:w="5000" w:type="pct"/>
            <w:shd w:val="clear" w:color="auto" w:fill="E3E7F0"/>
          </w:tcPr>
          <w:p w14:paraId="0E15B9C2" w14:textId="4A5CD297" w:rsidR="00C02495" w:rsidRPr="000553FE" w:rsidRDefault="00C02495" w:rsidP="00F1497F">
            <w:pPr>
              <w:pStyle w:val="BoxHeading"/>
              <w:rPr>
                <w:b w:val="0"/>
              </w:rPr>
            </w:pPr>
            <w:r>
              <w:t>Discussion Question 1:</w:t>
            </w:r>
          </w:p>
          <w:p w14:paraId="11699C93" w14:textId="090F96FD" w:rsidR="00C02495" w:rsidRDefault="00C02495" w:rsidP="00C02495">
            <w:pPr>
              <w:pStyle w:val="TableSecondHeading"/>
            </w:pPr>
            <w:r>
              <w:t>Proposed loan model</w:t>
            </w:r>
          </w:p>
          <w:p w14:paraId="1BA87E1C" w14:textId="36201EFC" w:rsidR="00C02495" w:rsidRDefault="00C02495" w:rsidP="00C02495">
            <w:pPr>
              <w:pStyle w:val="BoxText"/>
              <w:numPr>
                <w:ilvl w:val="0"/>
                <w:numId w:val="30"/>
              </w:numPr>
            </w:pPr>
            <w:r>
              <w:t>Is there an aspect of the proposed loan model that could be refined?</w:t>
            </w:r>
          </w:p>
          <w:p w14:paraId="29FAAF52" w14:textId="77777777" w:rsidR="00C02495" w:rsidRDefault="00C02495" w:rsidP="00C02495">
            <w:pPr>
              <w:pStyle w:val="TableSecondHeading"/>
            </w:pPr>
            <w:r>
              <w:t>Transitional rules</w:t>
            </w:r>
          </w:p>
          <w:p w14:paraId="1124AAA5" w14:textId="0951706F" w:rsidR="00C02495" w:rsidRDefault="00C02495" w:rsidP="00C02495">
            <w:pPr>
              <w:pStyle w:val="ListParagraph"/>
              <w:numPr>
                <w:ilvl w:val="0"/>
                <w:numId w:val="30"/>
              </w:numPr>
            </w:pPr>
            <w:r>
              <w:t>Do the proposed transitional rules result in any unintended outcomes?</w:t>
            </w:r>
          </w:p>
          <w:p w14:paraId="46B324DA" w14:textId="77777777" w:rsidR="00C02495" w:rsidRDefault="00C02495" w:rsidP="00C02495">
            <w:pPr>
              <w:pStyle w:val="TableSecondHeading"/>
            </w:pPr>
            <w:r>
              <w:t>Application to non-resident private companies</w:t>
            </w:r>
          </w:p>
          <w:p w14:paraId="61999FC7" w14:textId="1452FF5C" w:rsidR="00C02495" w:rsidRDefault="00C02495" w:rsidP="00C02495">
            <w:pPr>
              <w:pStyle w:val="BoxText"/>
              <w:numPr>
                <w:ilvl w:val="0"/>
                <w:numId w:val="30"/>
              </w:numPr>
            </w:pPr>
            <w:r>
              <w:t>In what circumstances (if any) is the application of Division 7A to non-resident private companies unclear?</w:t>
            </w:r>
          </w:p>
          <w:p w14:paraId="5D93744D" w14:textId="4F1B2644" w:rsidR="00C02495" w:rsidRDefault="00C02495" w:rsidP="00C02495">
            <w:pPr>
              <w:pStyle w:val="BoxText"/>
              <w:numPr>
                <w:ilvl w:val="0"/>
                <w:numId w:val="30"/>
              </w:numPr>
            </w:pPr>
            <w:r>
              <w:t>Would the application of Division 7A to non-resident private companies benefit from additional public guidance material?</w:t>
            </w:r>
          </w:p>
          <w:p w14:paraId="7CE19419" w14:textId="5F97E13B" w:rsidR="00C02495" w:rsidRDefault="00C02495" w:rsidP="00C02495">
            <w:pPr>
              <w:pStyle w:val="BoxText"/>
              <w:numPr>
                <w:ilvl w:val="0"/>
                <w:numId w:val="30"/>
              </w:numPr>
            </w:pPr>
            <w:r>
              <w:t>Are legislative amendments required to clarify the application of Division 7A to non-resident private companies?</w:t>
            </w:r>
          </w:p>
          <w:p w14:paraId="74FB7306" w14:textId="77777777" w:rsidR="00C02495" w:rsidRDefault="00C02495" w:rsidP="00C02495">
            <w:pPr>
              <w:pStyle w:val="TableSecondHeading"/>
            </w:pPr>
            <w:r>
              <w:t>Distributable Surplus</w:t>
            </w:r>
          </w:p>
          <w:p w14:paraId="6D789541" w14:textId="60A88F2A" w:rsidR="00C02495" w:rsidRPr="00C02495" w:rsidRDefault="00C02495" w:rsidP="00C02495">
            <w:pPr>
              <w:pStyle w:val="BoxText"/>
              <w:numPr>
                <w:ilvl w:val="0"/>
                <w:numId w:val="30"/>
              </w:numPr>
            </w:pPr>
            <w:r w:rsidRPr="00C02495">
              <w:t>Does the removal of the concept of distributable surplus result in any unintended outcomes?</w:t>
            </w:r>
          </w:p>
          <w:p w14:paraId="7283F0AF" w14:textId="56A0D878" w:rsidR="00C02495" w:rsidRPr="008950C5" w:rsidRDefault="00C02495" w:rsidP="007F74C6">
            <w:pPr>
              <w:pStyle w:val="BoxText"/>
              <w:numPr>
                <w:ilvl w:val="0"/>
                <w:numId w:val="30"/>
              </w:numPr>
            </w:pPr>
            <w:r w:rsidRPr="00C02495">
              <w:t xml:space="preserve">If </w:t>
            </w:r>
            <w:r w:rsidR="007F74C6">
              <w:t>this concept is removed</w:t>
            </w:r>
            <w:r w:rsidRPr="00C02495">
              <w:t>, are there any interactions with other provisions of Division 7A that might become relevant?</w:t>
            </w:r>
          </w:p>
        </w:tc>
      </w:tr>
    </w:tbl>
    <w:p w14:paraId="63075CE9" w14:textId="2CDF7185" w:rsidR="00E21AD5" w:rsidRDefault="00E21AD5">
      <w:pPr>
        <w:spacing w:before="0" w:after="160" w:line="259" w:lineRule="auto"/>
      </w:pPr>
      <w:r>
        <w:br w:type="page"/>
      </w:r>
    </w:p>
    <w:p w14:paraId="57F5340E" w14:textId="1D1A4395" w:rsidR="00E21AD5" w:rsidRDefault="006B33BC" w:rsidP="00C02495">
      <w:pPr>
        <w:pStyle w:val="Heading1"/>
      </w:pPr>
      <w:bookmarkStart w:id="27" w:name="_Toc525813304"/>
      <w:r>
        <w:t xml:space="preserve">Unpaid </w:t>
      </w:r>
      <w:r w:rsidR="00481B8B">
        <w:t>P</w:t>
      </w:r>
      <w:r>
        <w:t xml:space="preserve">resent </w:t>
      </w:r>
      <w:r w:rsidR="00481B8B" w:rsidRPr="00C02495">
        <w:t>E</w:t>
      </w:r>
      <w:r w:rsidRPr="00C02495">
        <w:t>ntitlements</w:t>
      </w:r>
      <w:bookmarkEnd w:id="27"/>
    </w:p>
    <w:p w14:paraId="6ADDEA89" w14:textId="2E27B552" w:rsidR="001A56A0" w:rsidRPr="00D74479" w:rsidRDefault="001A56A0" w:rsidP="002128C9">
      <w:pPr>
        <w:jc w:val="both"/>
      </w:pPr>
      <w:r w:rsidRPr="00D74479">
        <w:t>T</w:t>
      </w:r>
      <w:r w:rsidR="002128C9" w:rsidRPr="00D74479">
        <w:t xml:space="preserve">he </w:t>
      </w:r>
      <w:r w:rsidR="00326237">
        <w:t xml:space="preserve">Government announced amendments </w:t>
      </w:r>
      <w:r w:rsidRPr="00D74479">
        <w:t xml:space="preserve">to clarify that </w:t>
      </w:r>
      <w:r w:rsidR="00326237">
        <w:t xml:space="preserve">unpaid present entitlements </w:t>
      </w:r>
      <w:r w:rsidRPr="00D74479">
        <w:t>will come w</w:t>
      </w:r>
      <w:r w:rsidR="00C02495">
        <w:t>ithin the scope of Division 7A.</w:t>
      </w:r>
    </w:p>
    <w:p w14:paraId="03D3D555" w14:textId="1386DE84" w:rsidR="006B33BC" w:rsidRDefault="006B33BC" w:rsidP="00C02495">
      <w:pPr>
        <w:pStyle w:val="Heading3"/>
      </w:pPr>
      <w:bookmarkStart w:id="28" w:name="_Toc525813305"/>
      <w:r>
        <w:t>Reason for change</w:t>
      </w:r>
      <w:bookmarkEnd w:id="28"/>
    </w:p>
    <w:p w14:paraId="251CB829" w14:textId="460D7442" w:rsidR="00C402F3" w:rsidRPr="00230963" w:rsidRDefault="009C59E4" w:rsidP="001C5350">
      <w:pPr>
        <w:jc w:val="both"/>
        <w:rPr>
          <w:highlight w:val="yellow"/>
        </w:rPr>
      </w:pPr>
      <w:r>
        <w:rPr>
          <w:rFonts w:asciiTheme="minorHAnsi" w:hAnsiTheme="minorHAnsi"/>
          <w:szCs w:val="22"/>
        </w:rPr>
        <w:t xml:space="preserve">Where a trust makes a private company entitled to a share of its income (profits) for a year, and does not actually pay that amount to the private company, this gives rise to an unpaid present entitlement (UPE) for that income. </w:t>
      </w:r>
      <w:r w:rsidR="0036341D">
        <w:rPr>
          <w:rFonts w:asciiTheme="minorHAnsi" w:hAnsiTheme="minorHAnsi"/>
          <w:szCs w:val="22"/>
        </w:rPr>
        <w:t>UPEs generally do not have a prescribed t</w:t>
      </w:r>
      <w:r w:rsidR="00C02495">
        <w:rPr>
          <w:rFonts w:asciiTheme="minorHAnsi" w:hAnsiTheme="minorHAnsi"/>
          <w:szCs w:val="22"/>
        </w:rPr>
        <w:t>ax treatment under the tax law.</w:t>
      </w:r>
    </w:p>
    <w:p w14:paraId="6FE95DAB" w14:textId="4BF354A5" w:rsidR="00E6178A" w:rsidRDefault="00553B12" w:rsidP="00666DCA">
      <w:pPr>
        <w:jc w:val="both"/>
        <w:rPr>
          <w:rFonts w:asciiTheme="minorHAnsi" w:hAnsiTheme="minorHAnsi"/>
          <w:szCs w:val="22"/>
        </w:rPr>
      </w:pPr>
      <w:r>
        <w:rPr>
          <w:rFonts w:asciiTheme="minorHAnsi" w:hAnsiTheme="minorHAnsi"/>
          <w:szCs w:val="22"/>
        </w:rPr>
        <w:t>T</w:t>
      </w:r>
      <w:r w:rsidR="0036341D" w:rsidRPr="007100AA">
        <w:rPr>
          <w:rFonts w:asciiTheme="minorHAnsi" w:hAnsiTheme="minorHAnsi"/>
          <w:szCs w:val="22"/>
        </w:rPr>
        <w:t>he Commissioner</w:t>
      </w:r>
      <w:r w:rsidR="0036341D">
        <w:rPr>
          <w:rFonts w:asciiTheme="minorHAnsi" w:hAnsiTheme="minorHAnsi"/>
          <w:szCs w:val="22"/>
        </w:rPr>
        <w:t xml:space="preserve"> has taken the </w:t>
      </w:r>
      <w:r w:rsidR="0036341D" w:rsidRPr="007100AA">
        <w:rPr>
          <w:rFonts w:asciiTheme="minorHAnsi" w:hAnsiTheme="minorHAnsi"/>
          <w:szCs w:val="22"/>
        </w:rPr>
        <w:t xml:space="preserve">view that </w:t>
      </w:r>
      <w:r w:rsidR="00DF5158">
        <w:rPr>
          <w:rFonts w:asciiTheme="minorHAnsi" w:hAnsiTheme="minorHAnsi"/>
          <w:szCs w:val="22"/>
        </w:rPr>
        <w:t>UPEs are</w:t>
      </w:r>
      <w:r w:rsidR="0036341D">
        <w:rPr>
          <w:rFonts w:asciiTheme="minorHAnsi" w:hAnsiTheme="minorHAnsi"/>
          <w:szCs w:val="22"/>
        </w:rPr>
        <w:t xml:space="preserve"> generally</w:t>
      </w:r>
      <w:r w:rsidR="00C00460">
        <w:rPr>
          <w:rFonts w:asciiTheme="minorHAnsi" w:hAnsiTheme="minorHAnsi"/>
          <w:szCs w:val="22"/>
        </w:rPr>
        <w:t xml:space="preserve"> </w:t>
      </w:r>
      <w:r w:rsidR="00CC47B3">
        <w:rPr>
          <w:rFonts w:asciiTheme="minorHAnsi" w:hAnsiTheme="minorHAnsi"/>
          <w:szCs w:val="22"/>
        </w:rPr>
        <w:t>within the scope of Division 7A under</w:t>
      </w:r>
      <w:r w:rsidR="00C00460">
        <w:rPr>
          <w:rFonts w:asciiTheme="minorHAnsi" w:hAnsiTheme="minorHAnsi"/>
          <w:szCs w:val="22"/>
        </w:rPr>
        <w:t xml:space="preserve"> the extended meaning of a loan in subsection 109D(3)</w:t>
      </w:r>
      <w:r w:rsidR="00047C4F">
        <w:rPr>
          <w:rFonts w:asciiTheme="minorHAnsi" w:hAnsiTheme="minorHAnsi"/>
          <w:szCs w:val="22"/>
        </w:rPr>
        <w:t>,</w:t>
      </w:r>
      <w:r w:rsidR="00C00460">
        <w:rPr>
          <w:rFonts w:asciiTheme="minorHAnsi" w:hAnsiTheme="minorHAnsi"/>
          <w:szCs w:val="22"/>
        </w:rPr>
        <w:t xml:space="preserve"> </w:t>
      </w:r>
      <w:r w:rsidR="0036341D">
        <w:rPr>
          <w:rFonts w:asciiTheme="minorHAnsi" w:hAnsiTheme="minorHAnsi"/>
          <w:szCs w:val="22"/>
        </w:rPr>
        <w:t xml:space="preserve">unless </w:t>
      </w:r>
      <w:r w:rsidR="00635865">
        <w:rPr>
          <w:rFonts w:asciiTheme="minorHAnsi" w:hAnsiTheme="minorHAnsi"/>
          <w:szCs w:val="22"/>
        </w:rPr>
        <w:t xml:space="preserve">the funds representing the UPE </w:t>
      </w:r>
      <w:r w:rsidR="00C3120B">
        <w:rPr>
          <w:rFonts w:asciiTheme="minorHAnsi" w:hAnsiTheme="minorHAnsi"/>
          <w:szCs w:val="22"/>
        </w:rPr>
        <w:t xml:space="preserve">are held </w:t>
      </w:r>
      <w:r w:rsidR="0036341D">
        <w:rPr>
          <w:rFonts w:asciiTheme="minorHAnsi" w:hAnsiTheme="minorHAnsi"/>
          <w:szCs w:val="22"/>
        </w:rPr>
        <w:t xml:space="preserve">for the sole benefit of the private company. </w:t>
      </w:r>
      <w:r w:rsidR="00160730">
        <w:rPr>
          <w:rFonts w:asciiTheme="minorHAnsi" w:hAnsiTheme="minorHAnsi"/>
          <w:szCs w:val="22"/>
        </w:rPr>
        <w:t>This view is outlined in Taxation</w:t>
      </w:r>
      <w:r w:rsidR="00A23EA7">
        <w:rPr>
          <w:rFonts w:asciiTheme="minorHAnsi" w:hAnsiTheme="minorHAnsi"/>
          <w:szCs w:val="22"/>
        </w:rPr>
        <w:t> </w:t>
      </w:r>
      <w:r w:rsidR="00160730">
        <w:rPr>
          <w:rFonts w:asciiTheme="minorHAnsi" w:hAnsiTheme="minorHAnsi"/>
          <w:szCs w:val="22"/>
        </w:rPr>
        <w:t xml:space="preserve">Ruling 2010/3 </w:t>
      </w:r>
      <w:r w:rsidR="00160730">
        <w:rPr>
          <w:rFonts w:asciiTheme="minorHAnsi" w:hAnsiTheme="minorHAnsi"/>
          <w:i/>
          <w:szCs w:val="22"/>
        </w:rPr>
        <w:t>Income tax: Division 7A: trust entitlements</w:t>
      </w:r>
      <w:r w:rsidR="00160730">
        <w:rPr>
          <w:rFonts w:asciiTheme="minorHAnsi" w:hAnsiTheme="minorHAnsi"/>
          <w:szCs w:val="22"/>
        </w:rPr>
        <w:t xml:space="preserve"> and applies to unpaid present entitlements tha</w:t>
      </w:r>
      <w:r w:rsidR="00C02495">
        <w:rPr>
          <w:rFonts w:asciiTheme="minorHAnsi" w:hAnsiTheme="minorHAnsi"/>
          <w:szCs w:val="22"/>
        </w:rPr>
        <w:t>t arise after 16 December 2009.</w:t>
      </w:r>
    </w:p>
    <w:p w14:paraId="5E3B279D" w14:textId="14B01B61" w:rsidR="0011008C" w:rsidRPr="00666DCA" w:rsidRDefault="00E763DB" w:rsidP="00666DCA">
      <w:pPr>
        <w:jc w:val="both"/>
      </w:pPr>
      <w:r w:rsidRPr="00666DCA">
        <w:rPr>
          <w:rFonts w:asciiTheme="minorHAnsi" w:hAnsiTheme="minorHAnsi"/>
          <w:szCs w:val="22"/>
        </w:rPr>
        <w:t>The Commissioner’s guidance in Practice Statement 2010/4</w:t>
      </w:r>
      <w:r w:rsidR="00F758DE">
        <w:rPr>
          <w:rFonts w:asciiTheme="minorHAnsi" w:hAnsiTheme="minorHAnsi"/>
          <w:szCs w:val="22"/>
        </w:rPr>
        <w:t xml:space="preserve"> (PSLA 2010/4)</w:t>
      </w:r>
      <w:r w:rsidRPr="00666DCA">
        <w:rPr>
          <w:rFonts w:asciiTheme="minorHAnsi" w:hAnsiTheme="minorHAnsi"/>
          <w:szCs w:val="22"/>
        </w:rPr>
        <w:t xml:space="preserve"> - </w:t>
      </w:r>
      <w:r w:rsidRPr="00666DCA">
        <w:rPr>
          <w:rFonts w:asciiTheme="minorHAnsi" w:hAnsiTheme="minorHAnsi"/>
          <w:i/>
          <w:szCs w:val="22"/>
        </w:rPr>
        <w:t>Division 7A: trust entitlements</w:t>
      </w:r>
      <w:r w:rsidR="00385E8F">
        <w:rPr>
          <w:rFonts w:asciiTheme="minorHAnsi" w:hAnsiTheme="minorHAnsi"/>
          <w:i/>
          <w:szCs w:val="22"/>
        </w:rPr>
        <w:t xml:space="preserve"> -</w:t>
      </w:r>
      <w:r w:rsidRPr="00666DCA">
        <w:rPr>
          <w:rFonts w:asciiTheme="minorHAnsi" w:hAnsiTheme="minorHAnsi"/>
          <w:szCs w:val="22"/>
        </w:rPr>
        <w:t xml:space="preserve"> provides </w:t>
      </w:r>
      <w:r w:rsidR="008E1A4F">
        <w:rPr>
          <w:rFonts w:asciiTheme="minorHAnsi" w:hAnsiTheme="minorHAnsi"/>
          <w:szCs w:val="22"/>
        </w:rPr>
        <w:t>practical guidance</w:t>
      </w:r>
      <w:r w:rsidR="0011008C">
        <w:rPr>
          <w:rFonts w:asciiTheme="minorHAnsi" w:hAnsiTheme="minorHAnsi"/>
          <w:szCs w:val="22"/>
        </w:rPr>
        <w:t xml:space="preserve"> for taxpayers to demonstrate that the </w:t>
      </w:r>
      <w:r w:rsidR="008E1A4F">
        <w:rPr>
          <w:rFonts w:asciiTheme="minorHAnsi" w:hAnsiTheme="minorHAnsi"/>
          <w:szCs w:val="22"/>
        </w:rPr>
        <w:t>funds</w:t>
      </w:r>
      <w:r w:rsidR="0011008C">
        <w:rPr>
          <w:rFonts w:asciiTheme="minorHAnsi" w:hAnsiTheme="minorHAnsi"/>
          <w:szCs w:val="22"/>
        </w:rPr>
        <w:t xml:space="preserve"> representing the UPE </w:t>
      </w:r>
      <w:r w:rsidR="008E1A4F">
        <w:rPr>
          <w:rFonts w:asciiTheme="minorHAnsi" w:hAnsiTheme="minorHAnsi"/>
          <w:szCs w:val="22"/>
        </w:rPr>
        <w:t>are</w:t>
      </w:r>
      <w:r w:rsidR="0011008C">
        <w:rPr>
          <w:rFonts w:asciiTheme="minorHAnsi" w:hAnsiTheme="minorHAnsi"/>
          <w:szCs w:val="22"/>
        </w:rPr>
        <w:t xml:space="preserve"> held for the sole benefit of the private company, including </w:t>
      </w:r>
      <w:r w:rsidR="008E1A4F">
        <w:rPr>
          <w:rFonts w:asciiTheme="minorHAnsi" w:hAnsiTheme="minorHAnsi"/>
          <w:szCs w:val="22"/>
        </w:rPr>
        <w:t xml:space="preserve">by establishing a separate trust (referred to as a ‘sub-trust’) that lends </w:t>
      </w:r>
      <w:r w:rsidR="0011008C">
        <w:rPr>
          <w:rFonts w:asciiTheme="minorHAnsi" w:hAnsiTheme="minorHAnsi"/>
          <w:szCs w:val="22"/>
        </w:rPr>
        <w:t xml:space="preserve">the amount </w:t>
      </w:r>
      <w:r w:rsidR="008E1A4F">
        <w:rPr>
          <w:rFonts w:asciiTheme="minorHAnsi" w:hAnsiTheme="minorHAnsi"/>
          <w:szCs w:val="22"/>
        </w:rPr>
        <w:t>of the UPE to the trust for</w:t>
      </w:r>
      <w:r w:rsidR="0011008C">
        <w:rPr>
          <w:rFonts w:asciiTheme="minorHAnsi" w:hAnsiTheme="minorHAnsi"/>
          <w:szCs w:val="22"/>
        </w:rPr>
        <w:t xml:space="preserve"> 7 or 10 year</w:t>
      </w:r>
      <w:r w:rsidR="008E1A4F">
        <w:rPr>
          <w:rFonts w:asciiTheme="minorHAnsi" w:hAnsiTheme="minorHAnsi"/>
          <w:szCs w:val="22"/>
        </w:rPr>
        <w:t>s</w:t>
      </w:r>
      <w:r w:rsidR="0011008C">
        <w:rPr>
          <w:rFonts w:asciiTheme="minorHAnsi" w:hAnsiTheme="minorHAnsi"/>
          <w:szCs w:val="22"/>
        </w:rPr>
        <w:t xml:space="preserve"> </w:t>
      </w:r>
      <w:r w:rsidR="008E1A4F">
        <w:rPr>
          <w:rFonts w:asciiTheme="minorHAnsi" w:hAnsiTheme="minorHAnsi"/>
          <w:szCs w:val="22"/>
        </w:rPr>
        <w:t xml:space="preserve">on </w:t>
      </w:r>
      <w:r w:rsidR="0011008C">
        <w:rPr>
          <w:rFonts w:asciiTheme="minorHAnsi" w:hAnsiTheme="minorHAnsi"/>
          <w:szCs w:val="22"/>
        </w:rPr>
        <w:t xml:space="preserve">interest only </w:t>
      </w:r>
      <w:r w:rsidR="008E1A4F">
        <w:rPr>
          <w:rFonts w:asciiTheme="minorHAnsi" w:hAnsiTheme="minorHAnsi"/>
          <w:szCs w:val="22"/>
        </w:rPr>
        <w:t>terms</w:t>
      </w:r>
      <w:r w:rsidR="0011008C">
        <w:rPr>
          <w:rFonts w:asciiTheme="minorHAnsi" w:hAnsiTheme="minorHAnsi"/>
          <w:szCs w:val="22"/>
        </w:rPr>
        <w:t xml:space="preserve"> or invest</w:t>
      </w:r>
      <w:r w:rsidR="007F74C6">
        <w:rPr>
          <w:rFonts w:asciiTheme="minorHAnsi" w:hAnsiTheme="minorHAnsi"/>
          <w:szCs w:val="22"/>
        </w:rPr>
        <w:t>s</w:t>
      </w:r>
      <w:r w:rsidR="0011008C">
        <w:rPr>
          <w:rFonts w:asciiTheme="minorHAnsi" w:hAnsiTheme="minorHAnsi"/>
          <w:szCs w:val="22"/>
        </w:rPr>
        <w:t xml:space="preserve"> the amount in a specific income</w:t>
      </w:r>
      <w:r w:rsidR="00385E8F">
        <w:rPr>
          <w:rFonts w:asciiTheme="minorHAnsi" w:hAnsiTheme="minorHAnsi"/>
          <w:szCs w:val="22"/>
        </w:rPr>
        <w:t>-</w:t>
      </w:r>
      <w:r w:rsidR="0011008C">
        <w:rPr>
          <w:rFonts w:asciiTheme="minorHAnsi" w:hAnsiTheme="minorHAnsi"/>
          <w:szCs w:val="22"/>
        </w:rPr>
        <w:t>producing asset</w:t>
      </w:r>
      <w:r w:rsidR="008E1A4F">
        <w:rPr>
          <w:rFonts w:asciiTheme="minorHAnsi" w:hAnsiTheme="minorHAnsi"/>
          <w:szCs w:val="22"/>
        </w:rPr>
        <w:t xml:space="preserve"> (of the trust)</w:t>
      </w:r>
      <w:r w:rsidR="00C02495">
        <w:rPr>
          <w:rFonts w:asciiTheme="minorHAnsi" w:hAnsiTheme="minorHAnsi"/>
          <w:szCs w:val="22"/>
        </w:rPr>
        <w:t>.</w:t>
      </w:r>
    </w:p>
    <w:p w14:paraId="66E91B30" w14:textId="55308DB7" w:rsidR="0011008C" w:rsidRDefault="0011008C" w:rsidP="0011008C">
      <w:pPr>
        <w:jc w:val="both"/>
        <w:rPr>
          <w:rFonts w:asciiTheme="minorHAnsi" w:hAnsiTheme="minorHAnsi"/>
          <w:szCs w:val="22"/>
        </w:rPr>
      </w:pPr>
      <w:r w:rsidRPr="00666DCA">
        <w:rPr>
          <w:rFonts w:asciiTheme="minorHAnsi" w:hAnsiTheme="minorHAnsi"/>
          <w:szCs w:val="22"/>
        </w:rPr>
        <w:t>Under these approaches, trusts are not required t</w:t>
      </w:r>
      <w:r w:rsidR="0023795D">
        <w:rPr>
          <w:rFonts w:asciiTheme="minorHAnsi" w:hAnsiTheme="minorHAnsi"/>
          <w:szCs w:val="22"/>
        </w:rPr>
        <w:t>o</w:t>
      </w:r>
      <w:r w:rsidRPr="00666DCA">
        <w:rPr>
          <w:rFonts w:asciiTheme="minorHAnsi" w:hAnsiTheme="minorHAnsi"/>
          <w:szCs w:val="22"/>
        </w:rPr>
        <w:t xml:space="preserve"> repay the amount</w:t>
      </w:r>
      <w:r w:rsidR="00A91088">
        <w:rPr>
          <w:rFonts w:asciiTheme="minorHAnsi" w:hAnsiTheme="minorHAnsi"/>
          <w:szCs w:val="22"/>
        </w:rPr>
        <w:t xml:space="preserve"> representing the UPE </w:t>
      </w:r>
      <w:r w:rsidRPr="00666DCA">
        <w:rPr>
          <w:rFonts w:asciiTheme="minorHAnsi" w:hAnsiTheme="minorHAnsi"/>
          <w:szCs w:val="22"/>
        </w:rPr>
        <w:t>until the conclusion of the interest</w:t>
      </w:r>
      <w:r w:rsidR="00385E8F">
        <w:rPr>
          <w:rFonts w:asciiTheme="minorHAnsi" w:hAnsiTheme="minorHAnsi"/>
          <w:szCs w:val="22"/>
        </w:rPr>
        <w:t>-</w:t>
      </w:r>
      <w:r w:rsidR="00C02495">
        <w:rPr>
          <w:rFonts w:asciiTheme="minorHAnsi" w:hAnsiTheme="minorHAnsi"/>
          <w:szCs w:val="22"/>
        </w:rPr>
        <w:t>only loan.</w:t>
      </w:r>
    </w:p>
    <w:p w14:paraId="63FE1CA6" w14:textId="42B97F78" w:rsidR="00E763DB" w:rsidRDefault="00C21109" w:rsidP="00666DCA">
      <w:pPr>
        <w:jc w:val="both"/>
        <w:rPr>
          <w:rFonts w:asciiTheme="minorHAnsi" w:hAnsiTheme="minorHAnsi"/>
          <w:szCs w:val="22"/>
          <w:highlight w:val="yellow"/>
        </w:rPr>
      </w:pPr>
      <w:r w:rsidRPr="00D74479">
        <w:t xml:space="preserve">The amendments will ensure that the </w:t>
      </w:r>
      <w:r w:rsidR="008E1A4F">
        <w:t>UPE</w:t>
      </w:r>
      <w:r w:rsidRPr="00D74479">
        <w:t xml:space="preserve"> will be treated consistently with other payments made by private companies to taxpayers, by either requiring the UPE to be repaid to the private company over time as a complying loan or subject to tax as a dividend.</w:t>
      </w:r>
    </w:p>
    <w:p w14:paraId="0BA5150F" w14:textId="077573D7" w:rsidR="006B33BC" w:rsidRDefault="007F1555" w:rsidP="00C02495">
      <w:pPr>
        <w:pStyle w:val="Heading3"/>
      </w:pPr>
      <w:bookmarkStart w:id="29" w:name="_Toc525813306"/>
      <w:r>
        <w:t>Propos</w:t>
      </w:r>
      <w:r w:rsidR="00E34B38">
        <w:t xml:space="preserve">ed implementation </w:t>
      </w:r>
      <w:r w:rsidR="00E34B38" w:rsidRPr="00C02495">
        <w:t>approach</w:t>
      </w:r>
      <w:bookmarkEnd w:id="29"/>
    </w:p>
    <w:p w14:paraId="5AD3C2A6" w14:textId="3C511F2B" w:rsidR="007F1555" w:rsidRDefault="007C498C" w:rsidP="00721E8D">
      <w:pPr>
        <w:jc w:val="both"/>
      </w:pPr>
      <w:r w:rsidRPr="001A4B47">
        <w:t xml:space="preserve">Where </w:t>
      </w:r>
      <w:r w:rsidR="006B33BC" w:rsidRPr="001A4B47">
        <w:t xml:space="preserve">a </w:t>
      </w:r>
      <w:r w:rsidR="0067465E" w:rsidRPr="001A4B47">
        <w:t>UPE remains unpaid</w:t>
      </w:r>
      <w:r w:rsidRPr="001A4B47">
        <w:t xml:space="preserve"> at</w:t>
      </w:r>
      <w:r w:rsidR="007F1555">
        <w:t xml:space="preserve"> </w:t>
      </w:r>
      <w:r w:rsidR="007F74C6">
        <w:t xml:space="preserve">the </w:t>
      </w:r>
      <w:proofErr w:type="spellStart"/>
      <w:r w:rsidR="00712FED">
        <w:t>lodgment</w:t>
      </w:r>
      <w:proofErr w:type="spellEnd"/>
      <w:r w:rsidR="007F1555">
        <w:t xml:space="preserve"> day of the private company’s income tax return,</w:t>
      </w:r>
      <w:r w:rsidRPr="001A4B47">
        <w:t xml:space="preserve"> t</w:t>
      </w:r>
      <w:r w:rsidR="006B33BC" w:rsidRPr="001A4B47">
        <w:t xml:space="preserve">he </w:t>
      </w:r>
      <w:r w:rsidR="006D3D6D">
        <w:t xml:space="preserve">UPE </w:t>
      </w:r>
      <w:r w:rsidR="008E1A4F">
        <w:t xml:space="preserve">will be </w:t>
      </w:r>
      <w:r w:rsidR="006D3D6D">
        <w:t xml:space="preserve">a deemed </w:t>
      </w:r>
      <w:r w:rsidR="006B33BC" w:rsidRPr="001A4B47">
        <w:t xml:space="preserve">dividend from the company </w:t>
      </w:r>
      <w:r w:rsidR="008E1A4F">
        <w:t xml:space="preserve">to the trust </w:t>
      </w:r>
      <w:r w:rsidR="006B33BC" w:rsidRPr="001A4B47">
        <w:t xml:space="preserve">(which is assessable at the marginal tax rates of the beneficiaries or the top marginal tax rate, if assessable to the trustee), or alternatively the UPE </w:t>
      </w:r>
      <w:r w:rsidR="008E1A4F">
        <w:t xml:space="preserve">can be put </w:t>
      </w:r>
      <w:r w:rsidR="006B33BC" w:rsidRPr="001A4B47">
        <w:t>on ‘complying loan terms’ under which principal and interest payments are required to be made.</w:t>
      </w:r>
    </w:p>
    <w:p w14:paraId="1A3C26D2" w14:textId="7B4614E7" w:rsidR="00A14B2D" w:rsidRDefault="00A14B2D" w:rsidP="001A4B47">
      <w:pPr>
        <w:jc w:val="both"/>
      </w:pPr>
      <w:r>
        <w:t xml:space="preserve">All </w:t>
      </w:r>
      <w:r w:rsidR="00532BE6">
        <w:t xml:space="preserve">UPEs </w:t>
      </w:r>
      <w:r>
        <w:t>aris</w:t>
      </w:r>
      <w:r w:rsidR="007F74C6">
        <w:t>ing</w:t>
      </w:r>
      <w:r>
        <w:t xml:space="preserve"> on, or after </w:t>
      </w:r>
      <w:r w:rsidR="00532BE6">
        <w:t>16 December 2009</w:t>
      </w:r>
      <w:r>
        <w:t xml:space="preserve"> </w:t>
      </w:r>
      <w:r w:rsidR="00F02CE8">
        <w:t>and on, or before, 30 Jun</w:t>
      </w:r>
      <w:r w:rsidR="007F74C6">
        <w:t>e</w:t>
      </w:r>
      <w:r w:rsidR="00F02CE8">
        <w:t xml:space="preserve"> 2019, </w:t>
      </w:r>
      <w:r>
        <w:t xml:space="preserve">that have not already been put on complying loan terms or deemed </w:t>
      </w:r>
      <w:r w:rsidR="007F74C6">
        <w:t>to be a</w:t>
      </w:r>
      <w:r>
        <w:t xml:space="preserve"> dividend, will need to be put on complying terms by 30 June 2020.</w:t>
      </w:r>
      <w:r w:rsidR="00532BE6">
        <w:t xml:space="preserve"> The first </w:t>
      </w:r>
      <w:r w:rsidR="00CB69E0">
        <w:t>repayment</w:t>
      </w:r>
      <w:r w:rsidR="008E1A4F">
        <w:t xml:space="preserve"> for such loans</w:t>
      </w:r>
      <w:r w:rsidR="00CB69E0">
        <w:t xml:space="preserve"> w</w:t>
      </w:r>
      <w:r w:rsidR="008E1A4F">
        <w:t>ould</w:t>
      </w:r>
      <w:r w:rsidR="00CB69E0">
        <w:t xml:space="preserve"> be due in the 2019-20 income year. Any amounts outstanding that have not been p</w:t>
      </w:r>
      <w:r>
        <w:t>ut</w:t>
      </w:r>
      <w:r w:rsidR="00CB69E0">
        <w:t xml:space="preserve"> on complying loan terms by the end of the 2019-20 income year will result in a deemed dividend</w:t>
      </w:r>
      <w:r w:rsidR="00B310EE">
        <w:t xml:space="preserve"> for the outstanding </w:t>
      </w:r>
      <w:r>
        <w:t>amount of the UPE</w:t>
      </w:r>
      <w:r w:rsidR="00B310EE">
        <w:t>.</w:t>
      </w:r>
    </w:p>
    <w:p w14:paraId="0792B441" w14:textId="1AF43707" w:rsidR="00CB69E0" w:rsidRDefault="00A14B2D" w:rsidP="001A4B47">
      <w:pPr>
        <w:jc w:val="both"/>
      </w:pPr>
      <w:r>
        <w:t xml:space="preserve">All UPEs that arise on, or after, 1 July 2019 will need to be either paid to the private company or put on complying loan terms under the new 10 year loan model prior to the private </w:t>
      </w:r>
      <w:r w:rsidR="00F02CE8">
        <w:t>company’s</w:t>
      </w:r>
      <w:r>
        <w:t xml:space="preserve"> </w:t>
      </w:r>
      <w:proofErr w:type="spellStart"/>
      <w:r>
        <w:t>lodgment</w:t>
      </w:r>
      <w:proofErr w:type="spellEnd"/>
      <w:r>
        <w:t xml:space="preserve"> </w:t>
      </w:r>
      <w:r w:rsidR="00F02CE8">
        <w:t>day, otherwise they</w:t>
      </w:r>
      <w:r>
        <w:t xml:space="preserve"> will be a deem</w:t>
      </w:r>
      <w:r w:rsidR="00F02CE8">
        <w:t>ed a dividend.</w:t>
      </w:r>
    </w:p>
    <w:p w14:paraId="51FF4C5E" w14:textId="491F91BB" w:rsidR="006B0619" w:rsidRPr="00C02495" w:rsidRDefault="00FA62CA" w:rsidP="001A4B47">
      <w:pPr>
        <w:jc w:val="both"/>
        <w:rPr>
          <w:rStyle w:val="Heading2Char"/>
          <w:rFonts w:cs="Times New Roman"/>
          <w:color w:val="auto"/>
          <w:kern w:val="0"/>
          <w:sz w:val="22"/>
          <w:szCs w:val="20"/>
        </w:rPr>
      </w:pPr>
      <w:r>
        <w:rPr>
          <w:iCs/>
        </w:rPr>
        <w:t xml:space="preserve">UPEs that have </w:t>
      </w:r>
      <w:r w:rsidR="00A91088">
        <w:rPr>
          <w:iCs/>
        </w:rPr>
        <w:t xml:space="preserve">already </w:t>
      </w:r>
      <w:r>
        <w:rPr>
          <w:iCs/>
        </w:rPr>
        <w:t>been placed on complying loan terms will be treated in accordance with the relevant</w:t>
      </w:r>
      <w:r w:rsidR="00433008">
        <w:rPr>
          <w:iCs/>
        </w:rPr>
        <w:t xml:space="preserve"> 7 or 25 year loan</w:t>
      </w:r>
      <w:r>
        <w:rPr>
          <w:iCs/>
        </w:rPr>
        <w:t xml:space="preserve"> transitional rules</w:t>
      </w:r>
      <w:r w:rsidR="00C02495">
        <w:rPr>
          <w:iCs/>
        </w:rPr>
        <w:t>.</w:t>
      </w:r>
    </w:p>
    <w:p w14:paraId="00B4D554" w14:textId="7BE78ECC" w:rsidR="001A4B47" w:rsidRDefault="001A4B47" w:rsidP="00C02495">
      <w:pPr>
        <w:pStyle w:val="Heading2"/>
        <w:rPr>
          <w:rStyle w:val="Heading2Char"/>
        </w:rPr>
      </w:pPr>
      <w:bookmarkStart w:id="30" w:name="_Toc525813307"/>
      <w:r w:rsidRPr="00D900AF">
        <w:rPr>
          <w:rStyle w:val="Heading2Char"/>
        </w:rPr>
        <w:t>D</w:t>
      </w:r>
      <w:r>
        <w:rPr>
          <w:rStyle w:val="Heading2Char"/>
        </w:rPr>
        <w:t>iscussion questions</w:t>
      </w:r>
      <w:bookmarkEnd w:id="30"/>
    </w:p>
    <w:tbl>
      <w:tblPr>
        <w:tblW w:w="5000" w:type="pct"/>
        <w:shd w:val="clear" w:color="auto" w:fill="E3E7F0"/>
        <w:tblLook w:val="01E0" w:firstRow="1" w:lastRow="1" w:firstColumn="1" w:lastColumn="1" w:noHBand="0" w:noVBand="0"/>
      </w:tblPr>
      <w:tblGrid>
        <w:gridCol w:w="9286"/>
      </w:tblGrid>
      <w:tr w:rsidR="00C02495" w14:paraId="0ECE0E08" w14:textId="77777777" w:rsidTr="00F1497F">
        <w:tc>
          <w:tcPr>
            <w:tcW w:w="5000" w:type="pct"/>
            <w:shd w:val="clear" w:color="auto" w:fill="E3E7F0"/>
          </w:tcPr>
          <w:p w14:paraId="53ACEB5A" w14:textId="60784FD9" w:rsidR="00C02495" w:rsidRPr="000553FE" w:rsidRDefault="00C02495" w:rsidP="00F1497F">
            <w:pPr>
              <w:pStyle w:val="BoxHeading"/>
              <w:rPr>
                <w:b w:val="0"/>
              </w:rPr>
            </w:pPr>
            <w:r w:rsidRPr="00C02495">
              <w:t>Discussion Question 2:</w:t>
            </w:r>
          </w:p>
          <w:p w14:paraId="074AFC73" w14:textId="0E8A1386" w:rsidR="00C02495" w:rsidRDefault="00C02495" w:rsidP="00C02495">
            <w:pPr>
              <w:pStyle w:val="TableSecondHeading"/>
            </w:pPr>
            <w:r>
              <w:t>Unpaid present entitlements</w:t>
            </w:r>
          </w:p>
          <w:p w14:paraId="62C36C57" w14:textId="107A51F1" w:rsidR="00C02495" w:rsidRPr="00C02495" w:rsidRDefault="00C02495" w:rsidP="00C02495">
            <w:pPr>
              <w:pStyle w:val="BoxText"/>
              <w:numPr>
                <w:ilvl w:val="0"/>
                <w:numId w:val="35"/>
              </w:numPr>
            </w:pPr>
            <w:r w:rsidRPr="00C02495">
              <w:t>Are transitional rules required for UPEs arising on, or after, 16 December 2009 and on or before, 30 June 2019 where the funds are invested in the main trust using one of the investment options in PSLA 2010/4 and therefore the UPE is considered to be held for the sole benefit of the private company beneficiary? If so, what kind of transitional rules might be required?</w:t>
            </w:r>
          </w:p>
          <w:p w14:paraId="2BCDBCBB" w14:textId="5A88C9CC" w:rsidR="00C02495" w:rsidRPr="008950C5" w:rsidRDefault="00C02495" w:rsidP="00C02495">
            <w:pPr>
              <w:pStyle w:val="BoxText"/>
              <w:numPr>
                <w:ilvl w:val="0"/>
                <w:numId w:val="35"/>
              </w:numPr>
            </w:pPr>
            <w:r w:rsidRPr="00C02495">
              <w:t>Should UPEs arising prior to 16 December 2009 be brought within Division 7A?</w:t>
            </w:r>
          </w:p>
        </w:tc>
      </w:tr>
    </w:tbl>
    <w:p w14:paraId="44D045B4" w14:textId="77777777" w:rsidR="00C02495" w:rsidRPr="00C02495" w:rsidRDefault="00C02495" w:rsidP="00C02495">
      <w:r>
        <w:br w:type="page"/>
      </w:r>
    </w:p>
    <w:p w14:paraId="1498339A" w14:textId="776DA7EE" w:rsidR="00073AAE" w:rsidRDefault="001C6F84" w:rsidP="00C02495">
      <w:pPr>
        <w:pStyle w:val="Heading1"/>
      </w:pPr>
      <w:bookmarkStart w:id="31" w:name="_Toc525813308"/>
      <w:r w:rsidRPr="00AC0B08">
        <w:t>Reviewing</w:t>
      </w:r>
      <w:r w:rsidR="00073AAE" w:rsidRPr="00AC0B08">
        <w:t xml:space="preserve"> </w:t>
      </w:r>
      <w:r w:rsidR="00481B8B" w:rsidRPr="00C02495">
        <w:t>B</w:t>
      </w:r>
      <w:r w:rsidR="00073AAE" w:rsidRPr="00C02495">
        <w:t>reaches</w:t>
      </w:r>
      <w:r w:rsidR="00073AAE" w:rsidRPr="00AC0B08">
        <w:t xml:space="preserve"> of Division 7A</w:t>
      </w:r>
      <w:bookmarkEnd w:id="31"/>
    </w:p>
    <w:p w14:paraId="5074F1FD" w14:textId="6C78A647" w:rsidR="00073AAE" w:rsidRDefault="00073AAE" w:rsidP="00C02495">
      <w:pPr>
        <w:pStyle w:val="Heading2"/>
      </w:pPr>
      <w:bookmarkStart w:id="32" w:name="_Toc525813309"/>
      <w:r>
        <w:t>Self-correction mechanism</w:t>
      </w:r>
      <w:bookmarkEnd w:id="32"/>
    </w:p>
    <w:p w14:paraId="442D9710" w14:textId="4B04AFC0" w:rsidR="00073AAE" w:rsidRPr="008334D1" w:rsidRDefault="00DD0D53" w:rsidP="00073AAE">
      <w:pPr>
        <w:jc w:val="both"/>
      </w:pPr>
      <w:r>
        <w:t>T</w:t>
      </w:r>
      <w:r w:rsidR="00073AAE">
        <w:t xml:space="preserve">he introduction of a self-correction mechanism </w:t>
      </w:r>
      <w:r>
        <w:t>will</w:t>
      </w:r>
      <w:r w:rsidR="00073AAE">
        <w:t xml:space="preserve"> allow taxpayers to rectify</w:t>
      </w:r>
      <w:r w:rsidR="00116A3B">
        <w:t xml:space="preserve"> inadvertent</w:t>
      </w:r>
      <w:r w:rsidR="00073AAE">
        <w:t xml:space="preserve"> breaches</w:t>
      </w:r>
      <w:r w:rsidR="00073AAE" w:rsidRPr="00097E51">
        <w:t xml:space="preserve"> </w:t>
      </w:r>
      <w:r w:rsidR="00116A3B">
        <w:t xml:space="preserve">of </w:t>
      </w:r>
      <w:r w:rsidR="00073AAE">
        <w:t>Division 7A. This will provide the opportunity to voluntarily correct their arrangements without penalty.</w:t>
      </w:r>
    </w:p>
    <w:p w14:paraId="24090F90" w14:textId="3675133E" w:rsidR="00073AAE" w:rsidRDefault="00073AAE" w:rsidP="00C02495">
      <w:pPr>
        <w:pStyle w:val="Heading3"/>
      </w:pPr>
      <w:bookmarkStart w:id="33" w:name="_Toc525813310"/>
      <w:r>
        <w:t xml:space="preserve">Reasons for </w:t>
      </w:r>
      <w:r w:rsidR="00FB12F4" w:rsidRPr="00C02495">
        <w:t>c</w:t>
      </w:r>
      <w:r w:rsidRPr="00C02495">
        <w:t>hange</w:t>
      </w:r>
      <w:bookmarkEnd w:id="33"/>
    </w:p>
    <w:p w14:paraId="0AA6DD7C" w14:textId="050EE7FB" w:rsidR="00073AAE" w:rsidRDefault="00073AAE" w:rsidP="00073AAE">
      <w:pPr>
        <w:jc w:val="both"/>
      </w:pPr>
      <w:r>
        <w:t>Currently, to assist taxpayers to comply with Division 7A, section 109RB allows the Commissioner to exercise a discretion to disregard a deemed dividend or allow it to be franked</w:t>
      </w:r>
      <w:r w:rsidR="00111A38">
        <w:t xml:space="preserve"> if the dividend arose</w:t>
      </w:r>
      <w:r>
        <w:t xml:space="preserve"> as a result of an honest mistake or inadvertent omission.</w:t>
      </w:r>
    </w:p>
    <w:p w14:paraId="0AB3DADB" w14:textId="77777777" w:rsidR="00073AAE" w:rsidRDefault="00073AAE" w:rsidP="00073AAE">
      <w:pPr>
        <w:jc w:val="both"/>
      </w:pPr>
      <w:r>
        <w:t>When a taxpayer applies for the Commissioner’s discretion, the Commissioner must consider a range of factors, including:</w:t>
      </w:r>
    </w:p>
    <w:p w14:paraId="30DFBF6D" w14:textId="77777777" w:rsidR="00073AAE" w:rsidRPr="00C02495" w:rsidRDefault="00073AAE" w:rsidP="00C02495">
      <w:pPr>
        <w:pStyle w:val="Bullet"/>
      </w:pPr>
      <w:r w:rsidRPr="00C02495">
        <w:t>the circumstances that led to the mistake or omission;</w:t>
      </w:r>
    </w:p>
    <w:p w14:paraId="12BF9776" w14:textId="77777777" w:rsidR="00073AAE" w:rsidRPr="00C02495" w:rsidRDefault="00073AAE" w:rsidP="00C02495">
      <w:pPr>
        <w:pStyle w:val="Bullet"/>
      </w:pPr>
      <w:r w:rsidRPr="00C02495">
        <w:t>the extent of any action taken by the parties to correct the mistake or omission;</w:t>
      </w:r>
    </w:p>
    <w:p w14:paraId="5B223BB1" w14:textId="45CAFCBB" w:rsidR="00073AAE" w:rsidRPr="00C02495" w:rsidRDefault="00073AAE" w:rsidP="00C02495">
      <w:pPr>
        <w:pStyle w:val="Bullet"/>
      </w:pPr>
      <w:r w:rsidRPr="00C02495">
        <w:t>whether there have been any prior ap</w:t>
      </w:r>
      <w:r w:rsidR="00C02495" w:rsidRPr="00C02495">
        <w:t>plications of the Division; and</w:t>
      </w:r>
    </w:p>
    <w:p w14:paraId="4B58ED7C" w14:textId="61A4A4F5" w:rsidR="00073AAE" w:rsidRPr="00C02495" w:rsidRDefault="00CF389F" w:rsidP="00C02495">
      <w:pPr>
        <w:pStyle w:val="Bullet"/>
      </w:pPr>
      <w:r w:rsidRPr="00C02495">
        <w:t xml:space="preserve">any </w:t>
      </w:r>
      <w:r w:rsidR="00073AAE" w:rsidRPr="00C02495">
        <w:t xml:space="preserve">other </w:t>
      </w:r>
      <w:r w:rsidRPr="00C02495">
        <w:t xml:space="preserve">matters that </w:t>
      </w:r>
      <w:r w:rsidR="00073AAE" w:rsidRPr="00C02495">
        <w:t>the Commissioner considers relevant.</w:t>
      </w:r>
    </w:p>
    <w:p w14:paraId="2D9B9560" w14:textId="7E45E1C6" w:rsidR="00073AAE" w:rsidRDefault="00CF389F" w:rsidP="00073AAE">
      <w:pPr>
        <w:jc w:val="both"/>
      </w:pPr>
      <w:r>
        <w:t>T</w:t>
      </w:r>
      <w:r w:rsidR="00073AAE">
        <w:t xml:space="preserve">he Commissioner may </w:t>
      </w:r>
      <w:r>
        <w:t xml:space="preserve">make exercising the discretion subject to </w:t>
      </w:r>
      <w:r w:rsidR="00073AAE">
        <w:t xml:space="preserve">conditions such as corrective action. </w:t>
      </w:r>
      <w:r w:rsidR="00111A38">
        <w:t>Currently this extends to</w:t>
      </w:r>
      <w:r w:rsidR="00073AAE" w:rsidRPr="00F00A85">
        <w:t xml:space="preserve"> putting parties in the position they would have been had they originally complied with their Division 7A obligations. This includes</w:t>
      </w:r>
      <w:r w:rsidR="00111A38">
        <w:t xml:space="preserve"> making</w:t>
      </w:r>
      <w:r w:rsidR="00073AAE" w:rsidRPr="00F00A85">
        <w:t xml:space="preserve"> catch</w:t>
      </w:r>
      <w:r w:rsidR="00B16537">
        <w:t>-</w:t>
      </w:r>
      <w:r w:rsidR="00073AAE" w:rsidRPr="00F00A85">
        <w:t xml:space="preserve">up payments of </w:t>
      </w:r>
      <w:r w:rsidR="00073AAE">
        <w:t>compounding interest and principal in the income year in which self-correction is made. The compounding interest is to be included as assessable income in the private company’s income tax return.</w:t>
      </w:r>
    </w:p>
    <w:p w14:paraId="617294AE" w14:textId="77777777" w:rsidR="00A91088" w:rsidRDefault="00A91088" w:rsidP="00A91088">
      <w:pPr>
        <w:jc w:val="both"/>
      </w:pPr>
      <w:r>
        <w:t>The objective of the Commissioner’s discretion is to assist the taxpayer to comply with their Division 7A obligations. However, the process of applying for the discretion imposes significant compliance costs on the taxpayer.</w:t>
      </w:r>
      <w:r w:rsidRPr="000974DF">
        <w:t xml:space="preserve"> </w:t>
      </w:r>
      <w:r>
        <w:t>This process also creates uncertainty for taxpayers and places a burden on both the taxpayer and the ATO.</w:t>
      </w:r>
    </w:p>
    <w:p w14:paraId="44BE49DC" w14:textId="315449E4" w:rsidR="00073AAE" w:rsidRDefault="00073AAE" w:rsidP="00A91088">
      <w:pPr>
        <w:jc w:val="both"/>
      </w:pPr>
      <w:r>
        <w:t xml:space="preserve">The </w:t>
      </w:r>
      <w:r w:rsidR="00111A38">
        <w:t>amendments will introduce</w:t>
      </w:r>
      <w:r>
        <w:t xml:space="preserve"> a new self-correction mechanism to allow taxpayers to correct their tax affairs and rectify breaches of Division 7A without incurring substantial compliance costs.</w:t>
      </w:r>
    </w:p>
    <w:p w14:paraId="5324496C" w14:textId="55763183" w:rsidR="00073AAE" w:rsidRDefault="00073AAE" w:rsidP="00C02495">
      <w:pPr>
        <w:pStyle w:val="Heading3"/>
      </w:pPr>
      <w:bookmarkStart w:id="34" w:name="_Toc525813311"/>
      <w:r>
        <w:t>Propos</w:t>
      </w:r>
      <w:r w:rsidR="006133D0">
        <w:t xml:space="preserve">ed </w:t>
      </w:r>
      <w:r w:rsidR="006133D0" w:rsidRPr="00C02495">
        <w:t>implementation</w:t>
      </w:r>
      <w:r w:rsidR="006133D0">
        <w:t xml:space="preserve"> approach</w:t>
      </w:r>
      <w:bookmarkEnd w:id="34"/>
    </w:p>
    <w:p w14:paraId="32219F88" w14:textId="3FE9BA86" w:rsidR="00073AAE" w:rsidRDefault="006133D0" w:rsidP="00073AAE">
      <w:pPr>
        <w:jc w:val="both"/>
      </w:pPr>
      <w:r>
        <w:t>C</w:t>
      </w:r>
      <w:r w:rsidR="00073AAE">
        <w:t xml:space="preserve">onsistent with the Board’s recommendation, qualifying taxpayers </w:t>
      </w:r>
      <w:r w:rsidR="00A91088">
        <w:t xml:space="preserve">will </w:t>
      </w:r>
      <w:r w:rsidR="00073AAE">
        <w:t>be permitted to self-assess their eligibility for relief from the consequences of Division</w:t>
      </w:r>
      <w:r w:rsidR="00926AB4">
        <w:t> </w:t>
      </w:r>
      <w:r w:rsidR="00073AAE">
        <w:t xml:space="preserve">7A, </w:t>
      </w:r>
      <w:r w:rsidR="005D13DF">
        <w:t xml:space="preserve">which </w:t>
      </w:r>
      <w:r w:rsidR="00073AAE">
        <w:t>will operate to reverse the effect of a prior deemed dividend</w:t>
      </w:r>
      <w:r w:rsidR="00A91088">
        <w:t xml:space="preserve"> arising under the law</w:t>
      </w:r>
      <w:r w:rsidR="00073AAE">
        <w:t>.</w:t>
      </w:r>
    </w:p>
    <w:p w14:paraId="35548151" w14:textId="05CED1F3" w:rsidR="00073AAE" w:rsidRDefault="00912D16" w:rsidP="00073AAE">
      <w:pPr>
        <w:jc w:val="both"/>
      </w:pPr>
      <w:r>
        <w:t>To qualify for self-correct</w:t>
      </w:r>
      <w:r w:rsidR="00B16537">
        <w:t>ion</w:t>
      </w:r>
      <w:r>
        <w:t xml:space="preserve">, the taxpayer will need to meet eligibility criteria in relation to the benefit that gave rise to the breach. The </w:t>
      </w:r>
      <w:r w:rsidR="00073AAE">
        <w:t>eligibility criteria will require that:</w:t>
      </w:r>
    </w:p>
    <w:p w14:paraId="05F1D938" w14:textId="7D603B57" w:rsidR="00073AAE" w:rsidRPr="00C02495" w:rsidRDefault="00073AAE" w:rsidP="00C02495">
      <w:pPr>
        <w:pStyle w:val="Bullet"/>
      </w:pPr>
      <w:r w:rsidRPr="00C02495">
        <w:t xml:space="preserve">on the basis of objective factors, the breach of Division 7A was </w:t>
      </w:r>
      <w:r w:rsidR="00912D16" w:rsidRPr="00C02495">
        <w:t>an inadvertent breach</w:t>
      </w:r>
      <w:r w:rsidRPr="00C02495">
        <w:t>;</w:t>
      </w:r>
    </w:p>
    <w:p w14:paraId="2A26F630" w14:textId="42EE9305" w:rsidR="00073AAE" w:rsidRPr="00C02495" w:rsidRDefault="00073AAE" w:rsidP="00C02495">
      <w:pPr>
        <w:pStyle w:val="Bullet"/>
      </w:pPr>
      <w:r w:rsidRPr="00C02495">
        <w:t xml:space="preserve">appropriate steps have been taken </w:t>
      </w:r>
      <w:r w:rsidR="00912D16" w:rsidRPr="00C02495">
        <w:t xml:space="preserve">as soon as practicable (and no later than six months after identifying the error unless the Commissioner allows more time) </w:t>
      </w:r>
      <w:r w:rsidRPr="00C02495">
        <w:t>to ensure that affected parties are placed in the position they would have been in had they complied with their obligations</w:t>
      </w:r>
      <w:r w:rsidR="00912D16" w:rsidRPr="00C02495">
        <w:t>; and</w:t>
      </w:r>
    </w:p>
    <w:p w14:paraId="5C5BA5A5" w14:textId="379A7051" w:rsidR="00912D16" w:rsidRPr="00C02495" w:rsidRDefault="00912D16" w:rsidP="00C02495">
      <w:pPr>
        <w:pStyle w:val="Bullet"/>
      </w:pPr>
      <w:r w:rsidRPr="00C02495">
        <w:t>the taxpayer has taken, or is taking, reasonable steps to identify and address any</w:t>
      </w:r>
      <w:r w:rsidR="00C02495">
        <w:t xml:space="preserve"> other breaches of Division 7A.</w:t>
      </w:r>
    </w:p>
    <w:p w14:paraId="33BF55CC" w14:textId="0AB9F0E9" w:rsidR="00073AAE" w:rsidRDefault="00073AAE" w:rsidP="00073AAE">
      <w:pPr>
        <w:jc w:val="both"/>
      </w:pPr>
      <w:r>
        <w:t>Under this approach</w:t>
      </w:r>
      <w:r w:rsidR="00BE1991">
        <w:t>,</w:t>
      </w:r>
      <w:r>
        <w:t xml:space="preserve"> </w:t>
      </w:r>
      <w:r w:rsidR="00B16537">
        <w:t xml:space="preserve">in order </w:t>
      </w:r>
      <w:r w:rsidR="002A3F2B">
        <w:t xml:space="preserve">to </w:t>
      </w:r>
      <w:r>
        <w:t>self-correct</w:t>
      </w:r>
      <w:r w:rsidR="002A3F2B">
        <w:t xml:space="preserve"> an eligible taxpayer must</w:t>
      </w:r>
      <w:r w:rsidR="0002162C">
        <w:t>:</w:t>
      </w:r>
    </w:p>
    <w:p w14:paraId="4E4B3C17" w14:textId="2D0B3F67" w:rsidR="00073AAE" w:rsidRPr="0002162C" w:rsidRDefault="00073AAE" w:rsidP="0002162C">
      <w:pPr>
        <w:pStyle w:val="Bullet"/>
      </w:pPr>
      <w:r w:rsidRPr="0002162C">
        <w:t xml:space="preserve">convert the benefit into a complying loan </w:t>
      </w:r>
      <w:r w:rsidR="002A3F2B" w:rsidRPr="0002162C">
        <w:t>agreement</w:t>
      </w:r>
      <w:r w:rsidRPr="0002162C">
        <w:t xml:space="preserve">, on the same terms </w:t>
      </w:r>
      <w:r w:rsidR="00845038" w:rsidRPr="0002162C">
        <w:t xml:space="preserve">that would have </w:t>
      </w:r>
      <w:r w:rsidRPr="0002162C">
        <w:t>applied had the loan agreement been entered into when it should have been;</w:t>
      </w:r>
      <w:r w:rsidR="002A3F2B" w:rsidRPr="0002162C">
        <w:t xml:space="preserve"> and</w:t>
      </w:r>
    </w:p>
    <w:p w14:paraId="374D150C" w14:textId="6D73662E" w:rsidR="00073AAE" w:rsidRPr="0002162C" w:rsidRDefault="00073AAE" w:rsidP="0002162C">
      <w:pPr>
        <w:pStyle w:val="Bullet"/>
      </w:pPr>
      <w:r w:rsidRPr="0002162C">
        <w:t xml:space="preserve">make catch-up payments of </w:t>
      </w:r>
      <w:r w:rsidR="0072715F" w:rsidRPr="0002162C">
        <w:t xml:space="preserve">the </w:t>
      </w:r>
      <w:r w:rsidRPr="0002162C">
        <w:t xml:space="preserve">principal and interest </w:t>
      </w:r>
      <w:r w:rsidR="0072715F" w:rsidRPr="0002162C">
        <w:t>that would have been payable as</w:t>
      </w:r>
      <w:r w:rsidR="00845038" w:rsidRPr="0002162C">
        <w:t xml:space="preserve"> </w:t>
      </w:r>
      <w:r w:rsidRPr="0002162C">
        <w:t xml:space="preserve">prior minimum </w:t>
      </w:r>
      <w:r w:rsidR="00845038" w:rsidRPr="0002162C">
        <w:t xml:space="preserve">yearly </w:t>
      </w:r>
      <w:r w:rsidRPr="0002162C">
        <w:t>repayments had the taxpayer complied with Division 7A when it should have. The interest component of the catch-up payment will be compo</w:t>
      </w:r>
      <w:r w:rsidR="007F74C6">
        <w:t>unded to reflect prior year non</w:t>
      </w:r>
      <w:r w:rsidR="007F74C6">
        <w:noBreakHyphen/>
      </w:r>
      <w:r w:rsidRPr="0002162C">
        <w:t>repayments. This compounded interest should be declared as assessable income in the private company’s income tax return for the income year</w:t>
      </w:r>
      <w:r w:rsidR="00A91088" w:rsidRPr="0002162C">
        <w:t xml:space="preserve"> in which the catch-up payment is made</w:t>
      </w:r>
      <w:r w:rsidR="002A3F2B" w:rsidRPr="0002162C">
        <w:t>.</w:t>
      </w:r>
    </w:p>
    <w:p w14:paraId="1BFA16BA" w14:textId="49B4F0D9" w:rsidR="00073AAE" w:rsidRDefault="00073AAE" w:rsidP="00073AAE">
      <w:pPr>
        <w:jc w:val="both"/>
      </w:pPr>
      <w:r w:rsidRPr="001922F2">
        <w:t>In certain cases, the concept of self-correction may include other appropriate action considered reasonable by the Commissioner based on the taxpayer’s circumstances. Reasonable circumstances would be set out by the ATO in its public advice and guidance products.</w:t>
      </w:r>
    </w:p>
    <w:p w14:paraId="64469C0F" w14:textId="450465F7" w:rsidR="00073AAE" w:rsidRDefault="00073AAE" w:rsidP="00073AAE">
      <w:pPr>
        <w:jc w:val="both"/>
      </w:pPr>
      <w:r>
        <w:t xml:space="preserve">The current Commissioner’s discretion will be removed in its current form, and remain available only in circumstances where the taxpayer seeks the </w:t>
      </w:r>
      <w:r w:rsidR="00AD6D73">
        <w:t xml:space="preserve">Commissioner’s </w:t>
      </w:r>
      <w:r>
        <w:t xml:space="preserve">discretion to have </w:t>
      </w:r>
      <w:r w:rsidR="00554084">
        <w:t xml:space="preserve">the </w:t>
      </w:r>
      <w:r>
        <w:t>dividend franked.</w:t>
      </w:r>
    </w:p>
    <w:p w14:paraId="1602CDCA" w14:textId="1A5BC056" w:rsidR="001C6F84" w:rsidRPr="005927E7" w:rsidRDefault="001C6F84" w:rsidP="0002162C">
      <w:pPr>
        <w:pStyle w:val="Heading2"/>
      </w:pPr>
      <w:bookmarkStart w:id="35" w:name="_Toc501458775"/>
      <w:bookmarkStart w:id="36" w:name="_Toc525813312"/>
      <w:r w:rsidRPr="005927E7">
        <w:t xml:space="preserve">Period of </w:t>
      </w:r>
      <w:r w:rsidR="00481B8B" w:rsidRPr="0002162C">
        <w:t>r</w:t>
      </w:r>
      <w:r w:rsidRPr="0002162C">
        <w:t>eview</w:t>
      </w:r>
      <w:bookmarkEnd w:id="35"/>
      <w:bookmarkEnd w:id="36"/>
    </w:p>
    <w:p w14:paraId="049D87F7" w14:textId="78B61709" w:rsidR="001C6F84" w:rsidRDefault="001C6F84" w:rsidP="001C6F84">
      <w:pPr>
        <w:jc w:val="both"/>
      </w:pPr>
      <w:r>
        <w:t>Under the current law, some taxpayers attempt to manipulate their Division 7A position by claiming the</w:t>
      </w:r>
      <w:r w:rsidR="004007C9">
        <w:t xml:space="preserve"> period in which the Commissioner may amend the relevant tax return to account for a deemed dividend for</w:t>
      </w:r>
      <w:r>
        <w:t xml:space="preserve"> their payment, loan or debt forgiveness has expired.</w:t>
      </w:r>
    </w:p>
    <w:p w14:paraId="2A75D072" w14:textId="51001A8B" w:rsidR="001C6F84" w:rsidRDefault="001C6F84" w:rsidP="001C6F84">
      <w:pPr>
        <w:jc w:val="both"/>
      </w:pPr>
      <w:r>
        <w:t xml:space="preserve">The Board recommended that if the Amortisation Model was adopted, the </w:t>
      </w:r>
      <w:r w:rsidRPr="007429E1">
        <w:t xml:space="preserve">period of review would commence from the </w:t>
      </w:r>
      <w:proofErr w:type="spellStart"/>
      <w:r w:rsidR="006B6A84">
        <w:t>lodgment</w:t>
      </w:r>
      <w:proofErr w:type="spellEnd"/>
      <w:r>
        <w:t xml:space="preserve"> day</w:t>
      </w:r>
      <w:r w:rsidRPr="007429E1">
        <w:t xml:space="preserve"> for the income year in which each milestone payment </w:t>
      </w:r>
      <w:r w:rsidR="003077C6">
        <w:t>wa</w:t>
      </w:r>
      <w:r w:rsidR="003077C6" w:rsidRPr="007429E1">
        <w:t xml:space="preserve">s </w:t>
      </w:r>
      <w:r w:rsidRPr="007429E1">
        <w:t>required (or would have been required, had a complying loan agreement been entered into</w:t>
      </w:r>
      <w:r>
        <w:t>)</w:t>
      </w:r>
      <w:r w:rsidRPr="007429E1">
        <w:t>.</w:t>
      </w:r>
    </w:p>
    <w:p w14:paraId="04CA645C" w14:textId="13D71310" w:rsidR="001C6F84" w:rsidRDefault="001C6F84" w:rsidP="001C6F84">
      <w:pPr>
        <w:jc w:val="both"/>
      </w:pPr>
      <w:r>
        <w:t>T</w:t>
      </w:r>
      <w:r w:rsidRPr="00B10B05">
        <w:t xml:space="preserve">o </w:t>
      </w:r>
      <w:r w:rsidR="003077C6">
        <w:t>improve</w:t>
      </w:r>
      <w:r w:rsidRPr="00B10B05">
        <w:t xml:space="preserve"> </w:t>
      </w:r>
      <w:r>
        <w:t xml:space="preserve">integrity and </w:t>
      </w:r>
      <w:r w:rsidR="003077C6">
        <w:t xml:space="preserve">ensure </w:t>
      </w:r>
      <w:r>
        <w:t>c</w:t>
      </w:r>
      <w:r w:rsidRPr="00B10B05">
        <w:t xml:space="preserve">ompliance </w:t>
      </w:r>
      <w:r>
        <w:t>with</w:t>
      </w:r>
      <w:r w:rsidRPr="00B10B05">
        <w:t xml:space="preserve"> the new loan model</w:t>
      </w:r>
      <w:r>
        <w:t xml:space="preserve">, as well as </w:t>
      </w:r>
      <w:r w:rsidRPr="00B10B05">
        <w:t>the ability to self</w:t>
      </w:r>
      <w:r w:rsidR="00383E91">
        <w:noBreakHyphen/>
      </w:r>
      <w:r w:rsidRPr="00B10B05">
        <w:t>correct</w:t>
      </w:r>
      <w:r>
        <w:t>,</w:t>
      </w:r>
      <w:r w:rsidRPr="00B10B05">
        <w:t xml:space="preserve"> </w:t>
      </w:r>
      <w:r>
        <w:t xml:space="preserve">it is proposed </w:t>
      </w:r>
      <w:r w:rsidR="00E51D5D">
        <w:t xml:space="preserve">that </w:t>
      </w:r>
      <w:r w:rsidRPr="00B10B05">
        <w:t xml:space="preserve">the period of review for Division 7A transactions </w:t>
      </w:r>
      <w:r>
        <w:t>be extended to cover 1</w:t>
      </w:r>
      <w:r w:rsidRPr="00B10B05">
        <w:t>4</w:t>
      </w:r>
      <w:r w:rsidR="00E51D5D">
        <w:t> </w:t>
      </w:r>
      <w:r w:rsidRPr="00B10B05">
        <w:t xml:space="preserve">years after the </w:t>
      </w:r>
      <w:r>
        <w:t xml:space="preserve">end of the income year in which the </w:t>
      </w:r>
      <w:r w:rsidRPr="00B10B05">
        <w:t xml:space="preserve">loan, payment or debt forgiveness gave rise </w:t>
      </w:r>
      <w:r w:rsidR="0072715F">
        <w:t xml:space="preserve">or would have given rise </w:t>
      </w:r>
      <w:r w:rsidRPr="00B10B05">
        <w:t xml:space="preserve">to </w:t>
      </w:r>
      <w:r>
        <w:t>a deemed</w:t>
      </w:r>
      <w:r w:rsidRPr="00B10B05">
        <w:t xml:space="preserve"> dividend.</w:t>
      </w:r>
      <w:r w:rsidRPr="009246F5">
        <w:t xml:space="preserve"> </w:t>
      </w:r>
      <w:r>
        <w:t xml:space="preserve">This will apply from 1 July </w:t>
      </w:r>
      <w:r w:rsidR="00E51D5D">
        <w:t>2019</w:t>
      </w:r>
      <w:r>
        <w:t>.</w:t>
      </w:r>
    </w:p>
    <w:p w14:paraId="6378C0B6" w14:textId="48697244" w:rsidR="001C6F84" w:rsidRDefault="001C6F84" w:rsidP="001C6F84">
      <w:pPr>
        <w:jc w:val="both"/>
      </w:pPr>
      <w:r>
        <w:t xml:space="preserve">This approach is consistent with other areas of the law in which there </w:t>
      </w:r>
      <w:r w:rsidR="00B16537">
        <w:t>are</w:t>
      </w:r>
      <w:r>
        <w:t xml:space="preserve"> an extended period of review, including capital gains tax and loss recoupment rules.</w:t>
      </w:r>
    </w:p>
    <w:p w14:paraId="1557F610" w14:textId="407C473D" w:rsidR="00073AAE" w:rsidRDefault="001C6F84" w:rsidP="001C6F84">
      <w:pPr>
        <w:pStyle w:val="Heading2"/>
      </w:pPr>
      <w:bookmarkStart w:id="37" w:name="_Toc525813313"/>
      <w:r>
        <w:t>Discussion questions</w:t>
      </w:r>
      <w:bookmarkEnd w:id="37"/>
    </w:p>
    <w:tbl>
      <w:tblPr>
        <w:tblW w:w="5000" w:type="pct"/>
        <w:shd w:val="clear" w:color="auto" w:fill="E3E7F0"/>
        <w:tblLook w:val="01E0" w:firstRow="1" w:lastRow="1" w:firstColumn="1" w:lastColumn="1" w:noHBand="0" w:noVBand="0"/>
      </w:tblPr>
      <w:tblGrid>
        <w:gridCol w:w="9286"/>
      </w:tblGrid>
      <w:tr w:rsidR="00B13A63" w14:paraId="4965F8A9" w14:textId="77777777" w:rsidTr="00F1497F">
        <w:tc>
          <w:tcPr>
            <w:tcW w:w="5000" w:type="pct"/>
            <w:shd w:val="clear" w:color="auto" w:fill="E3E7F0"/>
          </w:tcPr>
          <w:p w14:paraId="63ACB949" w14:textId="1A600A70" w:rsidR="00B13A63" w:rsidRPr="000553FE" w:rsidRDefault="00B13A63" w:rsidP="00F1497F">
            <w:pPr>
              <w:pStyle w:val="BoxHeading"/>
              <w:rPr>
                <w:b w:val="0"/>
              </w:rPr>
            </w:pPr>
            <w:r w:rsidRPr="00B13A63">
              <w:t>Discussion Question 3:</w:t>
            </w:r>
          </w:p>
          <w:p w14:paraId="745CE8DB" w14:textId="30F6817F" w:rsidR="006C6B43" w:rsidRDefault="003F1A8A" w:rsidP="003F1A8A">
            <w:pPr>
              <w:pStyle w:val="TableSecondHeading"/>
            </w:pPr>
            <w:r>
              <w:t>Self-Correction Mechanism</w:t>
            </w:r>
          </w:p>
          <w:p w14:paraId="2B5E1651" w14:textId="28BB30B2" w:rsidR="006C6B43" w:rsidRPr="003F1A8A" w:rsidRDefault="006C6B43" w:rsidP="003F1A8A">
            <w:pPr>
              <w:pStyle w:val="BoxText"/>
              <w:numPr>
                <w:ilvl w:val="0"/>
                <w:numId w:val="36"/>
              </w:numPr>
            </w:pPr>
            <w:r w:rsidRPr="003F1A8A">
              <w:t>Are the eligibility criteria clear and concise?</w:t>
            </w:r>
          </w:p>
          <w:p w14:paraId="538AE589" w14:textId="3047F2D5" w:rsidR="006C6B43" w:rsidRPr="003F1A8A" w:rsidRDefault="006C6B43" w:rsidP="003F1A8A">
            <w:pPr>
              <w:pStyle w:val="BoxText"/>
              <w:numPr>
                <w:ilvl w:val="0"/>
                <w:numId w:val="36"/>
              </w:numPr>
            </w:pPr>
            <w:r w:rsidRPr="003F1A8A">
              <w:t>Are additional objective factors necessary to include in determining a taxpayers’ eligibility?</w:t>
            </w:r>
          </w:p>
          <w:p w14:paraId="129496E2" w14:textId="533BAADF" w:rsidR="006C6B43" w:rsidRPr="003F1A8A" w:rsidRDefault="006C6B43" w:rsidP="003F1A8A">
            <w:pPr>
              <w:pStyle w:val="BoxText"/>
              <w:numPr>
                <w:ilvl w:val="0"/>
                <w:numId w:val="36"/>
              </w:numPr>
            </w:pPr>
            <w:r w:rsidRPr="003F1A8A">
              <w:t>What guidance should be provided to assist taxpayers in using t</w:t>
            </w:r>
            <w:r w:rsidR="003F1A8A" w:rsidRPr="003F1A8A">
              <w:t>he self-correction mechanism?</w:t>
            </w:r>
          </w:p>
          <w:p w14:paraId="696D14F8" w14:textId="77777777" w:rsidR="006C6B43" w:rsidRDefault="006C6B43" w:rsidP="003F1A8A">
            <w:pPr>
              <w:pStyle w:val="TableSecondHeading"/>
            </w:pPr>
            <w:r>
              <w:t>Period of Review</w:t>
            </w:r>
          </w:p>
          <w:p w14:paraId="18CA6921" w14:textId="33171085" w:rsidR="006C6B43" w:rsidRPr="003F1A8A" w:rsidRDefault="006C6B43" w:rsidP="003F1A8A">
            <w:pPr>
              <w:pStyle w:val="BoxText"/>
              <w:numPr>
                <w:ilvl w:val="0"/>
                <w:numId w:val="36"/>
              </w:numPr>
            </w:pPr>
            <w:r w:rsidRPr="003F1A8A">
              <w:t>Will the period of review cause any unintended outcomes?</w:t>
            </w:r>
          </w:p>
          <w:p w14:paraId="744D0281" w14:textId="16E17A30" w:rsidR="00B13A63" w:rsidRPr="008950C5" w:rsidRDefault="006C6B43" w:rsidP="003F1A8A">
            <w:pPr>
              <w:pStyle w:val="BoxText"/>
              <w:numPr>
                <w:ilvl w:val="0"/>
                <w:numId w:val="36"/>
              </w:numPr>
            </w:pPr>
            <w:r w:rsidRPr="003F1A8A">
              <w:t>Are there any alternative options to a 14 year review period that would ensure the integrity of the revised Division 7A?</w:t>
            </w:r>
          </w:p>
        </w:tc>
      </w:tr>
    </w:tbl>
    <w:p w14:paraId="44C3303C" w14:textId="77777777" w:rsidR="0015664C" w:rsidRDefault="0015664C">
      <w:pPr>
        <w:spacing w:before="0" w:after="160" w:line="259" w:lineRule="auto"/>
      </w:pPr>
      <w:r>
        <w:br w:type="page"/>
      </w:r>
    </w:p>
    <w:p w14:paraId="3FBBF8CC" w14:textId="0FE9401E" w:rsidR="001C6F84" w:rsidRDefault="0015664C" w:rsidP="003F1A8A">
      <w:pPr>
        <w:pStyle w:val="Heading1"/>
      </w:pPr>
      <w:bookmarkStart w:id="38" w:name="_Toc525813314"/>
      <w:r>
        <w:t xml:space="preserve">Safe </w:t>
      </w:r>
      <w:r w:rsidR="00481B8B">
        <w:t>H</w:t>
      </w:r>
      <w:r>
        <w:t xml:space="preserve">arbours </w:t>
      </w:r>
      <w:r w:rsidR="00481B8B">
        <w:t>– P</w:t>
      </w:r>
      <w:r>
        <w:t xml:space="preserve">rovision of </w:t>
      </w:r>
      <w:r w:rsidR="00481B8B">
        <w:t>A</w:t>
      </w:r>
      <w:r>
        <w:t>ssets</w:t>
      </w:r>
      <w:r w:rsidR="00481B8B">
        <w:t xml:space="preserve"> for U</w:t>
      </w:r>
      <w:r w:rsidR="00F37173">
        <w:t>se</w:t>
      </w:r>
      <w:bookmarkEnd w:id="38"/>
    </w:p>
    <w:p w14:paraId="3966FB8C" w14:textId="30C5380B" w:rsidR="0015664C" w:rsidRDefault="0038665E" w:rsidP="003F1A8A">
      <w:pPr>
        <w:pStyle w:val="Heading2"/>
      </w:pPr>
      <w:bookmarkStart w:id="39" w:name="_Toc525813315"/>
      <w:r>
        <w:t>Safe harbour</w:t>
      </w:r>
      <w:r w:rsidR="009B794D">
        <w:t xml:space="preserve"> </w:t>
      </w:r>
      <w:r w:rsidR="009B794D" w:rsidRPr="003F1A8A">
        <w:t>mechanism</w:t>
      </w:r>
      <w:bookmarkEnd w:id="39"/>
    </w:p>
    <w:p w14:paraId="3DBC073F" w14:textId="486B0023" w:rsidR="0015664C" w:rsidRDefault="00DD0D53" w:rsidP="003F1A8A">
      <w:pPr>
        <w:rPr>
          <w:b/>
          <w:bCs/>
        </w:rPr>
      </w:pPr>
      <w:r>
        <w:rPr>
          <w:bCs/>
        </w:rPr>
        <w:t>T</w:t>
      </w:r>
      <w:r w:rsidR="0015664C">
        <w:rPr>
          <w:bCs/>
        </w:rPr>
        <w:t xml:space="preserve">he introduction of </w:t>
      </w:r>
      <w:r w:rsidR="0015664C" w:rsidRPr="00593927">
        <w:t>new</w:t>
      </w:r>
      <w:r w:rsidR="0015664C" w:rsidRPr="00097E51">
        <w:t xml:space="preserve"> safe harbour rules for</w:t>
      </w:r>
      <w:r w:rsidR="00F37173">
        <w:t xml:space="preserve"> the provision</w:t>
      </w:r>
      <w:r w:rsidR="00382698">
        <w:t xml:space="preserve"> of assets for</w:t>
      </w:r>
      <w:r w:rsidR="0015664C" w:rsidRPr="00097E51">
        <w:t xml:space="preserve"> use</w:t>
      </w:r>
      <w:r>
        <w:t xml:space="preserve"> will</w:t>
      </w:r>
      <w:r w:rsidR="0015664C" w:rsidRPr="00097E51">
        <w:t xml:space="preserve"> provide certainty and simplify compliance for</w:t>
      </w:r>
      <w:r w:rsidR="0015664C">
        <w:t xml:space="preserve"> </w:t>
      </w:r>
      <w:r w:rsidR="0015664C" w:rsidRPr="00097E51">
        <w:t>taxpayers</w:t>
      </w:r>
      <w:r w:rsidR="0015664C">
        <w:t>.</w:t>
      </w:r>
    </w:p>
    <w:p w14:paraId="716ED25A" w14:textId="66F5D781" w:rsidR="0015664C" w:rsidRDefault="0015664C" w:rsidP="003F1A8A">
      <w:pPr>
        <w:pStyle w:val="Heading3"/>
      </w:pPr>
      <w:bookmarkStart w:id="40" w:name="_Toc525813316"/>
      <w:r>
        <w:t xml:space="preserve">Reasons for </w:t>
      </w:r>
      <w:r w:rsidR="00FB12F4" w:rsidRPr="003F1A8A">
        <w:t>c</w:t>
      </w:r>
      <w:r w:rsidRPr="003F1A8A">
        <w:t>hange</w:t>
      </w:r>
      <w:bookmarkEnd w:id="40"/>
    </w:p>
    <w:p w14:paraId="4388B810" w14:textId="7FB46CD3" w:rsidR="0015664C" w:rsidRDefault="0015664C" w:rsidP="0015664C">
      <w:pPr>
        <w:jc w:val="both"/>
      </w:pPr>
      <w:r>
        <w:t>Rules for the provision of an asset for use by an entity</w:t>
      </w:r>
      <w:r w:rsidR="0038665E">
        <w:t xml:space="preserve"> (other than transfer of property)</w:t>
      </w:r>
      <w:r>
        <w:t xml:space="preserve"> apply from 1</w:t>
      </w:r>
      <w:r w:rsidR="001C5CF1">
        <w:t> </w:t>
      </w:r>
      <w:r>
        <w:t xml:space="preserve">July 2009. </w:t>
      </w:r>
      <w:r w:rsidR="00CF3BA3">
        <w:t>Section 109CA</w:t>
      </w:r>
      <w:r>
        <w:t xml:space="preserve"> treat</w:t>
      </w:r>
      <w:r w:rsidR="00CF3BA3">
        <w:t>s</w:t>
      </w:r>
      <w:r>
        <w:t xml:space="preserve"> the provision of an asset for use as a ‘payment’</w:t>
      </w:r>
      <w:r w:rsidR="00CF3BA3">
        <w:t xml:space="preserve"> for the purposes of Division 7A.</w:t>
      </w:r>
    </w:p>
    <w:p w14:paraId="6F0A10E8" w14:textId="77777777" w:rsidR="0015664C" w:rsidRDefault="0015664C" w:rsidP="003F1A8A">
      <w:r>
        <w:t xml:space="preserve">Where an asset is provided for use by a company to a shareholder (or their associate), the amount of the deemed dividend is the amount that would have been paid for the provision of the asset by parties dealing at arm’s length less any amounts actually paid. </w:t>
      </w:r>
      <w:r w:rsidRPr="000F5C57">
        <w:t>If the consideration given is equal to or exceeds the amount that would have been paid at arm’s length, the amount of the payment is nil.</w:t>
      </w:r>
    </w:p>
    <w:p w14:paraId="70377EFA" w14:textId="27416977" w:rsidR="0015664C" w:rsidRDefault="0015664C" w:rsidP="003F1A8A">
      <w:r>
        <w:t xml:space="preserve">The shareholder </w:t>
      </w:r>
      <w:r w:rsidR="000213CD">
        <w:t>(</w:t>
      </w:r>
      <w:r>
        <w:t>or</w:t>
      </w:r>
      <w:r w:rsidR="000213CD">
        <w:t xml:space="preserve"> their</w:t>
      </w:r>
      <w:r>
        <w:t xml:space="preserve"> associate</w:t>
      </w:r>
      <w:r w:rsidR="000213CD">
        <w:t>)</w:t>
      </w:r>
      <w:r>
        <w:t xml:space="preserve"> can avoid a deemed divided by ensuring that an arm’s length </w:t>
      </w:r>
      <w:r w:rsidR="00382698">
        <w:t xml:space="preserve">amount for </w:t>
      </w:r>
      <w:r w:rsidR="003F1A8A">
        <w:t>usage is paid.</w:t>
      </w:r>
    </w:p>
    <w:p w14:paraId="1C0F2FD6" w14:textId="77777777" w:rsidR="0015664C" w:rsidRDefault="0015664C" w:rsidP="003F1A8A">
      <w:r>
        <w:t>The determination of this arm’s length amount in some cases can be difficult to ascertain and increases compliance costs for taxpayers.</w:t>
      </w:r>
    </w:p>
    <w:p w14:paraId="0DAAF7B1" w14:textId="2B48F888" w:rsidR="0015664C" w:rsidRDefault="0015664C" w:rsidP="003F1A8A">
      <w:r>
        <w:t xml:space="preserve">The Board recommended the design of legislative safe harbours to </w:t>
      </w:r>
      <w:r w:rsidR="00383E91">
        <w:t>facilitate</w:t>
      </w:r>
      <w:r>
        <w:t xml:space="preserve"> compliance, reduce uncertainties and lower administrative costs for taxpayers. It was also suggested that the rules should distinguish between appreciating and depreciating assets.</w:t>
      </w:r>
    </w:p>
    <w:p w14:paraId="07E762ED" w14:textId="62A6AAA2" w:rsidR="0015664C" w:rsidRPr="00372E20" w:rsidRDefault="0015664C" w:rsidP="003F1A8A">
      <w:pPr>
        <w:pStyle w:val="Heading3"/>
      </w:pPr>
      <w:bookmarkStart w:id="41" w:name="_Toc525813317"/>
      <w:r>
        <w:t>Propos</w:t>
      </w:r>
      <w:r w:rsidR="00905E92">
        <w:t xml:space="preserve">ed </w:t>
      </w:r>
      <w:r w:rsidR="00905E92" w:rsidRPr="003F1A8A">
        <w:t>implementation</w:t>
      </w:r>
      <w:r w:rsidR="00905E92">
        <w:t xml:space="preserve"> approach</w:t>
      </w:r>
      <w:bookmarkEnd w:id="41"/>
    </w:p>
    <w:p w14:paraId="52CAC9EE" w14:textId="70D1E70E" w:rsidR="0015664C" w:rsidRDefault="0015664C" w:rsidP="00677AE0">
      <w:r w:rsidRPr="00A75CDE">
        <w:t xml:space="preserve">In implementing the measure, a safe harbour comprising a formula and accompanying rules </w:t>
      </w:r>
      <w:r w:rsidR="006133D0">
        <w:t>will be</w:t>
      </w:r>
      <w:r w:rsidR="006133D0" w:rsidRPr="00A75CDE">
        <w:t xml:space="preserve"> </w:t>
      </w:r>
      <w:r w:rsidRPr="00A75CDE">
        <w:t>legislated.</w:t>
      </w:r>
    </w:p>
    <w:p w14:paraId="48B19344" w14:textId="19E77E2B" w:rsidR="0015664C" w:rsidRDefault="0015664C" w:rsidP="00677AE0">
      <w:r w:rsidRPr="00A75CDE">
        <w:t xml:space="preserve">The taxpayer will </w:t>
      </w:r>
      <w:r>
        <w:t xml:space="preserve">continue to </w:t>
      </w:r>
      <w:r w:rsidRPr="00A75CDE">
        <w:t xml:space="preserve">be able to use their own </w:t>
      </w:r>
      <w:r w:rsidR="000213CD" w:rsidRPr="00A75CDE">
        <w:t>calculation</w:t>
      </w:r>
      <w:r w:rsidR="000213CD">
        <w:t xml:space="preserve"> of the</w:t>
      </w:r>
      <w:r w:rsidR="000213CD" w:rsidRPr="00A75CDE">
        <w:t xml:space="preserve"> </w:t>
      </w:r>
      <w:r w:rsidRPr="00A75CDE">
        <w:t>arm’s length</w:t>
      </w:r>
      <w:r w:rsidR="000213CD">
        <w:t xml:space="preserve"> value</w:t>
      </w:r>
      <w:r w:rsidRPr="00A75CDE">
        <w:t xml:space="preserve"> </w:t>
      </w:r>
      <w:r>
        <w:t>instead of the legislative formula</w:t>
      </w:r>
      <w:r w:rsidRPr="00A75CDE">
        <w:t>.</w:t>
      </w:r>
    </w:p>
    <w:p w14:paraId="5F6B6F71" w14:textId="33519F80" w:rsidR="0015664C" w:rsidRDefault="0015664C" w:rsidP="00677AE0">
      <w:r>
        <w:t xml:space="preserve">The safe harbour will apply for </w:t>
      </w:r>
      <w:r w:rsidR="0015303C">
        <w:t xml:space="preserve">the exclusive use of </w:t>
      </w:r>
      <w:r>
        <w:t>all assets excluding motor vehicles. This is because the market value for rental of a motor vehicle is readily ascertainable by other means.</w:t>
      </w:r>
    </w:p>
    <w:p w14:paraId="379F36CA" w14:textId="77AE4584" w:rsidR="0015664C" w:rsidRDefault="0015664C" w:rsidP="00677AE0">
      <w:r>
        <w:t xml:space="preserve">The safe harbour will </w:t>
      </w:r>
      <w:r w:rsidR="004418BB">
        <w:t xml:space="preserve">generally </w:t>
      </w:r>
      <w:r>
        <w:t>apply</w:t>
      </w:r>
      <w:r w:rsidR="000213CD">
        <w:t xml:space="preserve"> </w:t>
      </w:r>
      <w:r w:rsidR="004418BB">
        <w:t>unless</w:t>
      </w:r>
      <w:r>
        <w:t xml:space="preserve"> the taxpayer has received a non</w:t>
      </w:r>
      <w:r w:rsidR="00CF2657">
        <w:noBreakHyphen/>
      </w:r>
      <w:r>
        <w:t xml:space="preserve">exclusive right to use an asset. </w:t>
      </w:r>
    </w:p>
    <w:p w14:paraId="7205BD12" w14:textId="77777777" w:rsidR="0015664C" w:rsidRDefault="0015664C" w:rsidP="00677AE0">
      <w:r>
        <w:t>The proposed formula for the safe harbour is:</w:t>
      </w:r>
    </w:p>
    <w:p w14:paraId="613345A3" w14:textId="77777777" w:rsidR="0015664C" w:rsidRPr="004E0E47" w:rsidRDefault="00260414" w:rsidP="0015664C">
      <w:pPr>
        <w:pStyle w:val="Bullet"/>
        <w:numPr>
          <w:ilvl w:val="0"/>
          <w:numId w:val="0"/>
        </w:numPr>
        <w:ind w:left="522" w:hanging="522"/>
        <w:jc w:val="both"/>
      </w:pPr>
      <m:oMathPara>
        <m:oMathParaPr>
          <m:jc m:val="left"/>
        </m:oMathParaPr>
        <m:oMath>
          <m:f>
            <m:fPr>
              <m:ctrlPr>
                <w:rPr>
                  <w:rFonts w:ascii="Cambria Math" w:hAnsi="Cambria Math"/>
                  <w:i/>
                  <w:sz w:val="28"/>
                  <w:szCs w:val="28"/>
                </w:rPr>
              </m:ctrlPr>
            </m:fPr>
            <m:num>
              <m:r>
                <w:rPr>
                  <w:rFonts w:ascii="Cambria Math" w:hAnsi="Cambria Math"/>
                  <w:sz w:val="28"/>
                  <w:szCs w:val="28"/>
                </w:rPr>
                <m:t>A x IR</m:t>
              </m:r>
            </m:num>
            <m:den>
              <m:r>
                <w:rPr>
                  <w:rFonts w:ascii="Cambria Math" w:hAnsi="Cambria Math"/>
                  <w:sz w:val="28"/>
                  <w:szCs w:val="28"/>
                </w:rPr>
                <m:t>days in year</m:t>
              </m:r>
            </m:den>
          </m:f>
          <m:r>
            <w:rPr>
              <w:rFonts w:ascii="Cambria Math" w:hAnsi="Cambria Math"/>
              <w:sz w:val="28"/>
              <w:szCs w:val="28"/>
            </w:rPr>
            <m:t>×days used</m:t>
          </m:r>
        </m:oMath>
      </m:oMathPara>
    </w:p>
    <w:p w14:paraId="07035FDA" w14:textId="77777777" w:rsidR="0015664C" w:rsidRDefault="0015664C" w:rsidP="00677AE0">
      <w:r>
        <w:t>Where:</w:t>
      </w:r>
    </w:p>
    <w:p w14:paraId="2780D54F" w14:textId="77777777" w:rsidR="0015664C" w:rsidRDefault="0015664C" w:rsidP="00677AE0">
      <w:r w:rsidRPr="000213CD">
        <w:rPr>
          <w:i/>
        </w:rPr>
        <w:t>A</w:t>
      </w:r>
      <w:r>
        <w:t xml:space="preserve"> = Value of asset at 30 June for the income year in which the asset was used.</w:t>
      </w:r>
    </w:p>
    <w:p w14:paraId="14840A7F" w14:textId="12D8207F" w:rsidR="0015664C" w:rsidRDefault="0015664C" w:rsidP="00677AE0">
      <w:r w:rsidRPr="000213CD">
        <w:rPr>
          <w:i/>
        </w:rPr>
        <w:t>IR</w:t>
      </w:r>
      <w:r>
        <w:t xml:space="preserve"> = benchmark interest rate p</w:t>
      </w:r>
      <w:r w:rsidR="00677AE0">
        <w:t>lus 5 per cent uplift interest.</w:t>
      </w:r>
    </w:p>
    <w:p w14:paraId="289378F7" w14:textId="2998DCED" w:rsidR="0015664C" w:rsidRDefault="0015664C" w:rsidP="00677AE0">
      <w:r w:rsidRPr="000213CD">
        <w:rPr>
          <w:i/>
        </w:rPr>
        <w:t>Days used</w:t>
      </w:r>
      <w:r w:rsidR="00CF2657">
        <w:rPr>
          <w:i/>
        </w:rPr>
        <w:t xml:space="preserve"> </w:t>
      </w:r>
      <w:r>
        <w:t>=</w:t>
      </w:r>
      <w:r w:rsidR="00CF2657">
        <w:t xml:space="preserve"> </w:t>
      </w:r>
      <w:r>
        <w:t>days shareholder (or their associate) used or had the exclusive right to use the asset</w:t>
      </w:r>
      <w:r w:rsidR="000200B3">
        <w:t>.</w:t>
      </w:r>
    </w:p>
    <w:p w14:paraId="3C945281" w14:textId="457A6690" w:rsidR="0015664C" w:rsidRDefault="0015664C" w:rsidP="00677AE0">
      <w:r w:rsidRPr="000213CD">
        <w:rPr>
          <w:i/>
        </w:rPr>
        <w:t>Days in year</w:t>
      </w:r>
      <w:r>
        <w:t xml:space="preserve"> = days in income year (i.e. 365 or 366)</w:t>
      </w:r>
      <w:r w:rsidR="000200B3">
        <w:t>.</w:t>
      </w:r>
    </w:p>
    <w:p w14:paraId="0DBE54D7" w14:textId="77777777" w:rsidR="00D114F4" w:rsidRDefault="00D114F4" w:rsidP="0015664C">
      <w:pPr>
        <w:jc w:val="both"/>
      </w:pPr>
    </w:p>
    <w:p w14:paraId="38C0F88F" w14:textId="2BB1DCBC" w:rsidR="0015664C" w:rsidRDefault="0015664C" w:rsidP="00677AE0">
      <w:r>
        <w:t xml:space="preserve">The safe harbour </w:t>
      </w:r>
      <w:r w:rsidR="004418BB">
        <w:t xml:space="preserve">will </w:t>
      </w:r>
      <w:r>
        <w:t>provide that:</w:t>
      </w:r>
    </w:p>
    <w:p w14:paraId="5E0C5034" w14:textId="6F867EA8" w:rsidR="0015664C" w:rsidRDefault="00383E91" w:rsidP="00677AE0">
      <w:pPr>
        <w:pStyle w:val="Bullet"/>
      </w:pPr>
      <w:r>
        <w:t>t</w:t>
      </w:r>
      <w:r w:rsidR="00516414">
        <w:t xml:space="preserve">he </w:t>
      </w:r>
      <w:r w:rsidR="0015664C">
        <w:t xml:space="preserve">value of the asset is </w:t>
      </w:r>
      <w:r>
        <w:t xml:space="preserve">its </w:t>
      </w:r>
      <w:r w:rsidR="0015664C">
        <w:t xml:space="preserve">cost </w:t>
      </w:r>
      <w:r>
        <w:t>–</w:t>
      </w:r>
      <w:r w:rsidR="0015664C">
        <w:t xml:space="preserve"> </w:t>
      </w:r>
      <w:r>
        <w:t xml:space="preserve">this includes </w:t>
      </w:r>
      <w:r w:rsidR="0015664C">
        <w:t xml:space="preserve">any improvements made over the life of the asset. Where an asset is held for more than five years, its value will instead be the greater of the cost or the value determined by </w:t>
      </w:r>
      <w:r w:rsidR="00516414">
        <w:t>a</w:t>
      </w:r>
      <w:r w:rsidR="006133D0">
        <w:t xml:space="preserve"> market</w:t>
      </w:r>
      <w:r w:rsidR="00516414">
        <w:t xml:space="preserve"> </w:t>
      </w:r>
      <w:r w:rsidR="0015664C">
        <w:t>valuation. This is to ensure that the formula, at a minimum, reflects the cost of the asset to the business while ensuring the increase in value for appreciating assets (e.g. real property) i</w:t>
      </w:r>
      <w:r w:rsidR="00B16537">
        <w:t>s factored into the calculation;</w:t>
      </w:r>
    </w:p>
    <w:p w14:paraId="196DB4F5" w14:textId="477EDE74" w:rsidR="0015664C" w:rsidRDefault="00383E91" w:rsidP="00677AE0">
      <w:pPr>
        <w:pStyle w:val="Bullet"/>
      </w:pPr>
      <w:r>
        <w:t>a</w:t>
      </w:r>
      <w:r w:rsidR="00516414">
        <w:t xml:space="preserve"> </w:t>
      </w:r>
      <w:r w:rsidR="0015664C">
        <w:t xml:space="preserve">formal </w:t>
      </w:r>
      <w:r w:rsidR="00D9316C">
        <w:t xml:space="preserve">market </w:t>
      </w:r>
      <w:r w:rsidR="0015664C">
        <w:t>valuation of the asset is required every five years;</w:t>
      </w:r>
    </w:p>
    <w:p w14:paraId="20C3DB38" w14:textId="161E2D7B" w:rsidR="0015664C" w:rsidRDefault="00383E91" w:rsidP="00677AE0">
      <w:pPr>
        <w:pStyle w:val="Bullet"/>
      </w:pPr>
      <w:r>
        <w:t>t</w:t>
      </w:r>
      <w:r w:rsidR="00516414">
        <w:t xml:space="preserve">he </w:t>
      </w:r>
      <w:r w:rsidR="0015664C">
        <w:t xml:space="preserve">charge is based on actual number of days used by the shareholder </w:t>
      </w:r>
      <w:r>
        <w:t>(</w:t>
      </w:r>
      <w:r w:rsidR="0015664C">
        <w:t>or their associate</w:t>
      </w:r>
      <w:r>
        <w:t xml:space="preserve">), </w:t>
      </w:r>
      <w:r w:rsidR="00516414">
        <w:t xml:space="preserve">unless the shareholder </w:t>
      </w:r>
      <w:r w:rsidR="00F63162">
        <w:t>(</w:t>
      </w:r>
      <w:r w:rsidR="00516414">
        <w:t>or their associate</w:t>
      </w:r>
      <w:r w:rsidR="00F63162">
        <w:t>)</w:t>
      </w:r>
      <w:r w:rsidR="00516414">
        <w:t xml:space="preserve"> have the exclusive right to use the asset at other times</w:t>
      </w:r>
      <w:r w:rsidR="0015664C">
        <w:t>; and</w:t>
      </w:r>
    </w:p>
    <w:p w14:paraId="14BDC05F" w14:textId="1D041DC9" w:rsidR="0015664C" w:rsidRDefault="00383E91" w:rsidP="00677AE0">
      <w:pPr>
        <w:pStyle w:val="Bullet"/>
      </w:pPr>
      <w:r>
        <w:t>t</w:t>
      </w:r>
      <w:r w:rsidR="00516414">
        <w:t xml:space="preserve">he </w:t>
      </w:r>
      <w:r w:rsidR="0015664C">
        <w:t xml:space="preserve">rules apply to both appreciating and </w:t>
      </w:r>
      <w:r w:rsidR="0015664C" w:rsidRPr="00677AE0">
        <w:t>depreciating</w:t>
      </w:r>
      <w:r w:rsidR="0015664C">
        <w:t xml:space="preserve"> assets.</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677AE0" w14:paraId="3060DA4E" w14:textId="77777777" w:rsidTr="00F1497F">
        <w:tc>
          <w:tcPr>
            <w:tcW w:w="5000" w:type="pct"/>
            <w:shd w:val="clear" w:color="auto" w:fill="EBEBEB"/>
          </w:tcPr>
          <w:p w14:paraId="65C10C6E" w14:textId="7BA68373" w:rsidR="00677AE0" w:rsidRPr="000553FE" w:rsidRDefault="00677AE0" w:rsidP="00F1497F">
            <w:pPr>
              <w:pStyle w:val="BoxHeading"/>
              <w:rPr>
                <w:b w:val="0"/>
              </w:rPr>
            </w:pPr>
            <w:r w:rsidRPr="00677AE0">
              <w:t>Example:</w:t>
            </w:r>
          </w:p>
          <w:p w14:paraId="02585B08" w14:textId="664ADA1B" w:rsidR="00B24157" w:rsidRPr="00B24157" w:rsidRDefault="00B24157" w:rsidP="00B24157">
            <w:pPr>
              <w:pStyle w:val="BoxText"/>
            </w:pPr>
            <w:r w:rsidRPr="00B24157">
              <w:t>Sesame Pty Ltd owns a yacht valued at $1,200,000. Bert invites his friends Ernie and Oscar to spend the day on the yacht one Sunday every month. Bert has no right to use the yacht at any other time during the income year. The benchmark interest rate for the income year is 8.5 per cent. Therefore, the interest rate used in the formula is 13.5 per cent.</w:t>
            </w:r>
          </w:p>
          <w:p w14:paraId="1BD4C6AC" w14:textId="5CE585EB" w:rsidR="00B24157" w:rsidRPr="00B24157" w:rsidRDefault="00B24157" w:rsidP="00B24157">
            <w:pPr>
              <w:pStyle w:val="BoxText"/>
            </w:pPr>
            <w:r w:rsidRPr="00B24157">
              <w:t>The charge is calculated as follows:</w:t>
            </w:r>
          </w:p>
          <w:p w14:paraId="4CD68628" w14:textId="77777777" w:rsidR="00B24157" w:rsidRPr="008E36B8" w:rsidRDefault="00B24157" w:rsidP="00B24157">
            <w:pPr>
              <w:rPr>
                <w:rFonts w:asciiTheme="minorHAnsi" w:hAnsiTheme="minorHAnsi"/>
                <w:szCs w:val="22"/>
              </w:rPr>
            </w:pPr>
            <m:oMathPara>
              <m:oMathParaPr>
                <m:jc m:val="left"/>
              </m:oMathParaPr>
              <m:oMath>
                <m:r>
                  <w:rPr>
                    <w:rFonts w:ascii="Cambria Math" w:hAnsi="Cambria Math"/>
                    <w:szCs w:val="22"/>
                  </w:rPr>
                  <m:t>$1,200,000×</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13.5%</m:t>
                        </m:r>
                      </m:num>
                      <m:den>
                        <m:r>
                          <w:rPr>
                            <w:rFonts w:ascii="Cambria Math" w:hAnsi="Cambria Math"/>
                            <w:szCs w:val="22"/>
                          </w:rPr>
                          <m:t>365</m:t>
                        </m:r>
                      </m:den>
                    </m:f>
                  </m:e>
                </m:d>
                <m:r>
                  <w:rPr>
                    <w:rFonts w:ascii="Cambria Math" w:hAnsi="Cambria Math"/>
                    <w:szCs w:val="22"/>
                  </w:rPr>
                  <m:t>=$443.84 per day</m:t>
                </m:r>
              </m:oMath>
            </m:oMathPara>
          </w:p>
          <w:p w14:paraId="3A06C282" w14:textId="7A60C3B3" w:rsidR="00677AE0" w:rsidRDefault="00B24157" w:rsidP="00B24157">
            <w:pPr>
              <w:pStyle w:val="BoxText"/>
            </w:pPr>
            <w:r>
              <w:t xml:space="preserve">The yacht was used for 12 days </w:t>
            </w:r>
            <w:r w:rsidRPr="00B24157">
              <w:t>over</w:t>
            </w:r>
            <w:r>
              <w:t xml:space="preserve"> the income year. Therefore, the deemed dividend calculated according to the safe harbour formula is $5,326.</w:t>
            </w:r>
          </w:p>
        </w:tc>
      </w:tr>
    </w:tbl>
    <w:p w14:paraId="3C6A7396" w14:textId="2CB2869C" w:rsidR="0015664C" w:rsidRDefault="0015664C" w:rsidP="00B24157">
      <w:pPr>
        <w:pStyle w:val="Heading2"/>
      </w:pPr>
      <w:bookmarkStart w:id="42" w:name="_Toc525813318"/>
      <w:r>
        <w:t xml:space="preserve">Discussion </w:t>
      </w:r>
      <w:r w:rsidRPr="00B24157">
        <w:t>questions</w:t>
      </w:r>
      <w:bookmarkEnd w:id="42"/>
    </w:p>
    <w:tbl>
      <w:tblPr>
        <w:tblW w:w="5000" w:type="pct"/>
        <w:shd w:val="clear" w:color="auto" w:fill="E3E7F0"/>
        <w:tblLook w:val="01E0" w:firstRow="1" w:lastRow="1" w:firstColumn="1" w:lastColumn="1" w:noHBand="0" w:noVBand="0"/>
      </w:tblPr>
      <w:tblGrid>
        <w:gridCol w:w="9286"/>
      </w:tblGrid>
      <w:tr w:rsidR="00B24157" w14:paraId="1BF9F769" w14:textId="77777777" w:rsidTr="00F1497F">
        <w:tc>
          <w:tcPr>
            <w:tcW w:w="5000" w:type="pct"/>
            <w:shd w:val="clear" w:color="auto" w:fill="E3E7F0"/>
          </w:tcPr>
          <w:p w14:paraId="18263251" w14:textId="4B88B7E4" w:rsidR="00B24157" w:rsidRPr="000553FE" w:rsidRDefault="00B24157" w:rsidP="00F1497F">
            <w:pPr>
              <w:pStyle w:val="BoxHeading"/>
              <w:rPr>
                <w:b w:val="0"/>
              </w:rPr>
            </w:pPr>
            <w:r w:rsidRPr="00B24157">
              <w:t>Discussion Question 4:</w:t>
            </w:r>
          </w:p>
          <w:p w14:paraId="45735CF9" w14:textId="6B1DD57D" w:rsidR="00B24157" w:rsidRDefault="00B24157" w:rsidP="00B24157">
            <w:pPr>
              <w:pStyle w:val="TableSecondHeading"/>
            </w:pPr>
            <w:r>
              <w:t>Safe Harbours – Provision of assets for use</w:t>
            </w:r>
          </w:p>
          <w:p w14:paraId="75C28E93" w14:textId="765FA577" w:rsidR="00B24157" w:rsidRPr="00B24157" w:rsidRDefault="00B24157" w:rsidP="00B24157">
            <w:pPr>
              <w:pStyle w:val="BoxText"/>
              <w:numPr>
                <w:ilvl w:val="0"/>
                <w:numId w:val="38"/>
              </w:numPr>
            </w:pPr>
            <w:bookmarkStart w:id="43" w:name="tempbookmark"/>
            <w:r w:rsidRPr="00B24157">
              <w:t>Is there an alternative formula which could be used?</w:t>
            </w:r>
          </w:p>
          <w:p w14:paraId="43E4A09A" w14:textId="4E5BB533" w:rsidR="00B24157" w:rsidRPr="00B24157" w:rsidRDefault="00B24157" w:rsidP="00B24157">
            <w:pPr>
              <w:pStyle w:val="BoxText"/>
              <w:numPr>
                <w:ilvl w:val="0"/>
                <w:numId w:val="38"/>
              </w:numPr>
            </w:pPr>
            <w:r w:rsidRPr="00B24157">
              <w:t>Should taxpayers have the option to elect between the statutory formula and providing their own arm’s length usage charge or should the statutory formula be the only option?</w:t>
            </w:r>
          </w:p>
          <w:p w14:paraId="34F20FE2" w14:textId="2F433FD1" w:rsidR="00B24157" w:rsidRPr="00B24157" w:rsidRDefault="00B24157" w:rsidP="00B24157">
            <w:pPr>
              <w:pStyle w:val="BoxText"/>
              <w:numPr>
                <w:ilvl w:val="0"/>
                <w:numId w:val="38"/>
              </w:numPr>
            </w:pPr>
            <w:r w:rsidRPr="00B24157">
              <w:t>Is a 5 per cent uplift interest rate as part of the usage charge appropriate? Or should another rate (e.g. the benchmark interest rate) be used?</w:t>
            </w:r>
          </w:p>
          <w:p w14:paraId="0C650EEB" w14:textId="3F6FAA24" w:rsidR="00B24157" w:rsidRPr="008950C5" w:rsidRDefault="00B24157" w:rsidP="003072BB">
            <w:pPr>
              <w:pStyle w:val="BoxText"/>
              <w:numPr>
                <w:ilvl w:val="0"/>
                <w:numId w:val="38"/>
              </w:numPr>
            </w:pPr>
            <w:r w:rsidRPr="00B24157">
              <w:t>Should there be a ‘reasonableness’ test included in the statutory formula or alternatively, are multiple formulas needed?</w:t>
            </w:r>
            <w:bookmarkEnd w:id="43"/>
          </w:p>
        </w:tc>
      </w:tr>
    </w:tbl>
    <w:p w14:paraId="4FE6A489" w14:textId="77777777" w:rsidR="00335B5C" w:rsidRDefault="00335B5C">
      <w:pPr>
        <w:spacing w:before="0" w:after="160" w:line="259" w:lineRule="auto"/>
      </w:pPr>
      <w:r>
        <w:br w:type="page"/>
      </w:r>
    </w:p>
    <w:p w14:paraId="02BE9DFA" w14:textId="7798DD43" w:rsidR="009B794D" w:rsidRDefault="009B794D" w:rsidP="00B24157">
      <w:pPr>
        <w:pStyle w:val="Heading1"/>
      </w:pPr>
      <w:bookmarkStart w:id="44" w:name="_Toc488418672"/>
      <w:bookmarkStart w:id="45" w:name="_Toc501458777"/>
      <w:bookmarkStart w:id="46" w:name="_Toc525813319"/>
      <w:r>
        <w:t xml:space="preserve">Minor Technical </w:t>
      </w:r>
      <w:r w:rsidRPr="00B24157">
        <w:t>Amendments</w:t>
      </w:r>
      <w:bookmarkEnd w:id="44"/>
      <w:bookmarkEnd w:id="45"/>
      <w:bookmarkEnd w:id="46"/>
    </w:p>
    <w:p w14:paraId="2161C914" w14:textId="58F81392" w:rsidR="009B794D" w:rsidRDefault="009B794D" w:rsidP="00B24157">
      <w:pPr>
        <w:pStyle w:val="Heading2"/>
      </w:pPr>
      <w:bookmarkStart w:id="47" w:name="_Toc525813320"/>
      <w:r>
        <w:t xml:space="preserve">Technical amendments to improve </w:t>
      </w:r>
      <w:r w:rsidRPr="00B24157">
        <w:t>the</w:t>
      </w:r>
      <w:r>
        <w:t xml:space="preserve"> integrity and operation of Division 7A</w:t>
      </w:r>
      <w:bookmarkEnd w:id="47"/>
    </w:p>
    <w:p w14:paraId="732B3BC3" w14:textId="21337C7A" w:rsidR="009B794D" w:rsidRPr="0025798C" w:rsidRDefault="00FB12F4" w:rsidP="00B24157">
      <w:r>
        <w:t>M</w:t>
      </w:r>
      <w:r w:rsidR="009B794D">
        <w:t xml:space="preserve">inor technical amendments will improve the integrity </w:t>
      </w:r>
      <w:r w:rsidR="009B794D" w:rsidRPr="00D867AD">
        <w:t xml:space="preserve">and operation of Division 7A </w:t>
      </w:r>
      <w:r w:rsidR="009B794D">
        <w:t xml:space="preserve">while </w:t>
      </w:r>
      <w:r w:rsidR="009B794D" w:rsidRPr="00D867AD">
        <w:t>provid</w:t>
      </w:r>
      <w:r w:rsidR="009B794D">
        <w:t>ing</w:t>
      </w:r>
      <w:r w:rsidR="009B794D" w:rsidRPr="00D867AD">
        <w:t xml:space="preserve"> increased certainty for taxpayers</w:t>
      </w:r>
      <w:r w:rsidR="009B794D">
        <w:t>.</w:t>
      </w:r>
    </w:p>
    <w:p w14:paraId="1B445532" w14:textId="77777777" w:rsidR="009B794D" w:rsidRPr="0008791A" w:rsidRDefault="009B794D" w:rsidP="00B24157">
      <w:pPr>
        <w:pStyle w:val="Heading3"/>
      </w:pPr>
      <w:bookmarkStart w:id="48" w:name="_Toc525813321"/>
      <w:r w:rsidRPr="0008791A">
        <w:t>Use of assets – timing rules</w:t>
      </w:r>
      <w:bookmarkEnd w:id="48"/>
    </w:p>
    <w:p w14:paraId="27851DA8" w14:textId="55AF8847" w:rsidR="009B794D" w:rsidRPr="00194611" w:rsidRDefault="009B794D" w:rsidP="00B24157">
      <w:r w:rsidRPr="00194611">
        <w:t xml:space="preserve">Subsection 109CA(2) </w:t>
      </w:r>
      <w:r>
        <w:t xml:space="preserve">outlines the time when a payment is taken to be made for Division 7A purposes where </w:t>
      </w:r>
      <w:r w:rsidRPr="00194611">
        <w:t>a private company provides an associated entity with the use of an asset</w:t>
      </w:r>
      <w:r>
        <w:t xml:space="preserve">. This payment occurs when </w:t>
      </w:r>
      <w:r w:rsidRPr="00194611">
        <w:t>the ent</w:t>
      </w:r>
      <w:r w:rsidR="00A31B1E">
        <w:t xml:space="preserve">ity first uses the asset or has the </w:t>
      </w:r>
      <w:r w:rsidRPr="00194611">
        <w:t>right to use an asset</w:t>
      </w:r>
      <w:r w:rsidR="00A31B1E">
        <w:t xml:space="preserve"> in circumstances where the provider does not have that same right</w:t>
      </w:r>
      <w:r w:rsidRPr="00194611">
        <w:t>.</w:t>
      </w:r>
    </w:p>
    <w:p w14:paraId="38CF7C3D" w14:textId="25E595BC" w:rsidR="009B794D" w:rsidRDefault="009B794D" w:rsidP="00B24157">
      <w:r w:rsidRPr="00194611">
        <w:t xml:space="preserve">However, this rule </w:t>
      </w:r>
      <w:r>
        <w:t xml:space="preserve">currently </w:t>
      </w:r>
      <w:r w:rsidRPr="00194611">
        <w:t xml:space="preserve">does not address the case where an entity receives </w:t>
      </w:r>
      <w:r>
        <w:t>a valuable non</w:t>
      </w:r>
      <w:r w:rsidR="0011349A">
        <w:noBreakHyphen/>
      </w:r>
      <w:r>
        <w:t>exclusive right</w:t>
      </w:r>
      <w:r w:rsidR="00A31B1E">
        <w:t xml:space="preserve"> (i.e. where the provider maintains a right to use the asset)</w:t>
      </w:r>
      <w:r>
        <w:t>. I</w:t>
      </w:r>
      <w:r w:rsidRPr="00194611">
        <w:t>n this case</w:t>
      </w:r>
      <w:r>
        <w:t>,</w:t>
      </w:r>
      <w:r w:rsidRPr="00194611">
        <w:t xml:space="preserve"> while a payment will be </w:t>
      </w:r>
      <w:r w:rsidR="006F4D22">
        <w:t xml:space="preserve">taken to be </w:t>
      </w:r>
      <w:r w:rsidRPr="00194611">
        <w:t xml:space="preserve">made, </w:t>
      </w:r>
      <w:r w:rsidR="006F4D22">
        <w:t>the time at which the payment is taken to be made is ambiguous</w:t>
      </w:r>
      <w:r w:rsidRPr="00194611">
        <w:t>. This is an unintended anomaly.</w:t>
      </w:r>
    </w:p>
    <w:p w14:paraId="0ADE1192" w14:textId="4329826D" w:rsidR="009B794D" w:rsidRPr="00194611" w:rsidRDefault="009B794D" w:rsidP="00B24157">
      <w:r>
        <w:t xml:space="preserve">Amendments will be made to ensure that a </w:t>
      </w:r>
      <w:r w:rsidRPr="00194611">
        <w:t xml:space="preserve">payment under section 109CA for an income year should be taken to be made on the first day in that income year that the entity </w:t>
      </w:r>
      <w:r w:rsidR="000D2D5D" w:rsidRPr="00194611">
        <w:t xml:space="preserve">uses the asset </w:t>
      </w:r>
      <w:r w:rsidR="000D2D5D">
        <w:t xml:space="preserve">or </w:t>
      </w:r>
      <w:r w:rsidRPr="00194611">
        <w:t xml:space="preserve">has a right to use the asset (regardless of whether this is an exclusive right). </w:t>
      </w:r>
      <w:r>
        <w:t>This will provide certainty to taxpayers.</w:t>
      </w:r>
    </w:p>
    <w:p w14:paraId="0454C69D" w14:textId="77777777" w:rsidR="009B794D" w:rsidRPr="0008791A" w:rsidRDefault="009B794D" w:rsidP="00B24157">
      <w:pPr>
        <w:pStyle w:val="Heading3"/>
      </w:pPr>
      <w:bookmarkStart w:id="49" w:name="_Toc525813322"/>
      <w:r w:rsidRPr="0008791A">
        <w:t>Interaction between debt forgiveness and loans</w:t>
      </w:r>
      <w:bookmarkEnd w:id="49"/>
    </w:p>
    <w:p w14:paraId="43542DD5" w14:textId="0EA9D5D5" w:rsidR="009B794D" w:rsidRDefault="009B794D" w:rsidP="00B24157">
      <w:r>
        <w:t>Section 109F provides that a private company will be taken to pay a dividend to an entity if the company forgives a debt owed by the entity to the company and the entity was</w:t>
      </w:r>
      <w:r w:rsidR="0011349A">
        <w:t xml:space="preserve"> either</w:t>
      </w:r>
      <w:r>
        <w:t xml:space="preserve"> a shareholder or an associate of a shareholder at that time or a reasonable person would conclude that the debt was forgiven because the entity had been a shareholder or associate at some point.</w:t>
      </w:r>
    </w:p>
    <w:p w14:paraId="0F6F1215" w14:textId="0D0D7936" w:rsidR="009B794D" w:rsidRDefault="009B794D" w:rsidP="00B24157">
      <w:r>
        <w:t>However, section 109G sets out a number of exceptions to this general rule. In particular, subsection</w:t>
      </w:r>
      <w:r w:rsidR="00213424">
        <w:t> </w:t>
      </w:r>
      <w:r>
        <w:t xml:space="preserve">109G(3) provides that a forgiven debt will not give rise to a dividend if the loan that resulted in the debt </w:t>
      </w:r>
      <w:r w:rsidR="0011349A">
        <w:t>gave</w:t>
      </w:r>
      <w:r>
        <w:t xml:space="preserve"> rise to a</w:t>
      </w:r>
      <w:r w:rsidR="0011349A">
        <w:t xml:space="preserve"> deemed</w:t>
      </w:r>
      <w:r>
        <w:t xml:space="preserve"> dividend under section 109D.</w:t>
      </w:r>
    </w:p>
    <w:p w14:paraId="331570F8" w14:textId="05461AC0" w:rsidR="009B794D" w:rsidRDefault="009B794D" w:rsidP="00B24157">
      <w:r>
        <w:t xml:space="preserve">Subsection 109G(3) will be amended to ensure </w:t>
      </w:r>
      <w:r w:rsidR="00213424">
        <w:t xml:space="preserve">this exception only applies where the </w:t>
      </w:r>
      <w:r>
        <w:t>earlier dividend that the company was taken to have paid has been taken into account in the income tax assessment of an entity or entities.</w:t>
      </w:r>
    </w:p>
    <w:p w14:paraId="589B9C8E" w14:textId="77777777" w:rsidR="009B794D" w:rsidRPr="0008791A" w:rsidRDefault="009B794D" w:rsidP="00B24157">
      <w:pPr>
        <w:pStyle w:val="Heading3"/>
      </w:pPr>
      <w:bookmarkStart w:id="50" w:name="_Toc525813323"/>
      <w:r w:rsidRPr="0008791A">
        <w:t>In the ordinary course of business</w:t>
      </w:r>
      <w:bookmarkEnd w:id="50"/>
    </w:p>
    <w:p w14:paraId="588869CD" w14:textId="038CC493" w:rsidR="00213424" w:rsidRDefault="00213424" w:rsidP="00B24157">
      <w:r>
        <w:t>Section 109M prevents Division 7A from applying to loans made in the ordinary course of an entity’s business if the loan is made on the usual terms offered to arm’s length parties. This was intended to ensure that shareholders of businesses that primarily derived income from money-lending were not prevented from dealing with those businesses on their ordinary terms.</w:t>
      </w:r>
    </w:p>
    <w:p w14:paraId="64D1D1D8" w14:textId="30A71C29" w:rsidR="009B794D" w:rsidRDefault="009B794D" w:rsidP="00B24157">
      <w:r>
        <w:t xml:space="preserve">Section 109M was intended to operate so that a private company </w:t>
      </w:r>
      <w:r w:rsidR="00340C01">
        <w:t>will not be</w:t>
      </w:r>
      <w:r>
        <w:t xml:space="preserve"> taken to pay a dividend only in circumstances where the loan is made:</w:t>
      </w:r>
    </w:p>
    <w:p w14:paraId="606C38A3" w14:textId="77777777" w:rsidR="009B794D" w:rsidRPr="00B24157" w:rsidRDefault="009B794D" w:rsidP="00B24157">
      <w:pPr>
        <w:pStyle w:val="Bullet"/>
      </w:pPr>
      <w:r>
        <w:tab/>
      </w:r>
      <w:r w:rsidRPr="00B24157">
        <w:t>in the ordinary course of a business of lending money to third parties;</w:t>
      </w:r>
    </w:p>
    <w:p w14:paraId="32C5B802" w14:textId="77777777" w:rsidR="009B794D" w:rsidRPr="00B24157" w:rsidRDefault="009B794D" w:rsidP="00B24157">
      <w:pPr>
        <w:pStyle w:val="Bullet"/>
      </w:pPr>
      <w:r w:rsidRPr="00B24157">
        <w:tab/>
        <w:t>on an arm’s length basis; and</w:t>
      </w:r>
    </w:p>
    <w:p w14:paraId="6630E2B1" w14:textId="77777777" w:rsidR="009B794D" w:rsidRPr="00B24157" w:rsidRDefault="009B794D" w:rsidP="00B24157">
      <w:pPr>
        <w:pStyle w:val="Bullet"/>
      </w:pPr>
      <w:r w:rsidRPr="00B24157">
        <w:t>on the usual terms on which the private company makes similar loans to parties at arm’s length.</w:t>
      </w:r>
    </w:p>
    <w:p w14:paraId="7C758274" w14:textId="76C7789E" w:rsidR="009B794D" w:rsidRDefault="009B794D" w:rsidP="00B24157">
      <w:r>
        <w:t>It is noted that the ATO has recently updated its guidance on when a company carries on a business and that this may have flow-on effects for the operation of this provision.</w:t>
      </w:r>
    </w:p>
    <w:p w14:paraId="431A9A65" w14:textId="7AC8AD5C" w:rsidR="009B794D" w:rsidRDefault="009B794D" w:rsidP="00B24157">
      <w:r>
        <w:t xml:space="preserve">Section 109M will be amended to limit the exception to loans in the ordinary course of a business of lending money to third parties, rather than in the ordinary course of any business. </w:t>
      </w:r>
      <w:r w:rsidR="006F4D22">
        <w:t xml:space="preserve">These loans will continue to be required to be made consistent with the usual terms on which the company makes loans to third parties and on an arm’s length basis. </w:t>
      </w:r>
      <w:r>
        <w:t>This amendment will provide clarity and further integrity to Division 7A.</w:t>
      </w:r>
    </w:p>
    <w:p w14:paraId="6EA1F113" w14:textId="77777777" w:rsidR="009B794D" w:rsidRPr="0008791A" w:rsidRDefault="009B794D" w:rsidP="00B24157">
      <w:pPr>
        <w:pStyle w:val="Heading3"/>
      </w:pPr>
      <w:bookmarkStart w:id="51" w:name="_Toc525813324"/>
      <w:r w:rsidRPr="0008791A">
        <w:t>Benefits provided through interposed entities</w:t>
      </w:r>
      <w:bookmarkEnd w:id="51"/>
    </w:p>
    <w:p w14:paraId="55AA64AE" w14:textId="16DAAFDF" w:rsidR="009B794D" w:rsidRDefault="009B794D" w:rsidP="00B24157">
      <w:r>
        <w:t xml:space="preserve">Currently, subsection 109T(1) sets out </w:t>
      </w:r>
      <w:r w:rsidR="00A114F8">
        <w:t xml:space="preserve">the </w:t>
      </w:r>
      <w:r>
        <w:t xml:space="preserve">circumstances in which a taxpayer will be taken to receive a payment or loan from a private company because of dealings involving an interposed entity or entities. In effect, these provisions are intended to ensure that private companies cannot </w:t>
      </w:r>
      <w:r w:rsidR="00A114F8">
        <w:t>escape</w:t>
      </w:r>
      <w:r>
        <w:t xml:space="preserve"> the application of Division 7A by providing benefits to shareholders indirectly through an arrangement with a</w:t>
      </w:r>
      <w:r w:rsidR="006E2E40">
        <w:t>nother entity</w:t>
      </w:r>
      <w:r>
        <w:t>.</w:t>
      </w:r>
    </w:p>
    <w:p w14:paraId="04E54DF1" w14:textId="242E59A2" w:rsidR="009B794D" w:rsidRDefault="009B794D" w:rsidP="00B24157">
      <w:r>
        <w:t xml:space="preserve">It can be problematic to </w:t>
      </w:r>
      <w:r w:rsidR="00A114F8">
        <w:t>establish</w:t>
      </w:r>
      <w:r w:rsidR="006E2E40">
        <w:t xml:space="preserve"> that </w:t>
      </w:r>
      <w:r>
        <w:t>an entity is ‘interposed’ within the meaning of paragraph</w:t>
      </w:r>
      <w:r w:rsidR="007C185E">
        <w:t> </w:t>
      </w:r>
      <w:r>
        <w:t>109T(1)(a) where the quantum or nature of the benefit provided to the taxpayer differs from the benefit provided to the interposed entity.</w:t>
      </w:r>
    </w:p>
    <w:p w14:paraId="6BEBCB26" w14:textId="3901FEB1" w:rsidR="009B794D" w:rsidRDefault="009B794D" w:rsidP="00B24157">
      <w:r>
        <w:t xml:space="preserve">Subsection 109T(1) will be amended to apply in any case where a loan, payment or other benefit is provided to a taxpayer, if a reasonable person would conclude that this benefit would not have been provided </w:t>
      </w:r>
      <w:r w:rsidR="006F4D22">
        <w:t>but for</w:t>
      </w:r>
      <w:r>
        <w:t xml:space="preserve"> a loan, payment or other benefit being provided or being expected to be provided by the private company to another entity (whether or not this is the same entity that provided the benefit to the taxpayer).</w:t>
      </w:r>
    </w:p>
    <w:p w14:paraId="4FDD5E46" w14:textId="77777777" w:rsidR="009B794D" w:rsidRDefault="009B794D" w:rsidP="00B24157">
      <w:r>
        <w:t>This change ensures the provision gives effect to the underlying policy intention to bring to account indirect benefits, even if the payment or loan that results in the indirect benefit also has other commercial purposes.</w:t>
      </w:r>
    </w:p>
    <w:p w14:paraId="7A768BCD" w14:textId="77777777" w:rsidR="009B794D" w:rsidRPr="0008791A" w:rsidRDefault="009B794D" w:rsidP="00B24157">
      <w:pPr>
        <w:pStyle w:val="Heading3"/>
      </w:pPr>
      <w:bookmarkStart w:id="52" w:name="_Toc525813325"/>
      <w:r w:rsidRPr="0008791A">
        <w:t>Deemed dividends are non-deductible</w:t>
      </w:r>
      <w:bookmarkEnd w:id="52"/>
    </w:p>
    <w:p w14:paraId="30DE38A6" w14:textId="6207A1B6" w:rsidR="009B794D" w:rsidRPr="00194611" w:rsidRDefault="009B794D" w:rsidP="00B24157">
      <w:r>
        <w:t>To provide certainty</w:t>
      </w:r>
      <w:r w:rsidRPr="00194611">
        <w:t xml:space="preserve">, section 109Z </w:t>
      </w:r>
      <w:r>
        <w:t>will</w:t>
      </w:r>
      <w:r w:rsidRPr="00194611">
        <w:t xml:space="preserve"> be amended to make clear that a payment that is </w:t>
      </w:r>
      <w:r w:rsidR="007C185E">
        <w:t>taken</w:t>
      </w:r>
      <w:r w:rsidR="007C185E" w:rsidRPr="00194611">
        <w:t xml:space="preserve"> </w:t>
      </w:r>
      <w:r w:rsidRPr="00194611">
        <w:t xml:space="preserve">to be a dividend under </w:t>
      </w:r>
      <w:r>
        <w:t>Division 7A is not</w:t>
      </w:r>
      <w:r w:rsidRPr="00194611">
        <w:t xml:space="preserve"> an allowable deduction.</w:t>
      </w:r>
    </w:p>
    <w:p w14:paraId="583017D6" w14:textId="3383E3D3" w:rsidR="009B794D" w:rsidRPr="00194611" w:rsidRDefault="009B794D" w:rsidP="00B24157">
      <w:r w:rsidRPr="00194611">
        <w:t>Currently, payments, loans and other benefits that give rise to a deemed d</w:t>
      </w:r>
      <w:r>
        <w:t>ividend</w:t>
      </w:r>
      <w:r w:rsidR="00513767">
        <w:t xml:space="preserve"> are </w:t>
      </w:r>
      <w:r w:rsidR="003D0494">
        <w:t xml:space="preserve">not </w:t>
      </w:r>
      <w:r w:rsidR="00513767">
        <w:t>deductible, but this</w:t>
      </w:r>
      <w:r w:rsidRPr="00194611">
        <w:t xml:space="preserve"> is not specifically address</w:t>
      </w:r>
      <w:r>
        <w:t>ed</w:t>
      </w:r>
      <w:r w:rsidRPr="00194611">
        <w:t xml:space="preserve"> in the legislation.</w:t>
      </w:r>
    </w:p>
    <w:p w14:paraId="480F5D49" w14:textId="443C3B41" w:rsidR="009B794D" w:rsidRPr="0008791A" w:rsidRDefault="009B794D" w:rsidP="00B24157">
      <w:pPr>
        <w:pStyle w:val="Heading3"/>
      </w:pPr>
      <w:bookmarkStart w:id="53" w:name="_Toc525813326"/>
      <w:r w:rsidRPr="0008791A">
        <w:t>Division 7A and F</w:t>
      </w:r>
      <w:r w:rsidR="00206A13">
        <w:t xml:space="preserve">ringe </w:t>
      </w:r>
      <w:r w:rsidRPr="0008791A">
        <w:t>B</w:t>
      </w:r>
      <w:r w:rsidR="00206A13">
        <w:t xml:space="preserve">enefits </w:t>
      </w:r>
      <w:r w:rsidRPr="0008791A">
        <w:t>T</w:t>
      </w:r>
      <w:r w:rsidR="00206A13">
        <w:t>ax</w:t>
      </w:r>
      <w:bookmarkEnd w:id="53"/>
    </w:p>
    <w:p w14:paraId="107A8C9E" w14:textId="77777777" w:rsidR="009B794D" w:rsidRDefault="009B794D" w:rsidP="00B24157">
      <w:r>
        <w:t>Division 7A applies to benefits provided by private companies to shareholders, former shareholders and their associates (subsequently referred to as shareholders). In contrast, fringe benefits tax (FBT) applies to benefits provided by employers (including private companies) to employees, former employees and their associates (subsequently referred to as employees).</w:t>
      </w:r>
    </w:p>
    <w:p w14:paraId="48714DBC" w14:textId="43B09E90" w:rsidR="009B794D" w:rsidRDefault="009B794D" w:rsidP="00B24157">
      <w:r>
        <w:t>In cases where a shareholder in a private company is also an employee of that company, both FBT and Division 7A are potentially applicable. The current policy is that Division 7A should generally apply in preference to FBT for a benefit that is a loan or debt forgiveness, whereas FBT will general</w:t>
      </w:r>
      <w:r w:rsidR="006E2E40">
        <w:t>ly</w:t>
      </w:r>
      <w:r>
        <w:t xml:space="preserve"> apply in preference to Division 7A for benefits that are payments.</w:t>
      </w:r>
    </w:p>
    <w:p w14:paraId="3A046F73" w14:textId="38ADE1CB" w:rsidR="00282AF8" w:rsidRDefault="00282AF8" w:rsidP="00B24157">
      <w:pPr>
        <w:keepNext/>
      </w:pPr>
      <w:r>
        <w:t>To improve the clarity and integrity in relation to the interaction between Division 7A and the FBT provisions, amendments will be made to clarify that:</w:t>
      </w:r>
    </w:p>
    <w:p w14:paraId="55858BD1" w14:textId="1F0C2142" w:rsidR="00282AF8" w:rsidRDefault="00D13B40" w:rsidP="00B24157">
      <w:pPr>
        <w:pStyle w:val="Bullet"/>
      </w:pPr>
      <w:r>
        <w:t xml:space="preserve">the exception in subsection 109ZB(3), which provides that Division 7A does not apply to payments made to shareholders (or their associates) in their </w:t>
      </w:r>
      <w:r w:rsidRPr="00B24157">
        <w:t>capacity</w:t>
      </w:r>
      <w:r>
        <w:t xml:space="preserve"> as an employee (or an associate of such an employee), only applies where that payment would constitute a fringe benefit. </w:t>
      </w:r>
      <w:r w:rsidR="00DF098A">
        <w:t xml:space="preserve">In determining if a payment is a fringe benefit within the meaning of subsection 136(1) of the </w:t>
      </w:r>
      <w:r w:rsidR="00DF098A" w:rsidRPr="00150655">
        <w:rPr>
          <w:i/>
        </w:rPr>
        <w:t>Fringe Benefits Tax Assessment Act 1986</w:t>
      </w:r>
      <w:r w:rsidR="00DF098A">
        <w:t>, paragraph (r) should be disregarded</w:t>
      </w:r>
      <w:r w:rsidR="00513767">
        <w:t>;</w:t>
      </w:r>
    </w:p>
    <w:p w14:paraId="4AA4E999" w14:textId="2F64A46A" w:rsidR="009B794D" w:rsidRDefault="00B56E06" w:rsidP="00B24157">
      <w:pPr>
        <w:pStyle w:val="Bullet"/>
      </w:pPr>
      <w:r>
        <w:t xml:space="preserve">former shareholders (or their associates) should be treated consistently with current shareholders. </w:t>
      </w:r>
      <w:r w:rsidR="00602916">
        <w:t xml:space="preserve">The exception in subsection 109ZB(3) will be extended to ensure that </w:t>
      </w:r>
      <w:r w:rsidR="009B794D">
        <w:t xml:space="preserve">Division 7A will not apply to payments to former </w:t>
      </w:r>
      <w:r w:rsidR="009B794D" w:rsidRPr="00B24157">
        <w:t>shareholders</w:t>
      </w:r>
      <w:r w:rsidR="009B794D">
        <w:t xml:space="preserve"> or associates of former shareholders in their capacity as an employee if the payment was a fringe benefit</w:t>
      </w:r>
      <w:r w:rsidR="00513767">
        <w:t>;</w:t>
      </w:r>
      <w:r w:rsidR="00A71F24">
        <w:t xml:space="preserve"> </w:t>
      </w:r>
      <w:r w:rsidR="00513767">
        <w:t>and</w:t>
      </w:r>
    </w:p>
    <w:p w14:paraId="33A26B99" w14:textId="3B79AB0E" w:rsidR="009B794D" w:rsidRDefault="009B794D" w:rsidP="00B24157">
      <w:pPr>
        <w:pStyle w:val="Bullet"/>
      </w:pPr>
      <w:r>
        <w:t xml:space="preserve">FBT will not apply to payments </w:t>
      </w:r>
      <w:r w:rsidRPr="00B24157">
        <w:t>to</w:t>
      </w:r>
      <w:r>
        <w:t xml:space="preserve"> former shareholders and their associates that are </w:t>
      </w:r>
      <w:r w:rsidR="00E41FF4">
        <w:t xml:space="preserve">otherwise </w:t>
      </w:r>
      <w:r>
        <w:t>captured by Division 7A.</w:t>
      </w:r>
    </w:p>
    <w:p w14:paraId="7B23F2B8" w14:textId="1D2F1EAB" w:rsidR="00FB12F4" w:rsidRPr="00FB12F4" w:rsidRDefault="009B794D" w:rsidP="00955899">
      <w:r>
        <w:t>Th</w:t>
      </w:r>
      <w:r w:rsidR="00513767">
        <w:t>ese</w:t>
      </w:r>
      <w:r>
        <w:t xml:space="preserve"> amendment</w:t>
      </w:r>
      <w:r w:rsidR="00513767">
        <w:t>s</w:t>
      </w:r>
      <w:r>
        <w:t xml:space="preserve"> will clarify and provide integrity in relation to the interaction between Division</w:t>
      </w:r>
      <w:r w:rsidR="003072BB">
        <w:t> </w:t>
      </w:r>
      <w:r>
        <w:t xml:space="preserve">7A and </w:t>
      </w:r>
      <w:r w:rsidR="00B16537">
        <w:t xml:space="preserve">the </w:t>
      </w:r>
      <w:r>
        <w:t>FBT provisions.</w:t>
      </w:r>
    </w:p>
    <w:p w14:paraId="574BF8E6" w14:textId="21D5A586" w:rsidR="00C9139B" w:rsidRDefault="00C9139B" w:rsidP="000310E0">
      <w:pPr>
        <w:pStyle w:val="Heading2"/>
      </w:pPr>
      <w:bookmarkStart w:id="54" w:name="_Toc525813327"/>
      <w:r>
        <w:t xml:space="preserve">Discussion </w:t>
      </w:r>
      <w:r w:rsidR="00481B8B" w:rsidRPr="000310E0">
        <w:t>q</w:t>
      </w:r>
      <w:r w:rsidRPr="000310E0">
        <w:t>uestions</w:t>
      </w:r>
      <w:bookmarkEnd w:id="54"/>
    </w:p>
    <w:tbl>
      <w:tblPr>
        <w:tblW w:w="5000" w:type="pct"/>
        <w:shd w:val="clear" w:color="auto" w:fill="E3E7F0"/>
        <w:tblLook w:val="01E0" w:firstRow="1" w:lastRow="1" w:firstColumn="1" w:lastColumn="1" w:noHBand="0" w:noVBand="0"/>
      </w:tblPr>
      <w:tblGrid>
        <w:gridCol w:w="9286"/>
      </w:tblGrid>
      <w:tr w:rsidR="000310E0" w14:paraId="326C3F78" w14:textId="77777777" w:rsidTr="00F1497F">
        <w:tc>
          <w:tcPr>
            <w:tcW w:w="5000" w:type="pct"/>
            <w:shd w:val="clear" w:color="auto" w:fill="E3E7F0"/>
          </w:tcPr>
          <w:p w14:paraId="61397D0E" w14:textId="47DF603A" w:rsidR="000310E0" w:rsidRPr="000553FE" w:rsidRDefault="000310E0" w:rsidP="00F1497F">
            <w:pPr>
              <w:pStyle w:val="BoxHeading"/>
              <w:rPr>
                <w:b w:val="0"/>
              </w:rPr>
            </w:pPr>
            <w:r w:rsidRPr="000310E0">
              <w:t>Discussion Question 5:</w:t>
            </w:r>
          </w:p>
          <w:p w14:paraId="0C8BE458" w14:textId="4B6993F8" w:rsidR="000310E0" w:rsidRDefault="000310E0" w:rsidP="000310E0">
            <w:pPr>
              <w:pStyle w:val="TableSecondHeading"/>
            </w:pPr>
            <w:r>
              <w:t>Minor Technical Amendments</w:t>
            </w:r>
          </w:p>
          <w:p w14:paraId="6DC3ACE1" w14:textId="4E470F1F" w:rsidR="000310E0" w:rsidRDefault="000310E0" w:rsidP="000310E0">
            <w:pPr>
              <w:pStyle w:val="BoxText"/>
              <w:numPr>
                <w:ilvl w:val="0"/>
                <w:numId w:val="39"/>
              </w:numPr>
            </w:pPr>
            <w:r>
              <w:t>Are any changes required to the interposed entity rules, apart from section 109T? For example, should section 109V and 109W be amended?</w:t>
            </w:r>
          </w:p>
          <w:p w14:paraId="06CC1453" w14:textId="3D7861A7" w:rsidR="000310E0" w:rsidRDefault="000310E0" w:rsidP="000310E0">
            <w:pPr>
              <w:pStyle w:val="BoxText"/>
              <w:numPr>
                <w:ilvl w:val="0"/>
                <w:numId w:val="39"/>
              </w:numPr>
            </w:pPr>
            <w:r>
              <w:t xml:space="preserve">For the purposes of applying section 109M, is it necessary to have </w:t>
            </w:r>
            <w:r w:rsidRPr="000310E0">
              <w:t>objective</w:t>
            </w:r>
            <w:r>
              <w:t xml:space="preserve"> criteria to determine whether a loan is made in the ordinary course of a business of lending money? If so, what should be included in the criteria?</w:t>
            </w:r>
          </w:p>
          <w:p w14:paraId="757F5EFE" w14:textId="2C5E6C95" w:rsidR="000310E0" w:rsidRPr="008950C5" w:rsidRDefault="000310E0" w:rsidP="000310E0">
            <w:pPr>
              <w:pStyle w:val="BoxText"/>
              <w:numPr>
                <w:ilvl w:val="0"/>
                <w:numId w:val="39"/>
              </w:numPr>
            </w:pPr>
            <w:r>
              <w:t xml:space="preserve">Do similar changes need to be made to other paragraphs of the </w:t>
            </w:r>
            <w:r w:rsidRPr="000310E0">
              <w:t>definition</w:t>
            </w:r>
            <w:r>
              <w:t xml:space="preserve"> of ‘fringe benefit’ in subsection 136(1) of the </w:t>
            </w:r>
            <w:r w:rsidRPr="000310E0">
              <w:rPr>
                <w:i/>
              </w:rPr>
              <w:t>Fringe Benefits Assessment Act 1986</w:t>
            </w:r>
            <w:r>
              <w:t xml:space="preserve"> to clarify the interaction of FBT and Division 7A?</w:t>
            </w:r>
          </w:p>
        </w:tc>
      </w:tr>
    </w:tbl>
    <w:p w14:paraId="1D92FD73" w14:textId="77777777" w:rsidR="009B794D" w:rsidRDefault="009B794D" w:rsidP="009B794D">
      <w:pPr>
        <w:spacing w:before="0" w:after="160" w:line="259" w:lineRule="auto"/>
      </w:pPr>
      <w:r>
        <w:br w:type="page"/>
      </w:r>
    </w:p>
    <w:p w14:paraId="543EB9B2" w14:textId="56407C66" w:rsidR="0015664C" w:rsidRDefault="007C185E" w:rsidP="000310E0">
      <w:pPr>
        <w:pStyle w:val="Heading1"/>
      </w:pPr>
      <w:bookmarkStart w:id="55" w:name="_Toc525813328"/>
      <w:r>
        <w:t xml:space="preserve">Other </w:t>
      </w:r>
      <w:r w:rsidRPr="000310E0">
        <w:t>considerations</w:t>
      </w:r>
      <w:bookmarkEnd w:id="55"/>
    </w:p>
    <w:tbl>
      <w:tblPr>
        <w:tblW w:w="5000" w:type="pct"/>
        <w:shd w:val="clear" w:color="auto" w:fill="E3E7F0"/>
        <w:tblLook w:val="01E0" w:firstRow="1" w:lastRow="1" w:firstColumn="1" w:lastColumn="1" w:noHBand="0" w:noVBand="0"/>
      </w:tblPr>
      <w:tblGrid>
        <w:gridCol w:w="9286"/>
      </w:tblGrid>
      <w:tr w:rsidR="000310E0" w14:paraId="38CB45A9" w14:textId="77777777" w:rsidTr="00F1497F">
        <w:tc>
          <w:tcPr>
            <w:tcW w:w="5000" w:type="pct"/>
            <w:shd w:val="clear" w:color="auto" w:fill="E3E7F0"/>
          </w:tcPr>
          <w:p w14:paraId="3B0BCD69" w14:textId="347A6F74" w:rsidR="000310E0" w:rsidRPr="000553FE" w:rsidRDefault="000310E0" w:rsidP="00F1497F">
            <w:pPr>
              <w:pStyle w:val="BoxHeading"/>
              <w:rPr>
                <w:b w:val="0"/>
              </w:rPr>
            </w:pPr>
            <w:r w:rsidRPr="000310E0">
              <w:t>Discussion Question 6:</w:t>
            </w:r>
          </w:p>
          <w:p w14:paraId="44E6897E" w14:textId="4E12CF2A" w:rsidR="000310E0" w:rsidRDefault="000310E0" w:rsidP="000310E0">
            <w:pPr>
              <w:pStyle w:val="TableSecondHeading"/>
            </w:pPr>
            <w:r>
              <w:t>Other issues</w:t>
            </w:r>
          </w:p>
          <w:p w14:paraId="5B357DD7" w14:textId="42A25939" w:rsidR="000310E0" w:rsidRPr="000310E0" w:rsidRDefault="000310E0" w:rsidP="000310E0">
            <w:pPr>
              <w:pStyle w:val="BoxText"/>
              <w:numPr>
                <w:ilvl w:val="0"/>
                <w:numId w:val="40"/>
              </w:numPr>
            </w:pPr>
            <w:r w:rsidRPr="000310E0">
              <w:t>Would the insertion of an objects clause in the legislation, consistent with the ‘Policy intent’ outlined on page 2 of this paper, be useful in clarifying the intent of the provisions?</w:t>
            </w:r>
          </w:p>
          <w:p w14:paraId="4ED41234" w14:textId="6945A6D0" w:rsidR="000310E0" w:rsidRPr="008950C5" w:rsidRDefault="000310E0" w:rsidP="000310E0">
            <w:pPr>
              <w:pStyle w:val="BoxText"/>
              <w:numPr>
                <w:ilvl w:val="0"/>
                <w:numId w:val="40"/>
              </w:numPr>
            </w:pPr>
            <w:r w:rsidRPr="000310E0">
              <w:t>Are there any other issues relevant to the amendments canvassed in this paper that have not been considered?</w:t>
            </w:r>
          </w:p>
        </w:tc>
      </w:tr>
    </w:tbl>
    <w:p w14:paraId="45266047" w14:textId="7D368745" w:rsidR="007C185E" w:rsidRDefault="007C185E" w:rsidP="007C185E"/>
    <w:p w14:paraId="6FB3FCEF" w14:textId="77777777" w:rsidR="00696082" w:rsidRDefault="00696082">
      <w:pPr>
        <w:spacing w:before="0" w:after="160" w:line="259" w:lineRule="auto"/>
        <w:sectPr w:rsidR="00696082" w:rsidSect="0050266A">
          <w:pgSz w:w="11906" w:h="16838" w:code="9"/>
          <w:pgMar w:top="1418" w:right="1418" w:bottom="1418" w:left="1418" w:header="709" w:footer="709" w:gutter="0"/>
          <w:cols w:space="708"/>
          <w:docGrid w:linePitch="360"/>
        </w:sectPr>
      </w:pPr>
    </w:p>
    <w:p w14:paraId="3ACA47F0" w14:textId="1A133FC3" w:rsidR="007C185E" w:rsidRDefault="007C185E" w:rsidP="000310E0">
      <w:pPr>
        <w:pStyle w:val="Heading1"/>
      </w:pPr>
      <w:bookmarkStart w:id="56" w:name="_Toc525813329"/>
      <w:r>
        <w:t xml:space="preserve">Appendix A: </w:t>
      </w:r>
      <w:r w:rsidRPr="000310E0">
        <w:t>Board</w:t>
      </w:r>
      <w:r>
        <w:t xml:space="preserve"> </w:t>
      </w:r>
      <w:r w:rsidRPr="000310E0">
        <w:t>Recommendations</w:t>
      </w:r>
      <w:bookmarkEnd w:id="56"/>
    </w:p>
    <w:p w14:paraId="3376D735" w14:textId="0B0C38B0" w:rsidR="007C185E" w:rsidRPr="008A4DE2" w:rsidRDefault="007C185E" w:rsidP="000310E0">
      <w:r>
        <w:t xml:space="preserve">The </w:t>
      </w:r>
      <w:r w:rsidR="00DD0D53">
        <w:t>Division 7A amendments</w:t>
      </w:r>
      <w:r>
        <w:t xml:space="preserve"> incorporate the Government’s response on the findings and recommendations of the Board of Taxation in their final report on the ‘Post Implementation Review of Division 7A of Part III of the </w:t>
      </w:r>
      <w:r>
        <w:rPr>
          <w:i/>
        </w:rPr>
        <w:t>Income Tax Assessment Act 1936</w:t>
      </w:r>
      <w:r w:rsidR="000310E0">
        <w:t>’.</w:t>
      </w:r>
      <w:r w:rsidR="003072BB">
        <w:t xml:space="preserve"> </w:t>
      </w:r>
      <w:r>
        <w:t>These recommendations are set out below.</w:t>
      </w:r>
    </w:p>
    <w:tbl>
      <w:tblPr>
        <w:tblStyle w:val="LightList-Accent5"/>
        <w:tblW w:w="5000" w:type="pct"/>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tblCellMar>
          <w:top w:w="108" w:type="dxa"/>
        </w:tblCellMar>
        <w:tblLook w:val="04A0" w:firstRow="1" w:lastRow="0" w:firstColumn="1" w:lastColumn="0" w:noHBand="0" w:noVBand="1"/>
      </w:tblPr>
      <w:tblGrid>
        <w:gridCol w:w="9286"/>
      </w:tblGrid>
      <w:tr w:rsidR="00645922" w:rsidRPr="00696082" w14:paraId="09CA5943" w14:textId="77777777" w:rsidTr="00EE2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4A7F"/>
          </w:tcPr>
          <w:p w14:paraId="4543B123" w14:textId="77777777" w:rsidR="00645922" w:rsidRPr="00696082" w:rsidRDefault="00645922" w:rsidP="00ED6BF6">
            <w:pPr>
              <w:pStyle w:val="Heading5"/>
              <w:keepNext w:val="0"/>
              <w:outlineLvl w:val="4"/>
              <w:rPr>
                <w:rFonts w:asciiTheme="minorHAnsi" w:hAnsiTheme="minorHAnsi"/>
                <w:color w:val="FFFFFF" w:themeColor="background1"/>
              </w:rPr>
            </w:pPr>
            <w:r w:rsidRPr="00696082">
              <w:rPr>
                <w:rFonts w:asciiTheme="minorHAnsi" w:hAnsiTheme="minorHAnsi"/>
                <w:b/>
                <w:color w:val="FFFFFF" w:themeColor="background1"/>
              </w:rPr>
              <w:t>Recommendation</w:t>
            </w:r>
          </w:p>
        </w:tc>
      </w:tr>
      <w:tr w:rsidR="00645922" w:rsidRPr="00696082" w14:paraId="5FCFF8F9" w14:textId="77777777" w:rsidTr="00E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32CF240D" w14:textId="77777777" w:rsidR="00645922" w:rsidRPr="000310E0" w:rsidRDefault="00645922" w:rsidP="00ED6BF6">
            <w:pPr>
              <w:pStyle w:val="Heading5"/>
              <w:keepNext w:val="0"/>
              <w:outlineLvl w:val="4"/>
              <w:rPr>
                <w:b/>
              </w:rPr>
            </w:pPr>
            <w:r w:rsidRPr="000310E0">
              <w:rPr>
                <w:b/>
              </w:rPr>
              <w:t>Recommendation 1</w:t>
            </w:r>
          </w:p>
          <w:p w14:paraId="4FA6CFDA"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As part of a wider tax reform process, the Board recommends explicitly considering wide-ranging reforms directed at treating profits consistently, including:</w:t>
            </w:r>
          </w:p>
          <w:p w14:paraId="4D80C2D3" w14:textId="77777777" w:rsidR="00645922" w:rsidRPr="000310E0" w:rsidRDefault="00645922" w:rsidP="00ED6BF6">
            <w:pPr>
              <w:pStyle w:val="Bullet"/>
              <w:keepLines w:val="0"/>
              <w:rPr>
                <w:b w:val="0"/>
              </w:rPr>
            </w:pPr>
            <w:r w:rsidRPr="000310E0">
              <w:rPr>
                <w:b w:val="0"/>
              </w:rPr>
              <w:t>taxing business accumulations at a business tax rate, irrespective of the structure chosen; and</w:t>
            </w:r>
          </w:p>
          <w:p w14:paraId="5FBEF051" w14:textId="77777777" w:rsidR="00645922" w:rsidRPr="00696082" w:rsidRDefault="00645922" w:rsidP="00ED6BF6">
            <w:pPr>
              <w:pStyle w:val="Bullet"/>
              <w:keepLines w:val="0"/>
            </w:pPr>
            <w:r w:rsidRPr="000310E0">
              <w:rPr>
                <w:b w:val="0"/>
              </w:rPr>
              <w:t>lowering the tax rate on undistributed trust income.</w:t>
            </w:r>
          </w:p>
        </w:tc>
      </w:tr>
      <w:tr w:rsidR="00645922" w:rsidRPr="00696082" w14:paraId="0DA85CFA" w14:textId="77777777" w:rsidTr="00EE2F33">
        <w:tc>
          <w:tcPr>
            <w:cnfStyle w:val="001000000000" w:firstRow="0" w:lastRow="0" w:firstColumn="1" w:lastColumn="0" w:oddVBand="0" w:evenVBand="0" w:oddHBand="0" w:evenHBand="0" w:firstRowFirstColumn="0" w:firstRowLastColumn="0" w:lastRowFirstColumn="0" w:lastRowLastColumn="0"/>
            <w:tcW w:w="5000" w:type="pct"/>
          </w:tcPr>
          <w:p w14:paraId="488F522E"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2</w:t>
            </w:r>
          </w:p>
          <w:p w14:paraId="3D5093DD" w14:textId="77777777" w:rsidR="00645922" w:rsidRPr="00696082" w:rsidRDefault="00645922" w:rsidP="00ED6BF6">
            <w:pPr>
              <w:pStyle w:val="Heading5"/>
              <w:keepNext w:val="0"/>
              <w:outlineLvl w:val="4"/>
              <w:rPr>
                <w:rFonts w:asciiTheme="minorHAnsi" w:hAnsiTheme="minorHAnsi"/>
              </w:rPr>
            </w:pPr>
            <w:r w:rsidRPr="00696082">
              <w:rPr>
                <w:rFonts w:asciiTheme="minorHAnsi" w:hAnsiTheme="minorHAnsi"/>
                <w:color w:val="auto"/>
              </w:rPr>
              <w:t>The Board recommends that, in the more immediate term, the Government make significant reforms to Division 7A in accordance with recommendations 3 to 15 of this report.</w:t>
            </w:r>
          </w:p>
        </w:tc>
      </w:tr>
      <w:tr w:rsidR="00645922" w:rsidRPr="00696082" w14:paraId="42FC352E" w14:textId="77777777" w:rsidTr="00E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0F038D88"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3</w:t>
            </w:r>
          </w:p>
          <w:p w14:paraId="1659626A"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The Board recommends:</w:t>
            </w:r>
          </w:p>
          <w:p w14:paraId="7E214556" w14:textId="77777777" w:rsidR="00645922" w:rsidRPr="000310E0" w:rsidRDefault="00645922" w:rsidP="00ED6BF6">
            <w:pPr>
              <w:pStyle w:val="Bullet"/>
              <w:keepLines w:val="0"/>
              <w:rPr>
                <w:b w:val="0"/>
              </w:rPr>
            </w:pPr>
            <w:r w:rsidRPr="000310E0">
              <w:rPr>
                <w:b w:val="0"/>
              </w:rPr>
              <w:t>including the principles that could define the policy framework for Division 7A in an objects clause in a reformed Division 7A; and</w:t>
            </w:r>
          </w:p>
          <w:p w14:paraId="5D6DE35C" w14:textId="77777777" w:rsidR="00645922" w:rsidRPr="00696082" w:rsidRDefault="00645922" w:rsidP="00ED6BF6">
            <w:pPr>
              <w:pStyle w:val="Bullet"/>
              <w:keepLines w:val="0"/>
            </w:pPr>
            <w:r w:rsidRPr="000310E0">
              <w:rPr>
                <w:b w:val="0"/>
              </w:rPr>
              <w:t>making the content of the guiding principles a policy matter for consideration by the Government — in particular, whether Division 7A supports the overall objective of protecting the personal income tax system’s progressivity and has a role to play in not advantaging the accumulation of passive investments over the reinvestment of business profits in active business activities.</w:t>
            </w:r>
          </w:p>
        </w:tc>
      </w:tr>
      <w:tr w:rsidR="00645922" w:rsidRPr="00696082" w14:paraId="042864F4" w14:textId="77777777" w:rsidTr="00EE2F33">
        <w:tc>
          <w:tcPr>
            <w:cnfStyle w:val="001000000000" w:firstRow="0" w:lastRow="0" w:firstColumn="1" w:lastColumn="0" w:oddVBand="0" w:evenVBand="0" w:oddHBand="0" w:evenHBand="0" w:firstRowFirstColumn="0" w:firstRowLastColumn="0" w:lastRowFirstColumn="0" w:lastRowLastColumn="0"/>
            <w:tcW w:w="5000" w:type="pct"/>
          </w:tcPr>
          <w:p w14:paraId="60910D7C"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4</w:t>
            </w:r>
          </w:p>
          <w:p w14:paraId="37BF3DD7"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The Board recommends:</w:t>
            </w:r>
          </w:p>
          <w:p w14:paraId="3EB43B3F" w14:textId="77777777" w:rsidR="00645922" w:rsidRPr="000310E0" w:rsidRDefault="00645922" w:rsidP="00ED6BF6">
            <w:pPr>
              <w:pStyle w:val="Bullet"/>
              <w:keepLines w:val="0"/>
              <w:rPr>
                <w:b w:val="0"/>
              </w:rPr>
            </w:pPr>
            <w:r w:rsidRPr="000310E0">
              <w:rPr>
                <w:b w:val="0"/>
              </w:rPr>
              <w:t>retaining the existing rules concerning an entity’s right to use a private company asset, including the otherwise deductible and minor benefits rule exemptions;</w:t>
            </w:r>
          </w:p>
          <w:p w14:paraId="2351A712" w14:textId="77777777" w:rsidR="00645922" w:rsidRPr="000310E0" w:rsidRDefault="00645922" w:rsidP="00ED6BF6">
            <w:pPr>
              <w:pStyle w:val="Bullet"/>
              <w:keepLines w:val="0"/>
              <w:rPr>
                <w:b w:val="0"/>
              </w:rPr>
            </w:pPr>
            <w:r w:rsidRPr="000310E0">
              <w:rPr>
                <w:b w:val="0"/>
              </w:rPr>
              <w:t>supplementing the existing rules with the provision of legislative safe harbour rules, which would assist in facilitating compliance, reduce uncertainties for taxpayers and lower administrative costs for the ATO;</w:t>
            </w:r>
          </w:p>
          <w:p w14:paraId="0E832673" w14:textId="77777777" w:rsidR="00645922" w:rsidRPr="000310E0" w:rsidRDefault="00645922" w:rsidP="00ED6BF6">
            <w:pPr>
              <w:pStyle w:val="Bullet"/>
              <w:keepLines w:val="0"/>
              <w:rPr>
                <w:b w:val="0"/>
              </w:rPr>
            </w:pPr>
            <w:r w:rsidRPr="000310E0">
              <w:rPr>
                <w:b w:val="0"/>
              </w:rPr>
              <w:t>designing appropriate safe harbour rules that distinguish between those that would apply to depreciating assets and those that would apply to appreciating assets, such as land and buildings:</w:t>
            </w:r>
          </w:p>
          <w:p w14:paraId="5866B323" w14:textId="77777777" w:rsidR="00645922" w:rsidRPr="000310E0" w:rsidRDefault="00645922" w:rsidP="00ED6BF6">
            <w:pPr>
              <w:pStyle w:val="Dash"/>
              <w:rPr>
                <w:b w:val="0"/>
              </w:rPr>
            </w:pPr>
            <w:r w:rsidRPr="000310E0">
              <w:rPr>
                <w:b w:val="0"/>
              </w:rPr>
              <w:t>for depreciating assets, a rental charge could apply, similar to that of an operating lease, comprising a finance amount (or interest amount), a depreciation component (being the cost of the asset to the lessor) and an amount for the relevant asset’s other operating costs.</w:t>
            </w:r>
          </w:p>
          <w:p w14:paraId="76F329BE" w14:textId="77777777" w:rsidR="00645922" w:rsidRPr="00F24606" w:rsidRDefault="00645922" w:rsidP="00ED6BF6">
            <w:pPr>
              <w:pStyle w:val="Dash"/>
              <w:rPr>
                <w:b w:val="0"/>
              </w:rPr>
            </w:pPr>
            <w:r w:rsidRPr="00F24606">
              <w:rPr>
                <w:b w:val="0"/>
              </w:rPr>
              <w:t>for appreciating assets, a usage charge could apply, calculated by multiplying the statutory interest rate by the asset’s indexed value, which could be updated with an arm’s length valuation every five years, thus reducing the need for yearly valuations. The usage charge could also include an amount representing the relevant asset’s other operating costs.</w:t>
            </w:r>
          </w:p>
        </w:tc>
      </w:tr>
      <w:tr w:rsidR="00645922" w:rsidRPr="00696082" w14:paraId="07F273AD" w14:textId="77777777" w:rsidTr="00E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1CB59DD0"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5</w:t>
            </w:r>
          </w:p>
          <w:p w14:paraId="7E73FEBD" w14:textId="77777777" w:rsidR="00645922" w:rsidRPr="00696082" w:rsidRDefault="00645922" w:rsidP="00ED6BF6">
            <w:pPr>
              <w:pStyle w:val="Heading5"/>
              <w:keepNext w:val="0"/>
              <w:outlineLvl w:val="4"/>
              <w:rPr>
                <w:rFonts w:asciiTheme="minorHAnsi" w:hAnsiTheme="minorHAnsi"/>
              </w:rPr>
            </w:pPr>
            <w:r w:rsidRPr="00696082">
              <w:rPr>
                <w:rFonts w:asciiTheme="minorHAnsi" w:hAnsiTheme="minorHAnsi"/>
                <w:color w:val="auto"/>
              </w:rPr>
              <w:t>The Board recommends retaining the rules regarding the calculation of distributable surplus, including the requirement for periodic testing, as part of any rewrite of the Division 7A rules.</w:t>
            </w:r>
          </w:p>
        </w:tc>
      </w:tr>
      <w:tr w:rsidR="00645922" w:rsidRPr="00696082" w14:paraId="0E7FC20D" w14:textId="77777777" w:rsidTr="00EE2F33">
        <w:tc>
          <w:tcPr>
            <w:cnfStyle w:val="001000000000" w:firstRow="0" w:lastRow="0" w:firstColumn="1" w:lastColumn="0" w:oddVBand="0" w:evenVBand="0" w:oddHBand="0" w:evenHBand="0" w:firstRowFirstColumn="0" w:firstRowLastColumn="0" w:lastRowFirstColumn="0" w:lastRowLastColumn="0"/>
            <w:tcW w:w="5000" w:type="pct"/>
          </w:tcPr>
          <w:p w14:paraId="7B4C611A"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6</w:t>
            </w:r>
          </w:p>
          <w:p w14:paraId="3C36178F"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Subject to the Government’s policy decision on the policy framework for reform of Division 7A (see Recommendation 3), the Board recommends enacting legislation that prescribes the following terms for complying Division 7A loans:</w:t>
            </w:r>
          </w:p>
          <w:p w14:paraId="02329F32" w14:textId="77777777" w:rsidR="00645922" w:rsidRPr="000310E0" w:rsidRDefault="00645922" w:rsidP="00ED6BF6">
            <w:pPr>
              <w:pStyle w:val="Bullet"/>
              <w:keepLines w:val="0"/>
              <w:rPr>
                <w:b w:val="0"/>
              </w:rPr>
            </w:pPr>
            <w:r w:rsidRPr="000310E0">
              <w:rPr>
                <w:b w:val="0"/>
              </w:rPr>
              <w:t xml:space="preserve">There should be no requirement for a formal written agreement between the parties. However, written or electronic evidence showing that a loan was entered into must exist by </w:t>
            </w:r>
            <w:proofErr w:type="spellStart"/>
            <w:r w:rsidRPr="000310E0">
              <w:rPr>
                <w:b w:val="0"/>
              </w:rPr>
              <w:t>lodgment</w:t>
            </w:r>
            <w:proofErr w:type="spellEnd"/>
            <w:r w:rsidRPr="000310E0">
              <w:rPr>
                <w:b w:val="0"/>
              </w:rPr>
              <w:t xml:space="preserve"> day for the income year in which the loan was made.</w:t>
            </w:r>
          </w:p>
          <w:p w14:paraId="6B11F743" w14:textId="77777777" w:rsidR="00645922" w:rsidRPr="000310E0" w:rsidRDefault="00645922" w:rsidP="00ED6BF6">
            <w:pPr>
              <w:pStyle w:val="Bullet"/>
              <w:keepLines w:val="0"/>
              <w:rPr>
                <w:b w:val="0"/>
              </w:rPr>
            </w:pPr>
            <w:r w:rsidRPr="000310E0">
              <w:rPr>
                <w:b w:val="0"/>
              </w:rPr>
              <w:t>The statutory interest rate would be set at the start of the loan and fixed over the term of the loan.</w:t>
            </w:r>
          </w:p>
          <w:p w14:paraId="2B47A4BA" w14:textId="77777777" w:rsidR="00645922" w:rsidRPr="000310E0" w:rsidRDefault="00645922" w:rsidP="00ED6BF6">
            <w:pPr>
              <w:pStyle w:val="Bullet"/>
              <w:keepLines w:val="0"/>
              <w:rPr>
                <w:b w:val="0"/>
              </w:rPr>
            </w:pPr>
            <w:r w:rsidRPr="000310E0">
              <w:rPr>
                <w:b w:val="0"/>
              </w:rPr>
              <w:t>The statutory interest rate would be the Reserve Bank of Australia’s indicator lending rate for a small business; variable; other; overdraft for the month of May immediately before the start of that income year.</w:t>
            </w:r>
          </w:p>
          <w:p w14:paraId="768746D0" w14:textId="77777777" w:rsidR="00645922" w:rsidRPr="000310E0" w:rsidRDefault="00645922" w:rsidP="00ED6BF6">
            <w:pPr>
              <w:pStyle w:val="Bullet"/>
              <w:keepLines w:val="0"/>
              <w:rPr>
                <w:b w:val="0"/>
              </w:rPr>
            </w:pPr>
            <w:r w:rsidRPr="000310E0">
              <w:rPr>
                <w:b w:val="0"/>
              </w:rPr>
              <w:t>The maximum loan term would be 10 years.</w:t>
            </w:r>
          </w:p>
          <w:p w14:paraId="3EB49233" w14:textId="77777777" w:rsidR="00645922" w:rsidRPr="000310E0" w:rsidRDefault="00645922" w:rsidP="00ED6BF6">
            <w:pPr>
              <w:pStyle w:val="Bullet"/>
              <w:keepLines w:val="0"/>
              <w:rPr>
                <w:b w:val="0"/>
              </w:rPr>
            </w:pPr>
            <w:r w:rsidRPr="000310E0">
              <w:rPr>
                <w:b w:val="0"/>
              </w:rPr>
              <w:t>The prescribed maximum loan balances during the term of the loan (including any accumulated interest) would be as follows:</w:t>
            </w:r>
          </w:p>
          <w:p w14:paraId="305972F0" w14:textId="77777777" w:rsidR="00645922" w:rsidRPr="000310E0" w:rsidRDefault="00645922" w:rsidP="00ED6BF6">
            <w:pPr>
              <w:pStyle w:val="Dash"/>
              <w:rPr>
                <w:b w:val="0"/>
              </w:rPr>
            </w:pPr>
            <w:r w:rsidRPr="000310E0">
              <w:rPr>
                <w:b w:val="0"/>
              </w:rPr>
              <w:t>75 per cent of the original loan by the end of year three;</w:t>
            </w:r>
          </w:p>
          <w:p w14:paraId="729B34CE" w14:textId="77777777" w:rsidR="00645922" w:rsidRPr="000310E0" w:rsidRDefault="00645922" w:rsidP="00ED6BF6">
            <w:pPr>
              <w:pStyle w:val="Dash"/>
              <w:rPr>
                <w:b w:val="0"/>
              </w:rPr>
            </w:pPr>
            <w:r w:rsidRPr="000310E0">
              <w:rPr>
                <w:b w:val="0"/>
              </w:rPr>
              <w:t>55 per cent of the original loan by the end of year five;</w:t>
            </w:r>
          </w:p>
          <w:p w14:paraId="4745B7F3" w14:textId="77777777" w:rsidR="00645922" w:rsidRPr="000310E0" w:rsidRDefault="00645922" w:rsidP="00ED6BF6">
            <w:pPr>
              <w:pStyle w:val="Dash"/>
              <w:rPr>
                <w:b w:val="0"/>
              </w:rPr>
            </w:pPr>
            <w:r w:rsidRPr="000310E0">
              <w:rPr>
                <w:b w:val="0"/>
              </w:rPr>
              <w:t>25 per cent of the original loan by the end of year eight; and</w:t>
            </w:r>
          </w:p>
          <w:p w14:paraId="58AEBB85" w14:textId="77777777" w:rsidR="00645922" w:rsidRPr="000310E0" w:rsidRDefault="00645922" w:rsidP="00ED6BF6">
            <w:pPr>
              <w:pStyle w:val="Dash"/>
              <w:rPr>
                <w:b w:val="0"/>
              </w:rPr>
            </w:pPr>
            <w:r w:rsidRPr="000310E0">
              <w:rPr>
                <w:b w:val="0"/>
              </w:rPr>
              <w:t>0 per cent of the original loan (that is, fully repaid) by the end of year 10.</w:t>
            </w:r>
          </w:p>
          <w:p w14:paraId="425CB9C7" w14:textId="77777777" w:rsidR="00645922" w:rsidRPr="000310E0" w:rsidRDefault="00645922" w:rsidP="00ED6BF6">
            <w:pPr>
              <w:pStyle w:val="Bullet"/>
              <w:keepLines w:val="0"/>
              <w:rPr>
                <w:b w:val="0"/>
              </w:rPr>
            </w:pPr>
            <w:r w:rsidRPr="000310E0">
              <w:rPr>
                <w:b w:val="0"/>
              </w:rPr>
              <w:t>Subject to meeting the maximum loan balances, there would be no specified annual principal repayments.</w:t>
            </w:r>
          </w:p>
          <w:p w14:paraId="7A4FE6AC" w14:textId="77777777" w:rsidR="00645922" w:rsidRPr="000310E0" w:rsidRDefault="00645922" w:rsidP="00ED6BF6">
            <w:pPr>
              <w:pStyle w:val="Bullet"/>
              <w:keepLines w:val="0"/>
              <w:rPr>
                <w:b w:val="0"/>
              </w:rPr>
            </w:pPr>
            <w:r w:rsidRPr="000310E0">
              <w:rPr>
                <w:b w:val="0"/>
              </w:rPr>
              <w:t>Interest would be able to be accrued annually but would have to be paid by the end of years three, five, eight, and 10.</w:t>
            </w:r>
          </w:p>
          <w:p w14:paraId="66515D74" w14:textId="77777777" w:rsidR="00645922" w:rsidRPr="000310E0" w:rsidRDefault="00645922" w:rsidP="00ED6BF6">
            <w:pPr>
              <w:pStyle w:val="Bullet"/>
              <w:keepLines w:val="0"/>
              <w:rPr>
                <w:b w:val="0"/>
              </w:rPr>
            </w:pPr>
            <w:r w:rsidRPr="000310E0">
              <w:rPr>
                <w:b w:val="0"/>
              </w:rPr>
              <w:t>Interest deductibility would be governed by existing income tax rules.</w:t>
            </w:r>
          </w:p>
          <w:p w14:paraId="5A7B067A"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The Board further recommends:</w:t>
            </w:r>
          </w:p>
          <w:p w14:paraId="3CB46045" w14:textId="77777777" w:rsidR="00645922" w:rsidRPr="000310E0" w:rsidRDefault="00645922" w:rsidP="00ED6BF6">
            <w:pPr>
              <w:pStyle w:val="Bullet"/>
              <w:keepLines w:val="0"/>
              <w:rPr>
                <w:b w:val="0"/>
              </w:rPr>
            </w:pPr>
            <w:r w:rsidRPr="000310E0">
              <w:rPr>
                <w:b w:val="0"/>
              </w:rPr>
              <w:t>where a payment is not treated as a dividend, deeming the taxpayer liable for loan repayments as if a loan were made, and to which the Commissioner’s period of review may apply as if to a loan;</w:t>
            </w:r>
          </w:p>
          <w:p w14:paraId="6EDE0AC2" w14:textId="77777777" w:rsidR="00645922" w:rsidRPr="000310E0" w:rsidRDefault="00645922" w:rsidP="00ED6BF6">
            <w:pPr>
              <w:pStyle w:val="Bullet"/>
              <w:keepLines w:val="0"/>
              <w:rPr>
                <w:b w:val="0"/>
              </w:rPr>
            </w:pPr>
            <w:r w:rsidRPr="000310E0">
              <w:rPr>
                <w:b w:val="0"/>
              </w:rPr>
              <w:t>ensuring that failure to make the repayments by the end of the milestone period results in the private company being taken to have paid a dividend to the entity;</w:t>
            </w:r>
          </w:p>
          <w:p w14:paraId="574FB08F" w14:textId="77777777" w:rsidR="00645922" w:rsidRPr="000310E0" w:rsidRDefault="00645922" w:rsidP="00ED6BF6">
            <w:pPr>
              <w:pStyle w:val="Bullet"/>
              <w:keepLines w:val="0"/>
              <w:rPr>
                <w:b w:val="0"/>
              </w:rPr>
            </w:pPr>
            <w:r w:rsidRPr="000310E0">
              <w:rPr>
                <w:b w:val="0"/>
              </w:rPr>
              <w:t>basing the amount of the deemed dividend on the amount of the shortfall in the payment required, calculated using the appropriate statutory interest rate, reduced by the amount of any prior deemed dividends assessed to the taxpayer;</w:t>
            </w:r>
          </w:p>
          <w:p w14:paraId="27352FFF" w14:textId="77777777" w:rsidR="00645922" w:rsidRPr="000310E0" w:rsidRDefault="00645922" w:rsidP="00ED6BF6">
            <w:pPr>
              <w:pStyle w:val="Bullet"/>
              <w:keepLines w:val="0"/>
              <w:rPr>
                <w:b w:val="0"/>
              </w:rPr>
            </w:pPr>
            <w:r w:rsidRPr="000310E0">
              <w:rPr>
                <w:b w:val="0"/>
              </w:rPr>
              <w:t xml:space="preserve">commencing the Commissioner’s period of review from the date of </w:t>
            </w:r>
            <w:proofErr w:type="spellStart"/>
            <w:r w:rsidRPr="000310E0">
              <w:rPr>
                <w:b w:val="0"/>
              </w:rPr>
              <w:t>lodgment</w:t>
            </w:r>
            <w:proofErr w:type="spellEnd"/>
            <w:r w:rsidRPr="000310E0">
              <w:rPr>
                <w:b w:val="0"/>
              </w:rPr>
              <w:t xml:space="preserve"> for the income year in which each milestone payment is required (or would have been required had a complying loan agreement been entered into);</w:t>
            </w:r>
          </w:p>
          <w:p w14:paraId="3E7F1F81" w14:textId="77777777" w:rsidR="00645922" w:rsidRPr="000310E0" w:rsidRDefault="00645922" w:rsidP="00ED6BF6">
            <w:pPr>
              <w:pStyle w:val="Bullet"/>
              <w:keepLines w:val="0"/>
              <w:rPr>
                <w:b w:val="0"/>
              </w:rPr>
            </w:pPr>
            <w:r w:rsidRPr="000310E0">
              <w:rPr>
                <w:b w:val="0"/>
              </w:rPr>
              <w:t xml:space="preserve">providing administrative guidance, reflecting general legal principles relating to forming binding contracts, on what constitutes acceptable evidence that a loan was entered into by </w:t>
            </w:r>
            <w:proofErr w:type="spellStart"/>
            <w:r w:rsidRPr="000310E0">
              <w:rPr>
                <w:b w:val="0"/>
              </w:rPr>
              <w:t>lodgment</w:t>
            </w:r>
            <w:proofErr w:type="spellEnd"/>
            <w:r w:rsidRPr="000310E0">
              <w:rPr>
                <w:b w:val="0"/>
              </w:rPr>
              <w:t xml:space="preserve"> day for the income year in which the loan was made, in order to avoid inadvertent non-compliance;</w:t>
            </w:r>
          </w:p>
          <w:p w14:paraId="2DE877D9" w14:textId="77777777" w:rsidR="00645922" w:rsidRPr="000310E0" w:rsidRDefault="00645922" w:rsidP="00ED6BF6">
            <w:pPr>
              <w:pStyle w:val="Bullet"/>
              <w:keepLines w:val="0"/>
              <w:rPr>
                <w:b w:val="0"/>
              </w:rPr>
            </w:pPr>
            <w:r w:rsidRPr="000310E0">
              <w:rPr>
                <w:b w:val="0"/>
              </w:rPr>
              <w:t>grandfathering the terms of complying 25-year loans — that is, they should remain payable with interest over the remainder of the 25 years; and</w:t>
            </w:r>
          </w:p>
          <w:p w14:paraId="4A4A8D75" w14:textId="77777777" w:rsidR="00645922" w:rsidRPr="000310E0" w:rsidRDefault="00645922" w:rsidP="00ED6BF6">
            <w:pPr>
              <w:pStyle w:val="Bullet"/>
              <w:keepLines w:val="0"/>
              <w:rPr>
                <w:b w:val="0"/>
              </w:rPr>
            </w:pPr>
            <w:r w:rsidRPr="000310E0">
              <w:rPr>
                <w:b w:val="0"/>
              </w:rPr>
              <w:t>transitioning all other pre-existing Division 7A loans to the new 10-year loans from the application date of the new provisions. In accordance with this:</w:t>
            </w:r>
          </w:p>
          <w:p w14:paraId="2921A23D" w14:textId="77777777" w:rsidR="00645922" w:rsidRPr="00F24606" w:rsidRDefault="00645922" w:rsidP="00ED6BF6">
            <w:pPr>
              <w:pStyle w:val="Dash"/>
              <w:rPr>
                <w:b w:val="0"/>
              </w:rPr>
            </w:pPr>
            <w:r w:rsidRPr="00F24606">
              <w:rPr>
                <w:b w:val="0"/>
              </w:rPr>
              <w:t>all existing complying seven-year loans would have their terms extended tithe new maximum of 10 years;</w:t>
            </w:r>
          </w:p>
          <w:p w14:paraId="0A59C4BF" w14:textId="77777777" w:rsidR="00645922" w:rsidRPr="00F24606" w:rsidRDefault="00645922" w:rsidP="00ED6BF6">
            <w:pPr>
              <w:pStyle w:val="Dash"/>
              <w:rPr>
                <w:b w:val="0"/>
              </w:rPr>
            </w:pPr>
            <w:r w:rsidRPr="00F24606">
              <w:rPr>
                <w:b w:val="0"/>
              </w:rPr>
              <w:t>all pre-1997 loans would be deemed to be new complying Division 7A loans, with a 10-year term starting from the application date of the new provisions; and</w:t>
            </w:r>
          </w:p>
          <w:p w14:paraId="30DD8AE9" w14:textId="77777777" w:rsidR="00645922" w:rsidRPr="00696082" w:rsidRDefault="00645922" w:rsidP="00ED6BF6">
            <w:pPr>
              <w:pStyle w:val="Dash"/>
            </w:pPr>
            <w:r w:rsidRPr="00F24606">
              <w:rPr>
                <w:b w:val="0"/>
              </w:rPr>
              <w:t>where the Commissioner is out of time to assess a deemed dividend arising from a payment, the rules should stipulate that the taxpayer is prevented from asserting that the payment was not made in the context of a loan.</w:t>
            </w:r>
          </w:p>
        </w:tc>
      </w:tr>
      <w:tr w:rsidR="00645922" w:rsidRPr="00696082" w14:paraId="48F88842" w14:textId="77777777" w:rsidTr="00E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5644388D"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7</w:t>
            </w:r>
          </w:p>
          <w:p w14:paraId="6188EA61" w14:textId="21D56EA0" w:rsidR="00645922" w:rsidRPr="00F24606"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The Board recommends that the ATO adopts administrative measures to assist taxpayers who choose to repay complying loans in annual instalments. This administrative assistance could include an online tool for calculating an annual repayment schedule under which minimum loa</w:t>
            </w:r>
            <w:r w:rsidR="00F24606">
              <w:rPr>
                <w:rFonts w:asciiTheme="minorHAnsi" w:hAnsiTheme="minorHAnsi"/>
                <w:color w:val="auto"/>
              </w:rPr>
              <w:t>n balance targets would be met.</w:t>
            </w:r>
          </w:p>
        </w:tc>
      </w:tr>
      <w:tr w:rsidR="00645922" w:rsidRPr="00696082" w14:paraId="2BB5283D" w14:textId="77777777" w:rsidTr="00EE2F33">
        <w:tc>
          <w:tcPr>
            <w:cnfStyle w:val="001000000000" w:firstRow="0" w:lastRow="0" w:firstColumn="1" w:lastColumn="0" w:oddVBand="0" w:evenVBand="0" w:oddHBand="0" w:evenHBand="0" w:firstRowFirstColumn="0" w:firstRowLastColumn="0" w:lastRowFirstColumn="0" w:lastRowLastColumn="0"/>
            <w:tcW w:w="5000" w:type="pct"/>
          </w:tcPr>
          <w:p w14:paraId="019028D1"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8</w:t>
            </w:r>
          </w:p>
          <w:p w14:paraId="127A8F6D" w14:textId="77777777" w:rsidR="00645922" w:rsidRPr="00696082" w:rsidRDefault="00645922" w:rsidP="00ED6BF6">
            <w:pPr>
              <w:pStyle w:val="Heading5"/>
              <w:keepNext w:val="0"/>
              <w:outlineLvl w:val="4"/>
              <w:rPr>
                <w:rFonts w:asciiTheme="minorHAnsi" w:hAnsiTheme="minorHAnsi"/>
              </w:rPr>
            </w:pPr>
            <w:r w:rsidRPr="00696082">
              <w:rPr>
                <w:rFonts w:asciiTheme="minorHAnsi" w:hAnsiTheme="minorHAnsi"/>
                <w:color w:val="auto"/>
              </w:rPr>
              <w:t>The Board recommends introducing legislative amendments to align the treatment of UPEs with the treatment of loans for Division 7A purposes in conjunction with either Recommendations 6 and 9 (Amortisation Model option) or Recommendation 10 (Interest Only Model option).</w:t>
            </w:r>
          </w:p>
        </w:tc>
      </w:tr>
      <w:tr w:rsidR="00645922" w:rsidRPr="00696082" w14:paraId="17C4DD60" w14:textId="77777777" w:rsidTr="00E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5FD57D02"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9</w:t>
            </w:r>
          </w:p>
          <w:p w14:paraId="1C298F32"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If the Amortisation Model is adopted, the Board recommends:</w:t>
            </w:r>
          </w:p>
          <w:p w14:paraId="01672000" w14:textId="77777777" w:rsidR="00645922" w:rsidRPr="00F24606" w:rsidRDefault="00645922" w:rsidP="00ED6BF6">
            <w:pPr>
              <w:pStyle w:val="Bullet"/>
              <w:keepLines w:val="0"/>
              <w:rPr>
                <w:b w:val="0"/>
              </w:rPr>
            </w:pPr>
            <w:r w:rsidRPr="00F24606">
              <w:rPr>
                <w:b w:val="0"/>
              </w:rPr>
              <w:t xml:space="preserve"> introducing a legislative amendment that allows trusts to make a once-and-for-all election for loans from companies (including UPEs owing to companies) to be excluded from the operation of Division 7A (the business income election);</w:t>
            </w:r>
          </w:p>
          <w:p w14:paraId="6C434144" w14:textId="77777777" w:rsidR="00645922" w:rsidRPr="00F24606" w:rsidRDefault="00645922" w:rsidP="00ED6BF6">
            <w:pPr>
              <w:pStyle w:val="Bullet"/>
              <w:keepLines w:val="0"/>
              <w:rPr>
                <w:b w:val="0"/>
              </w:rPr>
            </w:pPr>
            <w:r w:rsidRPr="00F24606">
              <w:rPr>
                <w:b w:val="0"/>
              </w:rPr>
              <w:t>making the election by completing a label in the trust’s tax return by the due date for lodging the return for the year of income in which it is made (or such further time as the Commissioner allows);</w:t>
            </w:r>
          </w:p>
          <w:p w14:paraId="6B2BC06B" w14:textId="77777777" w:rsidR="00645922" w:rsidRPr="00F24606" w:rsidRDefault="00645922" w:rsidP="00ED6BF6">
            <w:pPr>
              <w:pStyle w:val="Bullet"/>
              <w:keepLines w:val="0"/>
              <w:rPr>
                <w:b w:val="0"/>
              </w:rPr>
            </w:pPr>
            <w:r w:rsidRPr="00F24606">
              <w:rPr>
                <w:b w:val="0"/>
              </w:rPr>
              <w:t>enabling the election to be made in any income year, subject to the requirement that Division 7A obligations must remain in place for income years prior to the income year in which the election is made;</w:t>
            </w:r>
          </w:p>
          <w:p w14:paraId="0881B1B3" w14:textId="77777777" w:rsidR="00645922" w:rsidRPr="00F24606" w:rsidRDefault="00645922" w:rsidP="00ED6BF6">
            <w:pPr>
              <w:pStyle w:val="Bullet"/>
              <w:keepLines w:val="0"/>
              <w:rPr>
                <w:b w:val="0"/>
              </w:rPr>
            </w:pPr>
            <w:r w:rsidRPr="00F24606">
              <w:rPr>
                <w:b w:val="0"/>
              </w:rPr>
              <w:t>ensuring that a trust that makes such an election (an excluded trust) forgoes the CGT discount on capital gains arising from assets other than goodwill and ’intangible assets inherently connected with the business carried on by the trustee’;</w:t>
            </w:r>
          </w:p>
          <w:p w14:paraId="728AD7FF" w14:textId="77777777" w:rsidR="00645922" w:rsidRPr="00F24606" w:rsidRDefault="00645922" w:rsidP="00ED6BF6">
            <w:pPr>
              <w:pStyle w:val="Bullet"/>
              <w:keepLines w:val="0"/>
              <w:rPr>
                <w:b w:val="0"/>
              </w:rPr>
            </w:pPr>
            <w:r w:rsidRPr="00F24606">
              <w:rPr>
                <w:b w:val="0"/>
              </w:rPr>
              <w:t>applying a business income election to all loans the trust owes to a private company, whenever created, and to all CGT assets (other than goodwill or relevant intangible assets) whenever acquired;</w:t>
            </w:r>
          </w:p>
          <w:p w14:paraId="538D45C6" w14:textId="77777777" w:rsidR="00645922" w:rsidRPr="00F24606" w:rsidRDefault="00645922" w:rsidP="00ED6BF6">
            <w:pPr>
              <w:pStyle w:val="Bullet"/>
              <w:keepLines w:val="0"/>
              <w:rPr>
                <w:b w:val="0"/>
              </w:rPr>
            </w:pPr>
            <w:r w:rsidRPr="00F24606">
              <w:rPr>
                <w:b w:val="0"/>
              </w:rPr>
              <w:t>not excusing entities that make a business income election from Division 7A obligations for the period prior to the income year for which the election is made; and</w:t>
            </w:r>
          </w:p>
          <w:p w14:paraId="6DBAAB99" w14:textId="77777777" w:rsidR="00645922" w:rsidRPr="00F24606" w:rsidRDefault="00645922" w:rsidP="00ED6BF6">
            <w:pPr>
              <w:pStyle w:val="Bullet"/>
              <w:keepLines w:val="0"/>
              <w:rPr>
                <w:b w:val="0"/>
              </w:rPr>
            </w:pPr>
            <w:r w:rsidRPr="00F24606">
              <w:rPr>
                <w:b w:val="0"/>
              </w:rPr>
              <w:t>amending interposed entity rules to preserve the integrity of the provisions, without imposing undue compliance costs on trusts that wish to benefit from the proposed limited business income exception.</w:t>
            </w:r>
          </w:p>
          <w:p w14:paraId="2D55F14A" w14:textId="77777777" w:rsidR="00645922" w:rsidRPr="00696082" w:rsidRDefault="00645922" w:rsidP="00ED6BF6">
            <w:pPr>
              <w:pStyle w:val="Heading5"/>
              <w:keepNext w:val="0"/>
              <w:outlineLvl w:val="4"/>
              <w:rPr>
                <w:rFonts w:asciiTheme="minorHAnsi" w:hAnsiTheme="minorHAnsi"/>
              </w:rPr>
            </w:pPr>
            <w:r w:rsidRPr="00696082">
              <w:rPr>
                <w:rFonts w:asciiTheme="minorHAnsi" w:hAnsiTheme="minorHAnsi"/>
                <w:color w:val="auto"/>
              </w:rPr>
              <w:t>The Board further recommends that the Government consider the impact of applying a business income election to existing arrangements for small businesses in order to determine whether special transitional relief for that sector is warranted.</w:t>
            </w:r>
          </w:p>
        </w:tc>
      </w:tr>
      <w:tr w:rsidR="00645922" w:rsidRPr="00696082" w14:paraId="53A7F7E3" w14:textId="77777777" w:rsidTr="00EE2F33">
        <w:tc>
          <w:tcPr>
            <w:cnfStyle w:val="001000000000" w:firstRow="0" w:lastRow="0" w:firstColumn="1" w:lastColumn="0" w:oddVBand="0" w:evenVBand="0" w:oddHBand="0" w:evenHBand="0" w:firstRowFirstColumn="0" w:firstRowLastColumn="0" w:lastRowFirstColumn="0" w:lastRowLastColumn="0"/>
            <w:tcW w:w="5000" w:type="pct"/>
          </w:tcPr>
          <w:p w14:paraId="766D7C6B"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10 — Alternative option: the Interest Only Model</w:t>
            </w:r>
          </w:p>
          <w:p w14:paraId="614B1F30"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If, as a result of a policy choice, there is no need for Division 7A to support the overall objective of protecting the personal income tax system’s progressivity and not advantaging the accumulation of passive investments using profits taxed at the company tax rate over the reinvestment of business profits taxed at higher progressive tax rates in active business activities, the Board recommends enacting legislation that prescribes the following terms for a complying Division 7A loan exemption under an Interest Only Model:</w:t>
            </w:r>
          </w:p>
          <w:p w14:paraId="19F85A1E" w14:textId="77777777" w:rsidR="00645922" w:rsidRPr="00F24606" w:rsidRDefault="00645922" w:rsidP="00ED6BF6">
            <w:pPr>
              <w:pStyle w:val="Bullet"/>
              <w:keepLines w:val="0"/>
              <w:rPr>
                <w:b w:val="0"/>
              </w:rPr>
            </w:pPr>
            <w:r w:rsidRPr="00F24606">
              <w:rPr>
                <w:b w:val="0"/>
              </w:rPr>
              <w:t xml:space="preserve">There should be no requirement for a formal written agreement between the parties. However, written or electronic evidence showing that a loan was entered into must exist by </w:t>
            </w:r>
            <w:proofErr w:type="spellStart"/>
            <w:r w:rsidRPr="00F24606">
              <w:rPr>
                <w:b w:val="0"/>
              </w:rPr>
              <w:t>lodgment</w:t>
            </w:r>
            <w:proofErr w:type="spellEnd"/>
            <w:r w:rsidRPr="00F24606">
              <w:rPr>
                <w:b w:val="0"/>
              </w:rPr>
              <w:t xml:space="preserve"> day for the income year in which the loan was made.</w:t>
            </w:r>
          </w:p>
          <w:p w14:paraId="67A5F707" w14:textId="77777777" w:rsidR="00645922" w:rsidRPr="00F24606" w:rsidRDefault="00645922" w:rsidP="00ED6BF6">
            <w:pPr>
              <w:pStyle w:val="Bullet"/>
              <w:keepLines w:val="0"/>
              <w:rPr>
                <w:b w:val="0"/>
              </w:rPr>
            </w:pPr>
            <w:r w:rsidRPr="00F24606">
              <w:rPr>
                <w:b w:val="0"/>
              </w:rPr>
              <w:t>A variable statutory interest rate should be set annually for all complying Division 7A loans in place in the relevant year of income.</w:t>
            </w:r>
          </w:p>
          <w:p w14:paraId="6502C858" w14:textId="77777777" w:rsidR="00645922" w:rsidRPr="00F24606" w:rsidRDefault="00645922" w:rsidP="00ED6BF6">
            <w:pPr>
              <w:pStyle w:val="Bullet"/>
              <w:keepLines w:val="0"/>
              <w:rPr>
                <w:b w:val="0"/>
              </w:rPr>
            </w:pPr>
            <w:r w:rsidRPr="00F24606">
              <w:rPr>
                <w:b w:val="0"/>
              </w:rPr>
              <w:t>The interest rate for complying loans should be equal to the Reserve Bank of Australia’s indicator lending rate for a small business; variable; other; overdraft for the month of May immediately before the start of that income year.</w:t>
            </w:r>
          </w:p>
          <w:p w14:paraId="36CCBB06" w14:textId="77777777" w:rsidR="00645922" w:rsidRPr="00F24606" w:rsidRDefault="00645922" w:rsidP="00ED6BF6">
            <w:pPr>
              <w:pStyle w:val="Bullet"/>
              <w:keepLines w:val="0"/>
              <w:rPr>
                <w:b w:val="0"/>
              </w:rPr>
            </w:pPr>
            <w:r w:rsidRPr="00F24606">
              <w:rPr>
                <w:b w:val="0"/>
              </w:rPr>
              <w:t xml:space="preserve">There should be no prescribed term for the loan, no required annual principal repayments, and </w:t>
            </w:r>
            <w:proofErr w:type="spellStart"/>
            <w:r w:rsidRPr="00F24606">
              <w:rPr>
                <w:b w:val="0"/>
              </w:rPr>
              <w:t>reborrowings</w:t>
            </w:r>
            <w:proofErr w:type="spellEnd"/>
            <w:r w:rsidRPr="00F24606">
              <w:rPr>
                <w:b w:val="0"/>
              </w:rPr>
              <w:t xml:space="preserve"> (of principal) would be permitted.</w:t>
            </w:r>
          </w:p>
          <w:p w14:paraId="672FB3F6" w14:textId="77777777" w:rsidR="00645922" w:rsidRPr="00F24606" w:rsidRDefault="00645922" w:rsidP="00ED6BF6">
            <w:pPr>
              <w:pStyle w:val="Bullet"/>
              <w:keepLines w:val="0"/>
              <w:rPr>
                <w:b w:val="0"/>
              </w:rPr>
            </w:pPr>
            <w:r w:rsidRPr="00F24606">
              <w:rPr>
                <w:b w:val="0"/>
              </w:rPr>
              <w:t xml:space="preserve"> Interest deductibility would be governed by existing income tax rules.</w:t>
            </w:r>
          </w:p>
          <w:p w14:paraId="2C17DBF4"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The Board further recommends:</w:t>
            </w:r>
          </w:p>
          <w:p w14:paraId="2A5DF596" w14:textId="77777777" w:rsidR="00645922" w:rsidRPr="00F24606" w:rsidRDefault="00645922" w:rsidP="00ED6BF6">
            <w:pPr>
              <w:pStyle w:val="Bullet"/>
              <w:keepLines w:val="0"/>
              <w:rPr>
                <w:b w:val="0"/>
              </w:rPr>
            </w:pPr>
            <w:r w:rsidRPr="00F24606">
              <w:rPr>
                <w:b w:val="0"/>
              </w:rPr>
              <w:t xml:space="preserve">providing administrative guidance on what constitutes acceptable evidence that a loan was entered into by </w:t>
            </w:r>
            <w:proofErr w:type="spellStart"/>
            <w:r w:rsidRPr="00F24606">
              <w:rPr>
                <w:b w:val="0"/>
              </w:rPr>
              <w:t>lodgment</w:t>
            </w:r>
            <w:proofErr w:type="spellEnd"/>
            <w:r w:rsidRPr="00F24606">
              <w:rPr>
                <w:b w:val="0"/>
              </w:rPr>
              <w:t xml:space="preserve"> day for the income year in which the loan was made, in order to avoid inadvertent non-compliance;</w:t>
            </w:r>
          </w:p>
          <w:p w14:paraId="71A33C14" w14:textId="77777777" w:rsidR="00645922" w:rsidRPr="00F24606" w:rsidRDefault="00645922" w:rsidP="00ED6BF6">
            <w:pPr>
              <w:pStyle w:val="Bullet"/>
              <w:keepLines w:val="0"/>
              <w:rPr>
                <w:b w:val="0"/>
              </w:rPr>
            </w:pPr>
            <w:r w:rsidRPr="00F24606">
              <w:rPr>
                <w:b w:val="0"/>
              </w:rPr>
              <w:t>giving taxpayers the option to apply an otherwise deductible rule exemption, in accordance with which there would be no requirement to charge statutory interest where company loans or UPEs were used by a borrower for a deductible purpose;</w:t>
            </w:r>
          </w:p>
          <w:p w14:paraId="1E44BB23" w14:textId="77777777" w:rsidR="00645922" w:rsidRPr="00F24606" w:rsidRDefault="00645922" w:rsidP="00ED6BF6">
            <w:pPr>
              <w:pStyle w:val="Bullet"/>
              <w:keepLines w:val="0"/>
              <w:rPr>
                <w:b w:val="0"/>
              </w:rPr>
            </w:pPr>
            <w:r w:rsidRPr="00F24606">
              <w:rPr>
                <w:b w:val="0"/>
              </w:rPr>
              <w:t>maintaining a company-to-company exemption under the new rules, but with an appropriate interposed entity rule as an integrity provision; and</w:t>
            </w:r>
          </w:p>
          <w:p w14:paraId="4DCBE888" w14:textId="77777777" w:rsidR="00645922" w:rsidRPr="00F24606" w:rsidRDefault="00645922" w:rsidP="00ED6BF6">
            <w:pPr>
              <w:pStyle w:val="Bullet"/>
              <w:keepLines w:val="0"/>
              <w:rPr>
                <w:b w:val="0"/>
              </w:rPr>
            </w:pPr>
            <w:r w:rsidRPr="00F24606">
              <w:rPr>
                <w:b w:val="0"/>
              </w:rPr>
              <w:t>transitioning all pre-existing Division 7A loans to the new Division 7A complying loan terms from the application date of the new provisions.</w:t>
            </w:r>
          </w:p>
          <w:p w14:paraId="22A499CD" w14:textId="77777777" w:rsidR="00645922" w:rsidRPr="00696082" w:rsidRDefault="00645922" w:rsidP="00ED6BF6">
            <w:pPr>
              <w:pStyle w:val="Heading5"/>
              <w:keepNext w:val="0"/>
              <w:outlineLvl w:val="4"/>
              <w:rPr>
                <w:rFonts w:asciiTheme="minorHAnsi" w:hAnsiTheme="minorHAnsi"/>
              </w:rPr>
            </w:pPr>
            <w:r w:rsidRPr="00696082">
              <w:rPr>
                <w:rFonts w:asciiTheme="minorHAnsi" w:hAnsiTheme="minorHAnsi"/>
                <w:color w:val="auto"/>
              </w:rPr>
              <w:t>The Board notes that, if adopted, this recommendation supersedes Recommendation 6 for complying loan rules under an Amortisation Model and Recommendation 9 for a business income election option.</w:t>
            </w:r>
          </w:p>
        </w:tc>
      </w:tr>
      <w:tr w:rsidR="00645922" w:rsidRPr="00696082" w14:paraId="70D09E7A" w14:textId="77777777" w:rsidTr="00E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6DDDB46D"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11</w:t>
            </w:r>
          </w:p>
          <w:p w14:paraId="6D5FA830"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The Board recommends enacting a self-correction mechanism with the following features:</w:t>
            </w:r>
          </w:p>
          <w:p w14:paraId="09C43D8A" w14:textId="77777777" w:rsidR="00645922" w:rsidRPr="00F24606" w:rsidRDefault="00645922" w:rsidP="00ED6BF6">
            <w:pPr>
              <w:pStyle w:val="Bullet"/>
              <w:keepLines w:val="0"/>
              <w:rPr>
                <w:b w:val="0"/>
              </w:rPr>
            </w:pPr>
            <w:r w:rsidRPr="00F24606">
              <w:rPr>
                <w:b w:val="0"/>
              </w:rPr>
              <w:t>Qualifying taxpayers can self-assess their eligibility for an exception to Division 7A that will operate to reverse the effect of a prior deemed dividend.</w:t>
            </w:r>
          </w:p>
          <w:p w14:paraId="4879939A" w14:textId="77777777" w:rsidR="00645922" w:rsidRPr="00F24606" w:rsidRDefault="00645922" w:rsidP="00ED6BF6">
            <w:pPr>
              <w:pStyle w:val="Bullet"/>
              <w:keepLines w:val="0"/>
              <w:rPr>
                <w:b w:val="0"/>
              </w:rPr>
            </w:pPr>
            <w:r w:rsidRPr="00F24606">
              <w:rPr>
                <w:b w:val="0"/>
              </w:rPr>
              <w:t>Eligibility for the exception will be based on satisfying two criteria:</w:t>
            </w:r>
          </w:p>
          <w:p w14:paraId="7B2044D2" w14:textId="77777777" w:rsidR="00645922" w:rsidRPr="00F24606" w:rsidRDefault="00645922" w:rsidP="00ED6BF6">
            <w:pPr>
              <w:pStyle w:val="Dash"/>
              <w:rPr>
                <w:b w:val="0"/>
              </w:rPr>
            </w:pPr>
            <w:r w:rsidRPr="00F24606">
              <w:rPr>
                <w:b w:val="0"/>
              </w:rPr>
              <w:t>It is reasonable to infer, on the basis of objective factors, that the conduct that caused the deemed dividend was unintentional; and</w:t>
            </w:r>
          </w:p>
          <w:p w14:paraId="1FFD303D" w14:textId="77777777" w:rsidR="00645922" w:rsidRPr="00F24606" w:rsidRDefault="00645922" w:rsidP="00ED6BF6">
            <w:pPr>
              <w:pStyle w:val="Dash"/>
              <w:rPr>
                <w:b w:val="0"/>
              </w:rPr>
            </w:pPr>
            <w:r w:rsidRPr="00F24606">
              <w:rPr>
                <w:b w:val="0"/>
              </w:rPr>
              <w:t>Appropriate steps have been taken to ensure that affected parties are placed in the position they would have been in had the dividend not arisen.</w:t>
            </w:r>
          </w:p>
          <w:p w14:paraId="4F30690E" w14:textId="77777777" w:rsidR="00645922" w:rsidRPr="00F24606" w:rsidRDefault="00645922" w:rsidP="00ED6BF6">
            <w:pPr>
              <w:pStyle w:val="Bullet"/>
              <w:keepLines w:val="0"/>
              <w:rPr>
                <w:b w:val="0"/>
              </w:rPr>
            </w:pPr>
            <w:r w:rsidRPr="00F24606">
              <w:rPr>
                <w:b w:val="0"/>
              </w:rPr>
              <w:t>Voluntary corrective action shall constitute prima facie evidence that the original breach was unintentional.</w:t>
            </w:r>
          </w:p>
          <w:p w14:paraId="0F3B1036" w14:textId="77777777" w:rsidR="00645922" w:rsidRPr="00F24606" w:rsidRDefault="00645922" w:rsidP="00ED6BF6">
            <w:pPr>
              <w:pStyle w:val="Bullet"/>
              <w:keepLines w:val="0"/>
              <w:rPr>
                <w:b w:val="0"/>
              </w:rPr>
            </w:pPr>
            <w:r w:rsidRPr="00F24606">
              <w:rPr>
                <w:b w:val="0"/>
              </w:rPr>
              <w:t>A taxpayer who validly exercises self-correction may be liable for a penalty reflecting the degree of culpability (the self-correction penalty).</w:t>
            </w:r>
          </w:p>
          <w:p w14:paraId="67E99E17" w14:textId="77777777" w:rsidR="00645922" w:rsidRPr="00696082" w:rsidRDefault="00645922" w:rsidP="00ED6BF6">
            <w:pPr>
              <w:pStyle w:val="Heading5"/>
              <w:keepNext w:val="0"/>
              <w:outlineLvl w:val="4"/>
              <w:rPr>
                <w:rFonts w:asciiTheme="minorHAnsi" w:hAnsiTheme="minorHAnsi"/>
                <w:color w:val="auto"/>
              </w:rPr>
            </w:pPr>
            <w:r w:rsidRPr="00696082">
              <w:rPr>
                <w:rFonts w:asciiTheme="minorHAnsi" w:hAnsiTheme="minorHAnsi"/>
                <w:color w:val="auto"/>
              </w:rPr>
              <w:t>The Board further recommends:</w:t>
            </w:r>
          </w:p>
          <w:p w14:paraId="0862B439" w14:textId="77777777" w:rsidR="00645922" w:rsidRPr="00F24606" w:rsidRDefault="00645922" w:rsidP="00ED6BF6">
            <w:pPr>
              <w:pStyle w:val="Bullet"/>
              <w:keepLines w:val="0"/>
              <w:rPr>
                <w:b w:val="0"/>
              </w:rPr>
            </w:pPr>
            <w:r w:rsidRPr="00F24606">
              <w:rPr>
                <w:b w:val="0"/>
              </w:rPr>
              <w:t>providing taxpayers with clear guidance on what constitutes appropriate corrective action, either in legislation itself, or in a form of administrative guidance developed by the ATO;</w:t>
            </w:r>
          </w:p>
          <w:p w14:paraId="4DA89658" w14:textId="77777777" w:rsidR="00645922" w:rsidRPr="00F24606" w:rsidRDefault="00645922" w:rsidP="00ED6BF6">
            <w:pPr>
              <w:pStyle w:val="Bullet"/>
              <w:keepLines w:val="0"/>
              <w:rPr>
                <w:b w:val="0"/>
              </w:rPr>
            </w:pPr>
            <w:r w:rsidRPr="00F24606">
              <w:rPr>
                <w:b w:val="0"/>
              </w:rPr>
              <w:t>if the Amortisation Model is adopted, designing the self-correction by applying the existing administrative penalty regime for tax shortfalls to the ‘notional tax shortfall’ that would have arisen had self-correction not been exercised; and</w:t>
            </w:r>
          </w:p>
          <w:p w14:paraId="579C8B2E" w14:textId="77777777" w:rsidR="00645922" w:rsidRPr="00696082" w:rsidRDefault="00645922" w:rsidP="00ED6BF6">
            <w:pPr>
              <w:pStyle w:val="Bullet"/>
              <w:keepLines w:val="0"/>
            </w:pPr>
            <w:r w:rsidRPr="00F24606">
              <w:rPr>
                <w:b w:val="0"/>
              </w:rPr>
              <w:t>if the Interest Only Model is adopted, ensuring any notional shortfall penalty is proportionate and represents an appropriate disincentive.</w:t>
            </w:r>
          </w:p>
        </w:tc>
      </w:tr>
      <w:tr w:rsidR="00645922" w:rsidRPr="00696082" w14:paraId="1B3DE822" w14:textId="77777777" w:rsidTr="00EE2F33">
        <w:tc>
          <w:tcPr>
            <w:cnfStyle w:val="001000000000" w:firstRow="0" w:lastRow="0" w:firstColumn="1" w:lastColumn="0" w:oddVBand="0" w:evenVBand="0" w:oddHBand="0" w:evenHBand="0" w:firstRowFirstColumn="0" w:firstRowLastColumn="0" w:lastRowFirstColumn="0" w:lastRowLastColumn="0"/>
            <w:tcW w:w="5000" w:type="pct"/>
          </w:tcPr>
          <w:p w14:paraId="0E5CB3C5" w14:textId="77777777" w:rsidR="00645922" w:rsidRPr="00696082" w:rsidRDefault="00645922" w:rsidP="00ED6BF6">
            <w:pPr>
              <w:pStyle w:val="Heading5"/>
              <w:keepNext w:val="0"/>
              <w:outlineLvl w:val="4"/>
              <w:rPr>
                <w:rFonts w:asciiTheme="minorHAnsi" w:hAnsiTheme="minorHAnsi"/>
                <w:b/>
              </w:rPr>
            </w:pPr>
            <w:r w:rsidRPr="00696082">
              <w:rPr>
                <w:rFonts w:asciiTheme="minorHAnsi" w:hAnsiTheme="minorHAnsi"/>
                <w:b/>
              </w:rPr>
              <w:t>Recommendation 12</w:t>
            </w:r>
          </w:p>
          <w:p w14:paraId="15695360" w14:textId="77777777" w:rsidR="00645922" w:rsidRPr="00696082" w:rsidRDefault="00645922" w:rsidP="00ED6BF6">
            <w:pPr>
              <w:pStyle w:val="Heading5"/>
              <w:keepNext w:val="0"/>
              <w:outlineLvl w:val="4"/>
              <w:rPr>
                <w:rFonts w:asciiTheme="minorHAnsi" w:hAnsiTheme="minorHAnsi"/>
              </w:rPr>
            </w:pPr>
            <w:r w:rsidRPr="00696082">
              <w:rPr>
                <w:rFonts w:asciiTheme="minorHAnsi" w:hAnsiTheme="minorHAnsi"/>
                <w:color w:val="auto"/>
              </w:rPr>
              <w:t>Under a legislated self-correction mechanism, where the ATO determines that self-correction was not validly made by a taxpayer, the Board recommends entitling the taxpayer to a review of the Commissioner’s decision via the AAT.</w:t>
            </w:r>
          </w:p>
        </w:tc>
      </w:tr>
      <w:tr w:rsidR="00645922" w:rsidRPr="00696082" w14:paraId="7FC634B3" w14:textId="77777777" w:rsidTr="00E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30FF11E1" w14:textId="77777777" w:rsidR="00645922" w:rsidRPr="00696082" w:rsidRDefault="00645922" w:rsidP="00ED6BF6">
            <w:pPr>
              <w:spacing w:before="0" w:after="160" w:line="259" w:lineRule="auto"/>
              <w:rPr>
                <w:rFonts w:asciiTheme="minorHAnsi" w:hAnsiTheme="minorHAnsi" w:cs="Arial"/>
                <w:iCs/>
                <w:color w:val="004A7F"/>
                <w:kern w:val="32"/>
                <w:szCs w:val="36"/>
              </w:rPr>
            </w:pPr>
            <w:r w:rsidRPr="00696082">
              <w:rPr>
                <w:rFonts w:asciiTheme="minorHAnsi" w:hAnsiTheme="minorHAnsi" w:cs="Arial"/>
                <w:iCs/>
                <w:color w:val="004A7F"/>
                <w:kern w:val="32"/>
                <w:szCs w:val="36"/>
              </w:rPr>
              <w:t>Recommendation 13</w:t>
            </w:r>
          </w:p>
          <w:p w14:paraId="445DC10D" w14:textId="77777777" w:rsidR="00645922" w:rsidRPr="00696082" w:rsidRDefault="00645922" w:rsidP="00ED6BF6">
            <w:pPr>
              <w:spacing w:before="0" w:after="160" w:line="259" w:lineRule="auto"/>
              <w:rPr>
                <w:rFonts w:asciiTheme="minorHAnsi" w:hAnsiTheme="minorHAnsi" w:cs="Arial"/>
                <w:b w:val="0"/>
                <w:iCs/>
                <w:kern w:val="32"/>
                <w:szCs w:val="36"/>
              </w:rPr>
            </w:pPr>
            <w:r w:rsidRPr="00696082">
              <w:rPr>
                <w:rFonts w:asciiTheme="minorHAnsi" w:hAnsiTheme="minorHAnsi" w:cs="Arial"/>
                <w:b w:val="0"/>
                <w:iCs/>
                <w:kern w:val="32"/>
                <w:szCs w:val="36"/>
              </w:rPr>
              <w:t>The Board recommends against adopting a principle that deemed dividends arising under a reformed Division 7A should generally be frankable.</w:t>
            </w:r>
          </w:p>
          <w:p w14:paraId="5BC3E12B" w14:textId="77777777" w:rsidR="00645922" w:rsidRPr="00696082" w:rsidRDefault="00645922" w:rsidP="00ED6BF6">
            <w:pPr>
              <w:pStyle w:val="Heading5"/>
              <w:keepNext w:val="0"/>
              <w:outlineLvl w:val="4"/>
              <w:rPr>
                <w:rFonts w:asciiTheme="minorHAnsi" w:hAnsiTheme="minorHAnsi"/>
              </w:rPr>
            </w:pPr>
            <w:r w:rsidRPr="00696082">
              <w:rPr>
                <w:rFonts w:asciiTheme="minorHAnsi" w:hAnsiTheme="minorHAnsi"/>
                <w:color w:val="auto"/>
              </w:rPr>
              <w:t>Extending the imputation system to deemed dividends would introduce unnecessary complexity and, given the potential operation of other integrity provisions, provide limited certainty to affected taxpayers.</w:t>
            </w:r>
          </w:p>
        </w:tc>
      </w:tr>
      <w:tr w:rsidR="00645922" w:rsidRPr="00696082" w14:paraId="4C57AC2D" w14:textId="77777777" w:rsidTr="00EE2F33">
        <w:tc>
          <w:tcPr>
            <w:cnfStyle w:val="001000000000" w:firstRow="0" w:lastRow="0" w:firstColumn="1" w:lastColumn="0" w:oddVBand="0" w:evenVBand="0" w:oddHBand="0" w:evenHBand="0" w:firstRowFirstColumn="0" w:firstRowLastColumn="0" w:lastRowFirstColumn="0" w:lastRowLastColumn="0"/>
            <w:tcW w:w="5000" w:type="pct"/>
          </w:tcPr>
          <w:p w14:paraId="71E0B3EE" w14:textId="77777777" w:rsidR="00645922" w:rsidRPr="00696082" w:rsidRDefault="00645922" w:rsidP="00ED6BF6">
            <w:pPr>
              <w:spacing w:before="0" w:after="160" w:line="259" w:lineRule="auto"/>
              <w:rPr>
                <w:rFonts w:asciiTheme="minorHAnsi" w:hAnsiTheme="minorHAnsi"/>
                <w:b w:val="0"/>
                <w:iCs/>
                <w:color w:val="004A7F"/>
              </w:rPr>
            </w:pPr>
            <w:r w:rsidRPr="00696082">
              <w:rPr>
                <w:rFonts w:asciiTheme="minorHAnsi" w:hAnsiTheme="minorHAnsi"/>
                <w:iCs/>
                <w:color w:val="004A7F"/>
              </w:rPr>
              <w:t>Recommendation 14</w:t>
            </w:r>
          </w:p>
          <w:p w14:paraId="5463A9DF" w14:textId="77777777" w:rsidR="00645922" w:rsidRPr="00696082" w:rsidRDefault="00645922" w:rsidP="00ED6BF6">
            <w:pPr>
              <w:spacing w:before="0" w:line="259" w:lineRule="auto"/>
              <w:rPr>
                <w:rFonts w:asciiTheme="minorHAnsi" w:hAnsiTheme="minorHAnsi" w:cs="Arial"/>
                <w:b w:val="0"/>
                <w:iCs/>
                <w:kern w:val="32"/>
                <w:szCs w:val="36"/>
              </w:rPr>
            </w:pPr>
            <w:r w:rsidRPr="00696082">
              <w:rPr>
                <w:rFonts w:asciiTheme="minorHAnsi" w:hAnsiTheme="minorHAnsi" w:cs="Arial"/>
                <w:b w:val="0"/>
                <w:iCs/>
                <w:kern w:val="32"/>
                <w:szCs w:val="36"/>
              </w:rPr>
              <w:t>The Board recommends that the ATO reviews its guidance material on the imposition and remission of administrative penalties on tax shortfalls, with a view to amending it to give effect to the following principles:</w:t>
            </w:r>
          </w:p>
          <w:p w14:paraId="0E78A5F5" w14:textId="77777777" w:rsidR="00645922" w:rsidRPr="00F24606" w:rsidRDefault="00645922" w:rsidP="00ED6BF6">
            <w:pPr>
              <w:pStyle w:val="Bullet"/>
              <w:keepLines w:val="0"/>
              <w:rPr>
                <w:b w:val="0"/>
              </w:rPr>
            </w:pPr>
            <w:r w:rsidRPr="00F24606">
              <w:rPr>
                <w:b w:val="0"/>
              </w:rPr>
              <w:t>The inability to frank a deemed dividend under Division 7A can, depending on the circumstances, lead to an implicit penalty.</w:t>
            </w:r>
          </w:p>
          <w:p w14:paraId="45836898" w14:textId="77777777" w:rsidR="00645922" w:rsidRPr="00F24606" w:rsidRDefault="00645922" w:rsidP="00ED6BF6">
            <w:pPr>
              <w:pStyle w:val="Bullet"/>
              <w:keepLines w:val="0"/>
              <w:rPr>
                <w:b w:val="0"/>
              </w:rPr>
            </w:pPr>
            <w:r w:rsidRPr="00F24606">
              <w:rPr>
                <w:b w:val="0"/>
              </w:rPr>
              <w:t>The implicit penalty can arise both where the deemed dividend is assessable to a shareholder or a non-shareholder associate.</w:t>
            </w:r>
          </w:p>
          <w:p w14:paraId="5D5058B9" w14:textId="77777777" w:rsidR="00645922" w:rsidRPr="00F24606" w:rsidRDefault="00645922" w:rsidP="00ED6BF6">
            <w:pPr>
              <w:pStyle w:val="Bullet"/>
              <w:keepLines w:val="0"/>
              <w:rPr>
                <w:b w:val="0"/>
              </w:rPr>
            </w:pPr>
            <w:r w:rsidRPr="00F24606">
              <w:rPr>
                <w:b w:val="0"/>
              </w:rPr>
              <w:t>The implicit penalty can, depending on the circumstances, constitute a harsh or unjust outcome.</w:t>
            </w:r>
          </w:p>
          <w:p w14:paraId="6E689250" w14:textId="77777777" w:rsidR="00645922" w:rsidRPr="00696082" w:rsidRDefault="00645922" w:rsidP="00ED6BF6">
            <w:pPr>
              <w:pStyle w:val="Bullet"/>
              <w:keepLines w:val="0"/>
              <w:rPr>
                <w:color w:val="004A7F"/>
              </w:rPr>
            </w:pPr>
            <w:r w:rsidRPr="00F24606">
              <w:rPr>
                <w:b w:val="0"/>
              </w:rPr>
              <w:t>The implicit penalty should be considered when determining whether there are grounds for remitting an administrative penalty.</w:t>
            </w:r>
          </w:p>
        </w:tc>
      </w:tr>
      <w:tr w:rsidR="00645922" w:rsidRPr="00696082" w14:paraId="64602B4D" w14:textId="77777777" w:rsidTr="00E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5A75293E" w14:textId="77777777" w:rsidR="00645922" w:rsidRPr="00ED6BF6" w:rsidRDefault="00645922" w:rsidP="00ED6BF6">
            <w:pPr>
              <w:keepNext/>
              <w:keepLines/>
              <w:spacing w:before="0" w:after="160" w:line="259" w:lineRule="auto"/>
              <w:rPr>
                <w:rFonts w:asciiTheme="minorHAnsi" w:hAnsiTheme="minorHAnsi"/>
                <w:iCs/>
                <w:color w:val="004A7F"/>
              </w:rPr>
            </w:pPr>
            <w:r w:rsidRPr="00ED6BF6">
              <w:rPr>
                <w:rFonts w:asciiTheme="minorHAnsi" w:hAnsiTheme="minorHAnsi"/>
                <w:iCs/>
                <w:color w:val="004A7F"/>
              </w:rPr>
              <w:t>Recommendation 15</w:t>
            </w:r>
          </w:p>
          <w:p w14:paraId="5BBC02C4" w14:textId="77777777" w:rsidR="00645922" w:rsidRPr="00696082" w:rsidRDefault="00645922" w:rsidP="00ED6BF6">
            <w:pPr>
              <w:keepNext/>
              <w:keepLines/>
              <w:spacing w:before="0" w:line="259" w:lineRule="auto"/>
              <w:rPr>
                <w:rFonts w:asciiTheme="minorHAnsi" w:hAnsiTheme="minorHAnsi"/>
                <w:b w:val="0"/>
                <w:iCs/>
              </w:rPr>
            </w:pPr>
            <w:r w:rsidRPr="00696082">
              <w:rPr>
                <w:rFonts w:asciiTheme="minorHAnsi" w:hAnsiTheme="minorHAnsi"/>
                <w:b w:val="0"/>
                <w:iCs/>
              </w:rPr>
              <w:t>The Board recommends:</w:t>
            </w:r>
          </w:p>
          <w:p w14:paraId="56C311D6" w14:textId="77777777" w:rsidR="00645922" w:rsidRPr="00F24606" w:rsidRDefault="00645922" w:rsidP="00ED6BF6">
            <w:pPr>
              <w:pStyle w:val="Bullet"/>
              <w:keepNext/>
              <w:rPr>
                <w:b w:val="0"/>
              </w:rPr>
            </w:pPr>
            <w:r w:rsidRPr="00F24606">
              <w:rPr>
                <w:b w:val="0"/>
              </w:rPr>
              <w:t>that the Government, for whichever reform model it decides to implement, should support its implementation with a targeted education campaign on the scope of the provisions and how to comply with them;</w:t>
            </w:r>
          </w:p>
          <w:p w14:paraId="14902985" w14:textId="77777777" w:rsidR="00645922" w:rsidRPr="00F24606" w:rsidRDefault="00645922" w:rsidP="00ED6BF6">
            <w:pPr>
              <w:pStyle w:val="Bullet"/>
              <w:keepNext/>
              <w:rPr>
                <w:b w:val="0"/>
              </w:rPr>
            </w:pPr>
            <w:r w:rsidRPr="00F24606">
              <w:rPr>
                <w:b w:val="0"/>
              </w:rPr>
              <w:t>as part of a second stage in implementing the reforms:</w:t>
            </w:r>
          </w:p>
          <w:p w14:paraId="79958092" w14:textId="77777777" w:rsidR="00645922" w:rsidRPr="00F24606" w:rsidRDefault="00645922" w:rsidP="00ED6BF6">
            <w:pPr>
              <w:pStyle w:val="Dash"/>
              <w:keepNext/>
              <w:keepLines/>
              <w:rPr>
                <w:b w:val="0"/>
              </w:rPr>
            </w:pPr>
            <w:r w:rsidRPr="00F24606">
              <w:rPr>
                <w:b w:val="0"/>
              </w:rPr>
              <w:t>ensuring anomalies in the existing law are not reproduced in the new regime; and</w:t>
            </w:r>
          </w:p>
          <w:p w14:paraId="77725626" w14:textId="77777777" w:rsidR="00645922" w:rsidRPr="00F24606" w:rsidRDefault="00645922" w:rsidP="00ED6BF6">
            <w:pPr>
              <w:pStyle w:val="Dash"/>
              <w:keepNext/>
              <w:keepLines/>
              <w:rPr>
                <w:b w:val="0"/>
              </w:rPr>
            </w:pPr>
            <w:r w:rsidRPr="00F24606">
              <w:rPr>
                <w:b w:val="0"/>
              </w:rPr>
              <w:t>identifying and addressing remaining high-priority issues that would need to be addressed to ensure consistency with the new provisions; and</w:t>
            </w:r>
          </w:p>
          <w:p w14:paraId="785FEC68" w14:textId="77777777" w:rsidR="00645922" w:rsidRPr="00F24606" w:rsidRDefault="00645922" w:rsidP="00ED6BF6">
            <w:pPr>
              <w:pStyle w:val="Bullet"/>
              <w:keepNext/>
              <w:rPr>
                <w:b w:val="0"/>
              </w:rPr>
            </w:pPr>
            <w:r w:rsidRPr="00F24606">
              <w:rPr>
                <w:b w:val="0"/>
              </w:rPr>
              <w:t>providing relief to remove the Division 7A consequences where a company funds the acquisition of property from share capital and has a distributable surplus limited to unrealised profits.</w:t>
            </w:r>
          </w:p>
          <w:p w14:paraId="12FD54AF" w14:textId="77777777" w:rsidR="00645922" w:rsidRPr="00F24606" w:rsidRDefault="00645922" w:rsidP="00ED6BF6">
            <w:pPr>
              <w:pStyle w:val="Dash"/>
              <w:keepNext/>
              <w:keepLines/>
              <w:rPr>
                <w:b w:val="0"/>
              </w:rPr>
            </w:pPr>
            <w:r w:rsidRPr="00F24606">
              <w:rPr>
                <w:b w:val="0"/>
              </w:rPr>
              <w:t>Relief could take the form of:</w:t>
            </w:r>
          </w:p>
          <w:p w14:paraId="1BA67DA4" w14:textId="77777777" w:rsidR="00645922" w:rsidRPr="00F24606" w:rsidRDefault="00645922" w:rsidP="00ED6BF6">
            <w:pPr>
              <w:pStyle w:val="DoubleDot"/>
              <w:keepNext/>
              <w:keepLines/>
              <w:rPr>
                <w:b w:val="0"/>
              </w:rPr>
            </w:pPr>
            <w:r w:rsidRPr="00F24606">
              <w:rPr>
                <w:b w:val="0"/>
              </w:rPr>
              <w:t>a specific exclusion from section 109CA; or</w:t>
            </w:r>
          </w:p>
          <w:p w14:paraId="5D2EBBAB" w14:textId="77777777" w:rsidR="00645922" w:rsidRPr="00696082" w:rsidRDefault="00645922" w:rsidP="00ED6BF6">
            <w:pPr>
              <w:pStyle w:val="DoubleDot"/>
              <w:keepNext/>
              <w:keepLines/>
              <w:rPr>
                <w:color w:val="004A7F"/>
              </w:rPr>
            </w:pPr>
            <w:r w:rsidRPr="00F24606">
              <w:rPr>
                <w:b w:val="0"/>
              </w:rPr>
              <w:t>limited roll-over relief that would enable taxpayers to restructure their affairs to ‘divest’ or ‘demerge’ the assets out of private companies to the ultimate non-corporate shareholders.</w:t>
            </w:r>
          </w:p>
        </w:tc>
      </w:tr>
    </w:tbl>
    <w:p w14:paraId="436B9C43" w14:textId="77777777" w:rsidR="00F24606" w:rsidRDefault="00F24606" w:rsidP="00F24606"/>
    <w:p w14:paraId="12568EAF" w14:textId="77777777" w:rsidR="00F24606" w:rsidRPr="00F24606" w:rsidRDefault="00F24606" w:rsidP="00F24606">
      <w:pPr>
        <w:sectPr w:rsidR="00F24606" w:rsidRPr="00F24606" w:rsidSect="00320FE6">
          <w:type w:val="oddPage"/>
          <w:pgSz w:w="11906" w:h="16838" w:code="9"/>
          <w:pgMar w:top="1418" w:right="1418" w:bottom="1418" w:left="1418" w:header="709" w:footer="709" w:gutter="0"/>
          <w:cols w:space="708"/>
          <w:docGrid w:linePitch="360"/>
        </w:sectPr>
      </w:pPr>
    </w:p>
    <w:p w14:paraId="784DBC76" w14:textId="12A8DEF9" w:rsidR="00C81B53" w:rsidRDefault="007C185E" w:rsidP="00D33080">
      <w:pPr>
        <w:pStyle w:val="Heading1"/>
        <w:spacing w:before="0"/>
      </w:pPr>
      <w:bookmarkStart w:id="57" w:name="_Toc525813330"/>
      <w:r>
        <w:t>Appendix B: Consultation Questions</w:t>
      </w:r>
      <w:bookmarkEnd w:id="57"/>
    </w:p>
    <w:tbl>
      <w:tblPr>
        <w:tblW w:w="5000" w:type="pct"/>
        <w:tblBorders>
          <w:insideH w:val="single" w:sz="48" w:space="0" w:color="FFFFFF" w:themeColor="background1"/>
        </w:tblBorders>
        <w:shd w:val="clear" w:color="auto" w:fill="E3E7F0"/>
        <w:tblLook w:val="01E0" w:firstRow="1" w:lastRow="1" w:firstColumn="1" w:lastColumn="1" w:noHBand="0" w:noVBand="0"/>
      </w:tblPr>
      <w:tblGrid>
        <w:gridCol w:w="9286"/>
      </w:tblGrid>
      <w:tr w:rsidR="006D4320" w14:paraId="083EC0EA" w14:textId="77777777" w:rsidTr="00D66158">
        <w:tc>
          <w:tcPr>
            <w:tcW w:w="5000" w:type="pct"/>
            <w:shd w:val="clear" w:color="auto" w:fill="E3E7F0"/>
          </w:tcPr>
          <w:p w14:paraId="2B8984CD" w14:textId="77777777" w:rsidR="006D4320" w:rsidRPr="000553FE" w:rsidRDefault="006D4320" w:rsidP="00F1497F">
            <w:pPr>
              <w:pStyle w:val="BoxHeading"/>
              <w:rPr>
                <w:b w:val="0"/>
              </w:rPr>
            </w:pPr>
            <w:r>
              <w:t>Discussion Question 1:</w:t>
            </w:r>
          </w:p>
          <w:p w14:paraId="55B8888F" w14:textId="77777777" w:rsidR="006D4320" w:rsidRDefault="006D4320" w:rsidP="00F1497F">
            <w:pPr>
              <w:pStyle w:val="TableSecondHeading"/>
            </w:pPr>
            <w:r>
              <w:t>Proposed loan model</w:t>
            </w:r>
          </w:p>
          <w:p w14:paraId="235BB8DB" w14:textId="77777777" w:rsidR="006D4320" w:rsidRDefault="006D4320" w:rsidP="00C67DF9">
            <w:pPr>
              <w:pStyle w:val="BoxText"/>
              <w:numPr>
                <w:ilvl w:val="0"/>
                <w:numId w:val="41"/>
              </w:numPr>
            </w:pPr>
            <w:r>
              <w:t>Is there an aspect of the proposed loan model that could be refined?</w:t>
            </w:r>
          </w:p>
          <w:p w14:paraId="10CF7A69" w14:textId="77777777" w:rsidR="006D4320" w:rsidRDefault="006D4320" w:rsidP="00F1497F">
            <w:pPr>
              <w:pStyle w:val="TableSecondHeading"/>
            </w:pPr>
            <w:r>
              <w:t>Transitional rules</w:t>
            </w:r>
          </w:p>
          <w:p w14:paraId="0297C140" w14:textId="77777777" w:rsidR="006D4320" w:rsidRDefault="006D4320" w:rsidP="00C67DF9">
            <w:pPr>
              <w:pStyle w:val="ListParagraph"/>
              <w:numPr>
                <w:ilvl w:val="0"/>
                <w:numId w:val="41"/>
              </w:numPr>
            </w:pPr>
            <w:r>
              <w:t>Do the proposed transitional rules result in any unintended outcomes?</w:t>
            </w:r>
          </w:p>
          <w:p w14:paraId="12DD6315" w14:textId="77777777" w:rsidR="006D4320" w:rsidRDefault="006D4320" w:rsidP="00F1497F">
            <w:pPr>
              <w:pStyle w:val="TableSecondHeading"/>
            </w:pPr>
            <w:r>
              <w:t>Application to non-resident private companies</w:t>
            </w:r>
          </w:p>
          <w:p w14:paraId="522EE443" w14:textId="77777777" w:rsidR="006D4320" w:rsidRDefault="006D4320" w:rsidP="00C67DF9">
            <w:pPr>
              <w:pStyle w:val="BoxText"/>
              <w:numPr>
                <w:ilvl w:val="0"/>
                <w:numId w:val="41"/>
              </w:numPr>
            </w:pPr>
            <w:r>
              <w:t>In what circumstances (if any) is the application of Division 7A to non-resident private companies unclear?</w:t>
            </w:r>
          </w:p>
          <w:p w14:paraId="6BF7C1B1" w14:textId="77777777" w:rsidR="006D4320" w:rsidRDefault="006D4320" w:rsidP="00C67DF9">
            <w:pPr>
              <w:pStyle w:val="BoxText"/>
              <w:numPr>
                <w:ilvl w:val="0"/>
                <w:numId w:val="41"/>
              </w:numPr>
            </w:pPr>
            <w:r>
              <w:t>Would the application of Division 7A to non-resident private companies benefit from additional public guidance material?</w:t>
            </w:r>
          </w:p>
          <w:p w14:paraId="1ACE9DF6" w14:textId="77777777" w:rsidR="006D4320" w:rsidRDefault="006D4320" w:rsidP="00C67DF9">
            <w:pPr>
              <w:pStyle w:val="BoxText"/>
              <w:numPr>
                <w:ilvl w:val="0"/>
                <w:numId w:val="41"/>
              </w:numPr>
            </w:pPr>
            <w:r>
              <w:t>Are legislative amendments required to clarify the application of Division 7A to non-resident private companies?</w:t>
            </w:r>
          </w:p>
          <w:p w14:paraId="038EA72F" w14:textId="77777777" w:rsidR="006D4320" w:rsidRDefault="006D4320" w:rsidP="00F1497F">
            <w:pPr>
              <w:pStyle w:val="TableSecondHeading"/>
            </w:pPr>
            <w:r>
              <w:t>Distributable Surplus</w:t>
            </w:r>
          </w:p>
          <w:p w14:paraId="12B06E20" w14:textId="77777777" w:rsidR="006D4320" w:rsidRPr="00C02495" w:rsidRDefault="006D4320" w:rsidP="00C67DF9">
            <w:pPr>
              <w:pStyle w:val="BoxText"/>
              <w:numPr>
                <w:ilvl w:val="0"/>
                <w:numId w:val="41"/>
              </w:numPr>
            </w:pPr>
            <w:r w:rsidRPr="00C02495">
              <w:t>Does the removal of the concept of distributable surplus result in any unintended outcomes?</w:t>
            </w:r>
          </w:p>
          <w:p w14:paraId="157D7002" w14:textId="4531BAE6" w:rsidR="006D4320" w:rsidRPr="008950C5" w:rsidRDefault="007F74C6" w:rsidP="00C67DF9">
            <w:pPr>
              <w:pStyle w:val="BoxText"/>
              <w:numPr>
                <w:ilvl w:val="0"/>
                <w:numId w:val="41"/>
              </w:numPr>
            </w:pPr>
            <w:r w:rsidRPr="00C02495">
              <w:t xml:space="preserve">If </w:t>
            </w:r>
            <w:r>
              <w:t>this concept is removed</w:t>
            </w:r>
            <w:r w:rsidRPr="00C02495">
              <w:t>, are there any interactions with other provisions of Division 7A that might become relevant?</w:t>
            </w:r>
          </w:p>
        </w:tc>
      </w:tr>
      <w:tr w:rsidR="006D4320" w14:paraId="0DC47C9F" w14:textId="77777777" w:rsidTr="00D66158">
        <w:tc>
          <w:tcPr>
            <w:tcW w:w="5000" w:type="pct"/>
            <w:shd w:val="clear" w:color="auto" w:fill="E3E7F0"/>
          </w:tcPr>
          <w:p w14:paraId="301C4F86" w14:textId="77777777" w:rsidR="006D4320" w:rsidRPr="000553FE" w:rsidRDefault="006D4320" w:rsidP="00F1497F">
            <w:pPr>
              <w:pStyle w:val="BoxHeading"/>
              <w:rPr>
                <w:b w:val="0"/>
              </w:rPr>
            </w:pPr>
            <w:r w:rsidRPr="00C02495">
              <w:t>Discussion Question 2:</w:t>
            </w:r>
          </w:p>
          <w:p w14:paraId="4923A20B" w14:textId="77777777" w:rsidR="006D4320" w:rsidRDefault="006D4320" w:rsidP="00F1497F">
            <w:pPr>
              <w:pStyle w:val="TableSecondHeading"/>
            </w:pPr>
            <w:r>
              <w:t>Unpaid present entitlements</w:t>
            </w:r>
          </w:p>
          <w:p w14:paraId="770C5C14" w14:textId="77777777" w:rsidR="006D4320" w:rsidRPr="00C02495" w:rsidRDefault="006D4320" w:rsidP="00C67DF9">
            <w:pPr>
              <w:pStyle w:val="BoxText"/>
              <w:numPr>
                <w:ilvl w:val="0"/>
                <w:numId w:val="42"/>
              </w:numPr>
            </w:pPr>
            <w:r w:rsidRPr="00C02495">
              <w:t>Are transitional rules required for UPEs arising on, or after, 16 December 2009 and on or before, 30 June 2019 where the funds in the sub-trust are invested in the main trust using one of the investment options in PSLA 2010/4 and therefore the UPE is considered to be held for the sole benefit of the private company beneficiary? If so, what kind of transitional rules might be required?</w:t>
            </w:r>
          </w:p>
          <w:p w14:paraId="30357489" w14:textId="77777777" w:rsidR="006D4320" w:rsidRPr="008950C5" w:rsidRDefault="006D4320" w:rsidP="00C67DF9">
            <w:pPr>
              <w:pStyle w:val="BoxText"/>
              <w:numPr>
                <w:ilvl w:val="0"/>
                <w:numId w:val="42"/>
              </w:numPr>
            </w:pPr>
            <w:r w:rsidRPr="00C02495">
              <w:t>Should UPEs arising prior to 16 December 2009 be brought within Division 7A?</w:t>
            </w:r>
          </w:p>
        </w:tc>
      </w:tr>
      <w:tr w:rsidR="006D4320" w14:paraId="67ABB6E2" w14:textId="77777777" w:rsidTr="00D66158">
        <w:tc>
          <w:tcPr>
            <w:tcW w:w="5000" w:type="pct"/>
            <w:shd w:val="clear" w:color="auto" w:fill="E3E7F0"/>
          </w:tcPr>
          <w:p w14:paraId="3FBEB639" w14:textId="77777777" w:rsidR="006D4320" w:rsidRPr="000553FE" w:rsidRDefault="006D4320" w:rsidP="00F1497F">
            <w:pPr>
              <w:pStyle w:val="BoxHeading"/>
              <w:rPr>
                <w:b w:val="0"/>
              </w:rPr>
            </w:pPr>
            <w:r w:rsidRPr="00B13A63">
              <w:t>Discussion Question 3:</w:t>
            </w:r>
          </w:p>
          <w:p w14:paraId="126176DC" w14:textId="77777777" w:rsidR="006D4320" w:rsidRDefault="006D4320" w:rsidP="00F1497F">
            <w:pPr>
              <w:pStyle w:val="TableSecondHeading"/>
            </w:pPr>
            <w:r>
              <w:t>Self-Correction Mechanism</w:t>
            </w:r>
          </w:p>
          <w:p w14:paraId="40199AB5" w14:textId="77777777" w:rsidR="006D4320" w:rsidRPr="003F1A8A" w:rsidRDefault="006D4320" w:rsidP="00C67DF9">
            <w:pPr>
              <w:pStyle w:val="BoxText"/>
              <w:numPr>
                <w:ilvl w:val="0"/>
                <w:numId w:val="43"/>
              </w:numPr>
            </w:pPr>
            <w:r w:rsidRPr="003F1A8A">
              <w:t>Are the eligibility criteria clear and concise?</w:t>
            </w:r>
          </w:p>
          <w:p w14:paraId="3150E1DA" w14:textId="77777777" w:rsidR="006D4320" w:rsidRPr="003F1A8A" w:rsidRDefault="006D4320" w:rsidP="00C67DF9">
            <w:pPr>
              <w:pStyle w:val="BoxText"/>
              <w:numPr>
                <w:ilvl w:val="0"/>
                <w:numId w:val="43"/>
              </w:numPr>
            </w:pPr>
            <w:r w:rsidRPr="003F1A8A">
              <w:t>Are additional objective factors necessary to include in determining a taxpayers’ eligibility?</w:t>
            </w:r>
          </w:p>
          <w:p w14:paraId="06F548B5" w14:textId="77777777" w:rsidR="006D4320" w:rsidRPr="003F1A8A" w:rsidRDefault="006D4320" w:rsidP="00C67DF9">
            <w:pPr>
              <w:pStyle w:val="BoxText"/>
              <w:numPr>
                <w:ilvl w:val="0"/>
                <w:numId w:val="43"/>
              </w:numPr>
            </w:pPr>
            <w:r w:rsidRPr="003F1A8A">
              <w:t>What guidance should be provided to assist taxpayers in using the self-correction mechanism?</w:t>
            </w:r>
          </w:p>
          <w:p w14:paraId="0AF2F96F" w14:textId="77777777" w:rsidR="006D4320" w:rsidRDefault="006D4320" w:rsidP="00F1497F">
            <w:pPr>
              <w:pStyle w:val="TableSecondHeading"/>
            </w:pPr>
            <w:r>
              <w:t>Period of Review</w:t>
            </w:r>
          </w:p>
          <w:p w14:paraId="2657DB36" w14:textId="77777777" w:rsidR="006D4320" w:rsidRPr="003F1A8A" w:rsidRDefault="006D4320" w:rsidP="00C67DF9">
            <w:pPr>
              <w:pStyle w:val="BoxText"/>
              <w:numPr>
                <w:ilvl w:val="0"/>
                <w:numId w:val="43"/>
              </w:numPr>
            </w:pPr>
            <w:r w:rsidRPr="003F1A8A">
              <w:t>Will the period of review cause any unintended outcomes?</w:t>
            </w:r>
          </w:p>
          <w:p w14:paraId="13816FD3" w14:textId="77777777" w:rsidR="006D4320" w:rsidRPr="008950C5" w:rsidRDefault="006D4320" w:rsidP="00C67DF9">
            <w:pPr>
              <w:pStyle w:val="BoxText"/>
              <w:numPr>
                <w:ilvl w:val="0"/>
                <w:numId w:val="43"/>
              </w:numPr>
            </w:pPr>
            <w:r w:rsidRPr="003F1A8A">
              <w:t>Are there any alternative options to a 14 year review period that would ensure the integrity of the revised Division 7A?</w:t>
            </w:r>
          </w:p>
        </w:tc>
      </w:tr>
      <w:tr w:rsidR="006D4320" w14:paraId="337ECA72" w14:textId="77777777" w:rsidTr="00D66158">
        <w:tc>
          <w:tcPr>
            <w:tcW w:w="5000" w:type="pct"/>
            <w:shd w:val="clear" w:color="auto" w:fill="E3E7F0"/>
          </w:tcPr>
          <w:p w14:paraId="493E041F" w14:textId="77777777" w:rsidR="006D4320" w:rsidRPr="000553FE" w:rsidRDefault="006D4320" w:rsidP="00F1497F">
            <w:pPr>
              <w:pStyle w:val="BoxHeading"/>
              <w:rPr>
                <w:b w:val="0"/>
              </w:rPr>
            </w:pPr>
            <w:r w:rsidRPr="00B24157">
              <w:t>Discussion Question 4:</w:t>
            </w:r>
          </w:p>
          <w:p w14:paraId="6B30F067" w14:textId="7EE0D26C" w:rsidR="006D4320" w:rsidRDefault="006D4320" w:rsidP="00F1497F">
            <w:pPr>
              <w:pStyle w:val="TableSecondHeading"/>
            </w:pPr>
            <w:r>
              <w:t>Safe Harbours – Provision of assets for use</w:t>
            </w:r>
          </w:p>
          <w:p w14:paraId="4F8382C6" w14:textId="77777777" w:rsidR="006D4320" w:rsidRPr="00B24157" w:rsidRDefault="006D4320" w:rsidP="00C67DF9">
            <w:pPr>
              <w:pStyle w:val="BoxText"/>
              <w:numPr>
                <w:ilvl w:val="0"/>
                <w:numId w:val="44"/>
              </w:numPr>
            </w:pPr>
            <w:r w:rsidRPr="00B24157">
              <w:t>Is there an alternative formula which could be used?</w:t>
            </w:r>
          </w:p>
          <w:p w14:paraId="033CBA3A" w14:textId="77777777" w:rsidR="006D4320" w:rsidRPr="00B24157" w:rsidRDefault="006D4320" w:rsidP="00C67DF9">
            <w:pPr>
              <w:pStyle w:val="BoxText"/>
              <w:numPr>
                <w:ilvl w:val="0"/>
                <w:numId w:val="44"/>
              </w:numPr>
            </w:pPr>
            <w:r w:rsidRPr="00B24157">
              <w:t>Should taxpayers have the option to elect between the statutory formula and providing their own arm’s length usage charge or should the statutory formula be the only option?</w:t>
            </w:r>
          </w:p>
          <w:p w14:paraId="4BC103CF" w14:textId="77777777" w:rsidR="006D4320" w:rsidRPr="00B24157" w:rsidRDefault="006D4320" w:rsidP="00C67DF9">
            <w:pPr>
              <w:pStyle w:val="BoxText"/>
              <w:numPr>
                <w:ilvl w:val="0"/>
                <w:numId w:val="44"/>
              </w:numPr>
            </w:pPr>
            <w:r w:rsidRPr="00B24157">
              <w:t>Is a 5 per cent uplift interest rate as part of the usage charge appropriate? Or should another rate (e.g. the benchmark interest rate) be used?</w:t>
            </w:r>
          </w:p>
          <w:p w14:paraId="46BBF3A5" w14:textId="1C8F1886" w:rsidR="006D4320" w:rsidRPr="008950C5" w:rsidRDefault="006D4320" w:rsidP="003072BB">
            <w:pPr>
              <w:pStyle w:val="BoxText"/>
              <w:numPr>
                <w:ilvl w:val="0"/>
                <w:numId w:val="44"/>
              </w:numPr>
            </w:pPr>
            <w:r w:rsidRPr="00B24157">
              <w:t>Should there be a ‘reasonableness’ test included in the statutory formula or alternatively, are multiple formulas needed?</w:t>
            </w:r>
          </w:p>
        </w:tc>
      </w:tr>
      <w:tr w:rsidR="00AD7433" w14:paraId="32A38CF9" w14:textId="77777777" w:rsidTr="00D66158">
        <w:tc>
          <w:tcPr>
            <w:tcW w:w="5000" w:type="pct"/>
            <w:shd w:val="clear" w:color="auto" w:fill="E3E7F0"/>
          </w:tcPr>
          <w:p w14:paraId="6CFA862A" w14:textId="77777777" w:rsidR="00AD7433" w:rsidRPr="000553FE" w:rsidRDefault="00AD7433" w:rsidP="00F1497F">
            <w:pPr>
              <w:pStyle w:val="BoxHeading"/>
              <w:rPr>
                <w:b w:val="0"/>
              </w:rPr>
            </w:pPr>
            <w:r w:rsidRPr="000310E0">
              <w:t>Discussion Question 5:</w:t>
            </w:r>
          </w:p>
          <w:p w14:paraId="61F9DC9C" w14:textId="77777777" w:rsidR="00AD7433" w:rsidRDefault="00AD7433" w:rsidP="00F1497F">
            <w:pPr>
              <w:pStyle w:val="TableSecondHeading"/>
            </w:pPr>
            <w:r>
              <w:t>Minor Technical Amendments</w:t>
            </w:r>
          </w:p>
          <w:p w14:paraId="49914754" w14:textId="77777777" w:rsidR="00AD7433" w:rsidRDefault="00AD7433" w:rsidP="00C67DF9">
            <w:pPr>
              <w:pStyle w:val="BoxText"/>
              <w:numPr>
                <w:ilvl w:val="0"/>
                <w:numId w:val="45"/>
              </w:numPr>
            </w:pPr>
            <w:r>
              <w:t>Are any changes required to the interposed entity rules, apart from section 109T? For example, should section 109V and 109W be amended?</w:t>
            </w:r>
          </w:p>
          <w:p w14:paraId="656A489D" w14:textId="77777777" w:rsidR="00AD7433" w:rsidRDefault="00AD7433" w:rsidP="00C67DF9">
            <w:pPr>
              <w:pStyle w:val="BoxText"/>
              <w:numPr>
                <w:ilvl w:val="0"/>
                <w:numId w:val="45"/>
              </w:numPr>
            </w:pPr>
            <w:r>
              <w:t xml:space="preserve">For the purposes of applying section 109M, is it necessary to have </w:t>
            </w:r>
            <w:r w:rsidRPr="000310E0">
              <w:t>objective</w:t>
            </w:r>
            <w:r>
              <w:t xml:space="preserve"> criteria to determine whether a loan is made in the ordinary course of a business of lending money? If so, what should be included in the criteria?</w:t>
            </w:r>
          </w:p>
          <w:p w14:paraId="3970ACD7" w14:textId="77777777" w:rsidR="00AD7433" w:rsidRPr="008950C5" w:rsidRDefault="00AD7433" w:rsidP="00C67DF9">
            <w:pPr>
              <w:pStyle w:val="BoxText"/>
              <w:numPr>
                <w:ilvl w:val="0"/>
                <w:numId w:val="45"/>
              </w:numPr>
            </w:pPr>
            <w:r>
              <w:t xml:space="preserve">Do similar changes need to be made to other paragraphs of the </w:t>
            </w:r>
            <w:r w:rsidRPr="000310E0">
              <w:t>definition</w:t>
            </w:r>
            <w:r>
              <w:t xml:space="preserve"> of ‘fringe benefit’ in subsection 136(1) of the </w:t>
            </w:r>
            <w:r w:rsidRPr="000310E0">
              <w:rPr>
                <w:i/>
              </w:rPr>
              <w:t>Fringe Benefits Assessment Act 1986</w:t>
            </w:r>
            <w:r>
              <w:t xml:space="preserve"> to clarify the interaction of FBT and Division 7A?</w:t>
            </w:r>
          </w:p>
        </w:tc>
      </w:tr>
      <w:tr w:rsidR="00AD7433" w14:paraId="10813FF6" w14:textId="77777777" w:rsidTr="00D66158">
        <w:tc>
          <w:tcPr>
            <w:tcW w:w="5000" w:type="pct"/>
            <w:shd w:val="clear" w:color="auto" w:fill="E3E7F0"/>
          </w:tcPr>
          <w:p w14:paraId="405925B2" w14:textId="77777777" w:rsidR="00AD7433" w:rsidRPr="000553FE" w:rsidRDefault="00AD7433" w:rsidP="00F1497F">
            <w:pPr>
              <w:pStyle w:val="BoxHeading"/>
              <w:rPr>
                <w:b w:val="0"/>
              </w:rPr>
            </w:pPr>
            <w:r w:rsidRPr="000310E0">
              <w:t>Discussion Question 6:</w:t>
            </w:r>
          </w:p>
          <w:p w14:paraId="3707E84B" w14:textId="77777777" w:rsidR="00AD7433" w:rsidRDefault="00AD7433" w:rsidP="00F1497F">
            <w:pPr>
              <w:pStyle w:val="TableSecondHeading"/>
            </w:pPr>
            <w:r>
              <w:t>Other issues</w:t>
            </w:r>
          </w:p>
          <w:p w14:paraId="45675BCA" w14:textId="77777777" w:rsidR="00AD7433" w:rsidRPr="000310E0" w:rsidRDefault="00AD7433" w:rsidP="00C67DF9">
            <w:pPr>
              <w:pStyle w:val="BoxText"/>
              <w:numPr>
                <w:ilvl w:val="0"/>
                <w:numId w:val="46"/>
              </w:numPr>
            </w:pPr>
            <w:r w:rsidRPr="000310E0">
              <w:t>Would the insertion of an objects clause in the legislation, consistent with the ‘Policy intent’ outlined on page 2 of this paper, be useful in clarifying the intent of the provisions?</w:t>
            </w:r>
          </w:p>
          <w:p w14:paraId="2939265B" w14:textId="77777777" w:rsidR="00AD7433" w:rsidRPr="008950C5" w:rsidRDefault="00AD7433" w:rsidP="00C67DF9">
            <w:pPr>
              <w:pStyle w:val="BoxText"/>
              <w:numPr>
                <w:ilvl w:val="0"/>
                <w:numId w:val="46"/>
              </w:numPr>
            </w:pPr>
            <w:r w:rsidRPr="000310E0">
              <w:t>Are there any other issues relevant to the amendments canvassed in this paper that have not been considered?</w:t>
            </w:r>
          </w:p>
        </w:tc>
      </w:tr>
    </w:tbl>
    <w:p w14:paraId="737EAC2E" w14:textId="77777777" w:rsidR="00C81B53" w:rsidRDefault="00C81B53">
      <w:pPr>
        <w:spacing w:before="0" w:after="160" w:line="259" w:lineRule="auto"/>
        <w:rPr>
          <w:rFonts w:cs="Arial"/>
          <w:color w:val="004A7F"/>
          <w:kern w:val="32"/>
          <w:sz w:val="48"/>
          <w:szCs w:val="36"/>
        </w:rPr>
      </w:pPr>
      <w:r>
        <w:br w:type="page"/>
      </w:r>
    </w:p>
    <w:p w14:paraId="43B41078" w14:textId="5576CBFC" w:rsidR="00744C72" w:rsidRDefault="00744C72" w:rsidP="00744C72">
      <w:pPr>
        <w:pStyle w:val="Heading1"/>
      </w:pPr>
      <w:bookmarkStart w:id="58" w:name="_Toc525813331"/>
      <w:r>
        <w:t>Appendix C: Amortisation Model</w:t>
      </w:r>
      <w:bookmarkEnd w:id="58"/>
    </w:p>
    <w:p w14:paraId="684ED53E" w14:textId="77777777" w:rsidR="00C81B53" w:rsidRPr="00B01A72" w:rsidRDefault="00C81B53" w:rsidP="00C81B53">
      <w:pPr>
        <w:pStyle w:val="OutlineNumbered1"/>
        <w:numPr>
          <w:ilvl w:val="0"/>
          <w:numId w:val="0"/>
        </w:numPr>
      </w:pPr>
      <w:r>
        <w:t>In their final report, the Board recommended the Amortisation Model be adopted in conjunction with other elements. The option below does not include these additional elements and is limited to the loan model mechanism of the recommendation which would operate as follows:</w:t>
      </w:r>
    </w:p>
    <w:p w14:paraId="3357AB5A" w14:textId="5AAA3BFF" w:rsidR="00C81B53" w:rsidRDefault="00C81B53" w:rsidP="00A03E6A">
      <w:pPr>
        <w:pStyle w:val="Bullet"/>
        <w:numPr>
          <w:ilvl w:val="0"/>
          <w:numId w:val="11"/>
        </w:numPr>
        <w:spacing w:after="240" w:line="260" w:lineRule="exact"/>
        <w:jc w:val="both"/>
        <w:rPr>
          <w:szCs w:val="22"/>
        </w:rPr>
      </w:pPr>
      <w:r>
        <w:rPr>
          <w:szCs w:val="22"/>
        </w:rPr>
        <w:t>The</w:t>
      </w:r>
      <w:r w:rsidR="00D76822">
        <w:rPr>
          <w:szCs w:val="22"/>
        </w:rPr>
        <w:t xml:space="preserve"> maximum loan term is 10 years.</w:t>
      </w:r>
    </w:p>
    <w:p w14:paraId="455570E4" w14:textId="7534869E" w:rsidR="00C81B53" w:rsidRPr="00CE6BD2" w:rsidRDefault="00C81B53" w:rsidP="00A03E6A">
      <w:pPr>
        <w:pStyle w:val="Bullet"/>
        <w:numPr>
          <w:ilvl w:val="0"/>
          <w:numId w:val="11"/>
        </w:numPr>
        <w:spacing w:after="240" w:line="260" w:lineRule="exact"/>
        <w:jc w:val="both"/>
      </w:pPr>
      <w:r>
        <w:t xml:space="preserve">The statutory interest rate will be set at the start of the loan and fixed over the term of the loan. </w:t>
      </w:r>
      <w:r w:rsidRPr="00CE6BD2">
        <w:rPr>
          <w:szCs w:val="22"/>
        </w:rPr>
        <w:t xml:space="preserve">The statutory interest rate would be the Reserve Bank of Australia’s indicator lending rate for a </w:t>
      </w:r>
      <w:r>
        <w:rPr>
          <w:szCs w:val="22"/>
        </w:rPr>
        <w:t>S</w:t>
      </w:r>
      <w:r w:rsidRPr="00CE6BD2">
        <w:rPr>
          <w:i/>
          <w:iCs/>
          <w:szCs w:val="22"/>
        </w:rPr>
        <w:t xml:space="preserve">mall business; </w:t>
      </w:r>
      <w:r>
        <w:rPr>
          <w:i/>
          <w:iCs/>
          <w:szCs w:val="22"/>
        </w:rPr>
        <w:t>V</w:t>
      </w:r>
      <w:r w:rsidRPr="00CE6BD2">
        <w:rPr>
          <w:i/>
          <w:iCs/>
          <w:szCs w:val="22"/>
        </w:rPr>
        <w:t xml:space="preserve">ariable; </w:t>
      </w:r>
      <w:r>
        <w:rPr>
          <w:i/>
          <w:iCs/>
          <w:szCs w:val="22"/>
        </w:rPr>
        <w:t>O</w:t>
      </w:r>
      <w:r w:rsidRPr="00CE6BD2">
        <w:rPr>
          <w:i/>
          <w:iCs/>
          <w:szCs w:val="22"/>
        </w:rPr>
        <w:t xml:space="preserve">ther; </w:t>
      </w:r>
      <w:r>
        <w:rPr>
          <w:i/>
          <w:iCs/>
          <w:szCs w:val="22"/>
        </w:rPr>
        <w:t>O</w:t>
      </w:r>
      <w:r w:rsidRPr="00CE6BD2">
        <w:rPr>
          <w:i/>
          <w:iCs/>
          <w:szCs w:val="22"/>
        </w:rPr>
        <w:t xml:space="preserve">verdraft </w:t>
      </w:r>
      <w:r w:rsidRPr="00CE6BD2">
        <w:rPr>
          <w:szCs w:val="22"/>
        </w:rPr>
        <w:t>for the month of May immediately before</w:t>
      </w:r>
      <w:r w:rsidR="00D76822">
        <w:rPr>
          <w:szCs w:val="22"/>
        </w:rPr>
        <w:t xml:space="preserve"> the start of that income year.</w:t>
      </w:r>
    </w:p>
    <w:p w14:paraId="79D8A275" w14:textId="77777777" w:rsidR="00C81B53" w:rsidRDefault="00C81B53" w:rsidP="00A03E6A">
      <w:pPr>
        <w:pStyle w:val="Bullet"/>
        <w:numPr>
          <w:ilvl w:val="0"/>
          <w:numId w:val="11"/>
        </w:numPr>
        <w:spacing w:after="240" w:line="260" w:lineRule="exact"/>
        <w:jc w:val="both"/>
      </w:pPr>
      <w:r>
        <w:t xml:space="preserve">There will be no requirement for a formal written agreement between the parties. However, written or electronic evidence showing that a loan was entered into must exist by </w:t>
      </w:r>
      <w:proofErr w:type="spellStart"/>
      <w:r>
        <w:t>lodgment</w:t>
      </w:r>
      <w:proofErr w:type="spellEnd"/>
      <w:r>
        <w:t xml:space="preserve"> day for the income year in which the loan was made.</w:t>
      </w:r>
    </w:p>
    <w:p w14:paraId="06DD5539" w14:textId="2CE33C10" w:rsidR="00C81B53" w:rsidRDefault="00C81B53" w:rsidP="00A03E6A">
      <w:pPr>
        <w:pStyle w:val="Bullet"/>
        <w:numPr>
          <w:ilvl w:val="0"/>
          <w:numId w:val="11"/>
        </w:numPr>
        <w:spacing w:after="240" w:line="260" w:lineRule="exact"/>
        <w:jc w:val="both"/>
        <w:rPr>
          <w:szCs w:val="22"/>
        </w:rPr>
      </w:pPr>
      <w:r>
        <w:rPr>
          <w:szCs w:val="22"/>
        </w:rPr>
        <w:t>The prescribed maximum loan balances during the term of the loan (including any accumulate</w:t>
      </w:r>
      <w:r w:rsidR="00D76822">
        <w:rPr>
          <w:szCs w:val="22"/>
        </w:rPr>
        <w:t>d interest) will be as follows:</w:t>
      </w:r>
    </w:p>
    <w:p w14:paraId="741B22C7" w14:textId="7755A7A2" w:rsidR="00C81B53" w:rsidRDefault="00C81B53" w:rsidP="00A03E6A">
      <w:pPr>
        <w:pStyle w:val="Dash"/>
        <w:numPr>
          <w:ilvl w:val="1"/>
          <w:numId w:val="11"/>
        </w:numPr>
        <w:spacing w:after="240" w:line="260" w:lineRule="exact"/>
        <w:jc w:val="both"/>
      </w:pPr>
      <w:r>
        <w:t>75 per cent of the original loan by the end of</w:t>
      </w:r>
      <w:r w:rsidR="00D76822">
        <w:t xml:space="preserve"> year three;</w:t>
      </w:r>
    </w:p>
    <w:p w14:paraId="5012198A" w14:textId="04F17464" w:rsidR="00C81B53" w:rsidRDefault="00C81B53" w:rsidP="00A03E6A">
      <w:pPr>
        <w:pStyle w:val="Dash"/>
        <w:numPr>
          <w:ilvl w:val="1"/>
          <w:numId w:val="11"/>
        </w:numPr>
        <w:spacing w:after="240" w:line="260" w:lineRule="exact"/>
        <w:jc w:val="both"/>
      </w:pPr>
      <w:r>
        <w:t>55 per cent of the origina</w:t>
      </w:r>
      <w:r w:rsidR="00D76822">
        <w:t>l loan by the end of year five;</w:t>
      </w:r>
    </w:p>
    <w:p w14:paraId="616A9687" w14:textId="429CDE4A" w:rsidR="00C81B53" w:rsidRDefault="00C81B53" w:rsidP="00A03E6A">
      <w:pPr>
        <w:pStyle w:val="Dash"/>
        <w:numPr>
          <w:ilvl w:val="1"/>
          <w:numId w:val="11"/>
        </w:numPr>
        <w:spacing w:after="240" w:line="260" w:lineRule="exact"/>
        <w:jc w:val="both"/>
      </w:pPr>
      <w:r>
        <w:t>25 per cent of the original loa</w:t>
      </w:r>
      <w:r w:rsidR="00D76822">
        <w:t>n by the end of year eight; and</w:t>
      </w:r>
    </w:p>
    <w:p w14:paraId="511D9940" w14:textId="3FC7662A" w:rsidR="00C81B53" w:rsidRDefault="00C81B53" w:rsidP="00A03E6A">
      <w:pPr>
        <w:pStyle w:val="Dash"/>
        <w:numPr>
          <w:ilvl w:val="1"/>
          <w:numId w:val="11"/>
        </w:numPr>
        <w:spacing w:after="240" w:line="260" w:lineRule="exact"/>
        <w:jc w:val="both"/>
      </w:pPr>
      <w:r>
        <w:t>0 per cent of the original loan (that is, fully</w:t>
      </w:r>
      <w:r w:rsidR="00D76822">
        <w:t xml:space="preserve"> repaid) by the end of year 10.</w:t>
      </w:r>
    </w:p>
    <w:p w14:paraId="778D0EC7" w14:textId="2AD64979" w:rsidR="00C81B53" w:rsidRDefault="00C81B53" w:rsidP="00A03E6A">
      <w:pPr>
        <w:pStyle w:val="Bullet"/>
        <w:numPr>
          <w:ilvl w:val="0"/>
          <w:numId w:val="11"/>
        </w:numPr>
        <w:spacing w:after="240" w:line="260" w:lineRule="exact"/>
        <w:jc w:val="both"/>
        <w:rPr>
          <w:szCs w:val="22"/>
        </w:rPr>
      </w:pPr>
      <w:r>
        <w:rPr>
          <w:szCs w:val="22"/>
        </w:rPr>
        <w:t>Subject to meeting the maximum loan balances for each milestone period, there will be no specifi</w:t>
      </w:r>
      <w:r w:rsidR="00D76822">
        <w:rPr>
          <w:szCs w:val="22"/>
        </w:rPr>
        <w:t>ed annual principal repayments.</w:t>
      </w:r>
    </w:p>
    <w:p w14:paraId="797CE306" w14:textId="5A20D74F" w:rsidR="00C81B53" w:rsidRDefault="00C81B53" w:rsidP="00A03E6A">
      <w:pPr>
        <w:pStyle w:val="Bullet"/>
        <w:numPr>
          <w:ilvl w:val="0"/>
          <w:numId w:val="11"/>
        </w:numPr>
        <w:spacing w:after="240" w:line="260" w:lineRule="exact"/>
        <w:jc w:val="both"/>
        <w:rPr>
          <w:szCs w:val="22"/>
        </w:rPr>
      </w:pPr>
      <w:r>
        <w:rPr>
          <w:szCs w:val="22"/>
        </w:rPr>
        <w:t>Interest will accrue annually but must be paid by the end of years t</w:t>
      </w:r>
      <w:r w:rsidR="00D76822">
        <w:rPr>
          <w:szCs w:val="22"/>
        </w:rPr>
        <w:t>hree, five, eight, and 10 only.</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F93145" w14:paraId="2FCEBE00" w14:textId="77777777" w:rsidTr="00F1497F">
        <w:tc>
          <w:tcPr>
            <w:tcW w:w="5000" w:type="pct"/>
            <w:shd w:val="clear" w:color="auto" w:fill="EBEBEB"/>
          </w:tcPr>
          <w:p w14:paraId="4B67B387" w14:textId="2D31AB2A" w:rsidR="00F93145" w:rsidRPr="000553FE" w:rsidRDefault="00F93145" w:rsidP="00F1497F">
            <w:pPr>
              <w:pStyle w:val="BoxHeading"/>
              <w:rPr>
                <w:b w:val="0"/>
              </w:rPr>
            </w:pPr>
            <w:r>
              <w:t>Example: C</w:t>
            </w:r>
            <w:r w:rsidRPr="00F93145">
              <w:t>alculation of deemed dividend under the Amortisation Model</w:t>
            </w:r>
          </w:p>
          <w:p w14:paraId="305E9315" w14:textId="373D62DF" w:rsidR="00F93145" w:rsidRDefault="00F93145" w:rsidP="00F1497F">
            <w:pPr>
              <w:pStyle w:val="BoxText"/>
            </w:pPr>
            <w:r w:rsidRPr="00F93145">
              <w:t>The repayment schedule for Bert under the Amortisation Model would be as follows:</w:t>
            </w:r>
          </w:p>
          <w:tbl>
            <w:tblPr>
              <w:tblW w:w="5000" w:type="pct"/>
              <w:tblLook w:val="04A0" w:firstRow="1" w:lastRow="0" w:firstColumn="1" w:lastColumn="0" w:noHBand="0" w:noVBand="1"/>
            </w:tblPr>
            <w:tblGrid>
              <w:gridCol w:w="889"/>
              <w:gridCol w:w="1401"/>
              <w:gridCol w:w="1622"/>
              <w:gridCol w:w="1596"/>
              <w:gridCol w:w="2039"/>
              <w:gridCol w:w="1513"/>
            </w:tblGrid>
            <w:tr w:rsidR="00F93145" w:rsidRPr="00991634" w14:paraId="0AAEDEC9" w14:textId="77777777" w:rsidTr="00F93145">
              <w:trPr>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7D683" w14:textId="77777777" w:rsidR="00F93145" w:rsidRPr="00991634" w:rsidRDefault="00F93145" w:rsidP="00F93145">
                  <w:pPr>
                    <w:pStyle w:val="TableColumnHeadingCentred"/>
                  </w:pPr>
                  <w:r w:rsidRPr="00991634">
                    <w:t>Year</w:t>
                  </w:r>
                </w:p>
              </w:tc>
              <w:tc>
                <w:tcPr>
                  <w:tcW w:w="773" w:type="pct"/>
                  <w:tcBorders>
                    <w:top w:val="single" w:sz="4" w:space="0" w:color="auto"/>
                    <w:left w:val="nil"/>
                    <w:bottom w:val="single" w:sz="4" w:space="0" w:color="auto"/>
                    <w:right w:val="single" w:sz="4" w:space="0" w:color="auto"/>
                  </w:tcBorders>
                  <w:shd w:val="clear" w:color="auto" w:fill="auto"/>
                  <w:noWrap/>
                  <w:vAlign w:val="center"/>
                  <w:hideMark/>
                </w:tcPr>
                <w:p w14:paraId="03AD2713" w14:textId="77777777" w:rsidR="00F93145" w:rsidRPr="00991634" w:rsidRDefault="00F93145" w:rsidP="00F93145">
                  <w:pPr>
                    <w:pStyle w:val="TableColumnHeadingCentred"/>
                  </w:pPr>
                  <w:r w:rsidRPr="00991634">
                    <w:t>Interest Rate*</w:t>
                  </w:r>
                </w:p>
              </w:tc>
              <w:tc>
                <w:tcPr>
                  <w:tcW w:w="895" w:type="pct"/>
                  <w:tcBorders>
                    <w:top w:val="single" w:sz="4" w:space="0" w:color="auto"/>
                    <w:left w:val="nil"/>
                    <w:bottom w:val="single" w:sz="4" w:space="0" w:color="auto"/>
                    <w:right w:val="single" w:sz="4" w:space="0" w:color="auto"/>
                  </w:tcBorders>
                  <w:shd w:val="clear" w:color="auto" w:fill="auto"/>
                  <w:noWrap/>
                  <w:vAlign w:val="center"/>
                  <w:hideMark/>
                </w:tcPr>
                <w:p w14:paraId="24C0C252" w14:textId="77777777" w:rsidR="00F93145" w:rsidRPr="00991634" w:rsidRDefault="00F93145" w:rsidP="00F93145">
                  <w:pPr>
                    <w:pStyle w:val="TableColumnHeadingCentred"/>
                  </w:pPr>
                  <w:r w:rsidRPr="00991634">
                    <w:t>Opening Balance</w:t>
                  </w:r>
                </w:p>
                <w:p w14:paraId="11EB8308" w14:textId="77777777" w:rsidR="00F93145" w:rsidRPr="00991634" w:rsidRDefault="00F93145" w:rsidP="00F93145">
                  <w:pPr>
                    <w:pStyle w:val="TableColumnHeadingCentred"/>
                  </w:pPr>
                  <w:r w:rsidRPr="00991634">
                    <w:t>$</w:t>
                  </w:r>
                </w:p>
              </w:tc>
              <w:tc>
                <w:tcPr>
                  <w:tcW w:w="881" w:type="pct"/>
                  <w:tcBorders>
                    <w:top w:val="single" w:sz="4" w:space="0" w:color="auto"/>
                    <w:left w:val="nil"/>
                    <w:bottom w:val="single" w:sz="4" w:space="0" w:color="auto"/>
                    <w:right w:val="single" w:sz="4" w:space="0" w:color="auto"/>
                  </w:tcBorders>
                  <w:shd w:val="clear" w:color="auto" w:fill="auto"/>
                  <w:noWrap/>
                  <w:vAlign w:val="center"/>
                  <w:hideMark/>
                </w:tcPr>
                <w:p w14:paraId="130E8913" w14:textId="77777777" w:rsidR="00F93145" w:rsidRPr="00991634" w:rsidRDefault="00F93145" w:rsidP="00F93145">
                  <w:pPr>
                    <w:pStyle w:val="TableColumnHeadingCentred"/>
                  </w:pPr>
                  <w:r w:rsidRPr="00991634">
                    <w:t>Interest Amount</w:t>
                  </w:r>
                </w:p>
                <w:p w14:paraId="2FAD561A" w14:textId="77777777" w:rsidR="00F93145" w:rsidRPr="00991634" w:rsidRDefault="00F93145" w:rsidP="00F93145">
                  <w:pPr>
                    <w:pStyle w:val="TableColumnHeadingCentred"/>
                  </w:pPr>
                  <w:r w:rsidRPr="00991634">
                    <w:t>$</w:t>
                  </w:r>
                </w:p>
              </w:tc>
              <w:tc>
                <w:tcPr>
                  <w:tcW w:w="1125" w:type="pct"/>
                  <w:tcBorders>
                    <w:top w:val="single" w:sz="4" w:space="0" w:color="auto"/>
                    <w:left w:val="nil"/>
                    <w:bottom w:val="single" w:sz="4" w:space="0" w:color="auto"/>
                    <w:right w:val="single" w:sz="4" w:space="0" w:color="auto"/>
                  </w:tcBorders>
                  <w:shd w:val="clear" w:color="auto" w:fill="auto"/>
                  <w:noWrap/>
                  <w:vAlign w:val="center"/>
                  <w:hideMark/>
                </w:tcPr>
                <w:p w14:paraId="27CCDFC4" w14:textId="77777777" w:rsidR="00F93145" w:rsidRPr="00991634" w:rsidRDefault="00F93145" w:rsidP="00F93145">
                  <w:pPr>
                    <w:pStyle w:val="TableColumnHeadingCentred"/>
                  </w:pPr>
                  <w:r w:rsidRPr="00991634">
                    <w:t>Minimum Repayment</w:t>
                  </w:r>
                </w:p>
                <w:p w14:paraId="79B11E24" w14:textId="77777777" w:rsidR="00F93145" w:rsidRPr="00991634" w:rsidRDefault="00F93145" w:rsidP="00F93145">
                  <w:pPr>
                    <w:pStyle w:val="TableColumnHeadingCentred"/>
                  </w:pPr>
                  <w:r w:rsidRPr="00991634">
                    <w:t>$</w:t>
                  </w:r>
                </w:p>
              </w:tc>
              <w:tc>
                <w:tcPr>
                  <w:tcW w:w="835" w:type="pct"/>
                  <w:tcBorders>
                    <w:top w:val="single" w:sz="4" w:space="0" w:color="auto"/>
                    <w:left w:val="nil"/>
                    <w:bottom w:val="single" w:sz="4" w:space="0" w:color="auto"/>
                    <w:right w:val="single" w:sz="4" w:space="0" w:color="auto"/>
                  </w:tcBorders>
                  <w:shd w:val="clear" w:color="auto" w:fill="auto"/>
                  <w:noWrap/>
                  <w:vAlign w:val="center"/>
                  <w:hideMark/>
                </w:tcPr>
                <w:p w14:paraId="1ADE5746" w14:textId="77777777" w:rsidR="00F93145" w:rsidRPr="00991634" w:rsidRDefault="00F93145" w:rsidP="00F93145">
                  <w:pPr>
                    <w:pStyle w:val="TableColumnHeadingCentred"/>
                  </w:pPr>
                  <w:r w:rsidRPr="00991634">
                    <w:t>Closing Balance</w:t>
                  </w:r>
                </w:p>
                <w:p w14:paraId="5EC6C636" w14:textId="77777777" w:rsidR="00F93145" w:rsidRPr="00991634" w:rsidRDefault="00F93145" w:rsidP="00F93145">
                  <w:pPr>
                    <w:pStyle w:val="TableColumnHeadingCentred"/>
                  </w:pPr>
                  <w:r w:rsidRPr="00991634">
                    <w:t>$</w:t>
                  </w:r>
                </w:p>
              </w:tc>
            </w:tr>
            <w:tr w:rsidR="00F93145" w:rsidRPr="00991634" w14:paraId="087CD8E7" w14:textId="77777777" w:rsidTr="00F93145">
              <w:trPr>
                <w:trHeight w:val="288"/>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71A57E56" w14:textId="77777777" w:rsidR="00F93145" w:rsidRPr="00991634" w:rsidRDefault="00F93145" w:rsidP="00AA26C0">
                  <w:pPr>
                    <w:pStyle w:val="TableTextCentered"/>
                  </w:pPr>
                  <w:r w:rsidRPr="00991634">
                    <w:t>2020-21</w:t>
                  </w:r>
                </w:p>
              </w:tc>
              <w:tc>
                <w:tcPr>
                  <w:tcW w:w="773" w:type="pct"/>
                  <w:tcBorders>
                    <w:top w:val="nil"/>
                    <w:left w:val="nil"/>
                    <w:bottom w:val="single" w:sz="4" w:space="0" w:color="auto"/>
                    <w:right w:val="single" w:sz="4" w:space="0" w:color="auto"/>
                  </w:tcBorders>
                  <w:shd w:val="clear" w:color="auto" w:fill="auto"/>
                  <w:noWrap/>
                  <w:vAlign w:val="center"/>
                  <w:hideMark/>
                </w:tcPr>
                <w:p w14:paraId="74ECA7B8" w14:textId="77777777" w:rsidR="00F93145" w:rsidRPr="00991634" w:rsidRDefault="00F93145" w:rsidP="00AA26C0">
                  <w:pPr>
                    <w:pStyle w:val="TableTextCentered"/>
                  </w:pPr>
                  <w:r w:rsidRPr="00991634">
                    <w:t>8.50%</w:t>
                  </w:r>
                </w:p>
              </w:tc>
              <w:tc>
                <w:tcPr>
                  <w:tcW w:w="895" w:type="pct"/>
                  <w:tcBorders>
                    <w:top w:val="nil"/>
                    <w:left w:val="nil"/>
                    <w:bottom w:val="single" w:sz="4" w:space="0" w:color="auto"/>
                    <w:right w:val="single" w:sz="4" w:space="0" w:color="auto"/>
                  </w:tcBorders>
                  <w:shd w:val="clear" w:color="auto" w:fill="auto"/>
                  <w:noWrap/>
                  <w:vAlign w:val="center"/>
                  <w:hideMark/>
                </w:tcPr>
                <w:p w14:paraId="35EB2F10" w14:textId="77777777" w:rsidR="00F93145" w:rsidRPr="00991634" w:rsidRDefault="00F93145" w:rsidP="00AA26C0">
                  <w:pPr>
                    <w:pStyle w:val="TableTextCentered"/>
                  </w:pPr>
                  <w:r w:rsidRPr="00991634">
                    <w:t>100,000</w:t>
                  </w:r>
                </w:p>
              </w:tc>
              <w:tc>
                <w:tcPr>
                  <w:tcW w:w="881" w:type="pct"/>
                  <w:tcBorders>
                    <w:top w:val="nil"/>
                    <w:left w:val="nil"/>
                    <w:bottom w:val="single" w:sz="4" w:space="0" w:color="auto"/>
                    <w:right w:val="single" w:sz="4" w:space="0" w:color="auto"/>
                  </w:tcBorders>
                  <w:shd w:val="clear" w:color="auto" w:fill="auto"/>
                  <w:noWrap/>
                  <w:vAlign w:val="center"/>
                  <w:hideMark/>
                </w:tcPr>
                <w:p w14:paraId="1A793DF9" w14:textId="77777777" w:rsidR="00F93145" w:rsidRPr="00991634" w:rsidRDefault="00F93145" w:rsidP="00AA26C0">
                  <w:pPr>
                    <w:pStyle w:val="TableTextCentered"/>
                  </w:pPr>
                  <w:r w:rsidRPr="00991634">
                    <w:t>8,500</w:t>
                  </w:r>
                </w:p>
              </w:tc>
              <w:tc>
                <w:tcPr>
                  <w:tcW w:w="1125" w:type="pct"/>
                  <w:tcBorders>
                    <w:top w:val="nil"/>
                    <w:left w:val="nil"/>
                    <w:bottom w:val="single" w:sz="4" w:space="0" w:color="auto"/>
                    <w:right w:val="single" w:sz="4" w:space="0" w:color="auto"/>
                  </w:tcBorders>
                  <w:shd w:val="clear" w:color="auto" w:fill="auto"/>
                  <w:noWrap/>
                  <w:vAlign w:val="center"/>
                  <w:hideMark/>
                </w:tcPr>
                <w:p w14:paraId="384B4609" w14:textId="77777777" w:rsidR="00F93145" w:rsidRPr="00991634" w:rsidRDefault="00F93145" w:rsidP="00AA26C0">
                  <w:pPr>
                    <w:pStyle w:val="TableTextCentered"/>
                  </w:pPr>
                  <w:r w:rsidRPr="00991634">
                    <w:t>0</w:t>
                  </w:r>
                </w:p>
              </w:tc>
              <w:tc>
                <w:tcPr>
                  <w:tcW w:w="835" w:type="pct"/>
                  <w:tcBorders>
                    <w:top w:val="nil"/>
                    <w:left w:val="nil"/>
                    <w:bottom w:val="single" w:sz="4" w:space="0" w:color="auto"/>
                    <w:right w:val="single" w:sz="4" w:space="0" w:color="auto"/>
                  </w:tcBorders>
                  <w:shd w:val="clear" w:color="auto" w:fill="auto"/>
                  <w:noWrap/>
                  <w:vAlign w:val="center"/>
                  <w:hideMark/>
                </w:tcPr>
                <w:p w14:paraId="3ACA932C" w14:textId="77777777" w:rsidR="00F93145" w:rsidRPr="00991634" w:rsidRDefault="00F93145" w:rsidP="00AA26C0">
                  <w:pPr>
                    <w:pStyle w:val="TableTextCentered"/>
                  </w:pPr>
                  <w:r w:rsidRPr="00991634">
                    <w:t>108,500</w:t>
                  </w:r>
                </w:p>
              </w:tc>
            </w:tr>
            <w:tr w:rsidR="00F93145" w:rsidRPr="00991634" w14:paraId="15F310D8" w14:textId="77777777" w:rsidTr="00F93145">
              <w:trPr>
                <w:trHeight w:val="288"/>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3899C832" w14:textId="77777777" w:rsidR="00F93145" w:rsidRPr="00991634" w:rsidRDefault="00F93145" w:rsidP="00AA26C0">
                  <w:pPr>
                    <w:pStyle w:val="TableTextCentered"/>
                  </w:pPr>
                  <w:r w:rsidRPr="00991634">
                    <w:t>2021-22</w:t>
                  </w:r>
                </w:p>
              </w:tc>
              <w:tc>
                <w:tcPr>
                  <w:tcW w:w="773" w:type="pct"/>
                  <w:tcBorders>
                    <w:top w:val="nil"/>
                    <w:left w:val="nil"/>
                    <w:bottom w:val="single" w:sz="4" w:space="0" w:color="auto"/>
                    <w:right w:val="single" w:sz="4" w:space="0" w:color="auto"/>
                  </w:tcBorders>
                  <w:shd w:val="clear" w:color="auto" w:fill="auto"/>
                  <w:noWrap/>
                  <w:vAlign w:val="center"/>
                  <w:hideMark/>
                </w:tcPr>
                <w:p w14:paraId="7EA1FB6E" w14:textId="77777777" w:rsidR="00F93145" w:rsidRPr="00991634" w:rsidRDefault="00F93145" w:rsidP="00AA26C0">
                  <w:pPr>
                    <w:pStyle w:val="TableTextCentered"/>
                  </w:pPr>
                  <w:r w:rsidRPr="00991634">
                    <w:t>8.50%</w:t>
                  </w:r>
                </w:p>
              </w:tc>
              <w:tc>
                <w:tcPr>
                  <w:tcW w:w="895" w:type="pct"/>
                  <w:tcBorders>
                    <w:top w:val="nil"/>
                    <w:left w:val="nil"/>
                    <w:bottom w:val="single" w:sz="4" w:space="0" w:color="auto"/>
                    <w:right w:val="single" w:sz="4" w:space="0" w:color="auto"/>
                  </w:tcBorders>
                  <w:shd w:val="clear" w:color="auto" w:fill="auto"/>
                  <w:noWrap/>
                  <w:vAlign w:val="center"/>
                  <w:hideMark/>
                </w:tcPr>
                <w:p w14:paraId="27379FED" w14:textId="77777777" w:rsidR="00F93145" w:rsidRPr="00991634" w:rsidRDefault="00F93145" w:rsidP="00AA26C0">
                  <w:pPr>
                    <w:pStyle w:val="TableTextCentered"/>
                  </w:pPr>
                  <w:r w:rsidRPr="00991634">
                    <w:t>108,500</w:t>
                  </w:r>
                </w:p>
              </w:tc>
              <w:tc>
                <w:tcPr>
                  <w:tcW w:w="881" w:type="pct"/>
                  <w:tcBorders>
                    <w:top w:val="nil"/>
                    <w:left w:val="nil"/>
                    <w:bottom w:val="single" w:sz="4" w:space="0" w:color="auto"/>
                    <w:right w:val="single" w:sz="4" w:space="0" w:color="auto"/>
                  </w:tcBorders>
                  <w:shd w:val="clear" w:color="auto" w:fill="auto"/>
                  <w:noWrap/>
                  <w:vAlign w:val="center"/>
                  <w:hideMark/>
                </w:tcPr>
                <w:p w14:paraId="1BFF0F68" w14:textId="77777777" w:rsidR="00F93145" w:rsidRPr="00991634" w:rsidRDefault="00F93145" w:rsidP="00AA26C0">
                  <w:pPr>
                    <w:pStyle w:val="TableTextCentered"/>
                  </w:pPr>
                  <w:r w:rsidRPr="00991634">
                    <w:t>9,223</w:t>
                  </w:r>
                </w:p>
              </w:tc>
              <w:tc>
                <w:tcPr>
                  <w:tcW w:w="1125" w:type="pct"/>
                  <w:tcBorders>
                    <w:top w:val="nil"/>
                    <w:left w:val="nil"/>
                    <w:bottom w:val="single" w:sz="4" w:space="0" w:color="auto"/>
                    <w:right w:val="single" w:sz="4" w:space="0" w:color="auto"/>
                  </w:tcBorders>
                  <w:shd w:val="clear" w:color="auto" w:fill="auto"/>
                  <w:noWrap/>
                  <w:vAlign w:val="center"/>
                  <w:hideMark/>
                </w:tcPr>
                <w:p w14:paraId="22FEC720" w14:textId="77777777" w:rsidR="00F93145" w:rsidRPr="00991634" w:rsidRDefault="00F93145" w:rsidP="00AA26C0">
                  <w:pPr>
                    <w:pStyle w:val="TableTextCentered"/>
                  </w:pPr>
                  <w:r w:rsidRPr="00991634">
                    <w:t>0</w:t>
                  </w:r>
                </w:p>
              </w:tc>
              <w:tc>
                <w:tcPr>
                  <w:tcW w:w="835" w:type="pct"/>
                  <w:tcBorders>
                    <w:top w:val="nil"/>
                    <w:left w:val="nil"/>
                    <w:bottom w:val="single" w:sz="4" w:space="0" w:color="auto"/>
                    <w:right w:val="single" w:sz="4" w:space="0" w:color="auto"/>
                  </w:tcBorders>
                  <w:shd w:val="clear" w:color="auto" w:fill="auto"/>
                  <w:noWrap/>
                  <w:vAlign w:val="center"/>
                  <w:hideMark/>
                </w:tcPr>
                <w:p w14:paraId="2329CEE6" w14:textId="77777777" w:rsidR="00F93145" w:rsidRPr="00991634" w:rsidRDefault="00F93145" w:rsidP="00AA26C0">
                  <w:pPr>
                    <w:pStyle w:val="TableTextCentered"/>
                  </w:pPr>
                  <w:r w:rsidRPr="00991634">
                    <w:t>117,723</w:t>
                  </w:r>
                </w:p>
              </w:tc>
            </w:tr>
            <w:tr w:rsidR="00F93145" w:rsidRPr="00991634" w14:paraId="4E1C41D6" w14:textId="77777777" w:rsidTr="00F93145">
              <w:trPr>
                <w:trHeight w:val="288"/>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28D9E64B" w14:textId="77777777" w:rsidR="00F93145" w:rsidRPr="00991634" w:rsidRDefault="00F93145" w:rsidP="00AA26C0">
                  <w:pPr>
                    <w:pStyle w:val="TableTextCentered"/>
                  </w:pPr>
                  <w:r w:rsidRPr="00991634">
                    <w:t>2022-23</w:t>
                  </w:r>
                </w:p>
              </w:tc>
              <w:tc>
                <w:tcPr>
                  <w:tcW w:w="773" w:type="pct"/>
                  <w:tcBorders>
                    <w:top w:val="nil"/>
                    <w:left w:val="nil"/>
                    <w:bottom w:val="single" w:sz="4" w:space="0" w:color="auto"/>
                    <w:right w:val="single" w:sz="4" w:space="0" w:color="auto"/>
                  </w:tcBorders>
                  <w:shd w:val="clear" w:color="auto" w:fill="auto"/>
                  <w:noWrap/>
                  <w:vAlign w:val="center"/>
                  <w:hideMark/>
                </w:tcPr>
                <w:p w14:paraId="4A648B16" w14:textId="77777777" w:rsidR="00F93145" w:rsidRPr="00991634" w:rsidRDefault="00F93145" w:rsidP="00AA26C0">
                  <w:pPr>
                    <w:pStyle w:val="TableTextCentered"/>
                  </w:pPr>
                  <w:r w:rsidRPr="00991634">
                    <w:t>8.50%</w:t>
                  </w:r>
                </w:p>
              </w:tc>
              <w:tc>
                <w:tcPr>
                  <w:tcW w:w="895" w:type="pct"/>
                  <w:tcBorders>
                    <w:top w:val="nil"/>
                    <w:left w:val="nil"/>
                    <w:bottom w:val="single" w:sz="4" w:space="0" w:color="auto"/>
                    <w:right w:val="single" w:sz="4" w:space="0" w:color="auto"/>
                  </w:tcBorders>
                  <w:shd w:val="clear" w:color="auto" w:fill="auto"/>
                  <w:noWrap/>
                  <w:vAlign w:val="center"/>
                  <w:hideMark/>
                </w:tcPr>
                <w:p w14:paraId="0E389B8B" w14:textId="77777777" w:rsidR="00F93145" w:rsidRPr="00991634" w:rsidRDefault="00F93145" w:rsidP="00AA26C0">
                  <w:pPr>
                    <w:pStyle w:val="TableTextCentered"/>
                  </w:pPr>
                  <w:r w:rsidRPr="00991634">
                    <w:t>117,723</w:t>
                  </w:r>
                </w:p>
              </w:tc>
              <w:tc>
                <w:tcPr>
                  <w:tcW w:w="881" w:type="pct"/>
                  <w:tcBorders>
                    <w:top w:val="nil"/>
                    <w:left w:val="nil"/>
                    <w:bottom w:val="single" w:sz="4" w:space="0" w:color="auto"/>
                    <w:right w:val="single" w:sz="4" w:space="0" w:color="auto"/>
                  </w:tcBorders>
                  <w:shd w:val="clear" w:color="auto" w:fill="auto"/>
                  <w:noWrap/>
                  <w:vAlign w:val="center"/>
                  <w:hideMark/>
                </w:tcPr>
                <w:p w14:paraId="2CB3E117" w14:textId="77777777" w:rsidR="00F93145" w:rsidRPr="00991634" w:rsidRDefault="00F93145" w:rsidP="00AA26C0">
                  <w:pPr>
                    <w:pStyle w:val="TableTextCentered"/>
                  </w:pPr>
                  <w:r w:rsidRPr="00991634">
                    <w:t>10,006</w:t>
                  </w:r>
                </w:p>
              </w:tc>
              <w:tc>
                <w:tcPr>
                  <w:tcW w:w="1125" w:type="pct"/>
                  <w:tcBorders>
                    <w:top w:val="nil"/>
                    <w:left w:val="nil"/>
                    <w:bottom w:val="single" w:sz="4" w:space="0" w:color="auto"/>
                    <w:right w:val="single" w:sz="4" w:space="0" w:color="auto"/>
                  </w:tcBorders>
                  <w:shd w:val="clear" w:color="auto" w:fill="auto"/>
                  <w:noWrap/>
                  <w:vAlign w:val="center"/>
                  <w:hideMark/>
                </w:tcPr>
                <w:p w14:paraId="0BCEEEAC" w14:textId="77777777" w:rsidR="00F93145" w:rsidRPr="00991634" w:rsidRDefault="00F93145" w:rsidP="00AA26C0">
                  <w:pPr>
                    <w:pStyle w:val="TableTextCentered"/>
                  </w:pPr>
                  <w:r w:rsidRPr="00991634">
                    <w:t>52,729</w:t>
                  </w:r>
                  <w:r w:rsidRPr="00991634">
                    <w:rPr>
                      <w:rStyle w:val="FootnoteReference"/>
                    </w:rPr>
                    <w:footnoteReference w:id="3"/>
                  </w:r>
                </w:p>
              </w:tc>
              <w:tc>
                <w:tcPr>
                  <w:tcW w:w="835" w:type="pct"/>
                  <w:tcBorders>
                    <w:top w:val="nil"/>
                    <w:left w:val="nil"/>
                    <w:bottom w:val="single" w:sz="4" w:space="0" w:color="auto"/>
                    <w:right w:val="single" w:sz="4" w:space="0" w:color="auto"/>
                  </w:tcBorders>
                  <w:shd w:val="clear" w:color="auto" w:fill="auto"/>
                  <w:noWrap/>
                  <w:vAlign w:val="center"/>
                  <w:hideMark/>
                </w:tcPr>
                <w:p w14:paraId="1CA7029F" w14:textId="77777777" w:rsidR="00F93145" w:rsidRPr="00991634" w:rsidRDefault="00F93145" w:rsidP="00AA26C0">
                  <w:pPr>
                    <w:pStyle w:val="TableTextCentered"/>
                  </w:pPr>
                  <w:r w:rsidRPr="00991634">
                    <w:t>75,000</w:t>
                  </w:r>
                </w:p>
              </w:tc>
            </w:tr>
            <w:tr w:rsidR="00F93145" w:rsidRPr="00991634" w14:paraId="3660C1CC" w14:textId="77777777" w:rsidTr="00F93145">
              <w:trPr>
                <w:trHeight w:val="288"/>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2D1691CD" w14:textId="77777777" w:rsidR="00F93145" w:rsidRPr="00991634" w:rsidRDefault="00F93145" w:rsidP="00AA26C0">
                  <w:pPr>
                    <w:pStyle w:val="TableTextCentered"/>
                  </w:pPr>
                  <w:r w:rsidRPr="00991634">
                    <w:t>2023-24</w:t>
                  </w:r>
                </w:p>
              </w:tc>
              <w:tc>
                <w:tcPr>
                  <w:tcW w:w="773" w:type="pct"/>
                  <w:tcBorders>
                    <w:top w:val="nil"/>
                    <w:left w:val="nil"/>
                    <w:bottom w:val="single" w:sz="4" w:space="0" w:color="auto"/>
                    <w:right w:val="single" w:sz="4" w:space="0" w:color="auto"/>
                  </w:tcBorders>
                  <w:shd w:val="clear" w:color="auto" w:fill="auto"/>
                  <w:noWrap/>
                  <w:vAlign w:val="center"/>
                  <w:hideMark/>
                </w:tcPr>
                <w:p w14:paraId="55E41DE5" w14:textId="77777777" w:rsidR="00F93145" w:rsidRPr="00991634" w:rsidRDefault="00F93145" w:rsidP="00AA26C0">
                  <w:pPr>
                    <w:pStyle w:val="TableTextCentered"/>
                  </w:pPr>
                  <w:r w:rsidRPr="00991634">
                    <w:t>8.50%</w:t>
                  </w:r>
                </w:p>
              </w:tc>
              <w:tc>
                <w:tcPr>
                  <w:tcW w:w="895" w:type="pct"/>
                  <w:tcBorders>
                    <w:top w:val="nil"/>
                    <w:left w:val="nil"/>
                    <w:bottom w:val="single" w:sz="4" w:space="0" w:color="auto"/>
                    <w:right w:val="single" w:sz="4" w:space="0" w:color="auto"/>
                  </w:tcBorders>
                  <w:shd w:val="clear" w:color="auto" w:fill="auto"/>
                  <w:noWrap/>
                  <w:vAlign w:val="center"/>
                  <w:hideMark/>
                </w:tcPr>
                <w:p w14:paraId="2B5BAB6A" w14:textId="77777777" w:rsidR="00F93145" w:rsidRPr="00991634" w:rsidRDefault="00F93145" w:rsidP="00AA26C0">
                  <w:pPr>
                    <w:pStyle w:val="TableTextCentered"/>
                  </w:pPr>
                  <w:r w:rsidRPr="00991634">
                    <w:t>75,000</w:t>
                  </w:r>
                </w:p>
              </w:tc>
              <w:tc>
                <w:tcPr>
                  <w:tcW w:w="881" w:type="pct"/>
                  <w:tcBorders>
                    <w:top w:val="nil"/>
                    <w:left w:val="nil"/>
                    <w:bottom w:val="single" w:sz="4" w:space="0" w:color="auto"/>
                    <w:right w:val="single" w:sz="4" w:space="0" w:color="auto"/>
                  </w:tcBorders>
                  <w:shd w:val="clear" w:color="auto" w:fill="auto"/>
                  <w:noWrap/>
                  <w:vAlign w:val="center"/>
                  <w:hideMark/>
                </w:tcPr>
                <w:p w14:paraId="76CBD773" w14:textId="77777777" w:rsidR="00F93145" w:rsidRPr="00991634" w:rsidRDefault="00F93145" w:rsidP="00AA26C0">
                  <w:pPr>
                    <w:pStyle w:val="TableTextCentered"/>
                  </w:pPr>
                  <w:r w:rsidRPr="00991634">
                    <w:t>6,375</w:t>
                  </w:r>
                </w:p>
              </w:tc>
              <w:tc>
                <w:tcPr>
                  <w:tcW w:w="1125" w:type="pct"/>
                  <w:tcBorders>
                    <w:top w:val="nil"/>
                    <w:left w:val="nil"/>
                    <w:bottom w:val="single" w:sz="4" w:space="0" w:color="auto"/>
                    <w:right w:val="single" w:sz="4" w:space="0" w:color="auto"/>
                  </w:tcBorders>
                  <w:shd w:val="clear" w:color="auto" w:fill="auto"/>
                  <w:noWrap/>
                  <w:vAlign w:val="center"/>
                  <w:hideMark/>
                </w:tcPr>
                <w:p w14:paraId="05153DBC" w14:textId="77777777" w:rsidR="00F93145" w:rsidRPr="00991634" w:rsidRDefault="00F93145" w:rsidP="00AA26C0">
                  <w:pPr>
                    <w:pStyle w:val="TableTextCentered"/>
                  </w:pPr>
                  <w:r w:rsidRPr="00991634">
                    <w:t>0</w:t>
                  </w:r>
                </w:p>
              </w:tc>
              <w:tc>
                <w:tcPr>
                  <w:tcW w:w="835" w:type="pct"/>
                  <w:tcBorders>
                    <w:top w:val="nil"/>
                    <w:left w:val="nil"/>
                    <w:bottom w:val="single" w:sz="4" w:space="0" w:color="auto"/>
                    <w:right w:val="single" w:sz="4" w:space="0" w:color="auto"/>
                  </w:tcBorders>
                  <w:shd w:val="clear" w:color="auto" w:fill="auto"/>
                  <w:noWrap/>
                  <w:vAlign w:val="center"/>
                  <w:hideMark/>
                </w:tcPr>
                <w:p w14:paraId="1AEDF871" w14:textId="77777777" w:rsidR="00F93145" w:rsidRPr="00991634" w:rsidRDefault="00F93145" w:rsidP="00AA26C0">
                  <w:pPr>
                    <w:pStyle w:val="TableTextCentered"/>
                  </w:pPr>
                  <w:r w:rsidRPr="00991634">
                    <w:t>81,375</w:t>
                  </w:r>
                </w:p>
              </w:tc>
            </w:tr>
            <w:tr w:rsidR="00F93145" w:rsidRPr="00991634" w14:paraId="7CDFA905" w14:textId="77777777" w:rsidTr="00F93145">
              <w:trPr>
                <w:trHeight w:val="288"/>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38F7722C" w14:textId="77777777" w:rsidR="00F93145" w:rsidRPr="00991634" w:rsidRDefault="00F93145" w:rsidP="00AA26C0">
                  <w:pPr>
                    <w:pStyle w:val="TableTextCentered"/>
                  </w:pPr>
                  <w:r w:rsidRPr="00991634">
                    <w:t>2024-25</w:t>
                  </w:r>
                </w:p>
              </w:tc>
              <w:tc>
                <w:tcPr>
                  <w:tcW w:w="773" w:type="pct"/>
                  <w:tcBorders>
                    <w:top w:val="nil"/>
                    <w:left w:val="nil"/>
                    <w:bottom w:val="single" w:sz="4" w:space="0" w:color="auto"/>
                    <w:right w:val="single" w:sz="4" w:space="0" w:color="auto"/>
                  </w:tcBorders>
                  <w:shd w:val="clear" w:color="auto" w:fill="auto"/>
                  <w:noWrap/>
                  <w:vAlign w:val="center"/>
                  <w:hideMark/>
                </w:tcPr>
                <w:p w14:paraId="07E3CB45" w14:textId="77777777" w:rsidR="00F93145" w:rsidRPr="00991634" w:rsidRDefault="00F93145" w:rsidP="00AA26C0">
                  <w:pPr>
                    <w:pStyle w:val="TableTextCentered"/>
                  </w:pPr>
                  <w:r w:rsidRPr="00991634">
                    <w:t>8.50%</w:t>
                  </w:r>
                </w:p>
              </w:tc>
              <w:tc>
                <w:tcPr>
                  <w:tcW w:w="895" w:type="pct"/>
                  <w:tcBorders>
                    <w:top w:val="nil"/>
                    <w:left w:val="nil"/>
                    <w:bottom w:val="single" w:sz="4" w:space="0" w:color="auto"/>
                    <w:right w:val="single" w:sz="4" w:space="0" w:color="auto"/>
                  </w:tcBorders>
                  <w:shd w:val="clear" w:color="auto" w:fill="auto"/>
                  <w:noWrap/>
                  <w:vAlign w:val="center"/>
                  <w:hideMark/>
                </w:tcPr>
                <w:p w14:paraId="48F9BBE8" w14:textId="77777777" w:rsidR="00F93145" w:rsidRPr="00991634" w:rsidRDefault="00F93145" w:rsidP="00AA26C0">
                  <w:pPr>
                    <w:pStyle w:val="TableTextCentered"/>
                  </w:pPr>
                  <w:r w:rsidRPr="00991634">
                    <w:t>81,375</w:t>
                  </w:r>
                </w:p>
              </w:tc>
              <w:tc>
                <w:tcPr>
                  <w:tcW w:w="881" w:type="pct"/>
                  <w:tcBorders>
                    <w:top w:val="nil"/>
                    <w:left w:val="nil"/>
                    <w:bottom w:val="single" w:sz="4" w:space="0" w:color="auto"/>
                    <w:right w:val="single" w:sz="4" w:space="0" w:color="auto"/>
                  </w:tcBorders>
                  <w:shd w:val="clear" w:color="auto" w:fill="auto"/>
                  <w:noWrap/>
                  <w:vAlign w:val="center"/>
                  <w:hideMark/>
                </w:tcPr>
                <w:p w14:paraId="2FAA82B5" w14:textId="77777777" w:rsidR="00F93145" w:rsidRPr="00991634" w:rsidRDefault="00F93145" w:rsidP="00AA26C0">
                  <w:pPr>
                    <w:pStyle w:val="TableTextCentered"/>
                  </w:pPr>
                  <w:r w:rsidRPr="00991634">
                    <w:t>6,917</w:t>
                  </w:r>
                </w:p>
              </w:tc>
              <w:tc>
                <w:tcPr>
                  <w:tcW w:w="1125" w:type="pct"/>
                  <w:tcBorders>
                    <w:top w:val="nil"/>
                    <w:left w:val="nil"/>
                    <w:bottom w:val="single" w:sz="4" w:space="0" w:color="auto"/>
                    <w:right w:val="single" w:sz="4" w:space="0" w:color="auto"/>
                  </w:tcBorders>
                  <w:shd w:val="clear" w:color="auto" w:fill="auto"/>
                  <w:noWrap/>
                  <w:vAlign w:val="center"/>
                  <w:hideMark/>
                </w:tcPr>
                <w:p w14:paraId="3B6521E9" w14:textId="77777777" w:rsidR="00F93145" w:rsidRPr="00991634" w:rsidRDefault="00F93145" w:rsidP="00AA26C0">
                  <w:pPr>
                    <w:pStyle w:val="TableTextCentered"/>
                  </w:pPr>
                  <w:r w:rsidRPr="00991634">
                    <w:t>33,292</w:t>
                  </w:r>
                  <w:r w:rsidRPr="000248E3">
                    <w:rPr>
                      <w:rStyle w:val="FootnoteReference"/>
                    </w:rPr>
                    <w:footnoteReference w:id="4"/>
                  </w:r>
                </w:p>
              </w:tc>
              <w:tc>
                <w:tcPr>
                  <w:tcW w:w="835" w:type="pct"/>
                  <w:tcBorders>
                    <w:top w:val="nil"/>
                    <w:left w:val="nil"/>
                    <w:bottom w:val="single" w:sz="4" w:space="0" w:color="auto"/>
                    <w:right w:val="single" w:sz="4" w:space="0" w:color="auto"/>
                  </w:tcBorders>
                  <w:shd w:val="clear" w:color="auto" w:fill="auto"/>
                  <w:noWrap/>
                  <w:vAlign w:val="center"/>
                  <w:hideMark/>
                </w:tcPr>
                <w:p w14:paraId="31D2BE6A" w14:textId="77777777" w:rsidR="00F93145" w:rsidRPr="00991634" w:rsidRDefault="00F93145" w:rsidP="00AA26C0">
                  <w:pPr>
                    <w:pStyle w:val="TableTextCentered"/>
                  </w:pPr>
                  <w:r w:rsidRPr="00991634">
                    <w:t>55,000</w:t>
                  </w:r>
                </w:p>
              </w:tc>
            </w:tr>
            <w:tr w:rsidR="00F93145" w:rsidRPr="00991634" w14:paraId="781245B2" w14:textId="77777777" w:rsidTr="00F93145">
              <w:trPr>
                <w:trHeight w:val="288"/>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2B640DB8" w14:textId="77777777" w:rsidR="00F93145" w:rsidRPr="00991634" w:rsidRDefault="00F93145" w:rsidP="00AA26C0">
                  <w:pPr>
                    <w:pStyle w:val="TableTextCentered"/>
                  </w:pPr>
                  <w:r w:rsidRPr="00991634">
                    <w:t>2025-26</w:t>
                  </w:r>
                </w:p>
              </w:tc>
              <w:tc>
                <w:tcPr>
                  <w:tcW w:w="773" w:type="pct"/>
                  <w:tcBorders>
                    <w:top w:val="nil"/>
                    <w:left w:val="nil"/>
                    <w:bottom w:val="single" w:sz="4" w:space="0" w:color="auto"/>
                    <w:right w:val="single" w:sz="4" w:space="0" w:color="auto"/>
                  </w:tcBorders>
                  <w:shd w:val="clear" w:color="auto" w:fill="auto"/>
                  <w:noWrap/>
                  <w:vAlign w:val="center"/>
                  <w:hideMark/>
                </w:tcPr>
                <w:p w14:paraId="386F0AB6" w14:textId="77777777" w:rsidR="00F93145" w:rsidRPr="00991634" w:rsidRDefault="00F93145" w:rsidP="00AA26C0">
                  <w:pPr>
                    <w:pStyle w:val="TableTextCentered"/>
                  </w:pPr>
                  <w:r w:rsidRPr="00991634">
                    <w:t>8.50%</w:t>
                  </w:r>
                </w:p>
              </w:tc>
              <w:tc>
                <w:tcPr>
                  <w:tcW w:w="895" w:type="pct"/>
                  <w:tcBorders>
                    <w:top w:val="nil"/>
                    <w:left w:val="nil"/>
                    <w:bottom w:val="single" w:sz="4" w:space="0" w:color="auto"/>
                    <w:right w:val="single" w:sz="4" w:space="0" w:color="auto"/>
                  </w:tcBorders>
                  <w:shd w:val="clear" w:color="auto" w:fill="auto"/>
                  <w:noWrap/>
                  <w:vAlign w:val="center"/>
                  <w:hideMark/>
                </w:tcPr>
                <w:p w14:paraId="16FAAACE" w14:textId="77777777" w:rsidR="00F93145" w:rsidRPr="00991634" w:rsidRDefault="00F93145" w:rsidP="00AA26C0">
                  <w:pPr>
                    <w:pStyle w:val="TableTextCentered"/>
                  </w:pPr>
                  <w:r w:rsidRPr="00991634">
                    <w:t>55,000</w:t>
                  </w:r>
                </w:p>
              </w:tc>
              <w:tc>
                <w:tcPr>
                  <w:tcW w:w="881" w:type="pct"/>
                  <w:tcBorders>
                    <w:top w:val="nil"/>
                    <w:left w:val="nil"/>
                    <w:bottom w:val="single" w:sz="4" w:space="0" w:color="auto"/>
                    <w:right w:val="single" w:sz="4" w:space="0" w:color="auto"/>
                  </w:tcBorders>
                  <w:shd w:val="clear" w:color="auto" w:fill="auto"/>
                  <w:noWrap/>
                  <w:vAlign w:val="center"/>
                  <w:hideMark/>
                </w:tcPr>
                <w:p w14:paraId="29776DA4" w14:textId="77777777" w:rsidR="00F93145" w:rsidRPr="00991634" w:rsidRDefault="00F93145" w:rsidP="00AA26C0">
                  <w:pPr>
                    <w:pStyle w:val="TableTextCentered"/>
                  </w:pPr>
                  <w:r w:rsidRPr="00991634">
                    <w:t>4,675</w:t>
                  </w:r>
                </w:p>
              </w:tc>
              <w:tc>
                <w:tcPr>
                  <w:tcW w:w="1125" w:type="pct"/>
                  <w:tcBorders>
                    <w:top w:val="nil"/>
                    <w:left w:val="nil"/>
                    <w:bottom w:val="single" w:sz="4" w:space="0" w:color="auto"/>
                    <w:right w:val="single" w:sz="4" w:space="0" w:color="auto"/>
                  </w:tcBorders>
                  <w:shd w:val="clear" w:color="auto" w:fill="auto"/>
                  <w:noWrap/>
                  <w:vAlign w:val="center"/>
                  <w:hideMark/>
                </w:tcPr>
                <w:p w14:paraId="65B5E705" w14:textId="77777777" w:rsidR="00F93145" w:rsidRPr="00991634" w:rsidRDefault="00F93145" w:rsidP="00AA26C0">
                  <w:pPr>
                    <w:pStyle w:val="TableTextCentered"/>
                  </w:pPr>
                  <w:r w:rsidRPr="00991634">
                    <w:t>0</w:t>
                  </w:r>
                </w:p>
              </w:tc>
              <w:tc>
                <w:tcPr>
                  <w:tcW w:w="835" w:type="pct"/>
                  <w:tcBorders>
                    <w:top w:val="nil"/>
                    <w:left w:val="nil"/>
                    <w:bottom w:val="single" w:sz="4" w:space="0" w:color="auto"/>
                    <w:right w:val="single" w:sz="4" w:space="0" w:color="auto"/>
                  </w:tcBorders>
                  <w:shd w:val="clear" w:color="auto" w:fill="auto"/>
                  <w:noWrap/>
                  <w:vAlign w:val="center"/>
                  <w:hideMark/>
                </w:tcPr>
                <w:p w14:paraId="0E6C9EBC" w14:textId="77777777" w:rsidR="00F93145" w:rsidRPr="00991634" w:rsidRDefault="00F93145" w:rsidP="00AA26C0">
                  <w:pPr>
                    <w:pStyle w:val="TableTextCentered"/>
                  </w:pPr>
                  <w:r w:rsidRPr="00991634">
                    <w:t>59,675</w:t>
                  </w:r>
                </w:p>
              </w:tc>
            </w:tr>
            <w:tr w:rsidR="00F93145" w:rsidRPr="00991634" w14:paraId="73EF6DFF" w14:textId="77777777" w:rsidTr="00F93145">
              <w:trPr>
                <w:trHeight w:val="288"/>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7008AEBA" w14:textId="77777777" w:rsidR="00F93145" w:rsidRPr="00991634" w:rsidRDefault="00F93145" w:rsidP="00AA26C0">
                  <w:pPr>
                    <w:pStyle w:val="TableTextCentered"/>
                  </w:pPr>
                  <w:r w:rsidRPr="00991634">
                    <w:t>2026-27</w:t>
                  </w:r>
                </w:p>
              </w:tc>
              <w:tc>
                <w:tcPr>
                  <w:tcW w:w="773" w:type="pct"/>
                  <w:tcBorders>
                    <w:top w:val="nil"/>
                    <w:left w:val="nil"/>
                    <w:bottom w:val="single" w:sz="4" w:space="0" w:color="auto"/>
                    <w:right w:val="single" w:sz="4" w:space="0" w:color="auto"/>
                  </w:tcBorders>
                  <w:shd w:val="clear" w:color="auto" w:fill="auto"/>
                  <w:noWrap/>
                  <w:vAlign w:val="center"/>
                  <w:hideMark/>
                </w:tcPr>
                <w:p w14:paraId="18241986" w14:textId="77777777" w:rsidR="00F93145" w:rsidRPr="00991634" w:rsidRDefault="00F93145" w:rsidP="00AA26C0">
                  <w:pPr>
                    <w:pStyle w:val="TableTextCentered"/>
                  </w:pPr>
                  <w:r w:rsidRPr="00991634">
                    <w:t>8.50%</w:t>
                  </w:r>
                </w:p>
              </w:tc>
              <w:tc>
                <w:tcPr>
                  <w:tcW w:w="895" w:type="pct"/>
                  <w:tcBorders>
                    <w:top w:val="nil"/>
                    <w:left w:val="nil"/>
                    <w:bottom w:val="single" w:sz="4" w:space="0" w:color="auto"/>
                    <w:right w:val="single" w:sz="4" w:space="0" w:color="auto"/>
                  </w:tcBorders>
                  <w:shd w:val="clear" w:color="auto" w:fill="auto"/>
                  <w:noWrap/>
                  <w:vAlign w:val="center"/>
                  <w:hideMark/>
                </w:tcPr>
                <w:p w14:paraId="3BF3D836" w14:textId="77777777" w:rsidR="00F93145" w:rsidRPr="00991634" w:rsidRDefault="00F93145" w:rsidP="00AA26C0">
                  <w:pPr>
                    <w:pStyle w:val="TableTextCentered"/>
                  </w:pPr>
                  <w:r w:rsidRPr="00991634">
                    <w:t>59,675</w:t>
                  </w:r>
                </w:p>
              </w:tc>
              <w:tc>
                <w:tcPr>
                  <w:tcW w:w="881" w:type="pct"/>
                  <w:tcBorders>
                    <w:top w:val="nil"/>
                    <w:left w:val="nil"/>
                    <w:bottom w:val="single" w:sz="4" w:space="0" w:color="auto"/>
                    <w:right w:val="single" w:sz="4" w:space="0" w:color="auto"/>
                  </w:tcBorders>
                  <w:shd w:val="clear" w:color="auto" w:fill="auto"/>
                  <w:noWrap/>
                  <w:vAlign w:val="center"/>
                  <w:hideMark/>
                </w:tcPr>
                <w:p w14:paraId="14BA61BE" w14:textId="77777777" w:rsidR="00F93145" w:rsidRPr="00991634" w:rsidRDefault="00F93145" w:rsidP="00AA26C0">
                  <w:pPr>
                    <w:pStyle w:val="TableTextCentered"/>
                  </w:pPr>
                  <w:r w:rsidRPr="00991634">
                    <w:t>5,072</w:t>
                  </w:r>
                </w:p>
              </w:tc>
              <w:tc>
                <w:tcPr>
                  <w:tcW w:w="1125" w:type="pct"/>
                  <w:tcBorders>
                    <w:top w:val="nil"/>
                    <w:left w:val="nil"/>
                    <w:bottom w:val="single" w:sz="4" w:space="0" w:color="auto"/>
                    <w:right w:val="single" w:sz="4" w:space="0" w:color="auto"/>
                  </w:tcBorders>
                  <w:shd w:val="clear" w:color="auto" w:fill="auto"/>
                  <w:noWrap/>
                  <w:vAlign w:val="center"/>
                  <w:hideMark/>
                </w:tcPr>
                <w:p w14:paraId="4D446C7F" w14:textId="77777777" w:rsidR="00F93145" w:rsidRPr="00991634" w:rsidRDefault="00F93145" w:rsidP="00AA26C0">
                  <w:pPr>
                    <w:pStyle w:val="TableTextCentered"/>
                  </w:pPr>
                  <w:r w:rsidRPr="00991634">
                    <w:t>0</w:t>
                  </w:r>
                </w:p>
              </w:tc>
              <w:tc>
                <w:tcPr>
                  <w:tcW w:w="835" w:type="pct"/>
                  <w:tcBorders>
                    <w:top w:val="nil"/>
                    <w:left w:val="nil"/>
                    <w:bottom w:val="single" w:sz="4" w:space="0" w:color="auto"/>
                    <w:right w:val="single" w:sz="4" w:space="0" w:color="auto"/>
                  </w:tcBorders>
                  <w:shd w:val="clear" w:color="auto" w:fill="auto"/>
                  <w:noWrap/>
                  <w:vAlign w:val="center"/>
                  <w:hideMark/>
                </w:tcPr>
                <w:p w14:paraId="55031FFF" w14:textId="77777777" w:rsidR="00F93145" w:rsidRPr="00991634" w:rsidRDefault="00F93145" w:rsidP="00AA26C0">
                  <w:pPr>
                    <w:pStyle w:val="TableTextCentered"/>
                  </w:pPr>
                  <w:r w:rsidRPr="00991634">
                    <w:t>64,747</w:t>
                  </w:r>
                </w:p>
              </w:tc>
            </w:tr>
            <w:tr w:rsidR="00F93145" w:rsidRPr="00991634" w14:paraId="4A01CB31" w14:textId="77777777" w:rsidTr="00F93145">
              <w:trPr>
                <w:trHeight w:val="288"/>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435BD336" w14:textId="77777777" w:rsidR="00F93145" w:rsidRPr="00991634" w:rsidRDefault="00F93145" w:rsidP="00AA26C0">
                  <w:pPr>
                    <w:pStyle w:val="TableTextCentered"/>
                  </w:pPr>
                  <w:r w:rsidRPr="00991634">
                    <w:t>2027-28</w:t>
                  </w:r>
                </w:p>
              </w:tc>
              <w:tc>
                <w:tcPr>
                  <w:tcW w:w="773" w:type="pct"/>
                  <w:tcBorders>
                    <w:top w:val="nil"/>
                    <w:left w:val="nil"/>
                    <w:bottom w:val="single" w:sz="4" w:space="0" w:color="auto"/>
                    <w:right w:val="single" w:sz="4" w:space="0" w:color="auto"/>
                  </w:tcBorders>
                  <w:shd w:val="clear" w:color="auto" w:fill="auto"/>
                  <w:noWrap/>
                  <w:vAlign w:val="center"/>
                  <w:hideMark/>
                </w:tcPr>
                <w:p w14:paraId="34C296F5" w14:textId="77777777" w:rsidR="00F93145" w:rsidRPr="00991634" w:rsidRDefault="00F93145" w:rsidP="00AA26C0">
                  <w:pPr>
                    <w:pStyle w:val="TableTextCentered"/>
                  </w:pPr>
                  <w:r w:rsidRPr="00991634">
                    <w:t>8.50%</w:t>
                  </w:r>
                </w:p>
              </w:tc>
              <w:tc>
                <w:tcPr>
                  <w:tcW w:w="895" w:type="pct"/>
                  <w:tcBorders>
                    <w:top w:val="nil"/>
                    <w:left w:val="nil"/>
                    <w:bottom w:val="single" w:sz="4" w:space="0" w:color="auto"/>
                    <w:right w:val="single" w:sz="4" w:space="0" w:color="auto"/>
                  </w:tcBorders>
                  <w:shd w:val="clear" w:color="auto" w:fill="auto"/>
                  <w:noWrap/>
                  <w:vAlign w:val="center"/>
                  <w:hideMark/>
                </w:tcPr>
                <w:p w14:paraId="282614C4" w14:textId="77777777" w:rsidR="00F93145" w:rsidRPr="00991634" w:rsidRDefault="00F93145" w:rsidP="00AA26C0">
                  <w:pPr>
                    <w:pStyle w:val="TableTextCentered"/>
                  </w:pPr>
                  <w:r w:rsidRPr="00991634">
                    <w:t>64,747</w:t>
                  </w:r>
                </w:p>
              </w:tc>
              <w:tc>
                <w:tcPr>
                  <w:tcW w:w="881" w:type="pct"/>
                  <w:tcBorders>
                    <w:top w:val="nil"/>
                    <w:left w:val="nil"/>
                    <w:bottom w:val="single" w:sz="4" w:space="0" w:color="auto"/>
                    <w:right w:val="single" w:sz="4" w:space="0" w:color="auto"/>
                  </w:tcBorders>
                  <w:shd w:val="clear" w:color="auto" w:fill="auto"/>
                  <w:noWrap/>
                  <w:vAlign w:val="center"/>
                  <w:hideMark/>
                </w:tcPr>
                <w:p w14:paraId="57F75BEC" w14:textId="77777777" w:rsidR="00F93145" w:rsidRPr="00991634" w:rsidRDefault="00F93145" w:rsidP="00AA26C0">
                  <w:pPr>
                    <w:pStyle w:val="TableTextCentered"/>
                  </w:pPr>
                  <w:r w:rsidRPr="00991634">
                    <w:t>5,504</w:t>
                  </w:r>
                </w:p>
              </w:tc>
              <w:tc>
                <w:tcPr>
                  <w:tcW w:w="1125" w:type="pct"/>
                  <w:tcBorders>
                    <w:top w:val="nil"/>
                    <w:left w:val="nil"/>
                    <w:bottom w:val="single" w:sz="4" w:space="0" w:color="auto"/>
                    <w:right w:val="single" w:sz="4" w:space="0" w:color="auto"/>
                  </w:tcBorders>
                  <w:shd w:val="clear" w:color="auto" w:fill="auto"/>
                  <w:noWrap/>
                  <w:vAlign w:val="center"/>
                  <w:hideMark/>
                </w:tcPr>
                <w:p w14:paraId="478E59D4" w14:textId="77777777" w:rsidR="00F93145" w:rsidRPr="00991634" w:rsidRDefault="00F93145" w:rsidP="00AA26C0">
                  <w:pPr>
                    <w:pStyle w:val="TableTextCentered"/>
                  </w:pPr>
                  <w:r w:rsidRPr="00991634">
                    <w:t>45,251</w:t>
                  </w:r>
                  <w:r w:rsidRPr="00991634">
                    <w:rPr>
                      <w:rStyle w:val="FootnoteReference"/>
                    </w:rPr>
                    <w:footnoteReference w:id="5"/>
                  </w:r>
                </w:p>
              </w:tc>
              <w:tc>
                <w:tcPr>
                  <w:tcW w:w="835" w:type="pct"/>
                  <w:tcBorders>
                    <w:top w:val="nil"/>
                    <w:left w:val="nil"/>
                    <w:bottom w:val="single" w:sz="4" w:space="0" w:color="auto"/>
                    <w:right w:val="single" w:sz="4" w:space="0" w:color="auto"/>
                  </w:tcBorders>
                  <w:shd w:val="clear" w:color="auto" w:fill="auto"/>
                  <w:noWrap/>
                  <w:vAlign w:val="center"/>
                  <w:hideMark/>
                </w:tcPr>
                <w:p w14:paraId="3B1905D7" w14:textId="77777777" w:rsidR="00F93145" w:rsidRPr="00991634" w:rsidRDefault="00F93145" w:rsidP="00AA26C0">
                  <w:pPr>
                    <w:pStyle w:val="TableTextCentered"/>
                  </w:pPr>
                  <w:r w:rsidRPr="00991634">
                    <w:t>25,000</w:t>
                  </w:r>
                </w:p>
              </w:tc>
            </w:tr>
            <w:tr w:rsidR="00F93145" w:rsidRPr="00991634" w14:paraId="49B758A2" w14:textId="77777777" w:rsidTr="00F93145">
              <w:trPr>
                <w:trHeight w:val="288"/>
              </w:trPr>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41DCF895" w14:textId="77777777" w:rsidR="00F93145" w:rsidRPr="00991634" w:rsidRDefault="00F93145" w:rsidP="00AA26C0">
                  <w:pPr>
                    <w:pStyle w:val="TableTextCentered"/>
                  </w:pPr>
                  <w:r w:rsidRPr="00991634">
                    <w:t>2028-29</w:t>
                  </w:r>
                </w:p>
              </w:tc>
              <w:tc>
                <w:tcPr>
                  <w:tcW w:w="773" w:type="pct"/>
                  <w:tcBorders>
                    <w:top w:val="nil"/>
                    <w:left w:val="nil"/>
                    <w:bottom w:val="single" w:sz="4" w:space="0" w:color="auto"/>
                    <w:right w:val="single" w:sz="4" w:space="0" w:color="auto"/>
                  </w:tcBorders>
                  <w:shd w:val="clear" w:color="auto" w:fill="auto"/>
                  <w:noWrap/>
                  <w:vAlign w:val="center"/>
                  <w:hideMark/>
                </w:tcPr>
                <w:p w14:paraId="5539478A" w14:textId="77777777" w:rsidR="00F93145" w:rsidRPr="00991634" w:rsidRDefault="00F93145" w:rsidP="00AA26C0">
                  <w:pPr>
                    <w:pStyle w:val="TableTextCentered"/>
                  </w:pPr>
                  <w:r w:rsidRPr="00991634">
                    <w:t>8.50%</w:t>
                  </w:r>
                </w:p>
              </w:tc>
              <w:tc>
                <w:tcPr>
                  <w:tcW w:w="895" w:type="pct"/>
                  <w:tcBorders>
                    <w:top w:val="nil"/>
                    <w:left w:val="nil"/>
                    <w:bottom w:val="single" w:sz="4" w:space="0" w:color="auto"/>
                    <w:right w:val="single" w:sz="4" w:space="0" w:color="auto"/>
                  </w:tcBorders>
                  <w:shd w:val="clear" w:color="auto" w:fill="auto"/>
                  <w:noWrap/>
                  <w:vAlign w:val="center"/>
                  <w:hideMark/>
                </w:tcPr>
                <w:p w14:paraId="117A6A0E" w14:textId="77777777" w:rsidR="00F93145" w:rsidRPr="00991634" w:rsidRDefault="00F93145" w:rsidP="00AA26C0">
                  <w:pPr>
                    <w:pStyle w:val="TableTextCentered"/>
                  </w:pPr>
                  <w:r w:rsidRPr="00991634">
                    <w:t>25,000</w:t>
                  </w:r>
                </w:p>
              </w:tc>
              <w:tc>
                <w:tcPr>
                  <w:tcW w:w="881" w:type="pct"/>
                  <w:tcBorders>
                    <w:top w:val="nil"/>
                    <w:left w:val="nil"/>
                    <w:bottom w:val="single" w:sz="4" w:space="0" w:color="auto"/>
                    <w:right w:val="single" w:sz="4" w:space="0" w:color="auto"/>
                  </w:tcBorders>
                  <w:shd w:val="clear" w:color="auto" w:fill="auto"/>
                  <w:noWrap/>
                  <w:vAlign w:val="center"/>
                  <w:hideMark/>
                </w:tcPr>
                <w:p w14:paraId="2043444C" w14:textId="77777777" w:rsidR="00F93145" w:rsidRPr="00991634" w:rsidRDefault="00F93145" w:rsidP="00AA26C0">
                  <w:pPr>
                    <w:pStyle w:val="TableTextCentered"/>
                  </w:pPr>
                  <w:r w:rsidRPr="00991634">
                    <w:t>2,125</w:t>
                  </w:r>
                </w:p>
              </w:tc>
              <w:tc>
                <w:tcPr>
                  <w:tcW w:w="1125" w:type="pct"/>
                  <w:tcBorders>
                    <w:top w:val="nil"/>
                    <w:left w:val="nil"/>
                    <w:bottom w:val="single" w:sz="4" w:space="0" w:color="auto"/>
                    <w:right w:val="single" w:sz="4" w:space="0" w:color="auto"/>
                  </w:tcBorders>
                  <w:shd w:val="clear" w:color="auto" w:fill="auto"/>
                  <w:noWrap/>
                  <w:vAlign w:val="center"/>
                  <w:hideMark/>
                </w:tcPr>
                <w:p w14:paraId="4F9FEDB4" w14:textId="77777777" w:rsidR="00F93145" w:rsidRPr="00991634" w:rsidRDefault="00F93145" w:rsidP="00AA26C0">
                  <w:pPr>
                    <w:pStyle w:val="TableTextCentered"/>
                  </w:pPr>
                  <w:r w:rsidRPr="00991634">
                    <w:t>0</w:t>
                  </w:r>
                </w:p>
              </w:tc>
              <w:tc>
                <w:tcPr>
                  <w:tcW w:w="835" w:type="pct"/>
                  <w:tcBorders>
                    <w:top w:val="nil"/>
                    <w:left w:val="nil"/>
                    <w:bottom w:val="single" w:sz="4" w:space="0" w:color="auto"/>
                    <w:right w:val="single" w:sz="4" w:space="0" w:color="auto"/>
                  </w:tcBorders>
                  <w:shd w:val="clear" w:color="auto" w:fill="auto"/>
                  <w:noWrap/>
                  <w:vAlign w:val="center"/>
                  <w:hideMark/>
                </w:tcPr>
                <w:p w14:paraId="456EE0EA" w14:textId="77777777" w:rsidR="00F93145" w:rsidRPr="00991634" w:rsidRDefault="00F93145" w:rsidP="00AA26C0">
                  <w:pPr>
                    <w:pStyle w:val="TableTextCentered"/>
                  </w:pPr>
                  <w:r w:rsidRPr="00991634">
                    <w:t>27,125</w:t>
                  </w:r>
                </w:p>
              </w:tc>
            </w:tr>
            <w:tr w:rsidR="00F93145" w:rsidRPr="00991634" w14:paraId="16D6920F" w14:textId="77777777" w:rsidTr="00F93145">
              <w:trPr>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020B6" w14:textId="77777777" w:rsidR="00F93145" w:rsidRPr="00991634" w:rsidRDefault="00F93145" w:rsidP="00AA26C0">
                  <w:pPr>
                    <w:pStyle w:val="TableTextCentered"/>
                  </w:pPr>
                  <w:r w:rsidRPr="00991634">
                    <w:t>2029-30</w:t>
                  </w:r>
                </w:p>
              </w:tc>
              <w:tc>
                <w:tcPr>
                  <w:tcW w:w="773" w:type="pct"/>
                  <w:tcBorders>
                    <w:top w:val="single" w:sz="4" w:space="0" w:color="auto"/>
                    <w:left w:val="nil"/>
                    <w:bottom w:val="single" w:sz="4" w:space="0" w:color="auto"/>
                    <w:right w:val="single" w:sz="4" w:space="0" w:color="auto"/>
                  </w:tcBorders>
                  <w:shd w:val="clear" w:color="auto" w:fill="auto"/>
                  <w:noWrap/>
                  <w:vAlign w:val="center"/>
                  <w:hideMark/>
                </w:tcPr>
                <w:p w14:paraId="6083A222" w14:textId="77777777" w:rsidR="00F93145" w:rsidRPr="00991634" w:rsidRDefault="00F93145" w:rsidP="00AA26C0">
                  <w:pPr>
                    <w:pStyle w:val="TableTextCentered"/>
                  </w:pPr>
                  <w:r w:rsidRPr="00991634">
                    <w:t>8.50%</w:t>
                  </w:r>
                </w:p>
              </w:tc>
              <w:tc>
                <w:tcPr>
                  <w:tcW w:w="895" w:type="pct"/>
                  <w:tcBorders>
                    <w:top w:val="single" w:sz="4" w:space="0" w:color="auto"/>
                    <w:left w:val="nil"/>
                    <w:bottom w:val="single" w:sz="4" w:space="0" w:color="auto"/>
                    <w:right w:val="single" w:sz="4" w:space="0" w:color="auto"/>
                  </w:tcBorders>
                  <w:shd w:val="clear" w:color="auto" w:fill="auto"/>
                  <w:noWrap/>
                  <w:vAlign w:val="center"/>
                  <w:hideMark/>
                </w:tcPr>
                <w:p w14:paraId="34EFDF26" w14:textId="77777777" w:rsidR="00F93145" w:rsidRPr="00991634" w:rsidRDefault="00F93145" w:rsidP="00AA26C0">
                  <w:pPr>
                    <w:pStyle w:val="TableTextCentered"/>
                  </w:pPr>
                  <w:r w:rsidRPr="00991634">
                    <w:t>27,125</w:t>
                  </w:r>
                </w:p>
              </w:tc>
              <w:tc>
                <w:tcPr>
                  <w:tcW w:w="881" w:type="pct"/>
                  <w:tcBorders>
                    <w:top w:val="single" w:sz="4" w:space="0" w:color="auto"/>
                    <w:left w:val="nil"/>
                    <w:bottom w:val="single" w:sz="4" w:space="0" w:color="auto"/>
                    <w:right w:val="single" w:sz="4" w:space="0" w:color="auto"/>
                  </w:tcBorders>
                  <w:shd w:val="clear" w:color="auto" w:fill="auto"/>
                  <w:noWrap/>
                  <w:vAlign w:val="center"/>
                  <w:hideMark/>
                </w:tcPr>
                <w:p w14:paraId="715084C0" w14:textId="77777777" w:rsidR="00F93145" w:rsidRPr="00991634" w:rsidRDefault="00F93145" w:rsidP="00AA26C0">
                  <w:pPr>
                    <w:pStyle w:val="TableTextCentered"/>
                  </w:pPr>
                  <w:r w:rsidRPr="00991634">
                    <w:t>2,306</w:t>
                  </w:r>
                </w:p>
              </w:tc>
              <w:tc>
                <w:tcPr>
                  <w:tcW w:w="1125" w:type="pct"/>
                  <w:tcBorders>
                    <w:top w:val="single" w:sz="4" w:space="0" w:color="auto"/>
                    <w:left w:val="nil"/>
                    <w:bottom w:val="single" w:sz="4" w:space="0" w:color="auto"/>
                    <w:right w:val="single" w:sz="4" w:space="0" w:color="auto"/>
                  </w:tcBorders>
                  <w:shd w:val="clear" w:color="auto" w:fill="auto"/>
                  <w:noWrap/>
                  <w:vAlign w:val="center"/>
                  <w:hideMark/>
                </w:tcPr>
                <w:p w14:paraId="3901B2AF" w14:textId="77777777" w:rsidR="00F93145" w:rsidRPr="00991634" w:rsidRDefault="00F93145" w:rsidP="00AA26C0">
                  <w:pPr>
                    <w:pStyle w:val="TableTextCentered"/>
                  </w:pPr>
                  <w:r w:rsidRPr="00991634">
                    <w:t>29,431</w:t>
                  </w:r>
                  <w:r w:rsidRPr="00991634">
                    <w:rPr>
                      <w:rStyle w:val="FootnoteReference"/>
                    </w:rPr>
                    <w:footnoteReference w:id="6"/>
                  </w:r>
                </w:p>
              </w:tc>
              <w:tc>
                <w:tcPr>
                  <w:tcW w:w="835" w:type="pct"/>
                  <w:tcBorders>
                    <w:top w:val="single" w:sz="4" w:space="0" w:color="auto"/>
                    <w:left w:val="nil"/>
                    <w:bottom w:val="single" w:sz="4" w:space="0" w:color="auto"/>
                    <w:right w:val="single" w:sz="4" w:space="0" w:color="auto"/>
                  </w:tcBorders>
                  <w:shd w:val="clear" w:color="auto" w:fill="auto"/>
                  <w:noWrap/>
                  <w:vAlign w:val="center"/>
                  <w:hideMark/>
                </w:tcPr>
                <w:p w14:paraId="1130C3DC" w14:textId="77777777" w:rsidR="00F93145" w:rsidRPr="00991634" w:rsidRDefault="00F93145" w:rsidP="00AA26C0">
                  <w:pPr>
                    <w:pStyle w:val="TableTextCentered"/>
                  </w:pPr>
                  <w:r w:rsidRPr="00991634">
                    <w:t>0</w:t>
                  </w:r>
                </w:p>
              </w:tc>
            </w:tr>
          </w:tbl>
          <w:p w14:paraId="20EC93CD" w14:textId="77777777" w:rsidR="00F93145" w:rsidRDefault="00F93145" w:rsidP="00F661F2">
            <w:pPr>
              <w:pStyle w:val="ChartorTableNote"/>
            </w:pPr>
            <w:r>
              <w:t xml:space="preserve">*Interest rates shown are for </w:t>
            </w:r>
            <w:r w:rsidRPr="00F661F2">
              <w:t>illustrative</w:t>
            </w:r>
            <w:r>
              <w:t xml:space="preserve"> </w:t>
            </w:r>
            <w:r w:rsidRPr="00F93145">
              <w:t>purposes</w:t>
            </w:r>
            <w:r>
              <w:t xml:space="preserve"> only</w:t>
            </w:r>
          </w:p>
          <w:p w14:paraId="2EEEDCC4" w14:textId="77777777" w:rsidR="00F93145" w:rsidRDefault="00F93145" w:rsidP="005A686D">
            <w:pPr>
              <w:pStyle w:val="TableSecondHeading"/>
              <w:spacing w:after="120"/>
            </w:pPr>
            <w:r>
              <w:t xml:space="preserve">Deemed </w:t>
            </w:r>
            <w:r w:rsidRPr="00F93145">
              <w:t>Dividend</w:t>
            </w:r>
            <w:r>
              <w:t xml:space="preserve"> – the Amortisation Model</w:t>
            </w:r>
          </w:p>
          <w:p w14:paraId="1C981503" w14:textId="0C5C816D" w:rsidR="00F93145" w:rsidRDefault="00F93145" w:rsidP="00F93145">
            <w:pPr>
              <w:pStyle w:val="Bullet"/>
            </w:pPr>
            <w:r>
              <w:t xml:space="preserve">Failure to make the full repayments by the end of the milestone period will result in the private company being taken to have paid a </w:t>
            </w:r>
            <w:r w:rsidRPr="00F93145">
              <w:t>dividend</w:t>
            </w:r>
            <w:r>
              <w:t xml:space="preserve"> to the entity.</w:t>
            </w:r>
          </w:p>
          <w:p w14:paraId="645F1C54" w14:textId="06EB0A5C" w:rsidR="00F93145" w:rsidRDefault="00F93145" w:rsidP="00F93145">
            <w:pPr>
              <w:pStyle w:val="Bullet"/>
            </w:pPr>
            <w:r>
              <w:t>The amount of the deemed dividend arises in income years 3, 5, 8 and 10 (if a shortfall arises in that year) and is the amount of the shortfall in the payment required at the end of each milestone period, calculated using the appropriate statutory interest rate, reduced by the amount of any prior deemed dividends assessed to the taxpayer. For example, the amount of th</w:t>
            </w:r>
            <w:r w:rsidR="003072BB">
              <w:t>e deemed divided for the above Amortisation M</w:t>
            </w:r>
            <w:r>
              <w:t>odel for the 2023 income year would be $52,729 if no repayments have been made.</w:t>
            </w:r>
          </w:p>
        </w:tc>
      </w:tr>
    </w:tbl>
    <w:p w14:paraId="75853756" w14:textId="77777777" w:rsidR="007C185E" w:rsidRPr="00F93145" w:rsidRDefault="007C185E" w:rsidP="00F93145"/>
    <w:sectPr w:rsidR="007C185E" w:rsidRPr="00F93145" w:rsidSect="00320FE6">
      <w:type w:val="oddPag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6E736" w14:textId="77777777" w:rsidR="00EA6680" w:rsidRDefault="00EA6680">
      <w:pPr>
        <w:spacing w:before="0" w:after="0"/>
      </w:pPr>
      <w:r>
        <w:separator/>
      </w:r>
    </w:p>
  </w:endnote>
  <w:endnote w:type="continuationSeparator" w:id="0">
    <w:p w14:paraId="72B8800E" w14:textId="77777777" w:rsidR="00EA6680" w:rsidRDefault="00EA6680">
      <w:pPr>
        <w:spacing w:before="0" w:after="0"/>
      </w:pPr>
      <w:r>
        <w:continuationSeparator/>
      </w:r>
    </w:p>
  </w:endnote>
  <w:endnote w:type="continuationNotice" w:id="1">
    <w:p w14:paraId="74A114E8" w14:textId="77777777" w:rsidR="00EA6680" w:rsidRDefault="00EA66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81563" w14:textId="753E02DF" w:rsidR="00EA6680" w:rsidRPr="00B855FF" w:rsidRDefault="00EA6680" w:rsidP="00B855FF">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4F476" w14:textId="77777777" w:rsidR="00EA6680" w:rsidRPr="00E77C89" w:rsidRDefault="00EA6680"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C9E28" w14:textId="359D31DC" w:rsidR="00EA6680" w:rsidRDefault="00EA6680">
    <w:pPr>
      <w:pStyle w:val="Footer"/>
    </w:pPr>
    <w:r>
      <w:fldChar w:fldCharType="begin"/>
    </w:r>
    <w:r>
      <w:instrText xml:space="preserve"> PAGE   \* MERGEFORMAT </w:instrText>
    </w:r>
    <w:r>
      <w:fldChar w:fldCharType="separate"/>
    </w:r>
    <w:r w:rsidR="00260414">
      <w:rPr>
        <w:noProof/>
      </w:rPr>
      <w:t>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AEA7" w14:textId="77777777" w:rsidR="00EA6680" w:rsidRPr="00E1136B" w:rsidRDefault="00EA6680" w:rsidP="00320FE6">
    <w:pPr>
      <w:pStyle w:val="Footer"/>
      <w:tabs>
        <w:tab w:val="clear" w:pos="4513"/>
        <w:tab w:val="clear" w:pos="9026"/>
        <w:tab w:val="left" w:pos="5407"/>
      </w:tabs>
    </w:pPr>
    <w:r>
      <w:fldChar w:fldCharType="begin"/>
    </w:r>
    <w:r>
      <w:instrText xml:space="preserve"> PAGE   \* MERGEFORMAT </w:instrText>
    </w:r>
    <w:r>
      <w:fldChar w:fldCharType="separate"/>
    </w:r>
    <w:r w:rsidR="00260414">
      <w:rPr>
        <w:noProof/>
      </w:rPr>
      <w:t>iv</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637F5" w14:textId="77777777" w:rsidR="00EA6680" w:rsidRPr="00E77C89" w:rsidRDefault="00EA6680"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FB231" w14:textId="77777777" w:rsidR="00EA6680" w:rsidRPr="00E1136B" w:rsidRDefault="00EA6680" w:rsidP="00E1136B">
    <w:pPr>
      <w:pStyle w:val="Footer"/>
    </w:pPr>
    <w:r>
      <w:fldChar w:fldCharType="begin"/>
    </w:r>
    <w:r>
      <w:instrText xml:space="preserve"> PAGE   \* MERGEFORMAT </w:instrText>
    </w:r>
    <w:r>
      <w:fldChar w:fldCharType="separate"/>
    </w:r>
    <w:r w:rsidR="00260414">
      <w:rPr>
        <w:noProof/>
      </w:rPr>
      <w:t>28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83855" w14:textId="77777777" w:rsidR="00EA6680" w:rsidRDefault="00EA6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D143D" w14:textId="77777777" w:rsidR="00EA6680" w:rsidRDefault="00EA6680">
      <w:pPr>
        <w:spacing w:before="0" w:after="0"/>
      </w:pPr>
      <w:r>
        <w:separator/>
      </w:r>
    </w:p>
  </w:footnote>
  <w:footnote w:type="continuationSeparator" w:id="0">
    <w:p w14:paraId="22993551" w14:textId="77777777" w:rsidR="00EA6680" w:rsidRDefault="00EA6680">
      <w:pPr>
        <w:spacing w:before="0" w:after="0"/>
      </w:pPr>
      <w:r>
        <w:continuationSeparator/>
      </w:r>
    </w:p>
  </w:footnote>
  <w:footnote w:type="continuationNotice" w:id="1">
    <w:p w14:paraId="77B7A44E" w14:textId="77777777" w:rsidR="00EA6680" w:rsidRDefault="00EA6680">
      <w:pPr>
        <w:spacing w:before="0" w:after="0"/>
      </w:pPr>
    </w:p>
  </w:footnote>
  <w:footnote w:id="2">
    <w:p w14:paraId="64DB4464" w14:textId="1EB03640" w:rsidR="00EA6680" w:rsidRPr="003742CB" w:rsidRDefault="00EA6680" w:rsidP="003742CB">
      <w:pPr>
        <w:pStyle w:val="FootnoteText"/>
      </w:pPr>
      <w:r w:rsidRPr="003742CB">
        <w:rPr>
          <w:rStyle w:val="FootnoteReference"/>
          <w:vertAlign w:val="baseline"/>
        </w:rPr>
        <w:footnoteRef/>
      </w:r>
      <w:r w:rsidRPr="003742CB">
        <w:t xml:space="preserve"> </w:t>
      </w:r>
      <w:r>
        <w:tab/>
      </w:r>
      <w:r w:rsidRPr="003742CB">
        <w:t xml:space="preserve">Unless otherwise stated, all legislative references are to the </w:t>
      </w:r>
      <w:r w:rsidRPr="003742CB">
        <w:rPr>
          <w:i/>
        </w:rPr>
        <w:t>Income Tax Assessment Act 1936</w:t>
      </w:r>
      <w:r w:rsidRPr="003742CB">
        <w:t>.</w:t>
      </w:r>
    </w:p>
  </w:footnote>
  <w:footnote w:id="3">
    <w:p w14:paraId="40AE19B3" w14:textId="691DFCCE" w:rsidR="00EA6680" w:rsidRPr="003742CB" w:rsidRDefault="00EA6680" w:rsidP="00F93145">
      <w:pPr>
        <w:pStyle w:val="FootnoteText"/>
      </w:pPr>
      <w:r w:rsidRPr="003742CB">
        <w:rPr>
          <w:rStyle w:val="FootnoteReference"/>
          <w:vertAlign w:val="baseline"/>
        </w:rPr>
        <w:footnoteRef/>
      </w:r>
      <w:r w:rsidRPr="003742CB">
        <w:t xml:space="preserve"> </w:t>
      </w:r>
      <w:r>
        <w:tab/>
      </w:r>
      <w:r w:rsidRPr="003742CB">
        <w:t>117,723 + 10,006 - 75,000 = 52,729</w:t>
      </w:r>
    </w:p>
  </w:footnote>
  <w:footnote w:id="4">
    <w:p w14:paraId="721CB01B" w14:textId="3E785695" w:rsidR="00EA6680" w:rsidRPr="003742CB" w:rsidRDefault="00EA6680" w:rsidP="00F93145">
      <w:pPr>
        <w:pStyle w:val="FootnoteText"/>
      </w:pPr>
      <w:r w:rsidRPr="003742CB">
        <w:rPr>
          <w:rStyle w:val="FootnoteReference"/>
          <w:vertAlign w:val="baseline"/>
        </w:rPr>
        <w:footnoteRef/>
      </w:r>
      <w:r w:rsidRPr="003742CB">
        <w:t xml:space="preserve"> </w:t>
      </w:r>
      <w:r>
        <w:tab/>
      </w:r>
      <w:r w:rsidRPr="003742CB">
        <w:t>81,375 + 6,917 - 55,000 = 33,292</w:t>
      </w:r>
    </w:p>
  </w:footnote>
  <w:footnote w:id="5">
    <w:p w14:paraId="519CF1F8" w14:textId="299E739D" w:rsidR="00EA6680" w:rsidRPr="003742CB" w:rsidRDefault="00EA6680" w:rsidP="00F93145">
      <w:pPr>
        <w:pStyle w:val="FootnoteText"/>
      </w:pPr>
      <w:r w:rsidRPr="003742CB">
        <w:rPr>
          <w:rStyle w:val="FootnoteReference"/>
          <w:vertAlign w:val="baseline"/>
        </w:rPr>
        <w:footnoteRef/>
      </w:r>
      <w:r w:rsidRPr="003742CB">
        <w:t xml:space="preserve"> </w:t>
      </w:r>
      <w:r>
        <w:tab/>
      </w:r>
      <w:r w:rsidRPr="003742CB">
        <w:t>64,747 + 5,504 - 25,000 = 45,251</w:t>
      </w:r>
    </w:p>
  </w:footnote>
  <w:footnote w:id="6">
    <w:p w14:paraId="0CFBA22B" w14:textId="3EC60D93" w:rsidR="00EA6680" w:rsidRDefault="00EA6680" w:rsidP="00F93145">
      <w:pPr>
        <w:pStyle w:val="FootnoteText"/>
      </w:pPr>
      <w:r w:rsidRPr="003742CB">
        <w:rPr>
          <w:rStyle w:val="FootnoteReference"/>
          <w:vertAlign w:val="baseline"/>
        </w:rPr>
        <w:footnoteRef/>
      </w:r>
      <w:r w:rsidRPr="003742CB">
        <w:t xml:space="preserve"> </w:t>
      </w:r>
      <w:r>
        <w:tab/>
      </w:r>
      <w:r w:rsidRPr="003742CB">
        <w:t>27,125 + 2,306 - 0 = 29,341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C84D0" w14:textId="69CBB3CF" w:rsidR="00EA6680" w:rsidRDefault="00EA6680" w:rsidP="00FB3F08">
    <w:pPr>
      <w:pStyle w:val="Header"/>
      <w:ind w:left="-1134"/>
    </w:pPr>
    <w:r>
      <w:rPr>
        <w:noProof/>
      </w:rPr>
      <w:drawing>
        <wp:anchor distT="0" distB="0" distL="114300" distR="114300" simplePos="0" relativeHeight="251658241" behindDoc="1" locked="0" layoutInCell="1" allowOverlap="1" wp14:anchorId="46BE037C" wp14:editId="6B5FEAE9">
          <wp:simplePos x="0" y="0"/>
          <wp:positionH relativeFrom="page">
            <wp:posOffset>183515</wp:posOffset>
          </wp:positionH>
          <wp:positionV relativeFrom="page">
            <wp:posOffset>4858121</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1151DF4" wp14:editId="222AB897">
          <wp:simplePos x="0" y="0"/>
          <wp:positionH relativeFrom="page">
            <wp:align>center</wp:align>
          </wp:positionH>
          <wp:positionV relativeFrom="page">
            <wp:posOffset>180340</wp:posOffset>
          </wp:positionV>
          <wp:extent cx="7199640" cy="1079640"/>
          <wp:effectExtent l="0" t="0" r="127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6C18A" w14:textId="77777777" w:rsidR="00EA6680" w:rsidRPr="001F3912" w:rsidRDefault="00EA6680"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43E01" w14:textId="77777777" w:rsidR="00EA6680" w:rsidRPr="001F3912" w:rsidRDefault="00EA6680"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06AA1" w14:textId="77777777" w:rsidR="00EA6680" w:rsidRPr="001F3912" w:rsidRDefault="00260414" w:rsidP="001606CF">
    <w:pPr>
      <w:pStyle w:val="Header"/>
    </w:pPr>
    <w:r>
      <w:fldChar w:fldCharType="begin"/>
    </w:r>
    <w:r>
      <w:instrText xml:space="preserve"> STYLEREF  Title  \* MERGEFORMAT </w:instrText>
    </w:r>
    <w:r>
      <w:fldChar w:fldCharType="separate"/>
    </w:r>
    <w:r>
      <w:rPr>
        <w:noProof/>
      </w:rPr>
      <w:t>Targeted amendments to the Division 7A integrity rules</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5F8FE" w14:textId="77777777" w:rsidR="00EA6680" w:rsidRPr="001F3912" w:rsidRDefault="00EA6680"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71F5A" w14:textId="77777777" w:rsidR="00EA6680" w:rsidRPr="001F3912" w:rsidRDefault="00260414" w:rsidP="001606CF">
    <w:pPr>
      <w:pStyle w:val="Header"/>
    </w:pPr>
    <w:r>
      <w:fldChar w:fldCharType="begin"/>
    </w:r>
    <w:r>
      <w:instrText xml:space="preserve"> STYLEREF  Title  \* MERGEFORMAT </w:instrText>
    </w:r>
    <w:r>
      <w:fldChar w:fldCharType="separate"/>
    </w:r>
    <w:r>
      <w:rPr>
        <w:noProof/>
      </w:rPr>
      <w:t>Targeted amendments to the Division 7A integrity rules</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0CFDE" w14:textId="77777777" w:rsidR="00EA6680" w:rsidRDefault="00EA66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6FF"/>
    <w:multiLevelType w:val="hybridMultilevel"/>
    <w:tmpl w:val="DA3CE41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4D17873"/>
    <w:multiLevelType w:val="hybridMultilevel"/>
    <w:tmpl w:val="CE66DD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7A3946"/>
    <w:multiLevelType w:val="hybridMultilevel"/>
    <w:tmpl w:val="0C848D4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nsid w:val="101065DE"/>
    <w:multiLevelType w:val="hybridMultilevel"/>
    <w:tmpl w:val="C18E0AE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1E07F69"/>
    <w:multiLevelType w:val="hybridMultilevel"/>
    <w:tmpl w:val="70E2061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6CC4E5D"/>
    <w:multiLevelType w:val="multilevel"/>
    <w:tmpl w:val="D10E9CF6"/>
    <w:numStyleLink w:val="OneLevelList"/>
  </w:abstractNum>
  <w:abstractNum w:abstractNumId="8">
    <w:nsid w:val="17293101"/>
    <w:multiLevelType w:val="hybridMultilevel"/>
    <w:tmpl w:val="5D04CAC0"/>
    <w:lvl w:ilvl="0" w:tplc="E5847EEC">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11">
    <w:nsid w:val="1D625D85"/>
    <w:multiLevelType w:val="multilevel"/>
    <w:tmpl w:val="E1A4F6C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440C8B"/>
    <w:multiLevelType w:val="multilevel"/>
    <w:tmpl w:val="364C86EC"/>
    <w:name w:val="StandardBulletedList"/>
    <w:lvl w:ilvl="0">
      <w:start w:val="1"/>
      <w:numFmt w:val="bullet"/>
      <w:lvlText w:val="•"/>
      <w:lvlJc w:val="left"/>
      <w:pPr>
        <w:tabs>
          <w:tab w:val="num" w:pos="520"/>
        </w:tabs>
        <w:ind w:left="520" w:hanging="520"/>
      </w:pPr>
      <w:rPr>
        <w:rFonts w:ascii="Times New Roman" w:hAnsi="Times New Roman" w:cs="Times New Roman"/>
        <w:b w:val="0"/>
        <w:i w:val="0"/>
      </w:rPr>
    </w:lvl>
    <w:lvl w:ilvl="1">
      <w:start w:val="1"/>
      <w:numFmt w:val="bullet"/>
      <w:lvlText w:val="–"/>
      <w:lvlJc w:val="left"/>
      <w:pPr>
        <w:tabs>
          <w:tab w:val="num" w:pos="1040"/>
        </w:tabs>
        <w:ind w:left="1040" w:hanging="520"/>
      </w:pPr>
      <w:rPr>
        <w:rFonts w:ascii="Times New Roman" w:hAnsi="Times New Roman" w:cs="Times New Roman"/>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C7E2832"/>
    <w:multiLevelType w:val="hybridMultilevel"/>
    <w:tmpl w:val="0990158A"/>
    <w:lvl w:ilvl="0" w:tplc="F72E393A">
      <w:start w:val="1"/>
      <w:numFmt w:val="lowerLetter"/>
      <w:lvlText w:val="%1."/>
      <w:lvlJc w:val="left"/>
      <w:pPr>
        <w:ind w:left="360" w:hanging="360"/>
      </w:pPr>
      <w:rPr>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311B148D"/>
    <w:multiLevelType w:val="hybridMultilevel"/>
    <w:tmpl w:val="D8C22E02"/>
    <w:lvl w:ilvl="0" w:tplc="7DF0BFDE">
      <w:start w:val="1"/>
      <w:numFmt w:val="lowerLetter"/>
      <w:lvlText w:val="%1."/>
      <w:lvlJc w:val="left"/>
      <w:pPr>
        <w:ind w:left="360" w:hanging="360"/>
      </w:pPr>
      <w:rPr>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839208B"/>
    <w:multiLevelType w:val="multilevel"/>
    <w:tmpl w:val="591CDF5C"/>
    <w:lvl w:ilvl="0">
      <w:start w:val="1"/>
      <w:numFmt w:val="bullet"/>
      <w:lvlText w:val="-"/>
      <w:lvlJc w:val="left"/>
      <w:pPr>
        <w:tabs>
          <w:tab w:val="num" w:pos="1040"/>
        </w:tabs>
        <w:ind w:left="1040" w:hanging="520"/>
      </w:pPr>
      <w:rPr>
        <w:rFonts w:ascii="SimSun" w:eastAsia="SimSun" w:hAnsi="SimSun" w:hint="eastAsia"/>
        <w:b w:val="0"/>
        <w:i w:val="0"/>
      </w:rPr>
    </w:lvl>
    <w:lvl w:ilvl="1">
      <w:start w:val="1"/>
      <w:numFmt w:val="bullet"/>
      <w:lvlText w:val="–"/>
      <w:lvlJc w:val="left"/>
      <w:pPr>
        <w:tabs>
          <w:tab w:val="num" w:pos="1560"/>
        </w:tabs>
        <w:ind w:left="1560" w:hanging="520"/>
      </w:pPr>
      <w:rPr>
        <w:rFonts w:ascii="Times New Roman" w:hAnsi="Times New Roman" w:cs="Times New Roman"/>
        <w:b w:val="0"/>
        <w:i w:val="0"/>
      </w:rPr>
    </w:lvl>
    <w:lvl w:ilvl="2">
      <w:start w:val="1"/>
      <w:numFmt w:val="bullet"/>
      <w:lvlText w:val=":"/>
      <w:lvlJc w:val="left"/>
      <w:pPr>
        <w:tabs>
          <w:tab w:val="num" w:pos="2080"/>
        </w:tabs>
        <w:ind w:left="2080" w:hanging="520"/>
      </w:pPr>
      <w:rPr>
        <w:rFonts w:ascii="Times New Roman" w:hAnsi="Times New Roman" w:cs="Times New Roman"/>
        <w:b w:val="0"/>
        <w:i w:val="0"/>
      </w:rPr>
    </w:lvl>
    <w:lvl w:ilvl="3">
      <w:start w:val="1"/>
      <w:numFmt w:val="decimal"/>
      <w:lvlText w:val="(%4)"/>
      <w:lvlJc w:val="left"/>
      <w:pPr>
        <w:tabs>
          <w:tab w:val="num" w:pos="1960"/>
        </w:tabs>
        <w:ind w:left="1960" w:hanging="360"/>
      </w:pPr>
      <w:rPr>
        <w:b w:val="0"/>
        <w:i w:val="0"/>
      </w:rPr>
    </w:lvl>
    <w:lvl w:ilvl="4">
      <w:start w:val="1"/>
      <w:numFmt w:val="lowerLetter"/>
      <w:lvlText w:val="(%5)"/>
      <w:lvlJc w:val="left"/>
      <w:pPr>
        <w:tabs>
          <w:tab w:val="num" w:pos="2320"/>
        </w:tabs>
        <w:ind w:left="2320" w:hanging="360"/>
      </w:pPr>
      <w:rPr>
        <w:b w:val="0"/>
        <w:i w:val="0"/>
      </w:rPr>
    </w:lvl>
    <w:lvl w:ilvl="5">
      <w:start w:val="1"/>
      <w:numFmt w:val="lowerRoman"/>
      <w:lvlText w:val="(%6)"/>
      <w:lvlJc w:val="left"/>
      <w:pPr>
        <w:tabs>
          <w:tab w:val="num" w:pos="2680"/>
        </w:tabs>
        <w:ind w:left="2680" w:hanging="360"/>
      </w:pPr>
      <w:rPr>
        <w:b w:val="0"/>
        <w:i w:val="0"/>
      </w:rPr>
    </w:lvl>
    <w:lvl w:ilvl="6">
      <w:start w:val="1"/>
      <w:numFmt w:val="decimal"/>
      <w:lvlText w:val="%7."/>
      <w:lvlJc w:val="left"/>
      <w:pPr>
        <w:tabs>
          <w:tab w:val="num" w:pos="3040"/>
        </w:tabs>
        <w:ind w:left="3040" w:hanging="360"/>
      </w:pPr>
      <w:rPr>
        <w:b w:val="0"/>
        <w:i w:val="0"/>
      </w:rPr>
    </w:lvl>
    <w:lvl w:ilvl="7">
      <w:start w:val="1"/>
      <w:numFmt w:val="lowerLetter"/>
      <w:lvlText w:val="%8."/>
      <w:lvlJc w:val="left"/>
      <w:pPr>
        <w:tabs>
          <w:tab w:val="num" w:pos="3400"/>
        </w:tabs>
        <w:ind w:left="3400" w:hanging="360"/>
      </w:pPr>
      <w:rPr>
        <w:b w:val="0"/>
        <w:i w:val="0"/>
      </w:rPr>
    </w:lvl>
    <w:lvl w:ilvl="8">
      <w:start w:val="1"/>
      <w:numFmt w:val="lowerRoman"/>
      <w:lvlText w:val="%9."/>
      <w:lvlJc w:val="left"/>
      <w:pPr>
        <w:tabs>
          <w:tab w:val="num" w:pos="3760"/>
        </w:tabs>
        <w:ind w:left="3760" w:hanging="360"/>
      </w:pPr>
      <w:rPr>
        <w:b w:val="0"/>
        <w:i w:val="0"/>
      </w:rPr>
    </w:lvl>
  </w:abstractNum>
  <w:abstractNum w:abstractNumId="20">
    <w:nsid w:val="3DA10028"/>
    <w:multiLevelType w:val="hybridMultilevel"/>
    <w:tmpl w:val="C18E0AE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F0016C1"/>
    <w:multiLevelType w:val="hybridMultilevel"/>
    <w:tmpl w:val="39F0081C"/>
    <w:lvl w:ilvl="0" w:tplc="0C090019">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FD923A7"/>
    <w:multiLevelType w:val="hybridMultilevel"/>
    <w:tmpl w:val="E452D27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2574DBB"/>
    <w:multiLevelType w:val="hybridMultilevel"/>
    <w:tmpl w:val="A826521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3431C26"/>
    <w:multiLevelType w:val="hybridMultilevel"/>
    <w:tmpl w:val="0C848D4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43487518"/>
    <w:multiLevelType w:val="hybridMultilevel"/>
    <w:tmpl w:val="65A0FFB8"/>
    <w:lvl w:ilvl="0" w:tplc="F72E393A">
      <w:start w:val="1"/>
      <w:numFmt w:val="lowerLetter"/>
      <w:lvlText w:val="%1."/>
      <w:lvlJc w:val="left"/>
      <w:pPr>
        <w:ind w:left="360" w:hanging="360"/>
      </w:pPr>
      <w:rPr>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43525EB0"/>
    <w:multiLevelType w:val="hybridMultilevel"/>
    <w:tmpl w:val="C18E0AE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43BB2801"/>
    <w:multiLevelType w:val="hybridMultilevel"/>
    <w:tmpl w:val="42EA6290"/>
    <w:lvl w:ilvl="0" w:tplc="BD84EBD2">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46947233"/>
    <w:multiLevelType w:val="hybridMultilevel"/>
    <w:tmpl w:val="39F0081C"/>
    <w:lvl w:ilvl="0" w:tplc="0C090019">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46B849CD"/>
    <w:multiLevelType w:val="hybridMultilevel"/>
    <w:tmpl w:val="E3D04A3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4705550B"/>
    <w:multiLevelType w:val="hybridMultilevel"/>
    <w:tmpl w:val="90E6593A"/>
    <w:lvl w:ilvl="0" w:tplc="9BF6DAAA">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510D2021"/>
    <w:multiLevelType w:val="multilevel"/>
    <w:tmpl w:val="72F8140E"/>
    <w:numStyleLink w:val="OutlineList"/>
  </w:abstractNum>
  <w:abstractNum w:abstractNumId="32">
    <w:nsid w:val="5404682F"/>
    <w:multiLevelType w:val="hybridMultilevel"/>
    <w:tmpl w:val="2E6AE2FC"/>
    <w:lvl w:ilvl="0" w:tplc="F72E393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9321EB9"/>
    <w:multiLevelType w:val="hybridMultilevel"/>
    <w:tmpl w:val="E3D04A3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5D4C0637"/>
    <w:multiLevelType w:val="hybridMultilevel"/>
    <w:tmpl w:val="E452D27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2727FF7"/>
    <w:multiLevelType w:val="hybridMultilevel"/>
    <w:tmpl w:val="0F6E5CC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64555618"/>
    <w:multiLevelType w:val="hybridMultilevel"/>
    <w:tmpl w:val="A826521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67E45CAB"/>
    <w:multiLevelType w:val="hybridMultilevel"/>
    <w:tmpl w:val="B380B2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8DB6601"/>
    <w:multiLevelType w:val="hybridMultilevel"/>
    <w:tmpl w:val="9C7010AE"/>
    <w:lvl w:ilvl="0" w:tplc="3166A39C">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6DA81F56"/>
    <w:multiLevelType w:val="hybridMultilevel"/>
    <w:tmpl w:val="70E2061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72FD1D65"/>
    <w:multiLevelType w:val="hybridMultilevel"/>
    <w:tmpl w:val="3DCE59C4"/>
    <w:lvl w:ilvl="0" w:tplc="F72E393A">
      <w:start w:val="1"/>
      <w:numFmt w:val="lowerLetter"/>
      <w:lvlText w:val="%1."/>
      <w:lvlJc w:val="left"/>
      <w:pPr>
        <w:ind w:left="360" w:hanging="360"/>
      </w:pPr>
      <w:rPr>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76252C57"/>
    <w:multiLevelType w:val="hybridMultilevel"/>
    <w:tmpl w:val="0F6E5CC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7DD23493"/>
    <w:multiLevelType w:val="hybridMultilevel"/>
    <w:tmpl w:val="41B8B2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E8F1350"/>
    <w:multiLevelType w:val="hybridMultilevel"/>
    <w:tmpl w:val="F7529C7E"/>
    <w:lvl w:ilvl="0" w:tplc="FBDCD936">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nsid w:val="7F496809"/>
    <w:multiLevelType w:val="hybridMultilevel"/>
    <w:tmpl w:val="111843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3"/>
  </w:num>
  <w:num w:numId="3">
    <w:abstractNumId w:val="18"/>
  </w:num>
  <w:num w:numId="4">
    <w:abstractNumId w:val="5"/>
  </w:num>
  <w:num w:numId="5">
    <w:abstractNumId w:val="7"/>
  </w:num>
  <w:num w:numId="6">
    <w:abstractNumId w:val="31"/>
  </w:num>
  <w:num w:numId="7">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9"/>
  </w:num>
  <w:num w:numId="9">
    <w:abstractNumId w:val="13"/>
  </w:num>
  <w:num w:numId="10">
    <w:abstractNumId w:val="17"/>
  </w:num>
  <w:num w:numId="11">
    <w:abstractNumId w:val="12"/>
  </w:num>
  <w:num w:numId="12">
    <w:abstractNumId w:val="10"/>
  </w:num>
  <w:num w:numId="13">
    <w:abstractNumId w:val="19"/>
  </w:num>
  <w:num w:numId="14">
    <w:abstractNumId w:val="25"/>
  </w:num>
  <w:num w:numId="15">
    <w:abstractNumId w:val="30"/>
  </w:num>
  <w:num w:numId="16">
    <w:abstractNumId w:val="27"/>
  </w:num>
  <w:num w:numId="17">
    <w:abstractNumId w:val="38"/>
  </w:num>
  <w:num w:numId="18">
    <w:abstractNumId w:val="43"/>
  </w:num>
  <w:num w:numId="19">
    <w:abstractNumId w:val="8"/>
  </w:num>
  <w:num w:numId="20">
    <w:abstractNumId w:val="16"/>
  </w:num>
  <w:num w:numId="21">
    <w:abstractNumId w:val="4"/>
  </w:num>
  <w:num w:numId="22">
    <w:abstractNumId w:val="26"/>
  </w:num>
  <w:num w:numId="23">
    <w:abstractNumId w:val="20"/>
  </w:num>
  <w:num w:numId="24">
    <w:abstractNumId w:val="22"/>
  </w:num>
  <w:num w:numId="25">
    <w:abstractNumId w:val="34"/>
  </w:num>
  <w:num w:numId="26">
    <w:abstractNumId w:val="14"/>
  </w:num>
  <w:num w:numId="27">
    <w:abstractNumId w:val="32"/>
  </w:num>
  <w:num w:numId="28">
    <w:abstractNumId w:val="40"/>
  </w:num>
  <w:num w:numId="29">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4"/>
  </w:num>
  <w:num w:numId="32">
    <w:abstractNumId w:val="37"/>
  </w:num>
  <w:num w:numId="33">
    <w:abstractNumId w:val="1"/>
  </w:num>
  <w:num w:numId="34">
    <w:abstractNumId w:val="0"/>
  </w:num>
  <w:num w:numId="35">
    <w:abstractNumId w:val="29"/>
  </w:num>
  <w:num w:numId="36">
    <w:abstractNumId w:val="41"/>
  </w:num>
  <w:num w:numId="37">
    <w:abstractNumId w:val="42"/>
  </w:num>
  <w:num w:numId="38">
    <w:abstractNumId w:val="24"/>
  </w:num>
  <w:num w:numId="39">
    <w:abstractNumId w:val="6"/>
  </w:num>
  <w:num w:numId="40">
    <w:abstractNumId w:val="23"/>
  </w:num>
  <w:num w:numId="41">
    <w:abstractNumId w:val="28"/>
  </w:num>
  <w:num w:numId="42">
    <w:abstractNumId w:val="33"/>
  </w:num>
  <w:num w:numId="43">
    <w:abstractNumId w:val="35"/>
  </w:num>
  <w:num w:numId="44">
    <w:abstractNumId w:val="2"/>
  </w:num>
  <w:num w:numId="45">
    <w:abstractNumId w:val="39"/>
  </w:num>
  <w:num w:numId="46">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20"/>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43"/>
    <w:rsid w:val="00004F9D"/>
    <w:rsid w:val="000055DB"/>
    <w:rsid w:val="0000708D"/>
    <w:rsid w:val="00011725"/>
    <w:rsid w:val="00012C62"/>
    <w:rsid w:val="000146C6"/>
    <w:rsid w:val="000161D9"/>
    <w:rsid w:val="0001621C"/>
    <w:rsid w:val="0001748D"/>
    <w:rsid w:val="000200B3"/>
    <w:rsid w:val="000213CD"/>
    <w:rsid w:val="0002162C"/>
    <w:rsid w:val="00021E3A"/>
    <w:rsid w:val="000248E3"/>
    <w:rsid w:val="00024A53"/>
    <w:rsid w:val="0002544D"/>
    <w:rsid w:val="000303F7"/>
    <w:rsid w:val="000310E0"/>
    <w:rsid w:val="00041A8B"/>
    <w:rsid w:val="0004274D"/>
    <w:rsid w:val="00044C0A"/>
    <w:rsid w:val="00045903"/>
    <w:rsid w:val="0004769F"/>
    <w:rsid w:val="00047C4F"/>
    <w:rsid w:val="00056880"/>
    <w:rsid w:val="000666DB"/>
    <w:rsid w:val="000675D1"/>
    <w:rsid w:val="0007102C"/>
    <w:rsid w:val="00073521"/>
    <w:rsid w:val="00073AAE"/>
    <w:rsid w:val="000775DE"/>
    <w:rsid w:val="000858F2"/>
    <w:rsid w:val="0008791A"/>
    <w:rsid w:val="00087FAF"/>
    <w:rsid w:val="000A0A1F"/>
    <w:rsid w:val="000A36FE"/>
    <w:rsid w:val="000A47C6"/>
    <w:rsid w:val="000A6D11"/>
    <w:rsid w:val="000A6E43"/>
    <w:rsid w:val="000B6F4E"/>
    <w:rsid w:val="000C5F40"/>
    <w:rsid w:val="000D23C6"/>
    <w:rsid w:val="000D2D5D"/>
    <w:rsid w:val="000E0B74"/>
    <w:rsid w:val="000E0D52"/>
    <w:rsid w:val="000E49E2"/>
    <w:rsid w:val="000F0BF8"/>
    <w:rsid w:val="000F2BD3"/>
    <w:rsid w:val="000F3355"/>
    <w:rsid w:val="000F4D3C"/>
    <w:rsid w:val="000F7517"/>
    <w:rsid w:val="000F755E"/>
    <w:rsid w:val="00105340"/>
    <w:rsid w:val="0011008C"/>
    <w:rsid w:val="00111A38"/>
    <w:rsid w:val="0011349A"/>
    <w:rsid w:val="00113B33"/>
    <w:rsid w:val="00116379"/>
    <w:rsid w:val="00116A3B"/>
    <w:rsid w:val="001209E2"/>
    <w:rsid w:val="00121530"/>
    <w:rsid w:val="00121937"/>
    <w:rsid w:val="001234F7"/>
    <w:rsid w:val="0012774B"/>
    <w:rsid w:val="001353F4"/>
    <w:rsid w:val="0014091C"/>
    <w:rsid w:val="00150655"/>
    <w:rsid w:val="0015303C"/>
    <w:rsid w:val="001530C2"/>
    <w:rsid w:val="0015664C"/>
    <w:rsid w:val="00157985"/>
    <w:rsid w:val="001606CF"/>
    <w:rsid w:val="00160730"/>
    <w:rsid w:val="00160EBB"/>
    <w:rsid w:val="0016128D"/>
    <w:rsid w:val="001618BE"/>
    <w:rsid w:val="0016404C"/>
    <w:rsid w:val="001655CB"/>
    <w:rsid w:val="0017089D"/>
    <w:rsid w:val="00170C3B"/>
    <w:rsid w:val="00172D3A"/>
    <w:rsid w:val="00180D96"/>
    <w:rsid w:val="001837F5"/>
    <w:rsid w:val="001850EE"/>
    <w:rsid w:val="0019101A"/>
    <w:rsid w:val="001922F2"/>
    <w:rsid w:val="00192AF8"/>
    <w:rsid w:val="00195D78"/>
    <w:rsid w:val="001968E9"/>
    <w:rsid w:val="001A4B47"/>
    <w:rsid w:val="001A56A0"/>
    <w:rsid w:val="001A60E0"/>
    <w:rsid w:val="001A66B8"/>
    <w:rsid w:val="001A6A6A"/>
    <w:rsid w:val="001B1DAD"/>
    <w:rsid w:val="001B5580"/>
    <w:rsid w:val="001B6527"/>
    <w:rsid w:val="001C01B9"/>
    <w:rsid w:val="001C02C2"/>
    <w:rsid w:val="001C2776"/>
    <w:rsid w:val="001C358D"/>
    <w:rsid w:val="001C5350"/>
    <w:rsid w:val="001C5CF1"/>
    <w:rsid w:val="001C6F84"/>
    <w:rsid w:val="001E589A"/>
    <w:rsid w:val="001F2067"/>
    <w:rsid w:val="001F3B7D"/>
    <w:rsid w:val="001F4E30"/>
    <w:rsid w:val="001F59BE"/>
    <w:rsid w:val="00200405"/>
    <w:rsid w:val="002043ED"/>
    <w:rsid w:val="00206A13"/>
    <w:rsid w:val="00207373"/>
    <w:rsid w:val="002128C9"/>
    <w:rsid w:val="00213424"/>
    <w:rsid w:val="00213764"/>
    <w:rsid w:val="00213F36"/>
    <w:rsid w:val="0021437E"/>
    <w:rsid w:val="002149AF"/>
    <w:rsid w:val="00215F94"/>
    <w:rsid w:val="00220539"/>
    <w:rsid w:val="00220741"/>
    <w:rsid w:val="0022190E"/>
    <w:rsid w:val="00223B8F"/>
    <w:rsid w:val="00230963"/>
    <w:rsid w:val="00230CF4"/>
    <w:rsid w:val="00231049"/>
    <w:rsid w:val="002314D2"/>
    <w:rsid w:val="002372A6"/>
    <w:rsid w:val="0023795D"/>
    <w:rsid w:val="00241F77"/>
    <w:rsid w:val="00256DD6"/>
    <w:rsid w:val="00257AEE"/>
    <w:rsid w:val="00260414"/>
    <w:rsid w:val="00263B6C"/>
    <w:rsid w:val="00274407"/>
    <w:rsid w:val="0027590B"/>
    <w:rsid w:val="00282AF8"/>
    <w:rsid w:val="00283F70"/>
    <w:rsid w:val="00285969"/>
    <w:rsid w:val="00293DCC"/>
    <w:rsid w:val="002940EC"/>
    <w:rsid w:val="002A0723"/>
    <w:rsid w:val="002A2D65"/>
    <w:rsid w:val="002A3F2B"/>
    <w:rsid w:val="002B2BE9"/>
    <w:rsid w:val="002B3829"/>
    <w:rsid w:val="002B573F"/>
    <w:rsid w:val="002B5C39"/>
    <w:rsid w:val="002C32A7"/>
    <w:rsid w:val="002C40B6"/>
    <w:rsid w:val="002C5D7F"/>
    <w:rsid w:val="002C6E9A"/>
    <w:rsid w:val="002C7AE9"/>
    <w:rsid w:val="002D45E2"/>
    <w:rsid w:val="002D488F"/>
    <w:rsid w:val="002F3C78"/>
    <w:rsid w:val="002F617F"/>
    <w:rsid w:val="002F6380"/>
    <w:rsid w:val="0030258A"/>
    <w:rsid w:val="003072BB"/>
    <w:rsid w:val="003077C6"/>
    <w:rsid w:val="003122F4"/>
    <w:rsid w:val="00312A8A"/>
    <w:rsid w:val="00312BEB"/>
    <w:rsid w:val="0032080B"/>
    <w:rsid w:val="00320A0E"/>
    <w:rsid w:val="00320FE6"/>
    <w:rsid w:val="00323B9C"/>
    <w:rsid w:val="00324639"/>
    <w:rsid w:val="0032587A"/>
    <w:rsid w:val="00325A7C"/>
    <w:rsid w:val="00326237"/>
    <w:rsid w:val="00326533"/>
    <w:rsid w:val="003268D5"/>
    <w:rsid w:val="003315AC"/>
    <w:rsid w:val="00335B5C"/>
    <w:rsid w:val="00340C01"/>
    <w:rsid w:val="00344779"/>
    <w:rsid w:val="00352ED5"/>
    <w:rsid w:val="00354D27"/>
    <w:rsid w:val="0036109C"/>
    <w:rsid w:val="00361708"/>
    <w:rsid w:val="0036341D"/>
    <w:rsid w:val="00363AE0"/>
    <w:rsid w:val="00363CD7"/>
    <w:rsid w:val="003651E5"/>
    <w:rsid w:val="00366AE9"/>
    <w:rsid w:val="00367DD5"/>
    <w:rsid w:val="003732D4"/>
    <w:rsid w:val="003742CB"/>
    <w:rsid w:val="0038227C"/>
    <w:rsid w:val="00382698"/>
    <w:rsid w:val="003839F0"/>
    <w:rsid w:val="00383E91"/>
    <w:rsid w:val="003858A6"/>
    <w:rsid w:val="00385E8F"/>
    <w:rsid w:val="0038665E"/>
    <w:rsid w:val="00391533"/>
    <w:rsid w:val="00392DCC"/>
    <w:rsid w:val="00395AB7"/>
    <w:rsid w:val="0039671C"/>
    <w:rsid w:val="003A3F07"/>
    <w:rsid w:val="003A4C29"/>
    <w:rsid w:val="003A659D"/>
    <w:rsid w:val="003B399A"/>
    <w:rsid w:val="003B4CE5"/>
    <w:rsid w:val="003B51F1"/>
    <w:rsid w:val="003B7FC6"/>
    <w:rsid w:val="003C0F8C"/>
    <w:rsid w:val="003C56AE"/>
    <w:rsid w:val="003D0494"/>
    <w:rsid w:val="003D0808"/>
    <w:rsid w:val="003D4686"/>
    <w:rsid w:val="003D5E00"/>
    <w:rsid w:val="003D6B85"/>
    <w:rsid w:val="003E09B6"/>
    <w:rsid w:val="003E1B92"/>
    <w:rsid w:val="003E4D87"/>
    <w:rsid w:val="003E4DA6"/>
    <w:rsid w:val="003F1A8A"/>
    <w:rsid w:val="003F71F2"/>
    <w:rsid w:val="004007C9"/>
    <w:rsid w:val="00404237"/>
    <w:rsid w:val="004068A9"/>
    <w:rsid w:val="00406B86"/>
    <w:rsid w:val="00406E3A"/>
    <w:rsid w:val="00407A01"/>
    <w:rsid w:val="00414136"/>
    <w:rsid w:val="00416762"/>
    <w:rsid w:val="004241E8"/>
    <w:rsid w:val="0043284B"/>
    <w:rsid w:val="00433008"/>
    <w:rsid w:val="00434A81"/>
    <w:rsid w:val="004418BB"/>
    <w:rsid w:val="00441F40"/>
    <w:rsid w:val="00443ECD"/>
    <w:rsid w:val="00445265"/>
    <w:rsid w:val="00450EAC"/>
    <w:rsid w:val="00451092"/>
    <w:rsid w:val="00452FF9"/>
    <w:rsid w:val="004559CE"/>
    <w:rsid w:val="004579CB"/>
    <w:rsid w:val="00472760"/>
    <w:rsid w:val="00475B7B"/>
    <w:rsid w:val="00475F4D"/>
    <w:rsid w:val="00477EFA"/>
    <w:rsid w:val="00481B8B"/>
    <w:rsid w:val="00482AD1"/>
    <w:rsid w:val="00483049"/>
    <w:rsid w:val="004840DF"/>
    <w:rsid w:val="00487667"/>
    <w:rsid w:val="004920F4"/>
    <w:rsid w:val="00492FCB"/>
    <w:rsid w:val="004938D1"/>
    <w:rsid w:val="004951A8"/>
    <w:rsid w:val="0049603E"/>
    <w:rsid w:val="004A1045"/>
    <w:rsid w:val="004A1C7A"/>
    <w:rsid w:val="004A4D84"/>
    <w:rsid w:val="004A57ED"/>
    <w:rsid w:val="004A7824"/>
    <w:rsid w:val="004C21F3"/>
    <w:rsid w:val="004C2C9B"/>
    <w:rsid w:val="004C4F04"/>
    <w:rsid w:val="004C5E67"/>
    <w:rsid w:val="004D1487"/>
    <w:rsid w:val="004D52D2"/>
    <w:rsid w:val="004E4039"/>
    <w:rsid w:val="004E4D03"/>
    <w:rsid w:val="004E5AC6"/>
    <w:rsid w:val="004F1164"/>
    <w:rsid w:val="004F33CE"/>
    <w:rsid w:val="004F3B49"/>
    <w:rsid w:val="004F4101"/>
    <w:rsid w:val="004F4576"/>
    <w:rsid w:val="005023D3"/>
    <w:rsid w:val="0050266A"/>
    <w:rsid w:val="00504AB5"/>
    <w:rsid w:val="00512E71"/>
    <w:rsid w:val="005135CC"/>
    <w:rsid w:val="00513767"/>
    <w:rsid w:val="00514406"/>
    <w:rsid w:val="00516414"/>
    <w:rsid w:val="00516785"/>
    <w:rsid w:val="005221BF"/>
    <w:rsid w:val="00522911"/>
    <w:rsid w:val="0052419D"/>
    <w:rsid w:val="00527280"/>
    <w:rsid w:val="005301F8"/>
    <w:rsid w:val="005312FC"/>
    <w:rsid w:val="005320C1"/>
    <w:rsid w:val="00532BE6"/>
    <w:rsid w:val="0053603D"/>
    <w:rsid w:val="00550E3A"/>
    <w:rsid w:val="005529FF"/>
    <w:rsid w:val="00553B12"/>
    <w:rsid w:val="00554084"/>
    <w:rsid w:val="00554256"/>
    <w:rsid w:val="00557F40"/>
    <w:rsid w:val="00565C62"/>
    <w:rsid w:val="0056766D"/>
    <w:rsid w:val="00582C83"/>
    <w:rsid w:val="005841BC"/>
    <w:rsid w:val="00584696"/>
    <w:rsid w:val="005847E7"/>
    <w:rsid w:val="005864C8"/>
    <w:rsid w:val="005868DE"/>
    <w:rsid w:val="00590E14"/>
    <w:rsid w:val="005A2FBC"/>
    <w:rsid w:val="005A686D"/>
    <w:rsid w:val="005B06BE"/>
    <w:rsid w:val="005C114A"/>
    <w:rsid w:val="005C4485"/>
    <w:rsid w:val="005C52A3"/>
    <w:rsid w:val="005C6684"/>
    <w:rsid w:val="005C68ED"/>
    <w:rsid w:val="005D13DF"/>
    <w:rsid w:val="005D4147"/>
    <w:rsid w:val="005D7D99"/>
    <w:rsid w:val="005E03EA"/>
    <w:rsid w:val="005E27FA"/>
    <w:rsid w:val="005E2EAD"/>
    <w:rsid w:val="005F21BF"/>
    <w:rsid w:val="005F49CF"/>
    <w:rsid w:val="00602916"/>
    <w:rsid w:val="0060595B"/>
    <w:rsid w:val="00605AFD"/>
    <w:rsid w:val="00607C7C"/>
    <w:rsid w:val="006123D4"/>
    <w:rsid w:val="006133D0"/>
    <w:rsid w:val="00615D9C"/>
    <w:rsid w:val="00623211"/>
    <w:rsid w:val="00624DBE"/>
    <w:rsid w:val="00625CB1"/>
    <w:rsid w:val="006300EF"/>
    <w:rsid w:val="00635865"/>
    <w:rsid w:val="006358E7"/>
    <w:rsid w:val="00637C14"/>
    <w:rsid w:val="006415B6"/>
    <w:rsid w:val="0064531B"/>
    <w:rsid w:val="00645922"/>
    <w:rsid w:val="00647DEF"/>
    <w:rsid w:val="00651B6A"/>
    <w:rsid w:val="00656356"/>
    <w:rsid w:val="006571A7"/>
    <w:rsid w:val="006647C2"/>
    <w:rsid w:val="00665645"/>
    <w:rsid w:val="00666DCA"/>
    <w:rsid w:val="0067465E"/>
    <w:rsid w:val="006746E8"/>
    <w:rsid w:val="006755BF"/>
    <w:rsid w:val="00675674"/>
    <w:rsid w:val="006764C6"/>
    <w:rsid w:val="00676E80"/>
    <w:rsid w:val="00677AE0"/>
    <w:rsid w:val="00681048"/>
    <w:rsid w:val="0068401C"/>
    <w:rsid w:val="00686165"/>
    <w:rsid w:val="0068783B"/>
    <w:rsid w:val="00691CB5"/>
    <w:rsid w:val="00696082"/>
    <w:rsid w:val="00697696"/>
    <w:rsid w:val="00697863"/>
    <w:rsid w:val="006A0696"/>
    <w:rsid w:val="006A6EE1"/>
    <w:rsid w:val="006A7EBD"/>
    <w:rsid w:val="006B0002"/>
    <w:rsid w:val="006B0619"/>
    <w:rsid w:val="006B33BC"/>
    <w:rsid w:val="006B4344"/>
    <w:rsid w:val="006B5E7C"/>
    <w:rsid w:val="006B6A84"/>
    <w:rsid w:val="006C05D4"/>
    <w:rsid w:val="006C1077"/>
    <w:rsid w:val="006C645D"/>
    <w:rsid w:val="006C6B43"/>
    <w:rsid w:val="006D2A56"/>
    <w:rsid w:val="006D3D6D"/>
    <w:rsid w:val="006D42C7"/>
    <w:rsid w:val="006D4320"/>
    <w:rsid w:val="006D7774"/>
    <w:rsid w:val="006E1567"/>
    <w:rsid w:val="006E2E40"/>
    <w:rsid w:val="006E3CC3"/>
    <w:rsid w:val="006F4D22"/>
    <w:rsid w:val="006F656C"/>
    <w:rsid w:val="00700CC8"/>
    <w:rsid w:val="007029EE"/>
    <w:rsid w:val="00707014"/>
    <w:rsid w:val="00710E1B"/>
    <w:rsid w:val="00712FED"/>
    <w:rsid w:val="00714009"/>
    <w:rsid w:val="00714311"/>
    <w:rsid w:val="00720350"/>
    <w:rsid w:val="007219D3"/>
    <w:rsid w:val="00721E8D"/>
    <w:rsid w:val="0072290E"/>
    <w:rsid w:val="0072715F"/>
    <w:rsid w:val="00735419"/>
    <w:rsid w:val="00744C72"/>
    <w:rsid w:val="00745A87"/>
    <w:rsid w:val="00756945"/>
    <w:rsid w:val="00756D15"/>
    <w:rsid w:val="0076149E"/>
    <w:rsid w:val="007617C3"/>
    <w:rsid w:val="007655F0"/>
    <w:rsid w:val="00770B2D"/>
    <w:rsid w:val="007715FF"/>
    <w:rsid w:val="00773C71"/>
    <w:rsid w:val="0077452C"/>
    <w:rsid w:val="00782D90"/>
    <w:rsid w:val="0078509F"/>
    <w:rsid w:val="0079194E"/>
    <w:rsid w:val="00794499"/>
    <w:rsid w:val="0079502A"/>
    <w:rsid w:val="007A5F9D"/>
    <w:rsid w:val="007B2144"/>
    <w:rsid w:val="007B78BE"/>
    <w:rsid w:val="007C0E87"/>
    <w:rsid w:val="007C185E"/>
    <w:rsid w:val="007C498C"/>
    <w:rsid w:val="007D0C96"/>
    <w:rsid w:val="007D570C"/>
    <w:rsid w:val="007D5AA6"/>
    <w:rsid w:val="007E2AB9"/>
    <w:rsid w:val="007E3B02"/>
    <w:rsid w:val="007E4DC5"/>
    <w:rsid w:val="007E6456"/>
    <w:rsid w:val="007E6D36"/>
    <w:rsid w:val="007F104F"/>
    <w:rsid w:val="007F1555"/>
    <w:rsid w:val="007F3ADC"/>
    <w:rsid w:val="007F7407"/>
    <w:rsid w:val="007F74C6"/>
    <w:rsid w:val="00801E46"/>
    <w:rsid w:val="00801F96"/>
    <w:rsid w:val="00803A6A"/>
    <w:rsid w:val="00805CA9"/>
    <w:rsid w:val="008115A4"/>
    <w:rsid w:val="00812CF7"/>
    <w:rsid w:val="00824D3F"/>
    <w:rsid w:val="00826E8C"/>
    <w:rsid w:val="00827DB2"/>
    <w:rsid w:val="00831DA2"/>
    <w:rsid w:val="008339AC"/>
    <w:rsid w:val="00834243"/>
    <w:rsid w:val="008366A4"/>
    <w:rsid w:val="00840D73"/>
    <w:rsid w:val="00845038"/>
    <w:rsid w:val="00845CAD"/>
    <w:rsid w:val="0084646E"/>
    <w:rsid w:val="00846D77"/>
    <w:rsid w:val="00855618"/>
    <w:rsid w:val="00857969"/>
    <w:rsid w:val="008637FE"/>
    <w:rsid w:val="0088276E"/>
    <w:rsid w:val="00882FCF"/>
    <w:rsid w:val="00883CE7"/>
    <w:rsid w:val="008861AC"/>
    <w:rsid w:val="008A1187"/>
    <w:rsid w:val="008A2D8D"/>
    <w:rsid w:val="008A6D34"/>
    <w:rsid w:val="008B1499"/>
    <w:rsid w:val="008B160F"/>
    <w:rsid w:val="008C4FCE"/>
    <w:rsid w:val="008D0B6E"/>
    <w:rsid w:val="008D339F"/>
    <w:rsid w:val="008D7725"/>
    <w:rsid w:val="008D7F38"/>
    <w:rsid w:val="008E1A4F"/>
    <w:rsid w:val="008E36B8"/>
    <w:rsid w:val="008E377B"/>
    <w:rsid w:val="008E4751"/>
    <w:rsid w:val="008E6292"/>
    <w:rsid w:val="008F46E9"/>
    <w:rsid w:val="008F5D56"/>
    <w:rsid w:val="008F5F84"/>
    <w:rsid w:val="00905E92"/>
    <w:rsid w:val="00907570"/>
    <w:rsid w:val="00912D16"/>
    <w:rsid w:val="00913FAB"/>
    <w:rsid w:val="0091609F"/>
    <w:rsid w:val="00922C34"/>
    <w:rsid w:val="00925AA5"/>
    <w:rsid w:val="00926A0D"/>
    <w:rsid w:val="00926AB4"/>
    <w:rsid w:val="00926C0C"/>
    <w:rsid w:val="0094019D"/>
    <w:rsid w:val="00942C11"/>
    <w:rsid w:val="00942F4E"/>
    <w:rsid w:val="00950791"/>
    <w:rsid w:val="00952748"/>
    <w:rsid w:val="00954B75"/>
    <w:rsid w:val="00955899"/>
    <w:rsid w:val="00967D95"/>
    <w:rsid w:val="00972232"/>
    <w:rsid w:val="009732EC"/>
    <w:rsid w:val="0097395D"/>
    <w:rsid w:val="009810E9"/>
    <w:rsid w:val="009821CE"/>
    <w:rsid w:val="00982A2A"/>
    <w:rsid w:val="009852CF"/>
    <w:rsid w:val="00985EB0"/>
    <w:rsid w:val="00986ACD"/>
    <w:rsid w:val="00987A3C"/>
    <w:rsid w:val="00991634"/>
    <w:rsid w:val="00992233"/>
    <w:rsid w:val="009953C4"/>
    <w:rsid w:val="009972A1"/>
    <w:rsid w:val="009A2FBA"/>
    <w:rsid w:val="009A658F"/>
    <w:rsid w:val="009A668A"/>
    <w:rsid w:val="009B61AA"/>
    <w:rsid w:val="009B794D"/>
    <w:rsid w:val="009C1630"/>
    <w:rsid w:val="009C48F0"/>
    <w:rsid w:val="009C59E4"/>
    <w:rsid w:val="009D1D80"/>
    <w:rsid w:val="009D39C9"/>
    <w:rsid w:val="009E0B23"/>
    <w:rsid w:val="009F0013"/>
    <w:rsid w:val="009F2313"/>
    <w:rsid w:val="009F653A"/>
    <w:rsid w:val="00A03E6A"/>
    <w:rsid w:val="00A07E4F"/>
    <w:rsid w:val="00A114F8"/>
    <w:rsid w:val="00A14B2D"/>
    <w:rsid w:val="00A1575C"/>
    <w:rsid w:val="00A16E03"/>
    <w:rsid w:val="00A23EA7"/>
    <w:rsid w:val="00A24888"/>
    <w:rsid w:val="00A260CD"/>
    <w:rsid w:val="00A27BD4"/>
    <w:rsid w:val="00A31B1E"/>
    <w:rsid w:val="00A34A99"/>
    <w:rsid w:val="00A36567"/>
    <w:rsid w:val="00A3749B"/>
    <w:rsid w:val="00A459BB"/>
    <w:rsid w:val="00A52600"/>
    <w:rsid w:val="00A53069"/>
    <w:rsid w:val="00A62E42"/>
    <w:rsid w:val="00A63A4F"/>
    <w:rsid w:val="00A64A71"/>
    <w:rsid w:val="00A71F24"/>
    <w:rsid w:val="00A74DAB"/>
    <w:rsid w:val="00A905C2"/>
    <w:rsid w:val="00A91088"/>
    <w:rsid w:val="00A949FF"/>
    <w:rsid w:val="00AA26C0"/>
    <w:rsid w:val="00AA5783"/>
    <w:rsid w:val="00AB661C"/>
    <w:rsid w:val="00AB7361"/>
    <w:rsid w:val="00AC08D2"/>
    <w:rsid w:val="00AC0B08"/>
    <w:rsid w:val="00AC65B6"/>
    <w:rsid w:val="00AD6D73"/>
    <w:rsid w:val="00AD7433"/>
    <w:rsid w:val="00AD76C4"/>
    <w:rsid w:val="00AE0C0E"/>
    <w:rsid w:val="00AE19ED"/>
    <w:rsid w:val="00AE2F90"/>
    <w:rsid w:val="00AE4827"/>
    <w:rsid w:val="00AF71A2"/>
    <w:rsid w:val="00B13A63"/>
    <w:rsid w:val="00B13B8C"/>
    <w:rsid w:val="00B13BEF"/>
    <w:rsid w:val="00B149F5"/>
    <w:rsid w:val="00B158CA"/>
    <w:rsid w:val="00B16537"/>
    <w:rsid w:val="00B210CC"/>
    <w:rsid w:val="00B24157"/>
    <w:rsid w:val="00B246FE"/>
    <w:rsid w:val="00B247ED"/>
    <w:rsid w:val="00B303CE"/>
    <w:rsid w:val="00B310EE"/>
    <w:rsid w:val="00B3149D"/>
    <w:rsid w:val="00B43380"/>
    <w:rsid w:val="00B51EFD"/>
    <w:rsid w:val="00B52E23"/>
    <w:rsid w:val="00B557EC"/>
    <w:rsid w:val="00B56E06"/>
    <w:rsid w:val="00B61153"/>
    <w:rsid w:val="00B64882"/>
    <w:rsid w:val="00B770FF"/>
    <w:rsid w:val="00B82EF9"/>
    <w:rsid w:val="00B833B0"/>
    <w:rsid w:val="00B8394A"/>
    <w:rsid w:val="00B855FF"/>
    <w:rsid w:val="00B85F47"/>
    <w:rsid w:val="00B8646A"/>
    <w:rsid w:val="00B87927"/>
    <w:rsid w:val="00B9002F"/>
    <w:rsid w:val="00B92619"/>
    <w:rsid w:val="00B9321C"/>
    <w:rsid w:val="00B93B42"/>
    <w:rsid w:val="00B97293"/>
    <w:rsid w:val="00BA0BE3"/>
    <w:rsid w:val="00BA3319"/>
    <w:rsid w:val="00BA5630"/>
    <w:rsid w:val="00BB1BD8"/>
    <w:rsid w:val="00BC1448"/>
    <w:rsid w:val="00BC5B26"/>
    <w:rsid w:val="00BC640C"/>
    <w:rsid w:val="00BD54B6"/>
    <w:rsid w:val="00BD5650"/>
    <w:rsid w:val="00BE1991"/>
    <w:rsid w:val="00BE5ED3"/>
    <w:rsid w:val="00C00460"/>
    <w:rsid w:val="00C02495"/>
    <w:rsid w:val="00C12BB3"/>
    <w:rsid w:val="00C207E4"/>
    <w:rsid w:val="00C21109"/>
    <w:rsid w:val="00C216E1"/>
    <w:rsid w:val="00C21D35"/>
    <w:rsid w:val="00C23296"/>
    <w:rsid w:val="00C30297"/>
    <w:rsid w:val="00C3120B"/>
    <w:rsid w:val="00C346B0"/>
    <w:rsid w:val="00C35B28"/>
    <w:rsid w:val="00C35DA5"/>
    <w:rsid w:val="00C402F3"/>
    <w:rsid w:val="00C46501"/>
    <w:rsid w:val="00C54E4E"/>
    <w:rsid w:val="00C55BD8"/>
    <w:rsid w:val="00C663AB"/>
    <w:rsid w:val="00C67DF9"/>
    <w:rsid w:val="00C70BA7"/>
    <w:rsid w:val="00C748FA"/>
    <w:rsid w:val="00C7784F"/>
    <w:rsid w:val="00C81B53"/>
    <w:rsid w:val="00C85314"/>
    <w:rsid w:val="00C877F2"/>
    <w:rsid w:val="00C909BF"/>
    <w:rsid w:val="00C9139B"/>
    <w:rsid w:val="00C97780"/>
    <w:rsid w:val="00CA46D6"/>
    <w:rsid w:val="00CA4BC0"/>
    <w:rsid w:val="00CB0113"/>
    <w:rsid w:val="00CB289B"/>
    <w:rsid w:val="00CB37F5"/>
    <w:rsid w:val="00CB69E0"/>
    <w:rsid w:val="00CC02A4"/>
    <w:rsid w:val="00CC3802"/>
    <w:rsid w:val="00CC47B3"/>
    <w:rsid w:val="00CC559D"/>
    <w:rsid w:val="00CD0110"/>
    <w:rsid w:val="00CD3B67"/>
    <w:rsid w:val="00CD654B"/>
    <w:rsid w:val="00CD6BD4"/>
    <w:rsid w:val="00CE06A5"/>
    <w:rsid w:val="00CE07CD"/>
    <w:rsid w:val="00CE07F8"/>
    <w:rsid w:val="00CE223E"/>
    <w:rsid w:val="00CE36C9"/>
    <w:rsid w:val="00CE45C6"/>
    <w:rsid w:val="00CE6F02"/>
    <w:rsid w:val="00CE730F"/>
    <w:rsid w:val="00CF2657"/>
    <w:rsid w:val="00CF37CD"/>
    <w:rsid w:val="00CF389F"/>
    <w:rsid w:val="00CF3BA3"/>
    <w:rsid w:val="00CF3FBD"/>
    <w:rsid w:val="00CF4C42"/>
    <w:rsid w:val="00D00352"/>
    <w:rsid w:val="00D01DAB"/>
    <w:rsid w:val="00D06523"/>
    <w:rsid w:val="00D06E44"/>
    <w:rsid w:val="00D114F4"/>
    <w:rsid w:val="00D11C9B"/>
    <w:rsid w:val="00D13B40"/>
    <w:rsid w:val="00D145F5"/>
    <w:rsid w:val="00D14E21"/>
    <w:rsid w:val="00D168C9"/>
    <w:rsid w:val="00D17E23"/>
    <w:rsid w:val="00D24ACF"/>
    <w:rsid w:val="00D26327"/>
    <w:rsid w:val="00D306C7"/>
    <w:rsid w:val="00D30D1A"/>
    <w:rsid w:val="00D33080"/>
    <w:rsid w:val="00D346E8"/>
    <w:rsid w:val="00D355F0"/>
    <w:rsid w:val="00D37417"/>
    <w:rsid w:val="00D45AF8"/>
    <w:rsid w:val="00D51C05"/>
    <w:rsid w:val="00D522FF"/>
    <w:rsid w:val="00D523ED"/>
    <w:rsid w:val="00D53AAC"/>
    <w:rsid w:val="00D572CA"/>
    <w:rsid w:val="00D63C6E"/>
    <w:rsid w:val="00D66158"/>
    <w:rsid w:val="00D70ABE"/>
    <w:rsid w:val="00D74479"/>
    <w:rsid w:val="00D76822"/>
    <w:rsid w:val="00D83BD9"/>
    <w:rsid w:val="00D900AF"/>
    <w:rsid w:val="00D92075"/>
    <w:rsid w:val="00D92284"/>
    <w:rsid w:val="00D9316C"/>
    <w:rsid w:val="00D93268"/>
    <w:rsid w:val="00D938E2"/>
    <w:rsid w:val="00D95FB9"/>
    <w:rsid w:val="00DA48CE"/>
    <w:rsid w:val="00DA686B"/>
    <w:rsid w:val="00DA686D"/>
    <w:rsid w:val="00DB530E"/>
    <w:rsid w:val="00DB7F09"/>
    <w:rsid w:val="00DC00E8"/>
    <w:rsid w:val="00DC192E"/>
    <w:rsid w:val="00DC3714"/>
    <w:rsid w:val="00DC73F4"/>
    <w:rsid w:val="00DD0D53"/>
    <w:rsid w:val="00DD23F2"/>
    <w:rsid w:val="00DD7834"/>
    <w:rsid w:val="00DE2275"/>
    <w:rsid w:val="00DE27B6"/>
    <w:rsid w:val="00DE5B37"/>
    <w:rsid w:val="00DE72D7"/>
    <w:rsid w:val="00DE754F"/>
    <w:rsid w:val="00DF098A"/>
    <w:rsid w:val="00DF24BB"/>
    <w:rsid w:val="00DF5158"/>
    <w:rsid w:val="00E03C5F"/>
    <w:rsid w:val="00E04CD4"/>
    <w:rsid w:val="00E10D39"/>
    <w:rsid w:val="00E1136B"/>
    <w:rsid w:val="00E13BC7"/>
    <w:rsid w:val="00E166FC"/>
    <w:rsid w:val="00E20371"/>
    <w:rsid w:val="00E2161B"/>
    <w:rsid w:val="00E21AD5"/>
    <w:rsid w:val="00E224FD"/>
    <w:rsid w:val="00E22D51"/>
    <w:rsid w:val="00E317CE"/>
    <w:rsid w:val="00E32469"/>
    <w:rsid w:val="00E340BC"/>
    <w:rsid w:val="00E34B38"/>
    <w:rsid w:val="00E35FA1"/>
    <w:rsid w:val="00E3684A"/>
    <w:rsid w:val="00E37770"/>
    <w:rsid w:val="00E413BC"/>
    <w:rsid w:val="00E41FF4"/>
    <w:rsid w:val="00E43BA8"/>
    <w:rsid w:val="00E43E8D"/>
    <w:rsid w:val="00E50E7C"/>
    <w:rsid w:val="00E51545"/>
    <w:rsid w:val="00E51D5D"/>
    <w:rsid w:val="00E55326"/>
    <w:rsid w:val="00E57F0F"/>
    <w:rsid w:val="00E60D93"/>
    <w:rsid w:val="00E6178A"/>
    <w:rsid w:val="00E6611A"/>
    <w:rsid w:val="00E711D7"/>
    <w:rsid w:val="00E740CE"/>
    <w:rsid w:val="00E75646"/>
    <w:rsid w:val="00E763DB"/>
    <w:rsid w:val="00E83256"/>
    <w:rsid w:val="00E86D63"/>
    <w:rsid w:val="00E902B0"/>
    <w:rsid w:val="00E902E8"/>
    <w:rsid w:val="00E94E5F"/>
    <w:rsid w:val="00EA0308"/>
    <w:rsid w:val="00EA6680"/>
    <w:rsid w:val="00EB030F"/>
    <w:rsid w:val="00EB048C"/>
    <w:rsid w:val="00EB18DD"/>
    <w:rsid w:val="00EB1E95"/>
    <w:rsid w:val="00EB1FB4"/>
    <w:rsid w:val="00EB6F2D"/>
    <w:rsid w:val="00EC3D0C"/>
    <w:rsid w:val="00EC6B16"/>
    <w:rsid w:val="00ED6589"/>
    <w:rsid w:val="00ED6BF6"/>
    <w:rsid w:val="00ED7016"/>
    <w:rsid w:val="00EE2F13"/>
    <w:rsid w:val="00EE2F33"/>
    <w:rsid w:val="00EE39E4"/>
    <w:rsid w:val="00EE677F"/>
    <w:rsid w:val="00EE696A"/>
    <w:rsid w:val="00EF03CF"/>
    <w:rsid w:val="00EF0876"/>
    <w:rsid w:val="00EF3946"/>
    <w:rsid w:val="00EF4419"/>
    <w:rsid w:val="00EF5B6B"/>
    <w:rsid w:val="00F0082D"/>
    <w:rsid w:val="00F02CE8"/>
    <w:rsid w:val="00F05961"/>
    <w:rsid w:val="00F07C90"/>
    <w:rsid w:val="00F11F1E"/>
    <w:rsid w:val="00F12632"/>
    <w:rsid w:val="00F1497F"/>
    <w:rsid w:val="00F20469"/>
    <w:rsid w:val="00F2295D"/>
    <w:rsid w:val="00F24606"/>
    <w:rsid w:val="00F246BB"/>
    <w:rsid w:val="00F2610B"/>
    <w:rsid w:val="00F31B92"/>
    <w:rsid w:val="00F3489C"/>
    <w:rsid w:val="00F37173"/>
    <w:rsid w:val="00F41FCA"/>
    <w:rsid w:val="00F5104B"/>
    <w:rsid w:val="00F574C2"/>
    <w:rsid w:val="00F6296E"/>
    <w:rsid w:val="00F63162"/>
    <w:rsid w:val="00F64AA8"/>
    <w:rsid w:val="00F6591A"/>
    <w:rsid w:val="00F661F2"/>
    <w:rsid w:val="00F66B9F"/>
    <w:rsid w:val="00F71A0E"/>
    <w:rsid w:val="00F7323B"/>
    <w:rsid w:val="00F758DE"/>
    <w:rsid w:val="00F80501"/>
    <w:rsid w:val="00F90D5E"/>
    <w:rsid w:val="00F91E89"/>
    <w:rsid w:val="00F92279"/>
    <w:rsid w:val="00F9276F"/>
    <w:rsid w:val="00F93145"/>
    <w:rsid w:val="00FA3056"/>
    <w:rsid w:val="00FA62CA"/>
    <w:rsid w:val="00FA7EE1"/>
    <w:rsid w:val="00FB12F4"/>
    <w:rsid w:val="00FB2AC2"/>
    <w:rsid w:val="00FB2CD2"/>
    <w:rsid w:val="00FB3BBB"/>
    <w:rsid w:val="00FB3F08"/>
    <w:rsid w:val="00FB64AA"/>
    <w:rsid w:val="00FC46B0"/>
    <w:rsid w:val="00FC5C23"/>
    <w:rsid w:val="00FC6ADA"/>
    <w:rsid w:val="00FD6420"/>
    <w:rsid w:val="00FD772D"/>
    <w:rsid w:val="00FE1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7A0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20"/>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paragraph" w:styleId="Heading7">
    <w:name w:val="heading 7"/>
    <w:basedOn w:val="Normal"/>
    <w:next w:val="Normal"/>
    <w:link w:val="Heading7Char"/>
    <w:unhideWhenUsed/>
    <w:qFormat/>
    <w:rsid w:val="0071400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
    <w:basedOn w:val="Normal"/>
    <w:link w:val="BulletChar"/>
    <w:qFormat/>
    <w:rsid w:val="000310E0"/>
    <w:pPr>
      <w:keepLines/>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F661F2"/>
    <w:pPr>
      <w:spacing w:before="60"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F24606"/>
    <w:pPr>
      <w:numPr>
        <w:ilvl w:val="1"/>
        <w:numId w:val="1"/>
      </w:numPr>
      <w:spacing w:before="0"/>
      <w:ind w:left="568"/>
    </w:pPr>
  </w:style>
  <w:style w:type="paragraph" w:customStyle="1" w:styleId="DoubleDot">
    <w:name w:val="Double Dot"/>
    <w:basedOn w:val="Normal"/>
    <w:link w:val="DoubleDotChar"/>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9"/>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A27BD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AA26C0"/>
    <w:pPr>
      <w:jc w:val="center"/>
    </w:pPr>
    <w:rPr>
      <w:sz w:val="20"/>
    </w:r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rsid w:val="0021437E"/>
    <w:pPr>
      <w:tabs>
        <w:tab w:val="left" w:pos="567"/>
      </w:tabs>
      <w:spacing w:before="0" w:after="0"/>
    </w:pPr>
    <w:rPr>
      <w:sz w:val="20"/>
    </w:rPr>
  </w:style>
  <w:style w:type="character" w:customStyle="1" w:styleId="FootnoteTextChar">
    <w:name w:val="Footnote Text Char"/>
    <w:basedOn w:val="DefaultParagraphFont"/>
    <w:link w:val="FootnoteText"/>
    <w:rsid w:val="0021437E"/>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0A6E43"/>
    <w:rPr>
      <w:sz w:val="16"/>
      <w:szCs w:val="16"/>
    </w:rPr>
  </w:style>
  <w:style w:type="paragraph" w:styleId="CommentText">
    <w:name w:val="annotation text"/>
    <w:basedOn w:val="Normal"/>
    <w:link w:val="CommentTextChar"/>
    <w:uiPriority w:val="99"/>
    <w:unhideWhenUsed/>
    <w:rsid w:val="000A6E43"/>
    <w:rPr>
      <w:sz w:val="20"/>
    </w:rPr>
  </w:style>
  <w:style w:type="character" w:customStyle="1" w:styleId="CommentTextChar">
    <w:name w:val="Comment Text Char"/>
    <w:basedOn w:val="DefaultParagraphFont"/>
    <w:link w:val="CommentText"/>
    <w:uiPriority w:val="99"/>
    <w:rsid w:val="000A6E4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6E43"/>
    <w:rPr>
      <w:b/>
      <w:bCs/>
    </w:rPr>
  </w:style>
  <w:style w:type="character" w:customStyle="1" w:styleId="CommentSubjectChar">
    <w:name w:val="Comment Subject Char"/>
    <w:basedOn w:val="CommentTextChar"/>
    <w:link w:val="CommentSubject"/>
    <w:uiPriority w:val="99"/>
    <w:semiHidden/>
    <w:rsid w:val="000A6E43"/>
    <w:rPr>
      <w:rFonts w:ascii="Calibri" w:eastAsia="Times New Roman" w:hAnsi="Calibri" w:cs="Times New Roman"/>
      <w:b/>
      <w:bCs/>
      <w:sz w:val="20"/>
      <w:szCs w:val="20"/>
      <w:lang w:eastAsia="en-AU"/>
    </w:rPr>
  </w:style>
  <w:style w:type="character" w:customStyle="1" w:styleId="BulletChar">
    <w:name w:val="Bullet Char"/>
    <w:aliases w:val="b Char"/>
    <w:basedOn w:val="DefaultParagraphFont"/>
    <w:link w:val="Bullet"/>
    <w:rsid w:val="000310E0"/>
    <w:rPr>
      <w:rFonts w:ascii="Calibri" w:eastAsia="Times New Roman" w:hAnsi="Calibri" w:cs="Times New Roman"/>
      <w:szCs w:val="20"/>
      <w:lang w:eastAsia="en-AU"/>
    </w:rPr>
  </w:style>
  <w:style w:type="paragraph" w:styleId="Revision">
    <w:name w:val="Revision"/>
    <w:hidden/>
    <w:uiPriority w:val="99"/>
    <w:semiHidden/>
    <w:rsid w:val="00406E3A"/>
    <w:pPr>
      <w:spacing w:after="0" w:line="240" w:lineRule="auto"/>
    </w:pPr>
    <w:rPr>
      <w:rFonts w:ascii="Calibri" w:eastAsia="Times New Roman" w:hAnsi="Calibri" w:cs="Times New Roman"/>
      <w:szCs w:val="20"/>
      <w:lang w:eastAsia="en-AU"/>
    </w:rPr>
  </w:style>
  <w:style w:type="character" w:customStyle="1" w:styleId="Heading7Char">
    <w:name w:val="Heading 7 Char"/>
    <w:basedOn w:val="DefaultParagraphFont"/>
    <w:link w:val="Heading7"/>
    <w:rsid w:val="00714009"/>
    <w:rPr>
      <w:rFonts w:asciiTheme="majorHAnsi" w:eastAsiaTheme="majorEastAsia" w:hAnsiTheme="majorHAnsi" w:cstheme="majorBidi"/>
      <w:i/>
      <w:iCs/>
      <w:color w:val="404040" w:themeColor="text1" w:themeTint="BF"/>
      <w:szCs w:val="20"/>
      <w:lang w:eastAsia="en-AU"/>
    </w:rPr>
  </w:style>
  <w:style w:type="paragraph" w:styleId="ListParagraph">
    <w:name w:val="List Paragraph"/>
    <w:basedOn w:val="Normal"/>
    <w:uiPriority w:val="34"/>
    <w:qFormat/>
    <w:rsid w:val="00714009"/>
    <w:pPr>
      <w:spacing w:before="0" w:after="240" w:line="260" w:lineRule="exact"/>
      <w:ind w:left="720"/>
      <w:contextualSpacing/>
      <w:jc w:val="both"/>
    </w:pPr>
    <w:rPr>
      <w:color w:val="000000"/>
    </w:rPr>
  </w:style>
  <w:style w:type="numbering" w:customStyle="1" w:styleId="Bulletlist">
    <w:name w:val="Bullet list"/>
    <w:uiPriority w:val="99"/>
    <w:rsid w:val="00D523ED"/>
    <w:pPr>
      <w:numPr>
        <w:numId w:val="12"/>
      </w:numPr>
    </w:pPr>
  </w:style>
  <w:style w:type="paragraph" w:customStyle="1" w:styleId="Bullet2">
    <w:name w:val="Bullet 2"/>
    <w:basedOn w:val="Normal"/>
    <w:qFormat/>
    <w:rsid w:val="00D523ED"/>
    <w:pPr>
      <w:tabs>
        <w:tab w:val="left" w:pos="284"/>
        <w:tab w:val="num" w:pos="568"/>
      </w:tabs>
      <w:spacing w:before="0"/>
      <w:ind w:left="568" w:hanging="284"/>
    </w:pPr>
    <w:rPr>
      <w:rFonts w:eastAsia="Calibri"/>
      <w:szCs w:val="22"/>
      <w:lang w:eastAsia="en-US"/>
    </w:rPr>
  </w:style>
  <w:style w:type="paragraph" w:customStyle="1" w:styleId="Bullet3">
    <w:name w:val="Bullet 3"/>
    <w:basedOn w:val="Normal"/>
    <w:qFormat/>
    <w:rsid w:val="00D523ED"/>
    <w:pPr>
      <w:tabs>
        <w:tab w:val="left" w:pos="284"/>
        <w:tab w:val="num" w:pos="852"/>
      </w:tabs>
      <w:spacing w:before="0"/>
      <w:ind w:left="852" w:hanging="284"/>
    </w:pPr>
    <w:rPr>
      <w:rFonts w:eastAsia="Calibri"/>
      <w:szCs w:val="22"/>
      <w:lang w:eastAsia="en-US"/>
    </w:rPr>
  </w:style>
  <w:style w:type="table" w:styleId="LightList-Accent5">
    <w:name w:val="Light List Accent 5"/>
    <w:basedOn w:val="TableNormal"/>
    <w:uiPriority w:val="61"/>
    <w:rsid w:val="007C185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ubleDotChar">
    <w:name w:val="Double Dot Char"/>
    <w:basedOn w:val="DefaultParagraphFont"/>
    <w:link w:val="DoubleDot"/>
    <w:locked/>
    <w:rsid w:val="00955899"/>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20"/>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paragraph" w:styleId="Heading7">
    <w:name w:val="heading 7"/>
    <w:basedOn w:val="Normal"/>
    <w:next w:val="Normal"/>
    <w:link w:val="Heading7Char"/>
    <w:unhideWhenUsed/>
    <w:qFormat/>
    <w:rsid w:val="0071400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
    <w:basedOn w:val="Normal"/>
    <w:link w:val="BulletChar"/>
    <w:qFormat/>
    <w:rsid w:val="000310E0"/>
    <w:pPr>
      <w:keepLines/>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F661F2"/>
    <w:pPr>
      <w:spacing w:before="60"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F24606"/>
    <w:pPr>
      <w:numPr>
        <w:ilvl w:val="1"/>
        <w:numId w:val="1"/>
      </w:numPr>
      <w:spacing w:before="0"/>
      <w:ind w:left="568"/>
    </w:pPr>
  </w:style>
  <w:style w:type="paragraph" w:customStyle="1" w:styleId="DoubleDot">
    <w:name w:val="Double Dot"/>
    <w:basedOn w:val="Normal"/>
    <w:link w:val="DoubleDotChar"/>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9"/>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A27BD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AA26C0"/>
    <w:pPr>
      <w:jc w:val="center"/>
    </w:pPr>
    <w:rPr>
      <w:sz w:val="20"/>
    </w:r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rsid w:val="0021437E"/>
    <w:pPr>
      <w:tabs>
        <w:tab w:val="left" w:pos="567"/>
      </w:tabs>
      <w:spacing w:before="0" w:after="0"/>
    </w:pPr>
    <w:rPr>
      <w:sz w:val="20"/>
    </w:rPr>
  </w:style>
  <w:style w:type="character" w:customStyle="1" w:styleId="FootnoteTextChar">
    <w:name w:val="Footnote Text Char"/>
    <w:basedOn w:val="DefaultParagraphFont"/>
    <w:link w:val="FootnoteText"/>
    <w:rsid w:val="0021437E"/>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0A6E43"/>
    <w:rPr>
      <w:sz w:val="16"/>
      <w:szCs w:val="16"/>
    </w:rPr>
  </w:style>
  <w:style w:type="paragraph" w:styleId="CommentText">
    <w:name w:val="annotation text"/>
    <w:basedOn w:val="Normal"/>
    <w:link w:val="CommentTextChar"/>
    <w:uiPriority w:val="99"/>
    <w:unhideWhenUsed/>
    <w:rsid w:val="000A6E43"/>
    <w:rPr>
      <w:sz w:val="20"/>
    </w:rPr>
  </w:style>
  <w:style w:type="character" w:customStyle="1" w:styleId="CommentTextChar">
    <w:name w:val="Comment Text Char"/>
    <w:basedOn w:val="DefaultParagraphFont"/>
    <w:link w:val="CommentText"/>
    <w:uiPriority w:val="99"/>
    <w:rsid w:val="000A6E4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6E43"/>
    <w:rPr>
      <w:b/>
      <w:bCs/>
    </w:rPr>
  </w:style>
  <w:style w:type="character" w:customStyle="1" w:styleId="CommentSubjectChar">
    <w:name w:val="Comment Subject Char"/>
    <w:basedOn w:val="CommentTextChar"/>
    <w:link w:val="CommentSubject"/>
    <w:uiPriority w:val="99"/>
    <w:semiHidden/>
    <w:rsid w:val="000A6E43"/>
    <w:rPr>
      <w:rFonts w:ascii="Calibri" w:eastAsia="Times New Roman" w:hAnsi="Calibri" w:cs="Times New Roman"/>
      <w:b/>
      <w:bCs/>
      <w:sz w:val="20"/>
      <w:szCs w:val="20"/>
      <w:lang w:eastAsia="en-AU"/>
    </w:rPr>
  </w:style>
  <w:style w:type="character" w:customStyle="1" w:styleId="BulletChar">
    <w:name w:val="Bullet Char"/>
    <w:aliases w:val="b Char"/>
    <w:basedOn w:val="DefaultParagraphFont"/>
    <w:link w:val="Bullet"/>
    <w:rsid w:val="000310E0"/>
    <w:rPr>
      <w:rFonts w:ascii="Calibri" w:eastAsia="Times New Roman" w:hAnsi="Calibri" w:cs="Times New Roman"/>
      <w:szCs w:val="20"/>
      <w:lang w:eastAsia="en-AU"/>
    </w:rPr>
  </w:style>
  <w:style w:type="paragraph" w:styleId="Revision">
    <w:name w:val="Revision"/>
    <w:hidden/>
    <w:uiPriority w:val="99"/>
    <w:semiHidden/>
    <w:rsid w:val="00406E3A"/>
    <w:pPr>
      <w:spacing w:after="0" w:line="240" w:lineRule="auto"/>
    </w:pPr>
    <w:rPr>
      <w:rFonts w:ascii="Calibri" w:eastAsia="Times New Roman" w:hAnsi="Calibri" w:cs="Times New Roman"/>
      <w:szCs w:val="20"/>
      <w:lang w:eastAsia="en-AU"/>
    </w:rPr>
  </w:style>
  <w:style w:type="character" w:customStyle="1" w:styleId="Heading7Char">
    <w:name w:val="Heading 7 Char"/>
    <w:basedOn w:val="DefaultParagraphFont"/>
    <w:link w:val="Heading7"/>
    <w:rsid w:val="00714009"/>
    <w:rPr>
      <w:rFonts w:asciiTheme="majorHAnsi" w:eastAsiaTheme="majorEastAsia" w:hAnsiTheme="majorHAnsi" w:cstheme="majorBidi"/>
      <w:i/>
      <w:iCs/>
      <w:color w:val="404040" w:themeColor="text1" w:themeTint="BF"/>
      <w:szCs w:val="20"/>
      <w:lang w:eastAsia="en-AU"/>
    </w:rPr>
  </w:style>
  <w:style w:type="paragraph" w:styleId="ListParagraph">
    <w:name w:val="List Paragraph"/>
    <w:basedOn w:val="Normal"/>
    <w:uiPriority w:val="34"/>
    <w:qFormat/>
    <w:rsid w:val="00714009"/>
    <w:pPr>
      <w:spacing w:before="0" w:after="240" w:line="260" w:lineRule="exact"/>
      <w:ind w:left="720"/>
      <w:contextualSpacing/>
      <w:jc w:val="both"/>
    </w:pPr>
    <w:rPr>
      <w:color w:val="000000"/>
    </w:rPr>
  </w:style>
  <w:style w:type="numbering" w:customStyle="1" w:styleId="Bulletlist">
    <w:name w:val="Bullet list"/>
    <w:uiPriority w:val="99"/>
    <w:rsid w:val="00D523ED"/>
    <w:pPr>
      <w:numPr>
        <w:numId w:val="12"/>
      </w:numPr>
    </w:pPr>
  </w:style>
  <w:style w:type="paragraph" w:customStyle="1" w:styleId="Bullet2">
    <w:name w:val="Bullet 2"/>
    <w:basedOn w:val="Normal"/>
    <w:qFormat/>
    <w:rsid w:val="00D523ED"/>
    <w:pPr>
      <w:tabs>
        <w:tab w:val="left" w:pos="284"/>
        <w:tab w:val="num" w:pos="568"/>
      </w:tabs>
      <w:spacing w:before="0"/>
      <w:ind w:left="568" w:hanging="284"/>
    </w:pPr>
    <w:rPr>
      <w:rFonts w:eastAsia="Calibri"/>
      <w:szCs w:val="22"/>
      <w:lang w:eastAsia="en-US"/>
    </w:rPr>
  </w:style>
  <w:style w:type="paragraph" w:customStyle="1" w:styleId="Bullet3">
    <w:name w:val="Bullet 3"/>
    <w:basedOn w:val="Normal"/>
    <w:qFormat/>
    <w:rsid w:val="00D523ED"/>
    <w:pPr>
      <w:tabs>
        <w:tab w:val="left" w:pos="284"/>
        <w:tab w:val="num" w:pos="852"/>
      </w:tabs>
      <w:spacing w:before="0"/>
      <w:ind w:left="852" w:hanging="284"/>
    </w:pPr>
    <w:rPr>
      <w:rFonts w:eastAsia="Calibri"/>
      <w:szCs w:val="22"/>
      <w:lang w:eastAsia="en-US"/>
    </w:rPr>
  </w:style>
  <w:style w:type="table" w:styleId="LightList-Accent5">
    <w:name w:val="Light List Accent 5"/>
    <w:basedOn w:val="TableNormal"/>
    <w:uiPriority w:val="61"/>
    <w:rsid w:val="007C185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ubleDotChar">
    <w:name w:val="Double Dot Char"/>
    <w:basedOn w:val="DefaultParagraphFont"/>
    <w:link w:val="DoubleDot"/>
    <w:locked/>
    <w:rsid w:val="00955899"/>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footer" Target="footer3.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mailto:Div7A@treasury.gov.au" TargetMode="External"/><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F03BD1CA6F4589AE640EF67383BD9D"/>
        <w:category>
          <w:name w:val="General"/>
          <w:gallery w:val="placeholder"/>
        </w:category>
        <w:types>
          <w:type w:val="bbPlcHdr"/>
        </w:types>
        <w:behaviors>
          <w:behavior w:val="content"/>
        </w:behaviors>
        <w:guid w:val="{B48BDF71-9E0A-45BF-9ADB-19CF4EDC3569}"/>
      </w:docPartPr>
      <w:docPartBody>
        <w:p w14:paraId="1B3D032A" w14:textId="77777777" w:rsidR="00AE6D51" w:rsidRDefault="00AE6D51">
          <w:pPr>
            <w:pStyle w:val="82F03BD1CA6F4589AE640EF67383BD9D"/>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51"/>
    <w:rsid w:val="001006E2"/>
    <w:rsid w:val="002811F9"/>
    <w:rsid w:val="002862B0"/>
    <w:rsid w:val="002C32CC"/>
    <w:rsid w:val="00347E08"/>
    <w:rsid w:val="003736F2"/>
    <w:rsid w:val="003C419D"/>
    <w:rsid w:val="004015EA"/>
    <w:rsid w:val="00457D6C"/>
    <w:rsid w:val="0047572F"/>
    <w:rsid w:val="004F0474"/>
    <w:rsid w:val="0050694B"/>
    <w:rsid w:val="005272E6"/>
    <w:rsid w:val="00546408"/>
    <w:rsid w:val="005810A6"/>
    <w:rsid w:val="00600DF1"/>
    <w:rsid w:val="00621DBD"/>
    <w:rsid w:val="006228F6"/>
    <w:rsid w:val="006631AA"/>
    <w:rsid w:val="006A15C2"/>
    <w:rsid w:val="00704BAC"/>
    <w:rsid w:val="00725459"/>
    <w:rsid w:val="00747BB9"/>
    <w:rsid w:val="007A3498"/>
    <w:rsid w:val="007E403C"/>
    <w:rsid w:val="00877BD8"/>
    <w:rsid w:val="008E4DA5"/>
    <w:rsid w:val="00A70113"/>
    <w:rsid w:val="00AE6D51"/>
    <w:rsid w:val="00B55610"/>
    <w:rsid w:val="00B70280"/>
    <w:rsid w:val="00B733C4"/>
    <w:rsid w:val="00B81D02"/>
    <w:rsid w:val="00B951CE"/>
    <w:rsid w:val="00C01B10"/>
    <w:rsid w:val="00C357AC"/>
    <w:rsid w:val="00CB7A76"/>
    <w:rsid w:val="00D47CC9"/>
    <w:rsid w:val="00D643AB"/>
    <w:rsid w:val="00D8391B"/>
    <w:rsid w:val="00DA5550"/>
    <w:rsid w:val="00E251AE"/>
    <w:rsid w:val="00E946BD"/>
    <w:rsid w:val="00F11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B3D032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D58D3A00F4ED3B882E6196F33144D">
    <w:name w:val="213D58D3A00F4ED3B882E6196F33144D"/>
  </w:style>
  <w:style w:type="character" w:styleId="PlaceholderText">
    <w:name w:val="Placeholder Text"/>
    <w:basedOn w:val="DefaultParagraphFont"/>
    <w:uiPriority w:val="99"/>
    <w:semiHidden/>
    <w:rsid w:val="00D8391B"/>
    <w:rPr>
      <w:color w:val="808080"/>
    </w:rPr>
  </w:style>
  <w:style w:type="paragraph" w:customStyle="1" w:styleId="82F03BD1CA6F4589AE640EF67383BD9D">
    <w:name w:val="82F03BD1CA6F4589AE640EF67383BD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D58D3A00F4ED3B882E6196F33144D">
    <w:name w:val="213D58D3A00F4ED3B882E6196F33144D"/>
  </w:style>
  <w:style w:type="character" w:styleId="PlaceholderText">
    <w:name w:val="Placeholder Text"/>
    <w:basedOn w:val="DefaultParagraphFont"/>
    <w:uiPriority w:val="99"/>
    <w:semiHidden/>
    <w:rsid w:val="00D8391B"/>
    <w:rPr>
      <w:color w:val="808080"/>
    </w:rPr>
  </w:style>
  <w:style w:type="paragraph" w:customStyle="1" w:styleId="82F03BD1CA6F4589AE640EF67383BD9D">
    <w:name w:val="82F03BD1CA6F4589AE640EF67383B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RA-9206 - Destroy 10 years after action completed</TermName>
          <TermId xmlns="http://schemas.microsoft.com/office/infopath/2007/PartnerControls">00c3f558-2b96-436f-97e2-418f0fc24a03</TermId>
        </TermInfo>
      </Terms>
    </lb508a4dc5e84436a0fe496b536466aa>
    <IconOverlay xmlns="http://schemas.microsoft.com/sharepoint/v4" xsi:nil="true"/>
    <TaxCatchAll xmlns="0f563589-9cf9-4143-b1eb-fb0534803d38">
      <Value>19</Value>
    </TaxCatchAll>
    <_dlc_DocId xmlns="0f563589-9cf9-4143-b1eb-fb0534803d38">2018RG-147260918-62</_dlc_DocId>
    <_dlc_DocIdUrl xmlns="0f563589-9cf9-4143-b1eb-fb0534803d38">
      <Url>http://tweb/sites/rg/iitd/div7a/_layouts/15/DocIdRedir.aspx?ID=2018RG-147260918-62</Url>
      <Description>2018RG-147260918-62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BCD522B92EF2C2478FB0DD7FEEE4FD8E" ma:contentTypeVersion="14986" ma:contentTypeDescription="" ma:contentTypeScope="" ma:versionID="1149be358cf615e30b9e21ff70baeb0f">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0f024ced2f56f3e679545e984b0bd74e"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06 - Destroy 10 years after action completed|00c3f558-2b96-436f-97e2-418f0fc24a0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05D1-A1AB-450B-B847-6AB6FB92BF4E}">
  <ds:schemaRefs>
    <ds:schemaRef ds:uri="office.server.policy"/>
  </ds:schemaRefs>
</ds:datastoreItem>
</file>

<file path=customXml/itemProps2.xml><?xml version="1.0" encoding="utf-8"?>
<ds:datastoreItem xmlns:ds="http://schemas.openxmlformats.org/officeDocument/2006/customXml" ds:itemID="{6079C756-A84B-4995-A625-0696E6A5F5D9}">
  <ds:schemaRefs>
    <ds:schemaRef ds:uri="http://schemas.microsoft.com/sharepoint/events"/>
  </ds:schemaRefs>
</ds:datastoreItem>
</file>

<file path=customXml/itemProps3.xml><?xml version="1.0" encoding="utf-8"?>
<ds:datastoreItem xmlns:ds="http://schemas.openxmlformats.org/officeDocument/2006/customXml" ds:itemID="{73F9058A-3775-42FF-B338-893045E45E98}">
  <ds:schemaRefs>
    <ds:schemaRef ds:uri="http://schemas.microsoft.com/office/2006/documentManagement/types"/>
    <ds:schemaRef ds:uri="http://purl.org/dc/elements/1.1/"/>
    <ds:schemaRef ds:uri="http://schemas.microsoft.com/office/2006/metadata/properties"/>
    <ds:schemaRef ds:uri="http://schemas.microsoft.com/sharepoint/v4"/>
    <ds:schemaRef ds:uri="http://purl.org/dc/terms/"/>
    <ds:schemaRef ds:uri="http://purl.org/dc/dcmitype/"/>
    <ds:schemaRef ds:uri="9f7bc583-7cbe-45b9-a2bd-8bbb6543b37e"/>
    <ds:schemaRef ds:uri="http://schemas.microsoft.com/office/infopath/2007/PartnerControls"/>
    <ds:schemaRef ds:uri="0f563589-9cf9-4143-b1eb-fb0534803d38"/>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297469A-49F9-41EB-8757-DBA8CBE8BAC4}">
  <ds:schemaRefs>
    <ds:schemaRef ds:uri="http://schemas.microsoft.com/sharepoint/v3/contenttype/forms"/>
  </ds:schemaRefs>
</ds:datastoreItem>
</file>

<file path=customXml/itemProps5.xml><?xml version="1.0" encoding="utf-8"?>
<ds:datastoreItem xmlns:ds="http://schemas.openxmlformats.org/officeDocument/2006/customXml" ds:itemID="{BDD9A868-D27B-4726-B7B3-C67E08D67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04E0EC-692C-408B-A55C-C9E6E795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1245</TotalTime>
  <Pages>32</Pages>
  <Words>10995</Words>
  <Characters>57179</Characters>
  <Application>Microsoft Office Word</Application>
  <DocSecurity>0</DocSecurity>
  <Lines>1191</Lines>
  <Paragraphs>792</Paragraphs>
  <ScaleCrop>false</ScaleCrop>
  <HeadingPairs>
    <vt:vector size="2" baseType="variant">
      <vt:variant>
        <vt:lpstr>Title</vt:lpstr>
      </vt:variant>
      <vt:variant>
        <vt:i4>1</vt:i4>
      </vt:variant>
    </vt:vector>
  </HeadingPairs>
  <TitlesOfParts>
    <vt:vector size="1" baseType="lpstr">
      <vt:lpstr>Consultation Paper - Targeted amendments to the Division 7A integrity rules</vt:lpstr>
    </vt:vector>
  </TitlesOfParts>
  <Company>Australian Government - The Treasury</Company>
  <LinksUpToDate>false</LinksUpToDate>
  <CharactersWithSpaces>67382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 Targeted amendments to the Division 7A integrity rules</dc:title>
  <dc:creator>The Treasury</dc:creator>
  <cp:lastModifiedBy>Hill, Christine</cp:lastModifiedBy>
  <cp:revision>33</cp:revision>
  <cp:lastPrinted>2018-10-08T05:23:00Z</cp:lastPrinted>
  <dcterms:created xsi:type="dcterms:W3CDTF">2018-09-26T07:25:00Z</dcterms:created>
  <dcterms:modified xsi:type="dcterms:W3CDTF">2018-10-22T00:47:00Z</dcterms:modified>
</cp:coreProperties>
</file>