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D98A2" w14:textId="77777777" w:rsidR="000E0B74" w:rsidRPr="006D0240" w:rsidRDefault="000E0B74" w:rsidP="008E6292"/>
    <w:p w14:paraId="33053B18" w14:textId="77777777" w:rsidR="000E0B74" w:rsidRPr="006D0240" w:rsidRDefault="000E0B74" w:rsidP="00794499">
      <w:pPr>
        <w:pStyle w:val="Crest"/>
        <w:spacing w:after="3000"/>
        <w:jc w:val="right"/>
      </w:pPr>
    </w:p>
    <w:p w14:paraId="6AB8E30E" w14:textId="77777777" w:rsidR="000E0B74" w:rsidRPr="00F34E16" w:rsidRDefault="00780905" w:rsidP="000E0B74">
      <w:pPr>
        <w:pStyle w:val="Title"/>
        <w:rPr>
          <w:sz w:val="56"/>
          <w:szCs w:val="56"/>
        </w:rPr>
      </w:pPr>
      <w:r>
        <w:rPr>
          <w:sz w:val="56"/>
          <w:szCs w:val="56"/>
        </w:rPr>
        <w:t>Review</w:t>
      </w:r>
      <w:r w:rsidR="00F34E16" w:rsidRPr="00F34E16">
        <w:rPr>
          <w:sz w:val="56"/>
          <w:szCs w:val="56"/>
        </w:rPr>
        <w:t xml:space="preserve"> of Australian Charities and Not-for-profits Commission (ACNC) legislation</w:t>
      </w:r>
    </w:p>
    <w:p w14:paraId="51EB7A09" w14:textId="46486621" w:rsidR="000E0B74" w:rsidRPr="00D45AF8" w:rsidRDefault="00F274C2" w:rsidP="00D45AF8">
      <w:pPr>
        <w:pStyle w:val="Subtitle"/>
      </w:pPr>
      <w:r>
        <w:t>Terms of reference</w:t>
      </w:r>
    </w:p>
    <w:p w14:paraId="51B57EF7" w14:textId="34AAEBE0" w:rsidR="00056880" w:rsidRDefault="00070ABB" w:rsidP="000E0B74">
      <w:pPr>
        <w:pStyle w:val="ReportDate"/>
        <w:ind w:right="0"/>
        <w:rPr>
          <w:rFonts w:ascii="Rockwell" w:hAnsi="Rockwell"/>
          <w:sz w:val="24"/>
        </w:rPr>
      </w:pPr>
      <w:r>
        <w:rPr>
          <w:rStyle w:val="ReportDateChar"/>
        </w:rPr>
        <w:t>20 December 2017</w:t>
      </w:r>
    </w:p>
    <w:p w14:paraId="3AD49F73" w14:textId="77777777" w:rsidR="002F617F" w:rsidRPr="005D561D" w:rsidRDefault="002F617F" w:rsidP="00A16E03">
      <w:pPr>
        <w:pStyle w:val="Divider"/>
        <w:spacing w:after="3000"/>
      </w:pPr>
    </w:p>
    <w:p w14:paraId="09F5D0D4" w14:textId="77777777" w:rsidR="002F617F" w:rsidRDefault="002F617F"/>
    <w:p w14:paraId="2D9A3B51" w14:textId="77777777" w:rsidR="000E0B74" w:rsidRDefault="000E0B74" w:rsidP="000E0B74">
      <w:pPr>
        <w:rPr>
          <w:rFonts w:cs="Calibri"/>
          <w:sz w:val="20"/>
        </w:rPr>
      </w:pPr>
    </w:p>
    <w:p w14:paraId="10E25903" w14:textId="77777777" w:rsidR="000E0B74" w:rsidRDefault="000E0B74" w:rsidP="000E0B74">
      <w:pPr>
        <w:sectPr w:rsidR="000E0B74" w:rsidSect="00E1136B">
          <w:headerReference w:type="default" r:id="rId14"/>
          <w:footerReference w:type="default" r:id="rId15"/>
          <w:pgSz w:w="11906" w:h="16838"/>
          <w:pgMar w:top="1418" w:right="1418" w:bottom="1418" w:left="1418" w:header="709" w:footer="709" w:gutter="0"/>
          <w:pgNumType w:fmt="lowerRoman" w:start="1"/>
          <w:cols w:space="720"/>
        </w:sectPr>
      </w:pPr>
    </w:p>
    <w:p w14:paraId="567D7F9C" w14:textId="77777777" w:rsidR="000E0B74" w:rsidRDefault="000E0B74" w:rsidP="000E0B74">
      <w:pPr>
        <w:spacing w:before="240"/>
      </w:pPr>
      <w:r w:rsidRPr="00661BF0">
        <w:lastRenderedPageBreak/>
        <w:t xml:space="preserve">© Commonwealth </w:t>
      </w:r>
      <w:r w:rsidRPr="00F34E16">
        <w:t>of Australia 201</w:t>
      </w:r>
      <w:r w:rsidR="00F34E16" w:rsidRPr="00F34E16">
        <w:t>7</w:t>
      </w:r>
    </w:p>
    <w:p w14:paraId="2795745E" w14:textId="77777777"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6"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00F34E16">
        <w:t xml:space="preserve">and where otherwise stated. </w:t>
      </w:r>
      <w:r w:rsidRPr="002F1BC2">
        <w:t>The full licence terms are available from</w:t>
      </w:r>
      <w:r w:rsidRPr="00476F09">
        <w:rPr>
          <w:rFonts w:cstheme="minorHAnsi"/>
          <w:sz w:val="24"/>
          <w:szCs w:val="24"/>
        </w:rPr>
        <w:t xml:space="preserve"> </w:t>
      </w:r>
      <w:hyperlink r:id="rId17"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2B9DF4D2" w14:textId="77777777" w:rsidR="000E0B74" w:rsidRDefault="000E0B74" w:rsidP="000E0B74">
      <w:pPr>
        <w:pStyle w:val="ChartGraphic"/>
        <w:jc w:val="left"/>
      </w:pPr>
      <w:r w:rsidRPr="00E56DFB">
        <w:rPr>
          <w:noProof/>
        </w:rPr>
        <w:drawing>
          <wp:inline distT="0" distB="0" distL="0" distR="0" wp14:anchorId="6DA1DB85" wp14:editId="756F725A">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65C5D861"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9"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720AF500" w14:textId="77777777" w:rsidR="000E0B74" w:rsidRPr="002F1BC2" w:rsidRDefault="000E0B74" w:rsidP="000E0B74">
      <w:pPr>
        <w:ind w:left="709"/>
        <w:rPr>
          <w:i/>
        </w:rPr>
      </w:pPr>
      <w:r w:rsidRPr="002F1BC2">
        <w:rPr>
          <w:i/>
        </w:rPr>
        <w:t xml:space="preserve">Treasury material used </w:t>
      </w:r>
      <w:r>
        <w:rPr>
          <w:i/>
        </w:rPr>
        <w:t>‘</w:t>
      </w:r>
      <w:r w:rsidRPr="002F1BC2">
        <w:rPr>
          <w:i/>
        </w:rPr>
        <w:t>as supplied</w:t>
      </w:r>
      <w:r>
        <w:rPr>
          <w:i/>
        </w:rPr>
        <w:t>’.</w:t>
      </w:r>
    </w:p>
    <w:p w14:paraId="2965F331"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472F71BF" w14:textId="77777777" w:rsidR="000E0B74" w:rsidRPr="00A13A11" w:rsidRDefault="000E0B74" w:rsidP="000E0B74">
      <w:pPr>
        <w:ind w:firstLine="720"/>
      </w:pPr>
      <w:r w:rsidRPr="002F1BC2">
        <w:rPr>
          <w:i/>
        </w:rPr>
        <w:t xml:space="preserve">Source: The </w:t>
      </w:r>
      <w:r w:rsidRPr="002F1BC2">
        <w:rPr>
          <w:i/>
          <w:iCs/>
        </w:rPr>
        <w:t xml:space="preserve">Australian Government the Treasury </w:t>
      </w:r>
    </w:p>
    <w:p w14:paraId="022B8927" w14:textId="77777777" w:rsidR="000E0B74" w:rsidRPr="006627B4" w:rsidRDefault="000E0B74" w:rsidP="000E0B74">
      <w:pPr>
        <w:spacing w:before="240"/>
      </w:pPr>
      <w:r w:rsidRPr="00CC63CC">
        <w:rPr>
          <w:b/>
        </w:rPr>
        <w:t>Derivative</w:t>
      </w:r>
      <w:r w:rsidRPr="006627B4">
        <w:t xml:space="preserve"> </w:t>
      </w:r>
      <w:r w:rsidRPr="00CC63CC">
        <w:rPr>
          <w:b/>
        </w:rPr>
        <w:t>material</w:t>
      </w:r>
    </w:p>
    <w:p w14:paraId="5B394BB2"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4019E427" w14:textId="77777777" w:rsidR="000E0B74" w:rsidRPr="006627B4" w:rsidRDefault="000E0B74" w:rsidP="000E0B74">
      <w:pPr>
        <w:ind w:firstLine="720"/>
      </w:pPr>
      <w:r w:rsidRPr="002F1BC2">
        <w:rPr>
          <w:i/>
        </w:rPr>
        <w:t>Based on The Australian Government the Treasury data</w:t>
      </w:r>
      <w:r w:rsidRPr="006627B4">
        <w:t xml:space="preserve"> </w:t>
      </w:r>
    </w:p>
    <w:p w14:paraId="3C5279A5" w14:textId="77777777" w:rsidR="000E0B74" w:rsidRPr="006627B4" w:rsidRDefault="000E0B74" w:rsidP="000E0B74">
      <w:pPr>
        <w:spacing w:before="240"/>
        <w:rPr>
          <w:b/>
        </w:rPr>
      </w:pPr>
      <w:r w:rsidRPr="006627B4">
        <w:rPr>
          <w:b/>
        </w:rPr>
        <w:t>Use of the Coat of Arms</w:t>
      </w:r>
    </w:p>
    <w:p w14:paraId="431181BD" w14:textId="77777777" w:rsidR="000E0B74" w:rsidRPr="006627B4" w:rsidRDefault="000E0B74" w:rsidP="000E0B74">
      <w:r w:rsidRPr="006627B4">
        <w:t xml:space="preserve">The terms under which the Coat of Arms can be used are set out on the It’s an Honour website (see </w:t>
      </w:r>
      <w:hyperlink r:id="rId20" w:history="1">
        <w:r w:rsidRPr="00D45AF8">
          <w:rPr>
            <w:rStyle w:val="Hyperlink"/>
          </w:rPr>
          <w:t>www.itsanhonour.gov.au</w:t>
        </w:r>
      </w:hyperlink>
      <w:r w:rsidRPr="006627B4">
        <w:t>)</w:t>
      </w:r>
      <w:r>
        <w:t>.</w:t>
      </w:r>
    </w:p>
    <w:p w14:paraId="11AAFE7D" w14:textId="77777777" w:rsidR="000E0B74" w:rsidRPr="006627B4" w:rsidRDefault="000E0B74" w:rsidP="000E0B74">
      <w:pPr>
        <w:spacing w:before="240"/>
        <w:rPr>
          <w:b/>
        </w:rPr>
      </w:pPr>
      <w:r>
        <w:rPr>
          <w:b/>
        </w:rPr>
        <w:t>Other u</w:t>
      </w:r>
      <w:r w:rsidRPr="006627B4">
        <w:rPr>
          <w:b/>
        </w:rPr>
        <w:t>ses</w:t>
      </w:r>
    </w:p>
    <w:p w14:paraId="67F1B82E" w14:textId="77777777" w:rsidR="000E0B74" w:rsidRPr="006627B4" w:rsidRDefault="000E0B74" w:rsidP="000E0B74">
      <w:r>
        <w:t>E</w:t>
      </w:r>
      <w:r w:rsidRPr="006627B4">
        <w:t>nquiries regarding this licence and any other use of this document are welcome at:</w:t>
      </w:r>
    </w:p>
    <w:p w14:paraId="3D9E5D4B" w14:textId="31871D38" w:rsidR="000E0B74" w:rsidRPr="008F36E6" w:rsidRDefault="000E0B74" w:rsidP="008F36E6">
      <w:pPr>
        <w:ind w:left="720"/>
        <w:rPr>
          <w:color w:val="004A7F"/>
        </w:rPr>
        <w:sectPr w:rsidR="000E0B74" w:rsidRPr="008F36E6" w:rsidSect="00475B7B">
          <w:headerReference w:type="even" r:id="rId21"/>
          <w:headerReference w:type="default" r:id="rId22"/>
          <w:footerReference w:type="even" r:id="rId23"/>
          <w:pgSz w:w="11906" w:h="16838" w:code="9"/>
          <w:pgMar w:top="1418" w:right="1418" w:bottom="1418" w:left="1418" w:header="709" w:footer="709" w:gutter="0"/>
          <w:pgNumType w:fmt="lowerRoman"/>
          <w:cols w:space="708"/>
          <w:titlePg/>
          <w:docGrid w:linePitch="360"/>
        </w:sectPr>
      </w:pPr>
      <w:r w:rsidRPr="006627B4">
        <w:t>Manager</w:t>
      </w:r>
      <w:r>
        <w:br/>
        <w:t>Editorial, 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24" w:history="1">
        <w:r w:rsidRPr="00B31CFB">
          <w:rPr>
            <w:rStyle w:val="Hyperlink"/>
          </w:rPr>
          <w:t>medialiaison@treasury.gov.au</w:t>
        </w:r>
      </w:hyperlink>
    </w:p>
    <w:p w14:paraId="0B3E1171" w14:textId="3677BBB0" w:rsidR="0012083F" w:rsidRPr="00F34E16" w:rsidRDefault="0012083F" w:rsidP="00070ABB">
      <w:pPr>
        <w:pStyle w:val="Heading1"/>
        <w:rPr>
          <w:rFonts w:asciiTheme="minorHAnsi" w:hAnsiTheme="minorHAnsi"/>
          <w:color w:val="000000" w:themeColor="text1"/>
          <w:lang w:val="en-US"/>
        </w:rPr>
      </w:pPr>
      <w:bookmarkStart w:id="0" w:name="_Toc476214102"/>
      <w:bookmarkStart w:id="1" w:name="_Toc432067103"/>
      <w:bookmarkStart w:id="2" w:name="_Toc306887373"/>
      <w:bookmarkStart w:id="3" w:name="_Toc432064637"/>
      <w:bookmarkStart w:id="4" w:name="_Toc476214107"/>
      <w:bookmarkEnd w:id="0"/>
      <w:bookmarkEnd w:id="1"/>
      <w:r>
        <w:lastRenderedPageBreak/>
        <w:t>Terms of reference</w:t>
      </w:r>
    </w:p>
    <w:p w14:paraId="72C69E3C" w14:textId="6FACCEB1" w:rsidR="0012083F" w:rsidRPr="0012083F" w:rsidRDefault="0012083F" w:rsidP="0012083F">
      <w:pPr>
        <w:shd w:val="clear" w:color="auto" w:fill="FFFFFF"/>
        <w:spacing w:before="100" w:beforeAutospacing="1" w:after="100" w:afterAutospacing="1"/>
        <w:rPr>
          <w:rFonts w:asciiTheme="minorHAnsi" w:hAnsiTheme="minorHAnsi" w:cs="Arial"/>
          <w:color w:val="000000" w:themeColor="text1"/>
          <w:lang w:val="en-US"/>
        </w:rPr>
      </w:pPr>
      <w:r w:rsidRPr="0012083F">
        <w:rPr>
          <w:rFonts w:asciiTheme="minorHAnsi" w:hAnsiTheme="minorHAnsi" w:cs="Arial"/>
          <w:color w:val="000000" w:themeColor="text1"/>
          <w:lang w:val="en-US"/>
        </w:rPr>
        <w:t xml:space="preserve">This review will enable the Government to meet its statutory obligation that a review of the </w:t>
      </w:r>
      <w:r w:rsidRPr="0012083F">
        <w:rPr>
          <w:rFonts w:asciiTheme="minorHAnsi" w:hAnsiTheme="minorHAnsi" w:cs="Arial"/>
          <w:i/>
          <w:color w:val="000000" w:themeColor="text1"/>
          <w:lang w:val="en-US"/>
        </w:rPr>
        <w:t xml:space="preserve">Australian Charities and Not-for-profits Commission Act 2012 </w:t>
      </w:r>
      <w:r w:rsidRPr="0012083F">
        <w:rPr>
          <w:rFonts w:asciiTheme="minorHAnsi" w:hAnsiTheme="minorHAnsi" w:cs="Arial"/>
          <w:color w:val="000000" w:themeColor="text1"/>
          <w:lang w:val="en-US"/>
        </w:rPr>
        <w:t>and the</w:t>
      </w:r>
      <w:r w:rsidRPr="0012083F">
        <w:rPr>
          <w:rFonts w:asciiTheme="minorHAnsi" w:hAnsiTheme="minorHAnsi" w:cs="Arial"/>
          <w:i/>
          <w:color w:val="000000" w:themeColor="text1"/>
          <w:lang w:val="en-US"/>
        </w:rPr>
        <w:t xml:space="preserve"> Australian Charities and Not-for-profits Commission (Consequential and Transitional) Act 2012</w:t>
      </w:r>
      <w:r w:rsidRPr="0012083F">
        <w:rPr>
          <w:rFonts w:asciiTheme="minorHAnsi" w:hAnsiTheme="minorHAnsi" w:cs="Arial"/>
          <w:color w:val="000000" w:themeColor="text1"/>
          <w:lang w:val="en-US"/>
        </w:rPr>
        <w:t xml:space="preserve"> </w:t>
      </w:r>
      <w:r w:rsidR="00905754">
        <w:rPr>
          <w:rFonts w:asciiTheme="minorHAnsi" w:hAnsiTheme="minorHAnsi" w:cs="Arial"/>
          <w:color w:val="000000" w:themeColor="text1"/>
          <w:lang w:val="en-US"/>
        </w:rPr>
        <w:t xml:space="preserve">(together, the </w:t>
      </w:r>
      <w:r w:rsidR="00905754" w:rsidRPr="00DF0803">
        <w:rPr>
          <w:rFonts w:asciiTheme="minorHAnsi" w:hAnsiTheme="minorHAnsi" w:cs="Arial"/>
          <w:b/>
          <w:color w:val="000000" w:themeColor="text1"/>
          <w:lang w:val="en-US"/>
        </w:rPr>
        <w:t>ACNC Acts</w:t>
      </w:r>
      <w:r w:rsidR="00905754">
        <w:rPr>
          <w:rFonts w:asciiTheme="minorHAnsi" w:hAnsiTheme="minorHAnsi" w:cs="Arial"/>
          <w:color w:val="000000" w:themeColor="text1"/>
          <w:lang w:val="en-US"/>
        </w:rPr>
        <w:t xml:space="preserve">) </w:t>
      </w:r>
      <w:r w:rsidR="009C17E1">
        <w:rPr>
          <w:rFonts w:asciiTheme="minorHAnsi" w:hAnsiTheme="minorHAnsi" w:cs="Arial"/>
          <w:color w:val="000000" w:themeColor="text1"/>
          <w:lang w:val="en-US"/>
        </w:rPr>
        <w:t xml:space="preserve">must </w:t>
      </w:r>
      <w:r w:rsidRPr="0012083F">
        <w:rPr>
          <w:rFonts w:asciiTheme="minorHAnsi" w:hAnsiTheme="minorHAnsi" w:cs="Arial"/>
          <w:color w:val="000000" w:themeColor="text1"/>
          <w:lang w:val="en-US"/>
        </w:rPr>
        <w:t xml:space="preserve">be undertaken after their first five years of operation.  </w:t>
      </w:r>
    </w:p>
    <w:p w14:paraId="48B16160" w14:textId="01DC8425" w:rsidR="0012083F" w:rsidRPr="0012083F" w:rsidRDefault="0012083F" w:rsidP="0012083F">
      <w:pPr>
        <w:shd w:val="clear" w:color="auto" w:fill="FFFFFF"/>
        <w:spacing w:before="100" w:beforeAutospacing="1" w:after="100" w:afterAutospacing="1"/>
        <w:rPr>
          <w:rFonts w:asciiTheme="minorHAnsi" w:hAnsiTheme="minorHAnsi" w:cs="Arial"/>
          <w:color w:val="000000" w:themeColor="text1"/>
          <w:lang w:val="en-US"/>
        </w:rPr>
      </w:pPr>
      <w:r w:rsidRPr="0012083F">
        <w:rPr>
          <w:rFonts w:asciiTheme="minorHAnsi" w:hAnsiTheme="minorHAnsi" w:cs="Arial"/>
          <w:color w:val="000000" w:themeColor="text1"/>
          <w:lang w:val="en-US"/>
        </w:rPr>
        <w:t xml:space="preserve">The Review Panel will inquire into and make recommendations on appropriate reforms </w:t>
      </w:r>
      <w:r w:rsidR="00905754">
        <w:rPr>
          <w:rFonts w:asciiTheme="minorHAnsi" w:hAnsiTheme="minorHAnsi" w:cs="Arial"/>
          <w:color w:val="000000" w:themeColor="text1"/>
          <w:lang w:val="en-US"/>
        </w:rPr>
        <w:t>to</w:t>
      </w:r>
      <w:r w:rsidRPr="0012083F">
        <w:rPr>
          <w:rFonts w:asciiTheme="minorHAnsi" w:hAnsiTheme="minorHAnsi" w:cs="Arial"/>
          <w:color w:val="000000" w:themeColor="text1"/>
          <w:lang w:val="en-US"/>
        </w:rPr>
        <w:t xml:space="preserve"> ensure that the regulatory environment established by the ACNC Acts continue</w:t>
      </w:r>
      <w:r w:rsidR="00905754">
        <w:rPr>
          <w:rFonts w:asciiTheme="minorHAnsi" w:hAnsiTheme="minorHAnsi" w:cs="Arial"/>
          <w:color w:val="000000" w:themeColor="text1"/>
          <w:lang w:val="en-US"/>
        </w:rPr>
        <w:t>s</w:t>
      </w:r>
      <w:r w:rsidRPr="0012083F">
        <w:rPr>
          <w:rFonts w:asciiTheme="minorHAnsi" w:hAnsiTheme="minorHAnsi" w:cs="Arial"/>
          <w:color w:val="000000" w:themeColor="text1"/>
          <w:lang w:val="en-US"/>
        </w:rPr>
        <w:t xml:space="preserve"> to remain contemporary, that the </w:t>
      </w:r>
      <w:r w:rsidR="00905754">
        <w:rPr>
          <w:rFonts w:asciiTheme="minorHAnsi" w:hAnsiTheme="minorHAnsi" w:cs="Arial"/>
          <w:color w:val="000000" w:themeColor="text1"/>
          <w:lang w:val="en-US"/>
        </w:rPr>
        <w:t xml:space="preserve">ACNC </w:t>
      </w:r>
      <w:r w:rsidRPr="0012083F">
        <w:rPr>
          <w:rFonts w:asciiTheme="minorHAnsi" w:hAnsiTheme="minorHAnsi" w:cs="Arial"/>
          <w:color w:val="000000" w:themeColor="text1"/>
          <w:lang w:val="en-US"/>
        </w:rPr>
        <w:t xml:space="preserve">Acts deliver on </w:t>
      </w:r>
      <w:r w:rsidR="00905754">
        <w:rPr>
          <w:rFonts w:asciiTheme="minorHAnsi" w:hAnsiTheme="minorHAnsi" w:cs="Arial"/>
          <w:color w:val="000000" w:themeColor="text1"/>
          <w:lang w:val="en-US"/>
        </w:rPr>
        <w:t xml:space="preserve">their </w:t>
      </w:r>
      <w:r w:rsidRPr="0012083F">
        <w:rPr>
          <w:rFonts w:asciiTheme="minorHAnsi" w:hAnsiTheme="minorHAnsi" w:cs="Arial"/>
          <w:color w:val="000000" w:themeColor="text1"/>
          <w:lang w:val="en-US"/>
        </w:rPr>
        <w:t xml:space="preserve">policy objectives and that the </w:t>
      </w:r>
      <w:r w:rsidR="00905754">
        <w:rPr>
          <w:rFonts w:asciiTheme="minorHAnsi" w:hAnsiTheme="minorHAnsi" w:cs="Arial"/>
          <w:color w:val="000000" w:themeColor="text1"/>
          <w:lang w:val="en-US"/>
        </w:rPr>
        <w:t xml:space="preserve">ACNC Acts </w:t>
      </w:r>
      <w:r w:rsidRPr="0012083F">
        <w:rPr>
          <w:rFonts w:asciiTheme="minorHAnsi" w:hAnsiTheme="minorHAnsi" w:cs="Arial"/>
          <w:color w:val="000000" w:themeColor="text1"/>
          <w:lang w:val="en-US"/>
        </w:rPr>
        <w:t>do not impair the work of the ACNC Commissioner to deliver against the objects of the principal Act; being:</w:t>
      </w:r>
    </w:p>
    <w:p w14:paraId="57F18A32" w14:textId="03C630C0" w:rsidR="0012083F" w:rsidRPr="0012083F" w:rsidRDefault="00905754" w:rsidP="00905754">
      <w:pPr>
        <w:pStyle w:val="ListParagraph"/>
        <w:numPr>
          <w:ilvl w:val="0"/>
          <w:numId w:val="20"/>
        </w:numPr>
        <w:shd w:val="clear" w:color="auto" w:fill="FFFFFF"/>
        <w:spacing w:before="100" w:beforeAutospacing="1" w:after="100" w:afterAutospacing="1" w:line="240" w:lineRule="auto"/>
        <w:ind w:left="714" w:hanging="357"/>
        <w:rPr>
          <w:rFonts w:eastAsia="Times New Roman" w:cs="Arial"/>
          <w:color w:val="000000" w:themeColor="text1"/>
          <w:lang w:val="en-US" w:eastAsia="en-AU"/>
        </w:rPr>
      </w:pPr>
      <w:r>
        <w:rPr>
          <w:rFonts w:eastAsia="Times New Roman" w:cs="Arial"/>
          <w:color w:val="000000" w:themeColor="text1"/>
          <w:lang w:val="en-US" w:eastAsia="en-AU"/>
        </w:rPr>
        <w:t>t</w:t>
      </w:r>
      <w:r w:rsidR="0012083F" w:rsidRPr="0012083F">
        <w:rPr>
          <w:rFonts w:eastAsia="Times New Roman" w:cs="Arial"/>
          <w:color w:val="000000" w:themeColor="text1"/>
          <w:lang w:val="en-US" w:eastAsia="en-AU"/>
        </w:rPr>
        <w:t>o maintain, protect and enhance public trust and confidence in the Australian not-for-profit sector; and</w:t>
      </w:r>
    </w:p>
    <w:p w14:paraId="684F96B3" w14:textId="6548D6CB" w:rsidR="0012083F" w:rsidRPr="0012083F" w:rsidRDefault="00905754" w:rsidP="00905754">
      <w:pPr>
        <w:pStyle w:val="ListParagraph"/>
        <w:numPr>
          <w:ilvl w:val="0"/>
          <w:numId w:val="20"/>
        </w:numPr>
        <w:shd w:val="clear" w:color="auto" w:fill="FFFFFF"/>
        <w:spacing w:before="100" w:beforeAutospacing="1" w:after="100" w:afterAutospacing="1" w:line="240" w:lineRule="auto"/>
        <w:ind w:left="714" w:hanging="357"/>
        <w:rPr>
          <w:rFonts w:eastAsia="Times New Roman" w:cs="Arial"/>
          <w:color w:val="000000" w:themeColor="text1"/>
          <w:lang w:val="en-US" w:eastAsia="en-AU"/>
        </w:rPr>
      </w:pPr>
      <w:r>
        <w:rPr>
          <w:rFonts w:eastAsia="Times New Roman" w:cs="Arial"/>
          <w:color w:val="000000" w:themeColor="text1"/>
          <w:lang w:val="en-US" w:eastAsia="en-AU"/>
        </w:rPr>
        <w:t>t</w:t>
      </w:r>
      <w:r w:rsidR="0012083F" w:rsidRPr="0012083F">
        <w:rPr>
          <w:rFonts w:eastAsia="Times New Roman" w:cs="Arial"/>
          <w:color w:val="000000" w:themeColor="text1"/>
          <w:lang w:val="en-US" w:eastAsia="en-AU"/>
        </w:rPr>
        <w:t xml:space="preserve">o support and sustain a robust, vibrant, independent and innovative Australian not-for-profit sector; and </w:t>
      </w:r>
    </w:p>
    <w:p w14:paraId="50553881" w14:textId="36651E8E" w:rsidR="0012083F" w:rsidRPr="0012083F" w:rsidRDefault="00905754" w:rsidP="00905754">
      <w:pPr>
        <w:pStyle w:val="ListParagraph"/>
        <w:numPr>
          <w:ilvl w:val="0"/>
          <w:numId w:val="20"/>
        </w:numPr>
        <w:shd w:val="clear" w:color="auto" w:fill="FFFFFF"/>
        <w:spacing w:before="100" w:beforeAutospacing="1" w:after="100" w:afterAutospacing="1" w:line="240" w:lineRule="auto"/>
        <w:ind w:left="714" w:hanging="357"/>
        <w:rPr>
          <w:rFonts w:eastAsia="Times New Roman" w:cs="Arial"/>
          <w:color w:val="000000" w:themeColor="text1"/>
          <w:lang w:val="en-US" w:eastAsia="en-AU"/>
        </w:rPr>
      </w:pPr>
      <w:r>
        <w:rPr>
          <w:rFonts w:eastAsia="Times New Roman" w:cs="Arial"/>
          <w:color w:val="000000" w:themeColor="text1"/>
          <w:lang w:val="en-US" w:eastAsia="en-AU"/>
        </w:rPr>
        <w:t>t</w:t>
      </w:r>
      <w:r w:rsidR="0012083F" w:rsidRPr="0012083F">
        <w:rPr>
          <w:rFonts w:eastAsia="Times New Roman" w:cs="Arial"/>
          <w:color w:val="000000" w:themeColor="text1"/>
          <w:lang w:val="en-US" w:eastAsia="en-AU"/>
        </w:rPr>
        <w:t>o promote the reduction of unnecessary regulatory obligations on the Australian not-for-profit sector.</w:t>
      </w:r>
    </w:p>
    <w:p w14:paraId="706580C8" w14:textId="67D8E1A4" w:rsidR="0012083F" w:rsidRPr="0012083F" w:rsidRDefault="0012083F" w:rsidP="0012083F">
      <w:pPr>
        <w:shd w:val="clear" w:color="auto" w:fill="FFFFFF"/>
        <w:spacing w:before="100" w:beforeAutospacing="1" w:after="100" w:afterAutospacing="1"/>
        <w:rPr>
          <w:rFonts w:asciiTheme="minorHAnsi" w:hAnsiTheme="minorHAnsi" w:cs="Arial"/>
          <w:color w:val="000000" w:themeColor="text1"/>
          <w:lang w:val="en-US"/>
        </w:rPr>
      </w:pPr>
      <w:r w:rsidRPr="0012083F">
        <w:rPr>
          <w:rFonts w:asciiTheme="minorHAnsi" w:hAnsiTheme="minorHAnsi" w:cs="Arial"/>
          <w:color w:val="000000" w:themeColor="text1"/>
          <w:lang w:val="en-US"/>
        </w:rPr>
        <w:t xml:space="preserve">The review should evaluate the suitability and effectiveness of the </w:t>
      </w:r>
      <w:r w:rsidR="007C5C8D">
        <w:rPr>
          <w:rFonts w:asciiTheme="minorHAnsi" w:hAnsiTheme="minorHAnsi" w:cs="Arial"/>
          <w:color w:val="000000" w:themeColor="text1"/>
          <w:lang w:val="en-US"/>
        </w:rPr>
        <w:t xml:space="preserve">ACNC </w:t>
      </w:r>
      <w:r w:rsidRPr="0012083F">
        <w:rPr>
          <w:rFonts w:asciiTheme="minorHAnsi" w:hAnsiTheme="minorHAnsi" w:cs="Arial"/>
          <w:color w:val="000000" w:themeColor="text1"/>
          <w:lang w:val="en-US"/>
        </w:rPr>
        <w:t>Acts. In particular, the review should:</w:t>
      </w:r>
    </w:p>
    <w:p w14:paraId="010A6349" w14:textId="7AA19366" w:rsidR="0012083F" w:rsidRPr="0012083F" w:rsidRDefault="0012083F" w:rsidP="00905754">
      <w:pPr>
        <w:pStyle w:val="ListParagraph"/>
        <w:numPr>
          <w:ilvl w:val="0"/>
          <w:numId w:val="21"/>
        </w:numPr>
        <w:shd w:val="clear" w:color="auto" w:fill="FFFFFF"/>
        <w:spacing w:before="100" w:beforeAutospacing="1" w:after="100" w:afterAutospacing="1" w:line="240" w:lineRule="auto"/>
        <w:ind w:left="714" w:hanging="357"/>
        <w:rPr>
          <w:rFonts w:eastAsia="Times New Roman" w:cs="Arial"/>
          <w:color w:val="000000" w:themeColor="text1"/>
          <w:lang w:val="en-US" w:eastAsia="en-AU"/>
        </w:rPr>
      </w:pPr>
      <w:r w:rsidRPr="0012083F">
        <w:rPr>
          <w:rFonts w:eastAsia="Times New Roman" w:cs="Arial"/>
          <w:color w:val="000000" w:themeColor="text1"/>
          <w:lang w:val="en-US" w:eastAsia="en-AU"/>
        </w:rPr>
        <w:t xml:space="preserve">Examine the extent to which the objects of the </w:t>
      </w:r>
      <w:r w:rsidR="007C5C8D">
        <w:rPr>
          <w:rFonts w:eastAsia="Times New Roman" w:cs="Arial"/>
          <w:color w:val="000000" w:themeColor="text1"/>
          <w:lang w:val="en-US" w:eastAsia="en-AU"/>
        </w:rPr>
        <w:t xml:space="preserve">ACNC </w:t>
      </w:r>
      <w:r w:rsidRPr="0012083F">
        <w:rPr>
          <w:rFonts w:eastAsia="Times New Roman" w:cs="Arial"/>
          <w:color w:val="000000" w:themeColor="text1"/>
          <w:lang w:val="en-US" w:eastAsia="en-AU"/>
        </w:rPr>
        <w:t>Acts continue to be relevant.</w:t>
      </w:r>
    </w:p>
    <w:p w14:paraId="685E364B" w14:textId="77777777" w:rsidR="007C5C8D" w:rsidRDefault="007C5C8D" w:rsidP="007C5C8D">
      <w:pPr>
        <w:pStyle w:val="ListParagraph"/>
        <w:shd w:val="clear" w:color="auto" w:fill="FFFFFF"/>
        <w:spacing w:before="100" w:beforeAutospacing="1" w:after="100" w:afterAutospacing="1" w:line="240" w:lineRule="auto"/>
        <w:ind w:left="714"/>
        <w:rPr>
          <w:rFonts w:eastAsia="Times New Roman" w:cs="Arial"/>
          <w:color w:val="000000" w:themeColor="text1"/>
          <w:lang w:val="en-US" w:eastAsia="en-AU"/>
        </w:rPr>
      </w:pPr>
    </w:p>
    <w:p w14:paraId="068F86EB" w14:textId="22D5AB39" w:rsidR="0012083F" w:rsidRPr="0012083F" w:rsidRDefault="0012083F" w:rsidP="00905754">
      <w:pPr>
        <w:pStyle w:val="ListParagraph"/>
        <w:numPr>
          <w:ilvl w:val="0"/>
          <w:numId w:val="21"/>
        </w:numPr>
        <w:shd w:val="clear" w:color="auto" w:fill="FFFFFF"/>
        <w:spacing w:before="100" w:beforeAutospacing="1" w:after="100" w:afterAutospacing="1" w:line="240" w:lineRule="auto"/>
        <w:ind w:left="714" w:hanging="357"/>
        <w:rPr>
          <w:rFonts w:eastAsia="Times New Roman" w:cs="Arial"/>
          <w:color w:val="000000" w:themeColor="text1"/>
          <w:lang w:val="en-US" w:eastAsia="en-AU"/>
        </w:rPr>
      </w:pPr>
      <w:r w:rsidRPr="0012083F">
        <w:rPr>
          <w:rFonts w:eastAsia="Times New Roman" w:cs="Arial"/>
          <w:color w:val="000000" w:themeColor="text1"/>
          <w:lang w:val="en-US" w:eastAsia="en-AU"/>
        </w:rPr>
        <w:t xml:space="preserve">Assess the effectiveness of the provisions and the regulatory framework established by the </w:t>
      </w:r>
      <w:r w:rsidR="007C5C8D">
        <w:rPr>
          <w:rFonts w:eastAsia="Times New Roman" w:cs="Arial"/>
          <w:color w:val="000000" w:themeColor="text1"/>
          <w:lang w:val="en-US" w:eastAsia="en-AU"/>
        </w:rPr>
        <w:t xml:space="preserve">ACNC </w:t>
      </w:r>
      <w:r w:rsidRPr="0012083F">
        <w:rPr>
          <w:rFonts w:eastAsia="Times New Roman" w:cs="Arial"/>
          <w:color w:val="000000" w:themeColor="text1"/>
          <w:lang w:val="en-US" w:eastAsia="en-AU"/>
        </w:rPr>
        <w:t>Acts to achieve the objects.</w:t>
      </w:r>
    </w:p>
    <w:p w14:paraId="6297CB7F" w14:textId="77777777" w:rsidR="007C5C8D" w:rsidRDefault="007C5C8D" w:rsidP="007C5C8D">
      <w:pPr>
        <w:pStyle w:val="ListParagraph"/>
        <w:shd w:val="clear" w:color="auto" w:fill="FFFFFF"/>
        <w:spacing w:before="100" w:beforeAutospacing="1" w:after="100" w:afterAutospacing="1" w:line="240" w:lineRule="auto"/>
        <w:ind w:left="714"/>
        <w:rPr>
          <w:rFonts w:eastAsia="Times New Roman" w:cs="Arial"/>
          <w:color w:val="000000" w:themeColor="text1"/>
          <w:lang w:val="en-US" w:eastAsia="en-AU"/>
        </w:rPr>
      </w:pPr>
    </w:p>
    <w:p w14:paraId="4B379CF8" w14:textId="56109799" w:rsidR="0012083F" w:rsidRPr="0012083F" w:rsidRDefault="0012083F" w:rsidP="00905754">
      <w:pPr>
        <w:pStyle w:val="ListParagraph"/>
        <w:numPr>
          <w:ilvl w:val="0"/>
          <w:numId w:val="21"/>
        </w:numPr>
        <w:shd w:val="clear" w:color="auto" w:fill="FFFFFF"/>
        <w:spacing w:before="100" w:beforeAutospacing="1" w:after="100" w:afterAutospacing="1" w:line="240" w:lineRule="auto"/>
        <w:ind w:left="714" w:hanging="357"/>
        <w:rPr>
          <w:rFonts w:eastAsia="Times New Roman" w:cs="Arial"/>
          <w:color w:val="000000" w:themeColor="text1"/>
          <w:lang w:val="en-US" w:eastAsia="en-AU"/>
        </w:rPr>
      </w:pPr>
      <w:r w:rsidRPr="0012083F">
        <w:rPr>
          <w:rFonts w:eastAsia="Times New Roman" w:cs="Arial"/>
          <w:color w:val="000000" w:themeColor="text1"/>
          <w:lang w:val="en-US" w:eastAsia="en-AU"/>
        </w:rPr>
        <w:t xml:space="preserve">Consider whether the powers and </w:t>
      </w:r>
      <w:r w:rsidR="002166A4">
        <w:rPr>
          <w:rFonts w:eastAsia="Times New Roman" w:cs="Arial"/>
          <w:color w:val="000000" w:themeColor="text1"/>
          <w:lang w:val="en-US" w:eastAsia="en-AU"/>
        </w:rPr>
        <w:t xml:space="preserve">the </w:t>
      </w:r>
      <w:r w:rsidRPr="0012083F">
        <w:rPr>
          <w:rFonts w:eastAsia="Times New Roman" w:cs="Arial"/>
          <w:color w:val="000000" w:themeColor="text1"/>
          <w:lang w:val="en-US" w:eastAsia="en-AU"/>
        </w:rPr>
        <w:t>functions of the ACNC Commissioner are sufficient to enable these objects to be met.</w:t>
      </w:r>
    </w:p>
    <w:p w14:paraId="539DA296" w14:textId="77777777" w:rsidR="007C5C8D" w:rsidRDefault="007C5C8D" w:rsidP="007C5C8D">
      <w:pPr>
        <w:pStyle w:val="ListParagraph"/>
        <w:shd w:val="clear" w:color="auto" w:fill="FFFFFF"/>
        <w:spacing w:before="100" w:beforeAutospacing="1" w:after="100" w:afterAutospacing="1" w:line="240" w:lineRule="auto"/>
        <w:ind w:left="714"/>
        <w:rPr>
          <w:rFonts w:eastAsia="Times New Roman" w:cs="Arial"/>
          <w:color w:val="000000" w:themeColor="text1"/>
          <w:lang w:val="en-US" w:eastAsia="en-AU"/>
        </w:rPr>
      </w:pPr>
    </w:p>
    <w:p w14:paraId="2F8DB2E5" w14:textId="15C5781D" w:rsidR="0012083F" w:rsidRPr="0012083F" w:rsidRDefault="0012083F" w:rsidP="00905754">
      <w:pPr>
        <w:pStyle w:val="ListParagraph"/>
        <w:numPr>
          <w:ilvl w:val="0"/>
          <w:numId w:val="21"/>
        </w:numPr>
        <w:shd w:val="clear" w:color="auto" w:fill="FFFFFF"/>
        <w:spacing w:before="100" w:beforeAutospacing="1" w:after="100" w:afterAutospacing="1" w:line="240" w:lineRule="auto"/>
        <w:ind w:left="714" w:hanging="357"/>
        <w:rPr>
          <w:rFonts w:eastAsia="Times New Roman" w:cs="Arial"/>
          <w:color w:val="000000" w:themeColor="text1"/>
          <w:lang w:val="en-US" w:eastAsia="en-AU"/>
        </w:rPr>
      </w:pPr>
      <w:r w:rsidRPr="0012083F">
        <w:rPr>
          <w:rFonts w:eastAsia="Times New Roman" w:cs="Arial"/>
          <w:color w:val="000000" w:themeColor="text1"/>
          <w:lang w:val="en-US" w:eastAsia="en-AU"/>
        </w:rPr>
        <w:t xml:space="preserve">Consider whether any amendments to the ACNC Acts are required to enable the achievement of the objects and to equip the ACNC Commissioner to respond to both known and emerging issues. </w:t>
      </w:r>
    </w:p>
    <w:p w14:paraId="6A14C06C" w14:textId="77777777" w:rsidR="0012083F" w:rsidRPr="0012083F" w:rsidRDefault="0012083F" w:rsidP="0012083F">
      <w:pPr>
        <w:shd w:val="clear" w:color="auto" w:fill="FFFFFF"/>
        <w:spacing w:before="100" w:beforeAutospacing="1" w:after="100" w:afterAutospacing="1"/>
        <w:rPr>
          <w:rFonts w:asciiTheme="minorHAnsi" w:hAnsiTheme="minorHAnsi" w:cs="Arial"/>
          <w:color w:val="000000" w:themeColor="text1"/>
          <w:lang w:val="en-US"/>
        </w:rPr>
      </w:pPr>
      <w:r w:rsidRPr="0012083F">
        <w:rPr>
          <w:rFonts w:asciiTheme="minorHAnsi" w:hAnsiTheme="minorHAnsi" w:cs="Arial"/>
          <w:color w:val="000000" w:themeColor="text1"/>
          <w:lang w:val="en-US"/>
        </w:rPr>
        <w:t>The review should be informed by public submissions, by international experience, through round table discussions and by consultation on substantive issues identified before recommendations are made to Government.</w:t>
      </w:r>
    </w:p>
    <w:p w14:paraId="3B622A67" w14:textId="5C7F398C" w:rsidR="00905754" w:rsidRDefault="0012083F" w:rsidP="00905754">
      <w:pPr>
        <w:shd w:val="clear" w:color="auto" w:fill="FFFFFF"/>
        <w:spacing w:before="100" w:beforeAutospacing="1" w:after="100" w:afterAutospacing="1"/>
        <w:rPr>
          <w:rFonts w:asciiTheme="minorHAnsi" w:hAnsiTheme="minorHAnsi" w:cs="Arial"/>
          <w:color w:val="000000" w:themeColor="text1"/>
          <w:lang w:val="en-US"/>
        </w:rPr>
      </w:pPr>
      <w:r w:rsidRPr="0012083F">
        <w:rPr>
          <w:rFonts w:asciiTheme="minorHAnsi" w:hAnsiTheme="minorHAnsi" w:cs="Arial"/>
          <w:color w:val="000000" w:themeColor="text1"/>
          <w:lang w:val="en-US"/>
        </w:rPr>
        <w:t xml:space="preserve">A report on the review’s findings and recommendations will be required to be made to the Government by </w:t>
      </w:r>
      <w:r w:rsidR="00DF0803" w:rsidRPr="00DF0803">
        <w:rPr>
          <w:rFonts w:asciiTheme="minorHAnsi" w:hAnsiTheme="minorHAnsi" w:cs="Arial"/>
          <w:lang w:val="en-US"/>
        </w:rPr>
        <w:t>31 May 2018</w:t>
      </w:r>
      <w:r w:rsidRPr="0012083F">
        <w:rPr>
          <w:rFonts w:asciiTheme="minorHAnsi" w:hAnsiTheme="minorHAnsi" w:cs="Arial"/>
          <w:color w:val="000000" w:themeColor="text1"/>
          <w:lang w:val="en-US"/>
        </w:rPr>
        <w:t xml:space="preserve">. This report will be laid before each House of the Parliament within 15 sitting days of its receipt. </w:t>
      </w:r>
    </w:p>
    <w:p w14:paraId="123126D0" w14:textId="77777777" w:rsidR="009D022D" w:rsidRDefault="0012083F" w:rsidP="0012083F">
      <w:pPr>
        <w:pStyle w:val="OutlineNumbered1"/>
        <w:numPr>
          <w:ilvl w:val="0"/>
          <w:numId w:val="0"/>
        </w:numPr>
        <w:tabs>
          <w:tab w:val="left" w:pos="720"/>
        </w:tabs>
        <w:rPr>
          <w:rFonts w:asciiTheme="minorHAnsi" w:hAnsiTheme="minorHAnsi"/>
          <w:color w:val="000000" w:themeColor="text1"/>
          <w:lang w:val="en-US"/>
        </w:rPr>
      </w:pPr>
      <w:r w:rsidRPr="00905754">
        <w:rPr>
          <w:rFonts w:asciiTheme="minorHAnsi" w:hAnsiTheme="minorHAnsi"/>
          <w:color w:val="000000" w:themeColor="text1"/>
          <w:lang w:val="en-US"/>
        </w:rPr>
        <w:t xml:space="preserve">Some issues may be identified by the review panel that fall outside the scope of a statutory review of the ACNC legislation. The review panel should advise government of these matters and recommend whether further examination should be undertaken.  </w:t>
      </w:r>
      <w:bookmarkEnd w:id="2"/>
      <w:bookmarkEnd w:id="3"/>
      <w:bookmarkEnd w:id="4"/>
    </w:p>
    <w:p w14:paraId="67363BE4" w14:textId="77777777" w:rsidR="009D022D" w:rsidRDefault="009D022D">
      <w:pPr>
        <w:spacing w:before="0" w:after="160" w:line="259" w:lineRule="auto"/>
        <w:rPr>
          <w:rFonts w:asciiTheme="minorHAnsi" w:hAnsiTheme="minorHAnsi"/>
          <w:color w:val="000000" w:themeColor="text1"/>
          <w:lang w:val="en-US"/>
        </w:rPr>
      </w:pPr>
      <w:r>
        <w:rPr>
          <w:rFonts w:asciiTheme="minorHAnsi" w:hAnsiTheme="minorHAnsi"/>
          <w:color w:val="000000" w:themeColor="text1"/>
          <w:lang w:val="en-US"/>
        </w:rPr>
        <w:br w:type="page"/>
      </w:r>
    </w:p>
    <w:p w14:paraId="12BBD851" w14:textId="02AAA2DA" w:rsidR="00F34E16" w:rsidRPr="0012083F" w:rsidRDefault="0012083F" w:rsidP="0012083F">
      <w:pPr>
        <w:pStyle w:val="OutlineNumbered1"/>
        <w:numPr>
          <w:ilvl w:val="0"/>
          <w:numId w:val="0"/>
        </w:numPr>
        <w:tabs>
          <w:tab w:val="left" w:pos="720"/>
        </w:tabs>
      </w:pPr>
      <w:r w:rsidRPr="0012083F">
        <w:rPr>
          <w:color w:val="0070C0"/>
          <w:sz w:val="36"/>
          <w:szCs w:val="36"/>
        </w:rPr>
        <w:lastRenderedPageBreak/>
        <w:t>Public submissions</w:t>
      </w:r>
    </w:p>
    <w:p w14:paraId="702E8A74" w14:textId="7FCE17CE" w:rsidR="00375408" w:rsidRDefault="00175F15" w:rsidP="007C5C8D">
      <w:r>
        <w:t>Public s</w:t>
      </w:r>
      <w:r w:rsidR="0012083F">
        <w:t xml:space="preserve">ubmissions </w:t>
      </w:r>
      <w:r w:rsidR="00F61281">
        <w:t xml:space="preserve">are invited in response to the </w:t>
      </w:r>
      <w:r w:rsidR="009D022D">
        <w:t xml:space="preserve">issues raised in the </w:t>
      </w:r>
      <w:r w:rsidR="0012083F">
        <w:t xml:space="preserve">terms of reference </w:t>
      </w:r>
      <w:r w:rsidR="00F61281" w:rsidRPr="00F61281">
        <w:t>by sending through written submissions using the details below</w:t>
      </w:r>
      <w:r w:rsidR="0012083F" w:rsidRPr="00F70BC6">
        <w:t>.</w:t>
      </w:r>
      <w:r w:rsidR="0012083F">
        <w:t xml:space="preserve"> </w:t>
      </w:r>
    </w:p>
    <w:p w14:paraId="1674F72C" w14:textId="44826759" w:rsidR="0012083F" w:rsidRPr="0012083F" w:rsidRDefault="0012083F" w:rsidP="0012083F">
      <w:r>
        <w:t>Some focusing questions for submissions could be:</w:t>
      </w:r>
    </w:p>
    <w:p w14:paraId="4B6656D8" w14:textId="77777777" w:rsidR="00F34E16" w:rsidRPr="00F34E16" w:rsidRDefault="00F34E16" w:rsidP="007C5C8D">
      <w:pPr>
        <w:pStyle w:val="OutlineNumbered1"/>
        <w:numPr>
          <w:ilvl w:val="0"/>
          <w:numId w:val="16"/>
        </w:numPr>
        <w:shd w:val="clear" w:color="auto" w:fill="FFFFFF"/>
        <w:spacing w:before="100" w:beforeAutospacing="1"/>
        <w:ind w:left="522" w:hanging="522"/>
        <w:rPr>
          <w:rFonts w:asciiTheme="minorHAnsi" w:hAnsiTheme="minorHAnsi"/>
          <w:color w:val="000000" w:themeColor="text1"/>
        </w:rPr>
      </w:pPr>
      <w:r w:rsidRPr="00F34E16">
        <w:rPr>
          <w:rFonts w:asciiTheme="minorHAnsi" w:hAnsiTheme="minorHAnsi"/>
          <w:color w:val="000000" w:themeColor="text1"/>
        </w:rPr>
        <w:t>Are the objects of the ACNC Act still contemporary?</w:t>
      </w:r>
    </w:p>
    <w:p w14:paraId="301E77E2" w14:textId="77777777" w:rsidR="00F34E16" w:rsidRPr="00F34E16" w:rsidRDefault="00F34E16" w:rsidP="007C5C8D">
      <w:pPr>
        <w:pStyle w:val="OutlineNumbered1"/>
        <w:numPr>
          <w:ilvl w:val="0"/>
          <w:numId w:val="16"/>
        </w:numPr>
        <w:shd w:val="clear" w:color="auto" w:fill="FFFFFF"/>
        <w:spacing w:before="100" w:beforeAutospacing="1"/>
        <w:ind w:left="522" w:hanging="522"/>
        <w:rPr>
          <w:rFonts w:asciiTheme="minorHAnsi" w:hAnsiTheme="minorHAnsi"/>
          <w:color w:val="000000" w:themeColor="text1"/>
        </w:rPr>
      </w:pPr>
      <w:r w:rsidRPr="00F34E16">
        <w:rPr>
          <w:rFonts w:asciiTheme="minorHAnsi" w:hAnsiTheme="minorHAnsi"/>
          <w:color w:val="000000" w:themeColor="text1"/>
        </w:rPr>
        <w:t>Are there gaps in the current regulatory framework that prevent the objects of the Act being met?</w:t>
      </w:r>
    </w:p>
    <w:p w14:paraId="1BE9E3A8" w14:textId="0F148E13" w:rsidR="00F34E16" w:rsidRPr="00F34E16" w:rsidRDefault="00F34E16" w:rsidP="007C5C8D">
      <w:pPr>
        <w:pStyle w:val="OutlineNumbered1"/>
        <w:numPr>
          <w:ilvl w:val="0"/>
          <w:numId w:val="16"/>
        </w:numPr>
        <w:shd w:val="clear" w:color="auto" w:fill="FFFFFF"/>
        <w:spacing w:before="100" w:beforeAutospacing="1"/>
        <w:ind w:left="522" w:hanging="522"/>
        <w:rPr>
          <w:rFonts w:asciiTheme="minorHAnsi" w:hAnsiTheme="minorHAnsi"/>
          <w:color w:val="000000" w:themeColor="text1"/>
        </w:rPr>
      </w:pPr>
      <w:r w:rsidRPr="00F34E16">
        <w:rPr>
          <w:rFonts w:asciiTheme="minorHAnsi" w:hAnsiTheme="minorHAnsi"/>
          <w:color w:val="000000" w:themeColor="text1"/>
        </w:rPr>
        <w:t>Should the regulatory framework be extended beyond just registered charities to cover other classes of not-for-profits?</w:t>
      </w:r>
    </w:p>
    <w:p w14:paraId="76CF739A" w14:textId="77777777" w:rsidR="00F34E16" w:rsidRPr="00F34E16" w:rsidRDefault="00F34E16" w:rsidP="007C5C8D">
      <w:pPr>
        <w:pStyle w:val="OutlineNumbered1"/>
        <w:numPr>
          <w:ilvl w:val="0"/>
          <w:numId w:val="16"/>
        </w:numPr>
        <w:shd w:val="clear" w:color="auto" w:fill="FFFFFF"/>
        <w:spacing w:before="100" w:beforeAutospacing="1"/>
        <w:ind w:left="522" w:hanging="522"/>
        <w:rPr>
          <w:rFonts w:asciiTheme="minorHAnsi" w:hAnsiTheme="minorHAnsi"/>
          <w:color w:val="000000" w:themeColor="text1"/>
        </w:rPr>
      </w:pPr>
      <w:r w:rsidRPr="00F34E16">
        <w:rPr>
          <w:rFonts w:asciiTheme="minorHAnsi" w:hAnsiTheme="minorHAnsi"/>
          <w:color w:val="000000" w:themeColor="text1"/>
        </w:rPr>
        <w:t xml:space="preserve">What activities or behaviours by charities and not-for-profits have the greatest ability to erode public trust and confidence in the sector? </w:t>
      </w:r>
    </w:p>
    <w:p w14:paraId="0F92D768" w14:textId="77777777" w:rsidR="00F34E16" w:rsidRPr="00F34E16" w:rsidRDefault="00F34E16" w:rsidP="007C5C8D">
      <w:pPr>
        <w:pStyle w:val="OutlineNumbered1"/>
        <w:numPr>
          <w:ilvl w:val="0"/>
          <w:numId w:val="16"/>
        </w:numPr>
        <w:shd w:val="clear" w:color="auto" w:fill="FFFFFF"/>
        <w:spacing w:before="100" w:beforeAutospacing="1"/>
        <w:ind w:left="522" w:hanging="522"/>
        <w:rPr>
          <w:rFonts w:asciiTheme="minorHAnsi" w:hAnsiTheme="minorHAnsi"/>
          <w:color w:val="000000" w:themeColor="text1"/>
        </w:rPr>
      </w:pPr>
      <w:r w:rsidRPr="00F34E16">
        <w:rPr>
          <w:rFonts w:asciiTheme="minorHAnsi" w:hAnsiTheme="minorHAnsi"/>
          <w:color w:val="000000" w:themeColor="text1"/>
        </w:rPr>
        <w:t xml:space="preserve">Is there sufficient transparency to inform the ACNC and the public more broadly that funds are being used for the purpose they are being given? </w:t>
      </w:r>
      <w:bookmarkStart w:id="5" w:name="_GoBack"/>
      <w:bookmarkEnd w:id="5"/>
    </w:p>
    <w:p w14:paraId="0F5E5905" w14:textId="77777777" w:rsidR="00F34E16" w:rsidRPr="00F34E16" w:rsidRDefault="00F34E16" w:rsidP="007C5C8D">
      <w:pPr>
        <w:pStyle w:val="OutlineNumbered1"/>
        <w:numPr>
          <w:ilvl w:val="0"/>
          <w:numId w:val="16"/>
        </w:numPr>
        <w:shd w:val="clear" w:color="auto" w:fill="FFFFFF"/>
        <w:spacing w:before="100" w:beforeAutospacing="1"/>
        <w:ind w:left="522" w:hanging="522"/>
        <w:rPr>
          <w:rFonts w:asciiTheme="minorHAnsi" w:hAnsiTheme="minorHAnsi"/>
          <w:color w:val="000000" w:themeColor="text1"/>
        </w:rPr>
      </w:pPr>
      <w:r w:rsidRPr="00F34E16">
        <w:rPr>
          <w:rFonts w:asciiTheme="minorHAnsi" w:hAnsiTheme="minorHAnsi"/>
          <w:color w:val="000000" w:themeColor="text1"/>
        </w:rPr>
        <w:t xml:space="preserve">Have the risks of misconduct by charities and not-for-profits, or those that work with them, been appropriately addressed by the ACNC legislation and the establishment of the ACNC? </w:t>
      </w:r>
    </w:p>
    <w:p w14:paraId="3189DD0C" w14:textId="77777777" w:rsidR="00F34E16" w:rsidRPr="00F34E16" w:rsidRDefault="00F34E16" w:rsidP="007C5C8D">
      <w:pPr>
        <w:pStyle w:val="OutlineNumbered1"/>
        <w:numPr>
          <w:ilvl w:val="0"/>
          <w:numId w:val="16"/>
        </w:numPr>
        <w:shd w:val="clear" w:color="auto" w:fill="FFFFFF"/>
        <w:spacing w:before="100" w:beforeAutospacing="1"/>
        <w:ind w:left="522" w:hanging="522"/>
        <w:rPr>
          <w:rFonts w:asciiTheme="minorHAnsi" w:hAnsiTheme="minorHAnsi"/>
          <w:color w:val="000000" w:themeColor="text1"/>
        </w:rPr>
      </w:pPr>
      <w:r w:rsidRPr="00F34E16">
        <w:rPr>
          <w:rFonts w:asciiTheme="minorHAnsi" w:hAnsiTheme="minorHAnsi"/>
          <w:color w:val="000000" w:themeColor="text1"/>
        </w:rPr>
        <w:t xml:space="preserve">Are the powers of the ACNC Commissioner the right powers to address the risk of misconduct by charities and not-for-profits, or those that work with them, so as to maintain the public’s trust and confidence? Is greater transparency required and would additional powers be appropriate? </w:t>
      </w:r>
    </w:p>
    <w:p w14:paraId="10F1F319" w14:textId="77777777" w:rsidR="00F34E16" w:rsidRPr="00F34E16" w:rsidRDefault="00F34E16" w:rsidP="007C5C8D">
      <w:pPr>
        <w:pStyle w:val="OutlineNumbered1"/>
        <w:numPr>
          <w:ilvl w:val="0"/>
          <w:numId w:val="16"/>
        </w:numPr>
        <w:shd w:val="clear" w:color="auto" w:fill="FFFFFF"/>
        <w:spacing w:before="100" w:beforeAutospacing="1"/>
        <w:ind w:left="522" w:hanging="522"/>
        <w:rPr>
          <w:rFonts w:asciiTheme="minorHAnsi" w:hAnsiTheme="minorHAnsi"/>
          <w:color w:val="000000" w:themeColor="text1"/>
        </w:rPr>
      </w:pPr>
      <w:r w:rsidRPr="00F34E16">
        <w:rPr>
          <w:rFonts w:asciiTheme="minorHAnsi" w:hAnsiTheme="minorHAnsi"/>
          <w:color w:val="000000" w:themeColor="text1"/>
        </w:rPr>
        <w:t>Has the ACNC legislation been successful in reducing any duplicative reporting burden on charities? What opportunities exist to further reduce regulatory burden?</w:t>
      </w:r>
    </w:p>
    <w:p w14:paraId="2D07C27A" w14:textId="77777777" w:rsidR="00F34E16" w:rsidRPr="00F34E16" w:rsidRDefault="00F34E16" w:rsidP="007C5C8D">
      <w:pPr>
        <w:pStyle w:val="OutlineNumbered1"/>
        <w:numPr>
          <w:ilvl w:val="0"/>
          <w:numId w:val="16"/>
        </w:numPr>
        <w:shd w:val="clear" w:color="auto" w:fill="FFFFFF"/>
        <w:spacing w:before="100" w:beforeAutospacing="1"/>
        <w:ind w:left="522" w:hanging="522"/>
        <w:rPr>
          <w:rFonts w:asciiTheme="minorHAnsi" w:hAnsiTheme="minorHAnsi"/>
          <w:color w:val="000000" w:themeColor="text1"/>
        </w:rPr>
      </w:pPr>
      <w:r w:rsidRPr="00F34E16">
        <w:rPr>
          <w:rFonts w:asciiTheme="minorHAnsi" w:hAnsiTheme="minorHAnsi"/>
          <w:color w:val="000000" w:themeColor="text1"/>
        </w:rPr>
        <w:t xml:space="preserve">Has the ACNC legislation and efforts of the ACNC over the first five years struck the right balance between supporting charities to do the right thing and deterring or dealing with misconduct? </w:t>
      </w:r>
    </w:p>
    <w:p w14:paraId="070CF353" w14:textId="77777777" w:rsidR="00F61281" w:rsidRDefault="00F61281" w:rsidP="00F61281">
      <w:r>
        <w:t xml:space="preserve">It is also intended that there will be further opportunities for stakeholders to contribute views on substantive issues that are identified by the Review Panel, including though roundtables and face-to-face consultation. </w:t>
      </w:r>
    </w:p>
    <w:p w14:paraId="113725C5" w14:textId="77777777" w:rsidR="00F61281" w:rsidRPr="00F61281" w:rsidRDefault="00F61281" w:rsidP="00070ABB">
      <w:pPr>
        <w:pStyle w:val="Heading3noTOC"/>
      </w:pPr>
      <w:r w:rsidRPr="00F61281">
        <w:t xml:space="preserve">Closing date for submissions: </w:t>
      </w:r>
      <w:sdt>
        <w:sdtPr>
          <w:id w:val="416763755"/>
          <w:placeholder>
            <w:docPart w:val="D119E636674B4106B6C3FE17D61FECED"/>
          </w:placeholder>
          <w:date w:fullDate="2018-02-28T00:00:00Z">
            <w:dateFormat w:val="dd MMMM yyyy"/>
            <w:lid w:val="en-AU"/>
            <w:storeMappedDataAs w:val="dateTime"/>
            <w:calendar w:val="gregorian"/>
          </w:date>
        </w:sdtPr>
        <w:sdtEndPr/>
        <w:sdtContent>
          <w:r w:rsidRPr="00F61281">
            <w:t>28 February 2018</w:t>
          </w:r>
        </w:sdtContent>
      </w:sdt>
    </w:p>
    <w:tbl>
      <w:tblPr>
        <w:tblStyle w:val="TableGrid"/>
        <w:tblW w:w="0" w:type="auto"/>
        <w:tblLook w:val="04A0" w:firstRow="1" w:lastRow="0" w:firstColumn="1" w:lastColumn="0" w:noHBand="0" w:noVBand="1"/>
      </w:tblPr>
      <w:tblGrid>
        <w:gridCol w:w="1526"/>
        <w:gridCol w:w="7654"/>
      </w:tblGrid>
      <w:tr w:rsidR="00F61281" w:rsidRPr="00F61281" w14:paraId="5C66A775" w14:textId="77777777" w:rsidTr="00256882">
        <w:tc>
          <w:tcPr>
            <w:tcW w:w="1526" w:type="dxa"/>
            <w:shd w:val="clear" w:color="auto" w:fill="auto"/>
          </w:tcPr>
          <w:p w14:paraId="0BB0BF53" w14:textId="77777777" w:rsidR="00F61281" w:rsidRPr="00F61281" w:rsidRDefault="00F61281" w:rsidP="00F61281">
            <w:pPr>
              <w:jc w:val="left"/>
              <w:rPr>
                <w:sz w:val="22"/>
              </w:rPr>
            </w:pPr>
            <w:r w:rsidRPr="00F61281">
              <w:rPr>
                <w:sz w:val="22"/>
              </w:rPr>
              <w:t>Email</w:t>
            </w:r>
          </w:p>
        </w:tc>
        <w:tc>
          <w:tcPr>
            <w:tcW w:w="7654" w:type="dxa"/>
            <w:shd w:val="clear" w:color="auto" w:fill="auto"/>
          </w:tcPr>
          <w:p w14:paraId="16A894F1" w14:textId="77777777" w:rsidR="00F61281" w:rsidRPr="00F61281" w:rsidRDefault="00F61281" w:rsidP="00F61281">
            <w:pPr>
              <w:jc w:val="left"/>
              <w:rPr>
                <w:sz w:val="22"/>
              </w:rPr>
            </w:pPr>
            <w:r w:rsidRPr="00F61281">
              <w:rPr>
                <w:sz w:val="22"/>
              </w:rPr>
              <w:t>ACNCReview@treasury.gov.au</w:t>
            </w:r>
          </w:p>
        </w:tc>
      </w:tr>
      <w:tr w:rsidR="00F61281" w:rsidRPr="00F61281" w14:paraId="4D8A0751" w14:textId="77777777" w:rsidTr="00256882">
        <w:tc>
          <w:tcPr>
            <w:tcW w:w="1526" w:type="dxa"/>
            <w:shd w:val="clear" w:color="auto" w:fill="auto"/>
          </w:tcPr>
          <w:p w14:paraId="69331F66" w14:textId="77777777" w:rsidR="00F61281" w:rsidRPr="00F61281" w:rsidRDefault="00F61281" w:rsidP="00F61281">
            <w:pPr>
              <w:jc w:val="left"/>
              <w:rPr>
                <w:sz w:val="22"/>
              </w:rPr>
            </w:pPr>
            <w:r w:rsidRPr="00F61281">
              <w:rPr>
                <w:sz w:val="22"/>
              </w:rPr>
              <w:t>Mail</w:t>
            </w:r>
          </w:p>
          <w:p w14:paraId="69487B79" w14:textId="77777777" w:rsidR="00F61281" w:rsidRPr="00F61281" w:rsidRDefault="00F61281" w:rsidP="00F61281">
            <w:pPr>
              <w:jc w:val="left"/>
              <w:rPr>
                <w:sz w:val="22"/>
              </w:rPr>
            </w:pPr>
          </w:p>
          <w:p w14:paraId="1CB5AE9F" w14:textId="77777777" w:rsidR="00F61281" w:rsidRPr="00F61281" w:rsidRDefault="00F61281" w:rsidP="00F61281">
            <w:pPr>
              <w:jc w:val="left"/>
              <w:rPr>
                <w:sz w:val="22"/>
              </w:rPr>
            </w:pPr>
          </w:p>
        </w:tc>
        <w:tc>
          <w:tcPr>
            <w:tcW w:w="7654" w:type="dxa"/>
            <w:shd w:val="clear" w:color="auto" w:fill="auto"/>
          </w:tcPr>
          <w:p w14:paraId="00F8BF31" w14:textId="77777777" w:rsidR="00F61281" w:rsidRPr="00F61281" w:rsidRDefault="00F61281" w:rsidP="00F61281">
            <w:pPr>
              <w:jc w:val="left"/>
              <w:rPr>
                <w:sz w:val="22"/>
              </w:rPr>
            </w:pPr>
            <w:r w:rsidRPr="00F61281">
              <w:rPr>
                <w:sz w:val="22"/>
              </w:rPr>
              <w:t>Mr Murray Crowe</w:t>
            </w:r>
          </w:p>
          <w:p w14:paraId="61CB5B78" w14:textId="77777777" w:rsidR="00F61281" w:rsidRPr="00F61281" w:rsidRDefault="00F61281" w:rsidP="00F61281">
            <w:pPr>
              <w:jc w:val="left"/>
              <w:rPr>
                <w:sz w:val="22"/>
              </w:rPr>
            </w:pPr>
            <w:r w:rsidRPr="00F61281">
              <w:rPr>
                <w:sz w:val="22"/>
              </w:rPr>
              <w:t>Individuals and Indirect Tax Division</w:t>
            </w:r>
          </w:p>
          <w:p w14:paraId="5180EBED" w14:textId="77777777" w:rsidR="00F61281" w:rsidRPr="00F61281" w:rsidRDefault="00F61281" w:rsidP="00F61281">
            <w:pPr>
              <w:jc w:val="left"/>
              <w:rPr>
                <w:sz w:val="22"/>
              </w:rPr>
            </w:pPr>
            <w:r w:rsidRPr="00F61281">
              <w:rPr>
                <w:sz w:val="22"/>
              </w:rPr>
              <w:t>The Treasury</w:t>
            </w:r>
          </w:p>
          <w:p w14:paraId="59E7C687" w14:textId="77777777" w:rsidR="00F61281" w:rsidRPr="00F61281" w:rsidRDefault="00F61281" w:rsidP="00F61281">
            <w:pPr>
              <w:jc w:val="left"/>
              <w:rPr>
                <w:sz w:val="22"/>
              </w:rPr>
            </w:pPr>
            <w:r w:rsidRPr="00F61281">
              <w:rPr>
                <w:sz w:val="22"/>
              </w:rPr>
              <w:t>Langton Crescent</w:t>
            </w:r>
          </w:p>
          <w:p w14:paraId="2BB8044F" w14:textId="77777777" w:rsidR="00F61281" w:rsidRPr="00F61281" w:rsidRDefault="00F61281" w:rsidP="00F61281">
            <w:pPr>
              <w:jc w:val="left"/>
              <w:rPr>
                <w:sz w:val="22"/>
              </w:rPr>
            </w:pPr>
            <w:r w:rsidRPr="00F61281">
              <w:rPr>
                <w:sz w:val="22"/>
              </w:rPr>
              <w:t>PARKES ACT 2600</w:t>
            </w:r>
          </w:p>
        </w:tc>
      </w:tr>
      <w:tr w:rsidR="00F61281" w:rsidRPr="00F61281" w14:paraId="55E79337" w14:textId="77777777" w:rsidTr="00256882">
        <w:tc>
          <w:tcPr>
            <w:tcW w:w="1526" w:type="dxa"/>
            <w:shd w:val="clear" w:color="auto" w:fill="auto"/>
          </w:tcPr>
          <w:p w14:paraId="4347863E" w14:textId="77777777" w:rsidR="00F61281" w:rsidRPr="00F61281" w:rsidRDefault="00F61281" w:rsidP="00F61281">
            <w:pPr>
              <w:jc w:val="left"/>
              <w:rPr>
                <w:sz w:val="22"/>
              </w:rPr>
            </w:pPr>
            <w:r w:rsidRPr="00F61281">
              <w:rPr>
                <w:sz w:val="22"/>
              </w:rPr>
              <w:t>Enquiries</w:t>
            </w:r>
          </w:p>
        </w:tc>
        <w:tc>
          <w:tcPr>
            <w:tcW w:w="7654" w:type="dxa"/>
            <w:shd w:val="clear" w:color="auto" w:fill="auto"/>
          </w:tcPr>
          <w:p w14:paraId="29F5CDDE" w14:textId="77777777" w:rsidR="00F61281" w:rsidRPr="00F61281" w:rsidRDefault="00F61281" w:rsidP="00F61281">
            <w:pPr>
              <w:jc w:val="left"/>
              <w:rPr>
                <w:sz w:val="22"/>
              </w:rPr>
            </w:pPr>
            <w:r w:rsidRPr="00F61281">
              <w:rPr>
                <w:sz w:val="22"/>
              </w:rPr>
              <w:t>Enquiries can be initially directed to ACNCReview@treasury.gov.au</w:t>
            </w:r>
          </w:p>
        </w:tc>
      </w:tr>
      <w:tr w:rsidR="00F61281" w:rsidRPr="00F61281" w14:paraId="6E15FD7B" w14:textId="77777777" w:rsidTr="00256882">
        <w:tc>
          <w:tcPr>
            <w:tcW w:w="1526" w:type="dxa"/>
            <w:shd w:val="clear" w:color="auto" w:fill="auto"/>
          </w:tcPr>
          <w:p w14:paraId="30078F74" w14:textId="77777777" w:rsidR="00F61281" w:rsidRPr="00F61281" w:rsidRDefault="00F61281" w:rsidP="00F61281">
            <w:pPr>
              <w:jc w:val="left"/>
              <w:rPr>
                <w:sz w:val="22"/>
              </w:rPr>
            </w:pPr>
            <w:r w:rsidRPr="00F61281">
              <w:rPr>
                <w:sz w:val="22"/>
              </w:rPr>
              <w:t>Phone</w:t>
            </w:r>
          </w:p>
        </w:tc>
        <w:tc>
          <w:tcPr>
            <w:tcW w:w="7654" w:type="dxa"/>
            <w:shd w:val="clear" w:color="auto" w:fill="auto"/>
          </w:tcPr>
          <w:p w14:paraId="2D173341" w14:textId="77777777" w:rsidR="00F61281" w:rsidRPr="00F61281" w:rsidRDefault="00F61281" w:rsidP="00F61281">
            <w:pPr>
              <w:jc w:val="left"/>
              <w:rPr>
                <w:sz w:val="22"/>
              </w:rPr>
            </w:pPr>
            <w:r w:rsidRPr="00F61281">
              <w:rPr>
                <w:sz w:val="22"/>
              </w:rPr>
              <w:t>02 6263 3992</w:t>
            </w:r>
          </w:p>
        </w:tc>
      </w:tr>
    </w:tbl>
    <w:p w14:paraId="64500A23" w14:textId="07CE6D35" w:rsidR="002D488F" w:rsidRDefault="002D488F" w:rsidP="00F61281"/>
    <w:sectPr w:rsidR="002D488F" w:rsidSect="00E1136B">
      <w:headerReference w:type="even" r:id="rId25"/>
      <w:headerReference w:type="default" r:id="rId26"/>
      <w:footerReference w:type="even" r:id="rId27"/>
      <w:footerReference w:type="default" r:id="rId28"/>
      <w:headerReference w:type="first" r:id="rId29"/>
      <w:footerReference w:type="first" r:id="rId30"/>
      <w:pgSz w:w="11906" w:h="16838" w:code="9"/>
      <w:pgMar w:top="1418" w:right="1418" w:bottom="1418" w:left="1418" w:header="709" w:footer="709" w:gutter="0"/>
      <w:pgNumType w:start="1"/>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EA2A15" w15:done="0"/>
  <w15:commentEx w15:paraId="48B3AC5B" w15:done="0"/>
  <w15:commentEx w15:paraId="6A0F3C88" w15:done="0"/>
  <w15:commentEx w15:paraId="2CA42E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EA2A15" w16cid:durableId="1DE13643"/>
  <w16cid:commentId w16cid:paraId="48B3AC5B" w16cid:durableId="1DE13721"/>
  <w16cid:commentId w16cid:paraId="2CA42E09" w16cid:durableId="1DE139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CA2260" w14:textId="77777777" w:rsidR="00A92006" w:rsidRDefault="00A92006">
      <w:pPr>
        <w:spacing w:before="0" w:after="0"/>
      </w:pPr>
      <w:r>
        <w:separator/>
      </w:r>
    </w:p>
  </w:endnote>
  <w:endnote w:type="continuationSeparator" w:id="0">
    <w:p w14:paraId="44E6CB82" w14:textId="77777777" w:rsidR="00A92006" w:rsidRDefault="00A92006">
      <w:pPr>
        <w:spacing w:before="0" w:after="0"/>
      </w:pPr>
      <w:r>
        <w:continuationSeparator/>
      </w:r>
    </w:p>
  </w:endnote>
  <w:endnote w:type="continuationNotice" w:id="1">
    <w:p w14:paraId="33B03B43" w14:textId="77777777" w:rsidR="00A92006" w:rsidRDefault="00A9200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altName w:val="Lucida Fax"/>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EBB76" w14:textId="7A1B3B63" w:rsidR="009C59EC" w:rsidRPr="00E1136B" w:rsidRDefault="009C59EC" w:rsidP="00E1136B">
    <w:pPr>
      <w:pStyle w:val="Footer"/>
    </w:pPr>
    <w:r>
      <w:rPr>
        <w:noProof/>
      </w:rPr>
      <w:drawing>
        <wp:anchor distT="0" distB="0" distL="114300" distR="114300" simplePos="0" relativeHeight="251658241" behindDoc="1" locked="0" layoutInCell="1" allowOverlap="1" wp14:anchorId="18C9DE5F" wp14:editId="1364A068">
          <wp:simplePos x="0" y="0"/>
          <wp:positionH relativeFrom="page">
            <wp:align>center</wp:align>
          </wp:positionH>
          <wp:positionV relativeFrom="page">
            <wp:posOffset>4860925</wp:posOffset>
          </wp:positionV>
          <wp:extent cx="7199640" cy="5675760"/>
          <wp:effectExtent l="0" t="0" r="127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567576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DF0803">
      <w:rPr>
        <w:noProof/>
      </w:rPr>
      <w:t>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A537C" w14:textId="77777777" w:rsidR="009C59EC" w:rsidRPr="00E77C89" w:rsidRDefault="009C59EC" w:rsidP="0017089D">
    <w:r>
      <w:fldChar w:fldCharType="begin"/>
    </w:r>
    <w:r>
      <w:instrText xml:space="preserve"> PAGE  \* Arabic  \* MERGEFORMAT </w:instrText>
    </w:r>
    <w:r>
      <w:fldChar w:fldCharType="separate"/>
    </w:r>
    <w: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1DADA" w14:textId="77777777" w:rsidR="009C59EC" w:rsidRPr="00E77C89" w:rsidRDefault="009C59EC" w:rsidP="0017089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0E94F" w14:textId="472652AA" w:rsidR="009C59EC" w:rsidRPr="00E1136B" w:rsidRDefault="009C59EC" w:rsidP="00E1136B">
    <w:pPr>
      <w:pStyle w:val="Footer"/>
    </w:pPr>
    <w:r>
      <w:fldChar w:fldCharType="begin"/>
    </w:r>
    <w:r>
      <w:instrText xml:space="preserve"> PAGE   \* MERGEFORMAT </w:instrText>
    </w:r>
    <w:r>
      <w:fldChar w:fldCharType="separate"/>
    </w:r>
    <w:r w:rsidR="00DF0803">
      <w:rPr>
        <w:noProof/>
      </w:rPr>
      <w:t>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C38C5" w14:textId="77777777" w:rsidR="009C59EC" w:rsidRDefault="009C59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918EA" w14:textId="77777777" w:rsidR="00A92006" w:rsidRDefault="00A92006">
      <w:pPr>
        <w:spacing w:before="0" w:after="0"/>
      </w:pPr>
      <w:r>
        <w:separator/>
      </w:r>
    </w:p>
  </w:footnote>
  <w:footnote w:type="continuationSeparator" w:id="0">
    <w:p w14:paraId="746ACD02" w14:textId="77777777" w:rsidR="00A92006" w:rsidRDefault="00A92006">
      <w:pPr>
        <w:spacing w:before="0" w:after="0"/>
      </w:pPr>
      <w:r>
        <w:continuationSeparator/>
      </w:r>
    </w:p>
  </w:footnote>
  <w:footnote w:type="continuationNotice" w:id="1">
    <w:p w14:paraId="1D026751" w14:textId="77777777" w:rsidR="00A92006" w:rsidRDefault="00A92006">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A2FBA" w14:textId="77777777" w:rsidR="009C59EC" w:rsidRDefault="009C59EC">
    <w:pPr>
      <w:pStyle w:val="Header"/>
    </w:pPr>
    <w:r>
      <w:rPr>
        <w:noProof/>
      </w:rPr>
      <w:drawing>
        <wp:anchor distT="0" distB="0" distL="114300" distR="114300" simplePos="0" relativeHeight="251658240" behindDoc="1" locked="0" layoutInCell="1" allowOverlap="1" wp14:anchorId="08342258" wp14:editId="531647B5">
          <wp:simplePos x="0" y="0"/>
          <wp:positionH relativeFrom="page">
            <wp:align>center</wp:align>
          </wp:positionH>
          <wp:positionV relativeFrom="page">
            <wp:posOffset>180340</wp:posOffset>
          </wp:positionV>
          <wp:extent cx="7199640" cy="1079640"/>
          <wp:effectExtent l="0" t="0" r="127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E0829" w14:textId="77777777" w:rsidR="009C59EC" w:rsidRPr="001F3912" w:rsidRDefault="009C59EC" w:rsidP="0017089D">
    <w:r>
      <w:fldChar w:fldCharType="begin"/>
    </w:r>
    <w:r>
      <w:instrText xml:space="preserve"> macrobutton nomacro [Click and add Publication Title]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C50D4" w14:textId="77777777" w:rsidR="009C59EC" w:rsidRPr="001F3912" w:rsidRDefault="009C59EC" w:rsidP="0017089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224B8" w14:textId="77777777" w:rsidR="009C59EC" w:rsidRPr="001F3912" w:rsidRDefault="009C59EC" w:rsidP="0017089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A9BBE" w14:textId="639D3B8B" w:rsidR="009C59EC" w:rsidRPr="001F3912" w:rsidRDefault="00A92006" w:rsidP="001606CF">
    <w:pPr>
      <w:pStyle w:val="Header"/>
    </w:pPr>
    <w:fldSimple w:instr=" STYLEREF  Title  \* MERGEFORMAT ">
      <w:r w:rsidR="00DF0803">
        <w:rPr>
          <w:noProof/>
        </w:rPr>
        <w:t>Review of Australian Charities and Not-for-profits Commission (ACNC) legislation</w:t>
      </w:r>
    </w:fldSimple>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3B181" w14:textId="77777777" w:rsidR="009C59EC" w:rsidRDefault="009C59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6CC4E5D"/>
    <w:multiLevelType w:val="multilevel"/>
    <w:tmpl w:val="D10E9CF6"/>
    <w:numStyleLink w:val="OneLevelList"/>
  </w:abstractNum>
  <w:abstractNum w:abstractNumId="4">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10609BB"/>
    <w:multiLevelType w:val="hybridMultilevel"/>
    <w:tmpl w:val="F66C0D40"/>
    <w:lvl w:ilvl="0" w:tplc="2B6C37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8">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510D2021"/>
    <w:multiLevelType w:val="multilevel"/>
    <w:tmpl w:val="72F8140E"/>
    <w:numStyleLink w:val="OutlineList"/>
  </w:abstractNum>
  <w:abstractNum w:abstractNumId="11">
    <w:nsid w:val="552774D6"/>
    <w:multiLevelType w:val="multilevel"/>
    <w:tmpl w:val="7F7C169C"/>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E9A00CF"/>
    <w:multiLevelType w:val="multilevel"/>
    <w:tmpl w:val="870EB16C"/>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0582B4A"/>
    <w:multiLevelType w:val="hybridMultilevel"/>
    <w:tmpl w:val="C082E37C"/>
    <w:lvl w:ilvl="0" w:tplc="0C09000F">
      <w:start w:val="1"/>
      <w:numFmt w:val="decimal"/>
      <w:lvlText w:val="%1."/>
      <w:lvlJc w:val="left"/>
      <w:pPr>
        <w:ind w:left="107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7"/>
  </w:num>
  <w:num w:numId="2">
    <w:abstractNumId w:val="0"/>
  </w:num>
  <w:num w:numId="3">
    <w:abstractNumId w:val="9"/>
  </w:num>
  <w:num w:numId="4">
    <w:abstractNumId w:val="2"/>
  </w:num>
  <w:num w:numId="5">
    <w:abstractNumId w:val="3"/>
  </w:num>
  <w:num w:numId="6">
    <w:abstractNumId w:val="10"/>
  </w:num>
  <w:num w:numId="7">
    <w:abstractNumId w:val="8"/>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4"/>
  </w:num>
  <w:num w:numId="9">
    <w:abstractNumId w:val="1"/>
  </w:num>
  <w:num w:numId="10">
    <w:abstractNumId w:val="6"/>
  </w:num>
  <w:num w:numId="11">
    <w:abstractNumId w:val="14"/>
  </w:num>
  <w:num w:numId="12">
    <w:abstractNumId w:val="10"/>
  </w:num>
  <w:num w:numId="13">
    <w:abstractNumId w:val="6"/>
  </w:num>
  <w:num w:numId="14">
    <w:abstractNumId w:val="8"/>
  </w:num>
  <w:num w:numId="15">
    <w:abstractNumId w:val="11"/>
  </w:num>
  <w:num w:numId="16">
    <w:abstractNumId w:val="12"/>
  </w:num>
  <w:num w:numId="17">
    <w:abstractNumId w:val="13"/>
  </w:num>
  <w:num w:numId="18">
    <w:abstractNumId w:val="5"/>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g Hammond">
    <w15:presenceInfo w15:providerId="Windows Live" w15:userId="fe063e8012d70131"/>
  </w15:person>
  <w15:person w15:author="Matthew Turnour">
    <w15:presenceInfo w15:providerId="None" w15:userId="Matthew Turnour"/>
  </w15:person>
  <w15:person w15:author="Su McCluskey">
    <w15:presenceInfo w15:providerId="Windows Live" w15:userId="275a492026ccb6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E16"/>
    <w:rsid w:val="00011725"/>
    <w:rsid w:val="00012C62"/>
    <w:rsid w:val="0002544D"/>
    <w:rsid w:val="00035B3F"/>
    <w:rsid w:val="00041A8B"/>
    <w:rsid w:val="0004274D"/>
    <w:rsid w:val="00044C0A"/>
    <w:rsid w:val="00056880"/>
    <w:rsid w:val="000675D1"/>
    <w:rsid w:val="00070ABB"/>
    <w:rsid w:val="0007102C"/>
    <w:rsid w:val="00073521"/>
    <w:rsid w:val="000775DE"/>
    <w:rsid w:val="000858F2"/>
    <w:rsid w:val="00087FAF"/>
    <w:rsid w:val="00092428"/>
    <w:rsid w:val="000A67FA"/>
    <w:rsid w:val="000C5F40"/>
    <w:rsid w:val="000E0B74"/>
    <w:rsid w:val="000F0BF8"/>
    <w:rsid w:val="000F407D"/>
    <w:rsid w:val="000F7517"/>
    <w:rsid w:val="0012083F"/>
    <w:rsid w:val="0014091C"/>
    <w:rsid w:val="001449B0"/>
    <w:rsid w:val="00155DCF"/>
    <w:rsid w:val="001606CF"/>
    <w:rsid w:val="0016128D"/>
    <w:rsid w:val="0017089D"/>
    <w:rsid w:val="00175F15"/>
    <w:rsid w:val="0019101A"/>
    <w:rsid w:val="001C358D"/>
    <w:rsid w:val="002166A4"/>
    <w:rsid w:val="0022190E"/>
    <w:rsid w:val="00231049"/>
    <w:rsid w:val="002314D2"/>
    <w:rsid w:val="002372A6"/>
    <w:rsid w:val="00257AEE"/>
    <w:rsid w:val="00263B6C"/>
    <w:rsid w:val="0027590B"/>
    <w:rsid w:val="00285969"/>
    <w:rsid w:val="002940EC"/>
    <w:rsid w:val="002B1BBF"/>
    <w:rsid w:val="002B3829"/>
    <w:rsid w:val="002B4055"/>
    <w:rsid w:val="002B5C39"/>
    <w:rsid w:val="002D488F"/>
    <w:rsid w:val="002F617F"/>
    <w:rsid w:val="00304FC9"/>
    <w:rsid w:val="003122F4"/>
    <w:rsid w:val="0031420B"/>
    <w:rsid w:val="003268D5"/>
    <w:rsid w:val="00344779"/>
    <w:rsid w:val="0034518F"/>
    <w:rsid w:val="00354D27"/>
    <w:rsid w:val="00375408"/>
    <w:rsid w:val="003839F0"/>
    <w:rsid w:val="003858A6"/>
    <w:rsid w:val="00392DCC"/>
    <w:rsid w:val="003C1BEB"/>
    <w:rsid w:val="003E4D87"/>
    <w:rsid w:val="003F3C25"/>
    <w:rsid w:val="003F71F2"/>
    <w:rsid w:val="00416762"/>
    <w:rsid w:val="00416CE9"/>
    <w:rsid w:val="00433EB6"/>
    <w:rsid w:val="00445265"/>
    <w:rsid w:val="004559CE"/>
    <w:rsid w:val="004707B9"/>
    <w:rsid w:val="00475B7B"/>
    <w:rsid w:val="00475F4D"/>
    <w:rsid w:val="00482AD1"/>
    <w:rsid w:val="00483049"/>
    <w:rsid w:val="00492FCB"/>
    <w:rsid w:val="004938D1"/>
    <w:rsid w:val="004951A8"/>
    <w:rsid w:val="004F1164"/>
    <w:rsid w:val="004F5BAF"/>
    <w:rsid w:val="00504161"/>
    <w:rsid w:val="0050532E"/>
    <w:rsid w:val="00505C18"/>
    <w:rsid w:val="00516785"/>
    <w:rsid w:val="0052419D"/>
    <w:rsid w:val="005301F8"/>
    <w:rsid w:val="005312FC"/>
    <w:rsid w:val="0053603D"/>
    <w:rsid w:val="005868DE"/>
    <w:rsid w:val="0060595B"/>
    <w:rsid w:val="00605AFD"/>
    <w:rsid w:val="00607C7C"/>
    <w:rsid w:val="006123D4"/>
    <w:rsid w:val="00637C14"/>
    <w:rsid w:val="00647AA3"/>
    <w:rsid w:val="00656356"/>
    <w:rsid w:val="0067422D"/>
    <w:rsid w:val="006755BF"/>
    <w:rsid w:val="00686165"/>
    <w:rsid w:val="00691CB5"/>
    <w:rsid w:val="006A6EE1"/>
    <w:rsid w:val="006B5E7C"/>
    <w:rsid w:val="006C645D"/>
    <w:rsid w:val="006D42C7"/>
    <w:rsid w:val="006E3CC3"/>
    <w:rsid w:val="006F656C"/>
    <w:rsid w:val="00707014"/>
    <w:rsid w:val="00732585"/>
    <w:rsid w:val="00745A87"/>
    <w:rsid w:val="00780905"/>
    <w:rsid w:val="0078509F"/>
    <w:rsid w:val="00790748"/>
    <w:rsid w:val="00794499"/>
    <w:rsid w:val="007C3AF7"/>
    <w:rsid w:val="007C5C8D"/>
    <w:rsid w:val="007D5AA6"/>
    <w:rsid w:val="007E2AB9"/>
    <w:rsid w:val="007E6456"/>
    <w:rsid w:val="00834243"/>
    <w:rsid w:val="00855618"/>
    <w:rsid w:val="008559A3"/>
    <w:rsid w:val="00857969"/>
    <w:rsid w:val="0089326E"/>
    <w:rsid w:val="008A1187"/>
    <w:rsid w:val="008B1499"/>
    <w:rsid w:val="008C7161"/>
    <w:rsid w:val="008D0760"/>
    <w:rsid w:val="008D339F"/>
    <w:rsid w:val="008D7F38"/>
    <w:rsid w:val="008E6292"/>
    <w:rsid w:val="008F36E6"/>
    <w:rsid w:val="008F5F84"/>
    <w:rsid w:val="00905754"/>
    <w:rsid w:val="00925AA5"/>
    <w:rsid w:val="0094019D"/>
    <w:rsid w:val="00942C11"/>
    <w:rsid w:val="009507A1"/>
    <w:rsid w:val="009732EC"/>
    <w:rsid w:val="009821CE"/>
    <w:rsid w:val="009852CF"/>
    <w:rsid w:val="009A658F"/>
    <w:rsid w:val="009C17E1"/>
    <w:rsid w:val="009C59EC"/>
    <w:rsid w:val="009D022D"/>
    <w:rsid w:val="00A16E03"/>
    <w:rsid w:val="00A260CD"/>
    <w:rsid w:val="00A3749B"/>
    <w:rsid w:val="00A62E42"/>
    <w:rsid w:val="00A64A71"/>
    <w:rsid w:val="00A91F62"/>
    <w:rsid w:val="00A92006"/>
    <w:rsid w:val="00A93006"/>
    <w:rsid w:val="00AE2F90"/>
    <w:rsid w:val="00B3149D"/>
    <w:rsid w:val="00B770FF"/>
    <w:rsid w:val="00B82EF9"/>
    <w:rsid w:val="00B85F47"/>
    <w:rsid w:val="00B87927"/>
    <w:rsid w:val="00B92619"/>
    <w:rsid w:val="00BA5163"/>
    <w:rsid w:val="00BC7762"/>
    <w:rsid w:val="00BD5650"/>
    <w:rsid w:val="00C104BB"/>
    <w:rsid w:val="00C30297"/>
    <w:rsid w:val="00C54E4E"/>
    <w:rsid w:val="00C663AB"/>
    <w:rsid w:val="00C85314"/>
    <w:rsid w:val="00CA46D6"/>
    <w:rsid w:val="00CA4BC0"/>
    <w:rsid w:val="00CC559D"/>
    <w:rsid w:val="00CD654B"/>
    <w:rsid w:val="00CD6BD4"/>
    <w:rsid w:val="00CE223E"/>
    <w:rsid w:val="00D145F5"/>
    <w:rsid w:val="00D33A19"/>
    <w:rsid w:val="00D355F0"/>
    <w:rsid w:val="00D45AF8"/>
    <w:rsid w:val="00D51C05"/>
    <w:rsid w:val="00D64D11"/>
    <w:rsid w:val="00D83BD9"/>
    <w:rsid w:val="00D95FB9"/>
    <w:rsid w:val="00DA686B"/>
    <w:rsid w:val="00DB7F09"/>
    <w:rsid w:val="00DC00E8"/>
    <w:rsid w:val="00DF0803"/>
    <w:rsid w:val="00E10D39"/>
    <w:rsid w:val="00E1136B"/>
    <w:rsid w:val="00E22D51"/>
    <w:rsid w:val="00E32403"/>
    <w:rsid w:val="00E35FA1"/>
    <w:rsid w:val="00E50E7C"/>
    <w:rsid w:val="00E51545"/>
    <w:rsid w:val="00E55326"/>
    <w:rsid w:val="00E711D7"/>
    <w:rsid w:val="00E902B0"/>
    <w:rsid w:val="00E902E8"/>
    <w:rsid w:val="00EB030F"/>
    <w:rsid w:val="00EC6B16"/>
    <w:rsid w:val="00EE677F"/>
    <w:rsid w:val="00F0082D"/>
    <w:rsid w:val="00F07C90"/>
    <w:rsid w:val="00F20469"/>
    <w:rsid w:val="00F274C2"/>
    <w:rsid w:val="00F34E16"/>
    <w:rsid w:val="00F4039A"/>
    <w:rsid w:val="00F61281"/>
    <w:rsid w:val="00F66B9F"/>
    <w:rsid w:val="00F70BC6"/>
    <w:rsid w:val="00F71A0E"/>
    <w:rsid w:val="00F92279"/>
    <w:rsid w:val="00FB64AA"/>
    <w:rsid w:val="00FC6AD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389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basedOn w:val="Normal"/>
    <w:rsid w:val="000E0B74"/>
    <w:pPr>
      <w:numPr>
        <w:numId w:val="1"/>
      </w:numPr>
      <w:spacing w:before="0"/>
      <w:ind w:left="284" w:hanging="284"/>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link w:val="OutlineNumbered1Char"/>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OutlineNumbered1Char">
    <w:name w:val="Outline Numbered 1 Char"/>
    <w:basedOn w:val="DefaultParagraphFont"/>
    <w:link w:val="OutlineNumbered1"/>
    <w:rsid w:val="00F34E16"/>
    <w:rPr>
      <w:rFonts w:ascii="Calibri" w:eastAsia="Times New Roman" w:hAnsi="Calibri" w:cs="Times New Roman"/>
      <w:szCs w:val="20"/>
      <w:lang w:eastAsia="en-AU"/>
    </w:rPr>
  </w:style>
  <w:style w:type="paragraph" w:styleId="ListParagraph">
    <w:name w:val="List Paragraph"/>
    <w:basedOn w:val="Normal"/>
    <w:uiPriority w:val="34"/>
    <w:qFormat/>
    <w:rsid w:val="00F34E16"/>
    <w:pPr>
      <w:spacing w:before="0" w:after="200" w:line="276" w:lineRule="auto"/>
      <w:ind w:left="720"/>
      <w:contextualSpacing/>
    </w:pPr>
    <w:rPr>
      <w:rFonts w:asciiTheme="minorHAnsi" w:eastAsiaTheme="minorHAnsi" w:hAnsiTheme="minorHAnsi" w:cstheme="minorBidi"/>
      <w:szCs w:val="22"/>
      <w:lang w:eastAsia="en-US"/>
    </w:rPr>
  </w:style>
  <w:style w:type="character" w:styleId="CommentReference">
    <w:name w:val="annotation reference"/>
    <w:basedOn w:val="DefaultParagraphFont"/>
    <w:uiPriority w:val="99"/>
    <w:semiHidden/>
    <w:unhideWhenUsed/>
    <w:rsid w:val="009C59EC"/>
    <w:rPr>
      <w:sz w:val="16"/>
      <w:szCs w:val="16"/>
    </w:rPr>
  </w:style>
  <w:style w:type="paragraph" w:styleId="CommentText">
    <w:name w:val="annotation text"/>
    <w:basedOn w:val="Normal"/>
    <w:link w:val="CommentTextChar"/>
    <w:uiPriority w:val="99"/>
    <w:unhideWhenUsed/>
    <w:rsid w:val="009C59EC"/>
    <w:rPr>
      <w:sz w:val="20"/>
    </w:rPr>
  </w:style>
  <w:style w:type="character" w:customStyle="1" w:styleId="CommentTextChar">
    <w:name w:val="Comment Text Char"/>
    <w:basedOn w:val="DefaultParagraphFont"/>
    <w:link w:val="CommentText"/>
    <w:uiPriority w:val="99"/>
    <w:rsid w:val="009C59EC"/>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9C59EC"/>
    <w:rPr>
      <w:b/>
      <w:bCs/>
    </w:rPr>
  </w:style>
  <w:style w:type="character" w:customStyle="1" w:styleId="CommentSubjectChar">
    <w:name w:val="Comment Subject Char"/>
    <w:basedOn w:val="CommentTextChar"/>
    <w:link w:val="CommentSubject"/>
    <w:uiPriority w:val="99"/>
    <w:semiHidden/>
    <w:rsid w:val="009C59EC"/>
    <w:rPr>
      <w:rFonts w:ascii="Calibri" w:eastAsia="Times New Roman" w:hAnsi="Calibri" w:cs="Times New Roman"/>
      <w:b/>
      <w:bCs/>
      <w:sz w:val="20"/>
      <w:szCs w:val="20"/>
      <w:lang w:eastAsia="en-AU"/>
    </w:rPr>
  </w:style>
  <w:style w:type="paragraph" w:styleId="Revision">
    <w:name w:val="Revision"/>
    <w:hidden/>
    <w:uiPriority w:val="99"/>
    <w:semiHidden/>
    <w:rsid w:val="00905754"/>
    <w:pPr>
      <w:spacing w:after="0" w:line="240" w:lineRule="auto"/>
    </w:pPr>
    <w:rPr>
      <w:rFonts w:ascii="Calibri" w:eastAsia="Times New Roman" w:hAnsi="Calibri" w:cs="Times New Roman"/>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basedOn w:val="Normal"/>
    <w:rsid w:val="000E0B74"/>
    <w:pPr>
      <w:numPr>
        <w:numId w:val="1"/>
      </w:numPr>
      <w:spacing w:before="0"/>
      <w:ind w:left="284" w:hanging="284"/>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link w:val="OutlineNumbered1Char"/>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OutlineNumbered1Char">
    <w:name w:val="Outline Numbered 1 Char"/>
    <w:basedOn w:val="DefaultParagraphFont"/>
    <w:link w:val="OutlineNumbered1"/>
    <w:rsid w:val="00F34E16"/>
    <w:rPr>
      <w:rFonts w:ascii="Calibri" w:eastAsia="Times New Roman" w:hAnsi="Calibri" w:cs="Times New Roman"/>
      <w:szCs w:val="20"/>
      <w:lang w:eastAsia="en-AU"/>
    </w:rPr>
  </w:style>
  <w:style w:type="paragraph" w:styleId="ListParagraph">
    <w:name w:val="List Paragraph"/>
    <w:basedOn w:val="Normal"/>
    <w:uiPriority w:val="34"/>
    <w:qFormat/>
    <w:rsid w:val="00F34E16"/>
    <w:pPr>
      <w:spacing w:before="0" w:after="200" w:line="276" w:lineRule="auto"/>
      <w:ind w:left="720"/>
      <w:contextualSpacing/>
    </w:pPr>
    <w:rPr>
      <w:rFonts w:asciiTheme="minorHAnsi" w:eastAsiaTheme="minorHAnsi" w:hAnsiTheme="minorHAnsi" w:cstheme="minorBidi"/>
      <w:szCs w:val="22"/>
      <w:lang w:eastAsia="en-US"/>
    </w:rPr>
  </w:style>
  <w:style w:type="character" w:styleId="CommentReference">
    <w:name w:val="annotation reference"/>
    <w:basedOn w:val="DefaultParagraphFont"/>
    <w:uiPriority w:val="99"/>
    <w:semiHidden/>
    <w:unhideWhenUsed/>
    <w:rsid w:val="009C59EC"/>
    <w:rPr>
      <w:sz w:val="16"/>
      <w:szCs w:val="16"/>
    </w:rPr>
  </w:style>
  <w:style w:type="paragraph" w:styleId="CommentText">
    <w:name w:val="annotation text"/>
    <w:basedOn w:val="Normal"/>
    <w:link w:val="CommentTextChar"/>
    <w:uiPriority w:val="99"/>
    <w:unhideWhenUsed/>
    <w:rsid w:val="009C59EC"/>
    <w:rPr>
      <w:sz w:val="20"/>
    </w:rPr>
  </w:style>
  <w:style w:type="character" w:customStyle="1" w:styleId="CommentTextChar">
    <w:name w:val="Comment Text Char"/>
    <w:basedOn w:val="DefaultParagraphFont"/>
    <w:link w:val="CommentText"/>
    <w:uiPriority w:val="99"/>
    <w:rsid w:val="009C59EC"/>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9C59EC"/>
    <w:rPr>
      <w:b/>
      <w:bCs/>
    </w:rPr>
  </w:style>
  <w:style w:type="character" w:customStyle="1" w:styleId="CommentSubjectChar">
    <w:name w:val="Comment Subject Char"/>
    <w:basedOn w:val="CommentTextChar"/>
    <w:link w:val="CommentSubject"/>
    <w:uiPriority w:val="99"/>
    <w:semiHidden/>
    <w:rsid w:val="009C59EC"/>
    <w:rPr>
      <w:rFonts w:ascii="Calibri" w:eastAsia="Times New Roman" w:hAnsi="Calibri" w:cs="Times New Roman"/>
      <w:b/>
      <w:bCs/>
      <w:sz w:val="20"/>
      <w:szCs w:val="20"/>
      <w:lang w:eastAsia="en-AU"/>
    </w:rPr>
  </w:style>
  <w:style w:type="paragraph" w:styleId="Revision">
    <w:name w:val="Revision"/>
    <w:hidden/>
    <w:uiPriority w:val="99"/>
    <w:semiHidden/>
    <w:rsid w:val="00905754"/>
    <w:pPr>
      <w:spacing w:after="0" w:line="240" w:lineRule="auto"/>
    </w:pPr>
    <w:rPr>
      <w:rFonts w:ascii="Calibri" w:eastAsia="Times New Roman" w:hAnsi="Calibri"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59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creativecommons.org/licenses/by/3.0/au/legalcode" TargetMode="Externa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hyperlink" Target="http://www.itsanhonour.gov.au"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medialiaison@treasury.gov.au" TargetMode="External"/><Relationship Id="rId32" Type="http://schemas.openxmlformats.org/officeDocument/2006/relationships/glossaryDocument" Target="glossary/document.xml"/><Relationship Id="rId37"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28" Type="http://schemas.openxmlformats.org/officeDocument/2006/relationships/footer" Target="footer4.xml"/><Relationship Id="rId36" Type="http://schemas.microsoft.com/office/2016/09/relationships/commentsIds" Target="commentsIds.xml"/><Relationship Id="rId10" Type="http://schemas.openxmlformats.org/officeDocument/2006/relationships/settings" Target="settings.xml"/><Relationship Id="rId19" Type="http://schemas.openxmlformats.org/officeDocument/2006/relationships/hyperlink" Target="http://creativecommons.org/licenses/by/3.0/au/deed.e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footer" Target="footer3.xml"/><Relationship Id="rId30" Type="http://schemas.openxmlformats.org/officeDocument/2006/relationships/footer" Target="footer5.xml"/><Relationship Id="rId35"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19E636674B4106B6C3FE17D61FECED"/>
        <w:category>
          <w:name w:val="General"/>
          <w:gallery w:val="placeholder"/>
        </w:category>
        <w:types>
          <w:type w:val="bbPlcHdr"/>
        </w:types>
        <w:behaviors>
          <w:behavior w:val="content"/>
        </w:behaviors>
        <w:guid w:val="{992B57B9-B78A-4782-9E10-8F271CA07F05}"/>
      </w:docPartPr>
      <w:docPartBody>
        <w:p w14:paraId="77FE35EC" w14:textId="77777777" w:rsidR="00720064" w:rsidRDefault="00460F63" w:rsidP="00460F63">
          <w:pPr>
            <w:pStyle w:val="D119E636674B4106B6C3FE17D61FECED"/>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altName w:val="Lucida Fax"/>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13F"/>
    <w:rsid w:val="000417F2"/>
    <w:rsid w:val="00157605"/>
    <w:rsid w:val="00460F63"/>
    <w:rsid w:val="00662C6A"/>
    <w:rsid w:val="00720064"/>
    <w:rsid w:val="0090713F"/>
    <w:rsid w:val="00AA6D81"/>
    <w:rsid w:val="00D36697"/>
    <w:rsid w:val="00F05FE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7FE35E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2A76CDDA444D04AD304B556A7250C4">
    <w:name w:val="B82A76CDDA444D04AD304B556A7250C4"/>
  </w:style>
  <w:style w:type="character" w:styleId="PlaceholderText">
    <w:name w:val="Placeholder Text"/>
    <w:basedOn w:val="DefaultParagraphFont"/>
    <w:uiPriority w:val="99"/>
    <w:semiHidden/>
    <w:rsid w:val="00460F63"/>
    <w:rPr>
      <w:color w:val="808080"/>
    </w:rPr>
  </w:style>
  <w:style w:type="paragraph" w:customStyle="1" w:styleId="964B38841D244F98AA3D52FBD5EC7643">
    <w:name w:val="964B38841D244F98AA3D52FBD5EC7643"/>
  </w:style>
  <w:style w:type="paragraph" w:customStyle="1" w:styleId="D128E9ED594E4D42BBAD664F9275A369">
    <w:name w:val="D128E9ED594E4D42BBAD664F9275A369"/>
  </w:style>
  <w:style w:type="paragraph" w:customStyle="1" w:styleId="5A7CABB7140B4809B46FBDC441ECD1B8">
    <w:name w:val="5A7CABB7140B4809B46FBDC441ECD1B8"/>
    <w:rsid w:val="00460F63"/>
    <w:pPr>
      <w:spacing w:after="160" w:line="259" w:lineRule="auto"/>
    </w:pPr>
  </w:style>
  <w:style w:type="paragraph" w:customStyle="1" w:styleId="EF2A288EBBD7484ABE9DF1911CDCE009">
    <w:name w:val="EF2A288EBBD7484ABE9DF1911CDCE009"/>
    <w:rsid w:val="00460F63"/>
    <w:pPr>
      <w:spacing w:after="160" w:line="259" w:lineRule="auto"/>
    </w:pPr>
  </w:style>
  <w:style w:type="paragraph" w:customStyle="1" w:styleId="D119E636674B4106B6C3FE17D61FECED">
    <w:name w:val="D119E636674B4106B6C3FE17D61FECED"/>
    <w:rsid w:val="00460F63"/>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2A76CDDA444D04AD304B556A7250C4">
    <w:name w:val="B82A76CDDA444D04AD304B556A7250C4"/>
  </w:style>
  <w:style w:type="character" w:styleId="PlaceholderText">
    <w:name w:val="Placeholder Text"/>
    <w:basedOn w:val="DefaultParagraphFont"/>
    <w:uiPriority w:val="99"/>
    <w:semiHidden/>
    <w:rsid w:val="00460F63"/>
    <w:rPr>
      <w:color w:val="808080"/>
    </w:rPr>
  </w:style>
  <w:style w:type="paragraph" w:customStyle="1" w:styleId="964B38841D244F98AA3D52FBD5EC7643">
    <w:name w:val="964B38841D244F98AA3D52FBD5EC7643"/>
  </w:style>
  <w:style w:type="paragraph" w:customStyle="1" w:styleId="D128E9ED594E4D42BBAD664F9275A369">
    <w:name w:val="D128E9ED594E4D42BBAD664F9275A369"/>
  </w:style>
  <w:style w:type="paragraph" w:customStyle="1" w:styleId="5A7CABB7140B4809B46FBDC441ECD1B8">
    <w:name w:val="5A7CABB7140B4809B46FBDC441ECD1B8"/>
    <w:rsid w:val="00460F63"/>
    <w:pPr>
      <w:spacing w:after="160" w:line="259" w:lineRule="auto"/>
    </w:pPr>
  </w:style>
  <w:style w:type="paragraph" w:customStyle="1" w:styleId="EF2A288EBBD7484ABE9DF1911CDCE009">
    <w:name w:val="EF2A288EBBD7484ABE9DF1911CDCE009"/>
    <w:rsid w:val="00460F63"/>
    <w:pPr>
      <w:spacing w:after="160" w:line="259" w:lineRule="auto"/>
    </w:pPr>
  </w:style>
  <w:style w:type="paragraph" w:customStyle="1" w:styleId="D119E636674B4106B6C3FE17D61FECED">
    <w:name w:val="D119E636674B4106B6C3FE17D61FECED"/>
    <w:rsid w:val="00460F6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178ACB32DF169409130AAE1FDE802F9" ma:contentTypeVersion="7717" ma:contentTypeDescription="" ma:contentTypeScope="" ma:versionID="eac0d8dbfe0cf9e012f3eee2f987a13b">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d46b578890d4b7cd4d96f915eab84dfe"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9f7bc583-7cbe-45b9-a2bd-8bbb6543b37e">
      <Value>59</Value>
    </TaxCatchAll>
    <_dlc_DocId xmlns="9f7bc583-7cbe-45b9-a2bd-8bbb6543b37e">2017RG-386-493</_dlc_DocId>
    <_dlc_DocIdUrl xmlns="9f7bc583-7cbe-45b9-a2bd-8bbb6543b37e">
      <Url>http://tweb/sites/rg/iitd/nfp/_layouts/15/DocIdRedir.aspx?ID=2017RG-386-493</Url>
      <Description>2017RG-386-493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928DE-CCAA-4AA0-958D-A5DBE88EE007}">
  <ds:schemaRefs>
    <ds:schemaRef ds:uri="http://schemas.microsoft.com/sharepoint/events"/>
  </ds:schemaRefs>
</ds:datastoreItem>
</file>

<file path=customXml/itemProps2.xml><?xml version="1.0" encoding="utf-8"?>
<ds:datastoreItem xmlns:ds="http://schemas.openxmlformats.org/officeDocument/2006/customXml" ds:itemID="{5BD87CD8-87FA-41DF-A81D-622585763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7E1D26-2BA7-4D60-AF34-DFB8D1658106}">
  <ds:schemaRefs>
    <ds:schemaRef ds:uri="http://purl.org/dc/dcmitype/"/>
    <ds:schemaRef ds:uri="http://www.w3.org/XML/1998/namespace"/>
    <ds:schemaRef ds:uri="http://purl.org/dc/elements/1.1/"/>
    <ds:schemaRef ds:uri="9f7bc583-7cbe-45b9-a2bd-8bbb6543b37e"/>
    <ds:schemaRef ds:uri="http://schemas.microsoft.com/sharepoint/v3"/>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schemas.microsoft.com/sharepoint/v4"/>
  </ds:schemaRefs>
</ds:datastoreItem>
</file>

<file path=customXml/itemProps4.xml><?xml version="1.0" encoding="utf-8"?>
<ds:datastoreItem xmlns:ds="http://schemas.openxmlformats.org/officeDocument/2006/customXml" ds:itemID="{C82526FB-A59A-412F-80B1-C030850112B7}">
  <ds:schemaRefs>
    <ds:schemaRef ds:uri="http://schemas.microsoft.com/sharepoint/v3/contenttype/forms"/>
  </ds:schemaRefs>
</ds:datastoreItem>
</file>

<file path=customXml/itemProps5.xml><?xml version="1.0" encoding="utf-8"?>
<ds:datastoreItem xmlns:ds="http://schemas.openxmlformats.org/officeDocument/2006/customXml" ds:itemID="{51CD71D1-C790-476E-B09D-FFB766E6DEF6}">
  <ds:schemaRefs>
    <ds:schemaRef ds:uri="office.server.policy"/>
  </ds:schemaRefs>
</ds:datastoreItem>
</file>

<file path=customXml/itemProps6.xml><?xml version="1.0" encoding="utf-8"?>
<ds:datastoreItem xmlns:ds="http://schemas.openxmlformats.org/officeDocument/2006/customXml" ds:itemID="{AA4F89C1-0B82-4262-9A4C-314AA0097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25</TotalTime>
  <Pages>4</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Gillott, Ross</dc:creator>
  <cp:lastModifiedBy>Gillott, Ross</cp:lastModifiedBy>
  <cp:revision>4</cp:revision>
  <cp:lastPrinted>2017-12-07T22:52:00Z</cp:lastPrinted>
  <dcterms:created xsi:type="dcterms:W3CDTF">2017-12-17T21:46:00Z</dcterms:created>
  <dcterms:modified xsi:type="dcterms:W3CDTF">2017-12-18T22:11:00Z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0x01010036BB8DE7EC542E42A8B2E98CC20CB69700A178ACB32DF169409130AAE1FDE802F9</vt:lpwstr>
  </property>
  <property fmtid="{D5CDD505-2E9C-101B-9397-08002B2CF9AE}" pid="3" name="RecordPoint_ActiveItemUniqueId">
    <vt:lpwstr>{d2d4b1ea-15bc-4b44-90b3-b439e90ad3a0}</vt:lpwstr>
  </property>
  <property fmtid="{D5CDD505-2E9C-101B-9397-08002B2CF9AE}" pid="4" name="RecordPoint_SubmissionCompleted">
    <vt:lpwstr>2017-12-19T09:21:18.4880187+11:00</vt:lpwstr>
  </property>
  <property fmtid="{D5CDD505-2E9C-101B-9397-08002B2CF9AE}" pid="5" name="TSYRecordClass">
    <vt:lpwstr>59;#TSY RA-9278 - Destroy 30 years after action completed|c086dcfc-5e12-4afb-9fc8-394791410cc9</vt:lpwstr>
  </property>
  <property fmtid="{D5CDD505-2E9C-101B-9397-08002B2CF9AE}" pid="6" name="RecordPoint_WorkflowType">
    <vt:lpwstr>ActiveSubmitStub</vt:lpwstr>
  </property>
  <property fmtid="{D5CDD505-2E9C-101B-9397-08002B2CF9AE}" pid="7" name="_dlc_DocIdItemGuid">
    <vt:lpwstr>d2d4b1ea-15bc-4b44-90b3-b439e90ad3a0</vt:lpwstr>
  </property>
  <property fmtid="{D5CDD505-2E9C-101B-9397-08002B2CF9AE}" pid="8" name="RecordPoint_RecordNumberSubmitted">
    <vt:lpwstr>R0001536031</vt:lpwstr>
  </property>
  <property fmtid="{D5CDD505-2E9C-101B-9397-08002B2CF9AE}" pid="9" name="RecordPoint_ActiveItemSiteId">
    <vt:lpwstr>{5b52b9a5-e5b2-4521-8814-a1e24ca2869d}</vt:lpwstr>
  </property>
  <property fmtid="{D5CDD505-2E9C-101B-9397-08002B2CF9AE}" pid="10" name="RecordPoint_ActiveItemListId">
    <vt:lpwstr>{43cd895b-2896-487d-a040-964c8c045b5b}</vt:lpwstr>
  </property>
  <property fmtid="{D5CDD505-2E9C-101B-9397-08002B2CF9AE}" pid="11" name="RecordPoint_ActiveItemWebId">
    <vt:lpwstr>{1b33c829-69c2-44af-beb7-dbda9aa353ae}</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_NewReviewCycle">
    <vt:lpwstr/>
  </property>
  <property fmtid="{D5CDD505-2E9C-101B-9397-08002B2CF9AE}" pid="16" name="_AdHocReviewCycleID">
    <vt:i4>-331718214</vt:i4>
  </property>
  <property fmtid="{D5CDD505-2E9C-101B-9397-08002B2CF9AE}" pid="17" name="_EmailSubject">
    <vt:lpwstr>Update - Consultation &amp; Discussions Papers Request #S59221 [SEC=UNCLASSIFIED]</vt:lpwstr>
  </property>
  <property fmtid="{D5CDD505-2E9C-101B-9397-08002B2CF9AE}" pid="18" name="_AuthorEmail">
    <vt:lpwstr>Ross.Gillott@TREASURY.GOV.AU</vt:lpwstr>
  </property>
  <property fmtid="{D5CDD505-2E9C-101B-9397-08002B2CF9AE}" pid="19" name="_AuthorEmailDisplayName">
    <vt:lpwstr>Gillott, Ross</vt:lpwstr>
  </property>
</Properties>
</file>