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4792" w14:textId="77777777" w:rsidR="00FC48FD" w:rsidRDefault="00FC48FD" w:rsidP="002576C7">
      <w:pPr>
        <w:pStyle w:val="Baseparagraphcentred"/>
      </w:pPr>
    </w:p>
    <w:p w14:paraId="5FF119C9" w14:textId="77777777" w:rsidR="00905066" w:rsidRDefault="00905066" w:rsidP="002576C7">
      <w:pPr>
        <w:pStyle w:val="Baseparagraphcentred"/>
      </w:pPr>
    </w:p>
    <w:p w14:paraId="1D954798" w14:textId="77777777" w:rsidR="00FC48FD" w:rsidRDefault="00FC48FD" w:rsidP="00D76047"/>
    <w:p w14:paraId="1D954799" w14:textId="77777777" w:rsidR="00FC48FD" w:rsidRDefault="00FC48FD" w:rsidP="002576C7">
      <w:pPr>
        <w:pStyle w:val="Baseparagraphcentred"/>
      </w:pPr>
    </w:p>
    <w:p w14:paraId="1D95479A" w14:textId="77777777" w:rsidR="00FC48FD" w:rsidRDefault="00FC48FD" w:rsidP="002576C7">
      <w:pPr>
        <w:pStyle w:val="Baseparagraphcentred"/>
      </w:pPr>
    </w:p>
    <w:p w14:paraId="1D95479B" w14:textId="0049FCEC" w:rsidR="00FC48FD" w:rsidRPr="00E729C1" w:rsidRDefault="001202F1" w:rsidP="002576C7">
      <w:pPr>
        <w:pStyle w:val="BillName"/>
        <w:rPr>
          <w:sz w:val="32"/>
        </w:rPr>
      </w:pPr>
      <w:r w:rsidRPr="00E729C1">
        <w:rPr>
          <w:sz w:val="32"/>
        </w:rPr>
        <w:t xml:space="preserve">Treasury Laws amendment (2017 Measures No. </w:t>
      </w:r>
      <w:r w:rsidR="00D90E97" w:rsidRPr="00E729C1">
        <w:rPr>
          <w:sz w:val="32"/>
        </w:rPr>
        <w:t>#</w:t>
      </w:r>
      <w:r w:rsidRPr="00E729C1">
        <w:rPr>
          <w:sz w:val="32"/>
        </w:rPr>
        <w:t>) Bill 2017</w:t>
      </w:r>
    </w:p>
    <w:p w14:paraId="1D95479C" w14:textId="77777777" w:rsidR="00FC48FD" w:rsidRDefault="00FC48FD" w:rsidP="002576C7">
      <w:pPr>
        <w:pStyle w:val="Baseparagraphcentred"/>
      </w:pPr>
    </w:p>
    <w:p w14:paraId="1D95479D" w14:textId="77777777" w:rsidR="00FC48FD" w:rsidRDefault="00FC48FD" w:rsidP="002576C7">
      <w:pPr>
        <w:pStyle w:val="Baseparagraphcentred"/>
      </w:pPr>
    </w:p>
    <w:p w14:paraId="1D95479E" w14:textId="77777777" w:rsidR="00FC48FD" w:rsidRDefault="00FC48FD" w:rsidP="002576C7">
      <w:pPr>
        <w:pStyle w:val="Baseparagraphcentred"/>
      </w:pPr>
    </w:p>
    <w:p w14:paraId="1D95479F" w14:textId="77777777" w:rsidR="00FC48FD" w:rsidRDefault="00FC48FD" w:rsidP="002576C7">
      <w:pPr>
        <w:pStyle w:val="Baseparagraphcentred"/>
      </w:pPr>
    </w:p>
    <w:p w14:paraId="6D9E3E04" w14:textId="77777777" w:rsidR="00D76047" w:rsidRPr="00E729C1" w:rsidRDefault="00D76047" w:rsidP="002576C7">
      <w:pPr>
        <w:pStyle w:val="Baseparagraphcentred"/>
        <w:rPr>
          <w:sz w:val="32"/>
        </w:rPr>
      </w:pPr>
      <w:r w:rsidRPr="00E729C1">
        <w:rPr>
          <w:sz w:val="32"/>
        </w:rPr>
        <w:t xml:space="preserve">EXPOSURE DRAFT </w:t>
      </w:r>
    </w:p>
    <w:p w14:paraId="1D9547A0" w14:textId="6ABDFFF5" w:rsidR="00FC48FD" w:rsidRPr="00E729C1" w:rsidRDefault="00FC48FD" w:rsidP="002576C7">
      <w:pPr>
        <w:pStyle w:val="Baseparagraphcentred"/>
        <w:rPr>
          <w:sz w:val="32"/>
        </w:rPr>
      </w:pPr>
      <w:r w:rsidRPr="00E729C1">
        <w:rPr>
          <w:sz w:val="32"/>
        </w:rPr>
        <w:t>EXPLANATORY MEMORANDUM</w:t>
      </w:r>
    </w:p>
    <w:p w14:paraId="1D9547A1" w14:textId="77777777" w:rsidR="00FC48FD" w:rsidRDefault="00FC48FD" w:rsidP="002576C7">
      <w:pPr>
        <w:pStyle w:val="Baseparagraphcentred"/>
      </w:pPr>
    </w:p>
    <w:p w14:paraId="1D9547A2" w14:textId="77777777" w:rsidR="00FC48FD" w:rsidRDefault="00FC48FD" w:rsidP="002576C7">
      <w:pPr>
        <w:pStyle w:val="Baseparagraphcentred"/>
      </w:pPr>
    </w:p>
    <w:p w14:paraId="1D9547A3" w14:textId="77777777" w:rsidR="00FC48FD" w:rsidRDefault="00FC48FD" w:rsidP="002576C7">
      <w:pPr>
        <w:pStyle w:val="Baseparagraphcentred"/>
      </w:pPr>
    </w:p>
    <w:p w14:paraId="1D9547A4" w14:textId="77777777" w:rsidR="00FC48FD" w:rsidRPr="00FC42BC" w:rsidRDefault="00FC48FD"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1D9547A6" w14:textId="4C043C5B" w:rsidR="00FC48FD" w:rsidRDefault="00FC48FD" w:rsidP="0072435A">
      <w:pPr>
        <w:pStyle w:val="Baseparagraphcentred"/>
        <w:sectPr w:rsidR="00FC48FD" w:rsidSect="001E0677">
          <w:headerReference w:type="even" r:id="rId14"/>
          <w:headerReference w:type="default" r:id="rId15"/>
          <w:footerReference w:type="even" r:id="rId16"/>
          <w:footerReference w:type="default" r:id="rId17"/>
          <w:type w:val="oddPage"/>
          <w:pgSz w:w="11906" w:h="16838" w:code="9"/>
          <w:pgMar w:top="2466" w:right="2098" w:bottom="2466" w:left="2098" w:header="1559" w:footer="1899" w:gutter="0"/>
          <w:cols w:space="708"/>
          <w:titlePg/>
          <w:docGrid w:linePitch="360"/>
        </w:sectPr>
      </w:pPr>
      <w:r>
        <w:br/>
      </w:r>
    </w:p>
    <w:p w14:paraId="1D9547A7" w14:textId="77777777" w:rsidR="00FC48FD" w:rsidRPr="003E0794" w:rsidRDefault="00FC48FD" w:rsidP="002576C7">
      <w:pPr>
        <w:pStyle w:val="TOCHeading"/>
      </w:pPr>
      <w:r w:rsidRPr="003E0794">
        <w:lastRenderedPageBreak/>
        <w:t>Table of contents</w:t>
      </w:r>
    </w:p>
    <w:p w14:paraId="1CFCF849" w14:textId="77777777" w:rsidR="00657E3C" w:rsidRDefault="00A047BC">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657E3C">
        <w:t>Glossary</w:t>
      </w:r>
      <w:r w:rsidR="00657E3C">
        <w:tab/>
      </w:r>
      <w:r w:rsidR="00657E3C">
        <w:fldChar w:fldCharType="begin"/>
      </w:r>
      <w:r w:rsidR="00657E3C">
        <w:instrText xml:space="preserve"> PAGEREF _Toc496012018 \h </w:instrText>
      </w:r>
      <w:r w:rsidR="00657E3C">
        <w:fldChar w:fldCharType="separate"/>
      </w:r>
      <w:r w:rsidR="00657E3C">
        <w:t>5</w:t>
      </w:r>
      <w:r w:rsidR="00657E3C">
        <w:fldChar w:fldCharType="end"/>
      </w:r>
    </w:p>
    <w:p w14:paraId="2FCDBF5E" w14:textId="2167533A" w:rsidR="00657E3C" w:rsidRDefault="00657E3C">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Regulatory sandbox to test financial</w:t>
      </w:r>
      <w:r w:rsidR="001C31CF">
        <w:rPr>
          <w:noProof/>
        </w:rPr>
        <w:t xml:space="preserve"> and credit</w:t>
      </w:r>
      <w:r>
        <w:rPr>
          <w:noProof/>
        </w:rPr>
        <w:t xml:space="preserve"> services and </w:t>
      </w:r>
      <w:r w:rsidR="001C31CF">
        <w:rPr>
          <w:noProof/>
        </w:rPr>
        <w:t>products</w:t>
      </w:r>
      <w:r>
        <w:rPr>
          <w:noProof/>
        </w:rPr>
        <w:tab/>
      </w:r>
      <w:r>
        <w:rPr>
          <w:noProof/>
        </w:rPr>
        <w:fldChar w:fldCharType="begin"/>
      </w:r>
      <w:r>
        <w:rPr>
          <w:noProof/>
        </w:rPr>
        <w:instrText xml:space="preserve"> PAGEREF _Toc496012019 \h </w:instrText>
      </w:r>
      <w:r>
        <w:rPr>
          <w:noProof/>
        </w:rPr>
      </w:r>
      <w:r>
        <w:rPr>
          <w:noProof/>
        </w:rPr>
        <w:fldChar w:fldCharType="separate"/>
      </w:r>
      <w:r>
        <w:rPr>
          <w:noProof/>
        </w:rPr>
        <w:t>7</w:t>
      </w:r>
      <w:r>
        <w:rPr>
          <w:noProof/>
        </w:rPr>
        <w:fldChar w:fldCharType="end"/>
      </w:r>
    </w:p>
    <w:p w14:paraId="1D9547A8" w14:textId="77777777" w:rsidR="00FC48FD" w:rsidRDefault="00A047BC" w:rsidP="002576C7">
      <w:pPr>
        <w:pStyle w:val="base-text-paragraphnonumbers"/>
      </w:pPr>
      <w:r>
        <w:rPr>
          <w:b/>
          <w:bCs/>
          <w:noProof/>
          <w:lang w:val="en-US"/>
        </w:rPr>
        <w:fldChar w:fldCharType="end"/>
      </w:r>
    </w:p>
    <w:p w14:paraId="1D9547A9" w14:textId="0D98A914" w:rsidR="00FC48FD" w:rsidRDefault="00FC48FD" w:rsidP="002576C7">
      <w:pPr>
        <w:pStyle w:val="Hiddentext"/>
      </w:pPr>
      <w:r>
        <w:t>Do not remove section break.</w:t>
      </w:r>
    </w:p>
    <w:p w14:paraId="1D9547AA" w14:textId="77777777" w:rsidR="00FC48FD" w:rsidRDefault="00FC48FD" w:rsidP="002576C7">
      <w:pPr>
        <w:pStyle w:val="base-text-paragraphnonumbers"/>
        <w:sectPr w:rsidR="00FC48FD" w:rsidSect="001E0677">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14:paraId="1D9547AB" w14:textId="77777777" w:rsidR="00FC48FD" w:rsidRPr="00A03E30" w:rsidRDefault="00FC48FD" w:rsidP="002576C7"/>
    <w:p w14:paraId="1D9547AC" w14:textId="77777777" w:rsidR="00FC48FD" w:rsidRPr="00D67ADC" w:rsidRDefault="00FC48FD" w:rsidP="001E0677">
      <w:pPr>
        <w:pStyle w:val="Chapterheadingsubdocument"/>
      </w:pPr>
      <w:bookmarkStart w:id="0" w:name="_Toc495584657"/>
      <w:bookmarkStart w:id="1" w:name="_Toc495592880"/>
      <w:bookmarkStart w:id="2" w:name="_Toc496012018"/>
      <w:r w:rsidRPr="00D67ADC">
        <w:t>Glossary</w:t>
      </w:r>
      <w:bookmarkEnd w:id="0"/>
      <w:bookmarkEnd w:id="1"/>
      <w:bookmarkEnd w:id="2"/>
    </w:p>
    <w:p w14:paraId="1D9547AD" w14:textId="77777777" w:rsidR="00FC48FD" w:rsidRDefault="00FC48FD" w:rsidP="001E0677">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FC48FD" w:rsidRPr="00123D96" w14:paraId="1D9547B0" w14:textId="77777777" w:rsidTr="001E0677">
        <w:tc>
          <w:tcPr>
            <w:tcW w:w="2721" w:type="dxa"/>
          </w:tcPr>
          <w:p w14:paraId="1D9547AE" w14:textId="77777777" w:rsidR="00FC48FD" w:rsidRPr="00123D96" w:rsidRDefault="00FC48FD" w:rsidP="001E0677">
            <w:pPr>
              <w:pStyle w:val="tableheaderwithintable"/>
            </w:pPr>
            <w:r w:rsidRPr="00123D96">
              <w:t>Abbreviation</w:t>
            </w:r>
          </w:p>
        </w:tc>
        <w:tc>
          <w:tcPr>
            <w:tcW w:w="3885" w:type="dxa"/>
          </w:tcPr>
          <w:p w14:paraId="1D9547AF" w14:textId="77777777" w:rsidR="00FC48FD" w:rsidRPr="00123D96" w:rsidRDefault="00FC48FD" w:rsidP="001E0677">
            <w:pPr>
              <w:pStyle w:val="tableheaderwithintable"/>
            </w:pPr>
            <w:r w:rsidRPr="00123D96">
              <w:t>Definition</w:t>
            </w:r>
          </w:p>
        </w:tc>
      </w:tr>
      <w:tr w:rsidR="002D2EC7" w:rsidRPr="002C43E8" w14:paraId="5DC7BE39" w14:textId="77777777" w:rsidTr="001E0677">
        <w:tc>
          <w:tcPr>
            <w:tcW w:w="2721" w:type="dxa"/>
          </w:tcPr>
          <w:p w14:paraId="4E78B6C9" w14:textId="397F42BC" w:rsidR="002D2EC7" w:rsidRDefault="002D2EC7" w:rsidP="001E0677">
            <w:pPr>
              <w:pStyle w:val="Glossarytabletext"/>
              <w:rPr>
                <w:lang w:val="en-US" w:eastAsia="en-US"/>
              </w:rPr>
            </w:pPr>
            <w:r>
              <w:rPr>
                <w:lang w:val="en-US" w:eastAsia="en-US"/>
              </w:rPr>
              <w:t>AAT</w:t>
            </w:r>
          </w:p>
        </w:tc>
        <w:tc>
          <w:tcPr>
            <w:tcW w:w="3885" w:type="dxa"/>
          </w:tcPr>
          <w:p w14:paraId="080909C0" w14:textId="2B05BBE9" w:rsidR="002D2EC7" w:rsidRDefault="002D2EC7" w:rsidP="001E0677">
            <w:pPr>
              <w:pStyle w:val="Glossarytabletext"/>
              <w:rPr>
                <w:lang w:val="en-US" w:eastAsia="en-US"/>
              </w:rPr>
            </w:pPr>
            <w:r>
              <w:t>Administrative Appeals Tribunal</w:t>
            </w:r>
          </w:p>
        </w:tc>
      </w:tr>
      <w:tr w:rsidR="00714AA9" w:rsidRPr="002C43E8" w14:paraId="123D5C73" w14:textId="77777777" w:rsidTr="001E0677">
        <w:tc>
          <w:tcPr>
            <w:tcW w:w="2721" w:type="dxa"/>
          </w:tcPr>
          <w:p w14:paraId="2FE273B9" w14:textId="1E93EA4B" w:rsidR="00714AA9" w:rsidRDefault="00714AA9" w:rsidP="001E0677">
            <w:pPr>
              <w:pStyle w:val="Glossarytabletext"/>
              <w:rPr>
                <w:lang w:val="en-US" w:eastAsia="en-US"/>
              </w:rPr>
            </w:pPr>
            <w:r>
              <w:rPr>
                <w:lang w:val="en-US" w:eastAsia="en-US"/>
              </w:rPr>
              <w:t>AFSL</w:t>
            </w:r>
          </w:p>
        </w:tc>
        <w:tc>
          <w:tcPr>
            <w:tcW w:w="3885" w:type="dxa"/>
          </w:tcPr>
          <w:p w14:paraId="1D7E52DB" w14:textId="262CC525" w:rsidR="00714AA9" w:rsidRDefault="00714AA9" w:rsidP="001E0677">
            <w:pPr>
              <w:pStyle w:val="Glossarytabletext"/>
              <w:rPr>
                <w:lang w:val="en-US" w:eastAsia="en-US"/>
              </w:rPr>
            </w:pPr>
            <w:r>
              <w:t>Australian Financial Services Licence</w:t>
            </w:r>
          </w:p>
        </w:tc>
      </w:tr>
      <w:tr w:rsidR="00714AA9" w:rsidRPr="002C43E8" w14:paraId="75E5E311" w14:textId="77777777" w:rsidTr="001E0677">
        <w:tc>
          <w:tcPr>
            <w:tcW w:w="2721" w:type="dxa"/>
          </w:tcPr>
          <w:p w14:paraId="571066CA" w14:textId="4BE1880A" w:rsidR="00714AA9" w:rsidRDefault="00714AA9" w:rsidP="001E0677">
            <w:pPr>
              <w:pStyle w:val="Glossarytabletext"/>
              <w:rPr>
                <w:lang w:val="en-US" w:eastAsia="en-US"/>
              </w:rPr>
            </w:pPr>
            <w:r>
              <w:rPr>
                <w:lang w:val="en-US" w:eastAsia="en-US"/>
              </w:rPr>
              <w:t>ACL</w:t>
            </w:r>
          </w:p>
        </w:tc>
        <w:tc>
          <w:tcPr>
            <w:tcW w:w="3885" w:type="dxa"/>
          </w:tcPr>
          <w:p w14:paraId="2B444A5F" w14:textId="2DA2714E" w:rsidR="00714AA9" w:rsidRDefault="00714AA9" w:rsidP="001E0677">
            <w:pPr>
              <w:pStyle w:val="Glossarytabletext"/>
              <w:rPr>
                <w:lang w:val="en-US" w:eastAsia="en-US"/>
              </w:rPr>
            </w:pPr>
            <w:r>
              <w:t xml:space="preserve">Australian Credit Licence </w:t>
            </w:r>
          </w:p>
        </w:tc>
      </w:tr>
      <w:tr w:rsidR="00714AA9" w:rsidRPr="002C43E8" w14:paraId="1D9547B3" w14:textId="77777777" w:rsidTr="001E0677">
        <w:tc>
          <w:tcPr>
            <w:tcW w:w="2721" w:type="dxa"/>
          </w:tcPr>
          <w:p w14:paraId="1D9547B1" w14:textId="77777777" w:rsidR="00714AA9" w:rsidRPr="002C43E8" w:rsidRDefault="00714AA9" w:rsidP="001E0677">
            <w:pPr>
              <w:pStyle w:val="Glossarytabletext"/>
              <w:rPr>
                <w:lang w:val="en-US" w:eastAsia="en-US"/>
              </w:rPr>
            </w:pPr>
            <w:r>
              <w:rPr>
                <w:lang w:val="en-US" w:eastAsia="en-US"/>
              </w:rPr>
              <w:t>ASIC</w:t>
            </w:r>
          </w:p>
        </w:tc>
        <w:tc>
          <w:tcPr>
            <w:tcW w:w="3885" w:type="dxa"/>
          </w:tcPr>
          <w:p w14:paraId="1D9547B2" w14:textId="77777777" w:rsidR="00714AA9" w:rsidRPr="002C43E8" w:rsidRDefault="00714AA9" w:rsidP="001E0677">
            <w:pPr>
              <w:pStyle w:val="Glossarytabletext"/>
              <w:rPr>
                <w:lang w:val="en-US" w:eastAsia="en-US"/>
              </w:rPr>
            </w:pPr>
            <w:r>
              <w:rPr>
                <w:lang w:val="en-US" w:eastAsia="en-US"/>
              </w:rPr>
              <w:t xml:space="preserve">Australian Securities and Investments Commission </w:t>
            </w:r>
          </w:p>
        </w:tc>
      </w:tr>
      <w:tr w:rsidR="00714AA9" w:rsidRPr="002C43E8" w14:paraId="1D9547B6" w14:textId="77777777" w:rsidTr="001E0677">
        <w:tc>
          <w:tcPr>
            <w:tcW w:w="2721" w:type="dxa"/>
          </w:tcPr>
          <w:p w14:paraId="1D9547B4" w14:textId="77777777" w:rsidR="00714AA9" w:rsidRPr="002C43E8" w:rsidRDefault="00714AA9" w:rsidP="001E0677">
            <w:pPr>
              <w:pStyle w:val="Glossarytabletext"/>
              <w:rPr>
                <w:lang w:val="en-US" w:eastAsia="en-US"/>
              </w:rPr>
            </w:pPr>
            <w:r>
              <w:rPr>
                <w:lang w:val="en-US" w:eastAsia="en-US"/>
              </w:rPr>
              <w:t>Corporations Act</w:t>
            </w:r>
          </w:p>
        </w:tc>
        <w:tc>
          <w:tcPr>
            <w:tcW w:w="3885" w:type="dxa"/>
          </w:tcPr>
          <w:p w14:paraId="1D9547B5" w14:textId="77777777" w:rsidR="00714AA9" w:rsidRPr="002C43E8" w:rsidRDefault="00714AA9" w:rsidP="001E0677">
            <w:pPr>
              <w:pStyle w:val="Glossarytabletext"/>
              <w:rPr>
                <w:lang w:val="en-US" w:eastAsia="en-US"/>
              </w:rPr>
            </w:pPr>
            <w:r>
              <w:rPr>
                <w:i/>
                <w:lang w:val="en-US" w:eastAsia="en-US"/>
              </w:rPr>
              <w:t>Corporations Act 2001</w:t>
            </w:r>
          </w:p>
        </w:tc>
      </w:tr>
      <w:tr w:rsidR="00714AA9" w:rsidRPr="002C43E8" w14:paraId="1D9547B9" w14:textId="77777777" w:rsidTr="001E0677">
        <w:tc>
          <w:tcPr>
            <w:tcW w:w="2721" w:type="dxa"/>
          </w:tcPr>
          <w:p w14:paraId="1D9547B7" w14:textId="47D374AE" w:rsidR="00714AA9" w:rsidRPr="002C43E8" w:rsidRDefault="00714AA9" w:rsidP="001E0677">
            <w:pPr>
              <w:pStyle w:val="Glossarytabletext"/>
              <w:rPr>
                <w:lang w:val="en-US" w:eastAsia="en-US"/>
              </w:rPr>
            </w:pPr>
            <w:r>
              <w:t>Credit Act</w:t>
            </w:r>
          </w:p>
        </w:tc>
        <w:tc>
          <w:tcPr>
            <w:tcW w:w="3885" w:type="dxa"/>
          </w:tcPr>
          <w:p w14:paraId="1D9547B8" w14:textId="77777777" w:rsidR="00714AA9" w:rsidRPr="002C43E8" w:rsidRDefault="00714AA9" w:rsidP="001E0677">
            <w:pPr>
              <w:pStyle w:val="Glossarytabletext"/>
              <w:rPr>
                <w:lang w:val="en-US" w:eastAsia="en-US"/>
              </w:rPr>
            </w:pPr>
            <w:r w:rsidRPr="000C0062">
              <w:rPr>
                <w:i/>
              </w:rPr>
              <w:t>National Consumer Credit Protection Act 2009</w:t>
            </w:r>
          </w:p>
        </w:tc>
      </w:tr>
    </w:tbl>
    <w:p w14:paraId="1D95480B" w14:textId="77777777" w:rsidR="00FC48FD" w:rsidRDefault="00FC48FD" w:rsidP="001E0677">
      <w:pPr>
        <w:pStyle w:val="Hiddentext"/>
      </w:pPr>
      <w:r>
        <w:t>Do not remove section break.</w:t>
      </w:r>
    </w:p>
    <w:p w14:paraId="1D95480C" w14:textId="77777777" w:rsidR="00FC48FD" w:rsidRDefault="00FC48FD" w:rsidP="001E0677">
      <w:pPr>
        <w:sectPr w:rsidR="00FC48FD" w:rsidSect="001E0677">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cols w:space="708"/>
          <w:titlePg/>
          <w:docGrid w:linePitch="360"/>
        </w:sectPr>
      </w:pPr>
    </w:p>
    <w:p w14:paraId="1D954810" w14:textId="24219123" w:rsidR="00FC48FD" w:rsidRPr="00F51A71" w:rsidRDefault="00FC48FD" w:rsidP="001E0677">
      <w:pPr>
        <w:pStyle w:val="ChapterHeading"/>
        <w:tabs>
          <w:tab w:val="clear" w:pos="1134"/>
          <w:tab w:val="num" w:pos="360"/>
        </w:tabs>
      </w:pPr>
      <w:r w:rsidRPr="00F51A71">
        <w:lastRenderedPageBreak/>
        <w:br/>
      </w:r>
      <w:bookmarkStart w:id="3" w:name="_Toc495584658"/>
      <w:bookmarkStart w:id="4" w:name="_Toc495592881"/>
      <w:bookmarkStart w:id="5" w:name="_Toc496012019"/>
      <w:r w:rsidR="006A45FC">
        <w:t>R</w:t>
      </w:r>
      <w:r w:rsidR="006D1E6E">
        <w:t>egulatory sandbox</w:t>
      </w:r>
      <w:r w:rsidR="006A45FC">
        <w:t xml:space="preserve"> to test financial</w:t>
      </w:r>
      <w:r w:rsidR="0054566A">
        <w:t xml:space="preserve"> </w:t>
      </w:r>
      <w:r w:rsidR="00620D7E">
        <w:t xml:space="preserve">and credit </w:t>
      </w:r>
      <w:r w:rsidR="0054566A">
        <w:t>services</w:t>
      </w:r>
      <w:r w:rsidR="006A45FC">
        <w:t xml:space="preserve"> </w:t>
      </w:r>
      <w:r w:rsidR="00D51B27">
        <w:t>and products</w:t>
      </w:r>
      <w:bookmarkEnd w:id="3"/>
      <w:bookmarkEnd w:id="4"/>
      <w:bookmarkEnd w:id="5"/>
    </w:p>
    <w:p w14:paraId="1D954811" w14:textId="37582B3A" w:rsidR="00FC48FD" w:rsidRDefault="00FC48FD" w:rsidP="001E0677">
      <w:pPr>
        <w:pStyle w:val="Heading2"/>
      </w:pPr>
      <w:r>
        <w:t>Outline of chapter</w:t>
      </w:r>
    </w:p>
    <w:p w14:paraId="1D954812" w14:textId="73B6CEB3" w:rsidR="00FC48FD" w:rsidRDefault="005208F0" w:rsidP="001E0677">
      <w:pPr>
        <w:pStyle w:val="base-text-paragraph"/>
      </w:pPr>
      <w:r w:rsidRPr="0054566A">
        <w:t>Schedule #</w:t>
      </w:r>
      <w:r w:rsidR="001925C6" w:rsidRPr="0054566A">
        <w:t xml:space="preserve"> to</w:t>
      </w:r>
      <w:r w:rsidR="001925C6">
        <w:t xml:space="preserve"> this B</w:t>
      </w:r>
      <w:r w:rsidR="0086643D">
        <w:t>ill</w:t>
      </w:r>
      <w:r>
        <w:t xml:space="preserve"> amends the </w:t>
      </w:r>
      <w:r w:rsidRPr="000C0062">
        <w:rPr>
          <w:i/>
        </w:rPr>
        <w:t>Corporations Act 2001</w:t>
      </w:r>
      <w:r>
        <w:t xml:space="preserve"> </w:t>
      </w:r>
      <w:r w:rsidR="00B31C6D">
        <w:t>(</w:t>
      </w:r>
      <w:r w:rsidR="00D72202">
        <w:t>the ‘</w:t>
      </w:r>
      <w:r w:rsidR="00B31C6D">
        <w:t>Corporations Act</w:t>
      </w:r>
      <w:r w:rsidR="00D72202">
        <w:t>’</w:t>
      </w:r>
      <w:r w:rsidR="00B31C6D">
        <w:t xml:space="preserve">) </w:t>
      </w:r>
      <w:r>
        <w:t xml:space="preserve">and </w:t>
      </w:r>
      <w:r w:rsidRPr="000C0062">
        <w:rPr>
          <w:i/>
        </w:rPr>
        <w:t>National Consumer Credit Protection Act 2009</w:t>
      </w:r>
      <w:r w:rsidR="00B31C6D">
        <w:rPr>
          <w:i/>
        </w:rPr>
        <w:t xml:space="preserve"> </w:t>
      </w:r>
      <w:r w:rsidR="00B31C6D" w:rsidRPr="005A6C2D">
        <w:t>(</w:t>
      </w:r>
      <w:r w:rsidR="00D72202">
        <w:t>the ‘</w:t>
      </w:r>
      <w:r w:rsidR="00B31C6D">
        <w:t>Credit Act</w:t>
      </w:r>
      <w:r w:rsidR="00D72202">
        <w:t>’</w:t>
      </w:r>
      <w:r w:rsidR="00B31C6D">
        <w:t>)</w:t>
      </w:r>
      <w:r w:rsidR="00A7058E">
        <w:t xml:space="preserve"> to </w:t>
      </w:r>
      <w:r w:rsidR="00461DDD">
        <w:t>extend the</w:t>
      </w:r>
      <w:r w:rsidR="00A7058E">
        <w:t xml:space="preserve"> regulation-making power to </w:t>
      </w:r>
      <w:r w:rsidR="00461DDD">
        <w:t xml:space="preserve">enable </w:t>
      </w:r>
      <w:r>
        <w:t xml:space="preserve">an exemption </w:t>
      </w:r>
      <w:r w:rsidR="00B97D76">
        <w:t xml:space="preserve">from obtaining an Australian Financial Services </w:t>
      </w:r>
      <w:r w:rsidR="00B34019">
        <w:t>L</w:t>
      </w:r>
      <w:r w:rsidR="00B97D76">
        <w:t>icence</w:t>
      </w:r>
      <w:r w:rsidR="00CB5603">
        <w:t xml:space="preserve"> (AFSL)</w:t>
      </w:r>
      <w:r w:rsidR="00B97D76">
        <w:t xml:space="preserve"> </w:t>
      </w:r>
      <w:r w:rsidR="009867E8">
        <w:t>and/</w:t>
      </w:r>
      <w:r w:rsidR="00B97D76">
        <w:t xml:space="preserve">or </w:t>
      </w:r>
      <w:r w:rsidR="00877A04">
        <w:t xml:space="preserve">an </w:t>
      </w:r>
      <w:r w:rsidR="00CB5603">
        <w:t xml:space="preserve">Australian </w:t>
      </w:r>
      <w:r w:rsidR="00B34019">
        <w:t>C</w:t>
      </w:r>
      <w:r w:rsidR="00B97D76">
        <w:t>redit</w:t>
      </w:r>
      <w:r w:rsidR="000804AD">
        <w:t xml:space="preserve"> </w:t>
      </w:r>
      <w:r w:rsidR="00B34019">
        <w:t>L</w:t>
      </w:r>
      <w:r w:rsidR="00F27E8E">
        <w:t>icence</w:t>
      </w:r>
      <w:r w:rsidR="00CB5603">
        <w:t xml:space="preserve"> (ACL)</w:t>
      </w:r>
      <w:r w:rsidR="00F27E8E">
        <w:t xml:space="preserve"> </w:t>
      </w:r>
      <w:r w:rsidR="00030F56">
        <w:t>under certain conditions</w:t>
      </w:r>
      <w:r w:rsidR="00461DDD">
        <w:t xml:space="preserve"> for the purposes of testing financial and credit services</w:t>
      </w:r>
      <w:r w:rsidR="00D51B27">
        <w:t xml:space="preserve"> and products</w:t>
      </w:r>
      <w:r w:rsidR="00030F56">
        <w:t xml:space="preserve">. </w:t>
      </w:r>
    </w:p>
    <w:p w14:paraId="1D954815" w14:textId="77777777" w:rsidR="00FC48FD" w:rsidRDefault="00FC48FD" w:rsidP="001E0677">
      <w:pPr>
        <w:pStyle w:val="Heading2"/>
      </w:pPr>
      <w:r>
        <w:t>Context of amendments</w:t>
      </w:r>
    </w:p>
    <w:p w14:paraId="3E5E0917" w14:textId="77777777" w:rsidR="00555724" w:rsidRDefault="00555724" w:rsidP="00555724">
      <w:pPr>
        <w:pStyle w:val="base-text-paragraph"/>
        <w:numPr>
          <w:ilvl w:val="1"/>
          <w:numId w:val="32"/>
        </w:numPr>
      </w:pPr>
      <w:bookmarkStart w:id="6" w:name="_GoBack"/>
      <w:bookmarkEnd w:id="6"/>
      <w:r>
        <w:t>T</w:t>
      </w:r>
      <w:r w:rsidRPr="00555724">
        <w:t xml:space="preserve">he Australian Securities and Investments Commission (ASIC) </w:t>
      </w:r>
      <w:r>
        <w:t>has provided for a</w:t>
      </w:r>
      <w:r w:rsidRPr="00555724">
        <w:t xml:space="preserve"> regulatory sandbox framework (‘ASIC regulatory sandbox’)</w:t>
      </w:r>
      <w:r>
        <w:t xml:space="preserve"> since December 2016</w:t>
      </w:r>
      <w:r w:rsidR="001966F5">
        <w:t xml:space="preserve"> that </w:t>
      </w:r>
      <w:r w:rsidR="001966F5" w:rsidRPr="00555724">
        <w:t xml:space="preserve">enables new and innovative </w:t>
      </w:r>
      <w:proofErr w:type="spellStart"/>
      <w:r w:rsidR="001966F5" w:rsidRPr="00555724">
        <w:t>FinTech</w:t>
      </w:r>
      <w:proofErr w:type="spellEnd"/>
      <w:r w:rsidR="001966F5" w:rsidRPr="00555724">
        <w:t xml:space="preserve"> products and services to be tested in Australia</w:t>
      </w:r>
      <w:r w:rsidRPr="00555724">
        <w:t xml:space="preserve">. The ASIC regulatory sandbox is comprised of ASIC’s </w:t>
      </w:r>
      <w:proofErr w:type="spellStart"/>
      <w:r w:rsidRPr="00555724">
        <w:t>FinTech</w:t>
      </w:r>
      <w:proofErr w:type="spellEnd"/>
      <w:r w:rsidRPr="00555724">
        <w:t xml:space="preserve"> licensing exemptions provided under ASIC Corporations (Concept Validation Licensing Exemption) Instrument 2016/1175 and ASIC Credit (Concept Validation Licensing Exemption) Instrument 2016/1176.</w:t>
      </w:r>
    </w:p>
    <w:p w14:paraId="4B2D45DE" w14:textId="2EE2DDDA" w:rsidR="00E572D6" w:rsidRDefault="00657E3C" w:rsidP="00BF760D">
      <w:pPr>
        <w:pStyle w:val="base-text-paragraph"/>
        <w:numPr>
          <w:ilvl w:val="1"/>
          <w:numId w:val="32"/>
        </w:numPr>
      </w:pPr>
      <w:r>
        <w:t>Schedule # of the</w:t>
      </w:r>
      <w:r w:rsidR="007B2BAC">
        <w:t xml:space="preserve"> Bill implements the Government’s reform to </w:t>
      </w:r>
      <w:r w:rsidR="004E609E">
        <w:t>enhance</w:t>
      </w:r>
      <w:r w:rsidR="007B2BAC">
        <w:t xml:space="preserve"> the regulatory sandbox as announced in </w:t>
      </w:r>
      <w:r w:rsidR="00BC761C">
        <w:t>the</w:t>
      </w:r>
      <w:r w:rsidR="007B2BAC">
        <w:t xml:space="preserve"> </w:t>
      </w:r>
      <w:r w:rsidR="00BC761C">
        <w:t>2017-18 Budget</w:t>
      </w:r>
      <w:r w:rsidR="007B2BAC">
        <w:t>. The</w:t>
      </w:r>
      <w:r w:rsidR="00E572D6">
        <w:t xml:space="preserve"> enhanced regulatory sandbox </w:t>
      </w:r>
      <w:r w:rsidR="00BC761C">
        <w:t>allow</w:t>
      </w:r>
      <w:r w:rsidR="007B2BAC">
        <w:t>s</w:t>
      </w:r>
      <w:r w:rsidR="00BC761C">
        <w:t xml:space="preserve"> </w:t>
      </w:r>
      <w:r w:rsidR="00E572D6">
        <w:t>more businesses to test a wide</w:t>
      </w:r>
      <w:r w:rsidR="00BC761C">
        <w:t>r</w:t>
      </w:r>
      <w:r w:rsidR="00E572D6">
        <w:t xml:space="preserve"> range of new financial </w:t>
      </w:r>
      <w:r w:rsidR="00620D7E">
        <w:t xml:space="preserve">and credit </w:t>
      </w:r>
      <w:r w:rsidR="00E572D6">
        <w:t xml:space="preserve">products and services without a licence, for a longer time. </w:t>
      </w:r>
    </w:p>
    <w:p w14:paraId="6A762E56" w14:textId="69F79F76" w:rsidR="00BC761C" w:rsidRDefault="00BC761C" w:rsidP="0029711C">
      <w:pPr>
        <w:pStyle w:val="base-text-paragraph"/>
        <w:numPr>
          <w:ilvl w:val="1"/>
          <w:numId w:val="32"/>
        </w:numPr>
      </w:pPr>
      <w:r>
        <w:t>The enhanced regulatory sandbox</w:t>
      </w:r>
      <w:r w:rsidR="0029711C">
        <w:t xml:space="preserve"> </w:t>
      </w:r>
      <w:r>
        <w:t xml:space="preserve">is intended </w:t>
      </w:r>
      <w:r w:rsidR="0029711C">
        <w:t>to</w:t>
      </w:r>
      <w:r>
        <w:t>:</w:t>
      </w:r>
    </w:p>
    <w:p w14:paraId="404B8977" w14:textId="0B9BBEC8" w:rsidR="004375A3" w:rsidRDefault="00E22329" w:rsidP="00BC761C">
      <w:pPr>
        <w:pStyle w:val="dotpoint"/>
      </w:pPr>
      <w:r>
        <w:t>further</w:t>
      </w:r>
      <w:r w:rsidR="0029711C">
        <w:t xml:space="preserve"> pr</w:t>
      </w:r>
      <w:r w:rsidR="004375A3">
        <w:t xml:space="preserve">omote Australia’s </w:t>
      </w:r>
      <w:proofErr w:type="spellStart"/>
      <w:r w:rsidR="004375A3">
        <w:t>FinTech</w:t>
      </w:r>
      <w:proofErr w:type="spellEnd"/>
      <w:r w:rsidR="004375A3">
        <w:t xml:space="preserve"> capability by supporting start-ups and </w:t>
      </w:r>
      <w:r w:rsidR="000662FD">
        <w:t xml:space="preserve">innovative businesses </w:t>
      </w:r>
      <w:r w:rsidR="004375A3">
        <w:t xml:space="preserve">to develop, test and launch their innovative financial </w:t>
      </w:r>
      <w:r w:rsidR="00620D7E">
        <w:t xml:space="preserve">and credit </w:t>
      </w:r>
      <w:r w:rsidR="004375A3">
        <w:t>services</w:t>
      </w:r>
      <w:r w:rsidR="009A3DF1">
        <w:t xml:space="preserve"> and products</w:t>
      </w:r>
      <w:r w:rsidR="009A1084">
        <w:t xml:space="preserve"> under certain conditions</w:t>
      </w:r>
      <w:r w:rsidR="00BC761C">
        <w:t xml:space="preserve">; </w:t>
      </w:r>
      <w:r w:rsidR="009A1084">
        <w:t>and</w:t>
      </w:r>
    </w:p>
    <w:p w14:paraId="36164B92" w14:textId="6808E25F" w:rsidR="005C681C" w:rsidRDefault="00BC761C" w:rsidP="008C7B97">
      <w:pPr>
        <w:pStyle w:val="dotpoint"/>
      </w:pPr>
      <w:proofErr w:type="gramStart"/>
      <w:r>
        <w:t>strike</w:t>
      </w:r>
      <w:proofErr w:type="gramEnd"/>
      <w:r w:rsidR="00797FEE">
        <w:t xml:space="preserve"> a better balance between </w:t>
      </w:r>
      <w:r w:rsidR="0029711C">
        <w:t xml:space="preserve">encouraging </w:t>
      </w:r>
      <w:r w:rsidR="00797FEE">
        <w:t xml:space="preserve">competition and </w:t>
      </w:r>
      <w:r w:rsidR="000662FD">
        <w:t xml:space="preserve">innovation that delivers </w:t>
      </w:r>
      <w:r w:rsidR="00797FEE">
        <w:t xml:space="preserve">choice for consumers </w:t>
      </w:r>
      <w:r w:rsidR="000D2566">
        <w:t>and</w:t>
      </w:r>
      <w:r w:rsidR="00797FEE">
        <w:t xml:space="preserve"> </w:t>
      </w:r>
      <w:r w:rsidR="00797FEE">
        <w:lastRenderedPageBreak/>
        <w:t xml:space="preserve">minimising risks to consumers </w:t>
      </w:r>
      <w:r w:rsidR="000662FD">
        <w:t xml:space="preserve">or the </w:t>
      </w:r>
      <w:r w:rsidR="00797FEE">
        <w:t>integrity of the financial system</w:t>
      </w:r>
      <w:r w:rsidR="009A1084">
        <w:t xml:space="preserve">. </w:t>
      </w:r>
      <w:r w:rsidR="005C681C">
        <w:t xml:space="preserve"> </w:t>
      </w:r>
    </w:p>
    <w:p w14:paraId="1D95481A" w14:textId="77777777" w:rsidR="00FC48FD" w:rsidRDefault="00FC48FD" w:rsidP="001E0677">
      <w:pPr>
        <w:pStyle w:val="Heading2"/>
      </w:pPr>
      <w:r>
        <w:t>Summary of new law</w:t>
      </w:r>
    </w:p>
    <w:p w14:paraId="594423AB" w14:textId="131CFA86" w:rsidR="0039393B" w:rsidRDefault="001925C6" w:rsidP="0039393B">
      <w:pPr>
        <w:pStyle w:val="base-text-paragraph"/>
      </w:pPr>
      <w:r>
        <w:t xml:space="preserve">This schedule </w:t>
      </w:r>
      <w:r w:rsidR="0039393B" w:rsidRPr="0039393B">
        <w:t>extends the regulation</w:t>
      </w:r>
      <w:r w:rsidR="00D95950">
        <w:t>-</w:t>
      </w:r>
      <w:r w:rsidR="0039393B" w:rsidRPr="0039393B">
        <w:t>making power</w:t>
      </w:r>
      <w:r w:rsidR="00BA3FE6">
        <w:t>s</w:t>
      </w:r>
      <w:r w:rsidR="0039393B" w:rsidRPr="0039393B">
        <w:t xml:space="preserve"> </w:t>
      </w:r>
      <w:r w:rsidR="001B46AE">
        <w:t xml:space="preserve">in </w:t>
      </w:r>
      <w:r w:rsidR="0039393B" w:rsidRPr="0039393B">
        <w:t>the Corporations Act</w:t>
      </w:r>
      <w:r w:rsidR="0039393B">
        <w:t xml:space="preserve"> and Credit Act</w:t>
      </w:r>
      <w:r w:rsidR="0039393B" w:rsidRPr="0039393B">
        <w:t xml:space="preserve"> to enable regulations to provide conditional exemptions from the AFSL</w:t>
      </w:r>
      <w:r w:rsidR="0039393B">
        <w:t xml:space="preserve"> and ACL requirements for the purposes of testing financial and credit services</w:t>
      </w:r>
      <w:r w:rsidR="009A3DF1">
        <w:t xml:space="preserve"> and products</w:t>
      </w:r>
      <w:r w:rsidR="0039393B">
        <w:t xml:space="preserve">. </w:t>
      </w:r>
    </w:p>
    <w:p w14:paraId="363E2833" w14:textId="6589D74B" w:rsidR="00D43F47" w:rsidRDefault="0039393B" w:rsidP="00D43F47">
      <w:pPr>
        <w:pStyle w:val="base-text-paragraph"/>
      </w:pPr>
      <w:r>
        <w:t>As a result of the amendments, e</w:t>
      </w:r>
      <w:r w:rsidR="00066BB5">
        <w:t xml:space="preserve">ligible </w:t>
      </w:r>
      <w:r>
        <w:t xml:space="preserve">entities </w:t>
      </w:r>
      <w:r w:rsidR="00680E20">
        <w:t>can</w:t>
      </w:r>
      <w:r w:rsidR="00066BB5">
        <w:t xml:space="preserve"> test </w:t>
      </w:r>
      <w:r w:rsidR="00FE29D8">
        <w:t xml:space="preserve">services in relation to </w:t>
      </w:r>
      <w:r w:rsidR="00066BB5">
        <w:t xml:space="preserve">certain products without an </w:t>
      </w:r>
      <w:r>
        <w:t>AFSL or ACL</w:t>
      </w:r>
      <w:r w:rsidR="00F27E8E">
        <w:t xml:space="preserve"> </w:t>
      </w:r>
      <w:r w:rsidR="00066BB5">
        <w:t>under conditions set out in the regulations.</w:t>
      </w:r>
      <w:r w:rsidR="00D43F47">
        <w:t xml:space="preserve"> If </w:t>
      </w:r>
      <w:r>
        <w:t>an entity fails to</w:t>
      </w:r>
      <w:r w:rsidR="00D43F47">
        <w:t xml:space="preserve"> meet </w:t>
      </w:r>
      <w:r>
        <w:t xml:space="preserve">any of the prescribed </w:t>
      </w:r>
      <w:r w:rsidR="00D43F47">
        <w:t>conditions,</w:t>
      </w:r>
      <w:r>
        <w:t xml:space="preserve"> </w:t>
      </w:r>
      <w:r w:rsidR="00D43F47">
        <w:t>ASIC may</w:t>
      </w:r>
      <w:r w:rsidR="00290D91">
        <w:t xml:space="preserve"> cancel an entities’ exemption or</w:t>
      </w:r>
      <w:r w:rsidR="00D43F47">
        <w:t xml:space="preserve"> apply to the court for an order </w:t>
      </w:r>
      <w:r>
        <w:t>requiring the entity to comply in a particular way</w:t>
      </w:r>
      <w:r w:rsidR="00D43F47">
        <w:t>.</w:t>
      </w:r>
    </w:p>
    <w:p w14:paraId="1D95481F" w14:textId="77777777" w:rsidR="00FC48FD" w:rsidRDefault="00FC48FD" w:rsidP="001E067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FC48FD" w:rsidRPr="004666B8" w14:paraId="1D954822" w14:textId="77777777" w:rsidTr="001E0677">
        <w:tc>
          <w:tcPr>
            <w:tcW w:w="3275" w:type="dxa"/>
          </w:tcPr>
          <w:p w14:paraId="1D954820" w14:textId="77777777" w:rsidR="00FC48FD" w:rsidRPr="004666B8" w:rsidRDefault="00FC48FD" w:rsidP="001E0677">
            <w:pPr>
              <w:pStyle w:val="tableheaderwithintable"/>
              <w:rPr>
                <w:lang w:val="en-US" w:eastAsia="en-US"/>
              </w:rPr>
            </w:pPr>
            <w:r w:rsidRPr="004666B8">
              <w:rPr>
                <w:lang w:val="en-US" w:eastAsia="en-US"/>
              </w:rPr>
              <w:t>New law</w:t>
            </w:r>
          </w:p>
        </w:tc>
        <w:tc>
          <w:tcPr>
            <w:tcW w:w="3276" w:type="dxa"/>
          </w:tcPr>
          <w:p w14:paraId="1D954821" w14:textId="77777777" w:rsidR="00FC48FD" w:rsidRPr="004666B8" w:rsidRDefault="00FC48FD" w:rsidP="001E0677">
            <w:pPr>
              <w:pStyle w:val="tableheaderwithintable"/>
              <w:rPr>
                <w:lang w:val="en-US" w:eastAsia="en-US"/>
              </w:rPr>
            </w:pPr>
            <w:r w:rsidRPr="004666B8">
              <w:rPr>
                <w:lang w:val="en-US" w:eastAsia="en-US"/>
              </w:rPr>
              <w:t>Current law</w:t>
            </w:r>
          </w:p>
        </w:tc>
      </w:tr>
      <w:tr w:rsidR="00FC48FD" w:rsidRPr="004666B8" w14:paraId="1D954826" w14:textId="77777777" w:rsidTr="001E0677">
        <w:tc>
          <w:tcPr>
            <w:tcW w:w="3275" w:type="dxa"/>
          </w:tcPr>
          <w:p w14:paraId="24FE16EF" w14:textId="7D61ECE6" w:rsidR="00FC48FD" w:rsidRDefault="0039393B" w:rsidP="00403CF1">
            <w:pPr>
              <w:pStyle w:val="tabletext"/>
              <w:rPr>
                <w:lang w:val="en-US" w:eastAsia="en-US"/>
              </w:rPr>
            </w:pPr>
            <w:r>
              <w:rPr>
                <w:lang w:val="en-US" w:eastAsia="en-US"/>
              </w:rPr>
              <w:t>Regulations may provide for conditional exemptions from AFSL and ACL requirements for the purpose of testing financial and credit services</w:t>
            </w:r>
            <w:r w:rsidR="009A3DF1">
              <w:rPr>
                <w:lang w:val="en-US" w:eastAsia="en-US"/>
              </w:rPr>
              <w:t xml:space="preserve"> and products</w:t>
            </w:r>
            <w:r>
              <w:rPr>
                <w:lang w:val="en-US" w:eastAsia="en-US"/>
              </w:rPr>
              <w:t xml:space="preserve">. </w:t>
            </w:r>
          </w:p>
          <w:p w14:paraId="1D954823" w14:textId="762FD4C1" w:rsidR="0060484B" w:rsidRPr="004666B8" w:rsidRDefault="00BF3618" w:rsidP="00BF3618">
            <w:pPr>
              <w:pStyle w:val="tabletext"/>
              <w:rPr>
                <w:lang w:val="en-US" w:eastAsia="en-US"/>
              </w:rPr>
            </w:pPr>
            <w:r>
              <w:rPr>
                <w:lang w:val="en-US" w:eastAsia="en-US"/>
              </w:rPr>
              <w:t xml:space="preserve">The regulations may empower ASIC to make decision </w:t>
            </w:r>
            <w:r w:rsidRPr="00BF3618">
              <w:rPr>
                <w:lang w:val="en-US" w:eastAsia="en-US"/>
              </w:rPr>
              <w:t>regarding how the exemption starts and ceases to apply</w:t>
            </w:r>
            <w:r w:rsidR="005C6D52">
              <w:rPr>
                <w:lang w:val="en-US" w:eastAsia="en-US"/>
              </w:rPr>
              <w:t>.</w:t>
            </w:r>
          </w:p>
        </w:tc>
        <w:tc>
          <w:tcPr>
            <w:tcW w:w="3276" w:type="dxa"/>
          </w:tcPr>
          <w:p w14:paraId="34FCD765" w14:textId="0E798103" w:rsidR="0039393B" w:rsidRDefault="0039393B" w:rsidP="001E0677">
            <w:pPr>
              <w:pStyle w:val="tabletext"/>
              <w:rPr>
                <w:lang w:val="en-US" w:eastAsia="en-US"/>
              </w:rPr>
            </w:pPr>
            <w:r>
              <w:rPr>
                <w:lang w:val="en-US" w:eastAsia="en-US"/>
              </w:rPr>
              <w:t xml:space="preserve">Regulations may provide for unconditional exemptions from the AFSL and ACL requirements. </w:t>
            </w:r>
          </w:p>
          <w:p w14:paraId="1D954825" w14:textId="77777777" w:rsidR="00FC48FD" w:rsidRPr="004666B8" w:rsidRDefault="00FC48FD">
            <w:pPr>
              <w:pStyle w:val="tabletext"/>
              <w:rPr>
                <w:lang w:val="en-US" w:eastAsia="en-US"/>
              </w:rPr>
            </w:pPr>
          </w:p>
        </w:tc>
      </w:tr>
    </w:tbl>
    <w:p w14:paraId="1D954827" w14:textId="77777777" w:rsidR="00FC48FD" w:rsidRDefault="00FC48FD" w:rsidP="001E0677">
      <w:pPr>
        <w:pStyle w:val="Heading2"/>
      </w:pPr>
      <w:r>
        <w:t>Detailed explanation of new law</w:t>
      </w:r>
    </w:p>
    <w:p w14:paraId="389207E4" w14:textId="27B0579E" w:rsidR="00494C80" w:rsidRDefault="002E54E8" w:rsidP="001E0677">
      <w:pPr>
        <w:pStyle w:val="base-text-paragraph"/>
      </w:pPr>
      <w:r w:rsidRPr="00D72202">
        <w:t xml:space="preserve">Schedule </w:t>
      </w:r>
      <w:r w:rsidR="00D72202">
        <w:t xml:space="preserve"># </w:t>
      </w:r>
      <w:r>
        <w:t xml:space="preserve">of </w:t>
      </w:r>
      <w:r w:rsidR="00101351">
        <w:t>this</w:t>
      </w:r>
      <w:r>
        <w:t xml:space="preserve"> Bill </w:t>
      </w:r>
      <w:r w:rsidR="00494C80">
        <w:t>amend</w:t>
      </w:r>
      <w:r w:rsidR="00101351">
        <w:t>s</w:t>
      </w:r>
      <w:r w:rsidR="00494C80">
        <w:t xml:space="preserve"> the Corporations Act and Credit Act to enable regulations to provide for conditional exemptions from the </w:t>
      </w:r>
      <w:r w:rsidR="00CB4BB0">
        <w:t xml:space="preserve">AFSL </w:t>
      </w:r>
      <w:r w:rsidR="00494C80">
        <w:t xml:space="preserve">and </w:t>
      </w:r>
      <w:r w:rsidR="00CB4BB0">
        <w:t>ACL</w:t>
      </w:r>
      <w:r w:rsidR="00494C80">
        <w:t xml:space="preserve"> requirements. </w:t>
      </w:r>
      <w:r w:rsidR="00CB4BB0">
        <w:t>These regulat</w:t>
      </w:r>
      <w:r w:rsidR="00101351">
        <w:t>ion</w:t>
      </w:r>
      <w:r w:rsidR="00D95950">
        <w:t>-</w:t>
      </w:r>
      <w:r w:rsidR="00CB4BB0">
        <w:t xml:space="preserve">making powers </w:t>
      </w:r>
      <w:r w:rsidR="004C4A79">
        <w:t xml:space="preserve">provide the framework for a </w:t>
      </w:r>
      <w:r w:rsidR="00D72202">
        <w:t>‘</w:t>
      </w:r>
      <w:r w:rsidR="004C4A79">
        <w:t>regulatory sandbox</w:t>
      </w:r>
      <w:r w:rsidR="00D72202">
        <w:t>’</w:t>
      </w:r>
      <w:r w:rsidR="004C4A79">
        <w:t xml:space="preserve"> to allow businesses to test certain financial and credit services </w:t>
      </w:r>
      <w:r w:rsidR="009A3DF1">
        <w:t xml:space="preserve">and products </w:t>
      </w:r>
      <w:r w:rsidR="004C4A79">
        <w:t xml:space="preserve">without </w:t>
      </w:r>
      <w:r w:rsidR="00290D91">
        <w:t xml:space="preserve">meeting the </w:t>
      </w:r>
      <w:r w:rsidR="00101351">
        <w:t xml:space="preserve">full </w:t>
      </w:r>
      <w:r w:rsidR="004C4A79">
        <w:t xml:space="preserve">regulatory licencing </w:t>
      </w:r>
      <w:r w:rsidR="00290D91">
        <w:t xml:space="preserve">requirements </w:t>
      </w:r>
      <w:r w:rsidR="004C4A79">
        <w:t xml:space="preserve">if certain conditions are met.  </w:t>
      </w:r>
    </w:p>
    <w:p w14:paraId="68F91C71" w14:textId="3D4E0728" w:rsidR="000C6BFA" w:rsidRDefault="000C6BFA" w:rsidP="000C6BFA">
      <w:pPr>
        <w:pStyle w:val="Heading5"/>
      </w:pPr>
      <w:r>
        <w:t>Amendments to the Corporations Act</w:t>
      </w:r>
    </w:p>
    <w:p w14:paraId="42B51946" w14:textId="1097317C" w:rsidR="00082ACB" w:rsidRDefault="00082ACB">
      <w:pPr>
        <w:pStyle w:val="base-text-paragraph"/>
        <w:rPr>
          <w:rStyle w:val="Referencingstyle"/>
          <w:b w:val="0"/>
          <w:bCs/>
          <w:i w:val="0"/>
          <w:iCs/>
          <w:sz w:val="22"/>
          <w:szCs w:val="26"/>
        </w:rPr>
      </w:pPr>
      <w:r>
        <w:rPr>
          <w:rStyle w:val="Referencingstyle"/>
          <w:b w:val="0"/>
          <w:i w:val="0"/>
          <w:sz w:val="22"/>
        </w:rPr>
        <w:t>Section 926</w:t>
      </w:r>
      <w:r w:rsidR="00290D91">
        <w:rPr>
          <w:rStyle w:val="Referencingstyle"/>
          <w:b w:val="0"/>
          <w:i w:val="0"/>
          <w:sz w:val="22"/>
        </w:rPr>
        <w:t>B</w:t>
      </w:r>
      <w:r>
        <w:rPr>
          <w:rStyle w:val="Referencingstyle"/>
          <w:b w:val="0"/>
          <w:i w:val="0"/>
          <w:sz w:val="22"/>
        </w:rPr>
        <w:t xml:space="preserve"> of the Corporations Act currently allows for regulations to provide exemptions from the AFSL requirements. However, </w:t>
      </w:r>
      <w:r>
        <w:rPr>
          <w:rStyle w:val="Referencingstyle"/>
          <w:b w:val="0"/>
          <w:i w:val="0"/>
          <w:sz w:val="22"/>
        </w:rPr>
        <w:lastRenderedPageBreak/>
        <w:t>section 926</w:t>
      </w:r>
      <w:r w:rsidR="00290D91">
        <w:rPr>
          <w:rStyle w:val="Referencingstyle"/>
          <w:b w:val="0"/>
          <w:i w:val="0"/>
          <w:sz w:val="22"/>
        </w:rPr>
        <w:t>B</w:t>
      </w:r>
      <w:r>
        <w:rPr>
          <w:rStyle w:val="Referencingstyle"/>
          <w:b w:val="0"/>
          <w:i w:val="0"/>
          <w:sz w:val="22"/>
        </w:rPr>
        <w:t xml:space="preserve"> does not specifically allow for the exemptions to apply subject to certain conditions. </w:t>
      </w:r>
    </w:p>
    <w:p w14:paraId="2D6EDEBF" w14:textId="331E1EDE" w:rsidR="006637E9" w:rsidRDefault="004C4A79" w:rsidP="000C6BFA">
      <w:pPr>
        <w:pStyle w:val="base-text-paragraph"/>
        <w:rPr>
          <w:rStyle w:val="Referencingstyle"/>
          <w:b w:val="0"/>
          <w:i w:val="0"/>
          <w:sz w:val="22"/>
        </w:rPr>
      </w:pPr>
      <w:r>
        <w:rPr>
          <w:rStyle w:val="Referencingstyle"/>
          <w:b w:val="0"/>
          <w:i w:val="0"/>
          <w:sz w:val="22"/>
        </w:rPr>
        <w:t xml:space="preserve">Part 1 of Schedule </w:t>
      </w:r>
      <w:r w:rsidR="00D72202">
        <w:rPr>
          <w:rStyle w:val="Referencingstyle"/>
          <w:b w:val="0"/>
          <w:i w:val="0"/>
          <w:sz w:val="22"/>
        </w:rPr>
        <w:t>#</w:t>
      </w:r>
      <w:r w:rsidR="00D72202" w:rsidRPr="00D72202">
        <w:rPr>
          <w:rStyle w:val="Referencingstyle"/>
          <w:b w:val="0"/>
          <w:i w:val="0"/>
          <w:sz w:val="22"/>
        </w:rPr>
        <w:t xml:space="preserve"> </w:t>
      </w:r>
      <w:r w:rsidRPr="00D72202">
        <w:rPr>
          <w:rStyle w:val="Referencingstyle"/>
          <w:b w:val="0"/>
          <w:i w:val="0"/>
          <w:sz w:val="22"/>
        </w:rPr>
        <w:t>o</w:t>
      </w:r>
      <w:r>
        <w:rPr>
          <w:rStyle w:val="Referencingstyle"/>
          <w:b w:val="0"/>
          <w:i w:val="0"/>
          <w:sz w:val="22"/>
        </w:rPr>
        <w:t>f t</w:t>
      </w:r>
      <w:r w:rsidR="006637E9">
        <w:rPr>
          <w:rStyle w:val="Referencingstyle"/>
          <w:b w:val="0"/>
          <w:i w:val="0"/>
          <w:sz w:val="22"/>
        </w:rPr>
        <w:t xml:space="preserve">his Bill </w:t>
      </w:r>
      <w:r w:rsidR="00B61A09">
        <w:rPr>
          <w:rStyle w:val="Referencingstyle"/>
          <w:b w:val="0"/>
          <w:i w:val="0"/>
          <w:sz w:val="22"/>
        </w:rPr>
        <w:t xml:space="preserve">extends </w:t>
      </w:r>
      <w:r w:rsidR="006637E9">
        <w:rPr>
          <w:rStyle w:val="Referencingstyle"/>
          <w:b w:val="0"/>
          <w:i w:val="0"/>
          <w:sz w:val="22"/>
        </w:rPr>
        <w:t>the</w:t>
      </w:r>
      <w:r>
        <w:rPr>
          <w:rStyle w:val="Referencingstyle"/>
          <w:b w:val="0"/>
          <w:i w:val="0"/>
          <w:sz w:val="22"/>
        </w:rPr>
        <w:t xml:space="preserve"> regulation</w:t>
      </w:r>
      <w:r w:rsidR="00D95950">
        <w:rPr>
          <w:rStyle w:val="Referencingstyle"/>
          <w:b w:val="0"/>
          <w:i w:val="0"/>
          <w:sz w:val="22"/>
        </w:rPr>
        <w:t>-</w:t>
      </w:r>
      <w:r w:rsidR="00C23DD8">
        <w:rPr>
          <w:rStyle w:val="Referencingstyle"/>
          <w:b w:val="0"/>
          <w:i w:val="0"/>
          <w:sz w:val="22"/>
        </w:rPr>
        <w:t xml:space="preserve">making </w:t>
      </w:r>
      <w:r>
        <w:rPr>
          <w:rStyle w:val="Referencingstyle"/>
          <w:b w:val="0"/>
          <w:i w:val="0"/>
          <w:sz w:val="22"/>
        </w:rPr>
        <w:t>power in section 926</w:t>
      </w:r>
      <w:r w:rsidR="00290D91">
        <w:rPr>
          <w:rStyle w:val="Referencingstyle"/>
          <w:b w:val="0"/>
          <w:i w:val="0"/>
          <w:sz w:val="22"/>
        </w:rPr>
        <w:t>B</w:t>
      </w:r>
      <w:r>
        <w:rPr>
          <w:rStyle w:val="Referencingstyle"/>
          <w:b w:val="0"/>
          <w:i w:val="0"/>
          <w:sz w:val="22"/>
        </w:rPr>
        <w:t xml:space="preserve"> of the</w:t>
      </w:r>
      <w:r w:rsidR="006637E9">
        <w:rPr>
          <w:rStyle w:val="Referencingstyle"/>
          <w:b w:val="0"/>
          <w:i w:val="0"/>
          <w:sz w:val="22"/>
        </w:rPr>
        <w:t xml:space="preserve"> Corporations Act </w:t>
      </w:r>
      <w:r w:rsidR="00B61A09">
        <w:rPr>
          <w:rStyle w:val="Referencingstyle"/>
          <w:b w:val="0"/>
          <w:i w:val="0"/>
          <w:sz w:val="22"/>
        </w:rPr>
        <w:t xml:space="preserve">to enable regulations to provide conditional exemptions from the AFSL requirements for the purpose of testing certain financial </w:t>
      </w:r>
      <w:r w:rsidR="002E5699" w:rsidRPr="00D72202">
        <w:rPr>
          <w:rStyle w:val="Referencingstyle"/>
          <w:b w:val="0"/>
          <w:i w:val="0"/>
          <w:sz w:val="22"/>
        </w:rPr>
        <w:t>services</w:t>
      </w:r>
      <w:r w:rsidR="00B61A09" w:rsidRPr="00D72202">
        <w:rPr>
          <w:rStyle w:val="Referencingstyle"/>
          <w:b w:val="0"/>
          <w:i w:val="0"/>
          <w:sz w:val="22"/>
        </w:rPr>
        <w:t xml:space="preserve">. </w:t>
      </w:r>
      <w:r w:rsidR="00B61A09" w:rsidRPr="00D72202">
        <w:rPr>
          <w:rStyle w:val="Referencingstyle"/>
        </w:rPr>
        <w:t>[Schedule</w:t>
      </w:r>
      <w:r w:rsidR="00F07441" w:rsidRPr="00D72202">
        <w:rPr>
          <w:rStyle w:val="Referencingstyle"/>
        </w:rPr>
        <w:t> </w:t>
      </w:r>
      <w:r w:rsidR="00B61A09" w:rsidRPr="00D72202">
        <w:rPr>
          <w:rStyle w:val="Referencingstyle"/>
        </w:rPr>
        <w:t>#, item</w:t>
      </w:r>
      <w:r w:rsidR="00B61A09">
        <w:rPr>
          <w:rStyle w:val="Referencingstyle"/>
        </w:rPr>
        <w:t xml:space="preserve"> 2, subsection</w:t>
      </w:r>
      <w:r w:rsidR="00D72202">
        <w:rPr>
          <w:rStyle w:val="Referencingstyle"/>
        </w:rPr>
        <w:t> </w:t>
      </w:r>
      <w:r w:rsidR="00B61A09">
        <w:rPr>
          <w:rStyle w:val="Referencingstyle"/>
        </w:rPr>
        <w:t>926B(3) of the Corporations Act</w:t>
      </w:r>
      <w:r w:rsidR="00B61A09" w:rsidRPr="00AF3504">
        <w:rPr>
          <w:rStyle w:val="Referencingstyle"/>
        </w:rPr>
        <w:t>]</w:t>
      </w:r>
    </w:p>
    <w:p w14:paraId="4A641029" w14:textId="7B438AEF" w:rsidR="00082ACB" w:rsidRDefault="00C030BF">
      <w:pPr>
        <w:pStyle w:val="base-text-paragraph"/>
        <w:rPr>
          <w:rStyle w:val="Referencingstyle"/>
          <w:b w:val="0"/>
          <w:i w:val="0"/>
          <w:sz w:val="22"/>
        </w:rPr>
      </w:pPr>
      <w:r>
        <w:rPr>
          <w:rStyle w:val="Referencingstyle"/>
          <w:b w:val="0"/>
          <w:i w:val="0"/>
          <w:sz w:val="22"/>
        </w:rPr>
        <w:t xml:space="preserve">It is </w:t>
      </w:r>
      <w:r w:rsidR="00143D08">
        <w:rPr>
          <w:rStyle w:val="Referencingstyle"/>
          <w:b w:val="0"/>
          <w:i w:val="0"/>
          <w:sz w:val="22"/>
        </w:rPr>
        <w:t>appropriate</w:t>
      </w:r>
      <w:r>
        <w:rPr>
          <w:rStyle w:val="Referencingstyle"/>
          <w:b w:val="0"/>
          <w:i w:val="0"/>
          <w:sz w:val="22"/>
        </w:rPr>
        <w:t xml:space="preserve"> for the exemption from the AFSL requirements to </w:t>
      </w:r>
      <w:r w:rsidR="00143D08">
        <w:rPr>
          <w:rStyle w:val="Referencingstyle"/>
          <w:b w:val="0"/>
          <w:i w:val="0"/>
          <w:sz w:val="22"/>
        </w:rPr>
        <w:t xml:space="preserve">allow testing of financial products to be in the regulations so that the Government can </w:t>
      </w:r>
      <w:r w:rsidR="00143D08">
        <w:t>make timely changes based on the changing market.</w:t>
      </w:r>
      <w:r w:rsidR="00143D08" w:rsidRPr="00143D08">
        <w:t xml:space="preserve"> </w:t>
      </w:r>
      <w:r w:rsidR="00143D08">
        <w:t xml:space="preserve">As the market changes and develops, it is important to have the flexibility to make changes to ensure the exemption operates appropriately. It may also be necessary to adjust the types of </w:t>
      </w:r>
      <w:r w:rsidR="002E5699">
        <w:t>services</w:t>
      </w:r>
      <w:r w:rsidR="00143D08">
        <w:t xml:space="preserve"> and conditions under which they can be tested in order to maintain an appropriate </w:t>
      </w:r>
      <w:r w:rsidR="002D5F73">
        <w:t xml:space="preserve">balance between facilitating innovation or competition and providing </w:t>
      </w:r>
      <w:r w:rsidR="00143D08">
        <w:t>investor protection</w:t>
      </w:r>
      <w:r w:rsidR="002D5F73">
        <w:t>s</w:t>
      </w:r>
      <w:r w:rsidR="00143D08">
        <w:t>.</w:t>
      </w:r>
    </w:p>
    <w:p w14:paraId="2996A1C3" w14:textId="2592F5A7" w:rsidR="008C75A4" w:rsidRDefault="00143D08">
      <w:pPr>
        <w:pStyle w:val="base-text-paragraph"/>
      </w:pPr>
      <w:r>
        <w:rPr>
          <w:rStyle w:val="Referencingstyle"/>
          <w:b w:val="0"/>
          <w:i w:val="0"/>
          <w:sz w:val="22"/>
        </w:rPr>
        <w:t xml:space="preserve">Entities that access a conditional exemption provided for in the regulations must </w:t>
      </w:r>
      <w:r w:rsidR="0018261F">
        <w:t>comply</w:t>
      </w:r>
      <w:r>
        <w:t xml:space="preserve"> with all the relevant conditions that are prescribed</w:t>
      </w:r>
      <w:r w:rsidR="0018261F">
        <w:t xml:space="preserve">. </w:t>
      </w:r>
      <w:r w:rsidR="00C05931">
        <w:t xml:space="preserve">ASIC </w:t>
      </w:r>
      <w:r w:rsidR="0018261F">
        <w:t xml:space="preserve">may apply </w:t>
      </w:r>
      <w:r w:rsidR="002A3D6E">
        <w:t xml:space="preserve">to the court to get an order requiring an entity to comply with conditions in a particular way </w:t>
      </w:r>
      <w:r w:rsidR="008C75A4">
        <w:rPr>
          <w:rStyle w:val="Referencingstyle"/>
        </w:rPr>
        <w:t xml:space="preserve">[Schedule </w:t>
      </w:r>
      <w:r w:rsidR="008C75A4" w:rsidRPr="00D72202">
        <w:rPr>
          <w:rStyle w:val="Referencingstyle"/>
        </w:rPr>
        <w:t>#,</w:t>
      </w:r>
      <w:r w:rsidR="008C75A4">
        <w:rPr>
          <w:rStyle w:val="Referencingstyle"/>
        </w:rPr>
        <w:t xml:space="preserve"> item 2, </w:t>
      </w:r>
      <w:r w:rsidR="00BC4A1C">
        <w:rPr>
          <w:rStyle w:val="Referencingstyle"/>
        </w:rPr>
        <w:t>sub</w:t>
      </w:r>
      <w:r w:rsidR="008C75A4">
        <w:rPr>
          <w:rStyle w:val="Referencingstyle"/>
        </w:rPr>
        <w:t>section 926B(4</w:t>
      </w:r>
      <w:r w:rsidR="009867E8">
        <w:rPr>
          <w:rStyle w:val="Referencingstyle"/>
        </w:rPr>
        <w:t>) of the Corporations Act]</w:t>
      </w:r>
      <w:r w:rsidR="008C75A4">
        <w:rPr>
          <w:rStyle w:val="Referencingstyle"/>
        </w:rPr>
        <w:t xml:space="preserve"> </w:t>
      </w:r>
    </w:p>
    <w:p w14:paraId="535DA1A1" w14:textId="59E2B0B0" w:rsidR="0018261F" w:rsidRDefault="0018261F" w:rsidP="008C75A4">
      <w:pPr>
        <w:pStyle w:val="base-text-paragraph"/>
      </w:pPr>
      <w:r>
        <w:t>The amendment</w:t>
      </w:r>
      <w:r w:rsidR="009B6E7E">
        <w:t xml:space="preserve"> </w:t>
      </w:r>
      <w:r w:rsidR="007358F4">
        <w:t xml:space="preserve">also enables the </w:t>
      </w:r>
      <w:r w:rsidR="009B6E7E">
        <w:t xml:space="preserve">regulations </w:t>
      </w:r>
      <w:r w:rsidR="007358F4">
        <w:t>to empower</w:t>
      </w:r>
      <w:r>
        <w:t xml:space="preserve"> ASIC to make decisions regarding how the exemption starts and ceases </w:t>
      </w:r>
      <w:r w:rsidR="002A3D6E">
        <w:t>to apply</w:t>
      </w:r>
      <w:r>
        <w:t>.</w:t>
      </w:r>
      <w:r w:rsidR="00C05931">
        <w:t xml:space="preserve"> This provides </w:t>
      </w:r>
      <w:r w:rsidR="002E5699">
        <w:t xml:space="preserve">that </w:t>
      </w:r>
      <w:r w:rsidR="002A3D6E">
        <w:t xml:space="preserve">the regulations </w:t>
      </w:r>
      <w:r w:rsidR="002E5699">
        <w:t>can enable</w:t>
      </w:r>
      <w:r w:rsidR="002A3D6E">
        <w:t xml:space="preserve"> ASIC to monitor access to the regime to prevent misuse of the licencing exemption and provide for effective arrangements to allow providers to transition out of the regulatory sandbox and become licensed. </w:t>
      </w:r>
      <w:r>
        <w:rPr>
          <w:rStyle w:val="Referencingstyle"/>
        </w:rPr>
        <w:t xml:space="preserve">[Schedule #, item 2, </w:t>
      </w:r>
      <w:r w:rsidR="00E6646B">
        <w:rPr>
          <w:rStyle w:val="Referencingstyle"/>
        </w:rPr>
        <w:t>sub</w:t>
      </w:r>
      <w:r>
        <w:rPr>
          <w:rStyle w:val="Referencingstyle"/>
        </w:rPr>
        <w:t>section 926B(5)</w:t>
      </w:r>
      <w:r w:rsidR="009867E8" w:rsidRPr="009867E8">
        <w:rPr>
          <w:rStyle w:val="Referencingstyle"/>
        </w:rPr>
        <w:t xml:space="preserve"> </w:t>
      </w:r>
      <w:r w:rsidR="009867E8">
        <w:rPr>
          <w:rStyle w:val="Referencingstyle"/>
        </w:rPr>
        <w:t>of the Corporations Act</w:t>
      </w:r>
      <w:r>
        <w:rPr>
          <w:rStyle w:val="Referencingstyle"/>
        </w:rPr>
        <w:t xml:space="preserve">] </w:t>
      </w:r>
    </w:p>
    <w:p w14:paraId="3A0874DC" w14:textId="68A12953" w:rsidR="0018261F" w:rsidRDefault="0018261F" w:rsidP="000C6BFA">
      <w:pPr>
        <w:pStyle w:val="base-text-paragraph"/>
      </w:pPr>
      <w:r>
        <w:t xml:space="preserve">Any decisions made by ASIC </w:t>
      </w:r>
      <w:r w:rsidR="00292A6D">
        <w:t>are</w:t>
      </w:r>
      <w:r>
        <w:t xml:space="preserve"> subject to the Administrative Appeals Tribunal (AAT)</w:t>
      </w:r>
      <w:r w:rsidR="00B500B2">
        <w:t xml:space="preserve"> review</w:t>
      </w:r>
      <w:r>
        <w:t xml:space="preserve"> under section 1317B of the Corporations Act. </w:t>
      </w:r>
    </w:p>
    <w:p w14:paraId="0B30576C" w14:textId="1B978807" w:rsidR="0018261F" w:rsidRDefault="0018261F" w:rsidP="0018261F">
      <w:pPr>
        <w:pStyle w:val="Heading5"/>
      </w:pPr>
      <w:r>
        <w:t xml:space="preserve">Amendments to the Credit Act  </w:t>
      </w:r>
    </w:p>
    <w:p w14:paraId="5E7FBD08" w14:textId="4BA8E23D" w:rsidR="0018261F" w:rsidRPr="004A51A7" w:rsidRDefault="00CB5603" w:rsidP="000C6BFA">
      <w:pPr>
        <w:pStyle w:val="base-text-paragraph"/>
        <w:rPr>
          <w:rStyle w:val="Referencingstyle"/>
          <w:b w:val="0"/>
          <w:i w:val="0"/>
          <w:sz w:val="22"/>
        </w:rPr>
      </w:pPr>
      <w:r>
        <w:t>Section 110 of the Credit Act currently allows for regulations to provide for an exemption from the ACL requirements. However, section</w:t>
      </w:r>
      <w:r w:rsidR="002E5699">
        <w:t> </w:t>
      </w:r>
      <w:r>
        <w:t xml:space="preserve">110 does not specifically allow for exemptions to apply </w:t>
      </w:r>
      <w:r w:rsidR="002E5699">
        <w:t xml:space="preserve">subject </w:t>
      </w:r>
      <w:r>
        <w:t xml:space="preserve">to conditions. </w:t>
      </w:r>
      <w:r w:rsidR="002A0F9F">
        <w:t xml:space="preserve"> </w:t>
      </w:r>
    </w:p>
    <w:p w14:paraId="09F0CECF" w14:textId="00516EF4" w:rsidR="00C82128" w:rsidRDefault="00C82128" w:rsidP="00C05931">
      <w:pPr>
        <w:pStyle w:val="base-text-paragraph"/>
      </w:pPr>
      <w:r>
        <w:t>P</w:t>
      </w:r>
      <w:r w:rsidR="00027A00">
        <w:t xml:space="preserve">art 2 of </w:t>
      </w:r>
      <w:r w:rsidR="00027A00" w:rsidRPr="007358F4">
        <w:t xml:space="preserve">Schedule </w:t>
      </w:r>
      <w:r w:rsidR="007358F4">
        <w:t xml:space="preserve"># </w:t>
      </w:r>
      <w:r w:rsidRPr="007358F4">
        <w:t>of</w:t>
      </w:r>
      <w:r>
        <w:t xml:space="preserve"> this Bill extends the regulation</w:t>
      </w:r>
      <w:r w:rsidR="00D95950">
        <w:t>-</w:t>
      </w:r>
      <w:r>
        <w:t xml:space="preserve">making power in section 110 of the Credit Act to enable regulations to provide conditional exemptions from the ACL requirements for the purpose of </w:t>
      </w:r>
      <w:r w:rsidRPr="007358F4">
        <w:t xml:space="preserve">testing certain </w:t>
      </w:r>
      <w:r w:rsidR="002E5699" w:rsidRPr="007358F4">
        <w:t>credit services</w:t>
      </w:r>
      <w:r w:rsidR="004F0077" w:rsidRPr="007358F4">
        <w:t xml:space="preserve"> or the issuance of certain credit contracts</w:t>
      </w:r>
      <w:r w:rsidRPr="007358F4">
        <w:t xml:space="preserve">. </w:t>
      </w:r>
      <w:r w:rsidRPr="0009258D">
        <w:rPr>
          <w:rStyle w:val="Referencingstyle"/>
        </w:rPr>
        <w:t>[</w:t>
      </w:r>
      <w:r w:rsidRPr="007358F4">
        <w:rPr>
          <w:rStyle w:val="Referencingstyle"/>
        </w:rPr>
        <w:t>Schedule #, items 4 and</w:t>
      </w:r>
      <w:r>
        <w:rPr>
          <w:rStyle w:val="Referencingstyle"/>
        </w:rPr>
        <w:t xml:space="preserve"> 5, </w:t>
      </w:r>
      <w:r w:rsidR="009A3DF1">
        <w:rPr>
          <w:rStyle w:val="Referencingstyle"/>
        </w:rPr>
        <w:t>sub</w:t>
      </w:r>
      <w:r>
        <w:rPr>
          <w:rStyle w:val="Referencingstyle"/>
        </w:rPr>
        <w:t>section</w:t>
      </w:r>
      <w:r w:rsidR="009A3DF1">
        <w:rPr>
          <w:rStyle w:val="Referencingstyle"/>
        </w:rPr>
        <w:t>s</w:t>
      </w:r>
      <w:r>
        <w:rPr>
          <w:rStyle w:val="Referencingstyle"/>
        </w:rPr>
        <w:t xml:space="preserve"> 110</w:t>
      </w:r>
      <w:r w:rsidR="009A3DF1">
        <w:rPr>
          <w:rStyle w:val="Referencingstyle"/>
        </w:rPr>
        <w:t>(1)</w:t>
      </w:r>
      <w:r>
        <w:rPr>
          <w:rStyle w:val="Referencingstyle"/>
        </w:rPr>
        <w:t xml:space="preserve"> and</w:t>
      </w:r>
      <w:r w:rsidR="009A3DF1">
        <w:rPr>
          <w:rStyle w:val="Referencingstyle"/>
        </w:rPr>
        <w:t xml:space="preserve"> </w:t>
      </w:r>
      <w:r>
        <w:rPr>
          <w:rStyle w:val="Referencingstyle"/>
        </w:rPr>
        <w:t>110(2) of the Credit Act]</w:t>
      </w:r>
    </w:p>
    <w:p w14:paraId="4AEEFCC7" w14:textId="3B6B2BA0" w:rsidR="00C05931" w:rsidRDefault="00C82128" w:rsidP="00C05931">
      <w:pPr>
        <w:pStyle w:val="base-text-paragraph"/>
      </w:pPr>
      <w:r>
        <w:lastRenderedPageBreak/>
        <w:t xml:space="preserve">Entities that access a conditional exemption provided for in the regulations must comply with all the relevant conditions that are prescribed. ASIC may apply to the court to get an order requiring an entity to comply with conditions in a particular </w:t>
      </w:r>
      <w:r w:rsidRPr="007358F4">
        <w:t xml:space="preserve">way. </w:t>
      </w:r>
      <w:r w:rsidR="00C05931" w:rsidRPr="007358F4">
        <w:t xml:space="preserve"> </w:t>
      </w:r>
      <w:r w:rsidR="00C05931" w:rsidRPr="0009258D">
        <w:rPr>
          <w:rStyle w:val="Referencingstyle"/>
        </w:rPr>
        <w:t>[</w:t>
      </w:r>
      <w:r w:rsidR="00C05931" w:rsidRPr="007358F4">
        <w:rPr>
          <w:rStyle w:val="Referencingstyle"/>
        </w:rPr>
        <w:t>Schedule #, item</w:t>
      </w:r>
      <w:r w:rsidR="00C05931">
        <w:rPr>
          <w:rStyle w:val="Referencingstyle"/>
        </w:rPr>
        <w:t xml:space="preserve"> 5, </w:t>
      </w:r>
      <w:r w:rsidR="00BC4A1C">
        <w:rPr>
          <w:rStyle w:val="Referencingstyle"/>
        </w:rPr>
        <w:t>sub</w:t>
      </w:r>
      <w:r w:rsidR="00C05931">
        <w:rPr>
          <w:rStyle w:val="Referencingstyle"/>
        </w:rPr>
        <w:t>section 110(</w:t>
      </w:r>
      <w:r w:rsidR="00366B95">
        <w:rPr>
          <w:rStyle w:val="Referencingstyle"/>
        </w:rPr>
        <w:t>3</w:t>
      </w:r>
      <w:r w:rsidR="00C05931">
        <w:rPr>
          <w:rStyle w:val="Referencingstyle"/>
        </w:rPr>
        <w:t>)</w:t>
      </w:r>
      <w:r w:rsidR="009867E8">
        <w:rPr>
          <w:rStyle w:val="Referencingstyle"/>
        </w:rPr>
        <w:t xml:space="preserve"> of the Credit Act</w:t>
      </w:r>
      <w:r w:rsidR="00C05931" w:rsidRPr="00AF3504">
        <w:rPr>
          <w:rStyle w:val="Referencingstyle"/>
        </w:rPr>
        <w:t>]</w:t>
      </w:r>
    </w:p>
    <w:p w14:paraId="4D643A9B" w14:textId="4B29E919" w:rsidR="00C05931" w:rsidRDefault="00C05931" w:rsidP="00C05931">
      <w:pPr>
        <w:pStyle w:val="base-text-paragraph"/>
      </w:pPr>
      <w:r>
        <w:t xml:space="preserve">The amendment </w:t>
      </w:r>
      <w:r w:rsidR="0009258D">
        <w:t>also enables the regulations to empower ASIC</w:t>
      </w:r>
      <w:r w:rsidR="004F0077">
        <w:t xml:space="preserve"> </w:t>
      </w:r>
      <w:r>
        <w:t xml:space="preserve">to make decisions regarding how the exemption starts and ceases to </w:t>
      </w:r>
      <w:r w:rsidR="00C82128">
        <w:t>apply</w:t>
      </w:r>
      <w:r>
        <w:t xml:space="preserve">. </w:t>
      </w:r>
      <w:r w:rsidR="0042700C">
        <w:t>This provides</w:t>
      </w:r>
      <w:r w:rsidR="00C82128">
        <w:t xml:space="preserve"> </w:t>
      </w:r>
      <w:r w:rsidR="00BE0F99">
        <w:t xml:space="preserve">that </w:t>
      </w:r>
      <w:r w:rsidR="00C82128">
        <w:t xml:space="preserve">the regulations </w:t>
      </w:r>
      <w:r w:rsidR="00BE0F99">
        <w:t>can enable</w:t>
      </w:r>
      <w:r w:rsidR="00C82128">
        <w:t xml:space="preserve"> ASIC to monitor access to the regime to prevent misuse of the licencing exemption and provide for effective arrangements to allow providers to transition out of the regulatory sandbox and become </w:t>
      </w:r>
      <w:r w:rsidR="00C82128" w:rsidRPr="0009258D">
        <w:t>licenced.</w:t>
      </w:r>
      <w:r w:rsidR="0042700C" w:rsidRPr="0009258D">
        <w:t xml:space="preserve"> </w:t>
      </w:r>
      <w:r w:rsidR="00B500B2" w:rsidRPr="0009258D">
        <w:t xml:space="preserve"> </w:t>
      </w:r>
      <w:r w:rsidRPr="0009258D">
        <w:rPr>
          <w:rStyle w:val="Referencingstyle"/>
        </w:rPr>
        <w:t>[Schedule #, item 5,</w:t>
      </w:r>
      <w:r>
        <w:rPr>
          <w:rStyle w:val="Referencingstyle"/>
        </w:rPr>
        <w:t xml:space="preserve"> </w:t>
      </w:r>
      <w:r w:rsidR="00BC4A1C">
        <w:rPr>
          <w:rStyle w:val="Referencingstyle"/>
        </w:rPr>
        <w:t>sub</w:t>
      </w:r>
      <w:r>
        <w:rPr>
          <w:rStyle w:val="Referencingstyle"/>
        </w:rPr>
        <w:t>section 110(</w:t>
      </w:r>
      <w:r w:rsidR="00366B95">
        <w:rPr>
          <w:rStyle w:val="Referencingstyle"/>
        </w:rPr>
        <w:t>4</w:t>
      </w:r>
      <w:r>
        <w:rPr>
          <w:rStyle w:val="Referencingstyle"/>
        </w:rPr>
        <w:t>)</w:t>
      </w:r>
      <w:r w:rsidR="009867E8">
        <w:rPr>
          <w:rStyle w:val="Referencingstyle"/>
        </w:rPr>
        <w:t xml:space="preserve"> of the Credit Act</w:t>
      </w:r>
      <w:r>
        <w:rPr>
          <w:rStyle w:val="Referencingstyle"/>
        </w:rPr>
        <w:t xml:space="preserve">] </w:t>
      </w:r>
    </w:p>
    <w:p w14:paraId="19291DC2" w14:textId="239D4704" w:rsidR="00C05931" w:rsidRDefault="004333F8" w:rsidP="00C05931">
      <w:pPr>
        <w:pStyle w:val="base-text-paragraph"/>
      </w:pPr>
      <w:r>
        <w:t>Under paragraph 327(1</w:t>
      </w:r>
      <w:proofErr w:type="gramStart"/>
      <w:r>
        <w:t>)(</w:t>
      </w:r>
      <w:proofErr w:type="spellStart"/>
      <w:proofErr w:type="gramEnd"/>
      <w:r>
        <w:t>i</w:t>
      </w:r>
      <w:proofErr w:type="spellEnd"/>
      <w:r>
        <w:t>) of the Credit Act, d</w:t>
      </w:r>
      <w:r w:rsidR="00C05931">
        <w:t xml:space="preserve">ecisions made by ASIC </w:t>
      </w:r>
      <w:r w:rsidR="007B2BAC">
        <w:t xml:space="preserve">are </w:t>
      </w:r>
      <w:r>
        <w:t xml:space="preserve"> only </w:t>
      </w:r>
      <w:r w:rsidR="00C05931">
        <w:t xml:space="preserve"> subject to AAT</w:t>
      </w:r>
      <w:r w:rsidR="00B500B2">
        <w:t xml:space="preserve"> review</w:t>
      </w:r>
      <w:r w:rsidR="00C05931">
        <w:t xml:space="preserve"> </w:t>
      </w:r>
      <w:r>
        <w:t>if the regulations specifically provide for this. As such, to ensure consistency of AAT review of ASIC decisions</w:t>
      </w:r>
      <w:r w:rsidR="00AD4070">
        <w:t xml:space="preserve"> across the Corporations and Credit Acts</w:t>
      </w:r>
      <w:r>
        <w:t>, the regulations need to specifically allow for AAT review</w:t>
      </w:r>
      <w:r w:rsidR="0004020D">
        <w:t xml:space="preserve"> for</w:t>
      </w:r>
      <w:r w:rsidR="00AD4070">
        <w:t xml:space="preserve"> </w:t>
      </w:r>
      <w:r w:rsidR="0009258D">
        <w:t>decisions ASIC make in relation to the exemption from the ACL requirements</w:t>
      </w:r>
      <w:r>
        <w:t xml:space="preserve">. </w:t>
      </w:r>
    </w:p>
    <w:p w14:paraId="1D95482C" w14:textId="77777777" w:rsidR="00FC48FD" w:rsidRDefault="00FC48FD" w:rsidP="001E0677">
      <w:pPr>
        <w:pStyle w:val="Heading2"/>
      </w:pPr>
      <w:r>
        <w:t>Consequential amendments</w:t>
      </w:r>
    </w:p>
    <w:p w14:paraId="469A8070" w14:textId="7842B3F4" w:rsidR="00316D94" w:rsidRDefault="006A45FC" w:rsidP="007B7313">
      <w:pPr>
        <w:pStyle w:val="base-text-paragraph"/>
      </w:pPr>
      <w:r>
        <w:t xml:space="preserve">Section </w:t>
      </w:r>
      <w:r w:rsidR="0009258D">
        <w:t xml:space="preserve">911B </w:t>
      </w:r>
      <w:r>
        <w:t>of the Corporations Act is amended to allow an entity that</w:t>
      </w:r>
      <w:r w:rsidR="00914F28">
        <w:t xml:space="preserve"> is exempt </w:t>
      </w:r>
      <w:r w:rsidR="00CB5603">
        <w:t>from</w:t>
      </w:r>
      <w:r w:rsidR="00914F28">
        <w:t xml:space="preserve"> the AFSL requirements because of the new extended regulation</w:t>
      </w:r>
      <w:r w:rsidR="00D95950">
        <w:t>-</w:t>
      </w:r>
      <w:r w:rsidR="00914F28">
        <w:t xml:space="preserve">making power to </w:t>
      </w:r>
      <w:r>
        <w:t>have authorised representative</w:t>
      </w:r>
      <w:r w:rsidR="00914F28">
        <w:t>s</w:t>
      </w:r>
      <w:r>
        <w:t xml:space="preserve">. </w:t>
      </w:r>
      <w:r w:rsidR="00877965" w:rsidRPr="0009258D">
        <w:rPr>
          <w:rStyle w:val="Referencingstyle"/>
        </w:rPr>
        <w:t>[Schedule #, item 1, paragraph</w:t>
      </w:r>
      <w:r w:rsidR="00877965">
        <w:rPr>
          <w:rStyle w:val="Referencingstyle"/>
        </w:rPr>
        <w:t xml:space="preserve"> 911B(1)(e)</w:t>
      </w:r>
      <w:r w:rsidR="009867E8">
        <w:rPr>
          <w:rStyle w:val="Referencingstyle"/>
        </w:rPr>
        <w:t xml:space="preserve"> of the Corporations Act</w:t>
      </w:r>
      <w:r w:rsidR="00877965">
        <w:rPr>
          <w:rStyle w:val="Referencingstyle"/>
        </w:rPr>
        <w:t xml:space="preserve">] </w:t>
      </w:r>
    </w:p>
    <w:p w14:paraId="2632A393" w14:textId="31FE8F01" w:rsidR="00316D94" w:rsidRDefault="00E6646B" w:rsidP="007B7313">
      <w:pPr>
        <w:pStyle w:val="base-text-paragraph"/>
      </w:pPr>
      <w:r w:rsidRPr="006A3E51">
        <w:rPr>
          <w:rStyle w:val="Referencingstyle"/>
          <w:b w:val="0"/>
          <w:i w:val="0"/>
          <w:sz w:val="22"/>
        </w:rPr>
        <w:t>As s</w:t>
      </w:r>
      <w:r w:rsidR="00316D94" w:rsidRPr="006A3E51">
        <w:rPr>
          <w:rStyle w:val="Referencingstyle"/>
          <w:b w:val="0"/>
          <w:i w:val="0"/>
          <w:sz w:val="22"/>
        </w:rPr>
        <w:t xml:space="preserve">ection 110 of the Credit Act </w:t>
      </w:r>
      <w:r w:rsidRPr="006A3E51">
        <w:rPr>
          <w:rStyle w:val="Referencingstyle"/>
          <w:b w:val="0"/>
          <w:i w:val="0"/>
          <w:sz w:val="22"/>
        </w:rPr>
        <w:t>h</w:t>
      </w:r>
      <w:r w:rsidR="00316D94" w:rsidRPr="006A3E51">
        <w:rPr>
          <w:rStyle w:val="Referencingstyle"/>
          <w:b w:val="0"/>
          <w:i w:val="0"/>
          <w:sz w:val="22"/>
        </w:rPr>
        <w:t xml:space="preserve">as been </w:t>
      </w:r>
      <w:r w:rsidR="006A3E51" w:rsidRPr="006A3E51">
        <w:rPr>
          <w:rStyle w:val="Referencingstyle"/>
          <w:b w:val="0"/>
          <w:i w:val="0"/>
          <w:sz w:val="22"/>
        </w:rPr>
        <w:t>modified to allow the regulations to provide conditional exemptions from the ACL requirements, a number of cross references have b</w:t>
      </w:r>
      <w:r w:rsidR="006A3E51" w:rsidRPr="0009258D">
        <w:rPr>
          <w:rStyle w:val="Referencingstyle"/>
          <w:b w:val="0"/>
          <w:i w:val="0"/>
          <w:sz w:val="22"/>
        </w:rPr>
        <w:t xml:space="preserve">een updated. </w:t>
      </w:r>
      <w:r w:rsidR="00316D94" w:rsidRPr="0009258D">
        <w:rPr>
          <w:rStyle w:val="Referencingstyle"/>
        </w:rPr>
        <w:t>[Schedule #, items 3, 6 and 7, paragraph 29(4)(d), subsection 160C(2) and paragraph 160C(3)(c)</w:t>
      </w:r>
      <w:r w:rsidR="009867E8" w:rsidRPr="0009258D">
        <w:rPr>
          <w:rStyle w:val="Referencingstyle"/>
        </w:rPr>
        <w:t xml:space="preserve"> of the Credit Act</w:t>
      </w:r>
      <w:r w:rsidR="00316D94" w:rsidRPr="00BF3618">
        <w:rPr>
          <w:rStyle w:val="Referencingstyle"/>
        </w:rPr>
        <w:t>]</w:t>
      </w:r>
      <w:r w:rsidR="00316D94" w:rsidRPr="006A3E51">
        <w:rPr>
          <w:rStyle w:val="Referencingstyle"/>
          <w:b w:val="0"/>
          <w:i w:val="0"/>
          <w:sz w:val="22"/>
        </w:rPr>
        <w:t xml:space="preserve"> </w:t>
      </w:r>
    </w:p>
    <w:p w14:paraId="3545A4F9" w14:textId="64E63B2E" w:rsidR="00DB1515" w:rsidRDefault="00DB1515" w:rsidP="00DB1515">
      <w:pPr>
        <w:pStyle w:val="Heading2"/>
      </w:pPr>
      <w:r>
        <w:t>Application</w:t>
      </w:r>
      <w:r w:rsidR="00AF55F2">
        <w:t xml:space="preserve"> and transitional provisions </w:t>
      </w:r>
    </w:p>
    <w:p w14:paraId="64A1E31F" w14:textId="25CB886B" w:rsidR="00DB1515" w:rsidRPr="00DB1515" w:rsidRDefault="002A3D6E" w:rsidP="00DB1515">
      <w:pPr>
        <w:pStyle w:val="base-text-paragraph"/>
      </w:pPr>
      <w:r>
        <w:t xml:space="preserve">The amendments in Schedule </w:t>
      </w:r>
      <w:r w:rsidRPr="00D72202">
        <w:t>#</w:t>
      </w:r>
      <w:r>
        <w:t xml:space="preserve"> of the Bill apply from the day after the </w:t>
      </w:r>
      <w:r w:rsidR="001B20F6">
        <w:t>B</w:t>
      </w:r>
      <w:r>
        <w:t xml:space="preserve">ill receives Royal Assent.  </w:t>
      </w:r>
    </w:p>
    <w:p w14:paraId="1D954830" w14:textId="4BD6B5AE" w:rsidR="00FC48FD" w:rsidRDefault="00DB1515" w:rsidP="00DB1515">
      <w:pPr>
        <w:pStyle w:val="Hiddentext"/>
      </w:pPr>
      <w:r>
        <w:t xml:space="preserve"> </w:t>
      </w:r>
      <w:r w:rsidR="00FC48FD">
        <w:t>Do not remove section break.</w:t>
      </w:r>
    </w:p>
    <w:p w14:paraId="1D954831" w14:textId="77777777" w:rsidR="00FC48FD" w:rsidRDefault="00FC48FD" w:rsidP="001E0677">
      <w:pPr>
        <w:sectPr w:rsidR="00FC48FD" w:rsidSect="001E0677">
          <w:headerReference w:type="even" r:id="rId29"/>
          <w:headerReference w:type="default" r:id="rId30"/>
          <w:footerReference w:type="even" r:id="rId31"/>
          <w:footerReference w:type="default" r:id="rId32"/>
          <w:footerReference w:type="first" r:id="rId33"/>
          <w:type w:val="oddPage"/>
          <w:pgSz w:w="11906" w:h="16838" w:code="9"/>
          <w:pgMar w:top="2466" w:right="2098" w:bottom="2466" w:left="2098" w:header="1559" w:footer="1899" w:gutter="0"/>
          <w:cols w:space="708"/>
          <w:titlePg/>
          <w:docGrid w:linePitch="360"/>
        </w:sectPr>
      </w:pPr>
    </w:p>
    <w:p w14:paraId="1D954841" w14:textId="77777777" w:rsidR="00FC48FD" w:rsidRPr="0023060E" w:rsidRDefault="00FC48FD" w:rsidP="001E0677">
      <w:pPr>
        <w:pStyle w:val="Hiddentext"/>
      </w:pPr>
      <w:r>
        <w:lastRenderedPageBreak/>
        <w:t>Do not remove section break.</w:t>
      </w:r>
    </w:p>
    <w:p w14:paraId="1D954850" w14:textId="77777777" w:rsidR="00D85BEA" w:rsidRPr="00200C32" w:rsidRDefault="00D85BEA"/>
    <w:sectPr w:rsidR="00D85BEA" w:rsidRPr="00200C32" w:rsidSect="00821379">
      <w:headerReference w:type="even" r:id="rId34"/>
      <w:headerReference w:type="default" r:id="rId35"/>
      <w:footerReference w:type="even" r:id="rId36"/>
      <w:footerReference w:type="default" r:id="rId37"/>
      <w:footerReference w:type="first" r:id="rId38"/>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A67EA" w14:textId="77777777" w:rsidR="00D246B0" w:rsidRDefault="00D246B0">
      <w:r>
        <w:separator/>
      </w:r>
    </w:p>
  </w:endnote>
  <w:endnote w:type="continuationSeparator" w:id="0">
    <w:p w14:paraId="447E516D" w14:textId="77777777" w:rsidR="00D246B0" w:rsidRDefault="00D246B0">
      <w:r>
        <w:continuationSeparator/>
      </w:r>
    </w:p>
  </w:endnote>
  <w:endnote w:type="continuationNotice" w:id="1">
    <w:p w14:paraId="41532A5E" w14:textId="77777777" w:rsidR="00D246B0" w:rsidRDefault="00D246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8" w14:textId="77777777" w:rsidR="00D246B0" w:rsidRDefault="00D246B0" w:rsidP="001E067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E" w14:textId="77777777" w:rsidR="00D246B0" w:rsidRDefault="00D246B0" w:rsidP="001E0677">
    <w:pPr>
      <w:pStyle w:val="rightfooter"/>
    </w:pPr>
    <w:r>
      <w:fldChar w:fldCharType="begin"/>
    </w:r>
    <w:r>
      <w:instrText xml:space="preserve"> PAGE   \* MERGEFORMAT </w:instrText>
    </w:r>
    <w:r>
      <w:fldChar w:fldCharType="separate"/>
    </w:r>
    <w:r w:rsidR="003F76DA">
      <w:rPr>
        <w:noProof/>
      </w:rPr>
      <w:t>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F" w14:textId="77777777" w:rsidR="00D246B0" w:rsidRDefault="00D246B0" w:rsidP="001E0677">
    <w:pPr>
      <w:pStyle w:val="rightfooter"/>
    </w:pPr>
    <w:r>
      <w:fldChar w:fldCharType="begin"/>
    </w:r>
    <w:r>
      <w:instrText xml:space="preserve"> PAGE  \* Arabic  \* MERGEFORMAT </w:instrText>
    </w:r>
    <w:r>
      <w:fldChar w:fldCharType="separate"/>
    </w:r>
    <w:r w:rsidR="003F76DA">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7C" w14:textId="77777777" w:rsidR="00D246B0" w:rsidRDefault="00D246B0"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7D" w14:textId="77777777" w:rsidR="00D246B0" w:rsidRDefault="00D246B0"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7E" w14:textId="77777777" w:rsidR="00D246B0" w:rsidRDefault="00D246B0" w:rsidP="005A76CC">
    <w:pPr>
      <w:pStyle w:val="rightfooter"/>
    </w:pPr>
    <w:r>
      <w:fldChar w:fldCharType="begin"/>
    </w:r>
    <w:r>
      <w:instrText xml:space="preserve"> PAGE  \* Arabic  \* MERGEFORMAT </w:instrText>
    </w:r>
    <w:r>
      <w:fldChar w:fldCharType="separate"/>
    </w:r>
    <w:r w:rsidR="003F76DA">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9" w14:textId="77777777" w:rsidR="00D246B0" w:rsidRDefault="00D246B0" w:rsidP="001E067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D" w14:textId="77777777" w:rsidR="00D246B0" w:rsidRDefault="00D246B0" w:rsidP="001E067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E" w14:textId="77777777" w:rsidR="00D246B0" w:rsidRDefault="00D246B0" w:rsidP="001E067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0" w14:textId="77777777" w:rsidR="00D246B0" w:rsidRPr="00B2068E" w:rsidRDefault="00D246B0" w:rsidP="001E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8" w14:textId="77777777" w:rsidR="00D246B0" w:rsidRDefault="00D246B0" w:rsidP="001E067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9" w14:textId="77777777" w:rsidR="00D246B0" w:rsidRDefault="00D246B0" w:rsidP="001E067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A" w14:textId="77777777" w:rsidR="00D246B0" w:rsidRDefault="00D246B0" w:rsidP="001E0677">
    <w:pPr>
      <w:pStyle w:val="rightfooter"/>
    </w:pPr>
    <w:r>
      <w:fldChar w:fldCharType="begin"/>
    </w:r>
    <w:r>
      <w:instrText xml:space="preserve"> PAGE  \* Arabic  \* MERGEFORMAT </w:instrText>
    </w:r>
    <w:r>
      <w:fldChar w:fldCharType="separate"/>
    </w:r>
    <w:r w:rsidR="003F76DA">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D" w14:textId="77777777" w:rsidR="00D246B0" w:rsidRDefault="00D246B0" w:rsidP="001E0677">
    <w:pPr>
      <w:pStyle w:val="leftfooter"/>
    </w:pPr>
    <w:r>
      <w:fldChar w:fldCharType="begin"/>
    </w:r>
    <w:r>
      <w:instrText xml:space="preserve"> PAGE   \* MERGEFORMAT </w:instrText>
    </w:r>
    <w:r>
      <w:fldChar w:fldCharType="separate"/>
    </w:r>
    <w:r w:rsidR="003F76DA">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802B0" w14:textId="77777777" w:rsidR="00D246B0" w:rsidRDefault="00D246B0">
      <w:r>
        <w:separator/>
      </w:r>
    </w:p>
  </w:footnote>
  <w:footnote w:type="continuationSeparator" w:id="0">
    <w:p w14:paraId="14DFBB52" w14:textId="77777777" w:rsidR="00D246B0" w:rsidRDefault="00D246B0">
      <w:r>
        <w:continuationSeparator/>
      </w:r>
    </w:p>
  </w:footnote>
  <w:footnote w:type="continuationNotice" w:id="1">
    <w:p w14:paraId="3E635F06" w14:textId="77777777" w:rsidR="00D246B0" w:rsidRDefault="00D246B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6" w14:textId="77777777" w:rsidR="00D246B0" w:rsidRDefault="00D246B0" w:rsidP="001E067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7A" w14:textId="77777777" w:rsidR="00D246B0" w:rsidRDefault="00D246B0"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7B" w14:textId="77777777" w:rsidR="00D246B0" w:rsidRDefault="00D246B0"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7" w14:textId="77777777" w:rsidR="00D246B0" w:rsidRDefault="00D246B0" w:rsidP="001E067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B" w14:textId="77777777" w:rsidR="00D246B0" w:rsidRDefault="00D246B0" w:rsidP="001E0677">
    <w:pPr>
      <w:pStyle w:val="leftheader"/>
    </w:pPr>
    <w:r>
      <w:fldChar w:fldCharType="begin"/>
    </w:r>
    <w:r>
      <w:instrText xml:space="preserve"> macrobutton nomacro [Click here and insert the name of the Bill] </w:instrTex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C" w14:textId="77777777" w:rsidR="00D246B0" w:rsidRDefault="00D246B0" w:rsidP="001E0677">
    <w:pPr>
      <w:pStyle w:val="rightheader"/>
    </w:pPr>
    <w:r>
      <w:fldChar w:fldCharType="begin"/>
    </w:r>
    <w:r>
      <w:instrText xml:space="preserve"> macrobutton nomacro [Click here and enter the name of the Chapter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5F" w14:textId="77777777" w:rsidR="00D246B0" w:rsidRDefault="00D246B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6" w14:textId="77777777" w:rsidR="00D246B0" w:rsidRDefault="00D246B0" w:rsidP="001E0677">
    <w:pPr>
      <w:pStyle w:val="leftheader"/>
    </w:pPr>
    <w:r>
      <w:fldChar w:fldCharType="begin"/>
    </w:r>
    <w:r>
      <w:instrText xml:space="preserve"> macrobutton nomacro [Click here and insert the name of the Bill] </w:instrTex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7" w14:textId="77777777" w:rsidR="00D246B0" w:rsidRDefault="00D246B0" w:rsidP="001E0677">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B" w14:textId="0DC0DA7B" w:rsidR="00D246B0" w:rsidRDefault="00D246B0" w:rsidP="001E0677">
    <w:pPr>
      <w:pStyle w:val="leftheader"/>
    </w:pPr>
    <w:r w:rsidRPr="009A1084">
      <w:t>TREASURY LAWS AMENDMENT (2017 MEASURES NO. #) BILL 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5486C" w14:textId="3A8A4E3E" w:rsidR="00D246B0" w:rsidRDefault="00D246B0" w:rsidP="001E0677">
    <w:pPr>
      <w:pStyle w:val="rightheader"/>
    </w:pPr>
    <w:r w:rsidRPr="009A1084">
      <w:t>Regulatory sandbox to test financial services and credit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2758EF"/>
    <w:multiLevelType w:val="hybridMultilevel"/>
    <w:tmpl w:val="1C9CE346"/>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BB44A84"/>
    <w:multiLevelType w:val="hybridMultilevel"/>
    <w:tmpl w:val="899CBA9A"/>
    <w:lvl w:ilvl="0" w:tplc="B0B6A4DC">
      <w:start w:val="1"/>
      <w:numFmt w:val="lowerLetter"/>
      <w:lvlText w:val="(%1)"/>
      <w:lvlJc w:val="left"/>
      <w:pPr>
        <w:ind w:left="1854" w:hanging="360"/>
      </w:pPr>
      <w:rPr>
        <w:rFonts w:hint="default"/>
      </w:rPr>
    </w:lvl>
    <w:lvl w:ilvl="1" w:tplc="A6269790">
      <w:start w:val="1"/>
      <w:numFmt w:val="lowerRoman"/>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FB3E18"/>
    <w:multiLevelType w:val="multilevel"/>
    <w:tmpl w:val="A316FE50"/>
    <w:numStyleLink w:val="ChapterList"/>
  </w:abstractNum>
  <w:abstractNum w:abstractNumId="24">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94529C2"/>
    <w:multiLevelType w:val="hybridMultilevel"/>
    <w:tmpl w:val="8368AAC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6">
    <w:nsid w:val="57761D6F"/>
    <w:multiLevelType w:val="hybridMultilevel"/>
    <w:tmpl w:val="8612ED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281CEB"/>
    <w:multiLevelType w:val="multilevel"/>
    <w:tmpl w:val="A316FE50"/>
    <w:numStyleLink w:val="ChapterList"/>
  </w:abstractNum>
  <w:abstractNum w:abstractNumId="29">
    <w:nsid w:val="65DF6494"/>
    <w:multiLevelType w:val="multilevel"/>
    <w:tmpl w:val="A316FE50"/>
    <w:numStyleLink w:val="ChapterList"/>
  </w:abstractNum>
  <w:abstractNum w:abstractNumId="30">
    <w:nsid w:val="6BE464A8"/>
    <w:multiLevelType w:val="hybridMultilevel"/>
    <w:tmpl w:val="9B742618"/>
    <w:lvl w:ilvl="0" w:tplc="AC3AA2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nsid w:val="6D302C09"/>
    <w:multiLevelType w:val="multilevel"/>
    <w:tmpl w:val="A316FE50"/>
    <w:numStyleLink w:val="ChapterList"/>
  </w:abstractNum>
  <w:abstractNum w:abstractNumId="3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932491D"/>
    <w:multiLevelType w:val="hybridMultilevel"/>
    <w:tmpl w:val="44DAEF4E"/>
    <w:lvl w:ilvl="0" w:tplc="0C090017">
      <w:start w:val="1"/>
      <w:numFmt w:val="lowerLetter"/>
      <w:lvlText w:val="%1)"/>
      <w:lvlJc w:val="left"/>
      <w:pPr>
        <w:ind w:left="2214" w:hanging="360"/>
      </w:pPr>
    </w:lvl>
    <w:lvl w:ilvl="1" w:tplc="0C090019">
      <w:start w:val="1"/>
      <w:numFmt w:val="lowerLetter"/>
      <w:lvlText w:val="%2."/>
      <w:lvlJc w:val="left"/>
      <w:pPr>
        <w:ind w:left="2934" w:hanging="360"/>
      </w:pPr>
    </w:lvl>
    <w:lvl w:ilvl="2" w:tplc="0C09001B" w:tentative="1">
      <w:start w:val="1"/>
      <w:numFmt w:val="lowerRoman"/>
      <w:lvlText w:val="%3."/>
      <w:lvlJc w:val="right"/>
      <w:pPr>
        <w:ind w:left="3654" w:hanging="180"/>
      </w:pPr>
    </w:lvl>
    <w:lvl w:ilvl="3" w:tplc="0C09000F" w:tentative="1">
      <w:start w:val="1"/>
      <w:numFmt w:val="decimal"/>
      <w:lvlText w:val="%4."/>
      <w:lvlJc w:val="left"/>
      <w:pPr>
        <w:ind w:left="4374" w:hanging="360"/>
      </w:pPr>
    </w:lvl>
    <w:lvl w:ilvl="4" w:tplc="0C090019" w:tentative="1">
      <w:start w:val="1"/>
      <w:numFmt w:val="lowerLetter"/>
      <w:lvlText w:val="%5."/>
      <w:lvlJc w:val="left"/>
      <w:pPr>
        <w:ind w:left="5094" w:hanging="360"/>
      </w:pPr>
    </w:lvl>
    <w:lvl w:ilvl="5" w:tplc="0C09001B" w:tentative="1">
      <w:start w:val="1"/>
      <w:numFmt w:val="lowerRoman"/>
      <w:lvlText w:val="%6."/>
      <w:lvlJc w:val="right"/>
      <w:pPr>
        <w:ind w:left="5814" w:hanging="180"/>
      </w:pPr>
    </w:lvl>
    <w:lvl w:ilvl="6" w:tplc="0C09000F" w:tentative="1">
      <w:start w:val="1"/>
      <w:numFmt w:val="decimal"/>
      <w:lvlText w:val="%7."/>
      <w:lvlJc w:val="left"/>
      <w:pPr>
        <w:ind w:left="6534" w:hanging="360"/>
      </w:pPr>
    </w:lvl>
    <w:lvl w:ilvl="7" w:tplc="0C090019" w:tentative="1">
      <w:start w:val="1"/>
      <w:numFmt w:val="lowerLetter"/>
      <w:lvlText w:val="%8."/>
      <w:lvlJc w:val="left"/>
      <w:pPr>
        <w:ind w:left="7254" w:hanging="360"/>
      </w:pPr>
    </w:lvl>
    <w:lvl w:ilvl="8" w:tplc="0C09001B" w:tentative="1">
      <w:start w:val="1"/>
      <w:numFmt w:val="lowerRoman"/>
      <w:lvlText w:val="%9."/>
      <w:lvlJc w:val="right"/>
      <w:pPr>
        <w:ind w:left="7974" w:hanging="180"/>
      </w:pPr>
    </w:lvl>
  </w:abstractNum>
  <w:abstractNum w:abstractNumId="3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7CAC208D"/>
    <w:multiLevelType w:val="multilevel"/>
    <w:tmpl w:val="A316FE50"/>
    <w:numStyleLink w:val="ChapterList"/>
  </w:abstractNum>
  <w:num w:numId="1">
    <w:abstractNumId w:val="22"/>
  </w:num>
  <w:num w:numId="2">
    <w:abstractNumId w:val="21"/>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32"/>
  </w:num>
  <w:num w:numId="17">
    <w:abstractNumId w:val="34"/>
  </w:num>
  <w:num w:numId="18">
    <w:abstractNumId w:val="10"/>
  </w:num>
  <w:num w:numId="19">
    <w:abstractNumId w:val="20"/>
  </w:num>
  <w:num w:numId="20">
    <w:abstractNumId w:val="24"/>
  </w:num>
  <w:num w:numId="21">
    <w:abstractNumId w:val="27"/>
  </w:num>
  <w:num w:numId="22">
    <w:abstractNumId w:val="14"/>
  </w:num>
  <w:num w:numId="23">
    <w:abstractNumId w:val="16"/>
  </w:num>
  <w:num w:numId="24">
    <w:abstractNumId w:val="31"/>
  </w:num>
  <w:num w:numId="25">
    <w:abstractNumId w:val="35"/>
  </w:num>
  <w:num w:numId="26">
    <w:abstractNumId w:val="28"/>
  </w:num>
  <w:num w:numId="27">
    <w:abstractNumId w:val="11"/>
  </w:num>
  <w:num w:numId="28">
    <w:abstractNumId w:val="23"/>
  </w:num>
  <w:num w:numId="29">
    <w:abstractNumId w:val="12"/>
  </w:num>
  <w:num w:numId="30">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9"/>
  </w:num>
  <w:num w:numId="32">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9"/>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33"/>
  </w:num>
  <w:num w:numId="35">
    <w:abstractNumId w:val="25"/>
  </w:num>
  <w:num w:numId="36">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13"/>
  </w:num>
  <w:num w:numId="39">
    <w:abstractNumId w:val="26"/>
  </w:num>
  <w:num w:numId="40">
    <w:abstractNumId w:val="29"/>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FD"/>
    <w:rsid w:val="00005CFC"/>
    <w:rsid w:val="00007173"/>
    <w:rsid w:val="00012F66"/>
    <w:rsid w:val="0002333B"/>
    <w:rsid w:val="00027A00"/>
    <w:rsid w:val="00030F56"/>
    <w:rsid w:val="000327A2"/>
    <w:rsid w:val="0003305A"/>
    <w:rsid w:val="00034BE8"/>
    <w:rsid w:val="0004020D"/>
    <w:rsid w:val="00042DBE"/>
    <w:rsid w:val="00050170"/>
    <w:rsid w:val="0005600E"/>
    <w:rsid w:val="00060758"/>
    <w:rsid w:val="000662FD"/>
    <w:rsid w:val="00066BB5"/>
    <w:rsid w:val="00067E1D"/>
    <w:rsid w:val="000705A5"/>
    <w:rsid w:val="000725C0"/>
    <w:rsid w:val="00075250"/>
    <w:rsid w:val="00076543"/>
    <w:rsid w:val="00076E86"/>
    <w:rsid w:val="000804AD"/>
    <w:rsid w:val="00082ACB"/>
    <w:rsid w:val="000835C7"/>
    <w:rsid w:val="00084211"/>
    <w:rsid w:val="00085C5D"/>
    <w:rsid w:val="0009055D"/>
    <w:rsid w:val="0009258D"/>
    <w:rsid w:val="000960B7"/>
    <w:rsid w:val="000A0AFD"/>
    <w:rsid w:val="000A2094"/>
    <w:rsid w:val="000A341E"/>
    <w:rsid w:val="000A558B"/>
    <w:rsid w:val="000A5B26"/>
    <w:rsid w:val="000A6DBE"/>
    <w:rsid w:val="000A7F9A"/>
    <w:rsid w:val="000B3B0C"/>
    <w:rsid w:val="000B7FBA"/>
    <w:rsid w:val="000C0062"/>
    <w:rsid w:val="000C06D9"/>
    <w:rsid w:val="000C106B"/>
    <w:rsid w:val="000C55BD"/>
    <w:rsid w:val="000C6BFA"/>
    <w:rsid w:val="000C74A5"/>
    <w:rsid w:val="000C793D"/>
    <w:rsid w:val="000D2566"/>
    <w:rsid w:val="000D54A6"/>
    <w:rsid w:val="000E089D"/>
    <w:rsid w:val="000E3846"/>
    <w:rsid w:val="000E5B9A"/>
    <w:rsid w:val="000F534E"/>
    <w:rsid w:val="000F7B5B"/>
    <w:rsid w:val="00101351"/>
    <w:rsid w:val="001114E6"/>
    <w:rsid w:val="00113E19"/>
    <w:rsid w:val="0011723B"/>
    <w:rsid w:val="001202F1"/>
    <w:rsid w:val="00121EB0"/>
    <w:rsid w:val="001224AA"/>
    <w:rsid w:val="00123D96"/>
    <w:rsid w:val="0012405D"/>
    <w:rsid w:val="00124E15"/>
    <w:rsid w:val="00131E0C"/>
    <w:rsid w:val="0014197C"/>
    <w:rsid w:val="00143D08"/>
    <w:rsid w:val="00147843"/>
    <w:rsid w:val="00147C1C"/>
    <w:rsid w:val="00151A0D"/>
    <w:rsid w:val="00174A29"/>
    <w:rsid w:val="001757E2"/>
    <w:rsid w:val="00180948"/>
    <w:rsid w:val="00181568"/>
    <w:rsid w:val="00181705"/>
    <w:rsid w:val="0018261F"/>
    <w:rsid w:val="001925C6"/>
    <w:rsid w:val="001966F5"/>
    <w:rsid w:val="001A0DED"/>
    <w:rsid w:val="001A7A18"/>
    <w:rsid w:val="001B20F6"/>
    <w:rsid w:val="001B46AE"/>
    <w:rsid w:val="001C31CF"/>
    <w:rsid w:val="001C5B74"/>
    <w:rsid w:val="001D5436"/>
    <w:rsid w:val="001E0677"/>
    <w:rsid w:val="001E5D57"/>
    <w:rsid w:val="001E6545"/>
    <w:rsid w:val="00200C32"/>
    <w:rsid w:val="00200E96"/>
    <w:rsid w:val="00201B36"/>
    <w:rsid w:val="00220D6C"/>
    <w:rsid w:val="00222D57"/>
    <w:rsid w:val="00231CBA"/>
    <w:rsid w:val="00234790"/>
    <w:rsid w:val="00236A1C"/>
    <w:rsid w:val="002418A3"/>
    <w:rsid w:val="00250154"/>
    <w:rsid w:val="00253E01"/>
    <w:rsid w:val="002576C7"/>
    <w:rsid w:val="00266048"/>
    <w:rsid w:val="00267EA7"/>
    <w:rsid w:val="00271859"/>
    <w:rsid w:val="0027194B"/>
    <w:rsid w:val="00272FD3"/>
    <w:rsid w:val="002748EB"/>
    <w:rsid w:val="00275E05"/>
    <w:rsid w:val="00275FAD"/>
    <w:rsid w:val="002857E2"/>
    <w:rsid w:val="00290D91"/>
    <w:rsid w:val="00292A6D"/>
    <w:rsid w:val="0029311C"/>
    <w:rsid w:val="0029711C"/>
    <w:rsid w:val="002A0F9F"/>
    <w:rsid w:val="002A3D6E"/>
    <w:rsid w:val="002A4F1C"/>
    <w:rsid w:val="002A64A2"/>
    <w:rsid w:val="002B0DEE"/>
    <w:rsid w:val="002C43E8"/>
    <w:rsid w:val="002C5B64"/>
    <w:rsid w:val="002D2436"/>
    <w:rsid w:val="002D2EC7"/>
    <w:rsid w:val="002D5F73"/>
    <w:rsid w:val="002D6555"/>
    <w:rsid w:val="002E1A88"/>
    <w:rsid w:val="002E3A4D"/>
    <w:rsid w:val="002E54E8"/>
    <w:rsid w:val="002E5699"/>
    <w:rsid w:val="002E5FD3"/>
    <w:rsid w:val="002E793F"/>
    <w:rsid w:val="002F0D05"/>
    <w:rsid w:val="002F2244"/>
    <w:rsid w:val="002F3991"/>
    <w:rsid w:val="002F75B0"/>
    <w:rsid w:val="002F7A7C"/>
    <w:rsid w:val="002F7B8E"/>
    <w:rsid w:val="0030256C"/>
    <w:rsid w:val="00305407"/>
    <w:rsid w:val="00316D94"/>
    <w:rsid w:val="00320374"/>
    <w:rsid w:val="00325BF0"/>
    <w:rsid w:val="0033339F"/>
    <w:rsid w:val="00342993"/>
    <w:rsid w:val="00344424"/>
    <w:rsid w:val="00345CCB"/>
    <w:rsid w:val="00346BEB"/>
    <w:rsid w:val="003501C2"/>
    <w:rsid w:val="003505E3"/>
    <w:rsid w:val="003626C2"/>
    <w:rsid w:val="00366B95"/>
    <w:rsid w:val="0036787F"/>
    <w:rsid w:val="00370AE1"/>
    <w:rsid w:val="00370CF4"/>
    <w:rsid w:val="003719A4"/>
    <w:rsid w:val="00373555"/>
    <w:rsid w:val="00376FAF"/>
    <w:rsid w:val="00377856"/>
    <w:rsid w:val="00377CD4"/>
    <w:rsid w:val="0038260E"/>
    <w:rsid w:val="00386A6F"/>
    <w:rsid w:val="00387BAB"/>
    <w:rsid w:val="00390E94"/>
    <w:rsid w:val="0039248D"/>
    <w:rsid w:val="0039393B"/>
    <w:rsid w:val="0039400F"/>
    <w:rsid w:val="0039422D"/>
    <w:rsid w:val="003953B9"/>
    <w:rsid w:val="003A05BE"/>
    <w:rsid w:val="003A1BCB"/>
    <w:rsid w:val="003A311E"/>
    <w:rsid w:val="003A5A84"/>
    <w:rsid w:val="003A5D7E"/>
    <w:rsid w:val="003A75F1"/>
    <w:rsid w:val="003B076F"/>
    <w:rsid w:val="003B2C77"/>
    <w:rsid w:val="003B550D"/>
    <w:rsid w:val="003B694B"/>
    <w:rsid w:val="003C1301"/>
    <w:rsid w:val="003C5BA3"/>
    <w:rsid w:val="003D4DFE"/>
    <w:rsid w:val="003D6FD9"/>
    <w:rsid w:val="003D734D"/>
    <w:rsid w:val="003D7F02"/>
    <w:rsid w:val="003E0794"/>
    <w:rsid w:val="003E5EE9"/>
    <w:rsid w:val="003E63E8"/>
    <w:rsid w:val="003E68F7"/>
    <w:rsid w:val="003F096C"/>
    <w:rsid w:val="003F2F62"/>
    <w:rsid w:val="003F4BD0"/>
    <w:rsid w:val="003F76DA"/>
    <w:rsid w:val="00403CF1"/>
    <w:rsid w:val="00411C02"/>
    <w:rsid w:val="004123D0"/>
    <w:rsid w:val="00412CAB"/>
    <w:rsid w:val="00414A88"/>
    <w:rsid w:val="0041625B"/>
    <w:rsid w:val="0042700C"/>
    <w:rsid w:val="004333F8"/>
    <w:rsid w:val="0043366C"/>
    <w:rsid w:val="00433B1D"/>
    <w:rsid w:val="00433FD9"/>
    <w:rsid w:val="00436054"/>
    <w:rsid w:val="004375A3"/>
    <w:rsid w:val="00440CDE"/>
    <w:rsid w:val="00441D38"/>
    <w:rsid w:val="00442FB9"/>
    <w:rsid w:val="0044391B"/>
    <w:rsid w:val="004442F2"/>
    <w:rsid w:val="00450276"/>
    <w:rsid w:val="00450635"/>
    <w:rsid w:val="00451BB3"/>
    <w:rsid w:val="00453ECB"/>
    <w:rsid w:val="00457BC3"/>
    <w:rsid w:val="00460019"/>
    <w:rsid w:val="00461DDD"/>
    <w:rsid w:val="00465A34"/>
    <w:rsid w:val="00470181"/>
    <w:rsid w:val="004710EB"/>
    <w:rsid w:val="00475D9F"/>
    <w:rsid w:val="00480C91"/>
    <w:rsid w:val="004836D2"/>
    <w:rsid w:val="00483A94"/>
    <w:rsid w:val="0048528D"/>
    <w:rsid w:val="0049075A"/>
    <w:rsid w:val="00493810"/>
    <w:rsid w:val="00494C80"/>
    <w:rsid w:val="004A51A7"/>
    <w:rsid w:val="004A7A04"/>
    <w:rsid w:val="004B156D"/>
    <w:rsid w:val="004B5077"/>
    <w:rsid w:val="004B755A"/>
    <w:rsid w:val="004C1468"/>
    <w:rsid w:val="004C4A79"/>
    <w:rsid w:val="004D4F62"/>
    <w:rsid w:val="004D6B85"/>
    <w:rsid w:val="004D6C41"/>
    <w:rsid w:val="004E161F"/>
    <w:rsid w:val="004E6082"/>
    <w:rsid w:val="004E609E"/>
    <w:rsid w:val="004F0077"/>
    <w:rsid w:val="00502551"/>
    <w:rsid w:val="00504D4A"/>
    <w:rsid w:val="005052B0"/>
    <w:rsid w:val="0050652E"/>
    <w:rsid w:val="00514FF9"/>
    <w:rsid w:val="0051552C"/>
    <w:rsid w:val="00515E69"/>
    <w:rsid w:val="005177DF"/>
    <w:rsid w:val="00517B68"/>
    <w:rsid w:val="005208F0"/>
    <w:rsid w:val="00523617"/>
    <w:rsid w:val="005255EA"/>
    <w:rsid w:val="00530863"/>
    <w:rsid w:val="0053190C"/>
    <w:rsid w:val="005408E6"/>
    <w:rsid w:val="0054118C"/>
    <w:rsid w:val="0054284D"/>
    <w:rsid w:val="0054566A"/>
    <w:rsid w:val="00555724"/>
    <w:rsid w:val="00555D38"/>
    <w:rsid w:val="00560C14"/>
    <w:rsid w:val="0056567B"/>
    <w:rsid w:val="0057414C"/>
    <w:rsid w:val="00580C19"/>
    <w:rsid w:val="0058376E"/>
    <w:rsid w:val="00585AFF"/>
    <w:rsid w:val="005A5348"/>
    <w:rsid w:val="005A5BB3"/>
    <w:rsid w:val="005A6C2D"/>
    <w:rsid w:val="005A76CC"/>
    <w:rsid w:val="005B22C7"/>
    <w:rsid w:val="005B3732"/>
    <w:rsid w:val="005B546F"/>
    <w:rsid w:val="005C0475"/>
    <w:rsid w:val="005C2B1A"/>
    <w:rsid w:val="005C681C"/>
    <w:rsid w:val="005C6D52"/>
    <w:rsid w:val="005C6FB4"/>
    <w:rsid w:val="005D0F90"/>
    <w:rsid w:val="005E0E7F"/>
    <w:rsid w:val="005E0F46"/>
    <w:rsid w:val="005E741D"/>
    <w:rsid w:val="005E77E1"/>
    <w:rsid w:val="005F5EBB"/>
    <w:rsid w:val="0060211C"/>
    <w:rsid w:val="0060484B"/>
    <w:rsid w:val="006071CA"/>
    <w:rsid w:val="006071E9"/>
    <w:rsid w:val="00616FA6"/>
    <w:rsid w:val="00620D7E"/>
    <w:rsid w:val="00621923"/>
    <w:rsid w:val="0062315B"/>
    <w:rsid w:val="006412C3"/>
    <w:rsid w:val="006455A4"/>
    <w:rsid w:val="006521D2"/>
    <w:rsid w:val="00653DA2"/>
    <w:rsid w:val="00654EE8"/>
    <w:rsid w:val="00657E3C"/>
    <w:rsid w:val="006612A7"/>
    <w:rsid w:val="006637E9"/>
    <w:rsid w:val="006655F9"/>
    <w:rsid w:val="006712FD"/>
    <w:rsid w:val="00676AC8"/>
    <w:rsid w:val="00677A42"/>
    <w:rsid w:val="00680E20"/>
    <w:rsid w:val="006857AE"/>
    <w:rsid w:val="00686749"/>
    <w:rsid w:val="00687863"/>
    <w:rsid w:val="006916A8"/>
    <w:rsid w:val="006A3E51"/>
    <w:rsid w:val="006A45FC"/>
    <w:rsid w:val="006A4718"/>
    <w:rsid w:val="006B34E8"/>
    <w:rsid w:val="006B7A87"/>
    <w:rsid w:val="006C3CEB"/>
    <w:rsid w:val="006C751D"/>
    <w:rsid w:val="006D1CD9"/>
    <w:rsid w:val="006D1E6E"/>
    <w:rsid w:val="006D4184"/>
    <w:rsid w:val="006D4CA4"/>
    <w:rsid w:val="006D737B"/>
    <w:rsid w:val="006E01A2"/>
    <w:rsid w:val="006E08FB"/>
    <w:rsid w:val="006E60FD"/>
    <w:rsid w:val="006F7AFB"/>
    <w:rsid w:val="006F7D18"/>
    <w:rsid w:val="007001D0"/>
    <w:rsid w:val="007036AE"/>
    <w:rsid w:val="00703C25"/>
    <w:rsid w:val="00707D39"/>
    <w:rsid w:val="00710171"/>
    <w:rsid w:val="00714AA9"/>
    <w:rsid w:val="007155B4"/>
    <w:rsid w:val="0072435A"/>
    <w:rsid w:val="00725B4F"/>
    <w:rsid w:val="007329C5"/>
    <w:rsid w:val="007358F4"/>
    <w:rsid w:val="00736240"/>
    <w:rsid w:val="00741D68"/>
    <w:rsid w:val="007439D0"/>
    <w:rsid w:val="00745241"/>
    <w:rsid w:val="007454F8"/>
    <w:rsid w:val="0074788A"/>
    <w:rsid w:val="00752F56"/>
    <w:rsid w:val="00753239"/>
    <w:rsid w:val="0076290D"/>
    <w:rsid w:val="00762AAE"/>
    <w:rsid w:val="00762D28"/>
    <w:rsid w:val="007652BC"/>
    <w:rsid w:val="00766B32"/>
    <w:rsid w:val="00774214"/>
    <w:rsid w:val="007871CD"/>
    <w:rsid w:val="00790590"/>
    <w:rsid w:val="00790795"/>
    <w:rsid w:val="00792ECD"/>
    <w:rsid w:val="00793F75"/>
    <w:rsid w:val="007966EF"/>
    <w:rsid w:val="00797FEE"/>
    <w:rsid w:val="007A1BCB"/>
    <w:rsid w:val="007A2092"/>
    <w:rsid w:val="007A44E3"/>
    <w:rsid w:val="007A4C99"/>
    <w:rsid w:val="007A68F6"/>
    <w:rsid w:val="007A6EAE"/>
    <w:rsid w:val="007B188B"/>
    <w:rsid w:val="007B23EE"/>
    <w:rsid w:val="007B2BAC"/>
    <w:rsid w:val="007B7313"/>
    <w:rsid w:val="007C04AB"/>
    <w:rsid w:val="007C44AA"/>
    <w:rsid w:val="007D1821"/>
    <w:rsid w:val="007D71D6"/>
    <w:rsid w:val="007E25E0"/>
    <w:rsid w:val="007E3C31"/>
    <w:rsid w:val="007F5B1F"/>
    <w:rsid w:val="00812736"/>
    <w:rsid w:val="00813210"/>
    <w:rsid w:val="00813CB2"/>
    <w:rsid w:val="008147F1"/>
    <w:rsid w:val="00815D6D"/>
    <w:rsid w:val="00820539"/>
    <w:rsid w:val="008212B5"/>
    <w:rsid w:val="00821379"/>
    <w:rsid w:val="00827930"/>
    <w:rsid w:val="00830A28"/>
    <w:rsid w:val="00832743"/>
    <w:rsid w:val="00835001"/>
    <w:rsid w:val="00844687"/>
    <w:rsid w:val="00855D57"/>
    <w:rsid w:val="0086643D"/>
    <w:rsid w:val="00867F0F"/>
    <w:rsid w:val="008752F1"/>
    <w:rsid w:val="00877965"/>
    <w:rsid w:val="00877A04"/>
    <w:rsid w:val="008803A5"/>
    <w:rsid w:val="00881158"/>
    <w:rsid w:val="00885BE8"/>
    <w:rsid w:val="00890245"/>
    <w:rsid w:val="008923A4"/>
    <w:rsid w:val="0089423E"/>
    <w:rsid w:val="00897632"/>
    <w:rsid w:val="008A2D68"/>
    <w:rsid w:val="008A35FA"/>
    <w:rsid w:val="008B0747"/>
    <w:rsid w:val="008B095D"/>
    <w:rsid w:val="008B31CE"/>
    <w:rsid w:val="008B3E47"/>
    <w:rsid w:val="008B56B5"/>
    <w:rsid w:val="008C359D"/>
    <w:rsid w:val="008C51F4"/>
    <w:rsid w:val="008C68A9"/>
    <w:rsid w:val="008C75A4"/>
    <w:rsid w:val="008C7B97"/>
    <w:rsid w:val="008D0AE4"/>
    <w:rsid w:val="008D4C40"/>
    <w:rsid w:val="008D75E9"/>
    <w:rsid w:val="008D7BF2"/>
    <w:rsid w:val="008E143F"/>
    <w:rsid w:val="008E7989"/>
    <w:rsid w:val="008F1A67"/>
    <w:rsid w:val="008F726E"/>
    <w:rsid w:val="00901ED2"/>
    <w:rsid w:val="00905066"/>
    <w:rsid w:val="009125BB"/>
    <w:rsid w:val="00914F28"/>
    <w:rsid w:val="00915FA5"/>
    <w:rsid w:val="009175CC"/>
    <w:rsid w:val="00917DED"/>
    <w:rsid w:val="009205F9"/>
    <w:rsid w:val="00922787"/>
    <w:rsid w:val="00922E2B"/>
    <w:rsid w:val="00926E36"/>
    <w:rsid w:val="00935C6B"/>
    <w:rsid w:val="00937B71"/>
    <w:rsid w:val="00940BFD"/>
    <w:rsid w:val="0095290C"/>
    <w:rsid w:val="009530DE"/>
    <w:rsid w:val="00953F17"/>
    <w:rsid w:val="009554BC"/>
    <w:rsid w:val="009615B2"/>
    <w:rsid w:val="0096411E"/>
    <w:rsid w:val="00973550"/>
    <w:rsid w:val="009759C8"/>
    <w:rsid w:val="00976A34"/>
    <w:rsid w:val="009867E8"/>
    <w:rsid w:val="0099357F"/>
    <w:rsid w:val="009973BE"/>
    <w:rsid w:val="009977B4"/>
    <w:rsid w:val="00997812"/>
    <w:rsid w:val="009A1084"/>
    <w:rsid w:val="009A2644"/>
    <w:rsid w:val="009A2B11"/>
    <w:rsid w:val="009A3DF1"/>
    <w:rsid w:val="009A4908"/>
    <w:rsid w:val="009B0AB7"/>
    <w:rsid w:val="009B2AD6"/>
    <w:rsid w:val="009B3657"/>
    <w:rsid w:val="009B6E7E"/>
    <w:rsid w:val="009C380E"/>
    <w:rsid w:val="009C783E"/>
    <w:rsid w:val="009E5ACA"/>
    <w:rsid w:val="009E6C76"/>
    <w:rsid w:val="00A005FE"/>
    <w:rsid w:val="00A01492"/>
    <w:rsid w:val="00A02C8B"/>
    <w:rsid w:val="00A02F75"/>
    <w:rsid w:val="00A03E30"/>
    <w:rsid w:val="00A047BC"/>
    <w:rsid w:val="00A04A9F"/>
    <w:rsid w:val="00A07DDF"/>
    <w:rsid w:val="00A1128B"/>
    <w:rsid w:val="00A22C72"/>
    <w:rsid w:val="00A27B13"/>
    <w:rsid w:val="00A27B94"/>
    <w:rsid w:val="00A31F8E"/>
    <w:rsid w:val="00A32143"/>
    <w:rsid w:val="00A332EA"/>
    <w:rsid w:val="00A361EE"/>
    <w:rsid w:val="00A37F77"/>
    <w:rsid w:val="00A44E9C"/>
    <w:rsid w:val="00A516CB"/>
    <w:rsid w:val="00A53EB2"/>
    <w:rsid w:val="00A53F0D"/>
    <w:rsid w:val="00A54CD3"/>
    <w:rsid w:val="00A575AE"/>
    <w:rsid w:val="00A61078"/>
    <w:rsid w:val="00A625FB"/>
    <w:rsid w:val="00A65D09"/>
    <w:rsid w:val="00A7058E"/>
    <w:rsid w:val="00A722B0"/>
    <w:rsid w:val="00A834B8"/>
    <w:rsid w:val="00A86F1A"/>
    <w:rsid w:val="00A9159F"/>
    <w:rsid w:val="00A91A9E"/>
    <w:rsid w:val="00A9275F"/>
    <w:rsid w:val="00A93921"/>
    <w:rsid w:val="00A93EF3"/>
    <w:rsid w:val="00A94E24"/>
    <w:rsid w:val="00A96322"/>
    <w:rsid w:val="00A97C1A"/>
    <w:rsid w:val="00AA20C9"/>
    <w:rsid w:val="00AA2141"/>
    <w:rsid w:val="00AA297F"/>
    <w:rsid w:val="00AA50D8"/>
    <w:rsid w:val="00AA5524"/>
    <w:rsid w:val="00AA6AC4"/>
    <w:rsid w:val="00AA6D9F"/>
    <w:rsid w:val="00AB5EE3"/>
    <w:rsid w:val="00AD1AAD"/>
    <w:rsid w:val="00AD29CE"/>
    <w:rsid w:val="00AD4070"/>
    <w:rsid w:val="00AD4ABE"/>
    <w:rsid w:val="00AD687A"/>
    <w:rsid w:val="00AD6DC4"/>
    <w:rsid w:val="00AD6E17"/>
    <w:rsid w:val="00AE23F9"/>
    <w:rsid w:val="00AF0A9F"/>
    <w:rsid w:val="00AF0EB2"/>
    <w:rsid w:val="00AF3340"/>
    <w:rsid w:val="00AF55F2"/>
    <w:rsid w:val="00B00C37"/>
    <w:rsid w:val="00B07898"/>
    <w:rsid w:val="00B10D7C"/>
    <w:rsid w:val="00B206C1"/>
    <w:rsid w:val="00B31641"/>
    <w:rsid w:val="00B31C6D"/>
    <w:rsid w:val="00B321BE"/>
    <w:rsid w:val="00B34019"/>
    <w:rsid w:val="00B3403E"/>
    <w:rsid w:val="00B36F17"/>
    <w:rsid w:val="00B37752"/>
    <w:rsid w:val="00B4319D"/>
    <w:rsid w:val="00B45E1C"/>
    <w:rsid w:val="00B500B2"/>
    <w:rsid w:val="00B574A8"/>
    <w:rsid w:val="00B61A09"/>
    <w:rsid w:val="00B6273D"/>
    <w:rsid w:val="00B627C0"/>
    <w:rsid w:val="00B64794"/>
    <w:rsid w:val="00B654ED"/>
    <w:rsid w:val="00B67600"/>
    <w:rsid w:val="00B725B1"/>
    <w:rsid w:val="00B7388C"/>
    <w:rsid w:val="00B7408F"/>
    <w:rsid w:val="00B74473"/>
    <w:rsid w:val="00B75DB6"/>
    <w:rsid w:val="00B85535"/>
    <w:rsid w:val="00B857F9"/>
    <w:rsid w:val="00B90C35"/>
    <w:rsid w:val="00B93631"/>
    <w:rsid w:val="00B93A5C"/>
    <w:rsid w:val="00B94871"/>
    <w:rsid w:val="00B94FB4"/>
    <w:rsid w:val="00B95DF3"/>
    <w:rsid w:val="00B97D76"/>
    <w:rsid w:val="00BA2235"/>
    <w:rsid w:val="00BA2903"/>
    <w:rsid w:val="00BA37BC"/>
    <w:rsid w:val="00BA3FE6"/>
    <w:rsid w:val="00BA4185"/>
    <w:rsid w:val="00BA728F"/>
    <w:rsid w:val="00BC33C9"/>
    <w:rsid w:val="00BC36C0"/>
    <w:rsid w:val="00BC3DB1"/>
    <w:rsid w:val="00BC4A1C"/>
    <w:rsid w:val="00BC761C"/>
    <w:rsid w:val="00BD4513"/>
    <w:rsid w:val="00BE0BBF"/>
    <w:rsid w:val="00BE0F99"/>
    <w:rsid w:val="00BE47D8"/>
    <w:rsid w:val="00BE681A"/>
    <w:rsid w:val="00BF1C59"/>
    <w:rsid w:val="00BF3618"/>
    <w:rsid w:val="00BF760D"/>
    <w:rsid w:val="00C01588"/>
    <w:rsid w:val="00C02DEC"/>
    <w:rsid w:val="00C030BF"/>
    <w:rsid w:val="00C03AF3"/>
    <w:rsid w:val="00C05595"/>
    <w:rsid w:val="00C05931"/>
    <w:rsid w:val="00C134FB"/>
    <w:rsid w:val="00C1738A"/>
    <w:rsid w:val="00C23DD8"/>
    <w:rsid w:val="00C26CB0"/>
    <w:rsid w:val="00C27414"/>
    <w:rsid w:val="00C32240"/>
    <w:rsid w:val="00C33E49"/>
    <w:rsid w:val="00C44393"/>
    <w:rsid w:val="00C44D85"/>
    <w:rsid w:val="00C55D39"/>
    <w:rsid w:val="00C61A21"/>
    <w:rsid w:val="00C63267"/>
    <w:rsid w:val="00C643DF"/>
    <w:rsid w:val="00C744BC"/>
    <w:rsid w:val="00C82128"/>
    <w:rsid w:val="00C8648B"/>
    <w:rsid w:val="00C947E7"/>
    <w:rsid w:val="00C951A5"/>
    <w:rsid w:val="00C978EF"/>
    <w:rsid w:val="00CA1500"/>
    <w:rsid w:val="00CA5DB7"/>
    <w:rsid w:val="00CA5F63"/>
    <w:rsid w:val="00CA7CDA"/>
    <w:rsid w:val="00CB007F"/>
    <w:rsid w:val="00CB4BB0"/>
    <w:rsid w:val="00CB5603"/>
    <w:rsid w:val="00CB6473"/>
    <w:rsid w:val="00CB768E"/>
    <w:rsid w:val="00CC09C5"/>
    <w:rsid w:val="00CC51D2"/>
    <w:rsid w:val="00CC5A10"/>
    <w:rsid w:val="00CC6161"/>
    <w:rsid w:val="00CD1FA8"/>
    <w:rsid w:val="00CD5187"/>
    <w:rsid w:val="00CE04D9"/>
    <w:rsid w:val="00CE1CB4"/>
    <w:rsid w:val="00CE218A"/>
    <w:rsid w:val="00CE2D3A"/>
    <w:rsid w:val="00CE4136"/>
    <w:rsid w:val="00CE5590"/>
    <w:rsid w:val="00CF0BDF"/>
    <w:rsid w:val="00CF3913"/>
    <w:rsid w:val="00CF5226"/>
    <w:rsid w:val="00CF5EE9"/>
    <w:rsid w:val="00CF670E"/>
    <w:rsid w:val="00D01826"/>
    <w:rsid w:val="00D01E95"/>
    <w:rsid w:val="00D11D73"/>
    <w:rsid w:val="00D15430"/>
    <w:rsid w:val="00D155F4"/>
    <w:rsid w:val="00D22699"/>
    <w:rsid w:val="00D23100"/>
    <w:rsid w:val="00D246B0"/>
    <w:rsid w:val="00D27EC7"/>
    <w:rsid w:val="00D363E1"/>
    <w:rsid w:val="00D372B4"/>
    <w:rsid w:val="00D4029F"/>
    <w:rsid w:val="00D43F47"/>
    <w:rsid w:val="00D4652C"/>
    <w:rsid w:val="00D51B27"/>
    <w:rsid w:val="00D522E9"/>
    <w:rsid w:val="00D559C8"/>
    <w:rsid w:val="00D57271"/>
    <w:rsid w:val="00D66F0C"/>
    <w:rsid w:val="00D67ADC"/>
    <w:rsid w:val="00D71660"/>
    <w:rsid w:val="00D72202"/>
    <w:rsid w:val="00D728CE"/>
    <w:rsid w:val="00D75FB3"/>
    <w:rsid w:val="00D76047"/>
    <w:rsid w:val="00D768BC"/>
    <w:rsid w:val="00D85B38"/>
    <w:rsid w:val="00D85BEA"/>
    <w:rsid w:val="00D90D9C"/>
    <w:rsid w:val="00D90E97"/>
    <w:rsid w:val="00D93657"/>
    <w:rsid w:val="00D95950"/>
    <w:rsid w:val="00D96329"/>
    <w:rsid w:val="00D963F2"/>
    <w:rsid w:val="00DA6CE1"/>
    <w:rsid w:val="00DA72C6"/>
    <w:rsid w:val="00DB1515"/>
    <w:rsid w:val="00DB1F26"/>
    <w:rsid w:val="00DB2C32"/>
    <w:rsid w:val="00DB36FF"/>
    <w:rsid w:val="00DB4106"/>
    <w:rsid w:val="00DD2EC4"/>
    <w:rsid w:val="00DD6306"/>
    <w:rsid w:val="00DE2E40"/>
    <w:rsid w:val="00DF1103"/>
    <w:rsid w:val="00DF5EC2"/>
    <w:rsid w:val="00DF699E"/>
    <w:rsid w:val="00E01A29"/>
    <w:rsid w:val="00E10DF6"/>
    <w:rsid w:val="00E110EE"/>
    <w:rsid w:val="00E16DA6"/>
    <w:rsid w:val="00E16EF2"/>
    <w:rsid w:val="00E177B3"/>
    <w:rsid w:val="00E2061C"/>
    <w:rsid w:val="00E2172D"/>
    <w:rsid w:val="00E22329"/>
    <w:rsid w:val="00E31B34"/>
    <w:rsid w:val="00E33716"/>
    <w:rsid w:val="00E34786"/>
    <w:rsid w:val="00E35A40"/>
    <w:rsid w:val="00E47DF5"/>
    <w:rsid w:val="00E509B6"/>
    <w:rsid w:val="00E54185"/>
    <w:rsid w:val="00E572D6"/>
    <w:rsid w:val="00E62E8C"/>
    <w:rsid w:val="00E6646B"/>
    <w:rsid w:val="00E729C1"/>
    <w:rsid w:val="00E7365D"/>
    <w:rsid w:val="00E74BDE"/>
    <w:rsid w:val="00E80C57"/>
    <w:rsid w:val="00E85785"/>
    <w:rsid w:val="00E87729"/>
    <w:rsid w:val="00E91A7C"/>
    <w:rsid w:val="00E92486"/>
    <w:rsid w:val="00E92A11"/>
    <w:rsid w:val="00E943D0"/>
    <w:rsid w:val="00E97706"/>
    <w:rsid w:val="00E97E53"/>
    <w:rsid w:val="00EA3734"/>
    <w:rsid w:val="00EB16AF"/>
    <w:rsid w:val="00ED3714"/>
    <w:rsid w:val="00ED50A3"/>
    <w:rsid w:val="00EE44B1"/>
    <w:rsid w:val="00EE6E4A"/>
    <w:rsid w:val="00EE7884"/>
    <w:rsid w:val="00EF521D"/>
    <w:rsid w:val="00EF72BE"/>
    <w:rsid w:val="00EF789C"/>
    <w:rsid w:val="00F053A1"/>
    <w:rsid w:val="00F05754"/>
    <w:rsid w:val="00F07441"/>
    <w:rsid w:val="00F14312"/>
    <w:rsid w:val="00F1601D"/>
    <w:rsid w:val="00F24CE5"/>
    <w:rsid w:val="00F27E8E"/>
    <w:rsid w:val="00F31EDC"/>
    <w:rsid w:val="00F43907"/>
    <w:rsid w:val="00F51A71"/>
    <w:rsid w:val="00F54365"/>
    <w:rsid w:val="00F605D2"/>
    <w:rsid w:val="00F634E1"/>
    <w:rsid w:val="00F7111F"/>
    <w:rsid w:val="00F77FF8"/>
    <w:rsid w:val="00F81971"/>
    <w:rsid w:val="00F853D1"/>
    <w:rsid w:val="00F86732"/>
    <w:rsid w:val="00F87253"/>
    <w:rsid w:val="00F87F97"/>
    <w:rsid w:val="00F918CE"/>
    <w:rsid w:val="00F923B5"/>
    <w:rsid w:val="00F92FE2"/>
    <w:rsid w:val="00F95B90"/>
    <w:rsid w:val="00F97ECB"/>
    <w:rsid w:val="00FA129E"/>
    <w:rsid w:val="00FA3792"/>
    <w:rsid w:val="00FB53AE"/>
    <w:rsid w:val="00FC1516"/>
    <w:rsid w:val="00FC48FD"/>
    <w:rsid w:val="00FC604E"/>
    <w:rsid w:val="00FD19E0"/>
    <w:rsid w:val="00FD2263"/>
    <w:rsid w:val="00FD339C"/>
    <w:rsid w:val="00FD4B5C"/>
    <w:rsid w:val="00FD738A"/>
    <w:rsid w:val="00FE29D8"/>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5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B45E1C"/>
    <w:rPr>
      <w:sz w:val="16"/>
      <w:szCs w:val="16"/>
    </w:rPr>
  </w:style>
  <w:style w:type="paragraph" w:styleId="CommentText">
    <w:name w:val="annotation text"/>
    <w:basedOn w:val="Normal"/>
    <w:link w:val="CommentTextChar"/>
    <w:rsid w:val="00B45E1C"/>
    <w:rPr>
      <w:sz w:val="20"/>
    </w:rPr>
  </w:style>
  <w:style w:type="character" w:customStyle="1" w:styleId="CommentTextChar">
    <w:name w:val="Comment Text Char"/>
    <w:basedOn w:val="DefaultParagraphFont"/>
    <w:link w:val="CommentText"/>
    <w:rsid w:val="00B45E1C"/>
  </w:style>
  <w:style w:type="paragraph" w:styleId="CommentSubject">
    <w:name w:val="annotation subject"/>
    <w:basedOn w:val="CommentText"/>
    <w:next w:val="CommentText"/>
    <w:link w:val="CommentSubjectChar"/>
    <w:rsid w:val="00B45E1C"/>
    <w:rPr>
      <w:b/>
      <w:bCs/>
    </w:rPr>
  </w:style>
  <w:style w:type="character" w:customStyle="1" w:styleId="CommentSubjectChar">
    <w:name w:val="Comment Subject Char"/>
    <w:basedOn w:val="CommentTextChar"/>
    <w:link w:val="CommentSubject"/>
    <w:rsid w:val="00B45E1C"/>
    <w:rPr>
      <w:b/>
      <w:bCs/>
    </w:rPr>
  </w:style>
  <w:style w:type="paragraph" w:styleId="BalloonText">
    <w:name w:val="Balloon Text"/>
    <w:basedOn w:val="Normal"/>
    <w:link w:val="BalloonTextChar"/>
    <w:rsid w:val="00B45E1C"/>
    <w:pPr>
      <w:spacing w:before="0" w:after="0"/>
    </w:pPr>
    <w:rPr>
      <w:rFonts w:ascii="Tahoma" w:hAnsi="Tahoma" w:cs="Tahoma"/>
      <w:sz w:val="16"/>
      <w:szCs w:val="16"/>
    </w:rPr>
  </w:style>
  <w:style w:type="character" w:customStyle="1" w:styleId="BalloonTextChar">
    <w:name w:val="Balloon Text Char"/>
    <w:basedOn w:val="DefaultParagraphFont"/>
    <w:link w:val="BalloonText"/>
    <w:rsid w:val="00B45E1C"/>
    <w:rPr>
      <w:rFonts w:ascii="Tahoma" w:hAnsi="Tahoma" w:cs="Tahoma"/>
      <w:sz w:val="16"/>
      <w:szCs w:val="16"/>
    </w:rPr>
  </w:style>
  <w:style w:type="paragraph" w:styleId="Revision">
    <w:name w:val="Revision"/>
    <w:hidden/>
    <w:uiPriority w:val="99"/>
    <w:semiHidden/>
    <w:rsid w:val="00877A0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B45E1C"/>
    <w:rPr>
      <w:sz w:val="16"/>
      <w:szCs w:val="16"/>
    </w:rPr>
  </w:style>
  <w:style w:type="paragraph" w:styleId="CommentText">
    <w:name w:val="annotation text"/>
    <w:basedOn w:val="Normal"/>
    <w:link w:val="CommentTextChar"/>
    <w:rsid w:val="00B45E1C"/>
    <w:rPr>
      <w:sz w:val="20"/>
    </w:rPr>
  </w:style>
  <w:style w:type="character" w:customStyle="1" w:styleId="CommentTextChar">
    <w:name w:val="Comment Text Char"/>
    <w:basedOn w:val="DefaultParagraphFont"/>
    <w:link w:val="CommentText"/>
    <w:rsid w:val="00B45E1C"/>
  </w:style>
  <w:style w:type="paragraph" w:styleId="CommentSubject">
    <w:name w:val="annotation subject"/>
    <w:basedOn w:val="CommentText"/>
    <w:next w:val="CommentText"/>
    <w:link w:val="CommentSubjectChar"/>
    <w:rsid w:val="00B45E1C"/>
    <w:rPr>
      <w:b/>
      <w:bCs/>
    </w:rPr>
  </w:style>
  <w:style w:type="character" w:customStyle="1" w:styleId="CommentSubjectChar">
    <w:name w:val="Comment Subject Char"/>
    <w:basedOn w:val="CommentTextChar"/>
    <w:link w:val="CommentSubject"/>
    <w:rsid w:val="00B45E1C"/>
    <w:rPr>
      <w:b/>
      <w:bCs/>
    </w:rPr>
  </w:style>
  <w:style w:type="paragraph" w:styleId="BalloonText">
    <w:name w:val="Balloon Text"/>
    <w:basedOn w:val="Normal"/>
    <w:link w:val="BalloonTextChar"/>
    <w:rsid w:val="00B45E1C"/>
    <w:pPr>
      <w:spacing w:before="0" w:after="0"/>
    </w:pPr>
    <w:rPr>
      <w:rFonts w:ascii="Tahoma" w:hAnsi="Tahoma" w:cs="Tahoma"/>
      <w:sz w:val="16"/>
      <w:szCs w:val="16"/>
    </w:rPr>
  </w:style>
  <w:style w:type="character" w:customStyle="1" w:styleId="BalloonTextChar">
    <w:name w:val="Balloon Text Char"/>
    <w:basedOn w:val="DefaultParagraphFont"/>
    <w:link w:val="BalloonText"/>
    <w:rsid w:val="00B45E1C"/>
    <w:rPr>
      <w:rFonts w:ascii="Tahoma" w:hAnsi="Tahoma" w:cs="Tahoma"/>
      <w:sz w:val="16"/>
      <w:szCs w:val="16"/>
    </w:rPr>
  </w:style>
  <w:style w:type="paragraph" w:styleId="Revision">
    <w:name w:val="Revision"/>
    <w:hidden/>
    <w:uiPriority w:val="99"/>
    <w:semiHidden/>
    <w:rsid w:val="00877A0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6277" ma:contentTypeDescription="" ma:contentTypeScope="" ma:versionID="07a118763208074bfd4358ad5cc1aea4">
  <xsd:schema xmlns:xsd="http://www.w3.org/2001/XMLSchema" xmlns:xs="http://www.w3.org/2001/XMLSchema" xmlns:p="http://schemas.microsoft.com/office/2006/metadata/properties" xmlns:ns1="http://schemas.microsoft.com/sharepoint/v3" xmlns:ns2="9f7bc583-7cbe-45b9-a2bd-8bbb6543b37e" xmlns:ns3="507a8a59-704d-43cf-b103-02b0cd527a9d" xmlns:ns4="http://schemas.microsoft.com/sharepoint/v4" targetNamespace="http://schemas.microsoft.com/office/2006/metadata/properties" ma:root="true" ma:fieldsID="fa30cee221822adeabd79cc0220d6798" ns1:_="" ns2:_="" ns3:_="" ns4:_="">
    <xsd:import namespace="http://schemas.microsoft.com/sharepoint/v3"/>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Nature_x0020_of_x0020_documents" minOccurs="0"/>
                <xsd:element ref="ns3:Number_x0020_version" minOccurs="0"/>
                <xsd:element ref="ns3:Status"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9f7bc583-7cbe-45b9-a2bd-8bbb6543b37e">2017RG-216-2397</_dlc_DocId>
    <TaxCatchAll xmlns="9f7bc583-7cbe-45b9-a2bd-8bbb6543b37e">
      <Value>24</Value>
    </TaxCatchAll>
    <_dlc_DocIdUrl xmlns="9f7bc583-7cbe-45b9-a2bd-8bbb6543b37e">
      <Url>http://tweb/sites/rg/ldp/_layouts/15/DocIdRedir.aspx?ID=2017RG-216-2397</Url>
      <Description>2017RG-216-2397</Description>
    </_dlc_DocIdUrl>
    <Nature_x0020_of_x0020_documents xmlns="507a8a59-704d-43cf-b103-02b0cd527a9d">
      <Value>Explanatory memorandum/statement</Value>
    </Nature_x0020_of_x0020_documents>
    <IconOverlay xmlns="http://schemas.microsoft.com/sharepoint/v4" xsi:nil="true"/>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DB58-BE56-4A6A-9FB9-250636FAED0E}"/>
</file>

<file path=customXml/itemProps2.xml><?xml version="1.0" encoding="utf-8"?>
<ds:datastoreItem xmlns:ds="http://schemas.openxmlformats.org/officeDocument/2006/customXml" ds:itemID="{3782D549-6BD6-4918-AAA0-233DCDB050C3}">
  <ds:schemaRefs>
    <ds:schemaRef ds:uri="http://schemas.microsoft.com/sharepoint/v3/contenttype/forms"/>
  </ds:schemaRefs>
</ds:datastoreItem>
</file>

<file path=customXml/itemProps3.xml><?xml version="1.0" encoding="utf-8"?>
<ds:datastoreItem xmlns:ds="http://schemas.openxmlformats.org/officeDocument/2006/customXml" ds:itemID="{AB1987DC-48DF-4E18-87A6-61E823DF53F4}">
  <ds:schemaRefs>
    <ds:schemaRef ds:uri="office.server.policy"/>
  </ds:schemaRefs>
</ds:datastoreItem>
</file>

<file path=customXml/itemProps4.xml><?xml version="1.0" encoding="utf-8"?>
<ds:datastoreItem xmlns:ds="http://schemas.openxmlformats.org/officeDocument/2006/customXml" ds:itemID="{6ADCE25A-B022-4317-BDF4-7646374B0DCA}">
  <ds:schemaRefs>
    <ds:schemaRef ds:uri="http://schemas.microsoft.com/sharepoint/events"/>
  </ds:schemaRefs>
</ds:datastoreItem>
</file>

<file path=customXml/itemProps5.xml><?xml version="1.0" encoding="utf-8"?>
<ds:datastoreItem xmlns:ds="http://schemas.openxmlformats.org/officeDocument/2006/customXml" ds:itemID="{A266E2DC-7E31-4F16-8B86-5666CA879082}">
  <ds:schemaRefs>
    <ds:schemaRef ds:uri="http://schemas.microsoft.com/office/2006/documentManagement/types"/>
    <ds:schemaRef ds:uri="http://schemas.microsoft.com/sharepoint/v4"/>
    <ds:schemaRef ds:uri="9f7bc583-7cbe-45b9-a2bd-8bbb6543b37e"/>
    <ds:schemaRef ds:uri="http://purl.org/dc/terms/"/>
    <ds:schemaRef ds:uri="http://schemas.openxmlformats.org/package/2006/metadata/core-properties"/>
    <ds:schemaRef ds:uri="http://purl.org/dc/elements/1.1/"/>
    <ds:schemaRef ds:uri="507a8a59-704d-43cf-b103-02b0cd527a9d"/>
    <ds:schemaRef ds:uri="http://purl.org/dc/dcmitype/"/>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6.xml><?xml version="1.0" encoding="utf-8"?>
<ds:datastoreItem xmlns:ds="http://schemas.openxmlformats.org/officeDocument/2006/customXml" ds:itemID="{9FE1E65A-9514-4C0F-B58E-8C44B91E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5944</TotalTime>
  <Pages>11</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Luu, Anh</dc:creator>
  <cp:lastModifiedBy>Luu, Anh</cp:lastModifiedBy>
  <cp:revision>171</cp:revision>
  <cp:lastPrinted>2017-10-12T00:05:00Z</cp:lastPrinted>
  <dcterms:created xsi:type="dcterms:W3CDTF">2017-09-18T03:18:00Z</dcterms:created>
  <dcterms:modified xsi:type="dcterms:W3CDTF">2017-10-17T06:05:00Z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0x01010036BB8DE7EC542E42A8B2E98CC20CB6970095AC4D68AD35B54B84C8F2EAD3D25E24</vt:lpwstr>
  </property>
  <property fmtid="{D5CDD505-2E9C-101B-9397-08002B2CF9AE}" pid="3" name="TSYRecordClass">
    <vt:lpwstr>24;#TSY RA-9072 - Retain as national archives|d71911a4-1e32-4fc6-834f-26c4fc33e217</vt:lpwstr>
  </property>
  <property fmtid="{D5CDD505-2E9C-101B-9397-08002B2CF9AE}" pid="4" name="_dlc_DocIdItemGuid">
    <vt:lpwstr>85037bdb-2415-406e-a7f4-f5232538b29f</vt:lpwstr>
  </property>
  <property fmtid="{D5CDD505-2E9C-101B-9397-08002B2CF9AE}" pid="5" name="RecordPoint_WorkflowType">
    <vt:lpwstr>ActiveSubmitStub</vt:lpwstr>
  </property>
  <property fmtid="{D5CDD505-2E9C-101B-9397-08002B2CF9AE}" pid="6" name="RecordPoint_ActiveItemListId">
    <vt:lpwstr>{507a8a59-704d-43cf-b103-02b0cd527a9d}</vt:lpwstr>
  </property>
  <property fmtid="{D5CDD505-2E9C-101B-9397-08002B2CF9AE}" pid="7" name="RecordPoint_ActiveItemUniqueId">
    <vt:lpwstr>{85037bdb-2415-406e-a7f4-f5232538b29f}</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RecordNumberSubmitted">
    <vt:lpwstr>R0001433186</vt:lpwstr>
  </property>
  <property fmtid="{D5CDD505-2E9C-101B-9397-08002B2CF9AE}" pid="11" name="RecordPoint_SubmissionCompleted">
    <vt:lpwstr>2017-10-17T18:42:04.7292057+11:00</vt:lpwstr>
  </property>
  <property fmtid="{D5CDD505-2E9C-101B-9397-08002B2CF9AE}" pid="12" name="_AdHocReviewCycleID">
    <vt:i4>-1715407986</vt:i4>
  </property>
  <property fmtid="{D5CDD505-2E9C-101B-9397-08002B2CF9AE}" pid="13" name="_NewReviewCycle">
    <vt:lpwstr/>
  </property>
  <property fmtid="{D5CDD505-2E9C-101B-9397-08002B2CF9AE}" pid="14" name="_EmailSubject">
    <vt:lpwstr>Update - Consultation &amp; Discussions Papers Request #S54570 [SEC=UNCLASSIFIED]</vt:lpwstr>
  </property>
  <property fmtid="{D5CDD505-2E9C-101B-9397-08002B2CF9AE}" pid="15" name="_AuthorEmail">
    <vt:lpwstr>Naomi.Bourne@TREASURY.GOV.AU</vt:lpwstr>
  </property>
  <property fmtid="{D5CDD505-2E9C-101B-9397-08002B2CF9AE}" pid="16" name="_AuthorEmailDisplayName">
    <vt:lpwstr>Bourne, Naomi</vt:lpwstr>
  </property>
</Properties>
</file>