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FC" w:rsidRDefault="00114667">
      <w:pPr>
        <w:rPr>
          <w:rFonts w:ascii="Arial Narrow" w:hAnsi="Arial Narrow"/>
          <w:noProof/>
        </w:rPr>
      </w:pPr>
      <w:bookmarkStart w:id="0" w:name="_GoBack"/>
      <w:bookmarkEnd w:id="0"/>
      <w:r>
        <w:rPr>
          <w:rFonts w:ascii="Arial Narrow" w:hAnsi="Arial Narrow"/>
          <w:noProof/>
          <w:lang w:val="en-AU" w:eastAsia="en-AU" w:bidi="ar-SA"/>
        </w:rPr>
        <w:drawing>
          <wp:anchor distT="0" distB="0" distL="114300" distR="114300" simplePos="0" relativeHeight="251658240" behindDoc="1" locked="0" layoutInCell="1" allowOverlap="1" wp14:anchorId="4E676B12" wp14:editId="65A40540">
            <wp:simplePos x="0" y="0"/>
            <wp:positionH relativeFrom="column">
              <wp:posOffset>-1028700</wp:posOffset>
            </wp:positionH>
            <wp:positionV relativeFrom="paragraph">
              <wp:posOffset>-804545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724A" w:rsidRDefault="00B8724A">
      <w:pPr>
        <w:rPr>
          <w:rFonts w:ascii="Arial Narrow" w:hAnsi="Arial Narrow"/>
          <w:noProof/>
        </w:rPr>
      </w:pPr>
    </w:p>
    <w:p w:rsidR="00B8724A" w:rsidRDefault="00B8724A">
      <w:pPr>
        <w:rPr>
          <w:rFonts w:ascii="Arial Narrow" w:hAnsi="Arial Narrow"/>
        </w:rPr>
      </w:pPr>
    </w:p>
    <w:p w:rsidR="00B8724A" w:rsidRDefault="00B8724A">
      <w:pPr>
        <w:jc w:val="cente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CC44F7"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4E676B15" wp14:editId="2650E6AA">
                <wp:simplePos x="0" y="0"/>
                <wp:positionH relativeFrom="column">
                  <wp:posOffset>4740275</wp:posOffset>
                </wp:positionH>
                <wp:positionV relativeFrom="paragraph">
                  <wp:posOffset>1270</wp:posOffset>
                </wp:positionV>
                <wp:extent cx="1946275" cy="1666240"/>
                <wp:effectExtent l="6350" t="5715"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666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9F8" w:rsidRPr="00753C49" w:rsidRDefault="00BB49F8" w:rsidP="00B8724A">
                            <w:pPr>
                              <w:pStyle w:val="header14ptorangebold"/>
                              <w:rPr>
                                <w:b/>
                                <w:color w:val="FFFFFF"/>
                                <w:spacing w:val="-20"/>
                                <w:sz w:val="36"/>
                                <w:szCs w:val="36"/>
                              </w:rPr>
                            </w:pPr>
                            <w:r>
                              <w:rPr>
                                <w:b/>
                                <w:color w:val="FFFFFF"/>
                                <w:spacing w:val="-20"/>
                                <w:sz w:val="36"/>
                                <w:szCs w:val="36"/>
                              </w:rPr>
                              <w:t>Combatting Illegal Phoenixing</w:t>
                            </w:r>
                          </w:p>
                          <w:p w:rsidR="00BB49F8" w:rsidRPr="00F03AD2" w:rsidRDefault="00BB49F8" w:rsidP="00B8724A">
                            <w:pPr>
                              <w:rPr>
                                <w:rFonts w:ascii="Arial Bold" w:hAnsi="Arial Bold"/>
                                <w:color w:val="FFFFFF"/>
                              </w:rPr>
                            </w:pPr>
                          </w:p>
                          <w:p w:rsidR="00BB49F8" w:rsidRPr="00F03AD2" w:rsidRDefault="00BB49F8" w:rsidP="00B8724A">
                            <w:pPr>
                              <w:rPr>
                                <w:rFonts w:ascii="Arial Bold" w:hAnsi="Arial Bold"/>
                                <w:color w:val="FFFFFF"/>
                              </w:rPr>
                            </w:pPr>
                            <w:r>
                              <w:rPr>
                                <w:rFonts w:ascii="Arial Bold" w:hAnsi="Arial Bold"/>
                                <w:color w:val="FFFFFF"/>
                              </w:rPr>
                              <w:t>October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3.25pt;margin-top:.1pt;width:153.25pt;height:13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" stroked="f">
                <v:fill opacity="0"/>
                <v:textbox inset="0,0,0,0">
                  <w:txbxContent>
                    <w:p w:rsidR="00BB49F8" w:rsidRPr="00753C49" w:rsidRDefault="00BB49F8" w:rsidP="00B8724A">
                      <w:pPr>
                        <w:pStyle w:val="header14ptorangebold"/>
                        <w:rPr>
                          <w:b/>
                          <w:color w:val="FFFFFF"/>
                          <w:spacing w:val="-20"/>
                          <w:sz w:val="36"/>
                          <w:szCs w:val="36"/>
                        </w:rPr>
                      </w:pPr>
                      <w:r>
                        <w:rPr>
                          <w:b/>
                          <w:color w:val="FFFFFF"/>
                          <w:spacing w:val="-20"/>
                          <w:sz w:val="36"/>
                          <w:szCs w:val="36"/>
                        </w:rPr>
                        <w:t>Combatting Illegal Phoenixing</w:t>
                      </w:r>
                    </w:p>
                    <w:p w:rsidR="00BB49F8" w:rsidRPr="00F03AD2" w:rsidRDefault="00BB49F8" w:rsidP="00B8724A">
                      <w:pPr>
                        <w:rPr>
                          <w:rFonts w:ascii="Arial Bold" w:hAnsi="Arial Bold"/>
                          <w:color w:val="FFFFFF"/>
                        </w:rPr>
                      </w:pPr>
                    </w:p>
                    <w:p w:rsidR="00BB49F8" w:rsidRPr="00F03AD2" w:rsidRDefault="00BB49F8" w:rsidP="00B8724A">
                      <w:pPr>
                        <w:rPr>
                          <w:rFonts w:ascii="Arial Bold" w:hAnsi="Arial Bold"/>
                          <w:color w:val="FFFFFF"/>
                        </w:rPr>
                      </w:pPr>
                      <w:r>
                        <w:rPr>
                          <w:rFonts w:ascii="Arial Bold" w:hAnsi="Arial Bold"/>
                          <w:color w:val="FFFFFF"/>
                        </w:rPr>
                        <w:t>October 2017</w:t>
                      </w:r>
                    </w:p>
                  </w:txbxContent>
                </v:textbox>
              </v:shape>
            </w:pict>
          </mc:Fallback>
        </mc:AlternateContent>
      </w:r>
    </w:p>
    <w:p w:rsidR="00B8724A" w:rsidRPr="002A27C3" w:rsidRDefault="00B8724A" w:rsidP="00B8724A">
      <w:pPr>
        <w:rPr>
          <w:rFonts w:ascii="Arial Narrow" w:hAnsi="Arial Narrow"/>
        </w:rPr>
      </w:pPr>
    </w:p>
    <w:p w:rsidR="00B8724A" w:rsidRPr="002A27C3" w:rsidRDefault="00B8724A" w:rsidP="00B8724A">
      <w:pPr>
        <w:tabs>
          <w:tab w:val="left" w:pos="7760"/>
        </w:tabs>
        <w:rPr>
          <w:rFonts w:ascii="Arial Narrow" w:hAnsi="Arial Narrow"/>
        </w:rPr>
      </w:pPr>
      <w:r>
        <w:rPr>
          <w:rFonts w:ascii="Arial Narrow" w:hAnsi="Arial Narrow"/>
        </w:rPr>
        <w:tab/>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rsidR="00B8724A" w:rsidRDefault="00B8724A">
      <w:pPr>
        <w:pageBreakBefore/>
        <w:jc w:val="center"/>
        <w:rPr>
          <w:rFonts w:ascii="Arial Narrow" w:hAnsi="Arial Narrow"/>
        </w:rPr>
      </w:pPr>
    </w:p>
    <w:p w:rsidR="00B8724A" w:rsidRPr="00753C49" w:rsidRDefault="00B8724A" w:rsidP="00B8724A">
      <w:pPr>
        <w:pStyle w:val="header14ptorangebold"/>
        <w:rPr>
          <w:color w:val="192A67"/>
        </w:rPr>
      </w:pPr>
      <w:r w:rsidRPr="00753C49">
        <w:rPr>
          <w:color w:val="192A67"/>
        </w:rPr>
        <w:t>Introduction</w:t>
      </w:r>
    </w:p>
    <w:p w:rsidR="00B8724A" w:rsidRDefault="00B8724A">
      <w:pPr>
        <w:rPr>
          <w:rFonts w:ascii="Arial Narrow" w:hAnsi="Arial Narrow"/>
        </w:rPr>
      </w:pPr>
    </w:p>
    <w:p w:rsidR="00B8724A" w:rsidRPr="00327895" w:rsidRDefault="00B8724A" w:rsidP="000D4F01">
      <w:pPr>
        <w:pStyle w:val="BodytextArial10pt"/>
        <w:jc w:val="both"/>
        <w:rPr>
          <w:color w:val="63666A"/>
        </w:rPr>
      </w:pPr>
      <w:r w:rsidRPr="00327895">
        <w:rPr>
          <w:color w:val="63666A"/>
        </w:rPr>
        <w:t>The Institute of Public Accountants (IPA) welcomes the opportunity to offer our</w:t>
      </w:r>
      <w:r w:rsidR="00B2047F">
        <w:rPr>
          <w:b/>
          <w:color w:val="63666A"/>
        </w:rPr>
        <w:t xml:space="preserve"> ‘</w:t>
      </w:r>
      <w:r w:rsidR="00B2047F" w:rsidRPr="00B2047F">
        <w:rPr>
          <w:color w:val="63666A"/>
        </w:rPr>
        <w:t>Combatting illegal phoenixing</w:t>
      </w:r>
      <w:r w:rsidR="00B2047F">
        <w:rPr>
          <w:color w:val="63666A"/>
        </w:rPr>
        <w:t>’</w:t>
      </w:r>
      <w:r w:rsidRPr="00327895">
        <w:rPr>
          <w:color w:val="63666A"/>
        </w:rPr>
        <w:t xml:space="preserve"> submission and looks forward to working with the Government as it sets its economic agenda.</w:t>
      </w:r>
      <w:r w:rsidR="001A3BE7">
        <w:rPr>
          <w:color w:val="63666A"/>
        </w:rPr>
        <w:t xml:space="preserve"> </w:t>
      </w:r>
    </w:p>
    <w:p w:rsidR="00B8724A" w:rsidRPr="00327895" w:rsidRDefault="00B8724A" w:rsidP="000D4F01">
      <w:pPr>
        <w:pStyle w:val="BodytextArial10pt"/>
        <w:jc w:val="both"/>
        <w:rPr>
          <w:color w:val="63666A"/>
        </w:rPr>
      </w:pPr>
      <w:r w:rsidRPr="00327895">
        <w:rPr>
          <w:color w:val="63666A"/>
        </w:rPr>
        <w:t xml:space="preserve">The IPA is one of the three professional accounting bodies in Australia, representing over </w:t>
      </w:r>
      <w:r w:rsidR="002502FD">
        <w:rPr>
          <w:color w:val="63666A"/>
        </w:rPr>
        <w:t>35</w:t>
      </w:r>
      <w:r w:rsidRPr="00327895">
        <w:rPr>
          <w:color w:val="63666A"/>
        </w:rPr>
        <w:t>,000</w:t>
      </w:r>
      <w:r w:rsidR="002502FD">
        <w:rPr>
          <w:color w:val="63666A"/>
        </w:rPr>
        <w:t xml:space="preserve"> members and students in more than 80 countries</w:t>
      </w:r>
      <w:r w:rsidRPr="00327895">
        <w:rPr>
          <w:color w:val="63666A"/>
        </w:rPr>
        <w:t xml:space="preserve"> The IPA prides itself in not only representing the interests of </w:t>
      </w:r>
      <w:r w:rsidR="002502FD">
        <w:rPr>
          <w:color w:val="63666A"/>
        </w:rPr>
        <w:t xml:space="preserve">its members and but also Australia’s </w:t>
      </w:r>
      <w:r w:rsidRPr="00327895">
        <w:rPr>
          <w:color w:val="63666A"/>
        </w:rPr>
        <w:t xml:space="preserve"> smal</w:t>
      </w:r>
      <w:r w:rsidR="001A3BE7">
        <w:rPr>
          <w:color w:val="63666A"/>
        </w:rPr>
        <w:t xml:space="preserve">l business </w:t>
      </w:r>
      <w:r w:rsidR="002502FD">
        <w:rPr>
          <w:color w:val="63666A"/>
        </w:rPr>
        <w:t>sector.</w:t>
      </w:r>
    </w:p>
    <w:p w:rsidR="00B8724A" w:rsidRPr="00327895" w:rsidRDefault="00F55029" w:rsidP="000D4F01">
      <w:pPr>
        <w:pStyle w:val="BodytextArial10pt"/>
        <w:jc w:val="both"/>
        <w:rPr>
          <w:color w:val="63666A"/>
        </w:rPr>
      </w:pPr>
      <w:r>
        <w:rPr>
          <w:color w:val="63666A"/>
        </w:rPr>
        <w:t>The IPA views</w:t>
      </w:r>
      <w:r w:rsidR="00B8724A" w:rsidRPr="00327895">
        <w:rPr>
          <w:color w:val="63666A"/>
        </w:rPr>
        <w:t xml:space="preserve"> </w:t>
      </w:r>
      <w:r w:rsidR="00B2047F">
        <w:rPr>
          <w:b/>
          <w:color w:val="63666A"/>
        </w:rPr>
        <w:t>‘</w:t>
      </w:r>
      <w:r w:rsidR="00B2047F" w:rsidRPr="00B2047F">
        <w:rPr>
          <w:color w:val="63666A"/>
        </w:rPr>
        <w:t>Combatting illegal phoenixing</w:t>
      </w:r>
      <w:r w:rsidR="00B2047F">
        <w:rPr>
          <w:color w:val="63666A"/>
        </w:rPr>
        <w:t>’</w:t>
      </w:r>
      <w:r w:rsidR="00B2047F" w:rsidRPr="00327895">
        <w:rPr>
          <w:color w:val="63666A"/>
        </w:rPr>
        <w:t xml:space="preserve"> </w:t>
      </w:r>
      <w:r>
        <w:rPr>
          <w:color w:val="63666A"/>
        </w:rPr>
        <w:t>as an essential activity to protect small bsuiensses that may be vulnerable and fall victim to illegal phoeninxing.</w:t>
      </w:r>
      <w:r w:rsidR="00B8724A" w:rsidRPr="00327895">
        <w:rPr>
          <w:color w:val="63666A"/>
        </w:rPr>
        <w:t xml:space="preserve">  The IPA has therefore made numerous recommendations that we believe will assist the Government in setting this new agenda</w:t>
      </w:r>
      <w:r w:rsidR="00BB2472">
        <w:rPr>
          <w:color w:val="63666A"/>
        </w:rPr>
        <w:t>.</w:t>
      </w:r>
    </w:p>
    <w:p w:rsidR="00B8724A" w:rsidRPr="00327895" w:rsidRDefault="00B8724A" w:rsidP="000D4F01">
      <w:pPr>
        <w:pStyle w:val="BodytextArial10pt"/>
        <w:jc w:val="both"/>
        <w:rPr>
          <w:color w:val="63666A"/>
        </w:rPr>
      </w:pPr>
      <w:r w:rsidRPr="00327895">
        <w:rPr>
          <w:color w:val="63666A"/>
        </w:rPr>
        <w:t>The IPA’s submission has been prepared with the assistance of the IPA faculties including the faculties of taxation, accounting regulation, accounting education, financial services, corporate governance, public sector and small business.  We are grateful for their contribution and guidance.  The IPA submission has also benefited from consultation with IPA members who have expressed their views and concerns on a variety of matters.  We are also grateful to all those who have taken the time to provide their input.</w:t>
      </w:r>
    </w:p>
    <w:p w:rsidR="00B8724A" w:rsidRDefault="00B8724A" w:rsidP="000D4F01">
      <w:pPr>
        <w:pStyle w:val="BodytextArial10pt"/>
        <w:jc w:val="both"/>
        <w:rPr>
          <w:rFonts w:ascii="Arial Narrow" w:hAnsi="Arial Narrow"/>
          <w:bCs/>
          <w:color w:val="595959" w:themeColor="text1" w:themeTint="A6"/>
          <w:szCs w:val="20"/>
        </w:rPr>
      </w:pPr>
      <w:r w:rsidRPr="00327895">
        <w:rPr>
          <w:color w:val="63666A"/>
        </w:rPr>
        <w:t xml:space="preserve">We look forward to discussing further and in more detail the IPA’s recommendations with the Government and Treasury.  Please address </w:t>
      </w:r>
      <w:r w:rsidR="002502FD">
        <w:rPr>
          <w:color w:val="63666A"/>
        </w:rPr>
        <w:t>any</w:t>
      </w:r>
      <w:r w:rsidRPr="00327895">
        <w:rPr>
          <w:color w:val="63666A"/>
        </w:rPr>
        <w:t xml:space="preserve"> enquires to</w:t>
      </w:r>
      <w:r w:rsidR="003803CF">
        <w:rPr>
          <w:color w:val="63666A"/>
        </w:rPr>
        <w:t xml:space="preserve"> Tony Greco </w:t>
      </w:r>
      <w:r w:rsidR="002502FD">
        <w:rPr>
          <w:color w:val="63666A"/>
        </w:rPr>
        <w:t xml:space="preserve">tony.greco&amp;publicaccountants.org.au </w:t>
      </w:r>
      <w:r w:rsidR="003803CF">
        <w:rPr>
          <w:color w:val="63666A"/>
        </w:rPr>
        <w:t>or Vicki St</w:t>
      </w:r>
      <w:r w:rsidR="00B2047F">
        <w:rPr>
          <w:color w:val="63666A"/>
        </w:rPr>
        <w:t>ylianou</w:t>
      </w:r>
      <w:r w:rsidRPr="00327895">
        <w:rPr>
          <w:color w:val="63666A"/>
        </w:rPr>
        <w:t xml:space="preserve"> </w:t>
      </w:r>
      <w:hyperlink r:id="rId15" w:history="1">
        <w:r w:rsidR="002502FD" w:rsidRPr="000260CA">
          <w:rPr>
            <w:rStyle w:val="Hyperlink"/>
            <w:rFonts w:ascii="Arial Narrow" w:hAnsi="Arial Narrow"/>
            <w:bCs/>
            <w:szCs w:val="20"/>
          </w:rPr>
          <w:t>vicki.stylianou@publicaccountants.org.au</w:t>
        </w:r>
      </w:hyperlink>
    </w:p>
    <w:p w:rsidR="00B8724A" w:rsidRPr="00327895" w:rsidRDefault="00B8724A" w:rsidP="000D4F01">
      <w:pPr>
        <w:pStyle w:val="BodytextArial10pt"/>
        <w:jc w:val="both"/>
        <w:rPr>
          <w:color w:val="63666A"/>
        </w:rPr>
      </w:pPr>
    </w:p>
    <w:p w:rsidR="00B8724A" w:rsidRPr="00327895" w:rsidRDefault="00B8724A" w:rsidP="000D4F01">
      <w:pPr>
        <w:pStyle w:val="BodytextArial10pt"/>
        <w:jc w:val="both"/>
        <w:rPr>
          <w:color w:val="63666A"/>
        </w:rPr>
      </w:pPr>
      <w:r w:rsidRPr="00327895">
        <w:rPr>
          <w:color w:val="63666A"/>
        </w:rPr>
        <w:t xml:space="preserve">Yours sincerely </w:t>
      </w:r>
    </w:p>
    <w:p w:rsidR="00B8724A" w:rsidRPr="00327895" w:rsidRDefault="00B8724A" w:rsidP="000D4F01">
      <w:pPr>
        <w:jc w:val="both"/>
        <w:rPr>
          <w:rFonts w:cs="Arial"/>
          <w:color w:val="63666A"/>
          <w:szCs w:val="22"/>
        </w:rPr>
      </w:pPr>
    </w:p>
    <w:p w:rsidR="00B8724A" w:rsidRPr="00327895" w:rsidRDefault="00B8724A" w:rsidP="000D4F01">
      <w:pPr>
        <w:jc w:val="both"/>
        <w:rPr>
          <w:rFonts w:cs="Arial"/>
          <w:color w:val="63666A"/>
          <w:szCs w:val="22"/>
        </w:rPr>
      </w:pPr>
    </w:p>
    <w:p w:rsidR="00B8724A" w:rsidRDefault="00B2047F">
      <w:pPr>
        <w:rPr>
          <w:rFonts w:ascii="Arial Narrow" w:hAnsi="Arial Narrow"/>
          <w:color w:val="63666A"/>
        </w:rPr>
      </w:pPr>
      <w:r>
        <w:rPr>
          <w:rFonts w:ascii="Arial Narrow" w:hAnsi="Arial Narrow"/>
          <w:color w:val="63666A"/>
        </w:rPr>
        <w:t>Tony Greco</w:t>
      </w:r>
    </w:p>
    <w:p w:rsidR="00B2047F" w:rsidRPr="00DE5FDC" w:rsidRDefault="00B2047F" w:rsidP="00B2047F">
      <w:pPr>
        <w:pStyle w:val="Heading2"/>
        <w:shd w:val="clear" w:color="auto" w:fill="FFFFFF"/>
        <w:spacing w:before="0" w:after="120"/>
        <w:rPr>
          <w:rFonts w:ascii="Arial Narrow" w:hAnsi="Arial Narrow" w:cs="Arial"/>
          <w:b w:val="0"/>
          <w:bCs w:val="0"/>
          <w:i w:val="0"/>
          <w:color w:val="595959" w:themeColor="text1" w:themeTint="A6"/>
          <w:sz w:val="20"/>
          <w:szCs w:val="20"/>
          <w:lang w:val="en-AU" w:eastAsia="en-AU"/>
        </w:rPr>
      </w:pPr>
      <w:r w:rsidRPr="00DE5FDC">
        <w:rPr>
          <w:rFonts w:ascii="Arial Narrow" w:hAnsi="Arial Narrow" w:cs="Arial"/>
          <w:b w:val="0"/>
          <w:bCs w:val="0"/>
          <w:i w:val="0"/>
          <w:color w:val="595959" w:themeColor="text1" w:themeTint="A6"/>
          <w:sz w:val="20"/>
          <w:szCs w:val="20"/>
        </w:rPr>
        <w:t>General Manager Technical Policy</w:t>
      </w:r>
      <w:r w:rsidR="00DE5FDC" w:rsidRPr="00DE5FDC">
        <w:rPr>
          <w:rFonts w:ascii="Arial Narrow" w:hAnsi="Arial Narrow" w:cs="Arial"/>
          <w:b w:val="0"/>
          <w:bCs w:val="0"/>
          <w:i w:val="0"/>
          <w:color w:val="595959" w:themeColor="text1" w:themeTint="A6"/>
          <w:sz w:val="20"/>
          <w:szCs w:val="20"/>
        </w:rPr>
        <w:t xml:space="preserve"> </w:t>
      </w:r>
    </w:p>
    <w:p w:rsidR="00B2047F" w:rsidRPr="00327895" w:rsidRDefault="00B2047F">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Narrow" w:hAnsi="Arial Narrow"/>
          <w:color w:val="63666A"/>
          <w:sz w:val="20"/>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20"/>
        </w:rPr>
      </w:pPr>
      <w:r w:rsidRPr="00327895">
        <w:rPr>
          <w:rFonts w:ascii="Arial" w:hAnsi="Arial"/>
          <w:color w:val="63666A"/>
          <w:sz w:val="20"/>
        </w:rPr>
        <w:t>COPYRIGHT</w:t>
      </w: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16"/>
        </w:rPr>
      </w:pPr>
      <w:r w:rsidRPr="00327895">
        <w:rPr>
          <w:rFonts w:ascii="Arial" w:hAnsi="Arial"/>
          <w:color w:val="63666A"/>
          <w:sz w:val="16"/>
        </w:rPr>
        <w:t xml:space="preserve">© Institute of Public Accountants (ABN 81 004 130 643) 2008.  All rights reserved.  Save and except for third party content, </w:t>
      </w:r>
      <w:r w:rsidRPr="00327895">
        <w:rPr>
          <w:rFonts w:ascii="Arial" w:hAnsi="Arial"/>
          <w:color w:val="63666A"/>
          <w:sz w:val="16"/>
        </w:rPr>
        <w:br/>
        <w:t>all content in these materials is owned or licensed by the Institute of Public Accountants (ABN 81 004 130 643).</w:t>
      </w:r>
    </w:p>
    <w:p w:rsidR="00B8724A" w:rsidRPr="00327895" w:rsidRDefault="00753C49" w:rsidP="00753C49">
      <w:pPr>
        <w:pBdr>
          <w:top w:val="single" w:sz="4" w:space="0" w:color="CA5420"/>
          <w:left w:val="single" w:sz="4" w:space="4" w:color="CA5420"/>
          <w:bottom w:val="single" w:sz="4" w:space="0" w:color="CA5420"/>
          <w:right w:val="single" w:sz="4" w:space="4" w:color="CA5420"/>
        </w:pBdr>
        <w:tabs>
          <w:tab w:val="left" w:pos="5715"/>
        </w:tabs>
        <w:rPr>
          <w:rFonts w:ascii="Arial" w:hAnsi="Arial"/>
          <w:color w:val="63666A"/>
          <w:sz w:val="16"/>
        </w:rPr>
      </w:pPr>
      <w:r w:rsidRPr="00327895">
        <w:rPr>
          <w:rFonts w:ascii="Arial" w:hAnsi="Arial"/>
          <w:color w:val="63666A"/>
          <w:sz w:val="16"/>
        </w:rPr>
        <w:tab/>
      </w:r>
    </w:p>
    <w:p w:rsidR="003D3EFB" w:rsidRDefault="00B8724A" w:rsidP="001A1DA4">
      <w:r>
        <w:br w:type="page"/>
      </w:r>
    </w:p>
    <w:p w:rsidR="000D4F01" w:rsidRPr="00753C49" w:rsidRDefault="000D4F01" w:rsidP="000D4F01">
      <w:pPr>
        <w:pStyle w:val="header14ptorangebold"/>
        <w:rPr>
          <w:color w:val="192A67"/>
        </w:rPr>
      </w:pPr>
      <w:r w:rsidRPr="00753C49">
        <w:rPr>
          <w:color w:val="192A67"/>
        </w:rPr>
        <w:lastRenderedPageBreak/>
        <w:t>I</w:t>
      </w:r>
      <w:r>
        <w:rPr>
          <w:color w:val="192A67"/>
        </w:rPr>
        <w:t>PA Submission</w:t>
      </w:r>
    </w:p>
    <w:p w:rsidR="003D3EFB" w:rsidRDefault="003D3EFB" w:rsidP="001A1DA4"/>
    <w:p w:rsidR="003D3EFB" w:rsidRDefault="003D3EFB" w:rsidP="001A1DA4"/>
    <w:p w:rsidR="003D3EFB" w:rsidRDefault="003D3EFB" w:rsidP="001A1DA4"/>
    <w:p w:rsidR="001A1DA4" w:rsidRDefault="001A1DA4" w:rsidP="001A1DA4">
      <w:pPr>
        <w:rPr>
          <w:rFonts w:ascii="Arial" w:hAnsi="Arial" w:cs="Arial"/>
          <w:color w:val="63666A"/>
          <w:sz w:val="20"/>
          <w:szCs w:val="22"/>
        </w:rPr>
      </w:pPr>
      <w:r>
        <w:rPr>
          <w:rFonts w:ascii="Arial" w:hAnsi="Arial" w:cs="Arial"/>
          <w:color w:val="63666A"/>
          <w:sz w:val="20"/>
          <w:szCs w:val="22"/>
        </w:rPr>
        <w:t xml:space="preserve">Mr </w:t>
      </w:r>
      <w:r w:rsidRPr="005F1716">
        <w:rPr>
          <w:rFonts w:ascii="Arial" w:hAnsi="Arial" w:cs="Arial"/>
          <w:color w:val="63666A"/>
          <w:sz w:val="20"/>
          <w:szCs w:val="22"/>
        </w:rPr>
        <w:t>James Mason</w:t>
      </w:r>
    </w:p>
    <w:p w:rsidR="001A1DA4" w:rsidRPr="005F1716" w:rsidRDefault="001A1DA4" w:rsidP="001A1DA4">
      <w:pPr>
        <w:rPr>
          <w:rFonts w:ascii="Arial" w:hAnsi="Arial" w:cs="Arial"/>
          <w:color w:val="63666A"/>
          <w:sz w:val="20"/>
          <w:szCs w:val="22"/>
        </w:rPr>
      </w:pPr>
      <w:r w:rsidRPr="005F1716">
        <w:rPr>
          <w:rFonts w:ascii="Arial" w:hAnsi="Arial" w:cs="Arial"/>
          <w:color w:val="63666A"/>
          <w:sz w:val="20"/>
          <w:szCs w:val="22"/>
        </w:rPr>
        <w:t>Financial System Division</w:t>
      </w:r>
    </w:p>
    <w:p w:rsidR="001A1DA4" w:rsidRPr="005F1716" w:rsidRDefault="001A1DA4" w:rsidP="001A1DA4">
      <w:pPr>
        <w:rPr>
          <w:rFonts w:ascii="Arial" w:hAnsi="Arial" w:cs="Arial"/>
          <w:color w:val="63666A"/>
          <w:sz w:val="20"/>
          <w:szCs w:val="22"/>
        </w:rPr>
      </w:pPr>
      <w:r w:rsidRPr="005F1716">
        <w:rPr>
          <w:rFonts w:ascii="Arial" w:hAnsi="Arial" w:cs="Arial"/>
          <w:color w:val="63666A"/>
          <w:sz w:val="20"/>
          <w:szCs w:val="22"/>
        </w:rPr>
        <w:t>The Treasury</w:t>
      </w:r>
    </w:p>
    <w:p w:rsidR="001A1DA4" w:rsidRPr="005F1716" w:rsidRDefault="001A1DA4" w:rsidP="001A1DA4">
      <w:pPr>
        <w:rPr>
          <w:rFonts w:ascii="Arial" w:hAnsi="Arial" w:cs="Arial"/>
          <w:color w:val="63666A"/>
          <w:sz w:val="20"/>
          <w:szCs w:val="22"/>
        </w:rPr>
      </w:pPr>
      <w:r w:rsidRPr="005F1716">
        <w:rPr>
          <w:rFonts w:ascii="Arial" w:hAnsi="Arial" w:cs="Arial"/>
          <w:color w:val="63666A"/>
          <w:sz w:val="20"/>
          <w:szCs w:val="22"/>
        </w:rPr>
        <w:t>Langton Crescent</w:t>
      </w:r>
    </w:p>
    <w:p w:rsidR="001A1DA4" w:rsidRPr="005F1716" w:rsidRDefault="001A1DA4" w:rsidP="001A1DA4">
      <w:pPr>
        <w:rPr>
          <w:rFonts w:ascii="Arial" w:hAnsi="Arial" w:cs="Arial"/>
          <w:color w:val="63666A"/>
          <w:sz w:val="20"/>
          <w:szCs w:val="22"/>
        </w:rPr>
      </w:pPr>
      <w:r w:rsidRPr="005F1716">
        <w:rPr>
          <w:rFonts w:ascii="Arial" w:hAnsi="Arial" w:cs="Arial"/>
          <w:color w:val="63666A"/>
          <w:sz w:val="20"/>
          <w:szCs w:val="22"/>
        </w:rPr>
        <w:t>PARKES ACT 2600</w:t>
      </w:r>
    </w:p>
    <w:p w:rsidR="001A1DA4" w:rsidRDefault="001A1DA4" w:rsidP="001A1DA4">
      <w:pPr>
        <w:rPr>
          <w:rFonts w:ascii="Arial" w:hAnsi="Arial" w:cs="Arial"/>
          <w:color w:val="63666A"/>
          <w:sz w:val="20"/>
          <w:szCs w:val="22"/>
        </w:rPr>
      </w:pPr>
    </w:p>
    <w:p w:rsidR="001A1DA4" w:rsidRDefault="001A1DA4" w:rsidP="001A1DA4">
      <w:pPr>
        <w:rPr>
          <w:rFonts w:ascii="Arial" w:hAnsi="Arial" w:cs="Arial"/>
          <w:color w:val="63666A"/>
          <w:sz w:val="20"/>
          <w:szCs w:val="22"/>
        </w:rPr>
      </w:pPr>
      <w:r w:rsidRPr="005F1716">
        <w:rPr>
          <w:rFonts w:ascii="Arial" w:hAnsi="Arial" w:cs="Arial"/>
          <w:color w:val="63666A"/>
          <w:sz w:val="20"/>
          <w:szCs w:val="22"/>
        </w:rPr>
        <w:t>Email: phoenixing@treasury.gov.au</w:t>
      </w:r>
    </w:p>
    <w:p w:rsidR="001A1DA4" w:rsidRDefault="001A1DA4" w:rsidP="001A1DA4">
      <w:pPr>
        <w:rPr>
          <w:rFonts w:ascii="Arial" w:hAnsi="Arial" w:cs="Arial"/>
          <w:color w:val="63666A"/>
          <w:sz w:val="20"/>
          <w:szCs w:val="22"/>
        </w:rPr>
      </w:pPr>
    </w:p>
    <w:p w:rsidR="00DE5FDC" w:rsidRDefault="00DE5FDC" w:rsidP="001A1DA4">
      <w:pPr>
        <w:rPr>
          <w:rFonts w:ascii="Arial" w:hAnsi="Arial" w:cs="Arial"/>
          <w:b/>
          <w:color w:val="63666A"/>
          <w:sz w:val="20"/>
          <w:szCs w:val="22"/>
        </w:rPr>
      </w:pPr>
    </w:p>
    <w:p w:rsidR="001A1DA4" w:rsidRPr="00E83A7A" w:rsidRDefault="001A1DA4" w:rsidP="001A1DA4">
      <w:pPr>
        <w:rPr>
          <w:rFonts w:ascii="Arial" w:hAnsi="Arial" w:cs="Arial"/>
          <w:b/>
          <w:i/>
          <w:color w:val="63666A"/>
          <w:sz w:val="20"/>
          <w:szCs w:val="22"/>
        </w:rPr>
      </w:pPr>
      <w:r w:rsidRPr="00E83A7A">
        <w:rPr>
          <w:rFonts w:ascii="Arial" w:hAnsi="Arial" w:cs="Arial"/>
          <w:b/>
          <w:i/>
          <w:color w:val="63666A"/>
          <w:sz w:val="20"/>
          <w:szCs w:val="22"/>
        </w:rPr>
        <w:t>Combatting illegal phoenixing</w:t>
      </w:r>
    </w:p>
    <w:p w:rsidR="001A1DA4" w:rsidRDefault="001A1DA4" w:rsidP="001A1DA4">
      <w:pPr>
        <w:rPr>
          <w:rFonts w:ascii="Arial" w:hAnsi="Arial" w:cs="Arial"/>
          <w:color w:val="63666A"/>
          <w:sz w:val="20"/>
          <w:szCs w:val="22"/>
        </w:rPr>
      </w:pPr>
    </w:p>
    <w:p w:rsidR="001A1DA4" w:rsidRDefault="001A1DA4" w:rsidP="001A1DA4">
      <w:pPr>
        <w:pStyle w:val="BodytextArial10pt"/>
        <w:rPr>
          <w:color w:val="63666A"/>
        </w:rPr>
      </w:pPr>
    </w:p>
    <w:p w:rsidR="001A1DA4" w:rsidRDefault="001A1DA4" w:rsidP="00DE5FDC">
      <w:pPr>
        <w:jc w:val="both"/>
        <w:rPr>
          <w:rFonts w:ascii="Arial" w:hAnsi="Arial" w:cs="Arial"/>
          <w:color w:val="63666A"/>
          <w:sz w:val="20"/>
          <w:szCs w:val="22"/>
        </w:rPr>
      </w:pPr>
      <w:r w:rsidRPr="00C24D27">
        <w:rPr>
          <w:rFonts w:ascii="Arial" w:hAnsi="Arial" w:cs="Arial"/>
          <w:color w:val="63666A"/>
          <w:sz w:val="20"/>
          <w:szCs w:val="22"/>
        </w:rPr>
        <w:t xml:space="preserve">This consultation paper covers an area of law that is of immense interest to IPA members </w:t>
      </w:r>
      <w:r w:rsidR="000D4F01">
        <w:rPr>
          <w:rFonts w:ascii="Arial" w:hAnsi="Arial" w:cs="Arial"/>
          <w:color w:val="63666A"/>
          <w:sz w:val="20"/>
          <w:szCs w:val="22"/>
        </w:rPr>
        <w:t>who</w:t>
      </w:r>
      <w:r w:rsidRPr="00C24D27">
        <w:rPr>
          <w:rFonts w:ascii="Arial" w:hAnsi="Arial" w:cs="Arial"/>
          <w:color w:val="63666A"/>
          <w:sz w:val="20"/>
          <w:szCs w:val="22"/>
        </w:rPr>
        <w:t xml:space="preserve"> provide advice to small businesses on how best to deal with situations in which they have been the subject of a phoenix operator. The IPA also has members who are in commerce and will from time to time encounter business operators that fit the characteristics of phoenix operators. It is critical that the </w:t>
      </w:r>
      <w:r w:rsidR="00F55029">
        <w:rPr>
          <w:rFonts w:ascii="Arial" w:hAnsi="Arial" w:cs="Arial"/>
          <w:color w:val="63666A"/>
          <w:sz w:val="20"/>
          <w:szCs w:val="22"/>
        </w:rPr>
        <w:t>Government</w:t>
      </w:r>
      <w:r w:rsidRPr="00C24D27">
        <w:rPr>
          <w:rFonts w:ascii="Arial" w:hAnsi="Arial" w:cs="Arial"/>
          <w:color w:val="63666A"/>
          <w:sz w:val="20"/>
          <w:szCs w:val="22"/>
        </w:rPr>
        <w:t xml:space="preserve"> addresses</w:t>
      </w:r>
      <w:r w:rsidR="00DE5FDC">
        <w:rPr>
          <w:rFonts w:ascii="Arial" w:hAnsi="Arial" w:cs="Arial"/>
          <w:color w:val="63666A"/>
          <w:sz w:val="20"/>
          <w:szCs w:val="22"/>
        </w:rPr>
        <w:t>,</w:t>
      </w:r>
      <w:r w:rsidRPr="00C24D27">
        <w:rPr>
          <w:rFonts w:ascii="Arial" w:hAnsi="Arial" w:cs="Arial"/>
          <w:color w:val="63666A"/>
          <w:sz w:val="20"/>
          <w:szCs w:val="22"/>
        </w:rPr>
        <w:t xml:space="preserve"> through legislative amendment</w:t>
      </w:r>
      <w:r w:rsidR="00DE5FDC">
        <w:rPr>
          <w:rFonts w:ascii="Arial" w:hAnsi="Arial" w:cs="Arial"/>
          <w:color w:val="63666A"/>
          <w:sz w:val="20"/>
          <w:szCs w:val="22"/>
        </w:rPr>
        <w:t>s,</w:t>
      </w:r>
      <w:r w:rsidRPr="00C24D27">
        <w:rPr>
          <w:rFonts w:ascii="Arial" w:hAnsi="Arial" w:cs="Arial"/>
          <w:color w:val="63666A"/>
          <w:sz w:val="20"/>
          <w:szCs w:val="22"/>
        </w:rPr>
        <w:t xml:space="preserve"> any weakness in the current regulatory system that permits individuals or groups of individuals to engage in phoenix activit</w:t>
      </w:r>
      <w:r w:rsidR="000D4F01">
        <w:rPr>
          <w:rFonts w:ascii="Arial" w:hAnsi="Arial" w:cs="Arial"/>
          <w:color w:val="63666A"/>
          <w:sz w:val="20"/>
          <w:szCs w:val="22"/>
        </w:rPr>
        <w:t>ies</w:t>
      </w:r>
      <w:r w:rsidRPr="00C24D27">
        <w:rPr>
          <w:rFonts w:ascii="Arial" w:hAnsi="Arial" w:cs="Arial"/>
          <w:color w:val="63666A"/>
          <w:sz w:val="20"/>
          <w:szCs w:val="22"/>
        </w:rPr>
        <w:t xml:space="preserve">. </w:t>
      </w:r>
    </w:p>
    <w:p w:rsidR="001A1DA4" w:rsidRDefault="001A1DA4" w:rsidP="00DE5FDC">
      <w:pPr>
        <w:jc w:val="both"/>
        <w:rPr>
          <w:rFonts w:ascii="Arial" w:hAnsi="Arial" w:cs="Arial"/>
          <w:color w:val="63666A"/>
          <w:sz w:val="20"/>
          <w:szCs w:val="22"/>
        </w:rPr>
      </w:pPr>
    </w:p>
    <w:p w:rsidR="001A1DA4" w:rsidRPr="00C24D27" w:rsidRDefault="001A1DA4" w:rsidP="00DE5FDC">
      <w:pPr>
        <w:jc w:val="both"/>
        <w:rPr>
          <w:rFonts w:ascii="Arial" w:hAnsi="Arial" w:cs="Arial"/>
          <w:color w:val="63666A"/>
          <w:sz w:val="20"/>
          <w:szCs w:val="22"/>
        </w:rPr>
      </w:pPr>
      <w:r w:rsidRPr="00C24D27">
        <w:rPr>
          <w:rFonts w:ascii="Arial" w:hAnsi="Arial" w:cs="Arial"/>
          <w:color w:val="63666A"/>
          <w:sz w:val="20"/>
          <w:szCs w:val="22"/>
        </w:rPr>
        <w:t xml:space="preserve">Small businesses </w:t>
      </w:r>
      <w:r w:rsidR="000D4F01">
        <w:rPr>
          <w:rFonts w:ascii="Arial" w:hAnsi="Arial" w:cs="Arial"/>
          <w:color w:val="63666A"/>
          <w:sz w:val="20"/>
          <w:szCs w:val="22"/>
        </w:rPr>
        <w:t>can fall</w:t>
      </w:r>
      <w:r w:rsidRPr="00C24D27">
        <w:rPr>
          <w:rFonts w:ascii="Arial" w:hAnsi="Arial" w:cs="Arial"/>
          <w:color w:val="63666A"/>
          <w:sz w:val="20"/>
          <w:szCs w:val="22"/>
        </w:rPr>
        <w:t xml:space="preserve"> victims in scenario</w:t>
      </w:r>
      <w:r w:rsidR="000D4F01">
        <w:rPr>
          <w:rFonts w:ascii="Arial" w:hAnsi="Arial" w:cs="Arial"/>
          <w:color w:val="63666A"/>
          <w:sz w:val="20"/>
          <w:szCs w:val="22"/>
        </w:rPr>
        <w:t>s</w:t>
      </w:r>
      <w:r w:rsidRPr="00C24D27">
        <w:rPr>
          <w:rFonts w:ascii="Arial" w:hAnsi="Arial" w:cs="Arial"/>
          <w:color w:val="63666A"/>
          <w:sz w:val="20"/>
          <w:szCs w:val="22"/>
        </w:rPr>
        <w:t xml:space="preserve"> where directors of a failing business are able to find a way of exiting the enterprise without paying debts owed to suppliers, contractors and employees. This is </w:t>
      </w:r>
      <w:r w:rsidR="000D4F01">
        <w:rPr>
          <w:rFonts w:ascii="Arial" w:hAnsi="Arial" w:cs="Arial"/>
          <w:color w:val="63666A"/>
          <w:sz w:val="20"/>
          <w:szCs w:val="22"/>
        </w:rPr>
        <w:t xml:space="preserve">an </w:t>
      </w:r>
      <w:r w:rsidRPr="00C24D27">
        <w:rPr>
          <w:rFonts w:ascii="Arial" w:hAnsi="Arial" w:cs="Arial"/>
          <w:color w:val="63666A"/>
          <w:sz w:val="20"/>
          <w:szCs w:val="22"/>
        </w:rPr>
        <w:t>unfair</w:t>
      </w:r>
      <w:r w:rsidR="000D4F01">
        <w:rPr>
          <w:rFonts w:ascii="Arial" w:hAnsi="Arial" w:cs="Arial"/>
          <w:color w:val="63666A"/>
          <w:sz w:val="20"/>
          <w:szCs w:val="22"/>
        </w:rPr>
        <w:t xml:space="preserve"> and </w:t>
      </w:r>
      <w:r w:rsidR="001A3BE7">
        <w:rPr>
          <w:rFonts w:ascii="Arial" w:hAnsi="Arial" w:cs="Arial"/>
          <w:color w:val="63666A"/>
          <w:sz w:val="20"/>
          <w:szCs w:val="22"/>
        </w:rPr>
        <w:t xml:space="preserve">often an </w:t>
      </w:r>
      <w:r w:rsidR="000D4F01">
        <w:rPr>
          <w:rFonts w:ascii="Arial" w:hAnsi="Arial" w:cs="Arial"/>
          <w:color w:val="63666A"/>
          <w:sz w:val="20"/>
          <w:szCs w:val="22"/>
        </w:rPr>
        <w:t>illegal activity impacting</w:t>
      </w:r>
      <w:r w:rsidRPr="00C24D27">
        <w:rPr>
          <w:rFonts w:ascii="Arial" w:hAnsi="Arial" w:cs="Arial"/>
          <w:color w:val="63666A"/>
          <w:sz w:val="20"/>
          <w:szCs w:val="22"/>
        </w:rPr>
        <w:t xml:space="preserve"> on those small businesses that have entered into a commercial relationship with an entity in good faith. A small business expects to be paid under their usual commercial terms on a timely basis for any work done or supplies sold to another business. Small businesses suffer economic losses as a result of phoenix activ</w:t>
      </w:r>
      <w:r w:rsidR="000D4353">
        <w:rPr>
          <w:rFonts w:ascii="Arial" w:hAnsi="Arial" w:cs="Arial"/>
          <w:color w:val="63666A"/>
          <w:sz w:val="20"/>
          <w:szCs w:val="22"/>
        </w:rPr>
        <w:t>it</w:t>
      </w:r>
      <w:r w:rsidR="000D4F01">
        <w:rPr>
          <w:rFonts w:ascii="Arial" w:hAnsi="Arial" w:cs="Arial"/>
          <w:color w:val="63666A"/>
          <w:sz w:val="20"/>
          <w:szCs w:val="22"/>
        </w:rPr>
        <w:t>ies</w:t>
      </w:r>
      <w:r w:rsidR="000D4353">
        <w:rPr>
          <w:rFonts w:ascii="Arial" w:hAnsi="Arial" w:cs="Arial"/>
          <w:color w:val="63666A"/>
          <w:sz w:val="20"/>
          <w:szCs w:val="22"/>
        </w:rPr>
        <w:t xml:space="preserve"> and such losses may lead </w:t>
      </w:r>
      <w:r w:rsidRPr="00C24D27">
        <w:rPr>
          <w:rFonts w:ascii="Arial" w:hAnsi="Arial" w:cs="Arial"/>
          <w:color w:val="63666A"/>
          <w:sz w:val="20"/>
          <w:szCs w:val="22"/>
        </w:rPr>
        <w:t xml:space="preserve">small businesses </w:t>
      </w:r>
      <w:r w:rsidR="00DE5FDC">
        <w:rPr>
          <w:rFonts w:ascii="Arial" w:hAnsi="Arial" w:cs="Arial"/>
          <w:color w:val="63666A"/>
          <w:sz w:val="20"/>
          <w:szCs w:val="22"/>
        </w:rPr>
        <w:t>in</w:t>
      </w:r>
      <w:r w:rsidRPr="00C24D27">
        <w:rPr>
          <w:rFonts w:ascii="Arial" w:hAnsi="Arial" w:cs="Arial"/>
          <w:color w:val="63666A"/>
          <w:sz w:val="20"/>
          <w:szCs w:val="22"/>
        </w:rPr>
        <w:t xml:space="preserve">to financial </w:t>
      </w:r>
      <w:r w:rsidR="00F55029">
        <w:rPr>
          <w:rFonts w:ascii="Arial" w:hAnsi="Arial" w:cs="Arial"/>
          <w:color w:val="63666A"/>
          <w:sz w:val="20"/>
          <w:szCs w:val="22"/>
        </w:rPr>
        <w:t>crisis</w:t>
      </w:r>
      <w:r w:rsidRPr="00C24D27">
        <w:rPr>
          <w:rFonts w:ascii="Arial" w:hAnsi="Arial" w:cs="Arial"/>
          <w:color w:val="63666A"/>
          <w:sz w:val="20"/>
          <w:szCs w:val="22"/>
        </w:rPr>
        <w:t>. It is hoped that these proposals assist in minimising the overall financial burden faced by ethical small businesses arising from dealing</w:t>
      </w:r>
      <w:r w:rsidR="00DE5FDC">
        <w:rPr>
          <w:rFonts w:ascii="Arial" w:hAnsi="Arial" w:cs="Arial"/>
          <w:color w:val="63666A"/>
          <w:sz w:val="20"/>
          <w:szCs w:val="22"/>
        </w:rPr>
        <w:t>s</w:t>
      </w:r>
      <w:r w:rsidRPr="00C24D27">
        <w:rPr>
          <w:rFonts w:ascii="Arial" w:hAnsi="Arial" w:cs="Arial"/>
          <w:color w:val="63666A"/>
          <w:sz w:val="20"/>
          <w:szCs w:val="22"/>
        </w:rPr>
        <w:t xml:space="preserve"> with unethical operators.</w:t>
      </w:r>
    </w:p>
    <w:p w:rsidR="001A1DA4" w:rsidRDefault="001A1DA4" w:rsidP="00DE5FDC">
      <w:pPr>
        <w:jc w:val="both"/>
        <w:rPr>
          <w:rFonts w:ascii="Arial" w:hAnsi="Arial" w:cs="Arial"/>
          <w:color w:val="63666A"/>
          <w:sz w:val="20"/>
          <w:szCs w:val="22"/>
        </w:rPr>
      </w:pPr>
    </w:p>
    <w:p w:rsidR="001A1DA4" w:rsidRPr="00C24D27" w:rsidRDefault="001A1DA4" w:rsidP="00DE5FDC">
      <w:pPr>
        <w:jc w:val="both"/>
        <w:rPr>
          <w:rFonts w:ascii="Arial" w:hAnsi="Arial" w:cs="Arial"/>
          <w:color w:val="63666A"/>
          <w:sz w:val="20"/>
          <w:szCs w:val="22"/>
        </w:rPr>
      </w:pPr>
      <w:r w:rsidRPr="00C24D27">
        <w:rPr>
          <w:rFonts w:ascii="Arial" w:hAnsi="Arial" w:cs="Arial"/>
          <w:color w:val="63666A"/>
          <w:sz w:val="20"/>
          <w:szCs w:val="22"/>
        </w:rPr>
        <w:t xml:space="preserve">It should also be noted that it is possible for an unethical </w:t>
      </w:r>
      <w:r w:rsidR="00DC3616">
        <w:rPr>
          <w:rFonts w:ascii="Arial" w:hAnsi="Arial" w:cs="Arial"/>
          <w:color w:val="63666A"/>
          <w:sz w:val="20"/>
          <w:szCs w:val="22"/>
        </w:rPr>
        <w:t>business operator</w:t>
      </w:r>
      <w:r w:rsidR="00DC3616" w:rsidRPr="00C24D27">
        <w:rPr>
          <w:rFonts w:ascii="Arial" w:hAnsi="Arial" w:cs="Arial"/>
          <w:color w:val="63666A"/>
          <w:sz w:val="20"/>
          <w:szCs w:val="22"/>
        </w:rPr>
        <w:t xml:space="preserve"> </w:t>
      </w:r>
      <w:r w:rsidRPr="00C24D27">
        <w:rPr>
          <w:rFonts w:ascii="Arial" w:hAnsi="Arial" w:cs="Arial"/>
          <w:color w:val="63666A"/>
          <w:sz w:val="20"/>
          <w:szCs w:val="22"/>
        </w:rPr>
        <w:t xml:space="preserve">to nominate an individual as a director simply by adding a name to a directors’ register online. An individual may find that they are a director of an entity without their consent when an entity has failed to pay its creditors or found to be trading while insolvent. The </w:t>
      </w:r>
      <w:r w:rsidRPr="00FA3D5F">
        <w:rPr>
          <w:rFonts w:ascii="Arial" w:hAnsi="Arial" w:cs="Arial"/>
          <w:i/>
          <w:color w:val="63666A"/>
          <w:sz w:val="20"/>
          <w:szCs w:val="22"/>
        </w:rPr>
        <w:t>Corporations Act 2001</w:t>
      </w:r>
      <w:r w:rsidRPr="00C24D27">
        <w:rPr>
          <w:rFonts w:ascii="Arial" w:hAnsi="Arial" w:cs="Arial"/>
          <w:color w:val="63666A"/>
          <w:sz w:val="20"/>
          <w:szCs w:val="22"/>
        </w:rPr>
        <w:t xml:space="preserve"> does not distinguish between actions taken by </w:t>
      </w:r>
      <w:r w:rsidR="000D4353">
        <w:rPr>
          <w:rFonts w:ascii="Arial" w:hAnsi="Arial" w:cs="Arial"/>
          <w:color w:val="63666A"/>
          <w:sz w:val="20"/>
          <w:szCs w:val="22"/>
        </w:rPr>
        <w:t>a person</w:t>
      </w:r>
      <w:r w:rsidRPr="00C24D27">
        <w:rPr>
          <w:rFonts w:ascii="Arial" w:hAnsi="Arial" w:cs="Arial"/>
          <w:color w:val="63666A"/>
          <w:sz w:val="20"/>
          <w:szCs w:val="22"/>
        </w:rPr>
        <w:t xml:space="preserve"> that has properly consented to being a director or someone that has been added to a register online without their consent. An individual may be held liable for decisions made during their term as a director even though they had never given their formal consent. This needs to be at the forefront of the mind of government as it contemplates amendment</w:t>
      </w:r>
      <w:r w:rsidR="000D4353">
        <w:rPr>
          <w:rFonts w:ascii="Arial" w:hAnsi="Arial" w:cs="Arial"/>
          <w:color w:val="63666A"/>
          <w:sz w:val="20"/>
          <w:szCs w:val="22"/>
        </w:rPr>
        <w:t>s</w:t>
      </w:r>
      <w:r w:rsidRPr="00C24D27">
        <w:rPr>
          <w:rFonts w:ascii="Arial" w:hAnsi="Arial" w:cs="Arial"/>
          <w:color w:val="63666A"/>
          <w:sz w:val="20"/>
          <w:szCs w:val="22"/>
        </w:rPr>
        <w:t xml:space="preserve"> to legislation dealing with phoenix operators.</w:t>
      </w:r>
    </w:p>
    <w:p w:rsidR="001A1DA4" w:rsidRDefault="001A1DA4" w:rsidP="00DE5FDC">
      <w:pPr>
        <w:jc w:val="both"/>
        <w:rPr>
          <w:rFonts w:ascii="Arial" w:hAnsi="Arial" w:cs="Arial"/>
          <w:color w:val="63666A"/>
          <w:sz w:val="20"/>
          <w:szCs w:val="22"/>
        </w:rPr>
      </w:pPr>
    </w:p>
    <w:p w:rsidR="001A1DA4" w:rsidRDefault="000D4353" w:rsidP="000D4353">
      <w:pPr>
        <w:jc w:val="both"/>
        <w:rPr>
          <w:rFonts w:ascii="Arial" w:hAnsi="Arial" w:cs="Arial"/>
          <w:color w:val="63666A"/>
          <w:sz w:val="20"/>
          <w:szCs w:val="22"/>
        </w:rPr>
      </w:pPr>
      <w:r>
        <w:rPr>
          <w:rFonts w:ascii="Arial" w:hAnsi="Arial" w:cs="Arial"/>
          <w:color w:val="63666A"/>
          <w:sz w:val="20"/>
          <w:szCs w:val="22"/>
        </w:rPr>
        <w:t>Areas of reform for</w:t>
      </w:r>
      <w:r w:rsidR="001A1DA4" w:rsidRPr="00C24D27">
        <w:rPr>
          <w:rFonts w:ascii="Arial" w:hAnsi="Arial" w:cs="Arial"/>
          <w:color w:val="63666A"/>
          <w:sz w:val="20"/>
          <w:szCs w:val="22"/>
        </w:rPr>
        <w:t xml:space="preserve"> tax administration are </w:t>
      </w:r>
      <w:r w:rsidR="001A3BE7">
        <w:rPr>
          <w:rFonts w:ascii="Arial" w:hAnsi="Arial" w:cs="Arial"/>
          <w:color w:val="63666A"/>
          <w:sz w:val="20"/>
          <w:szCs w:val="22"/>
        </w:rPr>
        <w:t xml:space="preserve">briefly </w:t>
      </w:r>
      <w:r w:rsidR="001A1DA4" w:rsidRPr="00C24D27">
        <w:rPr>
          <w:rFonts w:ascii="Arial" w:hAnsi="Arial" w:cs="Arial"/>
          <w:color w:val="63666A"/>
          <w:sz w:val="20"/>
          <w:szCs w:val="22"/>
        </w:rPr>
        <w:t xml:space="preserve">suggested in the consultation paper and these have qualified support. </w:t>
      </w:r>
    </w:p>
    <w:p w:rsidR="000D4353" w:rsidRPr="000D4353" w:rsidRDefault="000D4353" w:rsidP="000D4353">
      <w:pPr>
        <w:jc w:val="both"/>
        <w:rPr>
          <w:rFonts w:ascii="Arial" w:hAnsi="Arial" w:cs="Arial"/>
          <w:color w:val="63666A"/>
          <w:sz w:val="20"/>
          <w:szCs w:val="22"/>
        </w:rPr>
      </w:pPr>
    </w:p>
    <w:p w:rsidR="001A1DA4" w:rsidRPr="001A1DA4" w:rsidRDefault="001A1DA4" w:rsidP="00DE5FDC">
      <w:pPr>
        <w:pStyle w:val="BodytextArial10pt"/>
        <w:jc w:val="both"/>
        <w:rPr>
          <w:b/>
          <w:i/>
          <w:color w:val="63666A"/>
        </w:rPr>
      </w:pPr>
      <w:r w:rsidRPr="001A1DA4">
        <w:rPr>
          <w:b/>
          <w:i/>
          <w:color w:val="63666A"/>
        </w:rPr>
        <w:t>Establishing a hotline for phoenix activity</w:t>
      </w:r>
    </w:p>
    <w:p w:rsidR="00793FC4" w:rsidRDefault="00793FC4" w:rsidP="00DE5FDC">
      <w:pPr>
        <w:pStyle w:val="BodytextArial10pt"/>
        <w:jc w:val="both"/>
        <w:rPr>
          <w:color w:val="63666A"/>
        </w:rPr>
      </w:pPr>
    </w:p>
    <w:p w:rsidR="001A1DA4" w:rsidRPr="00EF1067" w:rsidRDefault="001A1DA4" w:rsidP="00DE5FDC">
      <w:pPr>
        <w:pStyle w:val="BodytextArial10pt"/>
        <w:jc w:val="both"/>
        <w:rPr>
          <w:color w:val="63666A"/>
        </w:rPr>
      </w:pPr>
      <w:r w:rsidRPr="00EF1067">
        <w:rPr>
          <w:color w:val="63666A"/>
        </w:rPr>
        <w:t xml:space="preserve">A hotline using all available technologies to collect information about suspected phoenix conduct is supported. Such a hotline already exists in other areas of law enforcement. Crime Stoppers is one prominent example of such a hotline that is often cited </w:t>
      </w:r>
      <w:r w:rsidR="000D4353">
        <w:rPr>
          <w:color w:val="63666A"/>
        </w:rPr>
        <w:t>in the media. It is used by</w:t>
      </w:r>
      <w:r w:rsidRPr="00EF1067">
        <w:rPr>
          <w:color w:val="63666A"/>
        </w:rPr>
        <w:t xml:space="preserve"> </w:t>
      </w:r>
      <w:r w:rsidR="000D4F01">
        <w:rPr>
          <w:color w:val="63666A"/>
        </w:rPr>
        <w:t xml:space="preserve">the </w:t>
      </w:r>
      <w:r w:rsidR="00DC3616">
        <w:rPr>
          <w:color w:val="63666A"/>
        </w:rPr>
        <w:t>p</w:t>
      </w:r>
      <w:r w:rsidRPr="00EF1067">
        <w:rPr>
          <w:color w:val="63666A"/>
        </w:rPr>
        <w:t>olice</w:t>
      </w:r>
      <w:r w:rsidR="000D4353">
        <w:rPr>
          <w:color w:val="63666A"/>
        </w:rPr>
        <w:t xml:space="preserve"> in various </w:t>
      </w:r>
      <w:r w:rsidR="00DC3616">
        <w:rPr>
          <w:color w:val="63666A"/>
        </w:rPr>
        <w:t>S</w:t>
      </w:r>
      <w:r w:rsidR="000D4353">
        <w:rPr>
          <w:color w:val="63666A"/>
        </w:rPr>
        <w:t>tates</w:t>
      </w:r>
      <w:r w:rsidRPr="00EF1067">
        <w:rPr>
          <w:color w:val="63666A"/>
        </w:rPr>
        <w:t xml:space="preserve"> as a way of </w:t>
      </w:r>
      <w:r w:rsidR="000D4F01">
        <w:rPr>
          <w:color w:val="63666A"/>
        </w:rPr>
        <w:t>accessing</w:t>
      </w:r>
      <w:r w:rsidRPr="00EF1067">
        <w:rPr>
          <w:color w:val="63666A"/>
        </w:rPr>
        <w:t xml:space="preserve"> information that might help solve a crime. Any hotline set up to handle complaints related to suspected phoenix behaviour could follow a similar awareness strategy so that individuals or businesses </w:t>
      </w:r>
      <w:r w:rsidR="000D4F01">
        <w:rPr>
          <w:color w:val="63666A"/>
        </w:rPr>
        <w:t xml:space="preserve">are </w:t>
      </w:r>
      <w:r w:rsidR="001A3BE7">
        <w:rPr>
          <w:color w:val="63666A"/>
        </w:rPr>
        <w:t xml:space="preserve">made </w:t>
      </w:r>
      <w:r w:rsidR="000D4F01">
        <w:rPr>
          <w:color w:val="63666A"/>
        </w:rPr>
        <w:t xml:space="preserve">aware </w:t>
      </w:r>
      <w:r w:rsidRPr="00EF1067">
        <w:rPr>
          <w:color w:val="63666A"/>
        </w:rPr>
        <w:t xml:space="preserve">that they are able to complain to a central point managed by a dedicated team of experts in this area of the law. </w:t>
      </w:r>
    </w:p>
    <w:p w:rsidR="00793FC4" w:rsidRDefault="001A1DA4" w:rsidP="00DE5FDC">
      <w:pPr>
        <w:pStyle w:val="BodytextArial10pt"/>
        <w:jc w:val="both"/>
        <w:rPr>
          <w:color w:val="63666A"/>
        </w:rPr>
      </w:pPr>
      <w:r w:rsidRPr="00EF1067">
        <w:rPr>
          <w:color w:val="63666A"/>
        </w:rPr>
        <w:lastRenderedPageBreak/>
        <w:t xml:space="preserve">The hotline should be housed </w:t>
      </w:r>
      <w:r w:rsidR="001A3BE7">
        <w:rPr>
          <w:color w:val="63666A"/>
        </w:rPr>
        <w:t xml:space="preserve">and administered </w:t>
      </w:r>
      <w:r w:rsidRPr="00EF1067">
        <w:rPr>
          <w:color w:val="63666A"/>
        </w:rPr>
        <w:t xml:space="preserve">primarily within the Australian Securities and Investments Commission (ASIC) given that the mechanism primarily used to give effect to a </w:t>
      </w:r>
      <w:r w:rsidR="00484B16">
        <w:rPr>
          <w:color w:val="63666A"/>
        </w:rPr>
        <w:t xml:space="preserve">suspected </w:t>
      </w:r>
      <w:r w:rsidRPr="00EF1067">
        <w:rPr>
          <w:color w:val="63666A"/>
        </w:rPr>
        <w:t xml:space="preserve">phoenix </w:t>
      </w:r>
      <w:r w:rsidR="00484B16">
        <w:rPr>
          <w:color w:val="63666A"/>
        </w:rPr>
        <w:t>activity</w:t>
      </w:r>
      <w:r w:rsidRPr="00EF1067">
        <w:rPr>
          <w:color w:val="63666A"/>
        </w:rPr>
        <w:t xml:space="preserve"> </w:t>
      </w:r>
      <w:r w:rsidR="001A3BE7">
        <w:rPr>
          <w:color w:val="63666A"/>
        </w:rPr>
        <w:t>will be</w:t>
      </w:r>
      <w:r w:rsidRPr="00EF1067">
        <w:rPr>
          <w:color w:val="63666A"/>
        </w:rPr>
        <w:t xml:space="preserve"> the relevant </w:t>
      </w:r>
      <w:r w:rsidRPr="00FA3D5F">
        <w:rPr>
          <w:i/>
          <w:color w:val="63666A"/>
        </w:rPr>
        <w:t>Corporations Act</w:t>
      </w:r>
      <w:r w:rsidRPr="00EF1067">
        <w:rPr>
          <w:color w:val="63666A"/>
        </w:rPr>
        <w:t xml:space="preserve"> provisions. It is acknowledged that a phoenix taskforce may be multi-disciplined given that multiple offences covering different pieces of legislation</w:t>
      </w:r>
      <w:r w:rsidR="000D4353">
        <w:rPr>
          <w:color w:val="63666A"/>
        </w:rPr>
        <w:t xml:space="preserve"> may apply</w:t>
      </w:r>
      <w:r w:rsidRPr="00EF1067">
        <w:rPr>
          <w:color w:val="63666A"/>
        </w:rPr>
        <w:t xml:space="preserve">. </w:t>
      </w:r>
      <w:r w:rsidR="001A3BE7">
        <w:rPr>
          <w:color w:val="63666A"/>
        </w:rPr>
        <w:t>We note that s</w:t>
      </w:r>
      <w:r w:rsidRPr="00EF1067">
        <w:rPr>
          <w:color w:val="63666A"/>
        </w:rPr>
        <w:t>tatistics on the number of calls received and whether they le</w:t>
      </w:r>
      <w:r w:rsidR="000D4353">
        <w:rPr>
          <w:color w:val="63666A"/>
        </w:rPr>
        <w:t>a</w:t>
      </w:r>
      <w:r w:rsidRPr="00EF1067">
        <w:rPr>
          <w:color w:val="63666A"/>
        </w:rPr>
        <w:t xml:space="preserve">d to successful investigations into </w:t>
      </w:r>
      <w:r w:rsidR="00484B16">
        <w:rPr>
          <w:color w:val="63666A"/>
        </w:rPr>
        <w:t xml:space="preserve">suspected </w:t>
      </w:r>
      <w:r w:rsidR="001A3BE7">
        <w:rPr>
          <w:color w:val="63666A"/>
        </w:rPr>
        <w:t>phoenix operatives</w:t>
      </w:r>
      <w:r w:rsidRPr="00EF1067">
        <w:rPr>
          <w:color w:val="63666A"/>
        </w:rPr>
        <w:t xml:space="preserve"> must be </w:t>
      </w:r>
      <w:r w:rsidR="000D4353">
        <w:rPr>
          <w:color w:val="63666A"/>
        </w:rPr>
        <w:t>maintained</w:t>
      </w:r>
      <w:r w:rsidRPr="00EF1067">
        <w:rPr>
          <w:color w:val="63666A"/>
        </w:rPr>
        <w:t xml:space="preserve"> irrespective of </w:t>
      </w:r>
      <w:r w:rsidR="000D3E57">
        <w:rPr>
          <w:color w:val="63666A"/>
        </w:rPr>
        <w:t xml:space="preserve">whichever </w:t>
      </w:r>
      <w:r w:rsidRPr="00EF1067">
        <w:rPr>
          <w:color w:val="63666A"/>
        </w:rPr>
        <w:t xml:space="preserve">agency </w:t>
      </w:r>
      <w:r w:rsidR="003803CF">
        <w:rPr>
          <w:color w:val="63666A"/>
        </w:rPr>
        <w:t>ul</w:t>
      </w:r>
      <w:r w:rsidR="000D3E57">
        <w:rPr>
          <w:color w:val="63666A"/>
        </w:rPr>
        <w:t xml:space="preserve">timately bears </w:t>
      </w:r>
      <w:r w:rsidRPr="00EF1067">
        <w:rPr>
          <w:color w:val="63666A"/>
        </w:rPr>
        <w:t xml:space="preserve">the portfolio responsibility. Such statistics however, should be used solely to monitor trends in usage rather </w:t>
      </w:r>
      <w:r w:rsidR="000D4353">
        <w:rPr>
          <w:color w:val="63666A"/>
        </w:rPr>
        <w:t>than be seen as a justification</w:t>
      </w:r>
      <w:r w:rsidR="000D4353" w:rsidRPr="00EF1067">
        <w:rPr>
          <w:color w:val="63666A"/>
        </w:rPr>
        <w:t xml:space="preserve"> to </w:t>
      </w:r>
      <w:r w:rsidR="000D4353">
        <w:rPr>
          <w:color w:val="63666A"/>
        </w:rPr>
        <w:t>shut</w:t>
      </w:r>
      <w:r w:rsidR="00DD3933">
        <w:rPr>
          <w:color w:val="63666A"/>
        </w:rPr>
        <w:t xml:space="preserve"> </w:t>
      </w:r>
      <w:r w:rsidR="000D4353">
        <w:rPr>
          <w:color w:val="63666A"/>
        </w:rPr>
        <w:t>down t</w:t>
      </w:r>
      <w:r w:rsidR="000D4353" w:rsidRPr="00EF1067">
        <w:rPr>
          <w:color w:val="63666A"/>
        </w:rPr>
        <w:t xml:space="preserve">he hotline after a short </w:t>
      </w:r>
      <w:r w:rsidR="000D4353">
        <w:rPr>
          <w:color w:val="63666A"/>
        </w:rPr>
        <w:t xml:space="preserve">trial </w:t>
      </w:r>
      <w:r w:rsidR="000D4353" w:rsidRPr="00EF1067">
        <w:rPr>
          <w:color w:val="63666A"/>
        </w:rPr>
        <w:t>period</w:t>
      </w:r>
      <w:r w:rsidR="000D4353">
        <w:rPr>
          <w:color w:val="63666A"/>
        </w:rPr>
        <w:t>, ie</w:t>
      </w:r>
      <w:r w:rsidR="000D4353" w:rsidRPr="00EF1067">
        <w:rPr>
          <w:color w:val="63666A"/>
        </w:rPr>
        <w:t>.</w:t>
      </w:r>
      <w:r w:rsidR="00DD3933">
        <w:rPr>
          <w:color w:val="63666A"/>
        </w:rPr>
        <w:t xml:space="preserve"> </w:t>
      </w:r>
      <w:r w:rsidRPr="00EF1067">
        <w:rPr>
          <w:color w:val="63666A"/>
        </w:rPr>
        <w:t xml:space="preserve">when </w:t>
      </w:r>
      <w:r w:rsidR="000D4353">
        <w:rPr>
          <w:color w:val="63666A"/>
        </w:rPr>
        <w:t xml:space="preserve">external </w:t>
      </w:r>
      <w:r w:rsidRPr="00EF1067">
        <w:rPr>
          <w:color w:val="63666A"/>
        </w:rPr>
        <w:t>pressure</w:t>
      </w:r>
      <w:r w:rsidR="000D4353">
        <w:rPr>
          <w:color w:val="63666A"/>
        </w:rPr>
        <w:t>s</w:t>
      </w:r>
      <w:r w:rsidRPr="00EF1067">
        <w:rPr>
          <w:color w:val="63666A"/>
        </w:rPr>
        <w:t xml:space="preserve"> to meet efficiency dividends increase</w:t>
      </w:r>
      <w:r w:rsidR="000D4353">
        <w:rPr>
          <w:color w:val="63666A"/>
        </w:rPr>
        <w:t xml:space="preserve"> due to low </w:t>
      </w:r>
      <w:r w:rsidR="000D4353" w:rsidRPr="00EF1067">
        <w:rPr>
          <w:color w:val="63666A"/>
        </w:rPr>
        <w:t>usage</w:t>
      </w:r>
      <w:r w:rsidR="000D4353">
        <w:rPr>
          <w:color w:val="63666A"/>
        </w:rPr>
        <w:t xml:space="preserve"> rates. </w:t>
      </w:r>
      <w:r w:rsidR="00484B16">
        <w:rPr>
          <w:color w:val="63666A"/>
        </w:rPr>
        <w:t>We are of the view that the establishme</w:t>
      </w:r>
      <w:r w:rsidR="00DD3933">
        <w:rPr>
          <w:color w:val="63666A"/>
        </w:rPr>
        <w:t>nt of a</w:t>
      </w:r>
      <w:r w:rsidR="00484B16">
        <w:rPr>
          <w:color w:val="63666A"/>
        </w:rPr>
        <w:t xml:space="preserve"> hotline facility as described in the proposal, is critical to the success of the overall package.</w:t>
      </w:r>
    </w:p>
    <w:p w:rsidR="00484B16" w:rsidRDefault="00484B16" w:rsidP="00DE5FDC">
      <w:pPr>
        <w:pStyle w:val="BodytextArial10pt"/>
        <w:jc w:val="both"/>
        <w:rPr>
          <w:i/>
          <w:color w:val="63666A"/>
        </w:rPr>
      </w:pPr>
    </w:p>
    <w:p w:rsidR="001A1DA4" w:rsidRPr="00793FC4" w:rsidRDefault="001A1DA4" w:rsidP="00DE5FDC">
      <w:pPr>
        <w:pStyle w:val="BodytextArial10pt"/>
        <w:jc w:val="both"/>
        <w:rPr>
          <w:b/>
          <w:i/>
          <w:color w:val="63666A"/>
        </w:rPr>
      </w:pPr>
      <w:r w:rsidRPr="00793FC4">
        <w:rPr>
          <w:b/>
          <w:i/>
          <w:color w:val="63666A"/>
        </w:rPr>
        <w:t>Creating a phoenix offence</w:t>
      </w:r>
    </w:p>
    <w:p w:rsidR="00793FC4" w:rsidRDefault="00793FC4" w:rsidP="00DE5FDC">
      <w:pPr>
        <w:pStyle w:val="BodytextArial10pt"/>
        <w:jc w:val="both"/>
        <w:rPr>
          <w:color w:val="63666A"/>
        </w:rPr>
      </w:pPr>
    </w:p>
    <w:p w:rsidR="001A1DA4" w:rsidRPr="00EF1067" w:rsidRDefault="001A1DA4" w:rsidP="00DE5FDC">
      <w:pPr>
        <w:pStyle w:val="BodytextArial10pt"/>
        <w:jc w:val="both"/>
        <w:rPr>
          <w:color w:val="63666A"/>
        </w:rPr>
      </w:pPr>
      <w:r w:rsidRPr="00EF1067">
        <w:rPr>
          <w:color w:val="63666A"/>
        </w:rPr>
        <w:t xml:space="preserve">The </w:t>
      </w:r>
      <w:r w:rsidR="00793FC4">
        <w:rPr>
          <w:color w:val="63666A"/>
        </w:rPr>
        <w:t>creation</w:t>
      </w:r>
      <w:r w:rsidRPr="00EF1067">
        <w:rPr>
          <w:color w:val="63666A"/>
        </w:rPr>
        <w:t xml:space="preserve"> of a specific phoenix offence is supported with</w:t>
      </w:r>
      <w:r w:rsidR="00793FC4">
        <w:rPr>
          <w:color w:val="63666A"/>
        </w:rPr>
        <w:t xml:space="preserve"> qualification. Any investigation</w:t>
      </w:r>
      <w:r w:rsidRPr="00EF1067">
        <w:rPr>
          <w:color w:val="63666A"/>
        </w:rPr>
        <w:t xml:space="preserve"> </w:t>
      </w:r>
      <w:r w:rsidR="00793FC4">
        <w:rPr>
          <w:color w:val="63666A"/>
        </w:rPr>
        <w:t>examining</w:t>
      </w:r>
      <w:r w:rsidRPr="00EF1067">
        <w:rPr>
          <w:color w:val="63666A"/>
        </w:rPr>
        <w:t xml:space="preserve"> a case </w:t>
      </w:r>
      <w:r w:rsidR="00793FC4">
        <w:rPr>
          <w:color w:val="63666A"/>
        </w:rPr>
        <w:t xml:space="preserve">where a phoenix offence </w:t>
      </w:r>
      <w:r w:rsidR="000D3E57" w:rsidRPr="00484B16">
        <w:rPr>
          <w:color w:val="63666A"/>
        </w:rPr>
        <w:t>is suspected</w:t>
      </w:r>
      <w:r w:rsidR="00793FC4">
        <w:rPr>
          <w:color w:val="63666A"/>
        </w:rPr>
        <w:t xml:space="preserve">, </w:t>
      </w:r>
      <w:r w:rsidRPr="00EF1067">
        <w:rPr>
          <w:color w:val="63666A"/>
        </w:rPr>
        <w:t xml:space="preserve">must be able to prove to a court </w:t>
      </w:r>
      <w:r w:rsidR="00793FC4">
        <w:rPr>
          <w:color w:val="63666A"/>
        </w:rPr>
        <w:t xml:space="preserve">of law </w:t>
      </w:r>
      <w:r w:rsidRPr="00EF1067">
        <w:rPr>
          <w:color w:val="63666A"/>
        </w:rPr>
        <w:t xml:space="preserve">that the assets had </w:t>
      </w:r>
      <w:r w:rsidR="000D3E57">
        <w:rPr>
          <w:color w:val="63666A"/>
        </w:rPr>
        <w:t xml:space="preserve">actually </w:t>
      </w:r>
      <w:r w:rsidRPr="00EF1067">
        <w:rPr>
          <w:color w:val="63666A"/>
        </w:rPr>
        <w:t>moved from the phoenix operator to a transferee</w:t>
      </w:r>
      <w:r w:rsidR="000D3E57">
        <w:rPr>
          <w:color w:val="63666A"/>
        </w:rPr>
        <w:t>, with the intent of hiding</w:t>
      </w:r>
      <w:r w:rsidRPr="00EF1067">
        <w:rPr>
          <w:color w:val="63666A"/>
        </w:rPr>
        <w:t xml:space="preserve"> the assets from being available for distribution to an entity’s</w:t>
      </w:r>
      <w:r w:rsidR="00484B16">
        <w:rPr>
          <w:color w:val="63666A"/>
        </w:rPr>
        <w:t xml:space="preserve"> </w:t>
      </w:r>
      <w:r w:rsidRPr="00484B16">
        <w:rPr>
          <w:color w:val="63666A"/>
        </w:rPr>
        <w:t>creditors.</w:t>
      </w:r>
      <w:r w:rsidRPr="00EF1067">
        <w:rPr>
          <w:color w:val="63666A"/>
        </w:rPr>
        <w:t xml:space="preserve"> It is noted that the consultation paper refers to the notion of assets being transferred in order to prevent, hinder or delay any property being available for distribution to creditors. These words are appropriate </w:t>
      </w:r>
      <w:r w:rsidR="003D3EFB">
        <w:rPr>
          <w:color w:val="63666A"/>
        </w:rPr>
        <w:t>and would</w:t>
      </w:r>
      <w:r w:rsidRPr="00EF1067">
        <w:rPr>
          <w:color w:val="63666A"/>
        </w:rPr>
        <w:t xml:space="preserve"> capture any attempt</w:t>
      </w:r>
      <w:r w:rsidR="003D3EFB">
        <w:rPr>
          <w:color w:val="63666A"/>
        </w:rPr>
        <w:t>s</w:t>
      </w:r>
      <w:r w:rsidRPr="00EF1067">
        <w:rPr>
          <w:color w:val="63666A"/>
        </w:rPr>
        <w:t xml:space="preserve"> by an individual to structure a situation in which assets and funds are beyond the reach of creditors. </w:t>
      </w:r>
    </w:p>
    <w:p w:rsidR="001A1DA4" w:rsidRPr="00EF1067" w:rsidRDefault="001A1DA4" w:rsidP="00DE5FDC">
      <w:pPr>
        <w:pStyle w:val="BodytextArial10pt"/>
        <w:jc w:val="both"/>
        <w:rPr>
          <w:color w:val="63666A"/>
        </w:rPr>
      </w:pPr>
      <w:r w:rsidRPr="00EF1067">
        <w:rPr>
          <w:color w:val="63666A"/>
        </w:rPr>
        <w:t>Under the proposals outlined in the consultation paper</w:t>
      </w:r>
      <w:r w:rsidR="000D3E57">
        <w:rPr>
          <w:color w:val="63666A"/>
        </w:rPr>
        <w:t>,</w:t>
      </w:r>
      <w:r w:rsidRPr="00EF1067">
        <w:rPr>
          <w:color w:val="63666A"/>
        </w:rPr>
        <w:t xml:space="preserve"> ASIC would issue a notice </w:t>
      </w:r>
      <w:r w:rsidR="00793FC4">
        <w:rPr>
          <w:color w:val="63666A"/>
        </w:rPr>
        <w:t>to</w:t>
      </w:r>
      <w:r w:rsidRPr="00EF1067">
        <w:rPr>
          <w:color w:val="63666A"/>
        </w:rPr>
        <w:t xml:space="preserve"> the transferee entity that wo</w:t>
      </w:r>
      <w:r w:rsidR="000D3E57">
        <w:rPr>
          <w:color w:val="63666A"/>
        </w:rPr>
        <w:t>u</w:t>
      </w:r>
      <w:r w:rsidRPr="00EF1067">
        <w:rPr>
          <w:color w:val="63666A"/>
        </w:rPr>
        <w:t xml:space="preserve">ld require that entity to </w:t>
      </w:r>
      <w:r w:rsidR="00793FC4">
        <w:rPr>
          <w:color w:val="63666A"/>
        </w:rPr>
        <w:t>return</w:t>
      </w:r>
      <w:r w:rsidRPr="00EF1067">
        <w:rPr>
          <w:color w:val="63666A"/>
        </w:rPr>
        <w:t xml:space="preserve"> assets or funds to the regulator as a result of suspicio</w:t>
      </w:r>
      <w:r w:rsidR="000D3E57">
        <w:rPr>
          <w:color w:val="63666A"/>
        </w:rPr>
        <w:t>u</w:t>
      </w:r>
      <w:r w:rsidR="00793FC4">
        <w:rPr>
          <w:color w:val="63666A"/>
        </w:rPr>
        <w:t>s</w:t>
      </w:r>
      <w:r w:rsidRPr="00EF1067">
        <w:rPr>
          <w:color w:val="63666A"/>
        </w:rPr>
        <w:t xml:space="preserve"> phoenix activity</w:t>
      </w:r>
      <w:r w:rsidR="00793FC4">
        <w:rPr>
          <w:color w:val="63666A"/>
        </w:rPr>
        <w:t>.</w:t>
      </w:r>
      <w:r w:rsidRPr="00EF1067">
        <w:rPr>
          <w:color w:val="63666A"/>
        </w:rPr>
        <w:t xml:space="preserve"> A recipient of </w:t>
      </w:r>
      <w:r w:rsidR="00F736A4">
        <w:rPr>
          <w:color w:val="63666A"/>
        </w:rPr>
        <w:t xml:space="preserve">such </w:t>
      </w:r>
      <w:r w:rsidRPr="00EF1067">
        <w:rPr>
          <w:color w:val="63666A"/>
        </w:rPr>
        <w:t xml:space="preserve">a notice would be able to apply to have a court </w:t>
      </w:r>
      <w:r w:rsidR="00F736A4">
        <w:rPr>
          <w:color w:val="63666A"/>
        </w:rPr>
        <w:t xml:space="preserve">to </w:t>
      </w:r>
      <w:r w:rsidRPr="00EF1067">
        <w:rPr>
          <w:color w:val="63666A"/>
        </w:rPr>
        <w:t>set aside the notice. While this regime is similar to that operating under the Bankruptcy Act</w:t>
      </w:r>
      <w:r w:rsidR="00DF33E7">
        <w:rPr>
          <w:color w:val="63666A"/>
        </w:rPr>
        <w:t>,</w:t>
      </w:r>
      <w:r w:rsidRPr="00EF1067">
        <w:rPr>
          <w:color w:val="63666A"/>
        </w:rPr>
        <w:t xml:space="preserve"> there may be a further principle</w:t>
      </w:r>
      <w:r w:rsidR="00F736A4">
        <w:rPr>
          <w:color w:val="63666A"/>
        </w:rPr>
        <w:t xml:space="preserve"> that is in need of consideration here, so that directors who are under investigation are afforded natural justice. In this sense, clarification is needed in terms of whether </w:t>
      </w:r>
      <w:r w:rsidRPr="00F736A4">
        <w:rPr>
          <w:color w:val="63666A"/>
        </w:rPr>
        <w:t xml:space="preserve">ASIC </w:t>
      </w:r>
      <w:r w:rsidR="00F736A4" w:rsidRPr="00F736A4">
        <w:rPr>
          <w:color w:val="63666A"/>
        </w:rPr>
        <w:t xml:space="preserve">will </w:t>
      </w:r>
      <w:r w:rsidR="00793FC4" w:rsidRPr="00F736A4">
        <w:rPr>
          <w:color w:val="63666A"/>
        </w:rPr>
        <w:t>need</w:t>
      </w:r>
      <w:r w:rsidRPr="00F736A4">
        <w:rPr>
          <w:color w:val="63666A"/>
        </w:rPr>
        <w:t xml:space="preserve"> to apply to a court to </w:t>
      </w:r>
      <w:r w:rsidR="00F736A4" w:rsidRPr="00F736A4">
        <w:rPr>
          <w:color w:val="63666A"/>
        </w:rPr>
        <w:t xml:space="preserve">secure </w:t>
      </w:r>
      <w:r w:rsidRPr="00F736A4">
        <w:rPr>
          <w:color w:val="63666A"/>
        </w:rPr>
        <w:t xml:space="preserve">assets </w:t>
      </w:r>
      <w:r w:rsidR="00793FC4" w:rsidRPr="00F736A4">
        <w:rPr>
          <w:color w:val="63666A"/>
        </w:rPr>
        <w:t>on behalf of</w:t>
      </w:r>
      <w:r w:rsidRPr="00F736A4">
        <w:rPr>
          <w:color w:val="63666A"/>
        </w:rPr>
        <w:t xml:space="preserve"> the </w:t>
      </w:r>
      <w:r w:rsidR="00BB2472">
        <w:rPr>
          <w:color w:val="63666A"/>
        </w:rPr>
        <w:t>C</w:t>
      </w:r>
      <w:r w:rsidRPr="00F736A4">
        <w:rPr>
          <w:color w:val="63666A"/>
        </w:rPr>
        <w:t>ommission’s investigators o</w:t>
      </w:r>
      <w:r w:rsidR="00793FC4" w:rsidRPr="00F736A4">
        <w:rPr>
          <w:color w:val="63666A"/>
        </w:rPr>
        <w:t>r on behalf of a liquidator</w:t>
      </w:r>
      <w:r w:rsidR="00F736A4" w:rsidRPr="00F736A4">
        <w:rPr>
          <w:color w:val="63666A"/>
        </w:rPr>
        <w:t>.</w:t>
      </w:r>
      <w:r w:rsidR="00793FC4" w:rsidRPr="00F736A4">
        <w:rPr>
          <w:color w:val="63666A"/>
        </w:rPr>
        <w:t xml:space="preserve"> </w:t>
      </w:r>
      <w:r w:rsidR="00F736A4">
        <w:rPr>
          <w:color w:val="63666A"/>
        </w:rPr>
        <w:t>If not required to seek court approval, t</w:t>
      </w:r>
      <w:r w:rsidR="00F736A4" w:rsidRPr="00F736A4">
        <w:rPr>
          <w:color w:val="63666A"/>
        </w:rPr>
        <w:t>his may be a contentious issue</w:t>
      </w:r>
      <w:r w:rsidR="00D3704C" w:rsidRPr="00F736A4">
        <w:rPr>
          <w:color w:val="63666A"/>
        </w:rPr>
        <w:t xml:space="preserve"> given that the </w:t>
      </w:r>
      <w:r w:rsidRPr="00F736A4">
        <w:rPr>
          <w:color w:val="63666A"/>
        </w:rPr>
        <w:t>suspicio</w:t>
      </w:r>
      <w:r w:rsidR="00793FC4" w:rsidRPr="00F736A4">
        <w:rPr>
          <w:color w:val="63666A"/>
        </w:rPr>
        <w:t xml:space="preserve">us </w:t>
      </w:r>
      <w:r w:rsidR="00F736A4" w:rsidRPr="00F736A4">
        <w:rPr>
          <w:color w:val="63666A"/>
        </w:rPr>
        <w:t xml:space="preserve">phoenix </w:t>
      </w:r>
      <w:r w:rsidR="00793FC4" w:rsidRPr="00F736A4">
        <w:rPr>
          <w:color w:val="63666A"/>
        </w:rPr>
        <w:t>activity</w:t>
      </w:r>
      <w:r w:rsidRPr="00F736A4">
        <w:rPr>
          <w:color w:val="63666A"/>
        </w:rPr>
        <w:t xml:space="preserve"> </w:t>
      </w:r>
      <w:r w:rsidR="00D3704C" w:rsidRPr="00F736A4">
        <w:rPr>
          <w:color w:val="63666A"/>
        </w:rPr>
        <w:t xml:space="preserve">will still need to be tested within the </w:t>
      </w:r>
      <w:r w:rsidRPr="00F736A4">
        <w:rPr>
          <w:color w:val="63666A"/>
        </w:rPr>
        <w:t>court. I</w:t>
      </w:r>
      <w:r w:rsidR="00F736A4" w:rsidRPr="00F736A4">
        <w:rPr>
          <w:color w:val="63666A"/>
        </w:rPr>
        <w:t>n this respect, i</w:t>
      </w:r>
      <w:r w:rsidRPr="00F736A4">
        <w:rPr>
          <w:color w:val="63666A"/>
        </w:rPr>
        <w:t xml:space="preserve">t may be prudent to give further consideration to the concept of bringing the approach </w:t>
      </w:r>
      <w:r w:rsidR="00063676">
        <w:rPr>
          <w:color w:val="63666A"/>
        </w:rPr>
        <w:t xml:space="preserve">in alignment with the </w:t>
      </w:r>
      <w:r w:rsidR="00063676" w:rsidRPr="00FA3D5F">
        <w:rPr>
          <w:i/>
          <w:color w:val="63666A"/>
        </w:rPr>
        <w:t>Proceeds o</w:t>
      </w:r>
      <w:r w:rsidRPr="00FA3D5F">
        <w:rPr>
          <w:i/>
          <w:color w:val="63666A"/>
        </w:rPr>
        <w:t>f Crime Act 2002</w:t>
      </w:r>
      <w:r w:rsidRPr="00F736A4">
        <w:rPr>
          <w:color w:val="63666A"/>
        </w:rPr>
        <w:t xml:space="preserve"> </w:t>
      </w:r>
      <w:r w:rsidR="001536EF">
        <w:rPr>
          <w:color w:val="63666A"/>
        </w:rPr>
        <w:t xml:space="preserve">(POCA) </w:t>
      </w:r>
      <w:r w:rsidRPr="00F736A4">
        <w:rPr>
          <w:color w:val="63666A"/>
        </w:rPr>
        <w:t>in which court applications must be made to freeze bank accounts and restrain assets in the circumstances outlined in that legislation.</w:t>
      </w:r>
    </w:p>
    <w:p w:rsidR="00793FC4" w:rsidRDefault="00793FC4" w:rsidP="00DE5FDC">
      <w:pPr>
        <w:pStyle w:val="BodytextArial10pt"/>
        <w:jc w:val="both"/>
        <w:rPr>
          <w:b/>
          <w:i/>
          <w:color w:val="63666A"/>
        </w:rPr>
      </w:pPr>
    </w:p>
    <w:p w:rsidR="001A1DA4" w:rsidRPr="00793FC4" w:rsidRDefault="001A1DA4" w:rsidP="00DE5FDC">
      <w:pPr>
        <w:pStyle w:val="BodytextArial10pt"/>
        <w:jc w:val="both"/>
        <w:rPr>
          <w:b/>
          <w:i/>
          <w:color w:val="63666A"/>
        </w:rPr>
      </w:pPr>
      <w:r w:rsidRPr="00793FC4">
        <w:rPr>
          <w:b/>
          <w:i/>
          <w:color w:val="63666A"/>
        </w:rPr>
        <w:t>Remedies</w:t>
      </w:r>
    </w:p>
    <w:p w:rsidR="00793FC4" w:rsidRDefault="00793FC4" w:rsidP="00DE5FDC">
      <w:pPr>
        <w:pStyle w:val="BodytextArial10pt"/>
        <w:jc w:val="both"/>
        <w:rPr>
          <w:color w:val="63666A"/>
        </w:rPr>
      </w:pPr>
    </w:p>
    <w:p w:rsidR="001A1DA4" w:rsidRPr="00EF1067" w:rsidRDefault="001536EF" w:rsidP="00DE5FDC">
      <w:pPr>
        <w:pStyle w:val="BodytextArial10pt"/>
        <w:jc w:val="both"/>
        <w:rPr>
          <w:color w:val="63666A"/>
        </w:rPr>
      </w:pPr>
      <w:r>
        <w:rPr>
          <w:color w:val="63666A"/>
        </w:rPr>
        <w:t xml:space="preserve">We agree that </w:t>
      </w:r>
      <w:r w:rsidR="001A1DA4" w:rsidRPr="00EF1067">
        <w:rPr>
          <w:color w:val="63666A"/>
        </w:rPr>
        <w:t xml:space="preserve">changes </w:t>
      </w:r>
      <w:r>
        <w:rPr>
          <w:color w:val="63666A"/>
        </w:rPr>
        <w:t xml:space="preserve">need </w:t>
      </w:r>
      <w:r w:rsidR="001A1DA4" w:rsidRPr="00EF1067">
        <w:rPr>
          <w:color w:val="63666A"/>
        </w:rPr>
        <w:t xml:space="preserve">to be made to the law so that an operator of a phoenix company is unable to </w:t>
      </w:r>
      <w:r w:rsidR="001A1DA4" w:rsidRPr="001536EF">
        <w:rPr>
          <w:color w:val="63666A"/>
        </w:rPr>
        <w:t xml:space="preserve">hide behind </w:t>
      </w:r>
      <w:r>
        <w:rPr>
          <w:color w:val="63666A"/>
        </w:rPr>
        <w:t xml:space="preserve">the </w:t>
      </w:r>
      <w:r w:rsidR="001A1DA4" w:rsidRPr="001536EF">
        <w:rPr>
          <w:color w:val="63666A"/>
        </w:rPr>
        <w:t>transferee.</w:t>
      </w:r>
      <w:r w:rsidR="001A1DA4" w:rsidRPr="00EF1067">
        <w:rPr>
          <w:color w:val="63666A"/>
        </w:rPr>
        <w:t xml:space="preserve"> The </w:t>
      </w:r>
      <w:r w:rsidR="001A1DA4" w:rsidRPr="00FA3D5F">
        <w:rPr>
          <w:i/>
          <w:color w:val="63666A"/>
        </w:rPr>
        <w:t>Proceeds of Crime Act 2002</w:t>
      </w:r>
      <w:r w:rsidR="001A1DA4" w:rsidRPr="00EF1067">
        <w:rPr>
          <w:color w:val="63666A"/>
        </w:rPr>
        <w:t xml:space="preserve"> (POCA) is an ideal model for seeking remedies given that POCA provides for court orders to be issued in order to restrain assets that are suspected of bein</w:t>
      </w:r>
      <w:r w:rsidR="00C50934">
        <w:rPr>
          <w:color w:val="63666A"/>
        </w:rPr>
        <w:t>g the proceeds of crime. Applying similar provisions to suspected phoenix activities</w:t>
      </w:r>
      <w:r>
        <w:rPr>
          <w:color w:val="63666A"/>
        </w:rPr>
        <w:t>,</w:t>
      </w:r>
      <w:r w:rsidR="001A1DA4" w:rsidRPr="00EF1067">
        <w:rPr>
          <w:color w:val="63666A"/>
        </w:rPr>
        <w:t xml:space="preserve"> the transferee would </w:t>
      </w:r>
      <w:r>
        <w:rPr>
          <w:color w:val="63666A"/>
        </w:rPr>
        <w:t xml:space="preserve">be prohibited from the disposal of or dealing with property that is suspected to be the proceeds of </w:t>
      </w:r>
      <w:r w:rsidR="00C50934">
        <w:rPr>
          <w:color w:val="63666A"/>
        </w:rPr>
        <w:t xml:space="preserve">a </w:t>
      </w:r>
      <w:r>
        <w:rPr>
          <w:color w:val="63666A"/>
        </w:rPr>
        <w:t xml:space="preserve">phoenix activity. </w:t>
      </w:r>
      <w:r w:rsidR="001A1DA4" w:rsidRPr="00EF1067">
        <w:rPr>
          <w:color w:val="63666A"/>
        </w:rPr>
        <w:t xml:space="preserve">This would similarly be the case for any funds that were found to have been transferred </w:t>
      </w:r>
      <w:r w:rsidR="001A1DA4" w:rsidRPr="00C50934">
        <w:rPr>
          <w:color w:val="63666A"/>
        </w:rPr>
        <w:t>from a bank account of the transferor to a transferee</w:t>
      </w:r>
      <w:r w:rsidR="001A1DA4" w:rsidRPr="00EF1067">
        <w:rPr>
          <w:color w:val="63666A"/>
        </w:rPr>
        <w:t xml:space="preserve">. </w:t>
      </w:r>
      <w:r w:rsidR="00C50934">
        <w:rPr>
          <w:color w:val="63666A"/>
        </w:rPr>
        <w:t>We argue that f</w:t>
      </w:r>
      <w:r w:rsidR="001A1DA4" w:rsidRPr="00EF1067">
        <w:rPr>
          <w:color w:val="63666A"/>
        </w:rPr>
        <w:t>orensic accountants or experience</w:t>
      </w:r>
      <w:r w:rsidR="00C50934">
        <w:rPr>
          <w:color w:val="63666A"/>
        </w:rPr>
        <w:t>d</w:t>
      </w:r>
      <w:r w:rsidR="001A1DA4" w:rsidRPr="00EF1067">
        <w:rPr>
          <w:color w:val="63666A"/>
        </w:rPr>
        <w:t xml:space="preserve"> corporate fraud investigators </w:t>
      </w:r>
      <w:r w:rsidR="00C50934">
        <w:rPr>
          <w:color w:val="63666A"/>
        </w:rPr>
        <w:t>should</w:t>
      </w:r>
      <w:r w:rsidR="001A1DA4" w:rsidRPr="00EF1067">
        <w:rPr>
          <w:color w:val="63666A"/>
        </w:rPr>
        <w:t xml:space="preserve"> be able to follow the movements of financial and other assets from the hands of a transferor to the transferee. </w:t>
      </w:r>
    </w:p>
    <w:p w:rsidR="001A1DA4" w:rsidRDefault="001A1DA4" w:rsidP="00DE5FDC">
      <w:pPr>
        <w:pStyle w:val="BodytextArial10pt"/>
        <w:jc w:val="both"/>
        <w:rPr>
          <w:color w:val="63666A"/>
        </w:rPr>
      </w:pPr>
      <w:r w:rsidRPr="00EF1067">
        <w:rPr>
          <w:color w:val="63666A"/>
        </w:rPr>
        <w:t>The POCA is more closely aligned with the objectives of the current consultation paper given that assets are typically stripped from an entity and</w:t>
      </w:r>
      <w:r w:rsidR="00E32710">
        <w:rPr>
          <w:color w:val="63666A"/>
        </w:rPr>
        <w:t>/or</w:t>
      </w:r>
      <w:r w:rsidRPr="00EF1067">
        <w:rPr>
          <w:color w:val="63666A"/>
        </w:rPr>
        <w:t xml:space="preserve"> siphoned off to another business that is either owned or has the involvement of the phoenix operator. While the link between insolvency and bankruptcy is acknowledged </w:t>
      </w:r>
      <w:r w:rsidRPr="00E32710">
        <w:rPr>
          <w:color w:val="63666A"/>
        </w:rPr>
        <w:t xml:space="preserve">given </w:t>
      </w:r>
      <w:r w:rsidR="00E32710">
        <w:rPr>
          <w:color w:val="63666A"/>
        </w:rPr>
        <w:t xml:space="preserve">that </w:t>
      </w:r>
      <w:r w:rsidRPr="00E32710">
        <w:rPr>
          <w:color w:val="63666A"/>
        </w:rPr>
        <w:t xml:space="preserve">they </w:t>
      </w:r>
      <w:r w:rsidR="00E32710" w:rsidRPr="00E32710">
        <w:rPr>
          <w:color w:val="63666A"/>
        </w:rPr>
        <w:t xml:space="preserve">are </w:t>
      </w:r>
      <w:r w:rsidRPr="00E32710">
        <w:rPr>
          <w:color w:val="63666A"/>
        </w:rPr>
        <w:t>drawn</w:t>
      </w:r>
      <w:r w:rsidRPr="00EF1067">
        <w:rPr>
          <w:color w:val="63666A"/>
        </w:rPr>
        <w:t xml:space="preserve"> from the same discipline</w:t>
      </w:r>
      <w:r w:rsidR="00E32710">
        <w:rPr>
          <w:color w:val="63666A"/>
        </w:rPr>
        <w:t>, w</w:t>
      </w:r>
      <w:r w:rsidRPr="00EF1067">
        <w:rPr>
          <w:color w:val="63666A"/>
        </w:rPr>
        <w:t>hat is being dealt with here</w:t>
      </w:r>
      <w:r w:rsidR="00063676">
        <w:rPr>
          <w:color w:val="63666A"/>
        </w:rPr>
        <w:t>,</w:t>
      </w:r>
      <w:r w:rsidRPr="00EF1067">
        <w:rPr>
          <w:color w:val="63666A"/>
        </w:rPr>
        <w:t xml:space="preserve"> in essence</w:t>
      </w:r>
      <w:r w:rsidR="00E32710">
        <w:rPr>
          <w:color w:val="63666A"/>
        </w:rPr>
        <w:t>, amount</w:t>
      </w:r>
      <w:r w:rsidR="00063676">
        <w:rPr>
          <w:color w:val="63666A"/>
        </w:rPr>
        <w:t>s</w:t>
      </w:r>
      <w:r w:rsidR="00E32710">
        <w:rPr>
          <w:color w:val="63666A"/>
        </w:rPr>
        <w:t xml:space="preserve"> to </w:t>
      </w:r>
      <w:r w:rsidRPr="00EF1067">
        <w:rPr>
          <w:color w:val="63666A"/>
        </w:rPr>
        <w:t>an act of theft o</w:t>
      </w:r>
      <w:r w:rsidR="00E32710">
        <w:rPr>
          <w:color w:val="63666A"/>
        </w:rPr>
        <w:t>r conversion o</w:t>
      </w:r>
      <w:r w:rsidRPr="00EF1067">
        <w:rPr>
          <w:color w:val="63666A"/>
        </w:rPr>
        <w:t xml:space="preserve">f assets from one entity into another. </w:t>
      </w:r>
    </w:p>
    <w:p w:rsidR="00DF33E7" w:rsidRDefault="00DF33E7" w:rsidP="000D3E57">
      <w:pPr>
        <w:suppressAutoHyphens w:val="0"/>
        <w:jc w:val="both"/>
        <w:rPr>
          <w:color w:val="63666A"/>
        </w:rPr>
      </w:pPr>
    </w:p>
    <w:p w:rsidR="00063676" w:rsidRDefault="00063676" w:rsidP="000D3E57">
      <w:pPr>
        <w:suppressAutoHyphens w:val="0"/>
        <w:jc w:val="both"/>
        <w:rPr>
          <w:b/>
          <w:i/>
          <w:color w:val="63666A"/>
        </w:rPr>
      </w:pPr>
    </w:p>
    <w:p w:rsidR="001A1DA4" w:rsidRPr="000D3E57" w:rsidRDefault="001A1DA4" w:rsidP="000D3E57">
      <w:pPr>
        <w:suppressAutoHyphens w:val="0"/>
        <w:jc w:val="both"/>
        <w:rPr>
          <w:rFonts w:ascii="Arial" w:hAnsi="Arial" w:cs="Arial"/>
          <w:color w:val="63666A"/>
          <w:sz w:val="20"/>
          <w:szCs w:val="22"/>
        </w:rPr>
      </w:pPr>
      <w:r w:rsidRPr="00AA78F4">
        <w:rPr>
          <w:b/>
          <w:i/>
          <w:color w:val="63666A"/>
        </w:rPr>
        <w:t>Directors and their appointment</w:t>
      </w:r>
    </w:p>
    <w:p w:rsidR="00AA78F4" w:rsidRDefault="00AA78F4" w:rsidP="00DE5FDC">
      <w:pPr>
        <w:pStyle w:val="BodytextArial10pt"/>
        <w:jc w:val="both"/>
        <w:rPr>
          <w:color w:val="63666A"/>
        </w:rPr>
      </w:pPr>
    </w:p>
    <w:p w:rsidR="001A1DA4" w:rsidRPr="00EF1067" w:rsidRDefault="00E32710" w:rsidP="00DE5FDC">
      <w:pPr>
        <w:pStyle w:val="BodytextArial10pt"/>
        <w:jc w:val="both"/>
        <w:rPr>
          <w:color w:val="63666A"/>
        </w:rPr>
      </w:pPr>
      <w:r>
        <w:rPr>
          <w:color w:val="63666A"/>
        </w:rPr>
        <w:t>With respect to prov</w:t>
      </w:r>
      <w:r w:rsidR="00994166">
        <w:rPr>
          <w:color w:val="63666A"/>
        </w:rPr>
        <w:t>i</w:t>
      </w:r>
      <w:r>
        <w:rPr>
          <w:color w:val="63666A"/>
        </w:rPr>
        <w:t>sion</w:t>
      </w:r>
      <w:r w:rsidR="00994166">
        <w:rPr>
          <w:color w:val="63666A"/>
        </w:rPr>
        <w:t>s</w:t>
      </w:r>
      <w:r>
        <w:rPr>
          <w:color w:val="63666A"/>
        </w:rPr>
        <w:t xml:space="preserve"> relating to directors, a</w:t>
      </w:r>
      <w:r w:rsidR="001A1DA4" w:rsidRPr="00EF1067">
        <w:rPr>
          <w:color w:val="63666A"/>
        </w:rPr>
        <w:t xml:space="preserve">mendments to the </w:t>
      </w:r>
      <w:r w:rsidR="001A1DA4" w:rsidRPr="00FA3D5F">
        <w:rPr>
          <w:i/>
          <w:color w:val="63666A"/>
        </w:rPr>
        <w:t>Corporations Act 2001</w:t>
      </w:r>
      <w:r w:rsidR="001A1DA4" w:rsidRPr="00EF1067">
        <w:rPr>
          <w:color w:val="63666A"/>
        </w:rPr>
        <w:t xml:space="preserve"> must ensure that directors are unable to backdate resignations of directors </w:t>
      </w:r>
      <w:r w:rsidR="00994166">
        <w:rPr>
          <w:color w:val="63666A"/>
        </w:rPr>
        <w:t xml:space="preserve">which can effectively shield </w:t>
      </w:r>
      <w:r w:rsidR="001A1DA4" w:rsidRPr="00EF1067">
        <w:rPr>
          <w:color w:val="63666A"/>
        </w:rPr>
        <w:t>phoenix operator</w:t>
      </w:r>
      <w:r w:rsidR="00994166">
        <w:rPr>
          <w:color w:val="63666A"/>
        </w:rPr>
        <w:t>s</w:t>
      </w:r>
      <w:r w:rsidR="001A1DA4" w:rsidRPr="00EF1067">
        <w:rPr>
          <w:color w:val="63666A"/>
        </w:rPr>
        <w:t xml:space="preserve"> from the </w:t>
      </w:r>
      <w:r w:rsidR="00994166">
        <w:rPr>
          <w:color w:val="63666A"/>
        </w:rPr>
        <w:t xml:space="preserve">consequences of their actions. It would seem, that </w:t>
      </w:r>
      <w:r w:rsidR="00063676">
        <w:rPr>
          <w:color w:val="63666A"/>
        </w:rPr>
        <w:t>t</w:t>
      </w:r>
      <w:r w:rsidR="001A1DA4" w:rsidRPr="00EF1067">
        <w:rPr>
          <w:color w:val="63666A"/>
        </w:rPr>
        <w:t xml:space="preserve">he </w:t>
      </w:r>
      <w:r w:rsidR="00994166">
        <w:rPr>
          <w:color w:val="63666A"/>
        </w:rPr>
        <w:t xml:space="preserve">consequences </w:t>
      </w:r>
      <w:r w:rsidR="001A1DA4" w:rsidRPr="00EF1067">
        <w:rPr>
          <w:color w:val="63666A"/>
        </w:rPr>
        <w:t xml:space="preserve">of backdating </w:t>
      </w:r>
      <w:r w:rsidR="00994166">
        <w:rPr>
          <w:color w:val="63666A"/>
        </w:rPr>
        <w:t xml:space="preserve">resignations can </w:t>
      </w:r>
      <w:r w:rsidR="001A1DA4" w:rsidRPr="00EF1067">
        <w:rPr>
          <w:color w:val="63666A"/>
        </w:rPr>
        <w:t>make it difficult</w:t>
      </w:r>
      <w:r w:rsidR="00994166">
        <w:rPr>
          <w:color w:val="63666A"/>
        </w:rPr>
        <w:t xml:space="preserve"> for regulators </w:t>
      </w:r>
      <w:r w:rsidR="00994166" w:rsidRPr="00994166">
        <w:rPr>
          <w:color w:val="63666A"/>
        </w:rPr>
        <w:t xml:space="preserve">to hold individuals accountable </w:t>
      </w:r>
      <w:r w:rsidR="00994166">
        <w:rPr>
          <w:color w:val="63666A"/>
        </w:rPr>
        <w:t xml:space="preserve">for </w:t>
      </w:r>
      <w:r w:rsidR="001A1DA4" w:rsidRPr="00EF1067">
        <w:rPr>
          <w:color w:val="63666A"/>
        </w:rPr>
        <w:t xml:space="preserve">offences after the date of resignation. </w:t>
      </w:r>
      <w:r w:rsidR="00994166">
        <w:rPr>
          <w:color w:val="63666A"/>
        </w:rPr>
        <w:t xml:space="preserve">We see this </w:t>
      </w:r>
      <w:r w:rsidR="001A1DA4" w:rsidRPr="00EF1067">
        <w:rPr>
          <w:color w:val="63666A"/>
        </w:rPr>
        <w:t>a</w:t>
      </w:r>
      <w:r w:rsidR="00994166">
        <w:rPr>
          <w:color w:val="63666A"/>
        </w:rPr>
        <w:t>s</w:t>
      </w:r>
      <w:r w:rsidR="001A1DA4" w:rsidRPr="00EF1067">
        <w:rPr>
          <w:color w:val="63666A"/>
        </w:rPr>
        <w:t xml:space="preserve"> </w:t>
      </w:r>
      <w:r w:rsidR="00994166">
        <w:rPr>
          <w:color w:val="63666A"/>
        </w:rPr>
        <w:t xml:space="preserve">a </w:t>
      </w:r>
      <w:r w:rsidR="00063676">
        <w:rPr>
          <w:color w:val="63666A"/>
        </w:rPr>
        <w:t xml:space="preserve">potential </w:t>
      </w:r>
      <w:r w:rsidR="001A1DA4" w:rsidRPr="00EF1067">
        <w:rPr>
          <w:color w:val="63666A"/>
        </w:rPr>
        <w:t xml:space="preserve">loophole that must be closed in order to tighten the practices related to the maintenance of a company’s register online. </w:t>
      </w:r>
      <w:r w:rsidR="00994166">
        <w:rPr>
          <w:color w:val="63666A"/>
        </w:rPr>
        <w:t>As discussed in the consultation paper, t</w:t>
      </w:r>
      <w:r w:rsidR="001A1DA4" w:rsidRPr="00EF1067">
        <w:rPr>
          <w:color w:val="63666A"/>
        </w:rPr>
        <w:t xml:space="preserve">he use of ‘dummy’ </w:t>
      </w:r>
      <w:r w:rsidR="00994166">
        <w:rPr>
          <w:color w:val="63666A"/>
        </w:rPr>
        <w:t>directors, as a means of</w:t>
      </w:r>
      <w:r w:rsidR="001A1DA4" w:rsidRPr="00EF1067">
        <w:rPr>
          <w:color w:val="63666A"/>
        </w:rPr>
        <w:t xml:space="preserve"> cover</w:t>
      </w:r>
      <w:r w:rsidR="00994166">
        <w:rPr>
          <w:color w:val="63666A"/>
        </w:rPr>
        <w:t>ing</w:t>
      </w:r>
      <w:r w:rsidR="00DA3F8E">
        <w:rPr>
          <w:color w:val="63666A"/>
        </w:rPr>
        <w:t xml:space="preserve"> up the presence of </w:t>
      </w:r>
      <w:r w:rsidR="001A1DA4" w:rsidRPr="00EF1067">
        <w:rPr>
          <w:color w:val="63666A"/>
        </w:rPr>
        <w:t>shadow</w:t>
      </w:r>
      <w:r w:rsidR="00994166">
        <w:rPr>
          <w:color w:val="63666A"/>
        </w:rPr>
        <w:t>/defacto</w:t>
      </w:r>
      <w:r w:rsidR="001A1DA4" w:rsidRPr="00EF1067">
        <w:rPr>
          <w:color w:val="63666A"/>
        </w:rPr>
        <w:t xml:space="preserve"> director</w:t>
      </w:r>
      <w:r w:rsidR="00994166">
        <w:rPr>
          <w:color w:val="63666A"/>
        </w:rPr>
        <w:t>s</w:t>
      </w:r>
      <w:r w:rsidR="001A1DA4" w:rsidRPr="00EF1067">
        <w:rPr>
          <w:color w:val="63666A"/>
        </w:rPr>
        <w:t xml:space="preserve"> is also problematic</w:t>
      </w:r>
      <w:r w:rsidR="00994166">
        <w:rPr>
          <w:color w:val="63666A"/>
        </w:rPr>
        <w:t>, ie</w:t>
      </w:r>
      <w:r w:rsidR="001A1DA4" w:rsidRPr="00EF1067">
        <w:rPr>
          <w:color w:val="63666A"/>
        </w:rPr>
        <w:t xml:space="preserve"> given that the</w:t>
      </w:r>
      <w:r w:rsidR="00994166">
        <w:rPr>
          <w:color w:val="63666A"/>
        </w:rPr>
        <w:t>se dir</w:t>
      </w:r>
      <w:r w:rsidR="00063676">
        <w:rPr>
          <w:color w:val="63666A"/>
        </w:rPr>
        <w:t>e</w:t>
      </w:r>
      <w:r w:rsidR="00994166">
        <w:rPr>
          <w:color w:val="63666A"/>
        </w:rPr>
        <w:t>ctors m</w:t>
      </w:r>
      <w:r w:rsidR="001A1DA4" w:rsidRPr="00EF1067">
        <w:rPr>
          <w:color w:val="63666A"/>
        </w:rPr>
        <w:t xml:space="preserve">ay not </w:t>
      </w:r>
      <w:r w:rsidR="00994166">
        <w:rPr>
          <w:color w:val="63666A"/>
        </w:rPr>
        <w:t xml:space="preserve">actually </w:t>
      </w:r>
      <w:r w:rsidR="001A1DA4" w:rsidRPr="00EF1067">
        <w:rPr>
          <w:color w:val="63666A"/>
        </w:rPr>
        <w:t>exist or are p</w:t>
      </w:r>
      <w:r w:rsidR="00994166">
        <w:rPr>
          <w:color w:val="63666A"/>
        </w:rPr>
        <w:t>ersons</w:t>
      </w:r>
      <w:r w:rsidR="001A1DA4" w:rsidRPr="00EF1067">
        <w:rPr>
          <w:color w:val="63666A"/>
        </w:rPr>
        <w:t xml:space="preserve"> unable to be found at the addresses or contact details that have been put on their </w:t>
      </w:r>
      <w:r w:rsidR="00994166" w:rsidRPr="00994166">
        <w:rPr>
          <w:i/>
          <w:color w:val="63666A"/>
        </w:rPr>
        <w:t>‘</w:t>
      </w:r>
      <w:r w:rsidR="001A1DA4" w:rsidRPr="00994166">
        <w:rPr>
          <w:i/>
          <w:color w:val="63666A"/>
        </w:rPr>
        <w:t>directors</w:t>
      </w:r>
      <w:r w:rsidR="00994166" w:rsidRPr="00994166">
        <w:rPr>
          <w:i/>
          <w:color w:val="63666A"/>
        </w:rPr>
        <w:t>’</w:t>
      </w:r>
      <w:r w:rsidR="003B4285">
        <w:rPr>
          <w:color w:val="63666A"/>
        </w:rPr>
        <w:t xml:space="preserve"> record online. This presents </w:t>
      </w:r>
      <w:r w:rsidR="001A1DA4" w:rsidRPr="00EF1067">
        <w:rPr>
          <w:color w:val="63666A"/>
        </w:rPr>
        <w:t xml:space="preserve">an obstacle </w:t>
      </w:r>
      <w:r w:rsidR="003B4285">
        <w:rPr>
          <w:color w:val="63666A"/>
        </w:rPr>
        <w:t>for</w:t>
      </w:r>
      <w:r w:rsidR="001A1DA4" w:rsidRPr="00EF1067">
        <w:rPr>
          <w:color w:val="63666A"/>
        </w:rPr>
        <w:t xml:space="preserve"> investigators trying to determine precisely where the liability for insolvency that results from the phoenix activities ought to </w:t>
      </w:r>
      <w:r w:rsidR="003B4285">
        <w:rPr>
          <w:color w:val="63666A"/>
        </w:rPr>
        <w:t>lay</w:t>
      </w:r>
      <w:r w:rsidR="001A1DA4" w:rsidRPr="00EF1067">
        <w:rPr>
          <w:color w:val="63666A"/>
        </w:rPr>
        <w:t xml:space="preserve">. There is a further significant question that must be asked: should ASIC be given the power to reinstate a director </w:t>
      </w:r>
      <w:r w:rsidR="003B4285">
        <w:rPr>
          <w:color w:val="63666A"/>
        </w:rPr>
        <w:t xml:space="preserve">or </w:t>
      </w:r>
      <w:r w:rsidR="001A1DA4" w:rsidRPr="00EF1067">
        <w:rPr>
          <w:color w:val="63666A"/>
        </w:rPr>
        <w:t xml:space="preserve">a person found to have </w:t>
      </w:r>
      <w:r w:rsidR="003B4285">
        <w:rPr>
          <w:color w:val="63666A"/>
        </w:rPr>
        <w:t>been involved in</w:t>
      </w:r>
      <w:r w:rsidR="001A1DA4" w:rsidRPr="00EF1067">
        <w:rPr>
          <w:color w:val="63666A"/>
        </w:rPr>
        <w:t xml:space="preserve"> phoenix activities in order to ‘</w:t>
      </w:r>
      <w:r w:rsidR="003B4285">
        <w:rPr>
          <w:color w:val="63666A"/>
        </w:rPr>
        <w:t>remedy</w:t>
      </w:r>
      <w:r w:rsidR="001A1DA4" w:rsidRPr="00EF1067">
        <w:rPr>
          <w:color w:val="63666A"/>
        </w:rPr>
        <w:t xml:space="preserve"> the wrong’? Such a reinstatement </w:t>
      </w:r>
      <w:r w:rsidR="003B4285">
        <w:rPr>
          <w:color w:val="63666A"/>
        </w:rPr>
        <w:t>would need to be made in circumstances where</w:t>
      </w:r>
      <w:r w:rsidR="001A1DA4" w:rsidRPr="00EF1067">
        <w:rPr>
          <w:color w:val="63666A"/>
        </w:rPr>
        <w:t xml:space="preserve"> ASIC investigators or insolvency practitioners are able to demonstrate that </w:t>
      </w:r>
      <w:r w:rsidR="003B4285">
        <w:rPr>
          <w:color w:val="63666A"/>
        </w:rPr>
        <w:t xml:space="preserve">a </w:t>
      </w:r>
      <w:r w:rsidR="001A1DA4" w:rsidRPr="00EF1067">
        <w:rPr>
          <w:color w:val="63666A"/>
        </w:rPr>
        <w:t>phoenix operator was a director previously</w:t>
      </w:r>
      <w:r w:rsidR="003B4285">
        <w:rPr>
          <w:color w:val="63666A"/>
        </w:rPr>
        <w:t>,</w:t>
      </w:r>
      <w:r w:rsidR="001A1DA4" w:rsidRPr="00EF1067">
        <w:rPr>
          <w:color w:val="63666A"/>
        </w:rPr>
        <w:t xml:space="preserve"> and there are reasons to suspect that asset transfers from the insolvent en</w:t>
      </w:r>
      <w:r w:rsidR="003B4285">
        <w:rPr>
          <w:color w:val="63666A"/>
        </w:rPr>
        <w:t>tity had taken place under the</w:t>
      </w:r>
      <w:r w:rsidR="001A1DA4" w:rsidRPr="00EF1067">
        <w:rPr>
          <w:color w:val="63666A"/>
        </w:rPr>
        <w:t xml:space="preserve"> instruction</w:t>
      </w:r>
      <w:r w:rsidR="003B4285">
        <w:rPr>
          <w:color w:val="63666A"/>
        </w:rPr>
        <w:t xml:space="preserve"> of the phoenix operator</w:t>
      </w:r>
      <w:r w:rsidR="001A1DA4" w:rsidRPr="00EF1067">
        <w:rPr>
          <w:color w:val="63666A"/>
        </w:rPr>
        <w:t>. A successful request should result in the reinstatement of the phoenix operator as a director with a</w:t>
      </w:r>
      <w:r w:rsidR="00063676">
        <w:rPr>
          <w:color w:val="63666A"/>
        </w:rPr>
        <w:t xml:space="preserve">n accompanying </w:t>
      </w:r>
      <w:r w:rsidR="001A1DA4" w:rsidRPr="00EF1067">
        <w:rPr>
          <w:color w:val="63666A"/>
        </w:rPr>
        <w:t>signifier</w:t>
      </w:r>
      <w:r w:rsidR="003B4285">
        <w:rPr>
          <w:color w:val="63666A"/>
        </w:rPr>
        <w:t>/identif</w:t>
      </w:r>
      <w:r w:rsidR="00063676">
        <w:rPr>
          <w:color w:val="63666A"/>
        </w:rPr>
        <w:t xml:space="preserve">ier which effectively informs persons accessing the </w:t>
      </w:r>
      <w:r w:rsidR="001A1DA4" w:rsidRPr="00EF1067">
        <w:rPr>
          <w:color w:val="63666A"/>
        </w:rPr>
        <w:t xml:space="preserve">company’s </w:t>
      </w:r>
      <w:r w:rsidR="003B4285">
        <w:rPr>
          <w:color w:val="63666A"/>
        </w:rPr>
        <w:t>extracts</w:t>
      </w:r>
      <w:r w:rsidR="001A1DA4" w:rsidRPr="00EF1067">
        <w:rPr>
          <w:color w:val="63666A"/>
        </w:rPr>
        <w:t xml:space="preserve"> that the individual has been reinstated and is under active investigat</w:t>
      </w:r>
      <w:r w:rsidR="00703F2A">
        <w:rPr>
          <w:color w:val="63666A"/>
        </w:rPr>
        <w:t>ion. This would be one means of refocusing</w:t>
      </w:r>
      <w:r w:rsidR="001A1DA4" w:rsidRPr="00EF1067">
        <w:rPr>
          <w:color w:val="63666A"/>
        </w:rPr>
        <w:t xml:space="preserve"> </w:t>
      </w:r>
      <w:r w:rsidR="00703F2A">
        <w:rPr>
          <w:color w:val="63666A"/>
        </w:rPr>
        <w:t>attention on</w:t>
      </w:r>
      <w:r w:rsidR="001A1DA4" w:rsidRPr="00EF1067">
        <w:rPr>
          <w:color w:val="63666A"/>
        </w:rPr>
        <w:t xml:space="preserve"> the phoenix operator rather than an individual that may have either in full knowledge</w:t>
      </w:r>
      <w:r w:rsidR="00703F2A">
        <w:rPr>
          <w:color w:val="63666A"/>
        </w:rPr>
        <w:t>,</w:t>
      </w:r>
      <w:r w:rsidR="001A1DA4" w:rsidRPr="00EF1067">
        <w:rPr>
          <w:color w:val="63666A"/>
        </w:rPr>
        <w:t xml:space="preserve"> or unwittingly</w:t>
      </w:r>
      <w:r w:rsidR="00703F2A">
        <w:rPr>
          <w:color w:val="63666A"/>
        </w:rPr>
        <w:t>,</w:t>
      </w:r>
      <w:r w:rsidR="001A1DA4" w:rsidRPr="00EF1067">
        <w:rPr>
          <w:color w:val="63666A"/>
        </w:rPr>
        <w:t xml:space="preserve"> become a direct</w:t>
      </w:r>
      <w:r w:rsidR="00703F2A">
        <w:rPr>
          <w:color w:val="63666A"/>
        </w:rPr>
        <w:t>or</w:t>
      </w:r>
      <w:r w:rsidR="001A1DA4" w:rsidRPr="00EF1067">
        <w:rPr>
          <w:color w:val="63666A"/>
        </w:rPr>
        <w:t xml:space="preserve"> of an entity that had been the subject of an asset stripping exercise. </w:t>
      </w:r>
    </w:p>
    <w:p w:rsidR="00F1389C" w:rsidRDefault="00F24CB5" w:rsidP="00DE5FDC">
      <w:pPr>
        <w:pStyle w:val="BodytextArial10pt"/>
        <w:jc w:val="both"/>
        <w:rPr>
          <w:color w:val="63666A"/>
        </w:rPr>
      </w:pPr>
      <w:r>
        <w:rPr>
          <w:color w:val="63666A"/>
        </w:rPr>
        <w:t>We note with interest, that u</w:t>
      </w:r>
      <w:r w:rsidR="001A1DA4" w:rsidRPr="00EF1067">
        <w:rPr>
          <w:color w:val="63666A"/>
        </w:rPr>
        <w:t>nethical individuals may be able to appoint or remove individuals from a regulatory register without the knowledge of the people concerned. In a case reported earlier this year on an online news service</w:t>
      </w:r>
      <w:r w:rsidR="00B82878">
        <w:rPr>
          <w:color w:val="63666A"/>
        </w:rPr>
        <w:t>,</w:t>
      </w:r>
      <w:r w:rsidR="001A1DA4" w:rsidRPr="00EF1067">
        <w:rPr>
          <w:color w:val="63666A"/>
        </w:rPr>
        <w:t xml:space="preserve"> </w:t>
      </w:r>
      <w:r w:rsidR="00B82878">
        <w:rPr>
          <w:color w:val="63666A"/>
        </w:rPr>
        <w:t xml:space="preserve">we understand that </w:t>
      </w:r>
      <w:r w:rsidR="001A1DA4" w:rsidRPr="00EF1067">
        <w:rPr>
          <w:color w:val="63666A"/>
        </w:rPr>
        <w:t xml:space="preserve">an individual altered the structure of a proprietary company’s board of directors and changed a company register 12 times within the space of 24 hours. The changes made to this register involved the removal of a director, the alteration of shares belonging to that director, </w:t>
      </w:r>
      <w:r w:rsidR="00B82878">
        <w:rPr>
          <w:color w:val="63666A"/>
        </w:rPr>
        <w:t>and the appointment</w:t>
      </w:r>
      <w:r w:rsidR="001A1DA4" w:rsidRPr="00EF1067">
        <w:rPr>
          <w:color w:val="63666A"/>
        </w:rPr>
        <w:t xml:space="preserve"> of two new directors</w:t>
      </w:r>
      <w:r w:rsidR="00B82878">
        <w:rPr>
          <w:color w:val="63666A"/>
        </w:rPr>
        <w:t xml:space="preserve">. All of </w:t>
      </w:r>
      <w:r w:rsidR="00AC49F9">
        <w:rPr>
          <w:color w:val="63666A"/>
        </w:rPr>
        <w:t xml:space="preserve">these </w:t>
      </w:r>
      <w:r w:rsidR="001A1DA4" w:rsidRPr="00EF1067">
        <w:rPr>
          <w:color w:val="63666A"/>
        </w:rPr>
        <w:t>changes were t</w:t>
      </w:r>
      <w:r w:rsidR="00B82878">
        <w:rPr>
          <w:color w:val="63666A"/>
        </w:rPr>
        <w:t xml:space="preserve">hen </w:t>
      </w:r>
      <w:r w:rsidR="00C66032">
        <w:rPr>
          <w:color w:val="63666A"/>
        </w:rPr>
        <w:t xml:space="preserve">mysteriously </w:t>
      </w:r>
      <w:r w:rsidR="001A1DA4" w:rsidRPr="00EF1067">
        <w:rPr>
          <w:color w:val="63666A"/>
        </w:rPr>
        <w:t>reverse</w:t>
      </w:r>
      <w:r w:rsidR="00B82878">
        <w:rPr>
          <w:color w:val="63666A"/>
        </w:rPr>
        <w:t>d</w:t>
      </w:r>
      <w:r w:rsidR="001A1DA4" w:rsidRPr="00EF1067">
        <w:rPr>
          <w:color w:val="63666A"/>
        </w:rPr>
        <w:t xml:space="preserve"> the </w:t>
      </w:r>
      <w:r w:rsidR="00B82878">
        <w:rPr>
          <w:color w:val="63666A"/>
        </w:rPr>
        <w:t>very next day.</w:t>
      </w:r>
      <w:r w:rsidR="001A1DA4" w:rsidRPr="00EF1067">
        <w:rPr>
          <w:color w:val="63666A"/>
        </w:rPr>
        <w:t xml:space="preserve"> </w:t>
      </w:r>
      <w:r w:rsidR="00B82878">
        <w:rPr>
          <w:color w:val="63666A"/>
        </w:rPr>
        <w:t>We argue that the</w:t>
      </w:r>
      <w:r w:rsidR="001A1DA4" w:rsidRPr="00EF1067">
        <w:rPr>
          <w:color w:val="63666A"/>
        </w:rPr>
        <w:t xml:space="preserve"> removal of a director should be done online only w</w:t>
      </w:r>
      <w:r w:rsidR="00B82878">
        <w:rPr>
          <w:color w:val="63666A"/>
        </w:rPr>
        <w:t>hen</w:t>
      </w:r>
      <w:r w:rsidR="001A1DA4" w:rsidRPr="00EF1067">
        <w:rPr>
          <w:color w:val="63666A"/>
        </w:rPr>
        <w:t xml:space="preserve"> their electronic signature </w:t>
      </w:r>
      <w:r w:rsidR="00C66032">
        <w:rPr>
          <w:color w:val="63666A"/>
        </w:rPr>
        <w:t>or</w:t>
      </w:r>
      <w:r w:rsidR="00F1389C">
        <w:rPr>
          <w:color w:val="63666A"/>
        </w:rPr>
        <w:t xml:space="preserve"> other </w:t>
      </w:r>
      <w:r w:rsidR="00B82878">
        <w:rPr>
          <w:color w:val="63666A"/>
        </w:rPr>
        <w:t xml:space="preserve">key </w:t>
      </w:r>
      <w:r w:rsidR="001A1DA4" w:rsidRPr="00EF1067">
        <w:rPr>
          <w:color w:val="63666A"/>
        </w:rPr>
        <w:t>identification number</w:t>
      </w:r>
      <w:r w:rsidR="00F1389C">
        <w:rPr>
          <w:color w:val="63666A"/>
        </w:rPr>
        <w:t>/</w:t>
      </w:r>
      <w:r w:rsidR="00B82878">
        <w:rPr>
          <w:color w:val="63666A"/>
        </w:rPr>
        <w:t>unique identifier</w:t>
      </w:r>
      <w:r w:rsidR="001A1DA4" w:rsidRPr="00EF1067">
        <w:rPr>
          <w:color w:val="63666A"/>
        </w:rPr>
        <w:t xml:space="preserve"> not known to a compan</w:t>
      </w:r>
      <w:r w:rsidR="00B82878">
        <w:rPr>
          <w:color w:val="63666A"/>
        </w:rPr>
        <w:t>y secretary or another director, is quoted</w:t>
      </w:r>
      <w:r w:rsidR="00F1389C">
        <w:rPr>
          <w:color w:val="63666A"/>
        </w:rPr>
        <w:t xml:space="preserve">. </w:t>
      </w:r>
    </w:p>
    <w:p w:rsidR="00063676" w:rsidRDefault="00063676" w:rsidP="00DE5FDC">
      <w:pPr>
        <w:pStyle w:val="BodytextArial10pt"/>
        <w:jc w:val="both"/>
        <w:rPr>
          <w:color w:val="63666A"/>
        </w:rPr>
      </w:pPr>
    </w:p>
    <w:p w:rsidR="00063676" w:rsidRPr="00063676" w:rsidRDefault="00063676" w:rsidP="00DE5FDC">
      <w:pPr>
        <w:pStyle w:val="BodytextArial10pt"/>
        <w:jc w:val="both"/>
        <w:rPr>
          <w:b/>
          <w:i/>
          <w:color w:val="63666A"/>
        </w:rPr>
      </w:pPr>
      <w:r w:rsidRPr="00063676">
        <w:rPr>
          <w:b/>
          <w:i/>
          <w:color w:val="63666A"/>
        </w:rPr>
        <w:t>Timelines for changes to director information</w:t>
      </w:r>
    </w:p>
    <w:p w:rsidR="00F1389C" w:rsidRDefault="00F1389C" w:rsidP="00DE5FDC">
      <w:pPr>
        <w:pStyle w:val="BodytextArial10pt"/>
        <w:jc w:val="both"/>
        <w:rPr>
          <w:color w:val="63666A"/>
        </w:rPr>
      </w:pPr>
    </w:p>
    <w:p w:rsidR="001A1DA4" w:rsidRPr="00EF1067" w:rsidRDefault="00BB49F8" w:rsidP="00DE5FDC">
      <w:pPr>
        <w:pStyle w:val="BodytextArial10pt"/>
        <w:jc w:val="both"/>
        <w:rPr>
          <w:color w:val="63666A"/>
        </w:rPr>
      </w:pPr>
      <w:r>
        <w:rPr>
          <w:color w:val="63666A"/>
        </w:rPr>
        <w:t>Other</w:t>
      </w:r>
      <w:r w:rsidR="001A1DA4" w:rsidRPr="00EF1067">
        <w:rPr>
          <w:color w:val="63666A"/>
        </w:rPr>
        <w:t xml:space="preserve"> </w:t>
      </w:r>
      <w:r>
        <w:rPr>
          <w:color w:val="63666A"/>
        </w:rPr>
        <w:t xml:space="preserve">potentially </w:t>
      </w:r>
      <w:r w:rsidR="001A1DA4" w:rsidRPr="00EF1067">
        <w:rPr>
          <w:color w:val="63666A"/>
        </w:rPr>
        <w:t>contentious areas in business regulation for small business and businesses more generally</w:t>
      </w:r>
      <w:r>
        <w:rPr>
          <w:color w:val="63666A"/>
        </w:rPr>
        <w:t>,</w:t>
      </w:r>
      <w:r w:rsidR="001A1DA4" w:rsidRPr="00EF1067">
        <w:rPr>
          <w:color w:val="63666A"/>
        </w:rPr>
        <w:t xml:space="preserve"> are the timelines set down for notifying a regulator of changes in status. The consultation paper notes that the current law has a time limit of 28 days for pe</w:t>
      </w:r>
      <w:r w:rsidR="00DA3F8E">
        <w:rPr>
          <w:color w:val="63666A"/>
        </w:rPr>
        <w:t>rsons</w:t>
      </w:r>
      <w:r w:rsidR="001A1DA4" w:rsidRPr="00EF1067">
        <w:rPr>
          <w:color w:val="63666A"/>
        </w:rPr>
        <w:t xml:space="preserve"> to notify the Commission via a change to company details </w:t>
      </w:r>
      <w:r w:rsidR="00063676">
        <w:rPr>
          <w:color w:val="63666A"/>
        </w:rPr>
        <w:t>reporting process</w:t>
      </w:r>
      <w:r w:rsidR="00DA3F8E">
        <w:rPr>
          <w:color w:val="63666A"/>
        </w:rPr>
        <w:t xml:space="preserve"> indicating</w:t>
      </w:r>
      <w:r w:rsidR="00063676">
        <w:rPr>
          <w:color w:val="63666A"/>
        </w:rPr>
        <w:t xml:space="preserve"> </w:t>
      </w:r>
      <w:r w:rsidR="001A1DA4" w:rsidRPr="00EF1067">
        <w:rPr>
          <w:color w:val="63666A"/>
        </w:rPr>
        <w:t>that a change in governance</w:t>
      </w:r>
      <w:r>
        <w:rPr>
          <w:color w:val="63666A"/>
        </w:rPr>
        <w:t xml:space="preserve"> personnel has occurred. We are of the view that the 28-day deadline was </w:t>
      </w:r>
      <w:r w:rsidR="00063676">
        <w:rPr>
          <w:color w:val="63666A"/>
        </w:rPr>
        <w:t>no doubt a</w:t>
      </w:r>
      <w:r>
        <w:rPr>
          <w:color w:val="63666A"/>
        </w:rPr>
        <w:t xml:space="preserve"> </w:t>
      </w:r>
      <w:r w:rsidR="001A1DA4" w:rsidRPr="00EF1067">
        <w:rPr>
          <w:color w:val="63666A"/>
        </w:rPr>
        <w:t xml:space="preserve">suitable </w:t>
      </w:r>
      <w:r>
        <w:rPr>
          <w:color w:val="63666A"/>
        </w:rPr>
        <w:t xml:space="preserve">time-frame </w:t>
      </w:r>
      <w:r w:rsidR="00063676">
        <w:rPr>
          <w:color w:val="63666A"/>
        </w:rPr>
        <w:t xml:space="preserve">for many years </w:t>
      </w:r>
      <w:r w:rsidR="001A1DA4" w:rsidRPr="00EF1067">
        <w:rPr>
          <w:color w:val="63666A"/>
        </w:rPr>
        <w:t xml:space="preserve">prior to the advent of the internet and </w:t>
      </w:r>
      <w:r w:rsidR="00063676">
        <w:rPr>
          <w:color w:val="63666A"/>
        </w:rPr>
        <w:t>the ability to</w:t>
      </w:r>
      <w:r w:rsidR="001A1DA4" w:rsidRPr="00EF1067">
        <w:rPr>
          <w:color w:val="63666A"/>
        </w:rPr>
        <w:t xml:space="preserve"> lodge changes in </w:t>
      </w:r>
      <w:r w:rsidR="00DA3F8E">
        <w:rPr>
          <w:color w:val="63666A"/>
        </w:rPr>
        <w:t xml:space="preserve">any </w:t>
      </w:r>
      <w:r w:rsidR="001A1DA4" w:rsidRPr="00EF1067">
        <w:rPr>
          <w:color w:val="63666A"/>
        </w:rPr>
        <w:t>details</w:t>
      </w:r>
      <w:r w:rsidR="00063676">
        <w:rPr>
          <w:color w:val="63666A"/>
        </w:rPr>
        <w:t xml:space="preserve"> online</w:t>
      </w:r>
      <w:r w:rsidR="001A1DA4" w:rsidRPr="00EF1067">
        <w:rPr>
          <w:color w:val="63666A"/>
        </w:rPr>
        <w:t xml:space="preserve">. </w:t>
      </w:r>
      <w:r>
        <w:rPr>
          <w:color w:val="63666A"/>
        </w:rPr>
        <w:t>Wi</w:t>
      </w:r>
      <w:r w:rsidR="00DA3F8E">
        <w:rPr>
          <w:color w:val="63666A"/>
        </w:rPr>
        <w:t xml:space="preserve">th current technology however, </w:t>
      </w:r>
      <w:r w:rsidR="001A1DA4" w:rsidRPr="00EF1067">
        <w:rPr>
          <w:color w:val="63666A"/>
        </w:rPr>
        <w:t xml:space="preserve">Form 484 can be lodged and details changed within hours of a decision being known. </w:t>
      </w:r>
      <w:r>
        <w:rPr>
          <w:color w:val="63666A"/>
        </w:rPr>
        <w:t>Accordin</w:t>
      </w:r>
      <w:r w:rsidR="00DA3F8E">
        <w:rPr>
          <w:color w:val="63666A"/>
        </w:rPr>
        <w:t>g</w:t>
      </w:r>
      <w:r w:rsidR="00815712">
        <w:rPr>
          <w:color w:val="63666A"/>
        </w:rPr>
        <w:t xml:space="preserve">ly there appears </w:t>
      </w:r>
      <w:r>
        <w:rPr>
          <w:color w:val="63666A"/>
        </w:rPr>
        <w:t>to be</w:t>
      </w:r>
      <w:r w:rsidR="001A1DA4" w:rsidRPr="00EF1067">
        <w:rPr>
          <w:color w:val="63666A"/>
        </w:rPr>
        <w:t xml:space="preserve"> no </w:t>
      </w:r>
      <w:r>
        <w:rPr>
          <w:color w:val="63666A"/>
        </w:rPr>
        <w:t xml:space="preserve">further rationale for </w:t>
      </w:r>
      <w:r w:rsidR="00622058">
        <w:rPr>
          <w:color w:val="63666A"/>
        </w:rPr>
        <w:t xml:space="preserve">retaining </w:t>
      </w:r>
      <w:r w:rsidR="00DA3F8E">
        <w:rPr>
          <w:color w:val="63666A"/>
        </w:rPr>
        <w:t>a 28-</w:t>
      </w:r>
      <w:r w:rsidR="001A1DA4" w:rsidRPr="00EF1067">
        <w:rPr>
          <w:color w:val="63666A"/>
        </w:rPr>
        <w:t xml:space="preserve">day </w:t>
      </w:r>
      <w:r>
        <w:rPr>
          <w:color w:val="63666A"/>
        </w:rPr>
        <w:t>lodg</w:t>
      </w:r>
      <w:r w:rsidR="007F4A0C">
        <w:rPr>
          <w:color w:val="63666A"/>
        </w:rPr>
        <w:t>e</w:t>
      </w:r>
      <w:r>
        <w:rPr>
          <w:color w:val="63666A"/>
        </w:rPr>
        <w:t>ment period</w:t>
      </w:r>
      <w:r w:rsidR="00815712">
        <w:rPr>
          <w:color w:val="63666A"/>
        </w:rPr>
        <w:t xml:space="preserve"> in the era of electronic lodg</w:t>
      </w:r>
      <w:r w:rsidR="007F4A0C">
        <w:rPr>
          <w:color w:val="63666A"/>
        </w:rPr>
        <w:t>e</w:t>
      </w:r>
      <w:r w:rsidR="001A1DA4" w:rsidRPr="00EF1067">
        <w:rPr>
          <w:color w:val="63666A"/>
        </w:rPr>
        <w:t xml:space="preserve">ment. It is difficult to imagine what </w:t>
      </w:r>
      <w:r>
        <w:rPr>
          <w:color w:val="63666A"/>
        </w:rPr>
        <w:t xml:space="preserve">circumstances </w:t>
      </w:r>
      <w:r w:rsidR="001A1DA4" w:rsidRPr="00EF1067">
        <w:rPr>
          <w:color w:val="63666A"/>
        </w:rPr>
        <w:t>in the ordinary course of business</w:t>
      </w:r>
      <w:r w:rsidR="00622058">
        <w:rPr>
          <w:color w:val="63666A"/>
        </w:rPr>
        <w:t>,</w:t>
      </w:r>
      <w:r w:rsidR="001A1DA4" w:rsidRPr="00EF1067">
        <w:rPr>
          <w:color w:val="63666A"/>
        </w:rPr>
        <w:t xml:space="preserve"> would prevent</w:t>
      </w:r>
      <w:r>
        <w:rPr>
          <w:color w:val="63666A"/>
        </w:rPr>
        <w:t xml:space="preserve"> an individual from lodging </w:t>
      </w:r>
      <w:r w:rsidR="001A1DA4" w:rsidRPr="00EF1067">
        <w:rPr>
          <w:color w:val="63666A"/>
        </w:rPr>
        <w:t xml:space="preserve">changes </w:t>
      </w:r>
      <w:r>
        <w:rPr>
          <w:color w:val="63666A"/>
        </w:rPr>
        <w:t>to directors particulars</w:t>
      </w:r>
      <w:r w:rsidR="001A1DA4" w:rsidRPr="00EF1067">
        <w:rPr>
          <w:color w:val="63666A"/>
        </w:rPr>
        <w:t xml:space="preserve"> within a 14 day period. </w:t>
      </w:r>
      <w:r>
        <w:rPr>
          <w:color w:val="63666A"/>
        </w:rPr>
        <w:t>We also suggest that d</w:t>
      </w:r>
      <w:r w:rsidR="001A1DA4" w:rsidRPr="00EF1067">
        <w:rPr>
          <w:color w:val="63666A"/>
        </w:rPr>
        <w:t>irectors’ resignations that occur during a period when a company sec</w:t>
      </w:r>
      <w:r>
        <w:rPr>
          <w:color w:val="63666A"/>
        </w:rPr>
        <w:t>retary is on leave or unwell may</w:t>
      </w:r>
      <w:r w:rsidR="001A1DA4" w:rsidRPr="00EF1067">
        <w:rPr>
          <w:color w:val="63666A"/>
        </w:rPr>
        <w:t xml:space="preserve"> be dealt with as an exception with special consideration for late lodg</w:t>
      </w:r>
      <w:r w:rsidR="007F4A0C">
        <w:rPr>
          <w:color w:val="63666A"/>
        </w:rPr>
        <w:t>e</w:t>
      </w:r>
      <w:r w:rsidR="001A1DA4" w:rsidRPr="00EF1067">
        <w:rPr>
          <w:color w:val="63666A"/>
        </w:rPr>
        <w:t>ment. It is somewhat anomalous that changes to a company constitution must be lodged within 14 days of members voting on the changes to company rules</w:t>
      </w:r>
      <w:r>
        <w:rPr>
          <w:color w:val="63666A"/>
        </w:rPr>
        <w:t>, and yet</w:t>
      </w:r>
      <w:r w:rsidR="001A1DA4" w:rsidRPr="00EF1067">
        <w:rPr>
          <w:color w:val="63666A"/>
        </w:rPr>
        <w:t xml:space="preserve"> there is a lo</w:t>
      </w:r>
      <w:r>
        <w:rPr>
          <w:color w:val="63666A"/>
        </w:rPr>
        <w:t xml:space="preserve">nger period for the change of </w:t>
      </w:r>
      <w:r w:rsidR="001A1DA4" w:rsidRPr="00EF1067">
        <w:rPr>
          <w:color w:val="63666A"/>
        </w:rPr>
        <w:t>director’s details on an online register. The finalisation of constitutional amendments based on the result of a member vote can be a more complex task tha</w:t>
      </w:r>
      <w:r w:rsidR="00815712">
        <w:rPr>
          <w:color w:val="63666A"/>
        </w:rPr>
        <w:t>n</w:t>
      </w:r>
      <w:r w:rsidR="001A1DA4" w:rsidRPr="00EF1067">
        <w:rPr>
          <w:color w:val="63666A"/>
        </w:rPr>
        <w:t xml:space="preserve"> the updating of corporate address details or </w:t>
      </w:r>
      <w:r w:rsidR="00815712">
        <w:rPr>
          <w:color w:val="63666A"/>
        </w:rPr>
        <w:t xml:space="preserve">general </w:t>
      </w:r>
      <w:r w:rsidR="001A1DA4" w:rsidRPr="00EF1067">
        <w:rPr>
          <w:color w:val="63666A"/>
        </w:rPr>
        <w:t>director details on the online register accessible on the ASIC web site. At the very least</w:t>
      </w:r>
      <w:r w:rsidR="00622058">
        <w:rPr>
          <w:color w:val="63666A"/>
        </w:rPr>
        <w:t>,</w:t>
      </w:r>
      <w:r w:rsidR="001A1DA4" w:rsidRPr="00EF1067">
        <w:rPr>
          <w:color w:val="63666A"/>
        </w:rPr>
        <w:t xml:space="preserve"> an alignment of dates for changes should be considered. There is merit in considering the consultation paper’s suggestion that a director be responsible for reporting their resignation to the corporate regulator rather than leaving it to the company. This should also apply to appointments to the role as a director of an entity that has two or more directors. It would at the very least</w:t>
      </w:r>
      <w:r>
        <w:rPr>
          <w:color w:val="63666A"/>
        </w:rPr>
        <w:t xml:space="preserve">, place </w:t>
      </w:r>
      <w:r w:rsidR="001A1DA4" w:rsidRPr="00EF1067">
        <w:rPr>
          <w:color w:val="63666A"/>
        </w:rPr>
        <w:t>check</w:t>
      </w:r>
      <w:r>
        <w:rPr>
          <w:color w:val="63666A"/>
        </w:rPr>
        <w:t>s</w:t>
      </w:r>
      <w:r w:rsidR="001A1DA4" w:rsidRPr="00EF1067">
        <w:rPr>
          <w:color w:val="63666A"/>
        </w:rPr>
        <w:t xml:space="preserve"> and balance</w:t>
      </w:r>
      <w:r>
        <w:rPr>
          <w:color w:val="63666A"/>
        </w:rPr>
        <w:t>s</w:t>
      </w:r>
      <w:r w:rsidR="001A1DA4" w:rsidRPr="00EF1067">
        <w:rPr>
          <w:color w:val="63666A"/>
        </w:rPr>
        <w:t xml:space="preserve"> on the update of details, the appointment and resignation processes.</w:t>
      </w:r>
    </w:p>
    <w:p w:rsidR="001A1DA4" w:rsidRPr="00EF1067" w:rsidRDefault="001A1DA4" w:rsidP="00DE5FDC">
      <w:pPr>
        <w:pStyle w:val="BodytextArial10pt"/>
        <w:jc w:val="both"/>
        <w:rPr>
          <w:color w:val="63666A"/>
        </w:rPr>
      </w:pPr>
      <w:r w:rsidRPr="00EF1067">
        <w:rPr>
          <w:color w:val="63666A"/>
        </w:rPr>
        <w:t xml:space="preserve">There may be circumstances in which a phoenix operator attempts to move assets into an entity where the ownership structure is opaque and may be more complicated than </w:t>
      </w:r>
      <w:r w:rsidR="00BB49F8">
        <w:rPr>
          <w:color w:val="63666A"/>
        </w:rPr>
        <w:t xml:space="preserve">the </w:t>
      </w:r>
      <w:r w:rsidRPr="00EF1067">
        <w:rPr>
          <w:color w:val="63666A"/>
        </w:rPr>
        <w:t>entity from which assets and funds have been removed. Ensuring that owners of beneficial interests are identified on ASIC’s database and elsewhere is critical to limiting the options a phoenix operator may have to shuffle assets from one place to another.</w:t>
      </w:r>
    </w:p>
    <w:p w:rsidR="00DF33E7" w:rsidRDefault="00DF33E7" w:rsidP="00DE5FDC">
      <w:pPr>
        <w:pStyle w:val="BodytextArial10pt"/>
        <w:jc w:val="both"/>
        <w:rPr>
          <w:i/>
          <w:color w:val="63666A"/>
        </w:rPr>
      </w:pPr>
    </w:p>
    <w:p w:rsidR="001A1DA4" w:rsidRPr="00992CEE" w:rsidRDefault="001A1DA4" w:rsidP="00DE5FDC">
      <w:pPr>
        <w:pStyle w:val="BodytextArial10pt"/>
        <w:jc w:val="both"/>
        <w:rPr>
          <w:b/>
          <w:i/>
          <w:color w:val="63666A"/>
        </w:rPr>
      </w:pPr>
      <w:r w:rsidRPr="00992CEE">
        <w:rPr>
          <w:b/>
          <w:i/>
          <w:color w:val="63666A"/>
        </w:rPr>
        <w:t>Abandoning a company</w:t>
      </w:r>
    </w:p>
    <w:p w:rsidR="00DF33E7" w:rsidRDefault="00DF33E7" w:rsidP="00DE5FDC">
      <w:pPr>
        <w:pStyle w:val="BodytextArial10pt"/>
        <w:jc w:val="both"/>
        <w:rPr>
          <w:color w:val="63666A"/>
        </w:rPr>
      </w:pPr>
    </w:p>
    <w:p w:rsidR="00EA7C18" w:rsidRDefault="001A1DA4" w:rsidP="00DE5FDC">
      <w:pPr>
        <w:pStyle w:val="BodytextArial10pt"/>
        <w:jc w:val="both"/>
        <w:rPr>
          <w:color w:val="63666A"/>
        </w:rPr>
      </w:pPr>
      <w:r w:rsidRPr="00EF1067">
        <w:rPr>
          <w:color w:val="63666A"/>
        </w:rPr>
        <w:t>The government proposal to prohibit a sole director from resigning the post of director without winding up the entity or placing it in the hands of an administrator or liquidator is supported. This would assist in ensuring that the regulator is given an alert during the resignation process and</w:t>
      </w:r>
      <w:r w:rsidR="00EA7C18">
        <w:rPr>
          <w:color w:val="63666A"/>
        </w:rPr>
        <w:t xml:space="preserve"> thus</w:t>
      </w:r>
      <w:r w:rsidRPr="00EF1067">
        <w:rPr>
          <w:color w:val="63666A"/>
        </w:rPr>
        <w:t xml:space="preserve"> forces the sole director to ensure that they comply with all relevant processes to wind a company down without leaving a dormant shell. The register should not permit a sole director to resign unless there is evidence of another director having been appointed or </w:t>
      </w:r>
      <w:r w:rsidR="00622058">
        <w:rPr>
          <w:color w:val="63666A"/>
        </w:rPr>
        <w:t xml:space="preserve">that </w:t>
      </w:r>
      <w:r w:rsidRPr="00EF1067">
        <w:rPr>
          <w:color w:val="63666A"/>
        </w:rPr>
        <w:t>the business is being wound</w:t>
      </w:r>
      <w:r w:rsidR="00622058">
        <w:rPr>
          <w:color w:val="63666A"/>
        </w:rPr>
        <w:t xml:space="preserve"> up</w:t>
      </w:r>
      <w:r w:rsidRPr="00EF1067">
        <w:rPr>
          <w:color w:val="63666A"/>
        </w:rPr>
        <w:t xml:space="preserve">. Given advances in algorithms </w:t>
      </w:r>
      <w:r w:rsidR="00EA7C18">
        <w:rPr>
          <w:color w:val="63666A"/>
        </w:rPr>
        <w:t>and technology generally, particularly in respect of</w:t>
      </w:r>
      <w:r w:rsidRPr="00EF1067">
        <w:rPr>
          <w:color w:val="63666A"/>
        </w:rPr>
        <w:t xml:space="preserve"> web sites and databases at the present time</w:t>
      </w:r>
      <w:r w:rsidR="00EA7C18">
        <w:rPr>
          <w:color w:val="63666A"/>
        </w:rPr>
        <w:t xml:space="preserve">, it would be </w:t>
      </w:r>
      <w:r w:rsidR="00622058">
        <w:rPr>
          <w:color w:val="63666A"/>
        </w:rPr>
        <w:t>a relatively simple task for</w:t>
      </w:r>
      <w:r w:rsidRPr="00EF1067">
        <w:rPr>
          <w:color w:val="63666A"/>
        </w:rPr>
        <w:t xml:space="preserve"> the corporate regulator to link the resignation of a so</w:t>
      </w:r>
      <w:r w:rsidR="00EA7C18">
        <w:rPr>
          <w:color w:val="63666A"/>
        </w:rPr>
        <w:t xml:space="preserve">le director </w:t>
      </w:r>
      <w:r w:rsidR="00622058">
        <w:rPr>
          <w:color w:val="63666A"/>
        </w:rPr>
        <w:t>with</w:t>
      </w:r>
      <w:r w:rsidR="00EA7C18">
        <w:rPr>
          <w:color w:val="63666A"/>
        </w:rPr>
        <w:t xml:space="preserve"> the appointment of a replacement director or a concomitant application to windup the company.</w:t>
      </w:r>
    </w:p>
    <w:p w:rsidR="00DF33E7" w:rsidRDefault="00EA7C18" w:rsidP="00DE5FDC">
      <w:pPr>
        <w:pStyle w:val="BodytextArial10pt"/>
        <w:jc w:val="both"/>
        <w:rPr>
          <w:i/>
          <w:color w:val="63666A"/>
        </w:rPr>
      </w:pPr>
      <w:r>
        <w:rPr>
          <w:i/>
          <w:color w:val="63666A"/>
        </w:rPr>
        <w:t xml:space="preserve"> </w:t>
      </w:r>
    </w:p>
    <w:p w:rsidR="001A1DA4" w:rsidRPr="00992CEE" w:rsidRDefault="001A1DA4" w:rsidP="00DE5FDC">
      <w:pPr>
        <w:pStyle w:val="BodytextArial10pt"/>
        <w:jc w:val="both"/>
        <w:rPr>
          <w:b/>
          <w:i/>
          <w:color w:val="63666A"/>
        </w:rPr>
      </w:pPr>
      <w:r w:rsidRPr="00992CEE">
        <w:rPr>
          <w:b/>
          <w:i/>
          <w:color w:val="63666A"/>
        </w:rPr>
        <w:t>Restricting voting rights</w:t>
      </w:r>
    </w:p>
    <w:p w:rsidR="00DF33E7" w:rsidRDefault="00DF33E7" w:rsidP="00DE5FDC">
      <w:pPr>
        <w:pStyle w:val="BodytextArial10pt"/>
        <w:jc w:val="both"/>
        <w:rPr>
          <w:color w:val="63666A"/>
        </w:rPr>
      </w:pPr>
    </w:p>
    <w:p w:rsidR="001A1DA4" w:rsidRPr="00EF1067" w:rsidRDefault="001A1DA4" w:rsidP="00DE5FDC">
      <w:pPr>
        <w:pStyle w:val="BodytextArial10pt"/>
        <w:jc w:val="both"/>
        <w:rPr>
          <w:color w:val="63666A"/>
        </w:rPr>
      </w:pPr>
      <w:r w:rsidRPr="00EF1067">
        <w:rPr>
          <w:color w:val="63666A"/>
        </w:rPr>
        <w:t>Restricting the voting rights of related creditors of a phoenix operator is supported given that such relationships pose a conflict of interest in the context</w:t>
      </w:r>
      <w:r w:rsidR="00EA7C18">
        <w:rPr>
          <w:color w:val="63666A"/>
        </w:rPr>
        <w:t xml:space="preserve"> of a meeting of creditors</w:t>
      </w:r>
      <w:r w:rsidRPr="00EF1067">
        <w:rPr>
          <w:color w:val="63666A"/>
        </w:rPr>
        <w:t xml:space="preserve">. Permitting </w:t>
      </w:r>
      <w:r w:rsidR="00EA7C18">
        <w:rPr>
          <w:color w:val="63666A"/>
        </w:rPr>
        <w:t>e</w:t>
      </w:r>
      <w:r w:rsidRPr="00EF1067">
        <w:rPr>
          <w:color w:val="63666A"/>
        </w:rPr>
        <w:t xml:space="preserve">qual voting rights </w:t>
      </w:r>
      <w:r w:rsidR="00EA7C18">
        <w:rPr>
          <w:color w:val="63666A"/>
        </w:rPr>
        <w:t>to related creditors in circumstances where a motion to remove an admi</w:t>
      </w:r>
      <w:r w:rsidR="00285C2D">
        <w:rPr>
          <w:color w:val="63666A"/>
        </w:rPr>
        <w:t>ni</w:t>
      </w:r>
      <w:r w:rsidR="00EA7C18">
        <w:rPr>
          <w:color w:val="63666A"/>
        </w:rPr>
        <w:t>strator has been</w:t>
      </w:r>
      <w:r w:rsidR="00285C2D">
        <w:rPr>
          <w:color w:val="63666A"/>
        </w:rPr>
        <w:t xml:space="preserve"> put</w:t>
      </w:r>
      <w:r w:rsidR="00EA7C18">
        <w:rPr>
          <w:color w:val="63666A"/>
        </w:rPr>
        <w:t>, does n</w:t>
      </w:r>
      <w:r w:rsidRPr="00EF1067">
        <w:rPr>
          <w:color w:val="63666A"/>
        </w:rPr>
        <w:t>ot serve the interests of other creditors. The suggested reform that would allow the external administrator to ignore or disregard related creditor votes when a motion to remove an administrator is in question</w:t>
      </w:r>
      <w:r w:rsidR="00EA7C18">
        <w:rPr>
          <w:color w:val="63666A"/>
        </w:rPr>
        <w:t>, is thus supported.</w:t>
      </w:r>
      <w:r w:rsidRPr="00EF1067">
        <w:rPr>
          <w:color w:val="63666A"/>
        </w:rPr>
        <w:t xml:space="preserve"> There is merit </w:t>
      </w:r>
      <w:r w:rsidR="00622058">
        <w:rPr>
          <w:color w:val="63666A"/>
        </w:rPr>
        <w:t xml:space="preserve">also </w:t>
      </w:r>
      <w:r w:rsidRPr="00EF1067">
        <w:rPr>
          <w:color w:val="63666A"/>
        </w:rPr>
        <w:t>in further reflecting on this proposal and what such a measure might mean in circumstances where an external administrator should be removed.</w:t>
      </w:r>
    </w:p>
    <w:p w:rsidR="00DF33E7" w:rsidRDefault="00DF33E7" w:rsidP="00DE5FDC">
      <w:pPr>
        <w:pStyle w:val="BodytextArial10pt"/>
        <w:jc w:val="both"/>
        <w:rPr>
          <w:i/>
          <w:color w:val="63666A"/>
        </w:rPr>
      </w:pPr>
    </w:p>
    <w:p w:rsidR="001A1DA4" w:rsidRPr="00992CEE" w:rsidRDefault="001A1DA4" w:rsidP="00DE5FDC">
      <w:pPr>
        <w:pStyle w:val="BodytextArial10pt"/>
        <w:jc w:val="both"/>
        <w:rPr>
          <w:b/>
          <w:i/>
          <w:color w:val="63666A"/>
        </w:rPr>
      </w:pPr>
      <w:r w:rsidRPr="00992CEE">
        <w:rPr>
          <w:b/>
          <w:i/>
          <w:color w:val="63666A"/>
        </w:rPr>
        <w:t>Extension of penalty notices to the goods and services tax regime</w:t>
      </w:r>
    </w:p>
    <w:p w:rsidR="00DF33E7" w:rsidRDefault="00DF33E7" w:rsidP="00DE5FDC">
      <w:pPr>
        <w:pStyle w:val="BodytextArial10pt"/>
        <w:jc w:val="both"/>
        <w:rPr>
          <w:color w:val="63666A"/>
        </w:rPr>
      </w:pPr>
    </w:p>
    <w:p w:rsidR="001A1DA4" w:rsidRDefault="00622058" w:rsidP="00DE5FDC">
      <w:pPr>
        <w:pStyle w:val="BodytextArial10pt"/>
        <w:jc w:val="both"/>
        <w:rPr>
          <w:color w:val="63666A"/>
        </w:rPr>
      </w:pPr>
      <w:r>
        <w:rPr>
          <w:color w:val="63666A"/>
        </w:rPr>
        <w:t>We agree</w:t>
      </w:r>
      <w:r w:rsidR="005D59F9">
        <w:rPr>
          <w:color w:val="63666A"/>
        </w:rPr>
        <w:t xml:space="preserve"> with the proposal that</w:t>
      </w:r>
      <w:r w:rsidR="001A1DA4" w:rsidRPr="00EF1067">
        <w:rPr>
          <w:color w:val="63666A"/>
        </w:rPr>
        <w:t xml:space="preserve"> </w:t>
      </w:r>
      <w:r w:rsidR="005D59F9">
        <w:rPr>
          <w:color w:val="63666A"/>
        </w:rPr>
        <w:t xml:space="preserve">the </w:t>
      </w:r>
      <w:r w:rsidR="001A1DA4" w:rsidRPr="00EF1067">
        <w:rPr>
          <w:color w:val="63666A"/>
        </w:rPr>
        <w:t xml:space="preserve">penalty notice regime should </w:t>
      </w:r>
      <w:r w:rsidR="005D59F9">
        <w:rPr>
          <w:color w:val="63666A"/>
        </w:rPr>
        <w:t>extend</w:t>
      </w:r>
      <w:r w:rsidR="001A1DA4" w:rsidRPr="00EF1067">
        <w:rPr>
          <w:color w:val="63666A"/>
        </w:rPr>
        <w:t xml:space="preserve"> to all tax matters and not just </w:t>
      </w:r>
      <w:r w:rsidR="005D59F9">
        <w:rPr>
          <w:color w:val="63666A"/>
        </w:rPr>
        <w:t>‘</w:t>
      </w:r>
      <w:r w:rsidR="001A1DA4" w:rsidRPr="00EF1067">
        <w:rPr>
          <w:color w:val="63666A"/>
        </w:rPr>
        <w:t>pay as you go</w:t>
      </w:r>
      <w:r w:rsidR="005D59F9">
        <w:rPr>
          <w:color w:val="63666A"/>
        </w:rPr>
        <w:t>’</w:t>
      </w:r>
      <w:r w:rsidR="001A1DA4" w:rsidRPr="00EF1067">
        <w:rPr>
          <w:color w:val="63666A"/>
        </w:rPr>
        <w:t xml:space="preserve"> payments. This gives the tax regime a more holistic approach </w:t>
      </w:r>
      <w:r>
        <w:rPr>
          <w:color w:val="63666A"/>
        </w:rPr>
        <w:t xml:space="preserve">to collections </w:t>
      </w:r>
      <w:r w:rsidR="001A1DA4" w:rsidRPr="00EF1067">
        <w:rPr>
          <w:color w:val="63666A"/>
        </w:rPr>
        <w:t>and means that the revenue authority is able to send notices to directors on an additional matter that relates to an entity’s tax obligations. It brings uniformity to the tax regime in this area and acts as a warning to directors in circumstances where a phoenix operator sees an incentive in attempting to game the system.</w:t>
      </w:r>
    </w:p>
    <w:p w:rsidR="001A1DA4" w:rsidRDefault="001A1DA4" w:rsidP="00DE5FDC">
      <w:pPr>
        <w:pStyle w:val="BodytextArial10pt"/>
        <w:jc w:val="both"/>
        <w:rPr>
          <w:color w:val="63666A"/>
        </w:rPr>
      </w:pPr>
    </w:p>
    <w:p w:rsidR="001A1DA4" w:rsidRDefault="001A1DA4" w:rsidP="00DE5FDC">
      <w:pPr>
        <w:pStyle w:val="BodytextArial10pt"/>
        <w:jc w:val="both"/>
        <w:rPr>
          <w:color w:val="63666A"/>
        </w:rPr>
      </w:pPr>
    </w:p>
    <w:p w:rsidR="001A1DA4" w:rsidRPr="00327895" w:rsidRDefault="001A1DA4" w:rsidP="00DE5FDC">
      <w:pPr>
        <w:pStyle w:val="BodytextArial10pt"/>
        <w:jc w:val="both"/>
        <w:rPr>
          <w:color w:val="63666A"/>
        </w:rPr>
      </w:pPr>
      <w:r w:rsidRPr="00327895">
        <w:rPr>
          <w:color w:val="63666A"/>
        </w:rPr>
        <w:t xml:space="preserve"> </w:t>
      </w:r>
    </w:p>
    <w:p w:rsidR="001A1DA4" w:rsidRPr="00EF1067" w:rsidRDefault="001A1DA4" w:rsidP="001A1DA4">
      <w:pPr>
        <w:suppressAutoHyphens w:val="0"/>
        <w:spacing w:after="200" w:line="276" w:lineRule="auto"/>
        <w:rPr>
          <w:rFonts w:eastAsia="Calibri" w:cs="Times New Roman"/>
          <w:sz w:val="22"/>
          <w:szCs w:val="22"/>
          <w:lang w:val="en-AU" w:bidi="ar-SA"/>
        </w:rPr>
      </w:pPr>
    </w:p>
    <w:p w:rsidR="00432744" w:rsidRDefault="00432744">
      <w:pPr>
        <w:suppressAutoHyphens w:val="0"/>
        <w:rPr>
          <w:rFonts w:ascii="Arial Bold" w:hAnsi="Arial Bold"/>
          <w:color w:val="63666A"/>
        </w:rPr>
      </w:pPr>
      <w:r>
        <w:rPr>
          <w:color w:val="63666A"/>
        </w:rPr>
        <w:br w:type="page"/>
      </w:r>
    </w:p>
    <w:p w:rsidR="00B8724A" w:rsidRPr="00327895" w:rsidRDefault="00B8724A" w:rsidP="00B8724A">
      <w:pPr>
        <w:pStyle w:val="Subhead-Arial12ptbold"/>
        <w:rPr>
          <w:color w:val="63666A"/>
        </w:rPr>
      </w:pPr>
      <w:r w:rsidRPr="00327895">
        <w:rPr>
          <w:color w:val="63666A"/>
        </w:rPr>
        <w:t>IPA Head Office</w:t>
      </w:r>
    </w:p>
    <w:p w:rsidR="00B8724A" w:rsidRPr="00327895" w:rsidRDefault="00B8724A" w:rsidP="00B8724A">
      <w:pPr>
        <w:pStyle w:val="BodytextArial10pt"/>
        <w:rPr>
          <w:color w:val="63666A"/>
        </w:rPr>
      </w:pPr>
      <w:r w:rsidRPr="00327895">
        <w:rPr>
          <w:color w:val="63666A"/>
        </w:rPr>
        <w:t>Level 6, 555 Lonsdale Street</w:t>
      </w:r>
      <w:r w:rsidRPr="00327895">
        <w:rPr>
          <w:color w:val="63666A"/>
        </w:rPr>
        <w:br/>
        <w:t>Melbourne Victoria 3000</w:t>
      </w:r>
      <w:r w:rsidRPr="00327895">
        <w:rPr>
          <w:color w:val="63666A"/>
        </w:rPr>
        <w:br/>
        <w:t>Australia</w:t>
      </w:r>
    </w:p>
    <w:p w:rsidR="00B8724A" w:rsidRPr="00327895" w:rsidRDefault="00B8724A" w:rsidP="00B8724A">
      <w:pPr>
        <w:pStyle w:val="BodytextArial10pt"/>
        <w:rPr>
          <w:color w:val="63666A"/>
        </w:rPr>
      </w:pPr>
      <w:r w:rsidRPr="00327895">
        <w:rPr>
          <w:color w:val="63666A"/>
        </w:rPr>
        <w:t>Tel : 61 3 8665 3100</w:t>
      </w:r>
      <w:r w:rsidRPr="00327895">
        <w:rPr>
          <w:color w:val="63666A"/>
        </w:rPr>
        <w:br/>
        <w:t>Fax: 61 3 8665 3130</w:t>
      </w:r>
      <w:r w:rsidRPr="00327895">
        <w:rPr>
          <w:color w:val="63666A"/>
        </w:rPr>
        <w:br/>
        <w:t xml:space="preserve">Email : </w:t>
      </w:r>
      <w:hyperlink r:id="rId16" w:history="1">
        <w:r w:rsidR="00327895" w:rsidRPr="008C529C">
          <w:rPr>
            <w:rStyle w:val="Hyperlink"/>
          </w:rPr>
          <w:t>headoffice@publicaccountants.org.au</w:t>
        </w:r>
      </w:hyperlink>
      <w:r w:rsidR="00327895">
        <w:rPr>
          <w:color w:val="63666A"/>
        </w:rPr>
        <w:t xml:space="preserve"> </w:t>
      </w:r>
      <w:r w:rsidRPr="00327895">
        <w:rPr>
          <w:color w:val="63666A"/>
        </w:rPr>
        <w:br/>
        <w:t>Website: www.publicaccountants.org.au/</w:t>
      </w:r>
    </w:p>
    <w:p w:rsidR="00B8724A" w:rsidRPr="00327895" w:rsidRDefault="00B8724A" w:rsidP="00B8724A">
      <w:pPr>
        <w:pStyle w:val="BodytextArial10pt"/>
        <w:rPr>
          <w:color w:val="63666A"/>
        </w:rPr>
      </w:pPr>
    </w:p>
    <w:p w:rsidR="00B8724A" w:rsidRPr="00327895" w:rsidRDefault="00B8724A" w:rsidP="00B8724A">
      <w:pPr>
        <w:pStyle w:val="BodytextArial10pt"/>
        <w:rPr>
          <w:color w:val="63666A"/>
        </w:rPr>
      </w:pPr>
    </w:p>
    <w:sectPr w:rsidR="00B8724A" w:rsidRPr="00327895" w:rsidSect="00B8724A">
      <w:headerReference w:type="even" r:id="rId17"/>
      <w:headerReference w:type="default" r:id="rId18"/>
      <w:footerReference w:type="even" r:id="rId19"/>
      <w:footerReference w:type="default" r:id="rId20"/>
      <w:headerReference w:type="first" r:id="rId21"/>
      <w:footerReference w:type="first" r:id="rId22"/>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F8" w:rsidRDefault="00BB49F8">
      <w:r>
        <w:separator/>
      </w:r>
    </w:p>
  </w:endnote>
  <w:endnote w:type="continuationSeparator" w:id="0">
    <w:p w:rsidR="00BB49F8" w:rsidRDefault="00BB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r>
      <w:rPr>
        <w:noProof/>
        <w:lang w:val="en-AU" w:eastAsia="en-AU" w:bidi="ar-SA"/>
      </w:rPr>
      <w:drawing>
        <wp:anchor distT="0" distB="0" distL="114300" distR="114300" simplePos="0" relativeHeight="251658240" behindDoc="0" locked="0" layoutInCell="1" allowOverlap="1" wp14:anchorId="4E676B25" wp14:editId="4E676B26">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B49F8">
      <w:trPr>
        <w:trHeight w:val="140"/>
      </w:trPr>
      <w:tc>
        <w:tcPr>
          <w:tcW w:w="865" w:type="dxa"/>
        </w:tcPr>
        <w:p w:rsidR="00BB49F8" w:rsidRPr="005327DB" w:rsidRDefault="00BB49F8"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A105BA">
            <w:rPr>
              <w:rFonts w:ascii="Arial Bold" w:hAnsi="Arial Bold"/>
              <w:noProof/>
              <w:color w:val="BFBFBF"/>
            </w:rPr>
            <w:t>3</w:t>
          </w:r>
          <w:r w:rsidRPr="005327DB">
            <w:rPr>
              <w:rFonts w:ascii="Arial Bold" w:hAnsi="Arial Bold"/>
              <w:noProof/>
              <w:color w:val="BFBFBF"/>
            </w:rPr>
            <w:fldChar w:fldCharType="end"/>
          </w:r>
        </w:p>
      </w:tc>
      <w:tc>
        <w:tcPr>
          <w:tcW w:w="6649" w:type="dxa"/>
        </w:tcPr>
        <w:p w:rsidR="00BB49F8" w:rsidRPr="005327DB" w:rsidRDefault="00BB49F8" w:rsidP="00B8724A">
          <w:pPr>
            <w:rPr>
              <w:rFonts w:ascii="Arial Bold" w:hAnsi="Arial Bold"/>
              <w:color w:val="BFBFBF"/>
              <w:sz w:val="22"/>
            </w:rPr>
          </w:pPr>
          <w:r w:rsidRPr="005327DB">
            <w:rPr>
              <w:rFonts w:ascii="Arial Bold" w:hAnsi="Arial Bold"/>
              <w:color w:val="BFBFBF"/>
              <w:sz w:val="22"/>
            </w:rPr>
            <w:t>Title</w:t>
          </w:r>
        </w:p>
      </w:tc>
    </w:tr>
  </w:tbl>
  <w:p w:rsidR="00BB49F8" w:rsidRDefault="00BB49F8" w:rsidP="00B8724A">
    <w:r>
      <w:rPr>
        <w:noProof/>
        <w:lang w:val="en-AU" w:eastAsia="en-AU" w:bidi="ar-SA"/>
      </w:rPr>
      <w:drawing>
        <wp:anchor distT="0" distB="0" distL="114300" distR="114300" simplePos="0" relativeHeight="251657216" behindDoc="1" locked="0" layoutInCell="1" allowOverlap="1" wp14:anchorId="4E676B27" wp14:editId="4E676B28">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49F8" w:rsidRDefault="00BB49F8"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F8" w:rsidRDefault="00BB49F8">
      <w:r>
        <w:separator/>
      </w:r>
    </w:p>
  </w:footnote>
  <w:footnote w:type="continuationSeparator" w:id="0">
    <w:p w:rsidR="00BB49F8" w:rsidRDefault="00BB4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1.25pt" o:bullet="t">
        <v:imagedata r:id="rId1" o:title="wedgie dot point"/>
      </v:shape>
    </w:pict>
  </w:numPicBullet>
  <w:abstractNum w:abstractNumId="0">
    <w:nsid w:val="FFFFFF1D"/>
    <w:multiLevelType w:val="multilevel"/>
    <w:tmpl w:val="ABCE6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6891EA"/>
    <w:lvl w:ilvl="0">
      <w:start w:val="1"/>
      <w:numFmt w:val="decimal"/>
      <w:lvlText w:val="%1."/>
      <w:lvlJc w:val="left"/>
      <w:pPr>
        <w:tabs>
          <w:tab w:val="num" w:pos="1492"/>
        </w:tabs>
        <w:ind w:left="1492" w:hanging="360"/>
      </w:pPr>
    </w:lvl>
  </w:abstractNum>
  <w:abstractNum w:abstractNumId="2">
    <w:nsid w:val="FFFFFF7D"/>
    <w:multiLevelType w:val="singleLevel"/>
    <w:tmpl w:val="6E509630"/>
    <w:lvl w:ilvl="0">
      <w:start w:val="1"/>
      <w:numFmt w:val="decimal"/>
      <w:lvlText w:val="%1."/>
      <w:lvlJc w:val="left"/>
      <w:pPr>
        <w:tabs>
          <w:tab w:val="num" w:pos="1209"/>
        </w:tabs>
        <w:ind w:left="1209" w:hanging="360"/>
      </w:pPr>
    </w:lvl>
  </w:abstractNum>
  <w:abstractNum w:abstractNumId="3">
    <w:nsid w:val="FFFFFF7E"/>
    <w:multiLevelType w:val="singleLevel"/>
    <w:tmpl w:val="84A4FE60"/>
    <w:lvl w:ilvl="0">
      <w:start w:val="1"/>
      <w:numFmt w:val="decimal"/>
      <w:lvlText w:val="%1."/>
      <w:lvlJc w:val="left"/>
      <w:pPr>
        <w:tabs>
          <w:tab w:val="num" w:pos="926"/>
        </w:tabs>
        <w:ind w:left="926" w:hanging="360"/>
      </w:pPr>
    </w:lvl>
  </w:abstractNum>
  <w:abstractNum w:abstractNumId="4">
    <w:nsid w:val="FFFFFF7F"/>
    <w:multiLevelType w:val="singleLevel"/>
    <w:tmpl w:val="21AAD8BE"/>
    <w:lvl w:ilvl="0">
      <w:start w:val="1"/>
      <w:numFmt w:val="decimal"/>
      <w:lvlText w:val="%1."/>
      <w:lvlJc w:val="left"/>
      <w:pPr>
        <w:tabs>
          <w:tab w:val="num" w:pos="643"/>
        </w:tabs>
        <w:ind w:left="643" w:hanging="360"/>
      </w:pPr>
    </w:lvl>
  </w:abstractNum>
  <w:abstractNum w:abstractNumId="5">
    <w:nsid w:val="FFFFFF80"/>
    <w:multiLevelType w:val="singleLevel"/>
    <w:tmpl w:val="FE8A7D2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4C8D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C0C50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1709EB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6AE558"/>
    <w:lvl w:ilvl="0">
      <w:start w:val="1"/>
      <w:numFmt w:val="decimal"/>
      <w:lvlText w:val="%1."/>
      <w:lvlJc w:val="left"/>
      <w:pPr>
        <w:tabs>
          <w:tab w:val="num" w:pos="360"/>
        </w:tabs>
        <w:ind w:left="360" w:hanging="360"/>
      </w:pPr>
    </w:lvl>
  </w:abstractNum>
  <w:abstractNum w:abstractNumId="10">
    <w:nsid w:val="FFFFFF89"/>
    <w:multiLevelType w:val="singleLevel"/>
    <w:tmpl w:val="316A21C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Table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2">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3">
    <w:nsid w:val="00000003"/>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4">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5">
    <w:nsid w:val="0000000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6">
    <w:nsid w:val="0000000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7">
    <w:nsid w:val="00000007"/>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8">
    <w:nsid w:val="0000000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9">
    <w:nsid w:val="00000009"/>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0">
    <w:nsid w:val="0000000A"/>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1">
    <w:nsid w:val="0000000B"/>
    <w:multiLevelType w:val="singleLevel"/>
    <w:tmpl w:val="98509C7A"/>
    <w:lvl w:ilvl="0">
      <w:start w:val="1"/>
      <w:numFmt w:val="bullet"/>
      <w:lvlText w:val=""/>
      <w:lvlPicBulletId w:val="0"/>
      <w:lvlJc w:val="left"/>
      <w:pPr>
        <w:ind w:left="1080" w:hanging="360"/>
      </w:pPr>
      <w:rPr>
        <w:rFonts w:ascii="Symbol" w:hAnsi="Symbol" w:hint="default"/>
        <w:color w:val="auto"/>
      </w:rPr>
    </w:lvl>
  </w:abstractNum>
  <w:abstractNum w:abstractNumId="2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23">
    <w:nsid w:val="0000000D"/>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4">
    <w:nsid w:val="0000000E"/>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5">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6">
    <w:nsid w:val="00000010"/>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7">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28">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29">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30">
    <w:nsid w:val="00000014"/>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1">
    <w:nsid w:val="0000001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2">
    <w:nsid w:val="0000001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3">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34">
    <w:nsid w:val="0000001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5">
    <w:nsid w:val="00000019"/>
    <w:multiLevelType w:val="multilevel"/>
    <w:tmpl w:val="0000001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nsid w:val="0000001A"/>
    <w:multiLevelType w:val="multilevel"/>
    <w:tmpl w:val="0000001A"/>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nsid w:val="018E65C7"/>
    <w:multiLevelType w:val="multilevel"/>
    <w:tmpl w:val="4E4AE9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CF14949"/>
    <w:multiLevelType w:val="hybridMultilevel"/>
    <w:tmpl w:val="2EBEA4CA"/>
    <w:lvl w:ilvl="0" w:tplc="98509C7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6397DBD"/>
    <w:multiLevelType w:val="hybridMultilevel"/>
    <w:tmpl w:val="D4D6BFB4"/>
    <w:lvl w:ilvl="0" w:tplc="98509C7A">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6BE756DC"/>
    <w:multiLevelType w:val="multilevel"/>
    <w:tmpl w:val="F61428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39"/>
  </w:num>
  <w:num w:numId="28">
    <w:abstractNumId w:val="37"/>
  </w:num>
  <w:num w:numId="29">
    <w:abstractNumId w:val="38"/>
  </w:num>
  <w:num w:numId="30">
    <w:abstractNumId w:val="40"/>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1"/>
  <w:defaultTabStop w:val="720"/>
  <w:drawingGridHorizontalSpacing w:val="120"/>
  <w:drawingGridVerticalSpacing w:val="0"/>
  <w:displayHorizontalDrawingGridEvery w:val="0"/>
  <w:displayVerticalDrawingGridEvery w:val="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052CA"/>
    <w:rsid w:val="00063676"/>
    <w:rsid w:val="000D3E57"/>
    <w:rsid w:val="000D4353"/>
    <w:rsid w:val="000D4F01"/>
    <w:rsid w:val="00114667"/>
    <w:rsid w:val="001536EF"/>
    <w:rsid w:val="001A1DA4"/>
    <w:rsid w:val="001A3BE7"/>
    <w:rsid w:val="00212F18"/>
    <w:rsid w:val="002502FD"/>
    <w:rsid w:val="00285C2D"/>
    <w:rsid w:val="003016A2"/>
    <w:rsid w:val="00327895"/>
    <w:rsid w:val="003803CF"/>
    <w:rsid w:val="0039638F"/>
    <w:rsid w:val="003A4222"/>
    <w:rsid w:val="003B4285"/>
    <w:rsid w:val="003D3EFB"/>
    <w:rsid w:val="003D70DF"/>
    <w:rsid w:val="00432744"/>
    <w:rsid w:val="00472A94"/>
    <w:rsid w:val="00484B16"/>
    <w:rsid w:val="005D59F9"/>
    <w:rsid w:val="00622058"/>
    <w:rsid w:val="00696A2A"/>
    <w:rsid w:val="00703F2A"/>
    <w:rsid w:val="00753C49"/>
    <w:rsid w:val="00793FC4"/>
    <w:rsid w:val="007F4A0C"/>
    <w:rsid w:val="00815712"/>
    <w:rsid w:val="009308DE"/>
    <w:rsid w:val="009336FC"/>
    <w:rsid w:val="00992CEE"/>
    <w:rsid w:val="00994166"/>
    <w:rsid w:val="009D05DF"/>
    <w:rsid w:val="00A105BA"/>
    <w:rsid w:val="00AA78F4"/>
    <w:rsid w:val="00AC49F9"/>
    <w:rsid w:val="00B2047F"/>
    <w:rsid w:val="00B82878"/>
    <w:rsid w:val="00B8724A"/>
    <w:rsid w:val="00BB2472"/>
    <w:rsid w:val="00BB49F8"/>
    <w:rsid w:val="00BF702E"/>
    <w:rsid w:val="00C50934"/>
    <w:rsid w:val="00C66032"/>
    <w:rsid w:val="00CC44F7"/>
    <w:rsid w:val="00CE14DE"/>
    <w:rsid w:val="00D3704C"/>
    <w:rsid w:val="00DA3F8E"/>
    <w:rsid w:val="00DC3616"/>
    <w:rsid w:val="00DD3933"/>
    <w:rsid w:val="00DE5FDC"/>
    <w:rsid w:val="00DF33E7"/>
    <w:rsid w:val="00E32710"/>
    <w:rsid w:val="00E37605"/>
    <w:rsid w:val="00E83A7A"/>
    <w:rsid w:val="00EA7C18"/>
    <w:rsid w:val="00F1389C"/>
    <w:rsid w:val="00F24CB5"/>
    <w:rsid w:val="00F55029"/>
    <w:rsid w:val="00F72FA5"/>
    <w:rsid w:val="00F736A4"/>
    <w:rsid w:val="00FA3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4E67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BalloonText">
    <w:name w:val="Balloon Text"/>
    <w:basedOn w:val="Normal"/>
    <w:link w:val="BalloonTextChar"/>
    <w:semiHidden/>
    <w:unhideWhenUsed/>
    <w:rsid w:val="00F55029"/>
    <w:rPr>
      <w:rFonts w:ascii="Segoe UI" w:hAnsi="Segoe UI" w:cs="Segoe UI"/>
      <w:sz w:val="18"/>
      <w:szCs w:val="18"/>
    </w:rPr>
  </w:style>
  <w:style w:type="character" w:customStyle="1" w:styleId="BalloonTextChar">
    <w:name w:val="Balloon Text Char"/>
    <w:basedOn w:val="DefaultParagraphFont"/>
    <w:link w:val="BalloonText"/>
    <w:semiHidden/>
    <w:rsid w:val="00F55029"/>
    <w:rPr>
      <w:rFonts w:ascii="Segoe UI" w:hAnsi="Segoe UI" w:cs="Segoe UI"/>
      <w:sz w:val="18"/>
      <w:szCs w:val="1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BalloonText">
    <w:name w:val="Balloon Text"/>
    <w:basedOn w:val="Normal"/>
    <w:link w:val="BalloonTextChar"/>
    <w:semiHidden/>
    <w:unhideWhenUsed/>
    <w:rsid w:val="00F55029"/>
    <w:rPr>
      <w:rFonts w:ascii="Segoe UI" w:hAnsi="Segoe UI" w:cs="Segoe UI"/>
      <w:sz w:val="18"/>
      <w:szCs w:val="18"/>
    </w:rPr>
  </w:style>
  <w:style w:type="character" w:customStyle="1" w:styleId="BalloonTextChar">
    <w:name w:val="Balloon Text Char"/>
    <w:basedOn w:val="DefaultParagraphFont"/>
    <w:link w:val="BalloonText"/>
    <w:semiHidden/>
    <w:rsid w:val="00F55029"/>
    <w:rPr>
      <w:rFonts w:ascii="Segoe UI" w:hAnsi="Segoe UI" w:cs="Segoe UI"/>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doffice@publicaccountants.org.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vicki.stylianou@publicaccountants.org.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EA7D499AA5A0A41A47CE11FAF68C0A3" ma:contentTypeVersion="14330" ma:contentTypeDescription="" ma:contentTypeScope="" ma:versionID="1ada6505b0b25600c84be7d5df9eb7bf">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b8e84664be9d0190537911c580674283"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TaxCatchAll xmlns="0f563589-9cf9-4143-b1eb-fb0534803d38">
      <Value>20</Value>
    </TaxCatchAll>
    <_dlc_DocId xmlns="0f563589-9cf9-4143-b1eb-fb0534803d38">2017MG-193500472-66</_dlc_DocId>
    <_dlc_DocIdUrl xmlns="0f563589-9cf9-4143-b1eb-fb0534803d38">
      <Url>http://tweb/sites/mg/fsd/_layouts/15/DocIdRedir.aspx?ID=2017MG-193500472-66</Url>
      <Description>2017MG-193500472-66</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87D20E8-4517-4385-8B36-0FE13F7461DE}">
  <ds:schemaRefs>
    <ds:schemaRef ds:uri="http://schemas.microsoft.com/sharepoint/v3/contenttype/forms"/>
  </ds:schemaRefs>
</ds:datastoreItem>
</file>

<file path=customXml/itemProps2.xml><?xml version="1.0" encoding="utf-8"?>
<ds:datastoreItem xmlns:ds="http://schemas.openxmlformats.org/officeDocument/2006/customXml" ds:itemID="{D63DD0B9-87C2-4812-9132-F7C47FBC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CD565-3188-450E-923D-AF8CF80E76CE}">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d4dd4adf-ddb3-46a3-8d7c-fab3fb2a6bc7"/>
    <ds:schemaRef ds:uri="http://schemas.microsoft.com/office/infopath/2007/PartnerControls"/>
    <ds:schemaRef ds:uri="0f563589-9cf9-4143-b1eb-fb0534803d38"/>
  </ds:schemaRefs>
</ds:datastoreItem>
</file>

<file path=customXml/itemProps4.xml><?xml version="1.0" encoding="utf-8"?>
<ds:datastoreItem xmlns:ds="http://schemas.openxmlformats.org/officeDocument/2006/customXml" ds:itemID="{E80BCF10-9E1A-4F64-B9DE-47C1F17DB78D}">
  <ds:schemaRefs>
    <ds:schemaRef ds:uri="office.server.policy"/>
  </ds:schemaRefs>
</ds:datastoreItem>
</file>

<file path=customXml/itemProps5.xml><?xml version="1.0" encoding="utf-8"?>
<ds:datastoreItem xmlns:ds="http://schemas.openxmlformats.org/officeDocument/2006/customXml" ds:itemID="{E0E6AE66-749F-4759-9CE7-9C360937F7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2839</Words>
  <Characters>14773</Characters>
  <Application>Microsoft Office Word</Application>
  <DocSecurity>0</DocSecurity>
  <Lines>268</Lines>
  <Paragraphs>47</Paragraphs>
  <ScaleCrop>false</ScaleCrop>
  <Company/>
  <LinksUpToDate>false</LinksUpToDate>
  <CharactersWithSpaces>17589</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Reforms to address illegal phoenix activity</dc:title>
  <dc:subject/>
  <dc:creator/>
  <cp:keywords/>
  <cp:lastModifiedBy/>
  <cp:revision>1</cp:revision>
  <dcterms:created xsi:type="dcterms:W3CDTF">2018-09-24T03:53:00Z</dcterms:created>
  <dcterms:modified xsi:type="dcterms:W3CDTF">2018-09-24T03:53:00Z</dcterms:modified>
  <dc:language>English</dc:language>
</cp:coreProperties>
</file>